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46C190">
      <w:pPr>
        <w:jc w:val="center"/>
        <w:rPr>
          <w:rFonts w:hint="eastAsia" w:asciiTheme="minorEastAsia" w:hAnsiTheme="minorEastAsia"/>
          <w:color w:val="auto"/>
          <w:highlight w:val="none"/>
        </w:rPr>
      </w:pPr>
    </w:p>
    <w:p w14:paraId="1F7CAC0C">
      <w:pPr>
        <w:pStyle w:val="9"/>
        <w:ind w:left="1440"/>
        <w:rPr>
          <w:rFonts w:hint="eastAsia"/>
          <w:color w:val="auto"/>
          <w:highlight w:val="none"/>
        </w:rPr>
      </w:pPr>
    </w:p>
    <w:p w14:paraId="0CE11038">
      <w:pPr>
        <w:rPr>
          <w:rFonts w:hint="eastAsia"/>
          <w:color w:val="auto"/>
          <w:highlight w:val="none"/>
        </w:rPr>
      </w:pPr>
    </w:p>
    <w:p w14:paraId="3137EF3D">
      <w:pPr>
        <w:pStyle w:val="9"/>
        <w:ind w:left="1440"/>
        <w:rPr>
          <w:rFonts w:hint="eastAsia"/>
          <w:color w:val="auto"/>
          <w:highlight w:val="none"/>
        </w:rPr>
      </w:pPr>
    </w:p>
    <w:p w14:paraId="49E1C828">
      <w:pPr>
        <w:rPr>
          <w:rFonts w:hint="eastAsia"/>
          <w:color w:val="auto"/>
          <w:highlight w:val="none"/>
        </w:rPr>
      </w:pPr>
      <w:bookmarkStart w:id="297" w:name="_GoBack"/>
      <w:bookmarkEnd w:id="297"/>
    </w:p>
    <w:p w14:paraId="75C88DEE">
      <w:pPr>
        <w:pStyle w:val="9"/>
        <w:ind w:left="1440"/>
        <w:rPr>
          <w:rFonts w:hint="eastAsia"/>
          <w:color w:val="auto"/>
          <w:highlight w:val="none"/>
        </w:rPr>
      </w:pPr>
    </w:p>
    <w:p w14:paraId="29F9D6C7">
      <w:pPr>
        <w:rPr>
          <w:rFonts w:hint="eastAsia"/>
          <w:color w:val="auto"/>
          <w:highlight w:val="none"/>
        </w:rPr>
      </w:pPr>
    </w:p>
    <w:p w14:paraId="70B158BF">
      <w:pPr>
        <w:pStyle w:val="9"/>
        <w:ind w:left="1440"/>
        <w:rPr>
          <w:rFonts w:hint="eastAsia"/>
          <w:color w:val="auto"/>
          <w:highlight w:val="none"/>
        </w:rPr>
      </w:pPr>
    </w:p>
    <w:p w14:paraId="5EA68A07">
      <w:pPr>
        <w:spacing w:line="1600" w:lineRule="exact"/>
        <w:jc w:val="center"/>
        <w:outlineLvl w:val="0"/>
        <w:rPr>
          <w:rFonts w:hint="eastAsia" w:asciiTheme="minorEastAsia" w:hAnsiTheme="minorEastAsia"/>
          <w:color w:val="auto"/>
          <w:sz w:val="130"/>
          <w:szCs w:val="130"/>
          <w:highlight w:val="none"/>
        </w:rPr>
      </w:pPr>
      <w:r>
        <w:rPr>
          <w:rFonts w:hint="eastAsia" w:asciiTheme="minorEastAsia" w:hAnsiTheme="minorEastAsia"/>
          <w:color w:val="auto"/>
          <w:sz w:val="130"/>
          <w:szCs w:val="130"/>
          <w:highlight w:val="none"/>
        </w:rPr>
        <w:t>询价通知书</w:t>
      </w:r>
    </w:p>
    <w:p w14:paraId="360A0516">
      <w:pPr>
        <w:spacing w:line="700" w:lineRule="exact"/>
        <w:rPr>
          <w:rFonts w:hint="eastAsia" w:asciiTheme="minorEastAsia" w:hAnsiTheme="minorEastAsia"/>
          <w:color w:val="auto"/>
          <w:sz w:val="32"/>
          <w:highlight w:val="none"/>
        </w:rPr>
      </w:pPr>
    </w:p>
    <w:p w14:paraId="3971EEF7">
      <w:pPr>
        <w:spacing w:line="700" w:lineRule="exact"/>
        <w:rPr>
          <w:rFonts w:hint="eastAsia" w:asciiTheme="minorEastAsia" w:hAnsiTheme="minorEastAsia"/>
          <w:color w:val="auto"/>
          <w:sz w:val="32"/>
          <w:highlight w:val="none"/>
        </w:rPr>
      </w:pPr>
    </w:p>
    <w:p w14:paraId="62E948A1">
      <w:pPr>
        <w:spacing w:line="700" w:lineRule="exact"/>
        <w:jc w:val="center"/>
        <w:rPr>
          <w:rFonts w:hint="eastAsia" w:asciiTheme="minorEastAsia" w:hAnsiTheme="minorEastAsia"/>
          <w:color w:val="auto"/>
          <w:sz w:val="32"/>
          <w:highlight w:val="none"/>
        </w:rPr>
      </w:pPr>
    </w:p>
    <w:p w14:paraId="2A942C98">
      <w:pPr>
        <w:ind w:left="3240" w:leftChars="300" w:hanging="2520" w:hangingChars="700"/>
        <w:textAlignment w:val="center"/>
        <w:rPr>
          <w:rFonts w:hint="eastAsia" w:eastAsia="宋体" w:asciiTheme="minorEastAsia" w:hAnsiTheme="minorEastAsia"/>
          <w:color w:val="auto"/>
          <w:sz w:val="36"/>
          <w:szCs w:val="36"/>
          <w:highlight w:val="none"/>
          <w:lang w:eastAsia="zh-CN"/>
        </w:rPr>
      </w:pPr>
      <w:r>
        <w:rPr>
          <w:rFonts w:hint="eastAsia" w:asciiTheme="minorEastAsia" w:hAnsiTheme="minorEastAsia"/>
          <w:color w:val="auto"/>
          <w:sz w:val="36"/>
          <w:szCs w:val="36"/>
          <w:highlight w:val="none"/>
        </w:rPr>
        <w:t>询价项目名称：</w:t>
      </w:r>
      <w:bookmarkStart w:id="0" w:name="OLE_LINK7"/>
      <w:r>
        <w:rPr>
          <w:rFonts w:hint="eastAsia" w:asciiTheme="minorEastAsia" w:hAnsiTheme="minorEastAsia"/>
          <w:color w:val="auto"/>
          <w:sz w:val="36"/>
          <w:szCs w:val="36"/>
          <w:highlight w:val="none"/>
          <w:lang w:eastAsia="zh-CN"/>
        </w:rPr>
        <w:t>垫江县残联2025年度基本型辅助器具适配采购</w:t>
      </w:r>
    </w:p>
    <w:bookmarkEnd w:id="0"/>
    <w:p w14:paraId="117F9079">
      <w:pPr>
        <w:spacing w:line="700" w:lineRule="exact"/>
        <w:jc w:val="center"/>
        <w:rPr>
          <w:rFonts w:hint="eastAsia" w:asciiTheme="minorEastAsia" w:hAnsiTheme="minorEastAsia"/>
          <w:color w:val="auto"/>
          <w:sz w:val="36"/>
          <w:szCs w:val="36"/>
          <w:highlight w:val="none"/>
        </w:rPr>
      </w:pPr>
    </w:p>
    <w:p w14:paraId="65D62FD9">
      <w:pPr>
        <w:spacing w:line="700" w:lineRule="exact"/>
        <w:rPr>
          <w:rFonts w:hint="eastAsia" w:asciiTheme="minorEastAsia" w:hAnsiTheme="minorEastAsia"/>
          <w:color w:val="auto"/>
          <w:sz w:val="36"/>
          <w:szCs w:val="36"/>
          <w:highlight w:val="none"/>
        </w:rPr>
      </w:pPr>
    </w:p>
    <w:p w14:paraId="64F67305">
      <w:pPr>
        <w:spacing w:line="700" w:lineRule="exact"/>
        <w:rPr>
          <w:rFonts w:hint="eastAsia" w:asciiTheme="minorEastAsia" w:hAnsiTheme="minorEastAsia"/>
          <w:color w:val="auto"/>
          <w:sz w:val="36"/>
          <w:szCs w:val="36"/>
          <w:highlight w:val="none"/>
        </w:rPr>
      </w:pPr>
    </w:p>
    <w:p w14:paraId="5DA762D4">
      <w:pPr>
        <w:spacing w:line="700" w:lineRule="exact"/>
        <w:rPr>
          <w:rFonts w:hint="eastAsia" w:asciiTheme="minorEastAsia" w:hAnsiTheme="minorEastAsia"/>
          <w:color w:val="auto"/>
          <w:sz w:val="36"/>
          <w:szCs w:val="36"/>
          <w:highlight w:val="none"/>
        </w:rPr>
      </w:pPr>
    </w:p>
    <w:p w14:paraId="79873AF3">
      <w:pPr>
        <w:spacing w:line="500" w:lineRule="exact"/>
        <w:jc w:val="center"/>
        <w:outlineLvl w:val="0"/>
        <w:rPr>
          <w:rFonts w:hint="eastAsia" w:asciiTheme="minorEastAsia" w:hAnsiTheme="minorEastAsia"/>
          <w:color w:val="auto"/>
          <w:sz w:val="36"/>
          <w:szCs w:val="36"/>
          <w:highlight w:val="none"/>
        </w:rPr>
      </w:pPr>
      <w:r>
        <w:rPr>
          <w:rFonts w:hint="eastAsia" w:asciiTheme="minorEastAsia" w:hAnsiTheme="minorEastAsia"/>
          <w:color w:val="auto"/>
          <w:sz w:val="36"/>
          <w:szCs w:val="36"/>
          <w:highlight w:val="none"/>
        </w:rPr>
        <w:t>采购人：</w:t>
      </w:r>
      <w:bookmarkStart w:id="1" w:name="OLE_LINK1"/>
      <w:r>
        <w:rPr>
          <w:rFonts w:hint="eastAsia" w:asciiTheme="minorEastAsia" w:hAnsiTheme="minorEastAsia"/>
          <w:color w:val="auto"/>
          <w:sz w:val="36"/>
          <w:szCs w:val="36"/>
          <w:highlight w:val="none"/>
        </w:rPr>
        <w:t>垫江县残疾人联合会</w:t>
      </w:r>
    </w:p>
    <w:bookmarkEnd w:id="1"/>
    <w:p w14:paraId="53ED779C">
      <w:pPr>
        <w:spacing w:line="700" w:lineRule="exact"/>
        <w:ind w:firstLine="1080" w:firstLineChars="300"/>
        <w:rPr>
          <w:rFonts w:hint="eastAsia" w:asciiTheme="minorEastAsia" w:hAnsiTheme="minorEastAsia"/>
          <w:color w:val="auto"/>
          <w:sz w:val="36"/>
          <w:szCs w:val="30"/>
          <w:highlight w:val="none"/>
        </w:rPr>
      </w:pPr>
      <w:r>
        <w:rPr>
          <w:rFonts w:hint="eastAsia" w:asciiTheme="minorEastAsia" w:hAnsiTheme="minorEastAsia"/>
          <w:color w:val="auto"/>
          <w:sz w:val="36"/>
          <w:szCs w:val="36"/>
          <w:highlight w:val="none"/>
        </w:rPr>
        <w:t>采购代理机构：重庆景强项目管理有限责任公司</w:t>
      </w:r>
    </w:p>
    <w:p w14:paraId="581274E9">
      <w:pPr>
        <w:spacing w:line="500" w:lineRule="exact"/>
        <w:jc w:val="center"/>
        <w:outlineLvl w:val="0"/>
        <w:rPr>
          <w:rFonts w:hint="eastAsia" w:asciiTheme="minorEastAsia" w:hAnsiTheme="minorEastAsia"/>
          <w:color w:val="auto"/>
          <w:sz w:val="36"/>
          <w:szCs w:val="36"/>
          <w:highlight w:val="none"/>
        </w:rPr>
      </w:pPr>
    </w:p>
    <w:p w14:paraId="571BF54C">
      <w:pPr>
        <w:spacing w:line="720" w:lineRule="exact"/>
        <w:jc w:val="center"/>
        <w:outlineLvl w:val="0"/>
        <w:rPr>
          <w:rFonts w:hint="eastAsia" w:asciiTheme="minorEastAsia" w:hAnsiTheme="minorEastAsia"/>
          <w:color w:val="auto"/>
          <w:sz w:val="48"/>
          <w:szCs w:val="32"/>
          <w:highlight w:val="none"/>
        </w:rPr>
      </w:pPr>
      <w:r>
        <w:rPr>
          <w:rFonts w:hint="eastAsia" w:asciiTheme="minorEastAsia" w:hAnsiTheme="minorEastAsia"/>
          <w:color w:val="auto"/>
          <w:sz w:val="36"/>
          <w:szCs w:val="36"/>
          <w:highlight w:val="none"/>
        </w:rPr>
        <w:t>二〇二五年</w:t>
      </w:r>
      <w:r>
        <w:rPr>
          <w:rFonts w:hint="eastAsia" w:asciiTheme="minorEastAsia" w:hAnsiTheme="minorEastAsia"/>
          <w:color w:val="auto"/>
          <w:sz w:val="36"/>
          <w:szCs w:val="36"/>
          <w:highlight w:val="none"/>
          <w:lang w:eastAsia="zh-CN"/>
        </w:rPr>
        <w:t>十</w:t>
      </w:r>
      <w:r>
        <w:rPr>
          <w:rFonts w:hint="eastAsia" w:asciiTheme="minorEastAsia" w:hAnsiTheme="minorEastAsia"/>
          <w:color w:val="auto"/>
          <w:sz w:val="36"/>
          <w:szCs w:val="36"/>
          <w:highlight w:val="none"/>
        </w:rPr>
        <w:t>月</w:t>
      </w:r>
    </w:p>
    <w:p w14:paraId="669E389A">
      <w:pPr>
        <w:spacing w:line="480" w:lineRule="exact"/>
        <w:outlineLvl w:val="0"/>
        <w:rPr>
          <w:rFonts w:hint="eastAsia" w:asciiTheme="minorEastAsia" w:hAnsiTheme="minorEastAsia"/>
          <w:color w:val="auto"/>
          <w:sz w:val="44"/>
          <w:szCs w:val="28"/>
          <w:highlight w:val="none"/>
        </w:rPr>
        <w:sectPr>
          <w:headerReference r:id="rId4" w:type="first"/>
          <w:footerReference r:id="rId7" w:type="first"/>
          <w:headerReference r:id="rId3" w:type="default"/>
          <w:footerReference r:id="rId5" w:type="default"/>
          <w:footerReference r:id="rId6" w:type="even"/>
          <w:pgSz w:w="11907" w:h="16840"/>
          <w:pgMar w:top="1134" w:right="1191" w:bottom="1134" w:left="1304" w:header="851" w:footer="992" w:gutter="0"/>
          <w:pgNumType w:fmt="numberInDash" w:start="1"/>
          <w:cols w:space="720" w:num="1"/>
          <w:titlePg/>
          <w:docGrid w:linePitch="381" w:charSpace="-5735"/>
        </w:sectPr>
      </w:pPr>
    </w:p>
    <w:p w14:paraId="5EEE5D89">
      <w:pPr>
        <w:spacing w:line="480" w:lineRule="exact"/>
        <w:jc w:val="center"/>
        <w:outlineLvl w:val="0"/>
        <w:rPr>
          <w:rFonts w:hint="eastAsia" w:asciiTheme="minorEastAsia" w:hAnsiTheme="minorEastAsia"/>
          <w:color w:val="auto"/>
          <w:sz w:val="44"/>
          <w:szCs w:val="28"/>
          <w:highlight w:val="none"/>
        </w:rPr>
      </w:pPr>
      <w:r>
        <w:rPr>
          <w:rFonts w:hint="eastAsia" w:asciiTheme="minorEastAsia" w:hAnsiTheme="minorEastAsia"/>
          <w:color w:val="auto"/>
          <w:sz w:val="44"/>
          <w:szCs w:val="28"/>
          <w:highlight w:val="none"/>
        </w:rPr>
        <w:t>目   录</w:t>
      </w:r>
    </w:p>
    <w:p w14:paraId="2787AFB8">
      <w:pPr>
        <w:pStyle w:val="17"/>
        <w:tabs>
          <w:tab w:val="right" w:leader="dot" w:pos="9412"/>
          <w:tab w:val="clear" w:pos="8400"/>
        </w:tabs>
        <w:rPr>
          <w:color w:val="auto"/>
          <w:highlight w:val="none"/>
        </w:rPr>
      </w:pPr>
      <w:r>
        <w:rPr>
          <w:rFonts w:hint="eastAsia" w:asciiTheme="minorEastAsia" w:hAnsiTheme="minorEastAsia"/>
          <w:color w:val="auto"/>
          <w:szCs w:val="21"/>
          <w:highlight w:val="none"/>
        </w:rPr>
        <w:fldChar w:fldCharType="begin"/>
      </w:r>
      <w:r>
        <w:rPr>
          <w:rFonts w:hint="eastAsia" w:asciiTheme="minorEastAsia" w:hAnsiTheme="minorEastAsia"/>
          <w:color w:val="auto"/>
          <w:szCs w:val="21"/>
          <w:highlight w:val="none"/>
        </w:rPr>
        <w:instrText xml:space="preserve"> TOC \o "1-3" \h \z </w:instrText>
      </w:r>
      <w:r>
        <w:rPr>
          <w:rFonts w:hint="eastAsia" w:asciiTheme="minorEastAsia" w:hAnsiTheme="minorEastAsia"/>
          <w:color w:val="auto"/>
          <w:szCs w:val="21"/>
          <w:highlight w:val="none"/>
        </w:rPr>
        <w:fldChar w:fldCharType="separate"/>
      </w:r>
      <w:r>
        <w:rPr>
          <w:rFonts w:hint="eastAsia" w:asciiTheme="minorEastAsia" w:hAnsiTheme="minorEastAsia"/>
          <w:color w:val="auto"/>
          <w:szCs w:val="21"/>
          <w:highlight w:val="none"/>
        </w:rPr>
        <w:fldChar w:fldCharType="begin"/>
      </w:r>
      <w:r>
        <w:rPr>
          <w:rFonts w:hint="eastAsia" w:asciiTheme="minorEastAsia" w:hAnsiTheme="minorEastAsia"/>
          <w:color w:val="auto"/>
          <w:szCs w:val="21"/>
          <w:highlight w:val="none"/>
        </w:rPr>
        <w:instrText xml:space="preserve"> HYPERLINK \l _Toc29616 </w:instrText>
      </w:r>
      <w:r>
        <w:rPr>
          <w:rFonts w:hint="eastAsia" w:asciiTheme="minorEastAsia" w:hAnsiTheme="minorEastAsia"/>
          <w:color w:val="auto"/>
          <w:szCs w:val="21"/>
          <w:highlight w:val="none"/>
        </w:rPr>
        <w:fldChar w:fldCharType="separate"/>
      </w:r>
      <w:r>
        <w:rPr>
          <w:rFonts w:hint="eastAsia" w:asciiTheme="minorEastAsia" w:hAnsiTheme="minorEastAsia"/>
          <w:color w:val="auto"/>
          <w:szCs w:val="30"/>
          <w:highlight w:val="none"/>
        </w:rPr>
        <w:t xml:space="preserve">第一篇  </w:t>
      </w:r>
      <w:r>
        <w:rPr>
          <w:rFonts w:hint="eastAsia" w:cs="Arial" w:asciiTheme="minorEastAsia" w:hAnsiTheme="minorEastAsia"/>
          <w:color w:val="auto"/>
          <w:highlight w:val="none"/>
        </w:rPr>
        <w:t>询价采购邀请书</w:t>
      </w:r>
      <w:r>
        <w:rPr>
          <w:color w:val="auto"/>
          <w:highlight w:val="none"/>
        </w:rPr>
        <w:tab/>
      </w:r>
      <w:r>
        <w:rPr>
          <w:color w:val="auto"/>
          <w:highlight w:val="none"/>
        </w:rPr>
        <w:fldChar w:fldCharType="begin"/>
      </w:r>
      <w:r>
        <w:rPr>
          <w:color w:val="auto"/>
          <w:highlight w:val="none"/>
        </w:rPr>
        <w:instrText xml:space="preserve"> PAGEREF _Toc29616 \h </w:instrText>
      </w:r>
      <w:r>
        <w:rPr>
          <w:color w:val="auto"/>
          <w:highlight w:val="none"/>
        </w:rPr>
        <w:fldChar w:fldCharType="separate"/>
      </w:r>
      <w:r>
        <w:rPr>
          <w:color w:val="auto"/>
          <w:highlight w:val="none"/>
        </w:rPr>
        <w:t>- 3 -</w:t>
      </w:r>
      <w:r>
        <w:rPr>
          <w:color w:val="auto"/>
          <w:highlight w:val="none"/>
        </w:rPr>
        <w:fldChar w:fldCharType="end"/>
      </w:r>
      <w:r>
        <w:rPr>
          <w:rFonts w:hint="eastAsia" w:asciiTheme="minorEastAsia" w:hAnsiTheme="minorEastAsia"/>
          <w:color w:val="auto"/>
          <w:szCs w:val="21"/>
          <w:highlight w:val="none"/>
        </w:rPr>
        <w:fldChar w:fldCharType="end"/>
      </w:r>
    </w:p>
    <w:p w14:paraId="5225B4FC">
      <w:pPr>
        <w:pStyle w:val="17"/>
        <w:tabs>
          <w:tab w:val="right" w:leader="dot" w:pos="9412"/>
          <w:tab w:val="clear" w:pos="8400"/>
        </w:tabs>
        <w:rPr>
          <w:color w:val="auto"/>
          <w:highlight w:val="none"/>
        </w:rPr>
      </w:pPr>
      <w:r>
        <w:rPr>
          <w:rFonts w:hint="eastAsia" w:asciiTheme="minorEastAsia" w:hAnsiTheme="minorEastAsia"/>
          <w:color w:val="auto"/>
          <w:szCs w:val="21"/>
          <w:highlight w:val="none"/>
        </w:rPr>
        <w:fldChar w:fldCharType="begin"/>
      </w:r>
      <w:r>
        <w:rPr>
          <w:rFonts w:hint="eastAsia" w:asciiTheme="minorEastAsia" w:hAnsiTheme="minorEastAsia"/>
          <w:color w:val="auto"/>
          <w:szCs w:val="21"/>
          <w:highlight w:val="none"/>
        </w:rPr>
        <w:instrText xml:space="preserve"> HYPERLINK \l _Toc32728 </w:instrText>
      </w:r>
      <w:r>
        <w:rPr>
          <w:rFonts w:hint="eastAsia" w:asciiTheme="minorEastAsia" w:hAnsiTheme="minorEastAsia"/>
          <w:color w:val="auto"/>
          <w:szCs w:val="21"/>
          <w:highlight w:val="none"/>
        </w:rPr>
        <w:fldChar w:fldCharType="separate"/>
      </w:r>
      <w:r>
        <w:rPr>
          <w:rFonts w:hint="eastAsia" w:asciiTheme="minorEastAsia" w:hAnsiTheme="minorEastAsia"/>
          <w:color w:val="auto"/>
          <w:highlight w:val="none"/>
        </w:rPr>
        <w:t>一、 询价内容</w:t>
      </w:r>
      <w:r>
        <w:rPr>
          <w:color w:val="auto"/>
          <w:highlight w:val="none"/>
        </w:rPr>
        <w:tab/>
      </w:r>
      <w:r>
        <w:rPr>
          <w:color w:val="auto"/>
          <w:highlight w:val="none"/>
        </w:rPr>
        <w:fldChar w:fldCharType="begin"/>
      </w:r>
      <w:r>
        <w:rPr>
          <w:color w:val="auto"/>
          <w:highlight w:val="none"/>
        </w:rPr>
        <w:instrText xml:space="preserve"> PAGEREF _Toc32728 \h </w:instrText>
      </w:r>
      <w:r>
        <w:rPr>
          <w:color w:val="auto"/>
          <w:highlight w:val="none"/>
        </w:rPr>
        <w:fldChar w:fldCharType="separate"/>
      </w:r>
      <w:r>
        <w:rPr>
          <w:color w:val="auto"/>
          <w:highlight w:val="none"/>
        </w:rPr>
        <w:t>- 3 -</w:t>
      </w:r>
      <w:r>
        <w:rPr>
          <w:color w:val="auto"/>
          <w:highlight w:val="none"/>
        </w:rPr>
        <w:fldChar w:fldCharType="end"/>
      </w:r>
      <w:r>
        <w:rPr>
          <w:rFonts w:hint="eastAsia" w:asciiTheme="minorEastAsia" w:hAnsiTheme="minorEastAsia"/>
          <w:color w:val="auto"/>
          <w:szCs w:val="21"/>
          <w:highlight w:val="none"/>
        </w:rPr>
        <w:fldChar w:fldCharType="end"/>
      </w:r>
    </w:p>
    <w:p w14:paraId="6BEA5EF6">
      <w:pPr>
        <w:pStyle w:val="17"/>
        <w:tabs>
          <w:tab w:val="right" w:leader="dot" w:pos="9412"/>
          <w:tab w:val="clear" w:pos="8400"/>
        </w:tabs>
        <w:rPr>
          <w:color w:val="auto"/>
          <w:highlight w:val="none"/>
        </w:rPr>
      </w:pPr>
      <w:r>
        <w:rPr>
          <w:rFonts w:hint="eastAsia" w:asciiTheme="minorEastAsia" w:hAnsiTheme="minorEastAsia"/>
          <w:color w:val="auto"/>
          <w:szCs w:val="21"/>
          <w:highlight w:val="none"/>
        </w:rPr>
        <w:fldChar w:fldCharType="begin"/>
      </w:r>
      <w:r>
        <w:rPr>
          <w:rFonts w:hint="eastAsia" w:asciiTheme="minorEastAsia" w:hAnsiTheme="minorEastAsia"/>
          <w:color w:val="auto"/>
          <w:szCs w:val="21"/>
          <w:highlight w:val="none"/>
        </w:rPr>
        <w:instrText xml:space="preserve"> HYPERLINK \l _Toc3191 </w:instrText>
      </w:r>
      <w:r>
        <w:rPr>
          <w:rFonts w:hint="eastAsia" w:asciiTheme="minorEastAsia" w:hAnsiTheme="minorEastAsia"/>
          <w:color w:val="auto"/>
          <w:szCs w:val="21"/>
          <w:highlight w:val="none"/>
        </w:rPr>
        <w:fldChar w:fldCharType="separate"/>
      </w:r>
      <w:r>
        <w:rPr>
          <w:rFonts w:hint="eastAsia" w:asciiTheme="minorEastAsia" w:hAnsiTheme="minorEastAsia"/>
          <w:color w:val="auto"/>
          <w:highlight w:val="none"/>
        </w:rPr>
        <w:t>二、资金来源</w:t>
      </w:r>
      <w:r>
        <w:rPr>
          <w:color w:val="auto"/>
          <w:highlight w:val="none"/>
        </w:rPr>
        <w:tab/>
      </w:r>
      <w:r>
        <w:rPr>
          <w:color w:val="auto"/>
          <w:highlight w:val="none"/>
        </w:rPr>
        <w:fldChar w:fldCharType="begin"/>
      </w:r>
      <w:r>
        <w:rPr>
          <w:color w:val="auto"/>
          <w:highlight w:val="none"/>
        </w:rPr>
        <w:instrText xml:space="preserve"> PAGEREF _Toc3191 \h </w:instrText>
      </w:r>
      <w:r>
        <w:rPr>
          <w:color w:val="auto"/>
          <w:highlight w:val="none"/>
        </w:rPr>
        <w:fldChar w:fldCharType="separate"/>
      </w:r>
      <w:r>
        <w:rPr>
          <w:color w:val="auto"/>
          <w:highlight w:val="none"/>
        </w:rPr>
        <w:t>- 3 -</w:t>
      </w:r>
      <w:r>
        <w:rPr>
          <w:color w:val="auto"/>
          <w:highlight w:val="none"/>
        </w:rPr>
        <w:fldChar w:fldCharType="end"/>
      </w:r>
      <w:r>
        <w:rPr>
          <w:rFonts w:hint="eastAsia" w:asciiTheme="minorEastAsia" w:hAnsiTheme="minorEastAsia"/>
          <w:color w:val="auto"/>
          <w:szCs w:val="21"/>
          <w:highlight w:val="none"/>
        </w:rPr>
        <w:fldChar w:fldCharType="end"/>
      </w:r>
    </w:p>
    <w:p w14:paraId="564B4308">
      <w:pPr>
        <w:pStyle w:val="17"/>
        <w:tabs>
          <w:tab w:val="right" w:leader="dot" w:pos="9412"/>
          <w:tab w:val="clear" w:pos="8400"/>
        </w:tabs>
        <w:rPr>
          <w:color w:val="auto"/>
          <w:highlight w:val="none"/>
        </w:rPr>
      </w:pPr>
      <w:r>
        <w:rPr>
          <w:rFonts w:hint="eastAsia" w:asciiTheme="minorEastAsia" w:hAnsiTheme="minorEastAsia"/>
          <w:color w:val="auto"/>
          <w:szCs w:val="21"/>
          <w:highlight w:val="none"/>
        </w:rPr>
        <w:fldChar w:fldCharType="begin"/>
      </w:r>
      <w:r>
        <w:rPr>
          <w:rFonts w:hint="eastAsia" w:asciiTheme="minorEastAsia" w:hAnsiTheme="minorEastAsia"/>
          <w:color w:val="auto"/>
          <w:szCs w:val="21"/>
          <w:highlight w:val="none"/>
        </w:rPr>
        <w:instrText xml:space="preserve"> HYPERLINK \l _Toc1736 </w:instrText>
      </w:r>
      <w:r>
        <w:rPr>
          <w:rFonts w:hint="eastAsia" w:asciiTheme="minorEastAsia" w:hAnsiTheme="minorEastAsia"/>
          <w:color w:val="auto"/>
          <w:szCs w:val="21"/>
          <w:highlight w:val="none"/>
        </w:rPr>
        <w:fldChar w:fldCharType="separate"/>
      </w:r>
      <w:r>
        <w:rPr>
          <w:rFonts w:hint="eastAsia" w:asciiTheme="minorEastAsia" w:hAnsiTheme="minorEastAsia"/>
          <w:color w:val="auto"/>
          <w:highlight w:val="none"/>
        </w:rPr>
        <w:t>三、供应商资格条件</w:t>
      </w:r>
      <w:r>
        <w:rPr>
          <w:color w:val="auto"/>
          <w:highlight w:val="none"/>
        </w:rPr>
        <w:tab/>
      </w:r>
      <w:r>
        <w:rPr>
          <w:color w:val="auto"/>
          <w:highlight w:val="none"/>
        </w:rPr>
        <w:fldChar w:fldCharType="begin"/>
      </w:r>
      <w:r>
        <w:rPr>
          <w:color w:val="auto"/>
          <w:highlight w:val="none"/>
        </w:rPr>
        <w:instrText xml:space="preserve"> PAGEREF _Toc1736 \h </w:instrText>
      </w:r>
      <w:r>
        <w:rPr>
          <w:color w:val="auto"/>
          <w:highlight w:val="none"/>
        </w:rPr>
        <w:fldChar w:fldCharType="separate"/>
      </w:r>
      <w:r>
        <w:rPr>
          <w:color w:val="auto"/>
          <w:highlight w:val="none"/>
        </w:rPr>
        <w:t>- 3 -</w:t>
      </w:r>
      <w:r>
        <w:rPr>
          <w:color w:val="auto"/>
          <w:highlight w:val="none"/>
        </w:rPr>
        <w:fldChar w:fldCharType="end"/>
      </w:r>
      <w:r>
        <w:rPr>
          <w:rFonts w:hint="eastAsia" w:asciiTheme="minorEastAsia" w:hAnsiTheme="minorEastAsia"/>
          <w:color w:val="auto"/>
          <w:szCs w:val="21"/>
          <w:highlight w:val="none"/>
        </w:rPr>
        <w:fldChar w:fldCharType="end"/>
      </w:r>
    </w:p>
    <w:p w14:paraId="764BDA9C">
      <w:pPr>
        <w:pStyle w:val="17"/>
        <w:tabs>
          <w:tab w:val="right" w:leader="dot" w:pos="9412"/>
          <w:tab w:val="clear" w:pos="8400"/>
        </w:tabs>
        <w:rPr>
          <w:color w:val="auto"/>
          <w:highlight w:val="none"/>
        </w:rPr>
      </w:pPr>
      <w:r>
        <w:rPr>
          <w:rFonts w:hint="eastAsia" w:asciiTheme="minorEastAsia" w:hAnsiTheme="minorEastAsia"/>
          <w:color w:val="auto"/>
          <w:szCs w:val="21"/>
          <w:highlight w:val="none"/>
        </w:rPr>
        <w:fldChar w:fldCharType="begin"/>
      </w:r>
      <w:r>
        <w:rPr>
          <w:rFonts w:hint="eastAsia" w:asciiTheme="minorEastAsia" w:hAnsiTheme="minorEastAsia"/>
          <w:color w:val="auto"/>
          <w:szCs w:val="21"/>
          <w:highlight w:val="none"/>
        </w:rPr>
        <w:instrText xml:space="preserve"> HYPERLINK \l _Toc23804 </w:instrText>
      </w:r>
      <w:r>
        <w:rPr>
          <w:rFonts w:hint="eastAsia" w:asciiTheme="minorEastAsia" w:hAnsiTheme="minorEastAsia"/>
          <w:color w:val="auto"/>
          <w:szCs w:val="21"/>
          <w:highlight w:val="none"/>
        </w:rPr>
        <w:fldChar w:fldCharType="separate"/>
      </w:r>
      <w:r>
        <w:rPr>
          <w:rFonts w:hint="eastAsia" w:asciiTheme="minorEastAsia" w:hAnsiTheme="minorEastAsia"/>
          <w:color w:val="auto"/>
          <w:highlight w:val="none"/>
        </w:rPr>
        <w:t>四、询价有关说明</w:t>
      </w:r>
      <w:r>
        <w:rPr>
          <w:color w:val="auto"/>
          <w:highlight w:val="none"/>
        </w:rPr>
        <w:tab/>
      </w:r>
      <w:r>
        <w:rPr>
          <w:color w:val="auto"/>
          <w:highlight w:val="none"/>
        </w:rPr>
        <w:fldChar w:fldCharType="begin"/>
      </w:r>
      <w:r>
        <w:rPr>
          <w:color w:val="auto"/>
          <w:highlight w:val="none"/>
        </w:rPr>
        <w:instrText xml:space="preserve"> PAGEREF _Toc23804 \h </w:instrText>
      </w:r>
      <w:r>
        <w:rPr>
          <w:color w:val="auto"/>
          <w:highlight w:val="none"/>
        </w:rPr>
        <w:fldChar w:fldCharType="separate"/>
      </w:r>
      <w:r>
        <w:rPr>
          <w:color w:val="auto"/>
          <w:highlight w:val="none"/>
        </w:rPr>
        <w:t>- 3 -</w:t>
      </w:r>
      <w:r>
        <w:rPr>
          <w:color w:val="auto"/>
          <w:highlight w:val="none"/>
        </w:rPr>
        <w:fldChar w:fldCharType="end"/>
      </w:r>
      <w:r>
        <w:rPr>
          <w:rFonts w:hint="eastAsia" w:asciiTheme="minorEastAsia" w:hAnsiTheme="minorEastAsia"/>
          <w:color w:val="auto"/>
          <w:szCs w:val="21"/>
          <w:highlight w:val="none"/>
        </w:rPr>
        <w:fldChar w:fldCharType="end"/>
      </w:r>
    </w:p>
    <w:p w14:paraId="0CFE0CE9">
      <w:pPr>
        <w:pStyle w:val="17"/>
        <w:tabs>
          <w:tab w:val="right" w:leader="dot" w:pos="9412"/>
          <w:tab w:val="clear" w:pos="8400"/>
        </w:tabs>
        <w:rPr>
          <w:color w:val="auto"/>
          <w:highlight w:val="none"/>
        </w:rPr>
      </w:pPr>
      <w:r>
        <w:rPr>
          <w:rFonts w:hint="eastAsia" w:asciiTheme="minorEastAsia" w:hAnsiTheme="minorEastAsia"/>
          <w:color w:val="auto"/>
          <w:szCs w:val="21"/>
          <w:highlight w:val="none"/>
        </w:rPr>
        <w:fldChar w:fldCharType="begin"/>
      </w:r>
      <w:r>
        <w:rPr>
          <w:rFonts w:hint="eastAsia" w:asciiTheme="minorEastAsia" w:hAnsiTheme="minorEastAsia"/>
          <w:color w:val="auto"/>
          <w:szCs w:val="21"/>
          <w:highlight w:val="none"/>
        </w:rPr>
        <w:instrText xml:space="preserve"> HYPERLINK \l _Toc23001 </w:instrText>
      </w:r>
      <w:r>
        <w:rPr>
          <w:rFonts w:hint="eastAsia" w:asciiTheme="minorEastAsia" w:hAnsiTheme="minorEastAsia"/>
          <w:color w:val="auto"/>
          <w:szCs w:val="21"/>
          <w:highlight w:val="none"/>
        </w:rPr>
        <w:fldChar w:fldCharType="separate"/>
      </w:r>
      <w:r>
        <w:rPr>
          <w:rFonts w:hint="eastAsia" w:asciiTheme="minorEastAsia" w:hAnsiTheme="minorEastAsia"/>
          <w:color w:val="auto"/>
          <w:highlight w:val="none"/>
        </w:rPr>
        <w:t>五、保证金</w:t>
      </w:r>
      <w:r>
        <w:rPr>
          <w:color w:val="auto"/>
          <w:highlight w:val="none"/>
        </w:rPr>
        <w:tab/>
      </w:r>
      <w:r>
        <w:rPr>
          <w:color w:val="auto"/>
          <w:highlight w:val="none"/>
        </w:rPr>
        <w:fldChar w:fldCharType="begin"/>
      </w:r>
      <w:r>
        <w:rPr>
          <w:color w:val="auto"/>
          <w:highlight w:val="none"/>
        </w:rPr>
        <w:instrText xml:space="preserve"> PAGEREF _Toc23001 \h </w:instrText>
      </w:r>
      <w:r>
        <w:rPr>
          <w:color w:val="auto"/>
          <w:highlight w:val="none"/>
        </w:rPr>
        <w:fldChar w:fldCharType="separate"/>
      </w:r>
      <w:r>
        <w:rPr>
          <w:color w:val="auto"/>
          <w:highlight w:val="none"/>
        </w:rPr>
        <w:t>- 3 -</w:t>
      </w:r>
      <w:r>
        <w:rPr>
          <w:color w:val="auto"/>
          <w:highlight w:val="none"/>
        </w:rPr>
        <w:fldChar w:fldCharType="end"/>
      </w:r>
      <w:r>
        <w:rPr>
          <w:rFonts w:hint="eastAsia" w:asciiTheme="minorEastAsia" w:hAnsiTheme="minorEastAsia"/>
          <w:color w:val="auto"/>
          <w:szCs w:val="21"/>
          <w:highlight w:val="none"/>
        </w:rPr>
        <w:fldChar w:fldCharType="end"/>
      </w:r>
    </w:p>
    <w:p w14:paraId="64D7920D">
      <w:pPr>
        <w:pStyle w:val="17"/>
        <w:tabs>
          <w:tab w:val="right" w:leader="dot" w:pos="9412"/>
          <w:tab w:val="clear" w:pos="8400"/>
        </w:tabs>
        <w:rPr>
          <w:color w:val="auto"/>
          <w:highlight w:val="none"/>
        </w:rPr>
      </w:pPr>
      <w:r>
        <w:rPr>
          <w:rFonts w:hint="eastAsia" w:asciiTheme="minorEastAsia" w:hAnsiTheme="minorEastAsia"/>
          <w:color w:val="auto"/>
          <w:szCs w:val="21"/>
          <w:highlight w:val="none"/>
        </w:rPr>
        <w:fldChar w:fldCharType="begin"/>
      </w:r>
      <w:r>
        <w:rPr>
          <w:rFonts w:hint="eastAsia" w:asciiTheme="minorEastAsia" w:hAnsiTheme="minorEastAsia"/>
          <w:color w:val="auto"/>
          <w:szCs w:val="21"/>
          <w:highlight w:val="none"/>
        </w:rPr>
        <w:instrText xml:space="preserve"> HYPERLINK \l _Toc14337 </w:instrText>
      </w:r>
      <w:r>
        <w:rPr>
          <w:rFonts w:hint="eastAsia" w:asciiTheme="minorEastAsia" w:hAnsiTheme="minorEastAsia"/>
          <w:color w:val="auto"/>
          <w:szCs w:val="21"/>
          <w:highlight w:val="none"/>
        </w:rPr>
        <w:fldChar w:fldCharType="separate"/>
      </w:r>
      <w:r>
        <w:rPr>
          <w:rFonts w:hint="eastAsia" w:asciiTheme="minorEastAsia" w:hAnsiTheme="minorEastAsia"/>
          <w:color w:val="auto"/>
          <w:highlight w:val="none"/>
        </w:rPr>
        <w:t>六、其它有关规定</w:t>
      </w:r>
      <w:r>
        <w:rPr>
          <w:color w:val="auto"/>
          <w:highlight w:val="none"/>
        </w:rPr>
        <w:tab/>
      </w:r>
      <w:r>
        <w:rPr>
          <w:color w:val="auto"/>
          <w:highlight w:val="none"/>
        </w:rPr>
        <w:fldChar w:fldCharType="begin"/>
      </w:r>
      <w:r>
        <w:rPr>
          <w:color w:val="auto"/>
          <w:highlight w:val="none"/>
        </w:rPr>
        <w:instrText xml:space="preserve"> PAGEREF _Toc14337 \h </w:instrText>
      </w:r>
      <w:r>
        <w:rPr>
          <w:color w:val="auto"/>
          <w:highlight w:val="none"/>
        </w:rPr>
        <w:fldChar w:fldCharType="separate"/>
      </w:r>
      <w:r>
        <w:rPr>
          <w:color w:val="auto"/>
          <w:highlight w:val="none"/>
        </w:rPr>
        <w:t>- 3 -</w:t>
      </w:r>
      <w:r>
        <w:rPr>
          <w:color w:val="auto"/>
          <w:highlight w:val="none"/>
        </w:rPr>
        <w:fldChar w:fldCharType="end"/>
      </w:r>
      <w:r>
        <w:rPr>
          <w:rFonts w:hint="eastAsia" w:asciiTheme="minorEastAsia" w:hAnsiTheme="minorEastAsia"/>
          <w:color w:val="auto"/>
          <w:szCs w:val="21"/>
          <w:highlight w:val="none"/>
        </w:rPr>
        <w:fldChar w:fldCharType="end"/>
      </w:r>
    </w:p>
    <w:p w14:paraId="6E6E35A1">
      <w:pPr>
        <w:pStyle w:val="17"/>
        <w:tabs>
          <w:tab w:val="right" w:leader="dot" w:pos="9412"/>
          <w:tab w:val="clear" w:pos="8400"/>
        </w:tabs>
        <w:rPr>
          <w:color w:val="auto"/>
          <w:highlight w:val="none"/>
        </w:rPr>
      </w:pPr>
      <w:r>
        <w:rPr>
          <w:rFonts w:hint="eastAsia" w:asciiTheme="minorEastAsia" w:hAnsiTheme="minorEastAsia"/>
          <w:color w:val="auto"/>
          <w:szCs w:val="21"/>
          <w:highlight w:val="none"/>
        </w:rPr>
        <w:fldChar w:fldCharType="begin"/>
      </w:r>
      <w:r>
        <w:rPr>
          <w:rFonts w:hint="eastAsia" w:asciiTheme="minorEastAsia" w:hAnsiTheme="minorEastAsia"/>
          <w:color w:val="auto"/>
          <w:szCs w:val="21"/>
          <w:highlight w:val="none"/>
        </w:rPr>
        <w:instrText xml:space="preserve"> HYPERLINK \l _Toc26045 </w:instrText>
      </w:r>
      <w:r>
        <w:rPr>
          <w:rFonts w:hint="eastAsia" w:asciiTheme="minorEastAsia" w:hAnsiTheme="minorEastAsia"/>
          <w:color w:val="auto"/>
          <w:szCs w:val="21"/>
          <w:highlight w:val="none"/>
        </w:rPr>
        <w:fldChar w:fldCharType="separate"/>
      </w:r>
      <w:r>
        <w:rPr>
          <w:rFonts w:hint="eastAsia" w:asciiTheme="minorEastAsia" w:hAnsiTheme="minorEastAsia"/>
          <w:color w:val="auto"/>
          <w:highlight w:val="none"/>
        </w:rPr>
        <w:t>七、联系方式</w:t>
      </w:r>
      <w:r>
        <w:rPr>
          <w:color w:val="auto"/>
          <w:highlight w:val="none"/>
        </w:rPr>
        <w:tab/>
      </w:r>
      <w:r>
        <w:rPr>
          <w:color w:val="auto"/>
          <w:highlight w:val="none"/>
        </w:rPr>
        <w:fldChar w:fldCharType="begin"/>
      </w:r>
      <w:r>
        <w:rPr>
          <w:color w:val="auto"/>
          <w:highlight w:val="none"/>
        </w:rPr>
        <w:instrText xml:space="preserve"> PAGEREF _Toc26045 \h </w:instrText>
      </w:r>
      <w:r>
        <w:rPr>
          <w:color w:val="auto"/>
          <w:highlight w:val="none"/>
        </w:rPr>
        <w:fldChar w:fldCharType="separate"/>
      </w:r>
      <w:r>
        <w:rPr>
          <w:color w:val="auto"/>
          <w:highlight w:val="none"/>
        </w:rPr>
        <w:t>- 4 -</w:t>
      </w:r>
      <w:r>
        <w:rPr>
          <w:color w:val="auto"/>
          <w:highlight w:val="none"/>
        </w:rPr>
        <w:fldChar w:fldCharType="end"/>
      </w:r>
      <w:r>
        <w:rPr>
          <w:rFonts w:hint="eastAsia" w:asciiTheme="minorEastAsia" w:hAnsiTheme="minorEastAsia"/>
          <w:color w:val="auto"/>
          <w:szCs w:val="21"/>
          <w:highlight w:val="none"/>
        </w:rPr>
        <w:fldChar w:fldCharType="end"/>
      </w:r>
    </w:p>
    <w:p w14:paraId="682DB000">
      <w:pPr>
        <w:pStyle w:val="17"/>
        <w:tabs>
          <w:tab w:val="right" w:leader="dot" w:pos="9412"/>
          <w:tab w:val="clear" w:pos="8400"/>
        </w:tabs>
        <w:rPr>
          <w:color w:val="auto"/>
          <w:highlight w:val="none"/>
        </w:rPr>
      </w:pPr>
      <w:r>
        <w:rPr>
          <w:rFonts w:hint="eastAsia" w:asciiTheme="minorEastAsia" w:hAnsiTheme="minorEastAsia"/>
          <w:color w:val="auto"/>
          <w:szCs w:val="21"/>
          <w:highlight w:val="none"/>
        </w:rPr>
        <w:fldChar w:fldCharType="begin"/>
      </w:r>
      <w:r>
        <w:rPr>
          <w:rFonts w:hint="eastAsia" w:asciiTheme="minorEastAsia" w:hAnsiTheme="minorEastAsia"/>
          <w:color w:val="auto"/>
          <w:szCs w:val="21"/>
          <w:highlight w:val="none"/>
        </w:rPr>
        <w:instrText xml:space="preserve"> HYPERLINK \l _Toc28830 </w:instrText>
      </w:r>
      <w:r>
        <w:rPr>
          <w:rFonts w:hint="eastAsia" w:asciiTheme="minorEastAsia" w:hAnsiTheme="minorEastAsia"/>
          <w:color w:val="auto"/>
          <w:szCs w:val="21"/>
          <w:highlight w:val="none"/>
        </w:rPr>
        <w:fldChar w:fldCharType="separate"/>
      </w:r>
      <w:r>
        <w:rPr>
          <w:rFonts w:hint="eastAsia" w:asciiTheme="minorEastAsia" w:hAnsiTheme="minorEastAsia"/>
          <w:color w:val="auto"/>
          <w:szCs w:val="30"/>
          <w:highlight w:val="none"/>
        </w:rPr>
        <w:t>第二篇 询价项目技术（质量）需求</w:t>
      </w:r>
      <w:r>
        <w:rPr>
          <w:color w:val="auto"/>
          <w:highlight w:val="none"/>
        </w:rPr>
        <w:tab/>
      </w:r>
      <w:r>
        <w:rPr>
          <w:color w:val="auto"/>
          <w:highlight w:val="none"/>
        </w:rPr>
        <w:fldChar w:fldCharType="begin"/>
      </w:r>
      <w:r>
        <w:rPr>
          <w:color w:val="auto"/>
          <w:highlight w:val="none"/>
        </w:rPr>
        <w:instrText xml:space="preserve"> PAGEREF _Toc28830 \h </w:instrText>
      </w:r>
      <w:r>
        <w:rPr>
          <w:color w:val="auto"/>
          <w:highlight w:val="none"/>
        </w:rPr>
        <w:fldChar w:fldCharType="separate"/>
      </w:r>
      <w:r>
        <w:rPr>
          <w:color w:val="auto"/>
          <w:highlight w:val="none"/>
        </w:rPr>
        <w:t>- 5 -</w:t>
      </w:r>
      <w:r>
        <w:rPr>
          <w:color w:val="auto"/>
          <w:highlight w:val="none"/>
        </w:rPr>
        <w:fldChar w:fldCharType="end"/>
      </w:r>
      <w:r>
        <w:rPr>
          <w:rFonts w:hint="eastAsia" w:asciiTheme="minorEastAsia" w:hAnsiTheme="minorEastAsia"/>
          <w:color w:val="auto"/>
          <w:szCs w:val="21"/>
          <w:highlight w:val="none"/>
        </w:rPr>
        <w:fldChar w:fldCharType="end"/>
      </w:r>
    </w:p>
    <w:p w14:paraId="2F4665D5">
      <w:pPr>
        <w:pStyle w:val="17"/>
        <w:tabs>
          <w:tab w:val="right" w:leader="dot" w:pos="9412"/>
          <w:tab w:val="clear" w:pos="8400"/>
        </w:tabs>
        <w:rPr>
          <w:color w:val="auto"/>
          <w:highlight w:val="none"/>
        </w:rPr>
      </w:pPr>
      <w:r>
        <w:rPr>
          <w:rFonts w:hint="eastAsia" w:asciiTheme="minorEastAsia" w:hAnsiTheme="minorEastAsia"/>
          <w:color w:val="auto"/>
          <w:szCs w:val="21"/>
          <w:highlight w:val="none"/>
        </w:rPr>
        <w:fldChar w:fldCharType="begin"/>
      </w:r>
      <w:r>
        <w:rPr>
          <w:rFonts w:hint="eastAsia" w:asciiTheme="minorEastAsia" w:hAnsiTheme="minorEastAsia"/>
          <w:color w:val="auto"/>
          <w:szCs w:val="21"/>
          <w:highlight w:val="none"/>
        </w:rPr>
        <w:instrText xml:space="preserve"> HYPERLINK \l _Toc3498 </w:instrText>
      </w:r>
      <w:r>
        <w:rPr>
          <w:rFonts w:hint="eastAsia" w:asciiTheme="minorEastAsia" w:hAnsiTheme="minorEastAsia"/>
          <w:color w:val="auto"/>
          <w:szCs w:val="21"/>
          <w:highlight w:val="none"/>
        </w:rPr>
        <w:fldChar w:fldCharType="separate"/>
      </w:r>
      <w:r>
        <w:rPr>
          <w:rFonts w:hint="eastAsia" w:asciiTheme="minorEastAsia" w:hAnsiTheme="minorEastAsia"/>
          <w:color w:val="auto"/>
          <w:szCs w:val="30"/>
          <w:highlight w:val="none"/>
        </w:rPr>
        <w:t>第三篇  询价项目商务需求</w:t>
      </w:r>
      <w:r>
        <w:rPr>
          <w:color w:val="auto"/>
          <w:highlight w:val="none"/>
        </w:rPr>
        <w:tab/>
      </w:r>
      <w:r>
        <w:rPr>
          <w:color w:val="auto"/>
          <w:highlight w:val="none"/>
        </w:rPr>
        <w:fldChar w:fldCharType="begin"/>
      </w:r>
      <w:r>
        <w:rPr>
          <w:color w:val="auto"/>
          <w:highlight w:val="none"/>
        </w:rPr>
        <w:instrText xml:space="preserve"> PAGEREF _Toc3498 \h </w:instrText>
      </w:r>
      <w:r>
        <w:rPr>
          <w:color w:val="auto"/>
          <w:highlight w:val="none"/>
        </w:rPr>
        <w:fldChar w:fldCharType="separate"/>
      </w:r>
      <w:r>
        <w:rPr>
          <w:color w:val="auto"/>
          <w:highlight w:val="none"/>
        </w:rPr>
        <w:t>- 13 -</w:t>
      </w:r>
      <w:r>
        <w:rPr>
          <w:color w:val="auto"/>
          <w:highlight w:val="none"/>
        </w:rPr>
        <w:fldChar w:fldCharType="end"/>
      </w:r>
      <w:r>
        <w:rPr>
          <w:rFonts w:hint="eastAsia" w:asciiTheme="minorEastAsia" w:hAnsiTheme="minorEastAsia"/>
          <w:color w:val="auto"/>
          <w:szCs w:val="21"/>
          <w:highlight w:val="none"/>
        </w:rPr>
        <w:fldChar w:fldCharType="end"/>
      </w:r>
    </w:p>
    <w:p w14:paraId="4B3652EE">
      <w:pPr>
        <w:pStyle w:val="17"/>
        <w:tabs>
          <w:tab w:val="right" w:leader="dot" w:pos="9412"/>
          <w:tab w:val="clear" w:pos="8400"/>
        </w:tabs>
        <w:rPr>
          <w:color w:val="auto"/>
          <w:highlight w:val="none"/>
        </w:rPr>
      </w:pPr>
      <w:r>
        <w:rPr>
          <w:rFonts w:hint="eastAsia" w:asciiTheme="minorEastAsia" w:hAnsiTheme="minorEastAsia"/>
          <w:color w:val="auto"/>
          <w:szCs w:val="21"/>
          <w:highlight w:val="none"/>
        </w:rPr>
        <w:fldChar w:fldCharType="begin"/>
      </w:r>
      <w:r>
        <w:rPr>
          <w:rFonts w:hint="eastAsia" w:asciiTheme="minorEastAsia" w:hAnsiTheme="minorEastAsia"/>
          <w:color w:val="auto"/>
          <w:szCs w:val="21"/>
          <w:highlight w:val="none"/>
        </w:rPr>
        <w:instrText xml:space="preserve"> HYPERLINK \l _Toc20395 </w:instrText>
      </w:r>
      <w:r>
        <w:rPr>
          <w:rFonts w:hint="eastAsia" w:asciiTheme="minorEastAsia" w:hAnsiTheme="minorEastAsia"/>
          <w:color w:val="auto"/>
          <w:szCs w:val="21"/>
          <w:highlight w:val="none"/>
        </w:rPr>
        <w:fldChar w:fldCharType="separate"/>
      </w:r>
      <w:r>
        <w:rPr>
          <w:rFonts w:hint="eastAsia" w:asciiTheme="minorEastAsia" w:hAnsiTheme="minorEastAsia"/>
          <w:color w:val="auto"/>
          <w:highlight w:val="none"/>
        </w:rPr>
        <w:t>一、交货期、交货地点及验收方式</w:t>
      </w:r>
      <w:r>
        <w:rPr>
          <w:color w:val="auto"/>
          <w:highlight w:val="none"/>
        </w:rPr>
        <w:tab/>
      </w:r>
      <w:r>
        <w:rPr>
          <w:color w:val="auto"/>
          <w:highlight w:val="none"/>
        </w:rPr>
        <w:fldChar w:fldCharType="begin"/>
      </w:r>
      <w:r>
        <w:rPr>
          <w:color w:val="auto"/>
          <w:highlight w:val="none"/>
        </w:rPr>
        <w:instrText xml:space="preserve"> PAGEREF _Toc20395 \h </w:instrText>
      </w:r>
      <w:r>
        <w:rPr>
          <w:color w:val="auto"/>
          <w:highlight w:val="none"/>
        </w:rPr>
        <w:fldChar w:fldCharType="separate"/>
      </w:r>
      <w:r>
        <w:rPr>
          <w:color w:val="auto"/>
          <w:highlight w:val="none"/>
        </w:rPr>
        <w:t>- 13 -</w:t>
      </w:r>
      <w:r>
        <w:rPr>
          <w:color w:val="auto"/>
          <w:highlight w:val="none"/>
        </w:rPr>
        <w:fldChar w:fldCharType="end"/>
      </w:r>
      <w:r>
        <w:rPr>
          <w:rFonts w:hint="eastAsia" w:asciiTheme="minorEastAsia" w:hAnsiTheme="minorEastAsia"/>
          <w:color w:val="auto"/>
          <w:szCs w:val="21"/>
          <w:highlight w:val="none"/>
        </w:rPr>
        <w:fldChar w:fldCharType="end"/>
      </w:r>
    </w:p>
    <w:p w14:paraId="30287376">
      <w:pPr>
        <w:pStyle w:val="17"/>
        <w:tabs>
          <w:tab w:val="right" w:leader="dot" w:pos="9412"/>
          <w:tab w:val="clear" w:pos="8400"/>
        </w:tabs>
        <w:rPr>
          <w:color w:val="auto"/>
          <w:highlight w:val="none"/>
        </w:rPr>
      </w:pPr>
      <w:r>
        <w:rPr>
          <w:rFonts w:hint="eastAsia" w:asciiTheme="minorEastAsia" w:hAnsiTheme="minorEastAsia"/>
          <w:color w:val="auto"/>
          <w:szCs w:val="21"/>
          <w:highlight w:val="none"/>
        </w:rPr>
        <w:fldChar w:fldCharType="begin"/>
      </w:r>
      <w:r>
        <w:rPr>
          <w:rFonts w:hint="eastAsia" w:asciiTheme="minorEastAsia" w:hAnsiTheme="minorEastAsia"/>
          <w:color w:val="auto"/>
          <w:szCs w:val="21"/>
          <w:highlight w:val="none"/>
        </w:rPr>
        <w:instrText xml:space="preserve"> HYPERLINK \l _Toc1964 </w:instrText>
      </w:r>
      <w:r>
        <w:rPr>
          <w:rFonts w:hint="eastAsia" w:asciiTheme="minorEastAsia" w:hAnsiTheme="minorEastAsia"/>
          <w:color w:val="auto"/>
          <w:szCs w:val="21"/>
          <w:highlight w:val="none"/>
        </w:rPr>
        <w:fldChar w:fldCharType="separate"/>
      </w:r>
      <w:r>
        <w:rPr>
          <w:rFonts w:hint="eastAsia" w:asciiTheme="minorEastAsia" w:hAnsiTheme="minorEastAsia"/>
          <w:color w:val="auto"/>
          <w:highlight w:val="none"/>
        </w:rPr>
        <w:t>二、报价要求</w:t>
      </w:r>
      <w:r>
        <w:rPr>
          <w:color w:val="auto"/>
          <w:highlight w:val="none"/>
        </w:rPr>
        <w:tab/>
      </w:r>
      <w:r>
        <w:rPr>
          <w:color w:val="auto"/>
          <w:highlight w:val="none"/>
        </w:rPr>
        <w:fldChar w:fldCharType="begin"/>
      </w:r>
      <w:r>
        <w:rPr>
          <w:color w:val="auto"/>
          <w:highlight w:val="none"/>
        </w:rPr>
        <w:instrText xml:space="preserve"> PAGEREF _Toc1964 \h </w:instrText>
      </w:r>
      <w:r>
        <w:rPr>
          <w:color w:val="auto"/>
          <w:highlight w:val="none"/>
        </w:rPr>
        <w:fldChar w:fldCharType="separate"/>
      </w:r>
      <w:r>
        <w:rPr>
          <w:color w:val="auto"/>
          <w:highlight w:val="none"/>
        </w:rPr>
        <w:t>- 13 -</w:t>
      </w:r>
      <w:r>
        <w:rPr>
          <w:color w:val="auto"/>
          <w:highlight w:val="none"/>
        </w:rPr>
        <w:fldChar w:fldCharType="end"/>
      </w:r>
      <w:r>
        <w:rPr>
          <w:rFonts w:hint="eastAsia" w:asciiTheme="minorEastAsia" w:hAnsiTheme="minorEastAsia"/>
          <w:color w:val="auto"/>
          <w:szCs w:val="21"/>
          <w:highlight w:val="none"/>
        </w:rPr>
        <w:fldChar w:fldCharType="end"/>
      </w:r>
    </w:p>
    <w:p w14:paraId="76CD7C01">
      <w:pPr>
        <w:pStyle w:val="17"/>
        <w:tabs>
          <w:tab w:val="right" w:leader="dot" w:pos="9412"/>
          <w:tab w:val="clear" w:pos="8400"/>
        </w:tabs>
        <w:rPr>
          <w:color w:val="auto"/>
          <w:highlight w:val="none"/>
        </w:rPr>
      </w:pPr>
      <w:r>
        <w:rPr>
          <w:rFonts w:hint="eastAsia" w:asciiTheme="minorEastAsia" w:hAnsiTheme="minorEastAsia"/>
          <w:color w:val="auto"/>
          <w:szCs w:val="21"/>
          <w:highlight w:val="none"/>
        </w:rPr>
        <w:fldChar w:fldCharType="begin"/>
      </w:r>
      <w:r>
        <w:rPr>
          <w:rFonts w:hint="eastAsia" w:asciiTheme="minorEastAsia" w:hAnsiTheme="minorEastAsia"/>
          <w:color w:val="auto"/>
          <w:szCs w:val="21"/>
          <w:highlight w:val="none"/>
        </w:rPr>
        <w:instrText xml:space="preserve"> HYPERLINK \l _Toc18763 </w:instrText>
      </w:r>
      <w:r>
        <w:rPr>
          <w:rFonts w:hint="eastAsia" w:asciiTheme="minorEastAsia" w:hAnsiTheme="minorEastAsia"/>
          <w:color w:val="auto"/>
          <w:szCs w:val="21"/>
          <w:highlight w:val="none"/>
        </w:rPr>
        <w:fldChar w:fldCharType="separate"/>
      </w:r>
      <w:r>
        <w:rPr>
          <w:rFonts w:hint="eastAsia" w:asciiTheme="minorEastAsia" w:hAnsiTheme="minorEastAsia"/>
          <w:color w:val="auto"/>
          <w:highlight w:val="none"/>
        </w:rPr>
        <w:t>三、货款结算与支付</w:t>
      </w:r>
      <w:r>
        <w:rPr>
          <w:color w:val="auto"/>
          <w:highlight w:val="none"/>
        </w:rPr>
        <w:tab/>
      </w:r>
      <w:r>
        <w:rPr>
          <w:color w:val="auto"/>
          <w:highlight w:val="none"/>
        </w:rPr>
        <w:fldChar w:fldCharType="begin"/>
      </w:r>
      <w:r>
        <w:rPr>
          <w:color w:val="auto"/>
          <w:highlight w:val="none"/>
        </w:rPr>
        <w:instrText xml:space="preserve"> PAGEREF _Toc18763 \h </w:instrText>
      </w:r>
      <w:r>
        <w:rPr>
          <w:color w:val="auto"/>
          <w:highlight w:val="none"/>
        </w:rPr>
        <w:fldChar w:fldCharType="separate"/>
      </w:r>
      <w:r>
        <w:rPr>
          <w:color w:val="auto"/>
          <w:highlight w:val="none"/>
        </w:rPr>
        <w:t>- 14 -</w:t>
      </w:r>
      <w:r>
        <w:rPr>
          <w:color w:val="auto"/>
          <w:highlight w:val="none"/>
        </w:rPr>
        <w:fldChar w:fldCharType="end"/>
      </w:r>
      <w:r>
        <w:rPr>
          <w:rFonts w:hint="eastAsia" w:asciiTheme="minorEastAsia" w:hAnsiTheme="minorEastAsia"/>
          <w:color w:val="auto"/>
          <w:szCs w:val="21"/>
          <w:highlight w:val="none"/>
        </w:rPr>
        <w:fldChar w:fldCharType="end"/>
      </w:r>
    </w:p>
    <w:p w14:paraId="33346E20">
      <w:pPr>
        <w:pStyle w:val="17"/>
        <w:tabs>
          <w:tab w:val="right" w:leader="dot" w:pos="9412"/>
          <w:tab w:val="clear" w:pos="8400"/>
        </w:tabs>
        <w:rPr>
          <w:color w:val="auto"/>
          <w:highlight w:val="none"/>
        </w:rPr>
      </w:pPr>
      <w:r>
        <w:rPr>
          <w:rFonts w:hint="eastAsia" w:asciiTheme="minorEastAsia" w:hAnsiTheme="minorEastAsia"/>
          <w:color w:val="auto"/>
          <w:szCs w:val="21"/>
          <w:highlight w:val="none"/>
        </w:rPr>
        <w:fldChar w:fldCharType="begin"/>
      </w:r>
      <w:r>
        <w:rPr>
          <w:rFonts w:hint="eastAsia" w:asciiTheme="minorEastAsia" w:hAnsiTheme="minorEastAsia"/>
          <w:color w:val="auto"/>
          <w:szCs w:val="21"/>
          <w:highlight w:val="none"/>
        </w:rPr>
        <w:instrText xml:space="preserve"> HYPERLINK \l _Toc23677 </w:instrText>
      </w:r>
      <w:r>
        <w:rPr>
          <w:rFonts w:hint="eastAsia" w:asciiTheme="minorEastAsia" w:hAnsiTheme="minorEastAsia"/>
          <w:color w:val="auto"/>
          <w:szCs w:val="21"/>
          <w:highlight w:val="none"/>
        </w:rPr>
        <w:fldChar w:fldCharType="separate"/>
      </w:r>
      <w:r>
        <w:rPr>
          <w:rFonts w:hint="eastAsia" w:eastAsia="宋体" w:cs="宋体" w:asciiTheme="minorEastAsia" w:hAnsiTheme="minorEastAsia"/>
          <w:color w:val="auto"/>
          <w:highlight w:val="none"/>
        </w:rPr>
        <w:t>四、质量保证及售后服务</w:t>
      </w:r>
      <w:r>
        <w:rPr>
          <w:color w:val="auto"/>
          <w:highlight w:val="none"/>
        </w:rPr>
        <w:tab/>
      </w:r>
      <w:r>
        <w:rPr>
          <w:color w:val="auto"/>
          <w:highlight w:val="none"/>
        </w:rPr>
        <w:fldChar w:fldCharType="begin"/>
      </w:r>
      <w:r>
        <w:rPr>
          <w:color w:val="auto"/>
          <w:highlight w:val="none"/>
        </w:rPr>
        <w:instrText xml:space="preserve"> PAGEREF _Toc23677 \h </w:instrText>
      </w:r>
      <w:r>
        <w:rPr>
          <w:color w:val="auto"/>
          <w:highlight w:val="none"/>
        </w:rPr>
        <w:fldChar w:fldCharType="separate"/>
      </w:r>
      <w:r>
        <w:rPr>
          <w:color w:val="auto"/>
          <w:highlight w:val="none"/>
        </w:rPr>
        <w:t>- 14 -</w:t>
      </w:r>
      <w:r>
        <w:rPr>
          <w:color w:val="auto"/>
          <w:highlight w:val="none"/>
        </w:rPr>
        <w:fldChar w:fldCharType="end"/>
      </w:r>
      <w:r>
        <w:rPr>
          <w:rFonts w:hint="eastAsia" w:asciiTheme="minorEastAsia" w:hAnsiTheme="minorEastAsia"/>
          <w:color w:val="auto"/>
          <w:szCs w:val="21"/>
          <w:highlight w:val="none"/>
        </w:rPr>
        <w:fldChar w:fldCharType="end"/>
      </w:r>
    </w:p>
    <w:p w14:paraId="17551465">
      <w:pPr>
        <w:pStyle w:val="17"/>
        <w:tabs>
          <w:tab w:val="right" w:leader="dot" w:pos="9412"/>
          <w:tab w:val="clear" w:pos="8400"/>
        </w:tabs>
        <w:rPr>
          <w:color w:val="auto"/>
          <w:highlight w:val="none"/>
        </w:rPr>
      </w:pPr>
      <w:r>
        <w:rPr>
          <w:rFonts w:hint="eastAsia" w:asciiTheme="minorEastAsia" w:hAnsiTheme="minorEastAsia"/>
          <w:color w:val="auto"/>
          <w:szCs w:val="21"/>
          <w:highlight w:val="none"/>
        </w:rPr>
        <w:fldChar w:fldCharType="begin"/>
      </w:r>
      <w:r>
        <w:rPr>
          <w:rFonts w:hint="eastAsia" w:asciiTheme="minorEastAsia" w:hAnsiTheme="minorEastAsia"/>
          <w:color w:val="auto"/>
          <w:szCs w:val="21"/>
          <w:highlight w:val="none"/>
        </w:rPr>
        <w:instrText xml:space="preserve"> HYPERLINK \l _Toc7146 </w:instrText>
      </w:r>
      <w:r>
        <w:rPr>
          <w:rFonts w:hint="eastAsia" w:asciiTheme="minorEastAsia" w:hAnsiTheme="minorEastAsia"/>
          <w:color w:val="auto"/>
          <w:szCs w:val="21"/>
          <w:highlight w:val="none"/>
        </w:rPr>
        <w:fldChar w:fldCharType="separate"/>
      </w:r>
      <w:r>
        <w:rPr>
          <w:rFonts w:hint="eastAsia" w:eastAsia="宋体" w:cs="宋体" w:asciiTheme="minorEastAsia" w:hAnsiTheme="minorEastAsia"/>
          <w:color w:val="auto"/>
          <w:highlight w:val="none"/>
          <w:lang w:eastAsia="zh-CN"/>
        </w:rPr>
        <w:t>五、</w:t>
      </w:r>
      <w:r>
        <w:rPr>
          <w:rFonts w:hint="eastAsia" w:eastAsia="宋体" w:cs="宋体" w:asciiTheme="minorEastAsia" w:hAnsiTheme="minorEastAsia"/>
          <w:color w:val="auto"/>
          <w:highlight w:val="none"/>
        </w:rPr>
        <w:t>培训</w:t>
      </w:r>
      <w:r>
        <w:rPr>
          <w:color w:val="auto"/>
          <w:highlight w:val="none"/>
        </w:rPr>
        <w:tab/>
      </w:r>
      <w:r>
        <w:rPr>
          <w:color w:val="auto"/>
          <w:highlight w:val="none"/>
        </w:rPr>
        <w:fldChar w:fldCharType="begin"/>
      </w:r>
      <w:r>
        <w:rPr>
          <w:color w:val="auto"/>
          <w:highlight w:val="none"/>
        </w:rPr>
        <w:instrText xml:space="preserve"> PAGEREF _Toc7146 \h </w:instrText>
      </w:r>
      <w:r>
        <w:rPr>
          <w:color w:val="auto"/>
          <w:highlight w:val="none"/>
        </w:rPr>
        <w:fldChar w:fldCharType="separate"/>
      </w:r>
      <w:r>
        <w:rPr>
          <w:color w:val="auto"/>
          <w:highlight w:val="none"/>
        </w:rPr>
        <w:t>- 14 -</w:t>
      </w:r>
      <w:r>
        <w:rPr>
          <w:color w:val="auto"/>
          <w:highlight w:val="none"/>
        </w:rPr>
        <w:fldChar w:fldCharType="end"/>
      </w:r>
      <w:r>
        <w:rPr>
          <w:rFonts w:hint="eastAsia" w:asciiTheme="minorEastAsia" w:hAnsiTheme="minorEastAsia"/>
          <w:color w:val="auto"/>
          <w:szCs w:val="21"/>
          <w:highlight w:val="none"/>
        </w:rPr>
        <w:fldChar w:fldCharType="end"/>
      </w:r>
    </w:p>
    <w:p w14:paraId="231F2CBC">
      <w:pPr>
        <w:pStyle w:val="17"/>
        <w:tabs>
          <w:tab w:val="right" w:leader="dot" w:pos="9412"/>
          <w:tab w:val="clear" w:pos="8400"/>
        </w:tabs>
        <w:rPr>
          <w:color w:val="auto"/>
          <w:highlight w:val="none"/>
        </w:rPr>
      </w:pPr>
      <w:r>
        <w:rPr>
          <w:rFonts w:hint="eastAsia" w:asciiTheme="minorEastAsia" w:hAnsiTheme="minorEastAsia"/>
          <w:color w:val="auto"/>
          <w:szCs w:val="21"/>
          <w:highlight w:val="none"/>
        </w:rPr>
        <w:fldChar w:fldCharType="begin"/>
      </w:r>
      <w:r>
        <w:rPr>
          <w:rFonts w:hint="eastAsia" w:asciiTheme="minorEastAsia" w:hAnsiTheme="minorEastAsia"/>
          <w:color w:val="auto"/>
          <w:szCs w:val="21"/>
          <w:highlight w:val="none"/>
        </w:rPr>
        <w:instrText xml:space="preserve"> HYPERLINK \l _Toc12037 </w:instrText>
      </w:r>
      <w:r>
        <w:rPr>
          <w:rFonts w:hint="eastAsia" w:asciiTheme="minorEastAsia" w:hAnsiTheme="minorEastAsia"/>
          <w:color w:val="auto"/>
          <w:szCs w:val="21"/>
          <w:highlight w:val="none"/>
        </w:rPr>
        <w:fldChar w:fldCharType="separate"/>
      </w:r>
      <w:r>
        <w:rPr>
          <w:rFonts w:hint="eastAsia" w:eastAsia="宋体" w:cs="宋体" w:asciiTheme="minorEastAsia" w:hAnsiTheme="minorEastAsia"/>
          <w:color w:val="auto"/>
          <w:highlight w:val="none"/>
          <w:lang w:eastAsia="zh-CN"/>
        </w:rPr>
        <w:t>六、知识产权</w:t>
      </w:r>
      <w:r>
        <w:rPr>
          <w:color w:val="auto"/>
          <w:highlight w:val="none"/>
        </w:rPr>
        <w:tab/>
      </w:r>
      <w:r>
        <w:rPr>
          <w:color w:val="auto"/>
          <w:highlight w:val="none"/>
        </w:rPr>
        <w:fldChar w:fldCharType="begin"/>
      </w:r>
      <w:r>
        <w:rPr>
          <w:color w:val="auto"/>
          <w:highlight w:val="none"/>
        </w:rPr>
        <w:instrText xml:space="preserve"> PAGEREF _Toc12037 \h </w:instrText>
      </w:r>
      <w:r>
        <w:rPr>
          <w:color w:val="auto"/>
          <w:highlight w:val="none"/>
        </w:rPr>
        <w:fldChar w:fldCharType="separate"/>
      </w:r>
      <w:r>
        <w:rPr>
          <w:color w:val="auto"/>
          <w:highlight w:val="none"/>
        </w:rPr>
        <w:t>- 14 -</w:t>
      </w:r>
      <w:r>
        <w:rPr>
          <w:color w:val="auto"/>
          <w:highlight w:val="none"/>
        </w:rPr>
        <w:fldChar w:fldCharType="end"/>
      </w:r>
      <w:r>
        <w:rPr>
          <w:rFonts w:hint="eastAsia" w:asciiTheme="minorEastAsia" w:hAnsiTheme="minorEastAsia"/>
          <w:color w:val="auto"/>
          <w:szCs w:val="21"/>
          <w:highlight w:val="none"/>
        </w:rPr>
        <w:fldChar w:fldCharType="end"/>
      </w:r>
    </w:p>
    <w:p w14:paraId="4010A44D">
      <w:pPr>
        <w:pStyle w:val="17"/>
        <w:tabs>
          <w:tab w:val="right" w:leader="dot" w:pos="9412"/>
          <w:tab w:val="clear" w:pos="8400"/>
        </w:tabs>
        <w:rPr>
          <w:color w:val="auto"/>
          <w:highlight w:val="none"/>
        </w:rPr>
      </w:pPr>
      <w:r>
        <w:rPr>
          <w:rFonts w:hint="eastAsia" w:asciiTheme="minorEastAsia" w:hAnsiTheme="minorEastAsia"/>
          <w:color w:val="auto"/>
          <w:szCs w:val="21"/>
          <w:highlight w:val="none"/>
        </w:rPr>
        <w:fldChar w:fldCharType="begin"/>
      </w:r>
      <w:r>
        <w:rPr>
          <w:rFonts w:hint="eastAsia" w:asciiTheme="minorEastAsia" w:hAnsiTheme="minorEastAsia"/>
          <w:color w:val="auto"/>
          <w:szCs w:val="21"/>
          <w:highlight w:val="none"/>
        </w:rPr>
        <w:instrText xml:space="preserve"> HYPERLINK \l _Toc3131 </w:instrText>
      </w:r>
      <w:r>
        <w:rPr>
          <w:rFonts w:hint="eastAsia" w:asciiTheme="minorEastAsia" w:hAnsiTheme="minorEastAsia"/>
          <w:color w:val="auto"/>
          <w:szCs w:val="21"/>
          <w:highlight w:val="none"/>
        </w:rPr>
        <w:fldChar w:fldCharType="separate"/>
      </w:r>
      <w:r>
        <w:rPr>
          <w:rFonts w:hint="eastAsia"/>
          <w:color w:val="auto"/>
          <w:highlight w:val="none"/>
          <w:lang w:eastAsia="zh-CN"/>
        </w:rPr>
        <w:t>七、</w:t>
      </w:r>
      <w:r>
        <w:rPr>
          <w:rFonts w:hint="eastAsia"/>
          <w:color w:val="auto"/>
          <w:highlight w:val="none"/>
        </w:rPr>
        <w:t>其他商务要求内容</w:t>
      </w:r>
      <w:r>
        <w:rPr>
          <w:color w:val="auto"/>
          <w:highlight w:val="none"/>
        </w:rPr>
        <w:tab/>
      </w:r>
      <w:r>
        <w:rPr>
          <w:color w:val="auto"/>
          <w:highlight w:val="none"/>
        </w:rPr>
        <w:fldChar w:fldCharType="begin"/>
      </w:r>
      <w:r>
        <w:rPr>
          <w:color w:val="auto"/>
          <w:highlight w:val="none"/>
        </w:rPr>
        <w:instrText xml:space="preserve"> PAGEREF _Toc3131 \h </w:instrText>
      </w:r>
      <w:r>
        <w:rPr>
          <w:color w:val="auto"/>
          <w:highlight w:val="none"/>
        </w:rPr>
        <w:fldChar w:fldCharType="separate"/>
      </w:r>
      <w:r>
        <w:rPr>
          <w:color w:val="auto"/>
          <w:highlight w:val="none"/>
        </w:rPr>
        <w:t>- 15 -</w:t>
      </w:r>
      <w:r>
        <w:rPr>
          <w:color w:val="auto"/>
          <w:highlight w:val="none"/>
        </w:rPr>
        <w:fldChar w:fldCharType="end"/>
      </w:r>
      <w:r>
        <w:rPr>
          <w:rFonts w:hint="eastAsia" w:asciiTheme="minorEastAsia" w:hAnsiTheme="minorEastAsia"/>
          <w:color w:val="auto"/>
          <w:szCs w:val="21"/>
          <w:highlight w:val="none"/>
        </w:rPr>
        <w:fldChar w:fldCharType="end"/>
      </w:r>
    </w:p>
    <w:p w14:paraId="1FCB6D22">
      <w:pPr>
        <w:pStyle w:val="17"/>
        <w:tabs>
          <w:tab w:val="right" w:leader="dot" w:pos="9412"/>
          <w:tab w:val="clear" w:pos="8400"/>
        </w:tabs>
        <w:rPr>
          <w:color w:val="auto"/>
          <w:highlight w:val="none"/>
        </w:rPr>
      </w:pPr>
      <w:r>
        <w:rPr>
          <w:rFonts w:hint="eastAsia" w:asciiTheme="minorEastAsia" w:hAnsiTheme="minorEastAsia"/>
          <w:color w:val="auto"/>
          <w:szCs w:val="21"/>
          <w:highlight w:val="none"/>
        </w:rPr>
        <w:fldChar w:fldCharType="begin"/>
      </w:r>
      <w:r>
        <w:rPr>
          <w:rFonts w:hint="eastAsia" w:asciiTheme="minorEastAsia" w:hAnsiTheme="minorEastAsia"/>
          <w:color w:val="auto"/>
          <w:szCs w:val="21"/>
          <w:highlight w:val="none"/>
        </w:rPr>
        <w:instrText xml:space="preserve"> HYPERLINK \l _Toc20724 </w:instrText>
      </w:r>
      <w:r>
        <w:rPr>
          <w:rFonts w:hint="eastAsia" w:asciiTheme="minorEastAsia" w:hAnsiTheme="minorEastAsia"/>
          <w:color w:val="auto"/>
          <w:szCs w:val="21"/>
          <w:highlight w:val="none"/>
        </w:rPr>
        <w:fldChar w:fldCharType="separate"/>
      </w:r>
      <w:r>
        <w:rPr>
          <w:rFonts w:hint="eastAsia" w:asciiTheme="minorEastAsia" w:hAnsiTheme="minorEastAsia"/>
          <w:color w:val="auto"/>
          <w:szCs w:val="30"/>
          <w:highlight w:val="none"/>
        </w:rPr>
        <w:t>第四篇  采购程序、评定成交的标准、无效报价及采购终止</w:t>
      </w:r>
      <w:r>
        <w:rPr>
          <w:color w:val="auto"/>
          <w:highlight w:val="none"/>
        </w:rPr>
        <w:tab/>
      </w:r>
      <w:r>
        <w:rPr>
          <w:color w:val="auto"/>
          <w:highlight w:val="none"/>
        </w:rPr>
        <w:fldChar w:fldCharType="begin"/>
      </w:r>
      <w:r>
        <w:rPr>
          <w:color w:val="auto"/>
          <w:highlight w:val="none"/>
        </w:rPr>
        <w:instrText xml:space="preserve"> PAGEREF _Toc20724 \h </w:instrText>
      </w:r>
      <w:r>
        <w:rPr>
          <w:color w:val="auto"/>
          <w:highlight w:val="none"/>
        </w:rPr>
        <w:fldChar w:fldCharType="separate"/>
      </w:r>
      <w:r>
        <w:rPr>
          <w:color w:val="auto"/>
          <w:highlight w:val="none"/>
        </w:rPr>
        <w:t>- 16 -</w:t>
      </w:r>
      <w:r>
        <w:rPr>
          <w:color w:val="auto"/>
          <w:highlight w:val="none"/>
        </w:rPr>
        <w:fldChar w:fldCharType="end"/>
      </w:r>
      <w:r>
        <w:rPr>
          <w:rFonts w:hint="eastAsia" w:asciiTheme="minorEastAsia" w:hAnsiTheme="minorEastAsia"/>
          <w:color w:val="auto"/>
          <w:szCs w:val="21"/>
          <w:highlight w:val="none"/>
        </w:rPr>
        <w:fldChar w:fldCharType="end"/>
      </w:r>
    </w:p>
    <w:p w14:paraId="18854EB6">
      <w:pPr>
        <w:pStyle w:val="17"/>
        <w:tabs>
          <w:tab w:val="right" w:leader="dot" w:pos="9412"/>
          <w:tab w:val="clear" w:pos="8400"/>
        </w:tabs>
        <w:rPr>
          <w:color w:val="auto"/>
          <w:highlight w:val="none"/>
        </w:rPr>
      </w:pPr>
      <w:r>
        <w:rPr>
          <w:rFonts w:hint="eastAsia" w:asciiTheme="minorEastAsia" w:hAnsiTheme="minorEastAsia"/>
          <w:color w:val="auto"/>
          <w:szCs w:val="21"/>
          <w:highlight w:val="none"/>
        </w:rPr>
        <w:fldChar w:fldCharType="begin"/>
      </w:r>
      <w:r>
        <w:rPr>
          <w:rFonts w:hint="eastAsia" w:asciiTheme="minorEastAsia" w:hAnsiTheme="minorEastAsia"/>
          <w:color w:val="auto"/>
          <w:szCs w:val="21"/>
          <w:highlight w:val="none"/>
        </w:rPr>
        <w:instrText xml:space="preserve"> HYPERLINK \l _Toc19947 </w:instrText>
      </w:r>
      <w:r>
        <w:rPr>
          <w:rFonts w:hint="eastAsia" w:asciiTheme="minorEastAsia" w:hAnsiTheme="minorEastAsia"/>
          <w:color w:val="auto"/>
          <w:szCs w:val="21"/>
          <w:highlight w:val="none"/>
        </w:rPr>
        <w:fldChar w:fldCharType="separate"/>
      </w:r>
      <w:r>
        <w:rPr>
          <w:rFonts w:hint="eastAsia" w:asciiTheme="minorEastAsia" w:hAnsiTheme="minorEastAsia"/>
          <w:color w:val="auto"/>
          <w:highlight w:val="none"/>
        </w:rPr>
        <w:t>一、采购程序</w:t>
      </w:r>
      <w:r>
        <w:rPr>
          <w:color w:val="auto"/>
          <w:highlight w:val="none"/>
        </w:rPr>
        <w:tab/>
      </w:r>
      <w:r>
        <w:rPr>
          <w:color w:val="auto"/>
          <w:highlight w:val="none"/>
        </w:rPr>
        <w:fldChar w:fldCharType="begin"/>
      </w:r>
      <w:r>
        <w:rPr>
          <w:color w:val="auto"/>
          <w:highlight w:val="none"/>
        </w:rPr>
        <w:instrText xml:space="preserve"> PAGEREF _Toc19947 \h </w:instrText>
      </w:r>
      <w:r>
        <w:rPr>
          <w:color w:val="auto"/>
          <w:highlight w:val="none"/>
        </w:rPr>
        <w:fldChar w:fldCharType="separate"/>
      </w:r>
      <w:r>
        <w:rPr>
          <w:color w:val="auto"/>
          <w:highlight w:val="none"/>
        </w:rPr>
        <w:t>- 16 -</w:t>
      </w:r>
      <w:r>
        <w:rPr>
          <w:color w:val="auto"/>
          <w:highlight w:val="none"/>
        </w:rPr>
        <w:fldChar w:fldCharType="end"/>
      </w:r>
      <w:r>
        <w:rPr>
          <w:rFonts w:hint="eastAsia" w:asciiTheme="minorEastAsia" w:hAnsiTheme="minorEastAsia"/>
          <w:color w:val="auto"/>
          <w:szCs w:val="21"/>
          <w:highlight w:val="none"/>
        </w:rPr>
        <w:fldChar w:fldCharType="end"/>
      </w:r>
    </w:p>
    <w:p w14:paraId="0E311D07">
      <w:pPr>
        <w:pStyle w:val="17"/>
        <w:tabs>
          <w:tab w:val="right" w:leader="dot" w:pos="9412"/>
          <w:tab w:val="clear" w:pos="8400"/>
        </w:tabs>
        <w:rPr>
          <w:color w:val="auto"/>
          <w:highlight w:val="none"/>
        </w:rPr>
      </w:pPr>
      <w:r>
        <w:rPr>
          <w:rFonts w:hint="eastAsia" w:asciiTheme="minorEastAsia" w:hAnsiTheme="minorEastAsia"/>
          <w:color w:val="auto"/>
          <w:szCs w:val="21"/>
          <w:highlight w:val="none"/>
        </w:rPr>
        <w:fldChar w:fldCharType="begin"/>
      </w:r>
      <w:r>
        <w:rPr>
          <w:rFonts w:hint="eastAsia" w:asciiTheme="minorEastAsia" w:hAnsiTheme="minorEastAsia"/>
          <w:color w:val="auto"/>
          <w:szCs w:val="21"/>
          <w:highlight w:val="none"/>
        </w:rPr>
        <w:instrText xml:space="preserve"> HYPERLINK \l _Toc5395 </w:instrText>
      </w:r>
      <w:r>
        <w:rPr>
          <w:rFonts w:hint="eastAsia" w:asciiTheme="minorEastAsia" w:hAnsiTheme="minorEastAsia"/>
          <w:color w:val="auto"/>
          <w:szCs w:val="21"/>
          <w:highlight w:val="none"/>
        </w:rPr>
        <w:fldChar w:fldCharType="separate"/>
      </w:r>
      <w:r>
        <w:rPr>
          <w:rFonts w:hint="eastAsia" w:asciiTheme="minorEastAsia" w:hAnsiTheme="minorEastAsia"/>
          <w:color w:val="auto"/>
          <w:highlight w:val="none"/>
        </w:rPr>
        <w:t>二、评定成交的标准</w:t>
      </w:r>
      <w:r>
        <w:rPr>
          <w:color w:val="auto"/>
          <w:highlight w:val="none"/>
        </w:rPr>
        <w:tab/>
      </w:r>
      <w:r>
        <w:rPr>
          <w:color w:val="auto"/>
          <w:highlight w:val="none"/>
        </w:rPr>
        <w:fldChar w:fldCharType="begin"/>
      </w:r>
      <w:r>
        <w:rPr>
          <w:color w:val="auto"/>
          <w:highlight w:val="none"/>
        </w:rPr>
        <w:instrText xml:space="preserve"> PAGEREF _Toc5395 \h </w:instrText>
      </w:r>
      <w:r>
        <w:rPr>
          <w:color w:val="auto"/>
          <w:highlight w:val="none"/>
        </w:rPr>
        <w:fldChar w:fldCharType="separate"/>
      </w:r>
      <w:r>
        <w:rPr>
          <w:color w:val="auto"/>
          <w:highlight w:val="none"/>
        </w:rPr>
        <w:t>- 17 -</w:t>
      </w:r>
      <w:r>
        <w:rPr>
          <w:color w:val="auto"/>
          <w:highlight w:val="none"/>
        </w:rPr>
        <w:fldChar w:fldCharType="end"/>
      </w:r>
      <w:r>
        <w:rPr>
          <w:rFonts w:hint="eastAsia" w:asciiTheme="minorEastAsia" w:hAnsiTheme="minorEastAsia"/>
          <w:color w:val="auto"/>
          <w:szCs w:val="21"/>
          <w:highlight w:val="none"/>
        </w:rPr>
        <w:fldChar w:fldCharType="end"/>
      </w:r>
    </w:p>
    <w:p w14:paraId="6C499129">
      <w:pPr>
        <w:pStyle w:val="17"/>
        <w:tabs>
          <w:tab w:val="right" w:leader="dot" w:pos="9412"/>
          <w:tab w:val="clear" w:pos="8400"/>
        </w:tabs>
        <w:rPr>
          <w:color w:val="auto"/>
          <w:highlight w:val="none"/>
        </w:rPr>
      </w:pPr>
      <w:r>
        <w:rPr>
          <w:rFonts w:hint="eastAsia" w:asciiTheme="minorEastAsia" w:hAnsiTheme="minorEastAsia"/>
          <w:color w:val="auto"/>
          <w:szCs w:val="21"/>
          <w:highlight w:val="none"/>
        </w:rPr>
        <w:fldChar w:fldCharType="begin"/>
      </w:r>
      <w:r>
        <w:rPr>
          <w:rFonts w:hint="eastAsia" w:asciiTheme="minorEastAsia" w:hAnsiTheme="minorEastAsia"/>
          <w:color w:val="auto"/>
          <w:szCs w:val="21"/>
          <w:highlight w:val="none"/>
        </w:rPr>
        <w:instrText xml:space="preserve"> HYPERLINK \l _Toc26405 </w:instrText>
      </w:r>
      <w:r>
        <w:rPr>
          <w:rFonts w:hint="eastAsia" w:asciiTheme="minorEastAsia" w:hAnsiTheme="minorEastAsia"/>
          <w:color w:val="auto"/>
          <w:szCs w:val="21"/>
          <w:highlight w:val="none"/>
        </w:rPr>
        <w:fldChar w:fldCharType="separate"/>
      </w:r>
      <w:r>
        <w:rPr>
          <w:rFonts w:hint="eastAsia" w:asciiTheme="minorEastAsia" w:hAnsiTheme="minorEastAsia"/>
          <w:color w:val="auto"/>
          <w:highlight w:val="none"/>
        </w:rPr>
        <w:t>三、无效报价</w:t>
      </w:r>
      <w:r>
        <w:rPr>
          <w:color w:val="auto"/>
          <w:highlight w:val="none"/>
        </w:rPr>
        <w:tab/>
      </w:r>
      <w:r>
        <w:rPr>
          <w:color w:val="auto"/>
          <w:highlight w:val="none"/>
        </w:rPr>
        <w:fldChar w:fldCharType="begin"/>
      </w:r>
      <w:r>
        <w:rPr>
          <w:color w:val="auto"/>
          <w:highlight w:val="none"/>
        </w:rPr>
        <w:instrText xml:space="preserve"> PAGEREF _Toc26405 \h </w:instrText>
      </w:r>
      <w:r>
        <w:rPr>
          <w:color w:val="auto"/>
          <w:highlight w:val="none"/>
        </w:rPr>
        <w:fldChar w:fldCharType="separate"/>
      </w:r>
      <w:r>
        <w:rPr>
          <w:color w:val="auto"/>
          <w:highlight w:val="none"/>
        </w:rPr>
        <w:t>- 17 -</w:t>
      </w:r>
      <w:r>
        <w:rPr>
          <w:color w:val="auto"/>
          <w:highlight w:val="none"/>
        </w:rPr>
        <w:fldChar w:fldCharType="end"/>
      </w:r>
      <w:r>
        <w:rPr>
          <w:rFonts w:hint="eastAsia" w:asciiTheme="minorEastAsia" w:hAnsiTheme="minorEastAsia"/>
          <w:color w:val="auto"/>
          <w:szCs w:val="21"/>
          <w:highlight w:val="none"/>
        </w:rPr>
        <w:fldChar w:fldCharType="end"/>
      </w:r>
    </w:p>
    <w:p w14:paraId="43563C66">
      <w:pPr>
        <w:pStyle w:val="17"/>
        <w:tabs>
          <w:tab w:val="right" w:leader="dot" w:pos="9412"/>
          <w:tab w:val="clear" w:pos="8400"/>
        </w:tabs>
        <w:rPr>
          <w:color w:val="auto"/>
          <w:highlight w:val="none"/>
        </w:rPr>
      </w:pPr>
      <w:r>
        <w:rPr>
          <w:rFonts w:hint="eastAsia" w:asciiTheme="minorEastAsia" w:hAnsiTheme="minorEastAsia"/>
          <w:color w:val="auto"/>
          <w:szCs w:val="21"/>
          <w:highlight w:val="none"/>
        </w:rPr>
        <w:fldChar w:fldCharType="begin"/>
      </w:r>
      <w:r>
        <w:rPr>
          <w:rFonts w:hint="eastAsia" w:asciiTheme="minorEastAsia" w:hAnsiTheme="minorEastAsia"/>
          <w:color w:val="auto"/>
          <w:szCs w:val="21"/>
          <w:highlight w:val="none"/>
        </w:rPr>
        <w:instrText xml:space="preserve"> HYPERLINK \l _Toc5441 </w:instrText>
      </w:r>
      <w:r>
        <w:rPr>
          <w:rFonts w:hint="eastAsia" w:asciiTheme="minorEastAsia" w:hAnsiTheme="minorEastAsia"/>
          <w:color w:val="auto"/>
          <w:szCs w:val="21"/>
          <w:highlight w:val="none"/>
        </w:rPr>
        <w:fldChar w:fldCharType="separate"/>
      </w:r>
      <w:r>
        <w:rPr>
          <w:rFonts w:hint="eastAsia" w:asciiTheme="minorEastAsia" w:hAnsiTheme="minorEastAsia"/>
          <w:color w:val="auto"/>
          <w:highlight w:val="none"/>
        </w:rPr>
        <w:t>四、采购终止</w:t>
      </w:r>
      <w:r>
        <w:rPr>
          <w:color w:val="auto"/>
          <w:highlight w:val="none"/>
        </w:rPr>
        <w:tab/>
      </w:r>
      <w:r>
        <w:rPr>
          <w:color w:val="auto"/>
          <w:highlight w:val="none"/>
        </w:rPr>
        <w:fldChar w:fldCharType="begin"/>
      </w:r>
      <w:r>
        <w:rPr>
          <w:color w:val="auto"/>
          <w:highlight w:val="none"/>
        </w:rPr>
        <w:instrText xml:space="preserve"> PAGEREF _Toc5441 \h </w:instrText>
      </w:r>
      <w:r>
        <w:rPr>
          <w:color w:val="auto"/>
          <w:highlight w:val="none"/>
        </w:rPr>
        <w:fldChar w:fldCharType="separate"/>
      </w:r>
      <w:r>
        <w:rPr>
          <w:color w:val="auto"/>
          <w:highlight w:val="none"/>
        </w:rPr>
        <w:t>- 18 -</w:t>
      </w:r>
      <w:r>
        <w:rPr>
          <w:color w:val="auto"/>
          <w:highlight w:val="none"/>
        </w:rPr>
        <w:fldChar w:fldCharType="end"/>
      </w:r>
      <w:r>
        <w:rPr>
          <w:rFonts w:hint="eastAsia" w:asciiTheme="minorEastAsia" w:hAnsiTheme="minorEastAsia"/>
          <w:color w:val="auto"/>
          <w:szCs w:val="21"/>
          <w:highlight w:val="none"/>
        </w:rPr>
        <w:fldChar w:fldCharType="end"/>
      </w:r>
    </w:p>
    <w:p w14:paraId="4EFC9F52">
      <w:pPr>
        <w:pStyle w:val="17"/>
        <w:tabs>
          <w:tab w:val="right" w:leader="dot" w:pos="9412"/>
          <w:tab w:val="clear" w:pos="8400"/>
        </w:tabs>
        <w:rPr>
          <w:color w:val="auto"/>
          <w:highlight w:val="none"/>
        </w:rPr>
      </w:pPr>
      <w:r>
        <w:rPr>
          <w:rFonts w:hint="eastAsia" w:asciiTheme="minorEastAsia" w:hAnsiTheme="minorEastAsia"/>
          <w:color w:val="auto"/>
          <w:szCs w:val="21"/>
          <w:highlight w:val="none"/>
        </w:rPr>
        <w:fldChar w:fldCharType="begin"/>
      </w:r>
      <w:r>
        <w:rPr>
          <w:rFonts w:hint="eastAsia" w:asciiTheme="minorEastAsia" w:hAnsiTheme="minorEastAsia"/>
          <w:color w:val="auto"/>
          <w:szCs w:val="21"/>
          <w:highlight w:val="none"/>
        </w:rPr>
        <w:instrText xml:space="preserve"> HYPERLINK \l _Toc3366 </w:instrText>
      </w:r>
      <w:r>
        <w:rPr>
          <w:rFonts w:hint="eastAsia" w:asciiTheme="minorEastAsia" w:hAnsiTheme="minorEastAsia"/>
          <w:color w:val="auto"/>
          <w:szCs w:val="21"/>
          <w:highlight w:val="none"/>
        </w:rPr>
        <w:fldChar w:fldCharType="separate"/>
      </w:r>
      <w:r>
        <w:rPr>
          <w:rFonts w:hint="eastAsia" w:asciiTheme="minorEastAsia" w:hAnsiTheme="minorEastAsia"/>
          <w:color w:val="auto"/>
          <w:szCs w:val="30"/>
          <w:highlight w:val="none"/>
        </w:rPr>
        <w:t>第五篇  供应商须知</w:t>
      </w:r>
      <w:r>
        <w:rPr>
          <w:color w:val="auto"/>
          <w:highlight w:val="none"/>
        </w:rPr>
        <w:tab/>
      </w:r>
      <w:r>
        <w:rPr>
          <w:color w:val="auto"/>
          <w:highlight w:val="none"/>
        </w:rPr>
        <w:fldChar w:fldCharType="begin"/>
      </w:r>
      <w:r>
        <w:rPr>
          <w:color w:val="auto"/>
          <w:highlight w:val="none"/>
        </w:rPr>
        <w:instrText xml:space="preserve"> PAGEREF _Toc3366 \h </w:instrText>
      </w:r>
      <w:r>
        <w:rPr>
          <w:color w:val="auto"/>
          <w:highlight w:val="none"/>
        </w:rPr>
        <w:fldChar w:fldCharType="separate"/>
      </w:r>
      <w:r>
        <w:rPr>
          <w:color w:val="auto"/>
          <w:highlight w:val="none"/>
        </w:rPr>
        <w:t>- 19 -</w:t>
      </w:r>
      <w:r>
        <w:rPr>
          <w:color w:val="auto"/>
          <w:highlight w:val="none"/>
        </w:rPr>
        <w:fldChar w:fldCharType="end"/>
      </w:r>
      <w:r>
        <w:rPr>
          <w:rFonts w:hint="eastAsia" w:asciiTheme="minorEastAsia" w:hAnsiTheme="minorEastAsia"/>
          <w:color w:val="auto"/>
          <w:szCs w:val="21"/>
          <w:highlight w:val="none"/>
        </w:rPr>
        <w:fldChar w:fldCharType="end"/>
      </w:r>
    </w:p>
    <w:p w14:paraId="0271072C">
      <w:pPr>
        <w:pStyle w:val="17"/>
        <w:tabs>
          <w:tab w:val="right" w:leader="dot" w:pos="9412"/>
          <w:tab w:val="clear" w:pos="8400"/>
        </w:tabs>
        <w:rPr>
          <w:color w:val="auto"/>
          <w:highlight w:val="none"/>
        </w:rPr>
      </w:pPr>
      <w:r>
        <w:rPr>
          <w:rFonts w:hint="eastAsia" w:asciiTheme="minorEastAsia" w:hAnsiTheme="minorEastAsia"/>
          <w:color w:val="auto"/>
          <w:szCs w:val="21"/>
          <w:highlight w:val="none"/>
        </w:rPr>
        <w:fldChar w:fldCharType="begin"/>
      </w:r>
      <w:r>
        <w:rPr>
          <w:rFonts w:hint="eastAsia" w:asciiTheme="minorEastAsia" w:hAnsiTheme="minorEastAsia"/>
          <w:color w:val="auto"/>
          <w:szCs w:val="21"/>
          <w:highlight w:val="none"/>
        </w:rPr>
        <w:instrText xml:space="preserve"> HYPERLINK \l _Toc4409 </w:instrText>
      </w:r>
      <w:r>
        <w:rPr>
          <w:rFonts w:hint="eastAsia" w:asciiTheme="minorEastAsia" w:hAnsiTheme="minorEastAsia"/>
          <w:color w:val="auto"/>
          <w:szCs w:val="21"/>
          <w:highlight w:val="none"/>
        </w:rPr>
        <w:fldChar w:fldCharType="separate"/>
      </w:r>
      <w:r>
        <w:rPr>
          <w:rFonts w:hint="default" w:asciiTheme="minorEastAsia" w:hAnsiTheme="minorEastAsia"/>
          <w:color w:val="auto"/>
          <w:highlight w:val="none"/>
        </w:rPr>
        <w:t xml:space="preserve">二、 </w:t>
      </w:r>
      <w:r>
        <w:rPr>
          <w:rFonts w:hint="eastAsia" w:asciiTheme="minorEastAsia" w:hAnsiTheme="minorEastAsia"/>
          <w:color w:val="auto"/>
          <w:highlight w:val="none"/>
        </w:rPr>
        <w:t>询价费用</w:t>
      </w:r>
      <w:r>
        <w:rPr>
          <w:color w:val="auto"/>
          <w:highlight w:val="none"/>
        </w:rPr>
        <w:tab/>
      </w:r>
      <w:r>
        <w:rPr>
          <w:color w:val="auto"/>
          <w:highlight w:val="none"/>
        </w:rPr>
        <w:fldChar w:fldCharType="begin"/>
      </w:r>
      <w:r>
        <w:rPr>
          <w:color w:val="auto"/>
          <w:highlight w:val="none"/>
        </w:rPr>
        <w:instrText xml:space="preserve"> PAGEREF _Toc4409 \h </w:instrText>
      </w:r>
      <w:r>
        <w:rPr>
          <w:color w:val="auto"/>
          <w:highlight w:val="none"/>
        </w:rPr>
        <w:fldChar w:fldCharType="separate"/>
      </w:r>
      <w:r>
        <w:rPr>
          <w:color w:val="auto"/>
          <w:highlight w:val="none"/>
        </w:rPr>
        <w:t>- 19 -</w:t>
      </w:r>
      <w:r>
        <w:rPr>
          <w:color w:val="auto"/>
          <w:highlight w:val="none"/>
        </w:rPr>
        <w:fldChar w:fldCharType="end"/>
      </w:r>
      <w:r>
        <w:rPr>
          <w:rFonts w:hint="eastAsia" w:asciiTheme="minorEastAsia" w:hAnsiTheme="minorEastAsia"/>
          <w:color w:val="auto"/>
          <w:szCs w:val="21"/>
          <w:highlight w:val="none"/>
        </w:rPr>
        <w:fldChar w:fldCharType="end"/>
      </w:r>
    </w:p>
    <w:p w14:paraId="2986B6BD">
      <w:pPr>
        <w:pStyle w:val="17"/>
        <w:tabs>
          <w:tab w:val="right" w:leader="dot" w:pos="9412"/>
          <w:tab w:val="clear" w:pos="8400"/>
        </w:tabs>
        <w:rPr>
          <w:color w:val="auto"/>
          <w:highlight w:val="none"/>
        </w:rPr>
      </w:pPr>
      <w:r>
        <w:rPr>
          <w:rFonts w:hint="eastAsia" w:asciiTheme="minorEastAsia" w:hAnsiTheme="minorEastAsia"/>
          <w:color w:val="auto"/>
          <w:szCs w:val="21"/>
          <w:highlight w:val="none"/>
        </w:rPr>
        <w:fldChar w:fldCharType="begin"/>
      </w:r>
      <w:r>
        <w:rPr>
          <w:rFonts w:hint="eastAsia" w:asciiTheme="minorEastAsia" w:hAnsiTheme="minorEastAsia"/>
          <w:color w:val="auto"/>
          <w:szCs w:val="21"/>
          <w:highlight w:val="none"/>
        </w:rPr>
        <w:instrText xml:space="preserve"> HYPERLINK \l _Toc10858 </w:instrText>
      </w:r>
      <w:r>
        <w:rPr>
          <w:rFonts w:hint="eastAsia" w:asciiTheme="minorEastAsia" w:hAnsiTheme="minorEastAsia"/>
          <w:color w:val="auto"/>
          <w:szCs w:val="21"/>
          <w:highlight w:val="none"/>
        </w:rPr>
        <w:fldChar w:fldCharType="separate"/>
      </w:r>
      <w:r>
        <w:rPr>
          <w:rFonts w:hint="eastAsia" w:asciiTheme="minorEastAsia" w:hAnsiTheme="minorEastAsia"/>
          <w:color w:val="auto"/>
          <w:highlight w:val="none"/>
        </w:rPr>
        <w:t>二、询价通知书</w:t>
      </w:r>
      <w:r>
        <w:rPr>
          <w:color w:val="auto"/>
          <w:highlight w:val="none"/>
        </w:rPr>
        <w:tab/>
      </w:r>
      <w:r>
        <w:rPr>
          <w:color w:val="auto"/>
          <w:highlight w:val="none"/>
        </w:rPr>
        <w:fldChar w:fldCharType="begin"/>
      </w:r>
      <w:r>
        <w:rPr>
          <w:color w:val="auto"/>
          <w:highlight w:val="none"/>
        </w:rPr>
        <w:instrText xml:space="preserve"> PAGEREF _Toc10858 \h </w:instrText>
      </w:r>
      <w:r>
        <w:rPr>
          <w:color w:val="auto"/>
          <w:highlight w:val="none"/>
        </w:rPr>
        <w:fldChar w:fldCharType="separate"/>
      </w:r>
      <w:r>
        <w:rPr>
          <w:color w:val="auto"/>
          <w:highlight w:val="none"/>
        </w:rPr>
        <w:t>- 19 -</w:t>
      </w:r>
      <w:r>
        <w:rPr>
          <w:color w:val="auto"/>
          <w:highlight w:val="none"/>
        </w:rPr>
        <w:fldChar w:fldCharType="end"/>
      </w:r>
      <w:r>
        <w:rPr>
          <w:rFonts w:hint="eastAsia" w:asciiTheme="minorEastAsia" w:hAnsiTheme="minorEastAsia"/>
          <w:color w:val="auto"/>
          <w:szCs w:val="21"/>
          <w:highlight w:val="none"/>
        </w:rPr>
        <w:fldChar w:fldCharType="end"/>
      </w:r>
    </w:p>
    <w:p w14:paraId="2969827F">
      <w:pPr>
        <w:pStyle w:val="17"/>
        <w:tabs>
          <w:tab w:val="right" w:leader="dot" w:pos="9412"/>
          <w:tab w:val="clear" w:pos="8400"/>
        </w:tabs>
        <w:rPr>
          <w:color w:val="auto"/>
          <w:highlight w:val="none"/>
        </w:rPr>
      </w:pPr>
      <w:r>
        <w:rPr>
          <w:rFonts w:hint="eastAsia" w:asciiTheme="minorEastAsia" w:hAnsiTheme="minorEastAsia"/>
          <w:color w:val="auto"/>
          <w:szCs w:val="21"/>
          <w:highlight w:val="none"/>
        </w:rPr>
        <w:fldChar w:fldCharType="begin"/>
      </w:r>
      <w:r>
        <w:rPr>
          <w:rFonts w:hint="eastAsia" w:asciiTheme="minorEastAsia" w:hAnsiTheme="minorEastAsia"/>
          <w:color w:val="auto"/>
          <w:szCs w:val="21"/>
          <w:highlight w:val="none"/>
        </w:rPr>
        <w:instrText xml:space="preserve"> HYPERLINK \l _Toc29836 </w:instrText>
      </w:r>
      <w:r>
        <w:rPr>
          <w:rFonts w:hint="eastAsia" w:asciiTheme="minorEastAsia" w:hAnsiTheme="minorEastAsia"/>
          <w:color w:val="auto"/>
          <w:szCs w:val="21"/>
          <w:highlight w:val="none"/>
        </w:rPr>
        <w:fldChar w:fldCharType="separate"/>
      </w:r>
      <w:r>
        <w:rPr>
          <w:rFonts w:hint="eastAsia" w:asciiTheme="minorEastAsia" w:hAnsiTheme="minorEastAsia"/>
          <w:color w:val="auto"/>
          <w:highlight w:val="none"/>
        </w:rPr>
        <w:t>三、报价要求</w:t>
      </w:r>
      <w:r>
        <w:rPr>
          <w:color w:val="auto"/>
          <w:highlight w:val="none"/>
        </w:rPr>
        <w:tab/>
      </w:r>
      <w:r>
        <w:rPr>
          <w:color w:val="auto"/>
          <w:highlight w:val="none"/>
        </w:rPr>
        <w:fldChar w:fldCharType="begin"/>
      </w:r>
      <w:r>
        <w:rPr>
          <w:color w:val="auto"/>
          <w:highlight w:val="none"/>
        </w:rPr>
        <w:instrText xml:space="preserve"> PAGEREF _Toc29836 \h </w:instrText>
      </w:r>
      <w:r>
        <w:rPr>
          <w:color w:val="auto"/>
          <w:highlight w:val="none"/>
        </w:rPr>
        <w:fldChar w:fldCharType="separate"/>
      </w:r>
      <w:r>
        <w:rPr>
          <w:color w:val="auto"/>
          <w:highlight w:val="none"/>
        </w:rPr>
        <w:t>- 19 -</w:t>
      </w:r>
      <w:r>
        <w:rPr>
          <w:color w:val="auto"/>
          <w:highlight w:val="none"/>
        </w:rPr>
        <w:fldChar w:fldCharType="end"/>
      </w:r>
      <w:r>
        <w:rPr>
          <w:rFonts w:hint="eastAsia" w:asciiTheme="minorEastAsia" w:hAnsiTheme="minorEastAsia"/>
          <w:color w:val="auto"/>
          <w:szCs w:val="21"/>
          <w:highlight w:val="none"/>
        </w:rPr>
        <w:fldChar w:fldCharType="end"/>
      </w:r>
    </w:p>
    <w:p w14:paraId="0D3F7E28">
      <w:pPr>
        <w:pStyle w:val="17"/>
        <w:tabs>
          <w:tab w:val="right" w:leader="dot" w:pos="9412"/>
          <w:tab w:val="clear" w:pos="8400"/>
        </w:tabs>
        <w:rPr>
          <w:color w:val="auto"/>
          <w:highlight w:val="none"/>
        </w:rPr>
      </w:pPr>
      <w:r>
        <w:rPr>
          <w:rFonts w:hint="eastAsia" w:asciiTheme="minorEastAsia" w:hAnsiTheme="minorEastAsia"/>
          <w:color w:val="auto"/>
          <w:szCs w:val="21"/>
          <w:highlight w:val="none"/>
        </w:rPr>
        <w:fldChar w:fldCharType="begin"/>
      </w:r>
      <w:r>
        <w:rPr>
          <w:rFonts w:hint="eastAsia" w:asciiTheme="minorEastAsia" w:hAnsiTheme="minorEastAsia"/>
          <w:color w:val="auto"/>
          <w:szCs w:val="21"/>
          <w:highlight w:val="none"/>
        </w:rPr>
        <w:instrText xml:space="preserve"> HYPERLINK \l _Toc822 </w:instrText>
      </w:r>
      <w:r>
        <w:rPr>
          <w:rFonts w:hint="eastAsia" w:asciiTheme="minorEastAsia" w:hAnsiTheme="minorEastAsia"/>
          <w:color w:val="auto"/>
          <w:szCs w:val="21"/>
          <w:highlight w:val="none"/>
        </w:rPr>
        <w:fldChar w:fldCharType="separate"/>
      </w:r>
      <w:r>
        <w:rPr>
          <w:rFonts w:hint="eastAsia" w:asciiTheme="minorEastAsia" w:hAnsiTheme="minorEastAsia"/>
          <w:color w:val="auto"/>
          <w:highlight w:val="none"/>
        </w:rPr>
        <w:t>四、成交供应商的确定和变更</w:t>
      </w:r>
      <w:r>
        <w:rPr>
          <w:color w:val="auto"/>
          <w:highlight w:val="none"/>
        </w:rPr>
        <w:tab/>
      </w:r>
      <w:r>
        <w:rPr>
          <w:color w:val="auto"/>
          <w:highlight w:val="none"/>
        </w:rPr>
        <w:fldChar w:fldCharType="begin"/>
      </w:r>
      <w:r>
        <w:rPr>
          <w:color w:val="auto"/>
          <w:highlight w:val="none"/>
        </w:rPr>
        <w:instrText xml:space="preserve"> PAGEREF _Toc822 \h </w:instrText>
      </w:r>
      <w:r>
        <w:rPr>
          <w:color w:val="auto"/>
          <w:highlight w:val="none"/>
        </w:rPr>
        <w:fldChar w:fldCharType="separate"/>
      </w:r>
      <w:r>
        <w:rPr>
          <w:color w:val="auto"/>
          <w:highlight w:val="none"/>
        </w:rPr>
        <w:t>- 20 -</w:t>
      </w:r>
      <w:r>
        <w:rPr>
          <w:color w:val="auto"/>
          <w:highlight w:val="none"/>
        </w:rPr>
        <w:fldChar w:fldCharType="end"/>
      </w:r>
      <w:r>
        <w:rPr>
          <w:rFonts w:hint="eastAsia" w:asciiTheme="minorEastAsia" w:hAnsiTheme="minorEastAsia"/>
          <w:color w:val="auto"/>
          <w:szCs w:val="21"/>
          <w:highlight w:val="none"/>
        </w:rPr>
        <w:fldChar w:fldCharType="end"/>
      </w:r>
    </w:p>
    <w:p w14:paraId="2B7B027C">
      <w:pPr>
        <w:pStyle w:val="17"/>
        <w:tabs>
          <w:tab w:val="right" w:leader="dot" w:pos="9412"/>
          <w:tab w:val="clear" w:pos="8400"/>
        </w:tabs>
        <w:rPr>
          <w:color w:val="auto"/>
          <w:highlight w:val="none"/>
        </w:rPr>
      </w:pPr>
      <w:r>
        <w:rPr>
          <w:rFonts w:hint="eastAsia" w:asciiTheme="minorEastAsia" w:hAnsiTheme="minorEastAsia"/>
          <w:color w:val="auto"/>
          <w:szCs w:val="21"/>
          <w:highlight w:val="none"/>
        </w:rPr>
        <w:fldChar w:fldCharType="begin"/>
      </w:r>
      <w:r>
        <w:rPr>
          <w:rFonts w:hint="eastAsia" w:asciiTheme="minorEastAsia" w:hAnsiTheme="minorEastAsia"/>
          <w:color w:val="auto"/>
          <w:szCs w:val="21"/>
          <w:highlight w:val="none"/>
        </w:rPr>
        <w:instrText xml:space="preserve"> HYPERLINK \l _Toc17787 </w:instrText>
      </w:r>
      <w:r>
        <w:rPr>
          <w:rFonts w:hint="eastAsia" w:asciiTheme="minorEastAsia" w:hAnsiTheme="minorEastAsia"/>
          <w:color w:val="auto"/>
          <w:szCs w:val="21"/>
          <w:highlight w:val="none"/>
        </w:rPr>
        <w:fldChar w:fldCharType="separate"/>
      </w:r>
      <w:r>
        <w:rPr>
          <w:rFonts w:hint="eastAsia" w:asciiTheme="minorEastAsia" w:hAnsiTheme="minorEastAsia"/>
          <w:color w:val="auto"/>
          <w:highlight w:val="none"/>
        </w:rPr>
        <w:t>五、成交通知</w:t>
      </w:r>
      <w:r>
        <w:rPr>
          <w:color w:val="auto"/>
          <w:highlight w:val="none"/>
        </w:rPr>
        <w:tab/>
      </w:r>
      <w:r>
        <w:rPr>
          <w:color w:val="auto"/>
          <w:highlight w:val="none"/>
        </w:rPr>
        <w:fldChar w:fldCharType="begin"/>
      </w:r>
      <w:r>
        <w:rPr>
          <w:color w:val="auto"/>
          <w:highlight w:val="none"/>
        </w:rPr>
        <w:instrText xml:space="preserve"> PAGEREF _Toc17787 \h </w:instrText>
      </w:r>
      <w:r>
        <w:rPr>
          <w:color w:val="auto"/>
          <w:highlight w:val="none"/>
        </w:rPr>
        <w:fldChar w:fldCharType="separate"/>
      </w:r>
      <w:r>
        <w:rPr>
          <w:color w:val="auto"/>
          <w:highlight w:val="none"/>
        </w:rPr>
        <w:t>- 20 -</w:t>
      </w:r>
      <w:r>
        <w:rPr>
          <w:color w:val="auto"/>
          <w:highlight w:val="none"/>
        </w:rPr>
        <w:fldChar w:fldCharType="end"/>
      </w:r>
      <w:r>
        <w:rPr>
          <w:rFonts w:hint="eastAsia" w:asciiTheme="minorEastAsia" w:hAnsiTheme="minorEastAsia"/>
          <w:color w:val="auto"/>
          <w:szCs w:val="21"/>
          <w:highlight w:val="none"/>
        </w:rPr>
        <w:fldChar w:fldCharType="end"/>
      </w:r>
    </w:p>
    <w:p w14:paraId="3D9AD4B4">
      <w:pPr>
        <w:pStyle w:val="17"/>
        <w:tabs>
          <w:tab w:val="right" w:leader="dot" w:pos="9412"/>
          <w:tab w:val="clear" w:pos="8400"/>
        </w:tabs>
        <w:rPr>
          <w:color w:val="auto"/>
          <w:highlight w:val="none"/>
        </w:rPr>
      </w:pPr>
      <w:r>
        <w:rPr>
          <w:rFonts w:hint="eastAsia" w:asciiTheme="minorEastAsia" w:hAnsiTheme="minorEastAsia"/>
          <w:color w:val="auto"/>
          <w:szCs w:val="21"/>
          <w:highlight w:val="none"/>
        </w:rPr>
        <w:fldChar w:fldCharType="begin"/>
      </w:r>
      <w:r>
        <w:rPr>
          <w:rFonts w:hint="eastAsia" w:asciiTheme="minorEastAsia" w:hAnsiTheme="minorEastAsia"/>
          <w:color w:val="auto"/>
          <w:szCs w:val="21"/>
          <w:highlight w:val="none"/>
        </w:rPr>
        <w:instrText xml:space="preserve"> HYPERLINK \l _Toc21393 </w:instrText>
      </w:r>
      <w:r>
        <w:rPr>
          <w:rFonts w:hint="eastAsia" w:asciiTheme="minorEastAsia" w:hAnsiTheme="minorEastAsia"/>
          <w:color w:val="auto"/>
          <w:szCs w:val="21"/>
          <w:highlight w:val="none"/>
        </w:rPr>
        <w:fldChar w:fldCharType="separate"/>
      </w:r>
      <w:r>
        <w:rPr>
          <w:rFonts w:hint="eastAsia" w:asciiTheme="minorEastAsia" w:hAnsiTheme="minorEastAsia"/>
          <w:color w:val="auto"/>
          <w:highlight w:val="none"/>
        </w:rPr>
        <w:t>六、关于质疑和投诉</w:t>
      </w:r>
      <w:r>
        <w:rPr>
          <w:color w:val="auto"/>
          <w:highlight w:val="none"/>
        </w:rPr>
        <w:tab/>
      </w:r>
      <w:r>
        <w:rPr>
          <w:color w:val="auto"/>
          <w:highlight w:val="none"/>
        </w:rPr>
        <w:fldChar w:fldCharType="begin"/>
      </w:r>
      <w:r>
        <w:rPr>
          <w:color w:val="auto"/>
          <w:highlight w:val="none"/>
        </w:rPr>
        <w:instrText xml:space="preserve"> PAGEREF _Toc21393 \h </w:instrText>
      </w:r>
      <w:r>
        <w:rPr>
          <w:color w:val="auto"/>
          <w:highlight w:val="none"/>
        </w:rPr>
        <w:fldChar w:fldCharType="separate"/>
      </w:r>
      <w:r>
        <w:rPr>
          <w:color w:val="auto"/>
          <w:highlight w:val="none"/>
        </w:rPr>
        <w:t>- 20 -</w:t>
      </w:r>
      <w:r>
        <w:rPr>
          <w:color w:val="auto"/>
          <w:highlight w:val="none"/>
        </w:rPr>
        <w:fldChar w:fldCharType="end"/>
      </w:r>
      <w:r>
        <w:rPr>
          <w:rFonts w:hint="eastAsia" w:asciiTheme="minorEastAsia" w:hAnsiTheme="minorEastAsia"/>
          <w:color w:val="auto"/>
          <w:szCs w:val="21"/>
          <w:highlight w:val="none"/>
        </w:rPr>
        <w:fldChar w:fldCharType="end"/>
      </w:r>
    </w:p>
    <w:p w14:paraId="5037C9C3">
      <w:pPr>
        <w:pStyle w:val="17"/>
        <w:tabs>
          <w:tab w:val="right" w:leader="dot" w:pos="9412"/>
          <w:tab w:val="clear" w:pos="8400"/>
        </w:tabs>
        <w:rPr>
          <w:color w:val="auto"/>
          <w:highlight w:val="none"/>
        </w:rPr>
      </w:pPr>
      <w:r>
        <w:rPr>
          <w:rFonts w:hint="eastAsia" w:asciiTheme="minorEastAsia" w:hAnsiTheme="minorEastAsia"/>
          <w:color w:val="auto"/>
          <w:szCs w:val="21"/>
          <w:highlight w:val="none"/>
        </w:rPr>
        <w:fldChar w:fldCharType="begin"/>
      </w:r>
      <w:r>
        <w:rPr>
          <w:rFonts w:hint="eastAsia" w:asciiTheme="minorEastAsia" w:hAnsiTheme="minorEastAsia"/>
          <w:color w:val="auto"/>
          <w:szCs w:val="21"/>
          <w:highlight w:val="none"/>
        </w:rPr>
        <w:instrText xml:space="preserve"> HYPERLINK \l _Toc2964 </w:instrText>
      </w:r>
      <w:r>
        <w:rPr>
          <w:rFonts w:hint="eastAsia" w:asciiTheme="minorEastAsia" w:hAnsiTheme="minorEastAsia"/>
          <w:color w:val="auto"/>
          <w:szCs w:val="21"/>
          <w:highlight w:val="none"/>
        </w:rPr>
        <w:fldChar w:fldCharType="separate"/>
      </w:r>
      <w:r>
        <w:rPr>
          <w:rFonts w:hint="eastAsia" w:asciiTheme="minorEastAsia" w:hAnsiTheme="minorEastAsia"/>
          <w:color w:val="auto"/>
          <w:highlight w:val="none"/>
        </w:rPr>
        <w:t>七、签订合同</w:t>
      </w:r>
      <w:r>
        <w:rPr>
          <w:color w:val="auto"/>
          <w:highlight w:val="none"/>
        </w:rPr>
        <w:tab/>
      </w:r>
      <w:r>
        <w:rPr>
          <w:color w:val="auto"/>
          <w:highlight w:val="none"/>
        </w:rPr>
        <w:fldChar w:fldCharType="begin"/>
      </w:r>
      <w:r>
        <w:rPr>
          <w:color w:val="auto"/>
          <w:highlight w:val="none"/>
        </w:rPr>
        <w:instrText xml:space="preserve"> PAGEREF _Toc2964 \h </w:instrText>
      </w:r>
      <w:r>
        <w:rPr>
          <w:color w:val="auto"/>
          <w:highlight w:val="none"/>
        </w:rPr>
        <w:fldChar w:fldCharType="separate"/>
      </w:r>
      <w:r>
        <w:rPr>
          <w:color w:val="auto"/>
          <w:highlight w:val="none"/>
        </w:rPr>
        <w:t>- 21 -</w:t>
      </w:r>
      <w:r>
        <w:rPr>
          <w:color w:val="auto"/>
          <w:highlight w:val="none"/>
        </w:rPr>
        <w:fldChar w:fldCharType="end"/>
      </w:r>
      <w:r>
        <w:rPr>
          <w:rFonts w:hint="eastAsia" w:asciiTheme="minorEastAsia" w:hAnsiTheme="minorEastAsia"/>
          <w:color w:val="auto"/>
          <w:szCs w:val="21"/>
          <w:highlight w:val="none"/>
        </w:rPr>
        <w:fldChar w:fldCharType="end"/>
      </w:r>
    </w:p>
    <w:p w14:paraId="50225954">
      <w:pPr>
        <w:pStyle w:val="17"/>
        <w:tabs>
          <w:tab w:val="right" w:leader="dot" w:pos="9412"/>
          <w:tab w:val="clear" w:pos="8400"/>
        </w:tabs>
        <w:rPr>
          <w:color w:val="auto"/>
          <w:highlight w:val="none"/>
        </w:rPr>
      </w:pPr>
      <w:r>
        <w:rPr>
          <w:rFonts w:hint="eastAsia" w:asciiTheme="minorEastAsia" w:hAnsiTheme="minorEastAsia"/>
          <w:color w:val="auto"/>
          <w:szCs w:val="21"/>
          <w:highlight w:val="none"/>
        </w:rPr>
        <w:fldChar w:fldCharType="begin"/>
      </w:r>
      <w:r>
        <w:rPr>
          <w:rFonts w:hint="eastAsia" w:asciiTheme="minorEastAsia" w:hAnsiTheme="minorEastAsia"/>
          <w:color w:val="auto"/>
          <w:szCs w:val="21"/>
          <w:highlight w:val="none"/>
        </w:rPr>
        <w:instrText xml:space="preserve"> HYPERLINK \l _Toc23016 </w:instrText>
      </w:r>
      <w:r>
        <w:rPr>
          <w:rFonts w:hint="eastAsia" w:asciiTheme="minorEastAsia" w:hAnsiTheme="minorEastAsia"/>
          <w:color w:val="auto"/>
          <w:szCs w:val="21"/>
          <w:highlight w:val="none"/>
        </w:rPr>
        <w:fldChar w:fldCharType="separate"/>
      </w:r>
      <w:r>
        <w:rPr>
          <w:rFonts w:hint="eastAsia" w:asciiTheme="minorEastAsia" w:hAnsiTheme="minorEastAsia"/>
          <w:color w:val="auto"/>
          <w:highlight w:val="none"/>
        </w:rPr>
        <w:t>八、项目验收</w:t>
      </w:r>
      <w:r>
        <w:rPr>
          <w:color w:val="auto"/>
          <w:highlight w:val="none"/>
        </w:rPr>
        <w:tab/>
      </w:r>
      <w:r>
        <w:rPr>
          <w:color w:val="auto"/>
          <w:highlight w:val="none"/>
        </w:rPr>
        <w:fldChar w:fldCharType="begin"/>
      </w:r>
      <w:r>
        <w:rPr>
          <w:color w:val="auto"/>
          <w:highlight w:val="none"/>
        </w:rPr>
        <w:instrText xml:space="preserve"> PAGEREF _Toc23016 \h </w:instrText>
      </w:r>
      <w:r>
        <w:rPr>
          <w:color w:val="auto"/>
          <w:highlight w:val="none"/>
        </w:rPr>
        <w:fldChar w:fldCharType="separate"/>
      </w:r>
      <w:r>
        <w:rPr>
          <w:color w:val="auto"/>
          <w:highlight w:val="none"/>
        </w:rPr>
        <w:t>- 21 -</w:t>
      </w:r>
      <w:r>
        <w:rPr>
          <w:color w:val="auto"/>
          <w:highlight w:val="none"/>
        </w:rPr>
        <w:fldChar w:fldCharType="end"/>
      </w:r>
      <w:r>
        <w:rPr>
          <w:rFonts w:hint="eastAsia" w:asciiTheme="minorEastAsia" w:hAnsiTheme="minorEastAsia"/>
          <w:color w:val="auto"/>
          <w:szCs w:val="21"/>
          <w:highlight w:val="none"/>
        </w:rPr>
        <w:fldChar w:fldCharType="end"/>
      </w:r>
    </w:p>
    <w:p w14:paraId="50359EDD">
      <w:pPr>
        <w:pStyle w:val="17"/>
        <w:tabs>
          <w:tab w:val="right" w:leader="dot" w:pos="9412"/>
          <w:tab w:val="clear" w:pos="8400"/>
        </w:tabs>
        <w:rPr>
          <w:color w:val="auto"/>
          <w:highlight w:val="none"/>
        </w:rPr>
      </w:pPr>
      <w:r>
        <w:rPr>
          <w:rFonts w:hint="eastAsia" w:asciiTheme="minorEastAsia" w:hAnsiTheme="minorEastAsia"/>
          <w:color w:val="auto"/>
          <w:szCs w:val="21"/>
          <w:highlight w:val="none"/>
        </w:rPr>
        <w:fldChar w:fldCharType="begin"/>
      </w:r>
      <w:r>
        <w:rPr>
          <w:rFonts w:hint="eastAsia" w:asciiTheme="minorEastAsia" w:hAnsiTheme="minorEastAsia"/>
          <w:color w:val="auto"/>
          <w:szCs w:val="21"/>
          <w:highlight w:val="none"/>
        </w:rPr>
        <w:instrText xml:space="preserve"> HYPERLINK \l _Toc29759 </w:instrText>
      </w:r>
      <w:r>
        <w:rPr>
          <w:rFonts w:hint="eastAsia" w:asciiTheme="minorEastAsia" w:hAnsiTheme="minorEastAsia"/>
          <w:color w:val="auto"/>
          <w:szCs w:val="21"/>
          <w:highlight w:val="none"/>
        </w:rPr>
        <w:fldChar w:fldCharType="separate"/>
      </w:r>
      <w:r>
        <w:rPr>
          <w:rFonts w:hint="eastAsia" w:asciiTheme="minorEastAsia" w:hAnsiTheme="minorEastAsia"/>
          <w:color w:val="auto"/>
          <w:highlight w:val="none"/>
        </w:rPr>
        <w:t>九、采购代理服务费</w:t>
      </w:r>
      <w:r>
        <w:rPr>
          <w:color w:val="auto"/>
          <w:highlight w:val="none"/>
        </w:rPr>
        <w:tab/>
      </w:r>
      <w:r>
        <w:rPr>
          <w:color w:val="auto"/>
          <w:highlight w:val="none"/>
        </w:rPr>
        <w:fldChar w:fldCharType="begin"/>
      </w:r>
      <w:r>
        <w:rPr>
          <w:color w:val="auto"/>
          <w:highlight w:val="none"/>
        </w:rPr>
        <w:instrText xml:space="preserve"> PAGEREF _Toc29759 \h </w:instrText>
      </w:r>
      <w:r>
        <w:rPr>
          <w:color w:val="auto"/>
          <w:highlight w:val="none"/>
        </w:rPr>
        <w:fldChar w:fldCharType="separate"/>
      </w:r>
      <w:r>
        <w:rPr>
          <w:color w:val="auto"/>
          <w:highlight w:val="none"/>
        </w:rPr>
        <w:t>- 21 -</w:t>
      </w:r>
      <w:r>
        <w:rPr>
          <w:color w:val="auto"/>
          <w:highlight w:val="none"/>
        </w:rPr>
        <w:fldChar w:fldCharType="end"/>
      </w:r>
      <w:r>
        <w:rPr>
          <w:rFonts w:hint="eastAsia" w:asciiTheme="minorEastAsia" w:hAnsiTheme="minorEastAsia"/>
          <w:color w:val="auto"/>
          <w:szCs w:val="21"/>
          <w:highlight w:val="none"/>
        </w:rPr>
        <w:fldChar w:fldCharType="end"/>
      </w:r>
    </w:p>
    <w:p w14:paraId="6FD40FE7">
      <w:pPr>
        <w:pStyle w:val="17"/>
        <w:tabs>
          <w:tab w:val="right" w:leader="dot" w:pos="9412"/>
          <w:tab w:val="clear" w:pos="8400"/>
        </w:tabs>
        <w:rPr>
          <w:color w:val="auto"/>
          <w:highlight w:val="none"/>
        </w:rPr>
      </w:pPr>
      <w:r>
        <w:rPr>
          <w:rFonts w:hint="eastAsia" w:asciiTheme="minorEastAsia" w:hAnsiTheme="minorEastAsia"/>
          <w:color w:val="auto"/>
          <w:szCs w:val="21"/>
          <w:highlight w:val="none"/>
        </w:rPr>
        <w:fldChar w:fldCharType="begin"/>
      </w:r>
      <w:r>
        <w:rPr>
          <w:rFonts w:hint="eastAsia" w:asciiTheme="minorEastAsia" w:hAnsiTheme="minorEastAsia"/>
          <w:color w:val="auto"/>
          <w:szCs w:val="21"/>
          <w:highlight w:val="none"/>
        </w:rPr>
        <w:instrText xml:space="preserve"> HYPERLINK \l _Toc7155 </w:instrText>
      </w:r>
      <w:r>
        <w:rPr>
          <w:rFonts w:hint="eastAsia" w:asciiTheme="minorEastAsia" w:hAnsiTheme="minorEastAsia"/>
          <w:color w:val="auto"/>
          <w:szCs w:val="21"/>
          <w:highlight w:val="none"/>
        </w:rPr>
        <w:fldChar w:fldCharType="separate"/>
      </w:r>
      <w:r>
        <w:rPr>
          <w:rFonts w:hint="eastAsia" w:asciiTheme="minorEastAsia" w:hAnsiTheme="minorEastAsia"/>
          <w:color w:val="auto"/>
          <w:szCs w:val="30"/>
          <w:highlight w:val="none"/>
        </w:rPr>
        <w:t>第六篇 合同格式</w:t>
      </w:r>
      <w:r>
        <w:rPr>
          <w:color w:val="auto"/>
          <w:highlight w:val="none"/>
        </w:rPr>
        <w:tab/>
      </w:r>
      <w:r>
        <w:rPr>
          <w:color w:val="auto"/>
          <w:highlight w:val="none"/>
        </w:rPr>
        <w:fldChar w:fldCharType="begin"/>
      </w:r>
      <w:r>
        <w:rPr>
          <w:color w:val="auto"/>
          <w:highlight w:val="none"/>
        </w:rPr>
        <w:instrText xml:space="preserve"> PAGEREF _Toc7155 \h </w:instrText>
      </w:r>
      <w:r>
        <w:rPr>
          <w:color w:val="auto"/>
          <w:highlight w:val="none"/>
        </w:rPr>
        <w:fldChar w:fldCharType="separate"/>
      </w:r>
      <w:r>
        <w:rPr>
          <w:color w:val="auto"/>
          <w:highlight w:val="none"/>
        </w:rPr>
        <w:t>- 22 -</w:t>
      </w:r>
      <w:r>
        <w:rPr>
          <w:color w:val="auto"/>
          <w:highlight w:val="none"/>
        </w:rPr>
        <w:fldChar w:fldCharType="end"/>
      </w:r>
      <w:r>
        <w:rPr>
          <w:rFonts w:hint="eastAsia" w:asciiTheme="minorEastAsia" w:hAnsiTheme="minorEastAsia"/>
          <w:color w:val="auto"/>
          <w:szCs w:val="21"/>
          <w:highlight w:val="none"/>
        </w:rPr>
        <w:fldChar w:fldCharType="end"/>
      </w:r>
    </w:p>
    <w:p w14:paraId="06F87AEF">
      <w:pPr>
        <w:pStyle w:val="17"/>
        <w:tabs>
          <w:tab w:val="right" w:leader="dot" w:pos="9412"/>
          <w:tab w:val="clear" w:pos="8400"/>
        </w:tabs>
        <w:rPr>
          <w:color w:val="auto"/>
          <w:highlight w:val="none"/>
        </w:rPr>
      </w:pPr>
      <w:r>
        <w:rPr>
          <w:rFonts w:hint="eastAsia" w:asciiTheme="minorEastAsia" w:hAnsiTheme="minorEastAsia"/>
          <w:color w:val="auto"/>
          <w:szCs w:val="21"/>
          <w:highlight w:val="none"/>
        </w:rPr>
        <w:fldChar w:fldCharType="begin"/>
      </w:r>
      <w:r>
        <w:rPr>
          <w:rFonts w:hint="eastAsia" w:asciiTheme="minorEastAsia" w:hAnsiTheme="minorEastAsia"/>
          <w:color w:val="auto"/>
          <w:szCs w:val="21"/>
          <w:highlight w:val="none"/>
        </w:rPr>
        <w:instrText xml:space="preserve"> HYPERLINK \l _Toc27802 </w:instrText>
      </w:r>
      <w:r>
        <w:rPr>
          <w:rFonts w:hint="eastAsia" w:asciiTheme="minorEastAsia" w:hAnsiTheme="minorEastAsia"/>
          <w:color w:val="auto"/>
          <w:szCs w:val="21"/>
          <w:highlight w:val="none"/>
        </w:rPr>
        <w:fldChar w:fldCharType="separate"/>
      </w:r>
      <w:r>
        <w:rPr>
          <w:rFonts w:hint="eastAsia" w:asciiTheme="minorEastAsia" w:hAnsiTheme="minorEastAsia"/>
          <w:color w:val="auto"/>
          <w:szCs w:val="30"/>
          <w:highlight w:val="none"/>
        </w:rPr>
        <w:t>第七篇  响应文件格式要求</w:t>
      </w:r>
      <w:r>
        <w:rPr>
          <w:color w:val="auto"/>
          <w:highlight w:val="none"/>
        </w:rPr>
        <w:tab/>
      </w:r>
      <w:r>
        <w:rPr>
          <w:color w:val="auto"/>
          <w:highlight w:val="none"/>
        </w:rPr>
        <w:fldChar w:fldCharType="begin"/>
      </w:r>
      <w:r>
        <w:rPr>
          <w:color w:val="auto"/>
          <w:highlight w:val="none"/>
        </w:rPr>
        <w:instrText xml:space="preserve"> PAGEREF _Toc27802 \h </w:instrText>
      </w:r>
      <w:r>
        <w:rPr>
          <w:color w:val="auto"/>
          <w:highlight w:val="none"/>
        </w:rPr>
        <w:fldChar w:fldCharType="separate"/>
      </w:r>
      <w:r>
        <w:rPr>
          <w:color w:val="auto"/>
          <w:highlight w:val="none"/>
        </w:rPr>
        <w:t>- 23 -</w:t>
      </w:r>
      <w:r>
        <w:rPr>
          <w:color w:val="auto"/>
          <w:highlight w:val="none"/>
        </w:rPr>
        <w:fldChar w:fldCharType="end"/>
      </w:r>
      <w:r>
        <w:rPr>
          <w:rFonts w:hint="eastAsia" w:asciiTheme="minorEastAsia" w:hAnsiTheme="minorEastAsia"/>
          <w:color w:val="auto"/>
          <w:szCs w:val="21"/>
          <w:highlight w:val="none"/>
        </w:rPr>
        <w:fldChar w:fldCharType="end"/>
      </w:r>
    </w:p>
    <w:p w14:paraId="5EA7964A">
      <w:pPr>
        <w:pStyle w:val="17"/>
        <w:tabs>
          <w:tab w:val="right" w:leader="dot" w:pos="9412"/>
          <w:tab w:val="clear" w:pos="8400"/>
        </w:tabs>
        <w:rPr>
          <w:color w:val="auto"/>
          <w:highlight w:val="none"/>
        </w:rPr>
      </w:pPr>
      <w:r>
        <w:rPr>
          <w:rFonts w:hint="eastAsia" w:asciiTheme="minorEastAsia" w:hAnsiTheme="minorEastAsia"/>
          <w:color w:val="auto"/>
          <w:szCs w:val="21"/>
          <w:highlight w:val="none"/>
        </w:rPr>
        <w:fldChar w:fldCharType="begin"/>
      </w:r>
      <w:r>
        <w:rPr>
          <w:rFonts w:hint="eastAsia" w:asciiTheme="minorEastAsia" w:hAnsiTheme="minorEastAsia"/>
          <w:color w:val="auto"/>
          <w:szCs w:val="21"/>
          <w:highlight w:val="none"/>
        </w:rPr>
        <w:instrText xml:space="preserve"> HYPERLINK \l _Toc24466 </w:instrText>
      </w:r>
      <w:r>
        <w:rPr>
          <w:rFonts w:hint="eastAsia" w:asciiTheme="minorEastAsia" w:hAnsiTheme="minorEastAsia"/>
          <w:color w:val="auto"/>
          <w:szCs w:val="21"/>
          <w:highlight w:val="none"/>
        </w:rPr>
        <w:fldChar w:fldCharType="separate"/>
      </w:r>
      <w:r>
        <w:rPr>
          <w:rFonts w:hint="default" w:asciiTheme="minorEastAsia" w:hAnsiTheme="minorEastAsia"/>
          <w:color w:val="auto"/>
          <w:szCs w:val="28"/>
          <w:highlight w:val="none"/>
        </w:rPr>
        <w:t xml:space="preserve">二、 </w:t>
      </w:r>
      <w:r>
        <w:rPr>
          <w:rFonts w:hint="eastAsia" w:asciiTheme="minorEastAsia" w:hAnsiTheme="minorEastAsia"/>
          <w:color w:val="auto"/>
          <w:szCs w:val="28"/>
          <w:highlight w:val="none"/>
        </w:rPr>
        <w:t>经济部分</w:t>
      </w:r>
      <w:r>
        <w:rPr>
          <w:color w:val="auto"/>
          <w:highlight w:val="none"/>
        </w:rPr>
        <w:tab/>
      </w:r>
      <w:r>
        <w:rPr>
          <w:color w:val="auto"/>
          <w:highlight w:val="none"/>
        </w:rPr>
        <w:fldChar w:fldCharType="begin"/>
      </w:r>
      <w:r>
        <w:rPr>
          <w:color w:val="auto"/>
          <w:highlight w:val="none"/>
        </w:rPr>
        <w:instrText xml:space="preserve"> PAGEREF _Toc24466 \h </w:instrText>
      </w:r>
      <w:r>
        <w:rPr>
          <w:color w:val="auto"/>
          <w:highlight w:val="none"/>
        </w:rPr>
        <w:fldChar w:fldCharType="separate"/>
      </w:r>
      <w:r>
        <w:rPr>
          <w:color w:val="auto"/>
          <w:highlight w:val="none"/>
        </w:rPr>
        <w:t>- 24 -</w:t>
      </w:r>
      <w:r>
        <w:rPr>
          <w:color w:val="auto"/>
          <w:highlight w:val="none"/>
        </w:rPr>
        <w:fldChar w:fldCharType="end"/>
      </w:r>
      <w:r>
        <w:rPr>
          <w:rFonts w:hint="eastAsia" w:asciiTheme="minorEastAsia" w:hAnsiTheme="minorEastAsia"/>
          <w:color w:val="auto"/>
          <w:szCs w:val="21"/>
          <w:highlight w:val="none"/>
        </w:rPr>
        <w:fldChar w:fldCharType="end"/>
      </w:r>
    </w:p>
    <w:p w14:paraId="0D12C822">
      <w:pPr>
        <w:pStyle w:val="17"/>
        <w:tabs>
          <w:tab w:val="right" w:leader="dot" w:pos="9412"/>
          <w:tab w:val="clear" w:pos="8400"/>
        </w:tabs>
        <w:rPr>
          <w:color w:val="auto"/>
          <w:highlight w:val="none"/>
        </w:rPr>
      </w:pPr>
      <w:r>
        <w:rPr>
          <w:rFonts w:hint="eastAsia" w:asciiTheme="minorEastAsia" w:hAnsiTheme="minorEastAsia"/>
          <w:color w:val="auto"/>
          <w:szCs w:val="21"/>
          <w:highlight w:val="none"/>
        </w:rPr>
        <w:fldChar w:fldCharType="begin"/>
      </w:r>
      <w:r>
        <w:rPr>
          <w:rFonts w:hint="eastAsia" w:asciiTheme="minorEastAsia" w:hAnsiTheme="minorEastAsia"/>
          <w:color w:val="auto"/>
          <w:szCs w:val="21"/>
          <w:highlight w:val="none"/>
        </w:rPr>
        <w:instrText xml:space="preserve"> HYPERLINK \l _Toc25429 </w:instrText>
      </w:r>
      <w:r>
        <w:rPr>
          <w:rFonts w:hint="eastAsia" w:asciiTheme="minorEastAsia" w:hAnsiTheme="minorEastAsia"/>
          <w:color w:val="auto"/>
          <w:szCs w:val="21"/>
          <w:highlight w:val="none"/>
        </w:rPr>
        <w:fldChar w:fldCharType="separate"/>
      </w:r>
      <w:r>
        <w:rPr>
          <w:rFonts w:hint="eastAsia" w:asciiTheme="minorEastAsia" w:hAnsiTheme="minorEastAsia"/>
          <w:color w:val="auto"/>
          <w:highlight w:val="none"/>
        </w:rPr>
        <w:t>二、技术（质量）部分</w:t>
      </w:r>
      <w:r>
        <w:rPr>
          <w:color w:val="auto"/>
          <w:highlight w:val="none"/>
        </w:rPr>
        <w:tab/>
      </w:r>
      <w:r>
        <w:rPr>
          <w:color w:val="auto"/>
          <w:highlight w:val="none"/>
        </w:rPr>
        <w:fldChar w:fldCharType="begin"/>
      </w:r>
      <w:r>
        <w:rPr>
          <w:color w:val="auto"/>
          <w:highlight w:val="none"/>
        </w:rPr>
        <w:instrText xml:space="preserve"> PAGEREF _Toc25429 \h </w:instrText>
      </w:r>
      <w:r>
        <w:rPr>
          <w:color w:val="auto"/>
          <w:highlight w:val="none"/>
        </w:rPr>
        <w:fldChar w:fldCharType="separate"/>
      </w:r>
      <w:r>
        <w:rPr>
          <w:color w:val="auto"/>
          <w:highlight w:val="none"/>
        </w:rPr>
        <w:t>37</w:t>
      </w:r>
      <w:r>
        <w:rPr>
          <w:color w:val="auto"/>
          <w:highlight w:val="none"/>
        </w:rPr>
        <w:fldChar w:fldCharType="end"/>
      </w:r>
      <w:r>
        <w:rPr>
          <w:rFonts w:hint="eastAsia" w:asciiTheme="minorEastAsia" w:hAnsiTheme="minorEastAsia"/>
          <w:color w:val="auto"/>
          <w:szCs w:val="21"/>
          <w:highlight w:val="none"/>
        </w:rPr>
        <w:fldChar w:fldCharType="end"/>
      </w:r>
    </w:p>
    <w:p w14:paraId="1546305F">
      <w:pPr>
        <w:pStyle w:val="17"/>
        <w:tabs>
          <w:tab w:val="right" w:leader="dot" w:pos="9412"/>
          <w:tab w:val="clear" w:pos="8400"/>
        </w:tabs>
        <w:rPr>
          <w:color w:val="auto"/>
          <w:highlight w:val="none"/>
        </w:rPr>
      </w:pPr>
      <w:r>
        <w:rPr>
          <w:rFonts w:hint="eastAsia" w:asciiTheme="minorEastAsia" w:hAnsiTheme="minorEastAsia"/>
          <w:color w:val="auto"/>
          <w:szCs w:val="21"/>
          <w:highlight w:val="none"/>
        </w:rPr>
        <w:fldChar w:fldCharType="begin"/>
      </w:r>
      <w:r>
        <w:rPr>
          <w:rFonts w:hint="eastAsia" w:asciiTheme="minorEastAsia" w:hAnsiTheme="minorEastAsia"/>
          <w:color w:val="auto"/>
          <w:szCs w:val="21"/>
          <w:highlight w:val="none"/>
        </w:rPr>
        <w:instrText xml:space="preserve"> HYPERLINK \l _Toc24503 </w:instrText>
      </w:r>
      <w:r>
        <w:rPr>
          <w:rFonts w:hint="eastAsia" w:asciiTheme="minorEastAsia" w:hAnsiTheme="minorEastAsia"/>
          <w:color w:val="auto"/>
          <w:szCs w:val="21"/>
          <w:highlight w:val="none"/>
        </w:rPr>
        <w:fldChar w:fldCharType="separate"/>
      </w:r>
      <w:r>
        <w:rPr>
          <w:rFonts w:hint="eastAsia" w:asciiTheme="minorEastAsia" w:hAnsiTheme="minorEastAsia"/>
          <w:color w:val="auto"/>
          <w:highlight w:val="none"/>
        </w:rPr>
        <w:t>三、商务部分</w:t>
      </w:r>
      <w:r>
        <w:rPr>
          <w:color w:val="auto"/>
          <w:highlight w:val="none"/>
        </w:rPr>
        <w:tab/>
      </w:r>
      <w:r>
        <w:rPr>
          <w:color w:val="auto"/>
          <w:highlight w:val="none"/>
        </w:rPr>
        <w:fldChar w:fldCharType="begin"/>
      </w:r>
      <w:r>
        <w:rPr>
          <w:color w:val="auto"/>
          <w:highlight w:val="none"/>
        </w:rPr>
        <w:instrText xml:space="preserve"> PAGEREF _Toc24503 \h </w:instrText>
      </w:r>
      <w:r>
        <w:rPr>
          <w:color w:val="auto"/>
          <w:highlight w:val="none"/>
        </w:rPr>
        <w:fldChar w:fldCharType="separate"/>
      </w:r>
      <w:r>
        <w:rPr>
          <w:color w:val="auto"/>
          <w:highlight w:val="none"/>
        </w:rPr>
        <w:t>46</w:t>
      </w:r>
      <w:r>
        <w:rPr>
          <w:color w:val="auto"/>
          <w:highlight w:val="none"/>
        </w:rPr>
        <w:fldChar w:fldCharType="end"/>
      </w:r>
      <w:r>
        <w:rPr>
          <w:rFonts w:hint="eastAsia" w:asciiTheme="minorEastAsia" w:hAnsiTheme="minorEastAsia"/>
          <w:color w:val="auto"/>
          <w:szCs w:val="21"/>
          <w:highlight w:val="none"/>
        </w:rPr>
        <w:fldChar w:fldCharType="end"/>
      </w:r>
    </w:p>
    <w:p w14:paraId="5E3ECF6F">
      <w:pPr>
        <w:pStyle w:val="17"/>
        <w:tabs>
          <w:tab w:val="right" w:leader="dot" w:pos="9412"/>
          <w:tab w:val="clear" w:pos="8400"/>
        </w:tabs>
        <w:rPr>
          <w:color w:val="auto"/>
          <w:highlight w:val="none"/>
        </w:rPr>
      </w:pPr>
      <w:r>
        <w:rPr>
          <w:rFonts w:hint="eastAsia" w:asciiTheme="minorEastAsia" w:hAnsiTheme="minorEastAsia"/>
          <w:color w:val="auto"/>
          <w:szCs w:val="21"/>
          <w:highlight w:val="none"/>
        </w:rPr>
        <w:fldChar w:fldCharType="begin"/>
      </w:r>
      <w:r>
        <w:rPr>
          <w:rFonts w:hint="eastAsia" w:asciiTheme="minorEastAsia" w:hAnsiTheme="minorEastAsia"/>
          <w:color w:val="auto"/>
          <w:szCs w:val="21"/>
          <w:highlight w:val="none"/>
        </w:rPr>
        <w:instrText xml:space="preserve"> HYPERLINK \l _Toc14971 </w:instrText>
      </w:r>
      <w:r>
        <w:rPr>
          <w:rFonts w:hint="eastAsia" w:asciiTheme="minorEastAsia" w:hAnsiTheme="minorEastAsia"/>
          <w:color w:val="auto"/>
          <w:szCs w:val="21"/>
          <w:highlight w:val="none"/>
        </w:rPr>
        <w:fldChar w:fldCharType="separate"/>
      </w:r>
      <w:r>
        <w:rPr>
          <w:rFonts w:hint="eastAsia" w:asciiTheme="minorEastAsia" w:hAnsiTheme="minorEastAsia"/>
          <w:color w:val="auto"/>
          <w:highlight w:val="none"/>
        </w:rPr>
        <w:t>一、交货期、交货地点及验收方式</w:t>
      </w:r>
      <w:r>
        <w:rPr>
          <w:color w:val="auto"/>
          <w:highlight w:val="none"/>
        </w:rPr>
        <w:tab/>
      </w:r>
      <w:r>
        <w:rPr>
          <w:color w:val="auto"/>
          <w:highlight w:val="none"/>
        </w:rPr>
        <w:fldChar w:fldCharType="begin"/>
      </w:r>
      <w:r>
        <w:rPr>
          <w:color w:val="auto"/>
          <w:highlight w:val="none"/>
        </w:rPr>
        <w:instrText xml:space="preserve"> PAGEREF _Toc14971 \h </w:instrText>
      </w:r>
      <w:r>
        <w:rPr>
          <w:color w:val="auto"/>
          <w:highlight w:val="none"/>
        </w:rPr>
        <w:fldChar w:fldCharType="separate"/>
      </w:r>
      <w:r>
        <w:rPr>
          <w:color w:val="auto"/>
          <w:highlight w:val="none"/>
        </w:rPr>
        <w:t>46</w:t>
      </w:r>
      <w:r>
        <w:rPr>
          <w:color w:val="auto"/>
          <w:highlight w:val="none"/>
        </w:rPr>
        <w:fldChar w:fldCharType="end"/>
      </w:r>
      <w:r>
        <w:rPr>
          <w:rFonts w:hint="eastAsia" w:asciiTheme="minorEastAsia" w:hAnsiTheme="minorEastAsia"/>
          <w:color w:val="auto"/>
          <w:szCs w:val="21"/>
          <w:highlight w:val="none"/>
        </w:rPr>
        <w:fldChar w:fldCharType="end"/>
      </w:r>
    </w:p>
    <w:p w14:paraId="04823CDE">
      <w:pPr>
        <w:pStyle w:val="17"/>
        <w:tabs>
          <w:tab w:val="right" w:leader="dot" w:pos="9412"/>
          <w:tab w:val="clear" w:pos="8400"/>
        </w:tabs>
        <w:rPr>
          <w:color w:val="auto"/>
          <w:highlight w:val="none"/>
        </w:rPr>
      </w:pPr>
      <w:r>
        <w:rPr>
          <w:rFonts w:hint="eastAsia" w:asciiTheme="minorEastAsia" w:hAnsiTheme="minorEastAsia"/>
          <w:color w:val="auto"/>
          <w:szCs w:val="21"/>
          <w:highlight w:val="none"/>
        </w:rPr>
        <w:fldChar w:fldCharType="begin"/>
      </w:r>
      <w:r>
        <w:rPr>
          <w:rFonts w:hint="eastAsia" w:asciiTheme="minorEastAsia" w:hAnsiTheme="minorEastAsia"/>
          <w:color w:val="auto"/>
          <w:szCs w:val="21"/>
          <w:highlight w:val="none"/>
        </w:rPr>
        <w:instrText xml:space="preserve"> HYPERLINK \l _Toc17830 </w:instrText>
      </w:r>
      <w:r>
        <w:rPr>
          <w:rFonts w:hint="eastAsia" w:asciiTheme="minorEastAsia" w:hAnsiTheme="minorEastAsia"/>
          <w:color w:val="auto"/>
          <w:szCs w:val="21"/>
          <w:highlight w:val="none"/>
        </w:rPr>
        <w:fldChar w:fldCharType="separate"/>
      </w:r>
      <w:r>
        <w:rPr>
          <w:rFonts w:hint="eastAsia" w:asciiTheme="minorEastAsia" w:hAnsiTheme="minorEastAsia"/>
          <w:color w:val="auto"/>
          <w:highlight w:val="none"/>
        </w:rPr>
        <w:t>二、报价要求</w:t>
      </w:r>
      <w:r>
        <w:rPr>
          <w:color w:val="auto"/>
          <w:highlight w:val="none"/>
        </w:rPr>
        <w:tab/>
      </w:r>
      <w:r>
        <w:rPr>
          <w:color w:val="auto"/>
          <w:highlight w:val="none"/>
        </w:rPr>
        <w:fldChar w:fldCharType="begin"/>
      </w:r>
      <w:r>
        <w:rPr>
          <w:color w:val="auto"/>
          <w:highlight w:val="none"/>
        </w:rPr>
        <w:instrText xml:space="preserve"> PAGEREF _Toc17830 \h </w:instrText>
      </w:r>
      <w:r>
        <w:rPr>
          <w:color w:val="auto"/>
          <w:highlight w:val="none"/>
        </w:rPr>
        <w:fldChar w:fldCharType="separate"/>
      </w:r>
      <w:r>
        <w:rPr>
          <w:color w:val="auto"/>
          <w:highlight w:val="none"/>
        </w:rPr>
        <w:t>46</w:t>
      </w:r>
      <w:r>
        <w:rPr>
          <w:color w:val="auto"/>
          <w:highlight w:val="none"/>
        </w:rPr>
        <w:fldChar w:fldCharType="end"/>
      </w:r>
      <w:r>
        <w:rPr>
          <w:rFonts w:hint="eastAsia" w:asciiTheme="minorEastAsia" w:hAnsiTheme="minorEastAsia"/>
          <w:color w:val="auto"/>
          <w:szCs w:val="21"/>
          <w:highlight w:val="none"/>
        </w:rPr>
        <w:fldChar w:fldCharType="end"/>
      </w:r>
    </w:p>
    <w:p w14:paraId="1B24FBE8">
      <w:pPr>
        <w:pStyle w:val="17"/>
        <w:tabs>
          <w:tab w:val="right" w:leader="dot" w:pos="9412"/>
          <w:tab w:val="clear" w:pos="8400"/>
        </w:tabs>
        <w:rPr>
          <w:color w:val="auto"/>
          <w:highlight w:val="none"/>
        </w:rPr>
      </w:pPr>
      <w:r>
        <w:rPr>
          <w:rFonts w:hint="eastAsia" w:asciiTheme="minorEastAsia" w:hAnsiTheme="minorEastAsia"/>
          <w:color w:val="auto"/>
          <w:szCs w:val="21"/>
          <w:highlight w:val="none"/>
        </w:rPr>
        <w:fldChar w:fldCharType="begin"/>
      </w:r>
      <w:r>
        <w:rPr>
          <w:rFonts w:hint="eastAsia" w:asciiTheme="minorEastAsia" w:hAnsiTheme="minorEastAsia"/>
          <w:color w:val="auto"/>
          <w:szCs w:val="21"/>
          <w:highlight w:val="none"/>
        </w:rPr>
        <w:instrText xml:space="preserve"> HYPERLINK \l _Toc28726 </w:instrText>
      </w:r>
      <w:r>
        <w:rPr>
          <w:rFonts w:hint="eastAsia" w:asciiTheme="minorEastAsia" w:hAnsiTheme="minorEastAsia"/>
          <w:color w:val="auto"/>
          <w:szCs w:val="21"/>
          <w:highlight w:val="none"/>
        </w:rPr>
        <w:fldChar w:fldCharType="separate"/>
      </w:r>
      <w:r>
        <w:rPr>
          <w:rFonts w:hint="eastAsia" w:asciiTheme="minorEastAsia" w:hAnsiTheme="minorEastAsia"/>
          <w:color w:val="auto"/>
          <w:highlight w:val="none"/>
        </w:rPr>
        <w:t>三、货款结算与支付</w:t>
      </w:r>
      <w:r>
        <w:rPr>
          <w:color w:val="auto"/>
          <w:highlight w:val="none"/>
        </w:rPr>
        <w:tab/>
      </w:r>
      <w:r>
        <w:rPr>
          <w:color w:val="auto"/>
          <w:highlight w:val="none"/>
        </w:rPr>
        <w:fldChar w:fldCharType="begin"/>
      </w:r>
      <w:r>
        <w:rPr>
          <w:color w:val="auto"/>
          <w:highlight w:val="none"/>
        </w:rPr>
        <w:instrText xml:space="preserve"> PAGEREF _Toc28726 \h </w:instrText>
      </w:r>
      <w:r>
        <w:rPr>
          <w:color w:val="auto"/>
          <w:highlight w:val="none"/>
        </w:rPr>
        <w:fldChar w:fldCharType="separate"/>
      </w:r>
      <w:r>
        <w:rPr>
          <w:color w:val="auto"/>
          <w:highlight w:val="none"/>
        </w:rPr>
        <w:t>47</w:t>
      </w:r>
      <w:r>
        <w:rPr>
          <w:color w:val="auto"/>
          <w:highlight w:val="none"/>
        </w:rPr>
        <w:fldChar w:fldCharType="end"/>
      </w:r>
      <w:r>
        <w:rPr>
          <w:rFonts w:hint="eastAsia" w:asciiTheme="minorEastAsia" w:hAnsiTheme="minorEastAsia"/>
          <w:color w:val="auto"/>
          <w:szCs w:val="21"/>
          <w:highlight w:val="none"/>
        </w:rPr>
        <w:fldChar w:fldCharType="end"/>
      </w:r>
    </w:p>
    <w:p w14:paraId="222EBE4A">
      <w:pPr>
        <w:pStyle w:val="17"/>
        <w:tabs>
          <w:tab w:val="right" w:leader="dot" w:pos="9412"/>
          <w:tab w:val="clear" w:pos="8400"/>
        </w:tabs>
        <w:rPr>
          <w:color w:val="auto"/>
          <w:highlight w:val="none"/>
        </w:rPr>
      </w:pPr>
      <w:r>
        <w:rPr>
          <w:rFonts w:hint="eastAsia" w:asciiTheme="minorEastAsia" w:hAnsiTheme="minorEastAsia"/>
          <w:color w:val="auto"/>
          <w:szCs w:val="21"/>
          <w:highlight w:val="none"/>
        </w:rPr>
        <w:fldChar w:fldCharType="begin"/>
      </w:r>
      <w:r>
        <w:rPr>
          <w:rFonts w:hint="eastAsia" w:asciiTheme="minorEastAsia" w:hAnsiTheme="minorEastAsia"/>
          <w:color w:val="auto"/>
          <w:szCs w:val="21"/>
          <w:highlight w:val="none"/>
        </w:rPr>
        <w:instrText xml:space="preserve"> HYPERLINK \l _Toc28929 </w:instrText>
      </w:r>
      <w:r>
        <w:rPr>
          <w:rFonts w:hint="eastAsia" w:asciiTheme="minorEastAsia" w:hAnsiTheme="minorEastAsia"/>
          <w:color w:val="auto"/>
          <w:szCs w:val="21"/>
          <w:highlight w:val="none"/>
        </w:rPr>
        <w:fldChar w:fldCharType="separate"/>
      </w:r>
      <w:r>
        <w:rPr>
          <w:rFonts w:hint="eastAsia" w:eastAsia="宋体" w:cs="宋体" w:asciiTheme="minorEastAsia" w:hAnsiTheme="minorEastAsia"/>
          <w:color w:val="auto"/>
          <w:highlight w:val="none"/>
        </w:rPr>
        <w:t>四、质量保证及售后服务</w:t>
      </w:r>
      <w:r>
        <w:rPr>
          <w:color w:val="auto"/>
          <w:highlight w:val="none"/>
        </w:rPr>
        <w:tab/>
      </w:r>
      <w:r>
        <w:rPr>
          <w:color w:val="auto"/>
          <w:highlight w:val="none"/>
        </w:rPr>
        <w:fldChar w:fldCharType="begin"/>
      </w:r>
      <w:r>
        <w:rPr>
          <w:color w:val="auto"/>
          <w:highlight w:val="none"/>
        </w:rPr>
        <w:instrText xml:space="preserve"> PAGEREF _Toc28929 \h </w:instrText>
      </w:r>
      <w:r>
        <w:rPr>
          <w:color w:val="auto"/>
          <w:highlight w:val="none"/>
        </w:rPr>
        <w:fldChar w:fldCharType="separate"/>
      </w:r>
      <w:r>
        <w:rPr>
          <w:color w:val="auto"/>
          <w:highlight w:val="none"/>
        </w:rPr>
        <w:t>47</w:t>
      </w:r>
      <w:r>
        <w:rPr>
          <w:color w:val="auto"/>
          <w:highlight w:val="none"/>
        </w:rPr>
        <w:fldChar w:fldCharType="end"/>
      </w:r>
      <w:r>
        <w:rPr>
          <w:rFonts w:hint="eastAsia" w:asciiTheme="minorEastAsia" w:hAnsiTheme="minorEastAsia"/>
          <w:color w:val="auto"/>
          <w:szCs w:val="21"/>
          <w:highlight w:val="none"/>
        </w:rPr>
        <w:fldChar w:fldCharType="end"/>
      </w:r>
    </w:p>
    <w:p w14:paraId="66F875E7">
      <w:pPr>
        <w:pStyle w:val="17"/>
        <w:tabs>
          <w:tab w:val="right" w:leader="dot" w:pos="9412"/>
          <w:tab w:val="clear" w:pos="8400"/>
        </w:tabs>
        <w:rPr>
          <w:color w:val="auto"/>
          <w:highlight w:val="none"/>
        </w:rPr>
      </w:pPr>
      <w:r>
        <w:rPr>
          <w:rFonts w:hint="eastAsia" w:asciiTheme="minorEastAsia" w:hAnsiTheme="minorEastAsia"/>
          <w:color w:val="auto"/>
          <w:szCs w:val="21"/>
          <w:highlight w:val="none"/>
        </w:rPr>
        <w:fldChar w:fldCharType="begin"/>
      </w:r>
      <w:r>
        <w:rPr>
          <w:rFonts w:hint="eastAsia" w:asciiTheme="minorEastAsia" w:hAnsiTheme="minorEastAsia"/>
          <w:color w:val="auto"/>
          <w:szCs w:val="21"/>
          <w:highlight w:val="none"/>
        </w:rPr>
        <w:instrText xml:space="preserve"> HYPERLINK \l _Toc32540 </w:instrText>
      </w:r>
      <w:r>
        <w:rPr>
          <w:rFonts w:hint="eastAsia" w:asciiTheme="minorEastAsia" w:hAnsiTheme="minorEastAsia"/>
          <w:color w:val="auto"/>
          <w:szCs w:val="21"/>
          <w:highlight w:val="none"/>
        </w:rPr>
        <w:fldChar w:fldCharType="separate"/>
      </w:r>
      <w:r>
        <w:rPr>
          <w:rFonts w:hint="eastAsia" w:eastAsia="宋体" w:cs="宋体" w:asciiTheme="minorEastAsia" w:hAnsiTheme="minorEastAsia"/>
          <w:color w:val="auto"/>
          <w:highlight w:val="none"/>
          <w:lang w:eastAsia="zh-CN"/>
        </w:rPr>
        <w:t>五、</w:t>
      </w:r>
      <w:r>
        <w:rPr>
          <w:rFonts w:hint="eastAsia" w:eastAsia="宋体" w:cs="宋体" w:asciiTheme="minorEastAsia" w:hAnsiTheme="minorEastAsia"/>
          <w:color w:val="auto"/>
          <w:highlight w:val="none"/>
        </w:rPr>
        <w:t>培训</w:t>
      </w:r>
      <w:r>
        <w:rPr>
          <w:color w:val="auto"/>
          <w:highlight w:val="none"/>
        </w:rPr>
        <w:tab/>
      </w:r>
      <w:r>
        <w:rPr>
          <w:color w:val="auto"/>
          <w:highlight w:val="none"/>
        </w:rPr>
        <w:fldChar w:fldCharType="begin"/>
      </w:r>
      <w:r>
        <w:rPr>
          <w:color w:val="auto"/>
          <w:highlight w:val="none"/>
        </w:rPr>
        <w:instrText xml:space="preserve"> PAGEREF _Toc32540 \h </w:instrText>
      </w:r>
      <w:r>
        <w:rPr>
          <w:color w:val="auto"/>
          <w:highlight w:val="none"/>
        </w:rPr>
        <w:fldChar w:fldCharType="separate"/>
      </w:r>
      <w:r>
        <w:rPr>
          <w:color w:val="auto"/>
          <w:highlight w:val="none"/>
        </w:rPr>
        <w:t>48</w:t>
      </w:r>
      <w:r>
        <w:rPr>
          <w:color w:val="auto"/>
          <w:highlight w:val="none"/>
        </w:rPr>
        <w:fldChar w:fldCharType="end"/>
      </w:r>
      <w:r>
        <w:rPr>
          <w:rFonts w:hint="eastAsia" w:asciiTheme="minorEastAsia" w:hAnsiTheme="minorEastAsia"/>
          <w:color w:val="auto"/>
          <w:szCs w:val="21"/>
          <w:highlight w:val="none"/>
        </w:rPr>
        <w:fldChar w:fldCharType="end"/>
      </w:r>
    </w:p>
    <w:p w14:paraId="17559506">
      <w:pPr>
        <w:pStyle w:val="17"/>
        <w:tabs>
          <w:tab w:val="right" w:leader="dot" w:pos="9412"/>
          <w:tab w:val="clear" w:pos="8400"/>
        </w:tabs>
        <w:rPr>
          <w:color w:val="auto"/>
          <w:highlight w:val="none"/>
        </w:rPr>
      </w:pPr>
      <w:r>
        <w:rPr>
          <w:rFonts w:hint="eastAsia" w:asciiTheme="minorEastAsia" w:hAnsiTheme="minorEastAsia"/>
          <w:color w:val="auto"/>
          <w:szCs w:val="21"/>
          <w:highlight w:val="none"/>
        </w:rPr>
        <w:fldChar w:fldCharType="begin"/>
      </w:r>
      <w:r>
        <w:rPr>
          <w:rFonts w:hint="eastAsia" w:asciiTheme="minorEastAsia" w:hAnsiTheme="minorEastAsia"/>
          <w:color w:val="auto"/>
          <w:szCs w:val="21"/>
          <w:highlight w:val="none"/>
        </w:rPr>
        <w:instrText xml:space="preserve"> HYPERLINK \l _Toc11654 </w:instrText>
      </w:r>
      <w:r>
        <w:rPr>
          <w:rFonts w:hint="eastAsia" w:asciiTheme="minorEastAsia" w:hAnsiTheme="minorEastAsia"/>
          <w:color w:val="auto"/>
          <w:szCs w:val="21"/>
          <w:highlight w:val="none"/>
        </w:rPr>
        <w:fldChar w:fldCharType="separate"/>
      </w:r>
      <w:r>
        <w:rPr>
          <w:rFonts w:hint="eastAsia" w:eastAsia="宋体" w:cs="宋体" w:asciiTheme="minorEastAsia" w:hAnsiTheme="minorEastAsia"/>
          <w:color w:val="auto"/>
          <w:highlight w:val="none"/>
          <w:lang w:eastAsia="zh-CN"/>
        </w:rPr>
        <w:t>六、知识产权</w:t>
      </w:r>
      <w:r>
        <w:rPr>
          <w:color w:val="auto"/>
          <w:highlight w:val="none"/>
        </w:rPr>
        <w:tab/>
      </w:r>
      <w:r>
        <w:rPr>
          <w:color w:val="auto"/>
          <w:highlight w:val="none"/>
        </w:rPr>
        <w:fldChar w:fldCharType="begin"/>
      </w:r>
      <w:r>
        <w:rPr>
          <w:color w:val="auto"/>
          <w:highlight w:val="none"/>
        </w:rPr>
        <w:instrText xml:space="preserve"> PAGEREF _Toc11654 \h </w:instrText>
      </w:r>
      <w:r>
        <w:rPr>
          <w:color w:val="auto"/>
          <w:highlight w:val="none"/>
        </w:rPr>
        <w:fldChar w:fldCharType="separate"/>
      </w:r>
      <w:r>
        <w:rPr>
          <w:color w:val="auto"/>
          <w:highlight w:val="none"/>
        </w:rPr>
        <w:t>48</w:t>
      </w:r>
      <w:r>
        <w:rPr>
          <w:color w:val="auto"/>
          <w:highlight w:val="none"/>
        </w:rPr>
        <w:fldChar w:fldCharType="end"/>
      </w:r>
      <w:r>
        <w:rPr>
          <w:rFonts w:hint="eastAsia" w:asciiTheme="minorEastAsia" w:hAnsiTheme="minorEastAsia"/>
          <w:color w:val="auto"/>
          <w:szCs w:val="21"/>
          <w:highlight w:val="none"/>
        </w:rPr>
        <w:fldChar w:fldCharType="end"/>
      </w:r>
    </w:p>
    <w:p w14:paraId="26E34459">
      <w:pPr>
        <w:pStyle w:val="17"/>
        <w:tabs>
          <w:tab w:val="right" w:leader="dot" w:pos="9412"/>
          <w:tab w:val="clear" w:pos="8400"/>
        </w:tabs>
        <w:rPr>
          <w:color w:val="auto"/>
          <w:highlight w:val="none"/>
        </w:rPr>
      </w:pPr>
      <w:r>
        <w:rPr>
          <w:rFonts w:hint="eastAsia" w:asciiTheme="minorEastAsia" w:hAnsiTheme="minorEastAsia"/>
          <w:color w:val="auto"/>
          <w:szCs w:val="21"/>
          <w:highlight w:val="none"/>
        </w:rPr>
        <w:fldChar w:fldCharType="begin"/>
      </w:r>
      <w:r>
        <w:rPr>
          <w:rFonts w:hint="eastAsia" w:asciiTheme="minorEastAsia" w:hAnsiTheme="minorEastAsia"/>
          <w:color w:val="auto"/>
          <w:szCs w:val="21"/>
          <w:highlight w:val="none"/>
        </w:rPr>
        <w:instrText xml:space="preserve"> HYPERLINK \l _Toc14729 </w:instrText>
      </w:r>
      <w:r>
        <w:rPr>
          <w:rFonts w:hint="eastAsia" w:asciiTheme="minorEastAsia" w:hAnsiTheme="minorEastAsia"/>
          <w:color w:val="auto"/>
          <w:szCs w:val="21"/>
          <w:highlight w:val="none"/>
        </w:rPr>
        <w:fldChar w:fldCharType="separate"/>
      </w:r>
      <w:r>
        <w:rPr>
          <w:rFonts w:hint="eastAsia"/>
          <w:color w:val="auto"/>
          <w:highlight w:val="none"/>
          <w:lang w:eastAsia="zh-CN"/>
        </w:rPr>
        <w:t>七、</w:t>
      </w:r>
      <w:r>
        <w:rPr>
          <w:rFonts w:hint="eastAsia"/>
          <w:color w:val="auto"/>
          <w:highlight w:val="none"/>
        </w:rPr>
        <w:t>其他商务要求内容</w:t>
      </w:r>
      <w:r>
        <w:rPr>
          <w:color w:val="auto"/>
          <w:highlight w:val="none"/>
        </w:rPr>
        <w:tab/>
      </w:r>
      <w:r>
        <w:rPr>
          <w:color w:val="auto"/>
          <w:highlight w:val="none"/>
        </w:rPr>
        <w:fldChar w:fldCharType="begin"/>
      </w:r>
      <w:r>
        <w:rPr>
          <w:color w:val="auto"/>
          <w:highlight w:val="none"/>
        </w:rPr>
        <w:instrText xml:space="preserve"> PAGEREF _Toc14729 \h </w:instrText>
      </w:r>
      <w:r>
        <w:rPr>
          <w:color w:val="auto"/>
          <w:highlight w:val="none"/>
        </w:rPr>
        <w:fldChar w:fldCharType="separate"/>
      </w:r>
      <w:r>
        <w:rPr>
          <w:color w:val="auto"/>
          <w:highlight w:val="none"/>
        </w:rPr>
        <w:t>48</w:t>
      </w:r>
      <w:r>
        <w:rPr>
          <w:color w:val="auto"/>
          <w:highlight w:val="none"/>
        </w:rPr>
        <w:fldChar w:fldCharType="end"/>
      </w:r>
      <w:r>
        <w:rPr>
          <w:rFonts w:hint="eastAsia" w:asciiTheme="minorEastAsia" w:hAnsiTheme="minorEastAsia"/>
          <w:color w:val="auto"/>
          <w:szCs w:val="21"/>
          <w:highlight w:val="none"/>
        </w:rPr>
        <w:fldChar w:fldCharType="end"/>
      </w:r>
    </w:p>
    <w:p w14:paraId="2B678A36">
      <w:pPr>
        <w:pStyle w:val="17"/>
        <w:tabs>
          <w:tab w:val="right" w:leader="dot" w:pos="9412"/>
          <w:tab w:val="clear" w:pos="8400"/>
        </w:tabs>
        <w:rPr>
          <w:color w:val="auto"/>
          <w:highlight w:val="none"/>
        </w:rPr>
      </w:pPr>
      <w:r>
        <w:rPr>
          <w:rFonts w:hint="eastAsia" w:asciiTheme="minorEastAsia" w:hAnsiTheme="minorEastAsia"/>
          <w:color w:val="auto"/>
          <w:szCs w:val="21"/>
          <w:highlight w:val="none"/>
        </w:rPr>
        <w:fldChar w:fldCharType="begin"/>
      </w:r>
      <w:r>
        <w:rPr>
          <w:rFonts w:hint="eastAsia" w:asciiTheme="minorEastAsia" w:hAnsiTheme="minorEastAsia"/>
          <w:color w:val="auto"/>
          <w:szCs w:val="21"/>
          <w:highlight w:val="none"/>
        </w:rPr>
        <w:instrText xml:space="preserve"> HYPERLINK \l _Toc11111 </w:instrText>
      </w:r>
      <w:r>
        <w:rPr>
          <w:rFonts w:hint="eastAsia" w:asciiTheme="minorEastAsia" w:hAnsiTheme="minorEastAsia"/>
          <w:color w:val="auto"/>
          <w:szCs w:val="21"/>
          <w:highlight w:val="none"/>
        </w:rPr>
        <w:fldChar w:fldCharType="separate"/>
      </w:r>
      <w:r>
        <w:rPr>
          <w:rFonts w:hint="eastAsia" w:asciiTheme="minorEastAsia" w:hAnsiTheme="minorEastAsia"/>
          <w:color w:val="auto"/>
          <w:highlight w:val="none"/>
        </w:rPr>
        <w:t>四、资格条件及其他</w:t>
      </w:r>
      <w:r>
        <w:rPr>
          <w:color w:val="auto"/>
          <w:highlight w:val="none"/>
        </w:rPr>
        <w:tab/>
      </w:r>
      <w:r>
        <w:rPr>
          <w:color w:val="auto"/>
          <w:highlight w:val="none"/>
        </w:rPr>
        <w:fldChar w:fldCharType="begin"/>
      </w:r>
      <w:r>
        <w:rPr>
          <w:color w:val="auto"/>
          <w:highlight w:val="none"/>
        </w:rPr>
        <w:instrText xml:space="preserve"> PAGEREF _Toc11111 \h </w:instrText>
      </w:r>
      <w:r>
        <w:rPr>
          <w:color w:val="auto"/>
          <w:highlight w:val="none"/>
        </w:rPr>
        <w:fldChar w:fldCharType="separate"/>
      </w:r>
      <w:r>
        <w:rPr>
          <w:color w:val="auto"/>
          <w:highlight w:val="none"/>
        </w:rPr>
        <w:t>49</w:t>
      </w:r>
      <w:r>
        <w:rPr>
          <w:color w:val="auto"/>
          <w:highlight w:val="none"/>
        </w:rPr>
        <w:fldChar w:fldCharType="end"/>
      </w:r>
      <w:r>
        <w:rPr>
          <w:rFonts w:hint="eastAsia" w:asciiTheme="minorEastAsia" w:hAnsiTheme="minorEastAsia"/>
          <w:color w:val="auto"/>
          <w:szCs w:val="21"/>
          <w:highlight w:val="none"/>
        </w:rPr>
        <w:fldChar w:fldCharType="end"/>
      </w:r>
    </w:p>
    <w:p w14:paraId="17E423BC">
      <w:pPr>
        <w:pStyle w:val="17"/>
        <w:tabs>
          <w:tab w:val="right" w:leader="dot" w:pos="9412"/>
          <w:tab w:val="clear" w:pos="8400"/>
        </w:tabs>
        <w:rPr>
          <w:color w:val="auto"/>
          <w:highlight w:val="none"/>
        </w:rPr>
      </w:pPr>
      <w:r>
        <w:rPr>
          <w:rFonts w:hint="eastAsia" w:asciiTheme="minorEastAsia" w:hAnsiTheme="minorEastAsia"/>
          <w:color w:val="auto"/>
          <w:szCs w:val="21"/>
          <w:highlight w:val="none"/>
        </w:rPr>
        <w:fldChar w:fldCharType="begin"/>
      </w:r>
      <w:r>
        <w:rPr>
          <w:rFonts w:hint="eastAsia" w:asciiTheme="minorEastAsia" w:hAnsiTheme="minorEastAsia"/>
          <w:color w:val="auto"/>
          <w:szCs w:val="21"/>
          <w:highlight w:val="none"/>
        </w:rPr>
        <w:instrText xml:space="preserve"> HYPERLINK \l _Toc16650 </w:instrText>
      </w:r>
      <w:r>
        <w:rPr>
          <w:rFonts w:hint="eastAsia" w:asciiTheme="minorEastAsia" w:hAnsiTheme="minorEastAsia"/>
          <w:color w:val="auto"/>
          <w:szCs w:val="21"/>
          <w:highlight w:val="none"/>
        </w:rPr>
        <w:fldChar w:fldCharType="separate"/>
      </w:r>
      <w:r>
        <w:rPr>
          <w:rFonts w:hint="eastAsia" w:asciiTheme="minorEastAsia" w:hAnsiTheme="minorEastAsia"/>
          <w:color w:val="auto"/>
          <w:highlight w:val="none"/>
        </w:rPr>
        <w:t>五、其他资料</w:t>
      </w:r>
      <w:r>
        <w:rPr>
          <w:color w:val="auto"/>
          <w:highlight w:val="none"/>
        </w:rPr>
        <w:tab/>
      </w:r>
      <w:r>
        <w:rPr>
          <w:color w:val="auto"/>
          <w:highlight w:val="none"/>
        </w:rPr>
        <w:fldChar w:fldCharType="begin"/>
      </w:r>
      <w:r>
        <w:rPr>
          <w:color w:val="auto"/>
          <w:highlight w:val="none"/>
        </w:rPr>
        <w:instrText xml:space="preserve"> PAGEREF _Toc16650 \h </w:instrText>
      </w:r>
      <w:r>
        <w:rPr>
          <w:color w:val="auto"/>
          <w:highlight w:val="none"/>
        </w:rPr>
        <w:fldChar w:fldCharType="separate"/>
      </w:r>
      <w:r>
        <w:rPr>
          <w:color w:val="auto"/>
          <w:highlight w:val="none"/>
        </w:rPr>
        <w:t>54</w:t>
      </w:r>
      <w:r>
        <w:rPr>
          <w:color w:val="auto"/>
          <w:highlight w:val="none"/>
        </w:rPr>
        <w:fldChar w:fldCharType="end"/>
      </w:r>
      <w:r>
        <w:rPr>
          <w:rFonts w:hint="eastAsia" w:asciiTheme="minorEastAsia" w:hAnsiTheme="minorEastAsia"/>
          <w:color w:val="auto"/>
          <w:szCs w:val="21"/>
          <w:highlight w:val="none"/>
        </w:rPr>
        <w:fldChar w:fldCharType="end"/>
      </w:r>
    </w:p>
    <w:p w14:paraId="4BB56C71">
      <w:pPr>
        <w:pStyle w:val="17"/>
        <w:tabs>
          <w:tab w:val="right" w:leader="dot" w:pos="9402"/>
          <w:tab w:val="clear" w:pos="8400"/>
        </w:tabs>
        <w:spacing w:line="480" w:lineRule="exact"/>
        <w:ind w:left="240" w:right="-218"/>
        <w:rPr>
          <w:rFonts w:hint="eastAsia" w:asciiTheme="minorEastAsia" w:hAnsiTheme="minorEastAsia"/>
          <w:color w:val="auto"/>
          <w:sz w:val="18"/>
          <w:highlight w:val="none"/>
        </w:rPr>
        <w:sectPr>
          <w:pgSz w:w="11907" w:h="16840"/>
          <w:pgMar w:top="1134" w:right="1191" w:bottom="1134" w:left="1304" w:header="851" w:footer="992" w:gutter="0"/>
          <w:pgNumType w:fmt="numberInDash" w:start="1"/>
          <w:cols w:space="720" w:num="1"/>
          <w:docGrid w:linePitch="381" w:charSpace="-5735"/>
        </w:sectPr>
      </w:pPr>
      <w:r>
        <w:rPr>
          <w:rFonts w:hint="eastAsia" w:asciiTheme="minorEastAsia" w:hAnsiTheme="minorEastAsia"/>
          <w:color w:val="auto"/>
          <w:szCs w:val="21"/>
          <w:highlight w:val="none"/>
        </w:rPr>
        <w:fldChar w:fldCharType="end"/>
      </w:r>
    </w:p>
    <w:p w14:paraId="0A0E10BB">
      <w:pPr>
        <w:pStyle w:val="3"/>
        <w:pageBreakBefore/>
        <w:jc w:val="center"/>
        <w:rPr>
          <w:rFonts w:hint="eastAsia" w:asciiTheme="minorEastAsia" w:hAnsiTheme="minorEastAsia"/>
          <w:color w:val="auto"/>
          <w:sz w:val="36"/>
          <w:szCs w:val="30"/>
          <w:highlight w:val="none"/>
        </w:rPr>
      </w:pPr>
      <w:bookmarkStart w:id="2" w:name="_Toc24173"/>
      <w:bookmarkStart w:id="3" w:name="_Toc65660329"/>
      <w:bookmarkStart w:id="4" w:name="_Toc15726"/>
      <w:bookmarkStart w:id="5" w:name="_Toc12789052"/>
      <w:bookmarkStart w:id="6" w:name="_Toc24817"/>
      <w:bookmarkStart w:id="7" w:name="_Toc11641050"/>
      <w:bookmarkStart w:id="8" w:name="_Toc29616"/>
      <w:r>
        <w:rPr>
          <w:rFonts w:hint="eastAsia" w:asciiTheme="minorEastAsia" w:hAnsiTheme="minorEastAsia"/>
          <w:color w:val="auto"/>
          <w:sz w:val="36"/>
          <w:szCs w:val="30"/>
          <w:highlight w:val="none"/>
        </w:rPr>
        <w:t xml:space="preserve">第一篇  </w:t>
      </w:r>
      <w:r>
        <w:rPr>
          <w:rFonts w:hint="eastAsia" w:cs="Arial" w:asciiTheme="minorEastAsia" w:hAnsiTheme="minorEastAsia"/>
          <w:color w:val="auto"/>
          <w:sz w:val="36"/>
          <w:highlight w:val="none"/>
        </w:rPr>
        <w:t>询价采购邀请书</w:t>
      </w:r>
      <w:bookmarkEnd w:id="2"/>
      <w:bookmarkEnd w:id="3"/>
      <w:bookmarkEnd w:id="4"/>
      <w:bookmarkEnd w:id="5"/>
      <w:bookmarkEnd w:id="6"/>
      <w:bookmarkEnd w:id="7"/>
      <w:bookmarkEnd w:id="8"/>
    </w:p>
    <w:p w14:paraId="58A49C11">
      <w:pPr>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重庆景强项目管理有限责任公司（以下简称：采购代理机构）接受垫江县残疾人联合会（以下简称：采购人）的委托，对垫江县残联2025年度基本型辅助器具适配采购进行询价采购。欢迎有资格的供应商前来参加报价。</w:t>
      </w:r>
    </w:p>
    <w:p w14:paraId="3E04129D">
      <w:pPr>
        <w:pStyle w:val="3"/>
        <w:numPr>
          <w:ilvl w:val="0"/>
          <w:numId w:val="1"/>
        </w:numPr>
        <w:spacing w:line="400" w:lineRule="exact"/>
        <w:ind w:firstLine="480" w:firstLineChars="200"/>
        <w:rPr>
          <w:rFonts w:hint="eastAsia" w:asciiTheme="minorEastAsia" w:hAnsiTheme="minorEastAsia"/>
          <w:color w:val="auto"/>
          <w:highlight w:val="none"/>
        </w:rPr>
      </w:pPr>
      <w:bookmarkStart w:id="9" w:name="_Toc7758"/>
      <w:bookmarkStart w:id="10" w:name="_Toc313893526"/>
      <w:bookmarkStart w:id="11" w:name="_Toc32728"/>
      <w:bookmarkStart w:id="12" w:name="_Toc65660330"/>
      <w:bookmarkStart w:id="13" w:name="_Toc26091"/>
      <w:bookmarkStart w:id="14" w:name="_Toc317775175"/>
      <w:bookmarkStart w:id="15" w:name="_Toc18246"/>
      <w:r>
        <w:rPr>
          <w:rFonts w:hint="eastAsia" w:asciiTheme="minorEastAsia" w:hAnsiTheme="minorEastAsia"/>
          <w:color w:val="auto"/>
          <w:highlight w:val="none"/>
        </w:rPr>
        <w:t>询价内容</w:t>
      </w:r>
      <w:bookmarkEnd w:id="9"/>
      <w:bookmarkEnd w:id="10"/>
      <w:bookmarkEnd w:id="11"/>
      <w:bookmarkEnd w:id="12"/>
      <w:bookmarkEnd w:id="13"/>
      <w:bookmarkEnd w:id="14"/>
      <w:bookmarkEnd w:id="15"/>
    </w:p>
    <w:tbl>
      <w:tblPr>
        <w:tblStyle w:val="21"/>
        <w:tblW w:w="91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7"/>
        <w:gridCol w:w="2712"/>
        <w:gridCol w:w="1463"/>
      </w:tblGrid>
      <w:tr w14:paraId="3C6D5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7" w:type="dxa"/>
            <w:vAlign w:val="center"/>
          </w:tcPr>
          <w:p w14:paraId="3D4AF417">
            <w:pPr>
              <w:pStyle w:val="8"/>
              <w:spacing w:line="240" w:lineRule="auto"/>
              <w:ind w:left="0"/>
              <w:jc w:val="center"/>
              <w:outlineLvl w:val="0"/>
              <w:rPr>
                <w:rFonts w:hint="eastAsia" w:asciiTheme="minorEastAsia" w:hAnsiTheme="minorEastAsia"/>
                <w:b/>
                <w:color w:val="auto"/>
                <w:sz w:val="21"/>
                <w:szCs w:val="21"/>
                <w:highlight w:val="none"/>
              </w:rPr>
            </w:pPr>
            <w:r>
              <w:rPr>
                <w:rFonts w:hint="eastAsia" w:asciiTheme="minorEastAsia" w:hAnsiTheme="minorEastAsia"/>
                <w:b/>
                <w:color w:val="auto"/>
                <w:sz w:val="21"/>
                <w:szCs w:val="21"/>
                <w:highlight w:val="none"/>
              </w:rPr>
              <w:t>名称</w:t>
            </w:r>
          </w:p>
        </w:tc>
        <w:tc>
          <w:tcPr>
            <w:tcW w:w="2712" w:type="dxa"/>
            <w:vAlign w:val="center"/>
          </w:tcPr>
          <w:p w14:paraId="7F82F523">
            <w:pPr>
              <w:pStyle w:val="8"/>
              <w:spacing w:line="240" w:lineRule="auto"/>
              <w:ind w:left="0"/>
              <w:jc w:val="center"/>
              <w:outlineLvl w:val="0"/>
              <w:rPr>
                <w:rFonts w:hint="eastAsia" w:asciiTheme="minorEastAsia" w:hAnsiTheme="minorEastAsia"/>
                <w:b/>
                <w:color w:val="auto"/>
                <w:sz w:val="21"/>
                <w:szCs w:val="21"/>
                <w:highlight w:val="none"/>
              </w:rPr>
            </w:pPr>
            <w:r>
              <w:rPr>
                <w:rFonts w:hint="eastAsia" w:asciiTheme="minorEastAsia" w:hAnsiTheme="minorEastAsia"/>
                <w:b/>
                <w:color w:val="auto"/>
                <w:sz w:val="21"/>
                <w:szCs w:val="21"/>
                <w:highlight w:val="none"/>
              </w:rPr>
              <w:t>项目总报价最高限价（元）</w:t>
            </w:r>
          </w:p>
        </w:tc>
        <w:tc>
          <w:tcPr>
            <w:tcW w:w="1463" w:type="dxa"/>
            <w:vAlign w:val="center"/>
          </w:tcPr>
          <w:p w14:paraId="5E03374D">
            <w:pPr>
              <w:pStyle w:val="8"/>
              <w:spacing w:line="240" w:lineRule="auto"/>
              <w:ind w:left="0"/>
              <w:jc w:val="center"/>
              <w:outlineLvl w:val="0"/>
              <w:rPr>
                <w:rFonts w:hint="eastAsia" w:asciiTheme="minorEastAsia" w:hAnsiTheme="minorEastAsia"/>
                <w:b/>
                <w:color w:val="auto"/>
                <w:sz w:val="21"/>
                <w:szCs w:val="21"/>
                <w:highlight w:val="none"/>
              </w:rPr>
            </w:pPr>
            <w:r>
              <w:rPr>
                <w:rFonts w:hint="eastAsia" w:asciiTheme="minorEastAsia" w:hAnsiTheme="minorEastAsia"/>
                <w:b/>
                <w:color w:val="auto"/>
                <w:sz w:val="21"/>
                <w:szCs w:val="21"/>
                <w:highlight w:val="none"/>
              </w:rPr>
              <w:t>成交供应商数量（名）</w:t>
            </w:r>
          </w:p>
        </w:tc>
      </w:tr>
      <w:tr w14:paraId="6018A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7" w:type="dxa"/>
            <w:vAlign w:val="center"/>
          </w:tcPr>
          <w:p w14:paraId="4A45A9F5">
            <w:pPr>
              <w:pStyle w:val="8"/>
              <w:spacing w:line="240" w:lineRule="auto"/>
              <w:ind w:left="0"/>
              <w:jc w:val="center"/>
              <w:outlineLvl w:val="0"/>
              <w:rPr>
                <w:rFonts w:hint="eastAsia" w:eastAsia="宋体" w:asciiTheme="minorEastAsia" w:hAnsiTheme="minorEastAsia"/>
                <w:b/>
                <w:color w:val="auto"/>
                <w:sz w:val="21"/>
                <w:szCs w:val="21"/>
                <w:highlight w:val="none"/>
                <w:lang w:eastAsia="zh-CN"/>
              </w:rPr>
            </w:pPr>
            <w:r>
              <w:rPr>
                <w:rFonts w:hint="eastAsia" w:asciiTheme="minorEastAsia" w:hAnsiTheme="minorEastAsia"/>
                <w:color w:val="auto"/>
                <w:sz w:val="21"/>
                <w:szCs w:val="21"/>
                <w:highlight w:val="none"/>
                <w:lang w:eastAsia="zh-CN"/>
              </w:rPr>
              <w:t>垫江县残联2025年度基本型辅助器具适配采购</w:t>
            </w:r>
          </w:p>
        </w:tc>
        <w:tc>
          <w:tcPr>
            <w:tcW w:w="2712" w:type="dxa"/>
            <w:vAlign w:val="center"/>
          </w:tcPr>
          <w:p w14:paraId="6D960BDF">
            <w:pPr>
              <w:pStyle w:val="8"/>
              <w:spacing w:line="240" w:lineRule="auto"/>
              <w:ind w:left="0"/>
              <w:jc w:val="center"/>
              <w:outlineLvl w:val="0"/>
              <w:rPr>
                <w:rFonts w:hint="default" w:eastAsia="宋体" w:asciiTheme="minorEastAsia" w:hAnsiTheme="minorEastAsia"/>
                <w:b/>
                <w:color w:val="auto"/>
                <w:sz w:val="21"/>
                <w:szCs w:val="21"/>
                <w:highlight w:val="none"/>
                <w:lang w:val="en-US" w:eastAsia="zh-CN"/>
              </w:rPr>
            </w:pPr>
            <w:r>
              <w:rPr>
                <w:rFonts w:hint="eastAsia"/>
                <w:color w:val="auto"/>
                <w:sz w:val="21"/>
                <w:szCs w:val="21"/>
                <w:highlight w:val="none"/>
                <w:lang w:val="en-US" w:eastAsia="zh-CN"/>
              </w:rPr>
              <w:t>230000.00</w:t>
            </w:r>
          </w:p>
        </w:tc>
        <w:tc>
          <w:tcPr>
            <w:tcW w:w="1463" w:type="dxa"/>
            <w:vAlign w:val="center"/>
          </w:tcPr>
          <w:p w14:paraId="30524B1F">
            <w:pPr>
              <w:pStyle w:val="8"/>
              <w:spacing w:line="240" w:lineRule="auto"/>
              <w:ind w:left="0"/>
              <w:jc w:val="center"/>
              <w:outlineLvl w:val="0"/>
              <w:rPr>
                <w:rFonts w:hint="eastAsia" w:asciiTheme="minorEastAsia" w:hAnsiTheme="minorEastAsia"/>
                <w:b/>
                <w:color w:val="auto"/>
                <w:sz w:val="21"/>
                <w:szCs w:val="21"/>
                <w:highlight w:val="none"/>
              </w:rPr>
            </w:pPr>
            <w:r>
              <w:rPr>
                <w:rFonts w:hint="eastAsia" w:asciiTheme="minorEastAsia" w:hAnsiTheme="minorEastAsia"/>
                <w:color w:val="auto"/>
                <w:sz w:val="21"/>
                <w:szCs w:val="21"/>
                <w:highlight w:val="none"/>
              </w:rPr>
              <w:t>1</w:t>
            </w:r>
          </w:p>
        </w:tc>
      </w:tr>
    </w:tbl>
    <w:p w14:paraId="2CD7E46F">
      <w:pPr>
        <w:pStyle w:val="3"/>
        <w:spacing w:line="400" w:lineRule="exact"/>
        <w:ind w:firstLine="480" w:firstLineChars="200"/>
        <w:rPr>
          <w:rFonts w:hint="eastAsia" w:asciiTheme="minorEastAsia" w:hAnsiTheme="minorEastAsia"/>
          <w:color w:val="auto"/>
          <w:highlight w:val="none"/>
        </w:rPr>
      </w:pPr>
      <w:bookmarkStart w:id="16" w:name="_Toc65660331"/>
      <w:bookmarkStart w:id="17" w:name="_Toc3256"/>
      <w:bookmarkStart w:id="18" w:name="_Toc27028"/>
      <w:bookmarkStart w:id="19" w:name="_Toc4424"/>
      <w:bookmarkStart w:id="20" w:name="_Toc3191"/>
      <w:bookmarkStart w:id="21" w:name="_Toc373860293"/>
      <w:bookmarkStart w:id="22" w:name="_Toc317775178"/>
      <w:r>
        <w:rPr>
          <w:rFonts w:hint="eastAsia" w:asciiTheme="minorEastAsia" w:hAnsiTheme="minorEastAsia"/>
          <w:color w:val="auto"/>
          <w:highlight w:val="none"/>
        </w:rPr>
        <w:t>二、资金来源</w:t>
      </w:r>
      <w:bookmarkEnd w:id="16"/>
      <w:bookmarkEnd w:id="17"/>
      <w:bookmarkEnd w:id="18"/>
      <w:bookmarkEnd w:id="19"/>
      <w:bookmarkEnd w:id="20"/>
    </w:p>
    <w:p w14:paraId="71634286">
      <w:pPr>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国有资金，采购预算共</w:t>
      </w:r>
      <w:r>
        <w:rPr>
          <w:rFonts w:hint="eastAsia" w:asciiTheme="minorEastAsia" w:hAnsiTheme="minorEastAsia"/>
          <w:color w:val="auto"/>
          <w:highlight w:val="none"/>
          <w:lang w:val="en-US" w:eastAsia="zh-CN"/>
        </w:rPr>
        <w:t>230000</w:t>
      </w:r>
      <w:r>
        <w:rPr>
          <w:rFonts w:hint="eastAsia" w:asciiTheme="minorEastAsia" w:hAnsiTheme="minorEastAsia"/>
          <w:color w:val="auto"/>
          <w:highlight w:val="none"/>
        </w:rPr>
        <w:t>.00元。</w:t>
      </w:r>
    </w:p>
    <w:p w14:paraId="07FC0479">
      <w:pPr>
        <w:pStyle w:val="3"/>
        <w:spacing w:line="400" w:lineRule="exact"/>
        <w:ind w:firstLine="480" w:firstLineChars="200"/>
        <w:rPr>
          <w:rFonts w:hint="eastAsia" w:asciiTheme="minorEastAsia" w:hAnsiTheme="minorEastAsia"/>
          <w:color w:val="auto"/>
          <w:highlight w:val="none"/>
        </w:rPr>
      </w:pPr>
      <w:bookmarkStart w:id="23" w:name="_Toc64731996"/>
      <w:bookmarkStart w:id="24" w:name="_Toc18548"/>
      <w:bookmarkStart w:id="25" w:name="_Toc13541"/>
      <w:bookmarkStart w:id="26" w:name="_Toc65660332"/>
      <w:bookmarkStart w:id="27" w:name="_Toc1736"/>
      <w:bookmarkStart w:id="28" w:name="_Toc20867"/>
      <w:r>
        <w:rPr>
          <w:rFonts w:hint="eastAsia" w:asciiTheme="minorEastAsia" w:hAnsiTheme="minorEastAsia"/>
          <w:color w:val="auto"/>
          <w:highlight w:val="none"/>
        </w:rPr>
        <w:t>三、供应商资格条件</w:t>
      </w:r>
      <w:bookmarkEnd w:id="23"/>
      <w:bookmarkEnd w:id="24"/>
      <w:bookmarkEnd w:id="25"/>
      <w:bookmarkEnd w:id="26"/>
      <w:bookmarkEnd w:id="27"/>
      <w:bookmarkEnd w:id="28"/>
    </w:p>
    <w:p w14:paraId="6A4437BF">
      <w:pPr>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（一）满足《中华人民共和国政府采购法》第二十二条规定；</w:t>
      </w:r>
    </w:p>
    <w:p w14:paraId="561B9784">
      <w:pPr>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（二）本项目的特定资格要求：无。</w:t>
      </w:r>
    </w:p>
    <w:p w14:paraId="7B9089D4">
      <w:pPr>
        <w:pStyle w:val="3"/>
        <w:spacing w:line="400" w:lineRule="exact"/>
        <w:ind w:firstLine="480" w:firstLineChars="200"/>
        <w:rPr>
          <w:rFonts w:hint="eastAsia" w:asciiTheme="minorEastAsia" w:hAnsiTheme="minorEastAsia"/>
          <w:color w:val="auto"/>
          <w:highlight w:val="none"/>
        </w:rPr>
      </w:pPr>
      <w:bookmarkStart w:id="29" w:name="_Toc65660333"/>
      <w:bookmarkStart w:id="30" w:name="_Toc13903"/>
      <w:bookmarkStart w:id="31" w:name="_Toc23804"/>
      <w:bookmarkStart w:id="32" w:name="_Toc11908"/>
      <w:r>
        <w:rPr>
          <w:rFonts w:hint="eastAsia" w:asciiTheme="minorEastAsia" w:hAnsiTheme="minorEastAsia"/>
          <w:color w:val="auto"/>
          <w:highlight w:val="none"/>
        </w:rPr>
        <w:t>四、询价有关说明</w:t>
      </w:r>
      <w:bookmarkEnd w:id="21"/>
      <w:bookmarkEnd w:id="29"/>
      <w:bookmarkEnd w:id="30"/>
      <w:bookmarkEnd w:id="31"/>
      <w:bookmarkEnd w:id="32"/>
    </w:p>
    <w:p w14:paraId="730472EA">
      <w:pPr>
        <w:snapToGrid w:val="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（一）凡有意参加询价的供应商，请在垫江县人民政府网上下载本项目询价通知书、澄清等报价前公布的所有项目资料，无论供应商下载与否，均视为已知晓所有实质性要求内容。</w:t>
      </w:r>
    </w:p>
    <w:p w14:paraId="0CB9603D">
      <w:pPr>
        <w:snapToGrid w:val="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（二）询价公告期限：自采购公告发布之日起三个工作日。</w:t>
      </w:r>
    </w:p>
    <w:p w14:paraId="3EADC6EC">
      <w:pPr>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（三）获取询价通知书期限：</w:t>
      </w:r>
    </w:p>
    <w:p w14:paraId="2BB51F81">
      <w:pPr>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1.询价通知书提供期限：同询价公告期限。</w:t>
      </w:r>
    </w:p>
    <w:p w14:paraId="5E86748C">
      <w:pPr>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2.报名方式：无需报名</w:t>
      </w:r>
    </w:p>
    <w:p w14:paraId="67321325">
      <w:pPr>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3.询价通知书售价：</w:t>
      </w:r>
      <w:r>
        <w:rPr>
          <w:rFonts w:hint="eastAsia" w:asciiTheme="minorEastAsia" w:hAnsiTheme="minorEastAsia"/>
          <w:color w:val="auto"/>
          <w:highlight w:val="none"/>
          <w:lang w:val="en-US" w:eastAsia="zh-CN"/>
        </w:rPr>
        <w:t>/</w:t>
      </w:r>
      <w:r>
        <w:rPr>
          <w:rFonts w:hint="eastAsia" w:asciiTheme="minorEastAsia" w:hAnsiTheme="minorEastAsia"/>
          <w:color w:val="auto"/>
          <w:highlight w:val="none"/>
        </w:rPr>
        <w:t>。</w:t>
      </w:r>
    </w:p>
    <w:p w14:paraId="07156F0D">
      <w:pPr>
        <w:snapToGrid w:val="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（四）递交响应文件地点：垫江县行政机关综合办公楼三（社保大楼）701会议室</w:t>
      </w:r>
    </w:p>
    <w:p w14:paraId="5C51FBD2">
      <w:pPr>
        <w:snapToGrid w:val="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（五）提交响应文件截止时间：</w:t>
      </w:r>
      <w:r>
        <w:rPr>
          <w:rFonts w:hint="eastAsia" w:asciiTheme="minorEastAsia" w:hAnsiTheme="minorEastAsia"/>
          <w:color w:val="auto"/>
          <w:highlight w:val="none"/>
        </w:rPr>
        <w:t>2025年</w:t>
      </w:r>
      <w:r>
        <w:rPr>
          <w:rFonts w:hint="eastAsia" w:asciiTheme="minorEastAsia" w:hAnsiTheme="minorEastAsia"/>
          <w:color w:val="auto"/>
          <w:highlight w:val="none"/>
          <w:u w:val="single"/>
          <w:lang w:val="en-US" w:eastAsia="zh-CN"/>
        </w:rPr>
        <w:t>11</w:t>
      </w:r>
      <w:r>
        <w:rPr>
          <w:rFonts w:hint="eastAsia" w:asciiTheme="minorEastAsia" w:hAnsiTheme="minorEastAsia"/>
          <w:color w:val="auto"/>
          <w:highlight w:val="none"/>
        </w:rPr>
        <w:t>月</w:t>
      </w:r>
      <w:r>
        <w:rPr>
          <w:rFonts w:hint="eastAsia" w:asciiTheme="minorEastAsia" w:hAnsiTheme="minorEastAsia"/>
          <w:color w:val="auto"/>
          <w:highlight w:val="none"/>
          <w:u w:val="single"/>
          <w:lang w:val="en-US" w:eastAsia="zh-CN"/>
        </w:rPr>
        <w:t>6</w:t>
      </w:r>
      <w:r>
        <w:rPr>
          <w:rFonts w:hint="eastAsia" w:asciiTheme="minorEastAsia" w:hAnsiTheme="minorEastAsia"/>
          <w:color w:val="auto"/>
          <w:highlight w:val="none"/>
        </w:rPr>
        <w:t>日北京时间</w:t>
      </w:r>
      <w:r>
        <w:rPr>
          <w:rFonts w:hint="eastAsia" w:asciiTheme="minorEastAsia" w:hAnsiTheme="minorEastAsia"/>
          <w:color w:val="auto"/>
          <w:highlight w:val="none"/>
          <w:lang w:val="en-US" w:eastAsia="zh-CN"/>
        </w:rPr>
        <w:t>14</w:t>
      </w:r>
      <w:r>
        <w:rPr>
          <w:rFonts w:hint="eastAsia" w:asciiTheme="minorEastAsia" w:hAnsiTheme="minorEastAsia"/>
          <w:color w:val="auto"/>
          <w:highlight w:val="none"/>
        </w:rPr>
        <w:t>:</w:t>
      </w:r>
      <w:r>
        <w:rPr>
          <w:rFonts w:hint="eastAsia" w:asciiTheme="minorEastAsia" w:hAnsiTheme="minorEastAsia"/>
          <w:color w:val="auto"/>
          <w:highlight w:val="none"/>
          <w:lang w:val="en-US" w:eastAsia="zh-CN"/>
        </w:rPr>
        <w:t>3</w:t>
      </w:r>
      <w:r>
        <w:rPr>
          <w:rFonts w:hint="eastAsia" w:asciiTheme="minorEastAsia" w:hAnsiTheme="minorEastAsia"/>
          <w:color w:val="auto"/>
          <w:highlight w:val="none"/>
        </w:rPr>
        <w:t>0</w:t>
      </w:r>
      <w:r>
        <w:rPr>
          <w:rFonts w:hint="eastAsia" w:asciiTheme="minorEastAsia" w:hAnsiTheme="minorEastAsia"/>
          <w:color w:val="auto"/>
          <w:highlight w:val="none"/>
        </w:rPr>
        <w:t>，截止时间前半小时内为递交响应文件时间。</w:t>
      </w:r>
    </w:p>
    <w:p w14:paraId="503686AC">
      <w:pPr>
        <w:snapToGrid w:val="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（六）评审开始时间：</w:t>
      </w:r>
      <w:r>
        <w:rPr>
          <w:rFonts w:hint="eastAsia" w:asciiTheme="minorEastAsia" w:hAnsiTheme="minorEastAsia"/>
          <w:color w:val="auto"/>
          <w:highlight w:val="none"/>
        </w:rPr>
        <w:t>2025年</w:t>
      </w:r>
      <w:r>
        <w:rPr>
          <w:rFonts w:hint="eastAsia" w:asciiTheme="minorEastAsia" w:hAnsiTheme="minorEastAsia"/>
          <w:color w:val="auto"/>
          <w:highlight w:val="none"/>
          <w:u w:val="single"/>
          <w:lang w:val="en-US" w:eastAsia="zh-CN"/>
        </w:rPr>
        <w:t>11</w:t>
      </w:r>
      <w:r>
        <w:rPr>
          <w:rFonts w:hint="eastAsia" w:asciiTheme="minorEastAsia" w:hAnsiTheme="minorEastAsia"/>
          <w:color w:val="auto"/>
          <w:highlight w:val="none"/>
        </w:rPr>
        <w:t>月</w:t>
      </w:r>
      <w:r>
        <w:rPr>
          <w:rFonts w:hint="eastAsia" w:asciiTheme="minorEastAsia" w:hAnsiTheme="minorEastAsia"/>
          <w:color w:val="auto"/>
          <w:highlight w:val="none"/>
          <w:u w:val="single"/>
          <w:lang w:val="en-US" w:eastAsia="zh-CN"/>
        </w:rPr>
        <w:t>6</w:t>
      </w:r>
      <w:r>
        <w:rPr>
          <w:rFonts w:hint="eastAsia" w:asciiTheme="minorEastAsia" w:hAnsiTheme="minorEastAsia"/>
          <w:color w:val="auto"/>
          <w:highlight w:val="none"/>
        </w:rPr>
        <w:t>日北京时间</w:t>
      </w:r>
      <w:r>
        <w:rPr>
          <w:rFonts w:hint="eastAsia" w:asciiTheme="minorEastAsia" w:hAnsiTheme="minorEastAsia"/>
          <w:color w:val="auto"/>
          <w:highlight w:val="none"/>
          <w:lang w:val="en-US" w:eastAsia="zh-CN"/>
        </w:rPr>
        <w:t>14</w:t>
      </w:r>
      <w:r>
        <w:rPr>
          <w:rFonts w:hint="eastAsia" w:asciiTheme="minorEastAsia" w:hAnsiTheme="minorEastAsia"/>
          <w:color w:val="auto"/>
          <w:highlight w:val="none"/>
        </w:rPr>
        <w:t>:</w:t>
      </w:r>
      <w:r>
        <w:rPr>
          <w:rFonts w:hint="eastAsia" w:asciiTheme="minorEastAsia" w:hAnsiTheme="minorEastAsia"/>
          <w:color w:val="auto"/>
          <w:highlight w:val="none"/>
          <w:lang w:val="en-US" w:eastAsia="zh-CN"/>
        </w:rPr>
        <w:t>3</w:t>
      </w:r>
      <w:r>
        <w:rPr>
          <w:rFonts w:hint="eastAsia" w:asciiTheme="minorEastAsia" w:hAnsiTheme="minorEastAsia"/>
          <w:color w:val="auto"/>
          <w:highlight w:val="none"/>
        </w:rPr>
        <w:t>0</w:t>
      </w:r>
      <w:r>
        <w:rPr>
          <w:rFonts w:hint="eastAsia" w:asciiTheme="minorEastAsia" w:hAnsiTheme="minorEastAsia"/>
          <w:color w:val="auto"/>
          <w:highlight w:val="none"/>
        </w:rPr>
        <w:t>。</w:t>
      </w:r>
    </w:p>
    <w:bookmarkEnd w:id="22"/>
    <w:p w14:paraId="56D95717">
      <w:pPr>
        <w:pStyle w:val="3"/>
        <w:spacing w:line="400" w:lineRule="exact"/>
        <w:ind w:firstLine="480" w:firstLineChars="200"/>
        <w:rPr>
          <w:rFonts w:hint="eastAsia" w:asciiTheme="minorEastAsia" w:hAnsiTheme="minorEastAsia"/>
          <w:color w:val="auto"/>
          <w:highlight w:val="none"/>
        </w:rPr>
      </w:pPr>
      <w:bookmarkStart w:id="33" w:name="_Toc6178"/>
      <w:bookmarkStart w:id="34" w:name="_Toc11956"/>
      <w:bookmarkStart w:id="35" w:name="_Toc525047161"/>
      <w:bookmarkStart w:id="36" w:name="_Toc23001"/>
      <w:bookmarkStart w:id="37" w:name="_Toc521053053"/>
      <w:bookmarkStart w:id="38" w:name="_Toc4638"/>
      <w:bookmarkStart w:id="39" w:name="_Toc65660334"/>
      <w:bookmarkStart w:id="40" w:name="_Toc373860294"/>
      <w:r>
        <w:rPr>
          <w:rFonts w:hint="eastAsia" w:asciiTheme="minorEastAsia" w:hAnsiTheme="minorEastAsia"/>
          <w:color w:val="auto"/>
          <w:highlight w:val="none"/>
        </w:rPr>
        <w:t>五、保证金</w:t>
      </w:r>
      <w:bookmarkEnd w:id="33"/>
      <w:bookmarkEnd w:id="34"/>
      <w:bookmarkEnd w:id="35"/>
      <w:bookmarkEnd w:id="36"/>
      <w:bookmarkEnd w:id="37"/>
      <w:bookmarkEnd w:id="38"/>
      <w:bookmarkEnd w:id="39"/>
      <w:bookmarkEnd w:id="40"/>
    </w:p>
    <w:p w14:paraId="6AEEE8B1">
      <w:pPr>
        <w:snapToGrid w:val="0"/>
        <w:spacing w:line="400" w:lineRule="exact"/>
        <w:ind w:firstLine="480" w:firstLineChars="200"/>
        <w:rPr>
          <w:rFonts w:hint="eastAsia" w:cs="Times New Roman" w:asciiTheme="minorEastAsia" w:hAnsiTheme="minorEastAsia"/>
          <w:color w:val="auto"/>
          <w:highlight w:val="none"/>
        </w:rPr>
      </w:pPr>
      <w:bookmarkStart w:id="41" w:name="_Toc4355"/>
      <w:bookmarkStart w:id="42" w:name="_Toc65660335"/>
      <w:bookmarkStart w:id="43" w:name="_Toc521053054"/>
      <w:bookmarkStart w:id="44" w:name="_Toc525047162"/>
      <w:bookmarkStart w:id="45" w:name="_Toc479668114"/>
      <w:bookmarkStart w:id="46" w:name="_Toc2945"/>
      <w:bookmarkStart w:id="47" w:name="_Toc12296"/>
      <w:r>
        <w:rPr>
          <w:rFonts w:hint="eastAsia"/>
          <w:color w:val="auto"/>
          <w:highlight w:val="none"/>
        </w:rPr>
        <w:t>无</w:t>
      </w:r>
    </w:p>
    <w:p w14:paraId="6A61B83F">
      <w:pPr>
        <w:pStyle w:val="3"/>
        <w:spacing w:line="400" w:lineRule="exact"/>
        <w:ind w:firstLine="480" w:firstLineChars="200"/>
        <w:rPr>
          <w:rFonts w:hint="eastAsia" w:asciiTheme="minorEastAsia" w:hAnsiTheme="minorEastAsia"/>
          <w:color w:val="auto"/>
          <w:highlight w:val="none"/>
        </w:rPr>
      </w:pPr>
      <w:bookmarkStart w:id="48" w:name="_Toc14337"/>
      <w:r>
        <w:rPr>
          <w:rFonts w:hint="eastAsia" w:asciiTheme="minorEastAsia" w:hAnsiTheme="minorEastAsia"/>
          <w:color w:val="auto"/>
          <w:highlight w:val="none"/>
        </w:rPr>
        <w:t>六、</w:t>
      </w:r>
      <w:bookmarkEnd w:id="41"/>
      <w:bookmarkEnd w:id="42"/>
      <w:bookmarkEnd w:id="43"/>
      <w:bookmarkEnd w:id="44"/>
      <w:bookmarkEnd w:id="45"/>
      <w:bookmarkEnd w:id="46"/>
      <w:bookmarkEnd w:id="47"/>
      <w:bookmarkStart w:id="49" w:name="_Toc521053055"/>
      <w:bookmarkStart w:id="50" w:name="_Toc525047163"/>
      <w:bookmarkStart w:id="51" w:name="_Toc65660336"/>
      <w:bookmarkStart w:id="52" w:name="_Toc4728"/>
      <w:bookmarkStart w:id="53" w:name="_Toc6563"/>
      <w:bookmarkStart w:id="54" w:name="_Toc16269"/>
      <w:r>
        <w:rPr>
          <w:rFonts w:hint="eastAsia" w:asciiTheme="minorEastAsia" w:hAnsiTheme="minorEastAsia"/>
          <w:color w:val="auto"/>
          <w:highlight w:val="none"/>
        </w:rPr>
        <w:t>其它有关规定</w:t>
      </w:r>
      <w:bookmarkEnd w:id="48"/>
      <w:bookmarkEnd w:id="49"/>
      <w:bookmarkEnd w:id="50"/>
      <w:bookmarkEnd w:id="51"/>
      <w:bookmarkEnd w:id="52"/>
      <w:bookmarkEnd w:id="53"/>
      <w:bookmarkEnd w:id="54"/>
    </w:p>
    <w:p w14:paraId="41E64318">
      <w:pPr>
        <w:snapToGrid w:val="0"/>
        <w:spacing w:line="400" w:lineRule="exact"/>
        <w:ind w:firstLine="360" w:firstLineChars="150"/>
        <w:rPr>
          <w:rFonts w:hint="eastAsia" w:asciiTheme="minorEastAsia" w:hAnsiTheme="minorEastAsia"/>
          <w:color w:val="auto"/>
          <w:highlight w:val="none"/>
        </w:rPr>
      </w:pPr>
      <w:r>
        <w:rPr>
          <w:rFonts w:hint="eastAsia" w:asciiTheme="minorEastAsia" w:hAnsiTheme="minorEastAsia"/>
          <w:color w:val="auto"/>
          <w:highlight w:val="none"/>
        </w:rPr>
        <w:t>（一）单位负责人为同一人或者存在直接控股、管理关系的不同供应商，</w:t>
      </w:r>
      <w:r>
        <w:rPr>
          <w:rFonts w:asciiTheme="minorEastAsia" w:hAnsiTheme="minorEastAsia"/>
          <w:color w:val="auto"/>
          <w:highlight w:val="none"/>
        </w:rPr>
        <w:t>不得参加同一合同项</w:t>
      </w:r>
      <w:r>
        <w:rPr>
          <w:rFonts w:hint="eastAsia" w:asciiTheme="minorEastAsia" w:hAnsiTheme="minorEastAsia"/>
          <w:color w:val="auto"/>
          <w:highlight w:val="none"/>
        </w:rPr>
        <w:t>（包）</w:t>
      </w:r>
      <w:r>
        <w:rPr>
          <w:rFonts w:asciiTheme="minorEastAsia" w:hAnsiTheme="minorEastAsia"/>
          <w:color w:val="auto"/>
          <w:highlight w:val="none"/>
        </w:rPr>
        <w:t>下的政府采购活动</w:t>
      </w:r>
      <w:r>
        <w:rPr>
          <w:rFonts w:hint="eastAsia" w:asciiTheme="minorEastAsia" w:hAnsiTheme="minorEastAsia"/>
          <w:color w:val="auto"/>
          <w:highlight w:val="none"/>
        </w:rPr>
        <w:t>，否则均为无效报价。</w:t>
      </w:r>
    </w:p>
    <w:p w14:paraId="39A8D360">
      <w:pPr>
        <w:snapToGrid w:val="0"/>
        <w:spacing w:line="400" w:lineRule="exact"/>
        <w:ind w:firstLine="360" w:firstLineChars="150"/>
        <w:rPr>
          <w:rFonts w:hint="eastAsia" w:asciiTheme="minorEastAsia" w:hAnsiTheme="minorEastAsia"/>
          <w:color w:val="auto"/>
          <w:highlight w:val="none"/>
        </w:rPr>
      </w:pPr>
      <w:r>
        <w:rPr>
          <w:rFonts w:hint="eastAsia" w:asciiTheme="minorEastAsia" w:hAnsiTheme="minorEastAsia"/>
          <w:color w:val="auto"/>
          <w:highlight w:val="none"/>
        </w:rPr>
        <w:t>（二）为采购项目提供整体设计、规范编制或者项目管理、监理、检测等服务的供应商，不得再</w:t>
      </w:r>
      <w:r>
        <w:rPr>
          <w:rFonts w:asciiTheme="minorEastAsia" w:hAnsiTheme="minorEastAsia"/>
          <w:color w:val="auto"/>
          <w:highlight w:val="none"/>
        </w:rPr>
        <w:t>参加</w:t>
      </w:r>
      <w:r>
        <w:rPr>
          <w:rFonts w:hint="eastAsia" w:asciiTheme="minorEastAsia" w:hAnsiTheme="minorEastAsia"/>
          <w:color w:val="auto"/>
          <w:highlight w:val="none"/>
        </w:rPr>
        <w:t>该采购</w:t>
      </w:r>
      <w:r>
        <w:rPr>
          <w:rFonts w:asciiTheme="minorEastAsia" w:hAnsiTheme="minorEastAsia"/>
          <w:color w:val="auto"/>
          <w:highlight w:val="none"/>
        </w:rPr>
        <w:t>项目的</w:t>
      </w:r>
      <w:r>
        <w:rPr>
          <w:rFonts w:hint="eastAsia" w:asciiTheme="minorEastAsia" w:hAnsiTheme="minorEastAsia"/>
          <w:color w:val="auto"/>
          <w:highlight w:val="none"/>
        </w:rPr>
        <w:t>其他</w:t>
      </w:r>
      <w:r>
        <w:rPr>
          <w:rFonts w:asciiTheme="minorEastAsia" w:hAnsiTheme="minorEastAsia"/>
          <w:color w:val="auto"/>
          <w:highlight w:val="none"/>
        </w:rPr>
        <w:t>采购活动</w:t>
      </w:r>
      <w:r>
        <w:rPr>
          <w:rFonts w:hint="eastAsia" w:asciiTheme="minorEastAsia" w:hAnsiTheme="minorEastAsia"/>
          <w:color w:val="auto"/>
          <w:highlight w:val="none"/>
        </w:rPr>
        <w:t>。</w:t>
      </w:r>
    </w:p>
    <w:p w14:paraId="1CC1D3AF">
      <w:pPr>
        <w:snapToGrid w:val="0"/>
        <w:spacing w:line="400" w:lineRule="exact"/>
        <w:ind w:firstLine="360" w:firstLineChars="150"/>
        <w:rPr>
          <w:rFonts w:hint="eastAsia" w:asciiTheme="minorEastAsia" w:hAnsiTheme="minorEastAsia"/>
          <w:color w:val="auto"/>
          <w:highlight w:val="none"/>
        </w:rPr>
      </w:pPr>
      <w:r>
        <w:rPr>
          <w:rFonts w:hint="eastAsia" w:asciiTheme="minorEastAsia" w:hAnsiTheme="minorEastAsia"/>
          <w:color w:val="auto"/>
          <w:highlight w:val="none"/>
        </w:rPr>
        <w:t>（三）同一合同项（包）下的货物，制造商参与报价的，不得再委托代理商参与报价。</w:t>
      </w:r>
    </w:p>
    <w:p w14:paraId="52E290D4">
      <w:pPr>
        <w:snapToGrid w:val="0"/>
        <w:spacing w:line="400" w:lineRule="exact"/>
        <w:ind w:firstLine="360" w:firstLineChars="150"/>
        <w:rPr>
          <w:rFonts w:hint="eastAsia" w:asciiTheme="minorEastAsia" w:hAnsiTheme="minorEastAsia"/>
          <w:color w:val="auto"/>
          <w:highlight w:val="none"/>
        </w:rPr>
      </w:pPr>
      <w:r>
        <w:rPr>
          <w:rFonts w:hint="eastAsia" w:asciiTheme="minorEastAsia" w:hAnsiTheme="minorEastAsia"/>
          <w:color w:val="auto"/>
          <w:highlight w:val="none"/>
        </w:rPr>
        <w:t>（四）本项目的澄清文件（如果有）一律在</w:t>
      </w:r>
      <w:r>
        <w:rPr>
          <w:rFonts w:hint="eastAsia"/>
          <w:color w:val="auto"/>
          <w:highlight w:val="none"/>
        </w:rPr>
        <w:t>垫江县人民政府网</w:t>
      </w:r>
      <w:r>
        <w:rPr>
          <w:rFonts w:hint="eastAsia" w:asciiTheme="minorEastAsia" w:hAnsiTheme="minorEastAsia"/>
          <w:color w:val="auto"/>
          <w:highlight w:val="none"/>
        </w:rPr>
        <w:t>上发布，请各供应商注意下载；无论供应商下载与否，均视同供应商已知晓本项目澄清文件（如果有）的内容。</w:t>
      </w:r>
    </w:p>
    <w:p w14:paraId="58DAEDF4">
      <w:pPr>
        <w:snapToGrid w:val="0"/>
        <w:spacing w:line="400" w:lineRule="exact"/>
        <w:ind w:firstLine="360" w:firstLineChars="150"/>
        <w:rPr>
          <w:rFonts w:hint="eastAsia" w:asciiTheme="minorEastAsia" w:hAnsiTheme="minorEastAsia"/>
          <w:color w:val="auto"/>
          <w:highlight w:val="none"/>
        </w:rPr>
      </w:pPr>
      <w:r>
        <w:rPr>
          <w:rFonts w:hint="eastAsia" w:asciiTheme="minorEastAsia" w:hAnsiTheme="minorEastAsia"/>
          <w:color w:val="auto"/>
          <w:highlight w:val="none"/>
        </w:rPr>
        <w:t>（五）超过响应文件截止时间递交的响应文件，恕不接收。</w:t>
      </w:r>
    </w:p>
    <w:p w14:paraId="61E79AC8">
      <w:pPr>
        <w:snapToGrid w:val="0"/>
        <w:spacing w:line="400" w:lineRule="exact"/>
        <w:ind w:firstLine="360" w:firstLineChars="150"/>
        <w:rPr>
          <w:rFonts w:hint="eastAsia" w:asciiTheme="minorEastAsia" w:hAnsiTheme="minorEastAsia"/>
          <w:color w:val="auto"/>
          <w:highlight w:val="none"/>
        </w:rPr>
      </w:pPr>
      <w:r>
        <w:rPr>
          <w:rFonts w:hint="eastAsia" w:asciiTheme="minorEastAsia" w:hAnsiTheme="minorEastAsia"/>
          <w:color w:val="auto"/>
          <w:highlight w:val="none"/>
        </w:rPr>
        <w:t>（六）询价费用：无论询价结果如何，供应商参与本项目询价的所有费用均应由供应商自行承担。</w:t>
      </w:r>
    </w:p>
    <w:p w14:paraId="0D29CF23">
      <w:pPr>
        <w:snapToGrid w:val="0"/>
        <w:spacing w:line="400" w:lineRule="exact"/>
        <w:ind w:firstLine="361" w:firstLineChars="150"/>
        <w:rPr>
          <w:rFonts w:hint="eastAsia" w:asciiTheme="minorEastAsia" w:hAnsiTheme="minorEastAsia"/>
          <w:color w:val="auto"/>
          <w:highlight w:val="none"/>
        </w:rPr>
      </w:pPr>
      <w:r>
        <w:rPr>
          <w:rFonts w:hint="eastAsia" w:asciiTheme="minorEastAsia" w:hAnsiTheme="minorEastAsia"/>
          <w:b/>
          <w:bCs/>
          <w:color w:val="auto"/>
          <w:highlight w:val="none"/>
        </w:rPr>
        <w:t>（七）</w:t>
      </w:r>
      <w:r>
        <w:rPr>
          <w:rFonts w:hint="eastAsia" w:asciiTheme="minorEastAsia" w:hAnsiTheme="minorEastAsia"/>
          <w:b/>
          <w:color w:val="auto"/>
          <w:highlight w:val="none"/>
        </w:rPr>
        <w:t>本项目不接受联合体参与报价，否则按无效处理。</w:t>
      </w:r>
    </w:p>
    <w:p w14:paraId="17FC3B72">
      <w:pPr>
        <w:snapToGrid w:val="0"/>
        <w:spacing w:line="400" w:lineRule="exact"/>
        <w:ind w:firstLine="361" w:firstLineChars="150"/>
        <w:rPr>
          <w:rFonts w:hint="eastAsia" w:asciiTheme="minorEastAsia" w:hAnsiTheme="minorEastAsia"/>
          <w:b/>
          <w:color w:val="auto"/>
          <w:highlight w:val="none"/>
        </w:rPr>
      </w:pPr>
      <w:r>
        <w:rPr>
          <w:rFonts w:hint="eastAsia" w:asciiTheme="minorEastAsia" w:hAnsiTheme="minorEastAsia"/>
          <w:b/>
          <w:color w:val="auto"/>
          <w:highlight w:val="none"/>
        </w:rPr>
        <w:t>（八）本项目不接受合同分包，否则按无效处理。</w:t>
      </w:r>
    </w:p>
    <w:p w14:paraId="42815410">
      <w:pPr>
        <w:snapToGrid w:val="0"/>
        <w:spacing w:line="400" w:lineRule="exact"/>
        <w:ind w:firstLine="360" w:firstLineChars="150"/>
        <w:rPr>
          <w:rFonts w:hint="eastAsia" w:asciiTheme="minorEastAsia" w:hAnsiTheme="minorEastAsia"/>
          <w:color w:val="auto"/>
          <w:highlight w:val="none"/>
        </w:rPr>
      </w:pPr>
      <w:r>
        <w:rPr>
          <w:rFonts w:hint="eastAsia" w:asciiTheme="minorEastAsia" w:hAnsiTheme="minorEastAsia"/>
          <w:bCs/>
          <w:color w:val="auto"/>
          <w:highlight w:val="none"/>
        </w:rPr>
        <w:t>（九）</w:t>
      </w:r>
      <w:r>
        <w:rPr>
          <w:rFonts w:hint="eastAsia" w:asciiTheme="minorEastAsia" w:hAnsiTheme="minorEastAsia"/>
          <w:color w:val="auto"/>
          <w:highlight w:val="none"/>
        </w:rPr>
        <w:t>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政府采购活动。</w:t>
      </w:r>
    </w:p>
    <w:p w14:paraId="7682C6DF">
      <w:pPr>
        <w:pStyle w:val="3"/>
        <w:spacing w:line="400" w:lineRule="exact"/>
        <w:ind w:firstLine="480" w:firstLineChars="200"/>
        <w:rPr>
          <w:rFonts w:hint="eastAsia" w:asciiTheme="minorEastAsia" w:hAnsiTheme="minorEastAsia"/>
          <w:color w:val="auto"/>
          <w:highlight w:val="none"/>
        </w:rPr>
      </w:pPr>
      <w:bookmarkStart w:id="55" w:name="_Toc65660337"/>
      <w:bookmarkStart w:id="56" w:name="_Toc26045"/>
      <w:bookmarkStart w:id="57" w:name="_Toc525047164"/>
      <w:bookmarkStart w:id="58" w:name="_Toc10415"/>
      <w:bookmarkStart w:id="59" w:name="_Toc521053056"/>
      <w:bookmarkStart w:id="60" w:name="_Toc1552"/>
      <w:bookmarkStart w:id="61" w:name="_Toc1733"/>
      <w:r>
        <w:rPr>
          <w:rFonts w:hint="eastAsia" w:asciiTheme="minorEastAsia" w:hAnsiTheme="minorEastAsia"/>
          <w:color w:val="auto"/>
          <w:highlight w:val="none"/>
        </w:rPr>
        <w:t>七、联系方式</w:t>
      </w:r>
      <w:bookmarkEnd w:id="55"/>
      <w:bookmarkEnd w:id="56"/>
      <w:bookmarkEnd w:id="57"/>
      <w:bookmarkEnd w:id="58"/>
      <w:bookmarkEnd w:id="59"/>
      <w:bookmarkEnd w:id="60"/>
      <w:bookmarkEnd w:id="61"/>
    </w:p>
    <w:p w14:paraId="121449C8">
      <w:pPr>
        <w:snapToGrid w:val="0"/>
        <w:spacing w:line="420" w:lineRule="exact"/>
        <w:ind w:firstLine="600" w:firstLineChars="250"/>
        <w:rPr>
          <w:rFonts w:hint="eastAsia" w:asciiTheme="minorEastAsia" w:hAnsiTheme="minorEastAsia"/>
          <w:color w:val="auto"/>
          <w:highlight w:val="none"/>
        </w:rPr>
      </w:pPr>
      <w:r>
        <w:rPr>
          <w:rFonts w:hint="eastAsia" w:asciiTheme="minorEastAsia" w:hAnsiTheme="minorEastAsia"/>
          <w:color w:val="auto"/>
          <w:highlight w:val="none"/>
        </w:rPr>
        <w:t xml:space="preserve">（一）采购人：垫江县残疾人联合会  </w:t>
      </w:r>
    </w:p>
    <w:p w14:paraId="2F5F3F5F">
      <w:pPr>
        <w:snapToGrid w:val="0"/>
        <w:spacing w:line="420" w:lineRule="exact"/>
        <w:ind w:firstLine="600" w:firstLineChars="250"/>
        <w:rPr>
          <w:rFonts w:hint="eastAsia" w:asciiTheme="minorEastAsia" w:hAnsiTheme="minorEastAsia"/>
          <w:color w:val="auto"/>
          <w:highlight w:val="none"/>
        </w:rPr>
      </w:pPr>
      <w:r>
        <w:rPr>
          <w:rFonts w:hint="eastAsia" w:asciiTheme="minorEastAsia" w:hAnsiTheme="minorEastAsia"/>
          <w:color w:val="auto"/>
          <w:highlight w:val="none"/>
        </w:rPr>
        <w:t xml:space="preserve">联系人：李老师   </w:t>
      </w:r>
      <w:r>
        <w:rPr>
          <w:rFonts w:hint="eastAsia" w:cs="Times New Roman" w:asciiTheme="minorEastAsia" w:hAnsiTheme="minorEastAsia"/>
          <w:color w:val="auto"/>
          <w:highlight w:val="none"/>
        </w:rPr>
        <w:t>联系</w:t>
      </w:r>
      <w:r>
        <w:rPr>
          <w:rFonts w:hint="eastAsia" w:asciiTheme="minorEastAsia" w:hAnsiTheme="minorEastAsia"/>
          <w:color w:val="auto"/>
          <w:highlight w:val="none"/>
        </w:rPr>
        <w:t>电话：023-74691182</w:t>
      </w:r>
    </w:p>
    <w:p w14:paraId="740EDE73">
      <w:pPr>
        <w:spacing w:line="400" w:lineRule="exact"/>
        <w:ind w:firstLine="480" w:firstLineChars="200"/>
        <w:rPr>
          <w:rFonts w:hint="eastAsia" w:cs="Times New Roman" w:asciiTheme="minorEastAsia" w:hAnsiTheme="minorEastAsia"/>
          <w:color w:val="auto"/>
          <w:highlight w:val="none"/>
        </w:rPr>
      </w:pPr>
      <w:bookmarkStart w:id="62" w:name="_Toc11327"/>
      <w:bookmarkStart w:id="63" w:name="_Toc65660338"/>
      <w:bookmarkStart w:id="64" w:name="_Toc1292"/>
      <w:bookmarkStart w:id="65" w:name="_Toc14516"/>
      <w:bookmarkStart w:id="66" w:name="_Toc102227313"/>
      <w:r>
        <w:rPr>
          <w:rFonts w:hint="eastAsia" w:cs="Times New Roman" w:asciiTheme="minorEastAsia" w:hAnsiTheme="minorEastAsia"/>
          <w:color w:val="auto"/>
          <w:highlight w:val="none"/>
        </w:rPr>
        <w:t>（二）采购代理机构：重庆景强项目管理有限责任公司</w:t>
      </w:r>
    </w:p>
    <w:p w14:paraId="7978D1CB">
      <w:pPr>
        <w:spacing w:line="400" w:lineRule="exact"/>
        <w:ind w:firstLine="480" w:firstLineChars="200"/>
        <w:rPr>
          <w:rFonts w:hint="eastAsia" w:cs="Times New Roman" w:asciiTheme="minorEastAsia" w:hAnsiTheme="minorEastAsia"/>
          <w:color w:val="auto"/>
          <w:highlight w:val="none"/>
        </w:rPr>
      </w:pPr>
      <w:r>
        <w:rPr>
          <w:rFonts w:hint="eastAsia" w:cs="Times New Roman" w:asciiTheme="minorEastAsia" w:hAnsiTheme="minorEastAsia"/>
          <w:color w:val="auto"/>
          <w:highlight w:val="none"/>
        </w:rPr>
        <w:t>联系人：梁老师    联系电话：023-81863708</w:t>
      </w:r>
    </w:p>
    <w:p w14:paraId="2B1547DE">
      <w:pPr>
        <w:spacing w:line="400" w:lineRule="exact"/>
        <w:ind w:firstLine="480" w:firstLineChars="200"/>
        <w:rPr>
          <w:rFonts w:hint="eastAsia" w:cs="Times New Roman" w:asciiTheme="minorEastAsia" w:hAnsiTheme="minorEastAsia"/>
          <w:color w:val="auto"/>
          <w:highlight w:val="none"/>
        </w:rPr>
      </w:pPr>
      <w:r>
        <w:rPr>
          <w:rFonts w:hint="eastAsia" w:cs="Times New Roman" w:asciiTheme="minorEastAsia" w:hAnsiTheme="minorEastAsia"/>
          <w:color w:val="auto"/>
          <w:highlight w:val="none"/>
        </w:rPr>
        <w:t>地址：</w:t>
      </w:r>
      <w:r>
        <w:rPr>
          <w:rFonts w:hint="eastAsia"/>
          <w:color w:val="auto"/>
          <w:highlight w:val="none"/>
        </w:rPr>
        <w:t>重庆市垫江县凤西街67号附3号</w:t>
      </w:r>
    </w:p>
    <w:p w14:paraId="6A72D182">
      <w:pPr>
        <w:spacing w:line="400" w:lineRule="exact"/>
        <w:ind w:firstLine="480" w:firstLineChars="200"/>
        <w:rPr>
          <w:rFonts w:hint="eastAsia" w:cs="Times New Roman" w:asciiTheme="minorEastAsia" w:hAnsiTheme="minorEastAsia"/>
          <w:color w:val="auto"/>
          <w:highlight w:val="none"/>
        </w:rPr>
      </w:pPr>
    </w:p>
    <w:p w14:paraId="51DC5B77">
      <w:pPr>
        <w:spacing w:line="400" w:lineRule="exact"/>
        <w:ind w:firstLine="480" w:firstLineChars="200"/>
        <w:rPr>
          <w:rFonts w:hint="eastAsia" w:cs="Times New Roman" w:asciiTheme="minorEastAsia" w:hAnsiTheme="minorEastAsia"/>
          <w:color w:val="auto"/>
          <w:highlight w:val="none"/>
        </w:rPr>
      </w:pPr>
    </w:p>
    <w:p w14:paraId="0DADCC02">
      <w:pPr>
        <w:spacing w:line="400" w:lineRule="exact"/>
        <w:ind w:firstLine="480" w:firstLineChars="200"/>
        <w:rPr>
          <w:rFonts w:hint="eastAsia" w:cs="Times New Roman" w:asciiTheme="minorEastAsia" w:hAnsiTheme="minorEastAsia"/>
          <w:color w:val="auto"/>
          <w:highlight w:val="none"/>
        </w:rPr>
      </w:pPr>
    </w:p>
    <w:p w14:paraId="5F783228">
      <w:pPr>
        <w:spacing w:line="400" w:lineRule="exact"/>
        <w:ind w:firstLine="480" w:firstLineChars="200"/>
        <w:rPr>
          <w:rFonts w:hint="eastAsia" w:cs="Times New Roman" w:asciiTheme="minorEastAsia" w:hAnsiTheme="minorEastAsia"/>
          <w:color w:val="auto"/>
          <w:highlight w:val="none"/>
        </w:rPr>
      </w:pPr>
    </w:p>
    <w:p w14:paraId="212902AC">
      <w:pPr>
        <w:spacing w:line="400" w:lineRule="exact"/>
        <w:ind w:firstLine="480" w:firstLineChars="200"/>
        <w:rPr>
          <w:rFonts w:hint="eastAsia" w:cs="Times New Roman" w:asciiTheme="minorEastAsia" w:hAnsiTheme="minorEastAsia"/>
          <w:color w:val="auto"/>
          <w:highlight w:val="none"/>
        </w:rPr>
      </w:pPr>
    </w:p>
    <w:p w14:paraId="3D5847AB">
      <w:pPr>
        <w:spacing w:line="400" w:lineRule="exact"/>
        <w:ind w:firstLine="480" w:firstLineChars="200"/>
        <w:rPr>
          <w:rFonts w:hint="eastAsia" w:cs="Times New Roman" w:asciiTheme="minorEastAsia" w:hAnsiTheme="minorEastAsia"/>
          <w:color w:val="auto"/>
          <w:highlight w:val="none"/>
        </w:rPr>
      </w:pPr>
    </w:p>
    <w:p w14:paraId="7EC23406">
      <w:pPr>
        <w:spacing w:line="400" w:lineRule="exact"/>
        <w:ind w:firstLine="480" w:firstLineChars="200"/>
        <w:rPr>
          <w:rFonts w:hint="eastAsia" w:cs="Times New Roman" w:asciiTheme="minorEastAsia" w:hAnsiTheme="minorEastAsia"/>
          <w:color w:val="auto"/>
          <w:highlight w:val="none"/>
        </w:rPr>
      </w:pPr>
    </w:p>
    <w:p w14:paraId="7B52C043">
      <w:pPr>
        <w:spacing w:line="400" w:lineRule="exact"/>
        <w:ind w:firstLine="480" w:firstLineChars="200"/>
        <w:rPr>
          <w:rFonts w:hint="eastAsia" w:cs="Times New Roman" w:asciiTheme="minorEastAsia" w:hAnsiTheme="minorEastAsia"/>
          <w:color w:val="auto"/>
          <w:highlight w:val="none"/>
        </w:rPr>
      </w:pPr>
    </w:p>
    <w:p w14:paraId="30A6D4BC">
      <w:pPr>
        <w:spacing w:line="400" w:lineRule="exact"/>
        <w:ind w:firstLine="480" w:firstLineChars="200"/>
        <w:rPr>
          <w:rFonts w:hint="eastAsia" w:cs="Times New Roman" w:asciiTheme="minorEastAsia" w:hAnsiTheme="minorEastAsia"/>
          <w:color w:val="auto"/>
          <w:highlight w:val="none"/>
        </w:rPr>
      </w:pPr>
    </w:p>
    <w:p w14:paraId="0B3BF6A8">
      <w:pPr>
        <w:spacing w:line="400" w:lineRule="exact"/>
        <w:ind w:firstLine="480" w:firstLineChars="200"/>
        <w:rPr>
          <w:rFonts w:hint="eastAsia" w:cs="Times New Roman" w:asciiTheme="minorEastAsia" w:hAnsiTheme="minorEastAsia"/>
          <w:color w:val="auto"/>
          <w:highlight w:val="none"/>
        </w:rPr>
      </w:pPr>
    </w:p>
    <w:p w14:paraId="16725404">
      <w:pPr>
        <w:spacing w:line="400" w:lineRule="exact"/>
        <w:ind w:firstLine="480" w:firstLineChars="200"/>
        <w:rPr>
          <w:rFonts w:hint="eastAsia" w:cs="Times New Roman" w:asciiTheme="minorEastAsia" w:hAnsiTheme="minorEastAsia"/>
          <w:color w:val="auto"/>
          <w:highlight w:val="none"/>
        </w:rPr>
      </w:pPr>
    </w:p>
    <w:p w14:paraId="3B0DCDC8">
      <w:pPr>
        <w:spacing w:line="400" w:lineRule="exact"/>
        <w:ind w:firstLine="480" w:firstLineChars="200"/>
        <w:rPr>
          <w:rFonts w:hint="eastAsia" w:cs="Times New Roman" w:asciiTheme="minorEastAsia" w:hAnsiTheme="minorEastAsia"/>
          <w:color w:val="auto"/>
          <w:highlight w:val="none"/>
        </w:rPr>
      </w:pPr>
    </w:p>
    <w:p w14:paraId="1B9C5191">
      <w:pPr>
        <w:spacing w:line="400" w:lineRule="exact"/>
        <w:ind w:firstLine="480" w:firstLineChars="200"/>
        <w:rPr>
          <w:rFonts w:hint="eastAsia" w:cs="Times New Roman" w:asciiTheme="minorEastAsia" w:hAnsiTheme="minorEastAsia"/>
          <w:color w:val="auto"/>
          <w:highlight w:val="none"/>
        </w:rPr>
      </w:pPr>
    </w:p>
    <w:p w14:paraId="56F1EE55">
      <w:pPr>
        <w:spacing w:line="400" w:lineRule="exact"/>
        <w:ind w:firstLine="480" w:firstLineChars="200"/>
        <w:rPr>
          <w:rFonts w:hint="eastAsia" w:cs="Times New Roman" w:asciiTheme="minorEastAsia" w:hAnsiTheme="minorEastAsia"/>
          <w:color w:val="auto"/>
          <w:highlight w:val="none"/>
        </w:rPr>
      </w:pPr>
    </w:p>
    <w:p w14:paraId="1A5117BC">
      <w:pPr>
        <w:spacing w:line="400" w:lineRule="exact"/>
        <w:ind w:firstLine="480" w:firstLineChars="200"/>
        <w:rPr>
          <w:rFonts w:hint="eastAsia" w:cs="Times New Roman" w:asciiTheme="minorEastAsia" w:hAnsiTheme="minorEastAsia"/>
          <w:color w:val="auto"/>
          <w:highlight w:val="none"/>
        </w:rPr>
      </w:pPr>
    </w:p>
    <w:p w14:paraId="34084D81">
      <w:pPr>
        <w:spacing w:line="400" w:lineRule="exact"/>
        <w:ind w:firstLine="480" w:firstLineChars="200"/>
        <w:rPr>
          <w:rFonts w:hint="eastAsia" w:cs="Times New Roman" w:asciiTheme="minorEastAsia" w:hAnsiTheme="minorEastAsia"/>
          <w:color w:val="auto"/>
          <w:highlight w:val="none"/>
        </w:rPr>
      </w:pPr>
    </w:p>
    <w:p w14:paraId="3D922F45">
      <w:pPr>
        <w:pStyle w:val="3"/>
        <w:pageBreakBefore/>
        <w:numPr>
          <w:ilvl w:val="0"/>
          <w:numId w:val="2"/>
        </w:numPr>
        <w:jc w:val="center"/>
        <w:rPr>
          <w:rFonts w:hint="eastAsia" w:asciiTheme="minorEastAsia" w:hAnsiTheme="minorEastAsia"/>
          <w:color w:val="auto"/>
          <w:sz w:val="36"/>
          <w:szCs w:val="30"/>
          <w:highlight w:val="none"/>
        </w:rPr>
      </w:pPr>
      <w:bookmarkStart w:id="67" w:name="_Toc28830"/>
      <w:r>
        <w:rPr>
          <w:rFonts w:hint="eastAsia" w:asciiTheme="minorEastAsia" w:hAnsiTheme="minorEastAsia"/>
          <w:color w:val="auto"/>
          <w:sz w:val="36"/>
          <w:szCs w:val="30"/>
          <w:highlight w:val="none"/>
        </w:rPr>
        <w:t>询价项目技术（质量）需求</w:t>
      </w:r>
      <w:bookmarkEnd w:id="62"/>
      <w:bookmarkEnd w:id="63"/>
      <w:bookmarkEnd w:id="64"/>
      <w:bookmarkEnd w:id="65"/>
      <w:bookmarkEnd w:id="67"/>
    </w:p>
    <w:p w14:paraId="2C2C4901">
      <w:pPr>
        <w:numPr>
          <w:ilvl w:val="0"/>
          <w:numId w:val="3"/>
        </w:numPr>
        <w:snapToGrid w:val="0"/>
        <w:spacing w:line="400" w:lineRule="exact"/>
        <w:ind w:firstLine="480"/>
        <w:rPr>
          <w:rFonts w:hint="eastAsia" w:asciiTheme="minorEastAsia" w:hAnsiTheme="minorEastAsia"/>
          <w:color w:val="auto"/>
          <w:highlight w:val="none"/>
        </w:rPr>
      </w:pPr>
      <w:bookmarkStart w:id="68" w:name="OLE_LINK4"/>
      <w:r>
        <w:rPr>
          <w:rFonts w:hint="eastAsia" w:asciiTheme="minorEastAsia" w:hAnsiTheme="minorEastAsia"/>
          <w:color w:val="auto"/>
          <w:highlight w:val="none"/>
        </w:rPr>
        <w:t>项目一览表</w:t>
      </w:r>
    </w:p>
    <w:tbl>
      <w:tblPr>
        <w:tblStyle w:val="21"/>
        <w:tblW w:w="9578"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20"/>
        <w:gridCol w:w="984"/>
        <w:gridCol w:w="1504"/>
        <w:gridCol w:w="1240"/>
        <w:gridCol w:w="5030"/>
      </w:tblGrid>
      <w:tr w14:paraId="431B1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8" w:hRule="atLeast"/>
        </w:trPr>
        <w:tc>
          <w:tcPr>
            <w:tcW w:w="820" w:type="dxa"/>
            <w:shd w:val="clear" w:color="auto" w:fill="auto"/>
            <w:noWrap/>
            <w:vAlign w:val="center"/>
          </w:tcPr>
          <w:p w14:paraId="4F0E17A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序号</w:t>
            </w:r>
          </w:p>
        </w:tc>
        <w:tc>
          <w:tcPr>
            <w:tcW w:w="984" w:type="dxa"/>
            <w:shd w:val="clear" w:color="auto" w:fill="auto"/>
            <w:noWrap/>
            <w:vAlign w:val="center"/>
          </w:tcPr>
          <w:p w14:paraId="496B619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类别</w:t>
            </w:r>
          </w:p>
        </w:tc>
        <w:tc>
          <w:tcPr>
            <w:tcW w:w="1504" w:type="dxa"/>
            <w:shd w:val="clear" w:color="auto" w:fill="auto"/>
            <w:vAlign w:val="center"/>
          </w:tcPr>
          <w:p w14:paraId="66B02EB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产品名称</w:t>
            </w:r>
          </w:p>
        </w:tc>
        <w:tc>
          <w:tcPr>
            <w:tcW w:w="1240" w:type="dxa"/>
            <w:shd w:val="clear" w:color="auto" w:fill="auto"/>
            <w:vAlign w:val="center"/>
          </w:tcPr>
          <w:p w14:paraId="05AB2DD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数量（台/副/个）</w:t>
            </w:r>
          </w:p>
        </w:tc>
        <w:tc>
          <w:tcPr>
            <w:tcW w:w="5030" w:type="dxa"/>
            <w:shd w:val="clear" w:color="auto" w:fill="auto"/>
            <w:noWrap/>
            <w:vAlign w:val="center"/>
          </w:tcPr>
          <w:p w14:paraId="47C3A93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参数</w:t>
            </w:r>
          </w:p>
        </w:tc>
      </w:tr>
      <w:tr w14:paraId="4C3FD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73" w:hRule="atLeast"/>
        </w:trPr>
        <w:tc>
          <w:tcPr>
            <w:tcW w:w="0" w:type="auto"/>
            <w:shd w:val="clear" w:color="auto" w:fill="auto"/>
            <w:noWrap/>
            <w:vAlign w:val="center"/>
          </w:tcPr>
          <w:p w14:paraId="354133E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984" w:type="dxa"/>
            <w:vMerge w:val="restart"/>
            <w:shd w:val="clear" w:color="auto" w:fill="auto"/>
            <w:vAlign w:val="center"/>
          </w:tcPr>
          <w:p w14:paraId="4AE0484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个人移动辅助器具</w:t>
            </w:r>
          </w:p>
        </w:tc>
        <w:tc>
          <w:tcPr>
            <w:tcW w:w="1504" w:type="dxa"/>
            <w:shd w:val="clear" w:color="auto" w:fill="auto"/>
            <w:vAlign w:val="center"/>
          </w:tcPr>
          <w:p w14:paraId="73E4502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普通轮椅</w:t>
            </w:r>
          </w:p>
        </w:tc>
        <w:tc>
          <w:tcPr>
            <w:tcW w:w="0" w:type="auto"/>
            <w:shd w:val="clear" w:color="auto" w:fill="auto"/>
            <w:noWrap/>
            <w:vAlign w:val="center"/>
          </w:tcPr>
          <w:p w14:paraId="577D37D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22</w:t>
            </w:r>
          </w:p>
        </w:tc>
        <w:tc>
          <w:tcPr>
            <w:tcW w:w="5030" w:type="dxa"/>
            <w:shd w:val="clear" w:color="auto" w:fill="auto"/>
            <w:vAlign w:val="center"/>
          </w:tcPr>
          <w:p w14:paraId="4382F96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 整车采用优质钢管制成，表面采用电镀处理，加后手刹；总                                                                                                                                                                     长1050mm±100mm,总宽680mm±30mm,总高915mm±30mm,坐宽460mm±30mm，座深420mm±30mm,座与地面510mm±30mm，做与扶手距离220mm±30mm,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 黑格600D靠背坐垫，加厚海绵，外观美丽大方，使用方便，双刹车；</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 前轮为7寸实心轮，后轮为24寸优质南方PU发泡胎，加厚铝车圈；</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 ABS防滑手扶圈；不锈钢护板。</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5、 铁前叉，ABS脚踏板，吹塑扶手 。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6、净重15kg±3kg,总重17KG±3kg</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7、外包装箱尺寸：950-940*270-260*930-920mm±20mm   </w:t>
            </w:r>
          </w:p>
        </w:tc>
      </w:tr>
      <w:tr w14:paraId="6BF4B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8" w:hRule="atLeast"/>
        </w:trPr>
        <w:tc>
          <w:tcPr>
            <w:tcW w:w="0" w:type="auto"/>
            <w:shd w:val="clear" w:color="auto" w:fill="auto"/>
            <w:noWrap/>
            <w:vAlign w:val="center"/>
          </w:tcPr>
          <w:p w14:paraId="6C5AE1B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984" w:type="dxa"/>
            <w:vMerge w:val="continue"/>
            <w:shd w:val="clear" w:color="auto" w:fill="auto"/>
            <w:vAlign w:val="center"/>
          </w:tcPr>
          <w:p w14:paraId="36AA059E">
            <w:pPr>
              <w:jc w:val="center"/>
              <w:rPr>
                <w:rFonts w:hint="eastAsia" w:ascii="宋体" w:hAnsi="宋体" w:eastAsia="宋体" w:cs="宋体"/>
                <w:i w:val="0"/>
                <w:iCs w:val="0"/>
                <w:color w:val="auto"/>
                <w:sz w:val="18"/>
                <w:szCs w:val="18"/>
                <w:highlight w:val="none"/>
                <w:u w:val="none"/>
              </w:rPr>
            </w:pPr>
          </w:p>
        </w:tc>
        <w:tc>
          <w:tcPr>
            <w:tcW w:w="1504" w:type="dxa"/>
            <w:shd w:val="clear" w:color="auto" w:fill="auto"/>
            <w:vAlign w:val="center"/>
          </w:tcPr>
          <w:p w14:paraId="48B902A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护理型轮椅</w:t>
            </w:r>
          </w:p>
        </w:tc>
        <w:tc>
          <w:tcPr>
            <w:tcW w:w="0" w:type="auto"/>
            <w:shd w:val="clear" w:color="auto" w:fill="auto"/>
            <w:noWrap/>
            <w:vAlign w:val="center"/>
          </w:tcPr>
          <w:p w14:paraId="10AB687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w:t>
            </w:r>
          </w:p>
        </w:tc>
        <w:tc>
          <w:tcPr>
            <w:tcW w:w="5030" w:type="dxa"/>
            <w:shd w:val="clear" w:color="auto" w:fill="auto"/>
            <w:vAlign w:val="center"/>
          </w:tcPr>
          <w:p w14:paraId="61DFD0E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1、整车采用优质钢管制成，表面喷塑处理，靠背可折叠；长、宽、高：81*56*85cm±3cm                                                      2、座宽：46cm±3cm 座高：47cm±3cm 座深：37cm±3cm靠背高：40cm±3cm扶手高：22cm±3cm                                                                    3、前轮：6寸PVC轮，                                                                           4、后轮：16寸一体轮，PU胎                                                                     5、双交叉管，可背折，带线刹，                                                                 6、承重：</w:t>
            </w:r>
            <w:r>
              <w:rPr>
                <w:rFonts w:ascii="Arial" w:hAnsi="Arial" w:eastAsia="宋体" w:cs="Arial"/>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 xml:space="preserve">100kg                                                                                 7、外包装箱尺寸：950-940*270-260**930-920mm±20mm  </w:t>
            </w:r>
          </w:p>
        </w:tc>
      </w:tr>
      <w:tr w14:paraId="74BC7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98" w:hRule="atLeast"/>
        </w:trPr>
        <w:tc>
          <w:tcPr>
            <w:tcW w:w="0" w:type="auto"/>
            <w:shd w:val="clear" w:color="auto" w:fill="auto"/>
            <w:noWrap/>
            <w:vAlign w:val="center"/>
          </w:tcPr>
          <w:p w14:paraId="63D2E38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c>
          <w:tcPr>
            <w:tcW w:w="984" w:type="dxa"/>
            <w:vMerge w:val="continue"/>
            <w:shd w:val="clear" w:color="auto" w:fill="auto"/>
            <w:vAlign w:val="center"/>
          </w:tcPr>
          <w:p w14:paraId="117D04C1">
            <w:pPr>
              <w:jc w:val="center"/>
              <w:rPr>
                <w:rFonts w:hint="eastAsia" w:ascii="宋体" w:hAnsi="宋体" w:eastAsia="宋体" w:cs="宋体"/>
                <w:i w:val="0"/>
                <w:iCs w:val="0"/>
                <w:color w:val="auto"/>
                <w:sz w:val="18"/>
                <w:szCs w:val="18"/>
                <w:highlight w:val="none"/>
                <w:u w:val="none"/>
              </w:rPr>
            </w:pPr>
          </w:p>
        </w:tc>
        <w:tc>
          <w:tcPr>
            <w:tcW w:w="1504" w:type="dxa"/>
            <w:shd w:val="clear" w:color="auto" w:fill="auto"/>
            <w:vAlign w:val="center"/>
          </w:tcPr>
          <w:p w14:paraId="1FF8229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功能轮椅</w:t>
            </w:r>
          </w:p>
        </w:tc>
        <w:tc>
          <w:tcPr>
            <w:tcW w:w="0" w:type="auto"/>
            <w:shd w:val="clear" w:color="auto" w:fill="auto"/>
            <w:noWrap/>
            <w:vAlign w:val="center"/>
          </w:tcPr>
          <w:p w14:paraId="23F906F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58</w:t>
            </w:r>
          </w:p>
        </w:tc>
        <w:tc>
          <w:tcPr>
            <w:tcW w:w="5030" w:type="dxa"/>
            <w:shd w:val="clear" w:color="auto" w:fill="auto"/>
            <w:vAlign w:val="center"/>
          </w:tcPr>
          <w:p w14:paraId="3790D37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 整车采用优质钢管制成，表面喷涂处理，加后手刹；总长：1080mm±100mm,总宽：630mm±30mm,总高：920mm±30mm,坐宽460mm±30mm，座深;420mm±30mm,座与地面480mm±30mm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 网布600D靠背坐垫，透气性好,防水易清理，外观美丽大方，双刹车；</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 前轮为7寸加宽实心轮，后轮为24寸优质PU实心轮，加厚铝车圈；</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 ABS防滑手扶圈；ABS护板。</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 加厚铁前叉，ABS脚踏板，吹塑扶手.扶手可后翻式阶梯扶手方便老年人上下车，可拆卸踏杆方便携带。</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6、净重:18kg±3kg,总重：20KG±3kg</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7、外包装箱尺寸：850±30*260±30*940±30mm</w:t>
            </w:r>
          </w:p>
        </w:tc>
      </w:tr>
      <w:tr w14:paraId="15F6B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3" w:hRule="atLeast"/>
        </w:trPr>
        <w:tc>
          <w:tcPr>
            <w:tcW w:w="0" w:type="auto"/>
            <w:shd w:val="clear" w:color="auto" w:fill="auto"/>
            <w:noWrap/>
            <w:vAlign w:val="center"/>
          </w:tcPr>
          <w:p w14:paraId="32C5FCB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984" w:type="dxa"/>
            <w:vMerge w:val="continue"/>
            <w:shd w:val="clear" w:color="auto" w:fill="auto"/>
            <w:vAlign w:val="center"/>
          </w:tcPr>
          <w:p w14:paraId="2E707FC1">
            <w:pPr>
              <w:jc w:val="center"/>
              <w:rPr>
                <w:rFonts w:hint="eastAsia" w:ascii="宋体" w:hAnsi="宋体" w:eastAsia="宋体" w:cs="宋体"/>
                <w:i w:val="0"/>
                <w:iCs w:val="0"/>
                <w:color w:val="auto"/>
                <w:sz w:val="18"/>
                <w:szCs w:val="18"/>
                <w:highlight w:val="none"/>
                <w:u w:val="none"/>
              </w:rPr>
            </w:pPr>
          </w:p>
        </w:tc>
        <w:tc>
          <w:tcPr>
            <w:tcW w:w="1504" w:type="dxa"/>
            <w:shd w:val="clear" w:color="auto" w:fill="auto"/>
            <w:vAlign w:val="center"/>
          </w:tcPr>
          <w:p w14:paraId="062DEFF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高靠背带便桶轮椅</w:t>
            </w:r>
          </w:p>
        </w:tc>
        <w:tc>
          <w:tcPr>
            <w:tcW w:w="0" w:type="auto"/>
            <w:shd w:val="clear" w:color="auto" w:fill="auto"/>
            <w:noWrap/>
            <w:vAlign w:val="center"/>
          </w:tcPr>
          <w:p w14:paraId="20C057A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w:t>
            </w:r>
          </w:p>
        </w:tc>
        <w:tc>
          <w:tcPr>
            <w:tcW w:w="5030" w:type="dxa"/>
            <w:shd w:val="clear" w:color="auto" w:fill="auto"/>
            <w:vAlign w:val="center"/>
          </w:tcPr>
          <w:p w14:paraId="4B96D63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 整车采用优质钢管制成，表面电镀处理，靠背五档可以全躺；总长：1110mm±100mm,总宽：660mm±30mm,总高：960-1250mm,坐宽460mm-440mm，座深;420mm-410,座与地面530mm-540mm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 黑600D靠背坐垫，防水易清理,带大容量便桶，双刹车；</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 前轮为7寸实心轮，后轮为24寸PU实心轮，优质加厚铝车圈；</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 ABS防滑手扶圈；骨科式腿部支架可抬高至水平，可拆卸，便于携带；</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 铁前叉，ABS脚踏板，吹塑扶手</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6、净重:19kg±3kg,总重：21.5KG±3kg</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7、外包装箱尺寸950-930*260-250*940-930mm</w:t>
            </w:r>
          </w:p>
        </w:tc>
      </w:tr>
      <w:tr w14:paraId="333EA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0" w:type="auto"/>
            <w:shd w:val="clear" w:color="auto" w:fill="auto"/>
            <w:noWrap/>
            <w:vAlign w:val="center"/>
          </w:tcPr>
          <w:p w14:paraId="05F0AD8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c>
          <w:tcPr>
            <w:tcW w:w="984" w:type="dxa"/>
            <w:vMerge w:val="continue"/>
            <w:shd w:val="clear" w:color="auto" w:fill="auto"/>
            <w:vAlign w:val="center"/>
          </w:tcPr>
          <w:p w14:paraId="012160C3">
            <w:pPr>
              <w:jc w:val="center"/>
              <w:rPr>
                <w:rFonts w:hint="eastAsia" w:ascii="宋体" w:hAnsi="宋体" w:eastAsia="宋体" w:cs="宋体"/>
                <w:i w:val="0"/>
                <w:iCs w:val="0"/>
                <w:color w:val="auto"/>
                <w:sz w:val="18"/>
                <w:szCs w:val="18"/>
                <w:highlight w:val="none"/>
                <w:u w:val="none"/>
              </w:rPr>
            </w:pPr>
          </w:p>
        </w:tc>
        <w:tc>
          <w:tcPr>
            <w:tcW w:w="1504" w:type="dxa"/>
            <w:shd w:val="clear" w:color="auto" w:fill="auto"/>
            <w:vAlign w:val="center"/>
          </w:tcPr>
          <w:p w14:paraId="0C4BF57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带座手杖</w:t>
            </w:r>
          </w:p>
        </w:tc>
        <w:tc>
          <w:tcPr>
            <w:tcW w:w="0" w:type="auto"/>
            <w:shd w:val="clear" w:color="auto" w:fill="auto"/>
            <w:noWrap/>
            <w:vAlign w:val="center"/>
          </w:tcPr>
          <w:p w14:paraId="51B0518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43</w:t>
            </w:r>
          </w:p>
        </w:tc>
        <w:tc>
          <w:tcPr>
            <w:tcW w:w="5030" w:type="dxa"/>
            <w:shd w:val="clear" w:color="auto" w:fill="auto"/>
            <w:vAlign w:val="center"/>
          </w:tcPr>
          <w:p w14:paraId="2CA6CB6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 材料：铝合金                                                              2. 管径≥22mm ，壁厚≥1.5mm，表面处理：雾银/咖啡色  尺寸：57-53*31-29*72CM-70cm 长宽高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3. 座位高度：48-49.2CM 能折叠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 单台净重：1KG±0.1kg</w:t>
            </w:r>
          </w:p>
        </w:tc>
      </w:tr>
      <w:tr w14:paraId="3509F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68" w:hRule="atLeast"/>
        </w:trPr>
        <w:tc>
          <w:tcPr>
            <w:tcW w:w="0" w:type="auto"/>
            <w:shd w:val="clear" w:color="auto" w:fill="auto"/>
            <w:noWrap/>
            <w:vAlign w:val="center"/>
          </w:tcPr>
          <w:p w14:paraId="05DE4AF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w:t>
            </w:r>
          </w:p>
        </w:tc>
        <w:tc>
          <w:tcPr>
            <w:tcW w:w="984" w:type="dxa"/>
            <w:vMerge w:val="continue"/>
            <w:shd w:val="clear" w:color="auto" w:fill="auto"/>
            <w:vAlign w:val="center"/>
          </w:tcPr>
          <w:p w14:paraId="2CD2F5FB">
            <w:pPr>
              <w:jc w:val="center"/>
              <w:rPr>
                <w:rFonts w:hint="eastAsia" w:ascii="宋体" w:hAnsi="宋体" w:eastAsia="宋体" w:cs="宋体"/>
                <w:i w:val="0"/>
                <w:iCs w:val="0"/>
                <w:color w:val="auto"/>
                <w:sz w:val="18"/>
                <w:szCs w:val="18"/>
                <w:highlight w:val="none"/>
                <w:u w:val="none"/>
              </w:rPr>
            </w:pPr>
          </w:p>
        </w:tc>
        <w:tc>
          <w:tcPr>
            <w:tcW w:w="1504" w:type="dxa"/>
            <w:shd w:val="clear" w:color="auto" w:fill="auto"/>
            <w:vAlign w:val="center"/>
          </w:tcPr>
          <w:p w14:paraId="6D90270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四脚拐杖</w:t>
            </w:r>
          </w:p>
        </w:tc>
        <w:tc>
          <w:tcPr>
            <w:tcW w:w="0" w:type="auto"/>
            <w:shd w:val="clear" w:color="auto" w:fill="auto"/>
            <w:noWrap/>
            <w:vAlign w:val="center"/>
          </w:tcPr>
          <w:p w14:paraId="0514F5B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w:t>
            </w:r>
          </w:p>
        </w:tc>
        <w:tc>
          <w:tcPr>
            <w:tcW w:w="5030" w:type="dxa"/>
            <w:shd w:val="clear" w:color="auto" w:fill="auto"/>
            <w:vAlign w:val="center"/>
          </w:tcPr>
          <w:p w14:paraId="2DFEBC3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1、采用高强度氧化铝管上支、A3钢喷涂下支、整体防锈能力强。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2、上支、下支冲有调节孔可供使用者随意调节适用高度,管内装有弹珠按钮，轻松一按可徒手轻松调节，伸缩自如，定位安全可靠，伸长量标识清楚；</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3、下支四脚管做支撑，扩大受力面积。</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4、下支四脚都套有耐磨防滑胶脚，弹性佳，直径不小于13mm。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5、PVC把手不吸汗、不易破损、变形，且使用寿命长。</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6.四脚手杖的向内稳定性能不小于1.5°，向外稳定性能不小于4.0°；</w:t>
            </w:r>
          </w:p>
        </w:tc>
      </w:tr>
      <w:tr w14:paraId="56EFA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48" w:hRule="atLeast"/>
        </w:trPr>
        <w:tc>
          <w:tcPr>
            <w:tcW w:w="0" w:type="auto"/>
            <w:shd w:val="clear" w:color="auto" w:fill="auto"/>
            <w:noWrap/>
            <w:vAlign w:val="center"/>
          </w:tcPr>
          <w:p w14:paraId="1027777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w:t>
            </w:r>
          </w:p>
        </w:tc>
        <w:tc>
          <w:tcPr>
            <w:tcW w:w="984" w:type="dxa"/>
            <w:vMerge w:val="continue"/>
            <w:shd w:val="clear" w:color="auto" w:fill="auto"/>
            <w:vAlign w:val="center"/>
          </w:tcPr>
          <w:p w14:paraId="3F99D9A4">
            <w:pPr>
              <w:jc w:val="center"/>
              <w:rPr>
                <w:rFonts w:hint="eastAsia" w:ascii="宋体" w:hAnsi="宋体" w:eastAsia="宋体" w:cs="宋体"/>
                <w:i w:val="0"/>
                <w:iCs w:val="0"/>
                <w:color w:val="auto"/>
                <w:sz w:val="18"/>
                <w:szCs w:val="18"/>
                <w:highlight w:val="none"/>
                <w:u w:val="none"/>
              </w:rPr>
            </w:pPr>
          </w:p>
        </w:tc>
        <w:tc>
          <w:tcPr>
            <w:tcW w:w="1504" w:type="dxa"/>
            <w:shd w:val="clear" w:color="auto" w:fill="auto"/>
            <w:vAlign w:val="center"/>
          </w:tcPr>
          <w:p w14:paraId="7F36619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手杖</w:t>
            </w:r>
          </w:p>
        </w:tc>
        <w:tc>
          <w:tcPr>
            <w:tcW w:w="0" w:type="auto"/>
            <w:shd w:val="clear" w:color="auto" w:fill="auto"/>
            <w:noWrap/>
            <w:vAlign w:val="center"/>
          </w:tcPr>
          <w:p w14:paraId="680AE68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w:t>
            </w:r>
          </w:p>
        </w:tc>
        <w:tc>
          <w:tcPr>
            <w:tcW w:w="5030" w:type="dxa"/>
            <w:shd w:val="clear" w:color="auto" w:fill="auto"/>
            <w:vAlign w:val="center"/>
          </w:tcPr>
          <w:p w14:paraId="12D7187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1、拐杖上、下支管采用高强度特种铝型材焊接而成.表面经氧化处理。</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2、上支冲有9-10个调节孔、下支冲有1个调节孔，可供使用者随意调节适用高度。</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3、采用PVC拐杖头，不吸汗、不易破损。</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4、底部套有弹性好，耐磨系数高的防滑胶脚。调节高度70-94cm，拐杖管材质7003/T=1.2</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5、净重量0.4kg-0.5kg</w:t>
            </w:r>
          </w:p>
        </w:tc>
      </w:tr>
      <w:tr w14:paraId="67E11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23" w:hRule="atLeast"/>
        </w:trPr>
        <w:tc>
          <w:tcPr>
            <w:tcW w:w="0" w:type="auto"/>
            <w:shd w:val="clear" w:color="auto" w:fill="auto"/>
            <w:noWrap/>
            <w:vAlign w:val="center"/>
          </w:tcPr>
          <w:p w14:paraId="7F27C72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w:t>
            </w:r>
          </w:p>
        </w:tc>
        <w:tc>
          <w:tcPr>
            <w:tcW w:w="984" w:type="dxa"/>
            <w:vMerge w:val="continue"/>
            <w:shd w:val="clear" w:color="auto" w:fill="auto"/>
            <w:vAlign w:val="center"/>
          </w:tcPr>
          <w:p w14:paraId="3ADD0B9D">
            <w:pPr>
              <w:jc w:val="center"/>
              <w:rPr>
                <w:rFonts w:hint="eastAsia" w:ascii="宋体" w:hAnsi="宋体" w:eastAsia="宋体" w:cs="宋体"/>
                <w:i w:val="0"/>
                <w:iCs w:val="0"/>
                <w:color w:val="auto"/>
                <w:sz w:val="18"/>
                <w:szCs w:val="18"/>
                <w:highlight w:val="none"/>
                <w:u w:val="none"/>
              </w:rPr>
            </w:pPr>
          </w:p>
        </w:tc>
        <w:tc>
          <w:tcPr>
            <w:tcW w:w="1504" w:type="dxa"/>
            <w:shd w:val="clear" w:color="auto" w:fill="auto"/>
            <w:vAlign w:val="center"/>
          </w:tcPr>
          <w:p w14:paraId="18C331E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腋拐（副）</w:t>
            </w:r>
          </w:p>
        </w:tc>
        <w:tc>
          <w:tcPr>
            <w:tcW w:w="0" w:type="auto"/>
            <w:shd w:val="clear" w:color="auto" w:fill="auto"/>
            <w:noWrap/>
            <w:vAlign w:val="center"/>
          </w:tcPr>
          <w:p w14:paraId="5C9ACAB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18</w:t>
            </w:r>
          </w:p>
        </w:tc>
        <w:tc>
          <w:tcPr>
            <w:tcW w:w="5030" w:type="dxa"/>
            <w:shd w:val="clear" w:color="auto" w:fill="auto"/>
            <w:vAlign w:val="center"/>
          </w:tcPr>
          <w:p w14:paraId="7AD5E2A2">
            <w:pPr>
              <w:keepNext w:val="0"/>
              <w:keepLines w:val="0"/>
              <w:widowControl/>
              <w:suppressLineNumbers w:val="0"/>
              <w:jc w:val="both"/>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1.主架：采用高强度铝合金管，表面氧化处理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2.脚管：采用优质不锈钢管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3.高度：110-133cm，高度8-9档可调，手柄4档可调，固定可靠。</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4.脚垫：耐用橡胶防滑脚垫，耐磨、有弹性，着地性能好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5.手把：采用软性橡胶环保材质，固定牢靠，防滑、符合人体力学设计。</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6.腋托套：采用软性材质，防滑、符合人体力学设计。</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7.净荷载≥100kg。</w:t>
            </w:r>
          </w:p>
        </w:tc>
      </w:tr>
      <w:tr w14:paraId="5642D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28" w:hRule="atLeast"/>
        </w:trPr>
        <w:tc>
          <w:tcPr>
            <w:tcW w:w="0" w:type="auto"/>
            <w:shd w:val="clear" w:color="auto" w:fill="auto"/>
            <w:noWrap/>
            <w:vAlign w:val="center"/>
          </w:tcPr>
          <w:p w14:paraId="4EC06C0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w:t>
            </w:r>
          </w:p>
        </w:tc>
        <w:tc>
          <w:tcPr>
            <w:tcW w:w="984" w:type="dxa"/>
            <w:vMerge w:val="continue"/>
            <w:shd w:val="clear" w:color="auto" w:fill="auto"/>
            <w:vAlign w:val="center"/>
          </w:tcPr>
          <w:p w14:paraId="1AE73561">
            <w:pPr>
              <w:jc w:val="center"/>
              <w:rPr>
                <w:rFonts w:hint="eastAsia" w:ascii="宋体" w:hAnsi="宋体" w:eastAsia="宋体" w:cs="宋体"/>
                <w:i w:val="0"/>
                <w:iCs w:val="0"/>
                <w:color w:val="auto"/>
                <w:sz w:val="18"/>
                <w:szCs w:val="18"/>
                <w:highlight w:val="none"/>
                <w:u w:val="none"/>
              </w:rPr>
            </w:pPr>
          </w:p>
        </w:tc>
        <w:tc>
          <w:tcPr>
            <w:tcW w:w="1504" w:type="dxa"/>
            <w:shd w:val="clear" w:color="auto" w:fill="auto"/>
            <w:vAlign w:val="center"/>
          </w:tcPr>
          <w:p w14:paraId="778A625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肘拐</w:t>
            </w:r>
          </w:p>
        </w:tc>
        <w:tc>
          <w:tcPr>
            <w:tcW w:w="0" w:type="auto"/>
            <w:shd w:val="clear" w:color="auto" w:fill="auto"/>
            <w:noWrap/>
            <w:vAlign w:val="center"/>
          </w:tcPr>
          <w:p w14:paraId="49CF58A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5030" w:type="dxa"/>
            <w:shd w:val="clear" w:color="auto" w:fill="auto"/>
            <w:vAlign w:val="center"/>
          </w:tcPr>
          <w:p w14:paraId="29DC156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1、拐杖上、下支管采用高强度特种铝型材焊接而成;.表面经氧化处理。</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2、上支、下支冲有调节孔可供用户随意调节适用高度。</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3、塑料手拐不仅轻便，而且结构设计符合人体手部要求，使用方便。</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4、下支套有耐磨防滑胶脚。调节高度96-119cm，拐杖弯管7003/φ25*1.2T，净重量0.6kg±0.1kg。</w:t>
            </w:r>
          </w:p>
        </w:tc>
      </w:tr>
      <w:tr w14:paraId="4BC36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28" w:hRule="atLeast"/>
        </w:trPr>
        <w:tc>
          <w:tcPr>
            <w:tcW w:w="0" w:type="auto"/>
            <w:shd w:val="clear" w:color="auto" w:fill="auto"/>
            <w:noWrap/>
            <w:vAlign w:val="center"/>
          </w:tcPr>
          <w:p w14:paraId="294E7E2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w:t>
            </w:r>
          </w:p>
        </w:tc>
        <w:tc>
          <w:tcPr>
            <w:tcW w:w="984" w:type="dxa"/>
            <w:vMerge w:val="continue"/>
            <w:shd w:val="clear" w:color="auto" w:fill="auto"/>
            <w:vAlign w:val="center"/>
          </w:tcPr>
          <w:p w14:paraId="4071005A">
            <w:pPr>
              <w:jc w:val="center"/>
              <w:rPr>
                <w:rFonts w:hint="eastAsia" w:ascii="宋体" w:hAnsi="宋体" w:eastAsia="宋体" w:cs="宋体"/>
                <w:i w:val="0"/>
                <w:iCs w:val="0"/>
                <w:color w:val="auto"/>
                <w:sz w:val="18"/>
                <w:szCs w:val="18"/>
                <w:highlight w:val="none"/>
                <w:u w:val="none"/>
              </w:rPr>
            </w:pPr>
          </w:p>
        </w:tc>
        <w:tc>
          <w:tcPr>
            <w:tcW w:w="1504" w:type="dxa"/>
            <w:shd w:val="clear" w:color="auto" w:fill="auto"/>
            <w:vAlign w:val="center"/>
          </w:tcPr>
          <w:p w14:paraId="5E5E814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框式四轮助行器</w:t>
            </w:r>
          </w:p>
        </w:tc>
        <w:tc>
          <w:tcPr>
            <w:tcW w:w="0" w:type="auto"/>
            <w:shd w:val="clear" w:color="auto" w:fill="auto"/>
            <w:noWrap/>
            <w:vAlign w:val="center"/>
          </w:tcPr>
          <w:p w14:paraId="4084790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c>
          <w:tcPr>
            <w:tcW w:w="5030" w:type="dxa"/>
            <w:shd w:val="clear" w:color="auto" w:fill="auto"/>
            <w:vAlign w:val="center"/>
          </w:tcPr>
          <w:p w14:paraId="14143CC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1.车架采用加厚优质电镀碳钢材质，稳固支撑身体。</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2.扶手杆采用高密度海绵设计，吸汗防滑，使用舒适；扶手可以左右调节，适应不同肩宽的人使用。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3.固定座垫，乘坐舒适没压力。</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4.四轮设计，防翻、防后仰，使用安全。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5.产品尺寸：高度可调节：100-128cm，前后轮距：63cm-61cm，左右轮距：75cm-72cm。</w:t>
            </w:r>
          </w:p>
        </w:tc>
      </w:tr>
      <w:tr w14:paraId="4DB96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33" w:hRule="atLeast"/>
        </w:trPr>
        <w:tc>
          <w:tcPr>
            <w:tcW w:w="0" w:type="auto"/>
            <w:shd w:val="clear" w:color="auto" w:fill="auto"/>
            <w:noWrap/>
            <w:vAlign w:val="center"/>
          </w:tcPr>
          <w:p w14:paraId="5629213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11</w:t>
            </w:r>
          </w:p>
        </w:tc>
        <w:tc>
          <w:tcPr>
            <w:tcW w:w="984" w:type="dxa"/>
            <w:vMerge w:val="continue"/>
            <w:shd w:val="clear" w:color="auto" w:fill="auto"/>
            <w:vAlign w:val="center"/>
          </w:tcPr>
          <w:p w14:paraId="61E04564">
            <w:pPr>
              <w:jc w:val="center"/>
              <w:rPr>
                <w:rFonts w:hint="eastAsia" w:ascii="宋体" w:hAnsi="宋体" w:eastAsia="宋体" w:cs="宋体"/>
                <w:i w:val="0"/>
                <w:iCs w:val="0"/>
                <w:color w:val="auto"/>
                <w:sz w:val="18"/>
                <w:szCs w:val="18"/>
                <w:highlight w:val="none"/>
                <w:u w:val="none"/>
              </w:rPr>
            </w:pPr>
          </w:p>
        </w:tc>
        <w:tc>
          <w:tcPr>
            <w:tcW w:w="1504" w:type="dxa"/>
            <w:shd w:val="clear" w:color="auto" w:fill="auto"/>
            <w:vAlign w:val="center"/>
          </w:tcPr>
          <w:p w14:paraId="2E5D2D1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阶梯框式助行器</w:t>
            </w:r>
          </w:p>
        </w:tc>
        <w:tc>
          <w:tcPr>
            <w:tcW w:w="0" w:type="auto"/>
            <w:shd w:val="clear" w:color="auto" w:fill="auto"/>
            <w:noWrap/>
            <w:vAlign w:val="center"/>
          </w:tcPr>
          <w:p w14:paraId="07F9C5A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w:t>
            </w:r>
          </w:p>
        </w:tc>
        <w:tc>
          <w:tcPr>
            <w:tcW w:w="5030" w:type="dxa"/>
            <w:shd w:val="clear" w:color="auto" w:fill="auto"/>
            <w:vAlign w:val="center"/>
          </w:tcPr>
          <w:p w14:paraId="7DFA8B2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1、铝合金氧化车架不仅轻便美观、还具有不退色、防锈能力强,烟火红扁加宽加厚工字,让产品多一份色彩，更加稳固;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2、车架四脚配有伸缩管，可供使用者随意调节适用高度。也适用于不同高度人群使用;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3、四脚都套有耐磨防滑胶脚，让使用者用得放心;</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4、PVC把手：表面作纹条防滑处理、不吸汗、不易破损、变形，且使用寿命长;</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5、可折叠式车型方便携带出行，且能节省占用空间位置;</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6、阶梯式车架型，上阶主要辅助行走作用，下阶功能主要让蹲下的使用者要站起来时抓住下阶把手，辅助其站起来的作用；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7、总宽48CM总长度58CM调节高度74-92CM折叠后宽度56CM车架材质/管厚度AL6063T5 /φ28*1.2KG±0.1kg。</w:t>
            </w:r>
          </w:p>
        </w:tc>
      </w:tr>
      <w:tr w14:paraId="0CFE8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trPr>
        <w:tc>
          <w:tcPr>
            <w:tcW w:w="0" w:type="auto"/>
            <w:shd w:val="clear" w:color="auto" w:fill="auto"/>
            <w:noWrap/>
            <w:vAlign w:val="center"/>
          </w:tcPr>
          <w:p w14:paraId="560D9F1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w:t>
            </w:r>
          </w:p>
        </w:tc>
        <w:tc>
          <w:tcPr>
            <w:tcW w:w="984" w:type="dxa"/>
            <w:vMerge w:val="continue"/>
            <w:shd w:val="clear" w:color="auto" w:fill="auto"/>
            <w:vAlign w:val="center"/>
          </w:tcPr>
          <w:p w14:paraId="6D476811">
            <w:pPr>
              <w:jc w:val="center"/>
              <w:rPr>
                <w:rFonts w:hint="eastAsia" w:ascii="宋体" w:hAnsi="宋体" w:eastAsia="宋体" w:cs="宋体"/>
                <w:i w:val="0"/>
                <w:iCs w:val="0"/>
                <w:color w:val="auto"/>
                <w:sz w:val="18"/>
                <w:szCs w:val="18"/>
                <w:highlight w:val="none"/>
                <w:u w:val="none"/>
              </w:rPr>
            </w:pPr>
          </w:p>
        </w:tc>
        <w:tc>
          <w:tcPr>
            <w:tcW w:w="1504" w:type="dxa"/>
            <w:shd w:val="clear" w:color="auto" w:fill="auto"/>
            <w:vAlign w:val="center"/>
          </w:tcPr>
          <w:p w14:paraId="7B1267D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手扶两轮助行器</w:t>
            </w:r>
          </w:p>
        </w:tc>
        <w:tc>
          <w:tcPr>
            <w:tcW w:w="0" w:type="auto"/>
            <w:shd w:val="clear" w:color="auto" w:fill="auto"/>
            <w:noWrap/>
            <w:vAlign w:val="center"/>
          </w:tcPr>
          <w:p w14:paraId="7D0F92A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c>
          <w:tcPr>
            <w:tcW w:w="5030" w:type="dxa"/>
            <w:shd w:val="clear" w:color="auto" w:fill="auto"/>
            <w:vAlign w:val="center"/>
          </w:tcPr>
          <w:p w14:paraId="24B65F7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 框架材质：铝合金，大架管直径≥25mm，管壁厚度≥1.2mm，安全性能好，可折叠结构、美观耐用，使用方便。</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 脚管：管直径28mm±2mm，管壁厚度≥1.2mm，高度可调,脚垫材质为耐磨、有弹性、表面摩擦系数较高的防滑橡胶材料，着地性能好，稳定性佳。前轮外皮采用优质橡胶材质，防滑耐磨。轮毂采用工程聚丙材质，结实耐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 把手高度：高度可调，配发泡手把，防滑、舒适； 8档调节。</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 外形尺寸：（长×宽×高）cm:60-58×50-47×75-95±2，可折叠，可定向。</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 最大承载量≥110kg；</w:t>
            </w:r>
          </w:p>
        </w:tc>
      </w:tr>
      <w:tr w14:paraId="2804C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trPr>
        <w:tc>
          <w:tcPr>
            <w:tcW w:w="0" w:type="auto"/>
            <w:shd w:val="clear" w:color="auto" w:fill="auto"/>
            <w:noWrap/>
            <w:vAlign w:val="center"/>
          </w:tcPr>
          <w:p w14:paraId="7452235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13</w:t>
            </w:r>
          </w:p>
        </w:tc>
        <w:tc>
          <w:tcPr>
            <w:tcW w:w="984" w:type="dxa"/>
            <w:vMerge w:val="continue"/>
            <w:shd w:val="clear" w:color="auto" w:fill="auto"/>
            <w:vAlign w:val="center"/>
          </w:tcPr>
          <w:p w14:paraId="03F71AB2">
            <w:pPr>
              <w:jc w:val="center"/>
              <w:rPr>
                <w:rFonts w:hint="eastAsia" w:ascii="宋体" w:hAnsi="宋体" w:eastAsia="宋体" w:cs="宋体"/>
                <w:i w:val="0"/>
                <w:iCs w:val="0"/>
                <w:color w:val="auto"/>
                <w:sz w:val="18"/>
                <w:szCs w:val="18"/>
                <w:highlight w:val="none"/>
                <w:u w:val="none"/>
              </w:rPr>
            </w:pPr>
          </w:p>
        </w:tc>
        <w:tc>
          <w:tcPr>
            <w:tcW w:w="1504" w:type="dxa"/>
            <w:shd w:val="clear" w:color="auto" w:fill="auto"/>
            <w:vAlign w:val="center"/>
          </w:tcPr>
          <w:p w14:paraId="3CE36EF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铝合金折叠助行器</w:t>
            </w:r>
          </w:p>
        </w:tc>
        <w:tc>
          <w:tcPr>
            <w:tcW w:w="0" w:type="auto"/>
            <w:shd w:val="clear" w:color="auto" w:fill="auto"/>
            <w:noWrap/>
            <w:vAlign w:val="center"/>
          </w:tcPr>
          <w:p w14:paraId="37E1862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5030" w:type="dxa"/>
            <w:shd w:val="clear" w:color="auto" w:fill="auto"/>
            <w:vAlign w:val="center"/>
          </w:tcPr>
          <w:p w14:paraId="158D44F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 框架材质：铝合金，大架管直径≥24mm，管壁厚度≥1.2mm，安全性能好，可折叠结构、美观耐用，使用方便。                                                                                 2. 脚管：管直径28mm±2mm，管壁厚度≥1.2mm，高度可调,脚垫材质为耐磨、有弹性、表面摩擦系数较高的防滑橡胶材料，着地性能好，稳定性佳。</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 把手高度：高度可调，配发泡手把，防滑、舒适；5档调节。</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 外形尺寸：（长×宽×高）cm:53-51×47-45×75-93±2，可折叠，可定向。</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 最大承载量≥105kg；</w:t>
            </w:r>
          </w:p>
        </w:tc>
      </w:tr>
      <w:tr w14:paraId="5E810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8" w:hRule="atLeast"/>
        </w:trPr>
        <w:tc>
          <w:tcPr>
            <w:tcW w:w="0" w:type="auto"/>
            <w:shd w:val="clear" w:color="auto" w:fill="auto"/>
            <w:noWrap/>
            <w:vAlign w:val="center"/>
          </w:tcPr>
          <w:p w14:paraId="0178FB1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14</w:t>
            </w:r>
          </w:p>
        </w:tc>
        <w:tc>
          <w:tcPr>
            <w:tcW w:w="984" w:type="dxa"/>
            <w:vMerge w:val="continue"/>
            <w:shd w:val="clear" w:color="auto" w:fill="auto"/>
            <w:vAlign w:val="center"/>
          </w:tcPr>
          <w:p w14:paraId="7BDE98D6">
            <w:pPr>
              <w:jc w:val="center"/>
              <w:rPr>
                <w:rFonts w:hint="eastAsia" w:ascii="宋体" w:hAnsi="宋体" w:eastAsia="宋体" w:cs="宋体"/>
                <w:i w:val="0"/>
                <w:iCs w:val="0"/>
                <w:color w:val="auto"/>
                <w:sz w:val="18"/>
                <w:szCs w:val="18"/>
                <w:highlight w:val="none"/>
                <w:u w:val="none"/>
              </w:rPr>
            </w:pPr>
          </w:p>
        </w:tc>
        <w:tc>
          <w:tcPr>
            <w:tcW w:w="1504" w:type="dxa"/>
            <w:shd w:val="clear" w:color="auto" w:fill="auto"/>
            <w:vAlign w:val="center"/>
          </w:tcPr>
          <w:p w14:paraId="1591CFF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九节伸缩盲杖</w:t>
            </w:r>
          </w:p>
        </w:tc>
        <w:tc>
          <w:tcPr>
            <w:tcW w:w="0" w:type="auto"/>
            <w:shd w:val="clear" w:color="auto" w:fill="auto"/>
            <w:noWrap/>
            <w:vAlign w:val="center"/>
          </w:tcPr>
          <w:p w14:paraId="6209530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31</w:t>
            </w:r>
          </w:p>
        </w:tc>
        <w:tc>
          <w:tcPr>
            <w:tcW w:w="5030" w:type="dxa"/>
            <w:shd w:val="clear" w:color="auto" w:fill="auto"/>
            <w:vAlign w:val="center"/>
          </w:tcPr>
          <w:p w14:paraId="67B8105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1.产品符合GB16930.1-2014《安全色标志》和GB/T16930.2-2021《性能要求和试验方法》国家标准；</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2.规格：九节：伸长长度：136cm-139cm；缩短后长度：29cm-27cm；产品重量：216g-200g；节数：伸缩九节；壁厚：0.6mm-0.5mm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3.一拉伸长，一键收合，一键调高低，简单快捷，操作简单</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4.盲杖采用PE材质手柄，舒适握感，无色无味、无毒无害、防滑、耐用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5.盲杖的手柄结构设计适合盲杖使用中多种正确握持，手柄上端装有弹性腕带，不易从手中滑落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6.盲杖采用钛合金杖身，具有强度高，耐蚀性好、耐热性高、硬度大、轻便、耐用耐摔、可反光的特点；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7.盲杖采用合金钢/不锈钢耐磨杖尖，适合在水泥、沥青、砖质等硬质路面上使用,易于更换（可选配旋转头杖尖）；</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8.盲杖具有振动传导信号功能，有敲击声反馈</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9.转动部件转动灵活、连接部件连接牢固，折叠部件方便折叠和打开，无卡滞现象、折叠部件连接部位无明显晃动，其松晃量不大于5mm。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10.产品具有可伸缩，体积小巧，轻量的特点，不占空间，方便携带，</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11.包装：具有独立包装袋、包装盒。</w:t>
            </w:r>
          </w:p>
        </w:tc>
      </w:tr>
      <w:tr w14:paraId="16216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trPr>
        <w:tc>
          <w:tcPr>
            <w:tcW w:w="0" w:type="auto"/>
            <w:shd w:val="clear" w:color="auto" w:fill="auto"/>
            <w:noWrap/>
            <w:vAlign w:val="center"/>
          </w:tcPr>
          <w:p w14:paraId="632AA92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w:t>
            </w:r>
          </w:p>
        </w:tc>
        <w:tc>
          <w:tcPr>
            <w:tcW w:w="984" w:type="dxa"/>
            <w:vMerge w:val="restart"/>
            <w:shd w:val="clear" w:color="auto" w:fill="auto"/>
            <w:vAlign w:val="center"/>
          </w:tcPr>
          <w:p w14:paraId="130A9A9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个人生活自理和防护辅助器具</w:t>
            </w:r>
          </w:p>
        </w:tc>
        <w:tc>
          <w:tcPr>
            <w:tcW w:w="1504" w:type="dxa"/>
            <w:shd w:val="clear" w:color="auto" w:fill="auto"/>
            <w:vAlign w:val="center"/>
          </w:tcPr>
          <w:p w14:paraId="7ACE85B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座便椅</w:t>
            </w:r>
          </w:p>
        </w:tc>
        <w:tc>
          <w:tcPr>
            <w:tcW w:w="0" w:type="auto"/>
            <w:shd w:val="clear" w:color="auto" w:fill="auto"/>
            <w:noWrap/>
            <w:vAlign w:val="center"/>
          </w:tcPr>
          <w:p w14:paraId="06BD136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w:t>
            </w:r>
          </w:p>
        </w:tc>
        <w:tc>
          <w:tcPr>
            <w:tcW w:w="5030" w:type="dxa"/>
            <w:shd w:val="clear" w:color="auto" w:fill="auto"/>
            <w:vAlign w:val="center"/>
          </w:tcPr>
          <w:p w14:paraId="731690F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 材质铝钢管喷涂，大架管直径22mm±2mm，壁厚≥0.7mm.产品尺寸（长宽高）55×44×44cm±2cm .便椅可折叠。</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 座面与靠背填充优质海绵，不易变形，柔软舒适。便椅扶手为工程聚丙材质，一次注塑成型，无毛刺，光滑平整。</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 支脚垫材质为耐磨、表面摩擦系数较高的防滑聚氯材料；便桶为工程聚丙材料制作，强度好、触感舒适、美观坚固、座便器可卸下。</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 最大静载荷≥90kg；</w:t>
            </w:r>
          </w:p>
        </w:tc>
      </w:tr>
      <w:tr w14:paraId="22CF6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28" w:hRule="atLeast"/>
        </w:trPr>
        <w:tc>
          <w:tcPr>
            <w:tcW w:w="0" w:type="auto"/>
            <w:shd w:val="clear" w:color="auto" w:fill="auto"/>
            <w:noWrap/>
            <w:vAlign w:val="center"/>
          </w:tcPr>
          <w:p w14:paraId="0576853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w:t>
            </w:r>
          </w:p>
        </w:tc>
        <w:tc>
          <w:tcPr>
            <w:tcW w:w="984" w:type="dxa"/>
            <w:vMerge w:val="continue"/>
            <w:shd w:val="clear" w:color="auto" w:fill="auto"/>
            <w:vAlign w:val="center"/>
          </w:tcPr>
          <w:p w14:paraId="56376C82">
            <w:pPr>
              <w:jc w:val="center"/>
              <w:rPr>
                <w:rFonts w:hint="eastAsia" w:ascii="宋体" w:hAnsi="宋体" w:eastAsia="宋体" w:cs="宋体"/>
                <w:i w:val="0"/>
                <w:iCs w:val="0"/>
                <w:color w:val="auto"/>
                <w:sz w:val="18"/>
                <w:szCs w:val="18"/>
                <w:highlight w:val="none"/>
                <w:u w:val="none"/>
              </w:rPr>
            </w:pPr>
          </w:p>
        </w:tc>
        <w:tc>
          <w:tcPr>
            <w:tcW w:w="1504" w:type="dxa"/>
            <w:shd w:val="clear" w:color="auto" w:fill="auto"/>
            <w:vAlign w:val="center"/>
          </w:tcPr>
          <w:p w14:paraId="7716430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洗浴椅</w:t>
            </w:r>
          </w:p>
        </w:tc>
        <w:tc>
          <w:tcPr>
            <w:tcW w:w="0" w:type="auto"/>
            <w:shd w:val="clear" w:color="auto" w:fill="auto"/>
            <w:noWrap/>
            <w:vAlign w:val="center"/>
          </w:tcPr>
          <w:p w14:paraId="48A4ABE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c>
          <w:tcPr>
            <w:tcW w:w="5030" w:type="dxa"/>
            <w:shd w:val="clear" w:color="auto" w:fill="auto"/>
            <w:vAlign w:val="center"/>
          </w:tcPr>
          <w:p w14:paraId="29C43E5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1.框架材质：铝合金;坐板高度：38cm-37cm坐板宽度：48-45cm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2.坐板深度：39cm-37cm总宽度：56cm-54cm总高度：68-81cm总长度：42cm-40cm 包装数量：5台包装尺寸：64*58*40cm±2cm;净重/台：3.1kg±1kg，毛重：17.5kg±1kg，管径：2.54cm管厚≥1.25mm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3.材质：铝合金;表面工艺：雾化银色;高度：6档调节;装配方式：拆装.</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4.优点：组装简单,带孔防滑坐板,高度可调节,防滑吸盘大脚垫,防滑靠背,舒适扶手.                                                          5.能自理的老人，孕妇，能自理的残疾人。</w:t>
            </w:r>
          </w:p>
        </w:tc>
      </w:tr>
      <w:tr w14:paraId="4B31B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0" w:type="auto"/>
            <w:shd w:val="clear" w:color="auto" w:fill="auto"/>
            <w:noWrap/>
            <w:vAlign w:val="center"/>
          </w:tcPr>
          <w:p w14:paraId="3B0975C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17</w:t>
            </w:r>
          </w:p>
        </w:tc>
        <w:tc>
          <w:tcPr>
            <w:tcW w:w="984" w:type="dxa"/>
            <w:vMerge w:val="continue"/>
            <w:shd w:val="clear" w:color="auto" w:fill="auto"/>
            <w:vAlign w:val="center"/>
          </w:tcPr>
          <w:p w14:paraId="0FF909B4">
            <w:pPr>
              <w:jc w:val="center"/>
              <w:rPr>
                <w:rFonts w:hint="eastAsia" w:ascii="宋体" w:hAnsi="宋体" w:eastAsia="宋体" w:cs="宋体"/>
                <w:i w:val="0"/>
                <w:iCs w:val="0"/>
                <w:color w:val="auto"/>
                <w:sz w:val="18"/>
                <w:szCs w:val="18"/>
                <w:highlight w:val="none"/>
                <w:u w:val="none"/>
              </w:rPr>
            </w:pPr>
          </w:p>
        </w:tc>
        <w:tc>
          <w:tcPr>
            <w:tcW w:w="1504" w:type="dxa"/>
            <w:shd w:val="clear" w:color="auto" w:fill="auto"/>
            <w:vAlign w:val="center"/>
          </w:tcPr>
          <w:p w14:paraId="5349347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体位垫</w:t>
            </w:r>
          </w:p>
        </w:tc>
        <w:tc>
          <w:tcPr>
            <w:tcW w:w="0" w:type="auto"/>
            <w:shd w:val="clear" w:color="auto" w:fill="auto"/>
            <w:noWrap/>
            <w:vAlign w:val="center"/>
          </w:tcPr>
          <w:p w14:paraId="248AA7E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5030" w:type="dxa"/>
            <w:shd w:val="clear" w:color="auto" w:fill="auto"/>
            <w:vAlign w:val="center"/>
          </w:tcPr>
          <w:p w14:paraId="24812DF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 材质：海棉，网眼布</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 规格：47-43*25-22*15-13CM±2cm。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 卧床病人防褥疮翻身护理用。                                                            4. 外套采用3D网眼布，透气防止闷热,内芯采用高密度海棉，久用不塌陷。</w:t>
            </w:r>
          </w:p>
        </w:tc>
      </w:tr>
      <w:tr w14:paraId="125A0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23" w:hRule="atLeast"/>
        </w:trPr>
        <w:tc>
          <w:tcPr>
            <w:tcW w:w="0" w:type="auto"/>
            <w:shd w:val="clear" w:color="auto" w:fill="auto"/>
            <w:noWrap/>
            <w:vAlign w:val="center"/>
          </w:tcPr>
          <w:p w14:paraId="6E2CA28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18</w:t>
            </w:r>
          </w:p>
        </w:tc>
        <w:tc>
          <w:tcPr>
            <w:tcW w:w="984" w:type="dxa"/>
            <w:vMerge w:val="restart"/>
            <w:shd w:val="clear" w:color="auto" w:fill="auto"/>
            <w:vAlign w:val="center"/>
          </w:tcPr>
          <w:p w14:paraId="48351FD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个人医疗辅助器具</w:t>
            </w:r>
          </w:p>
        </w:tc>
        <w:tc>
          <w:tcPr>
            <w:tcW w:w="1504" w:type="dxa"/>
            <w:shd w:val="clear" w:color="auto" w:fill="auto"/>
            <w:vAlign w:val="center"/>
          </w:tcPr>
          <w:p w14:paraId="7254BF2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防压疮座垫</w:t>
            </w:r>
          </w:p>
        </w:tc>
        <w:tc>
          <w:tcPr>
            <w:tcW w:w="0" w:type="auto"/>
            <w:shd w:val="clear" w:color="auto" w:fill="auto"/>
            <w:noWrap/>
            <w:vAlign w:val="center"/>
          </w:tcPr>
          <w:p w14:paraId="766EB1F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c>
          <w:tcPr>
            <w:tcW w:w="5030" w:type="dxa"/>
            <w:shd w:val="clear" w:color="auto" w:fill="auto"/>
            <w:vAlign w:val="center"/>
          </w:tcPr>
          <w:p w14:paraId="0AD31D91">
            <w:pPr>
              <w:keepNext w:val="0"/>
              <w:keepLines w:val="0"/>
              <w:widowControl/>
              <w:suppressLineNumbers w:val="0"/>
              <w:spacing w:after="120" w:afterAutospacing="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1．材质：优质PVC面料或绒面环保材质，拥有良好的吸湿透气性能。座垫外套材质防霉、防滑、透气，具有阻燃性，有弹力，能适应坐姿产生的表面张力，有效防止褥疮的生成；</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2．规格：≥420mm*420mm；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3．多气室气垫，外观色泽均匀，无气泡，无杂质，无塑化不均，熔焊部位边缘整齐，气室间分隔整齐、间距相等，每个气室相对独立，各气室热合一个气嘴；</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4.抗菌性能：依据GB/T24253-2009标准进行检测，产品对金黄色葡萄球菌、大肠杆菌、铜绿假单胞菌、白色念珠菌、肺炎克雷伯菌、肠球菌、链球菌的抗菌性能≥99.99%</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5.除螨性能：依据GB/T24253-2009标准进行检测，产品对螨虫的去除率≥99.99%</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★6.产品可配备声光湿度报警器，具有湿度检测报警提醒功能，当检测到尿液浸湿时，可通过声音、红绿蓝三色闪光、震动三种方式进行报警提醒，报警传输距离≥40米；</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7.除满足以上条件规定外，按相应行业标准执行。</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注：以上标★参数须提供经国家认证认可部门认可的检测机构出具的检测报告复印件佐证。</w:t>
            </w:r>
          </w:p>
        </w:tc>
      </w:tr>
      <w:tr w14:paraId="0BADE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3" w:hRule="atLeast"/>
        </w:trPr>
        <w:tc>
          <w:tcPr>
            <w:tcW w:w="0" w:type="auto"/>
            <w:shd w:val="clear" w:color="auto" w:fill="auto"/>
            <w:noWrap/>
            <w:vAlign w:val="center"/>
          </w:tcPr>
          <w:p w14:paraId="576110C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19</w:t>
            </w:r>
          </w:p>
        </w:tc>
        <w:tc>
          <w:tcPr>
            <w:tcW w:w="984" w:type="dxa"/>
            <w:vMerge w:val="continue"/>
            <w:shd w:val="clear" w:color="auto" w:fill="auto"/>
            <w:vAlign w:val="center"/>
          </w:tcPr>
          <w:p w14:paraId="3400ACD8">
            <w:pPr>
              <w:jc w:val="center"/>
              <w:rPr>
                <w:rFonts w:hint="eastAsia" w:ascii="宋体" w:hAnsi="宋体" w:eastAsia="宋体" w:cs="宋体"/>
                <w:i w:val="0"/>
                <w:iCs w:val="0"/>
                <w:color w:val="auto"/>
                <w:sz w:val="18"/>
                <w:szCs w:val="18"/>
                <w:highlight w:val="none"/>
                <w:u w:val="none"/>
              </w:rPr>
            </w:pPr>
          </w:p>
        </w:tc>
        <w:tc>
          <w:tcPr>
            <w:tcW w:w="1504" w:type="dxa"/>
            <w:shd w:val="clear" w:color="auto" w:fill="auto"/>
            <w:vAlign w:val="center"/>
          </w:tcPr>
          <w:p w14:paraId="638FA93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防压疮床垫</w:t>
            </w:r>
          </w:p>
        </w:tc>
        <w:tc>
          <w:tcPr>
            <w:tcW w:w="0" w:type="auto"/>
            <w:shd w:val="clear" w:color="auto" w:fill="auto"/>
            <w:noWrap/>
            <w:vAlign w:val="center"/>
          </w:tcPr>
          <w:p w14:paraId="37BC12D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w:t>
            </w:r>
          </w:p>
        </w:tc>
        <w:tc>
          <w:tcPr>
            <w:tcW w:w="5030" w:type="dxa"/>
            <w:shd w:val="clear" w:color="auto" w:fill="auto"/>
            <w:vAlign w:val="center"/>
          </w:tcPr>
          <w:p w14:paraId="60189AB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 床垫主体为充气床垫。床垫由主机气泵、床面喷气条组成；</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 材质：国际通用≥0.36mm厚度布料及尼龙PVC医用级布料组成，吸湿透气良好。气床垫工作载荷≥135kg。</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 主机：采用ABS工程塑料，主机充气循环系统；气泵充气性能稳定，防寒、防高温的优质橡胶软管；</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 功能：波动、喷气、防霉、防滑、透气，具有阻燃性，有弹力，能适应坐姿产生的表面张力。</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 气条数量：≥22条；</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 充气后尺寸（长*宽*高）：1900*900mm±3mm。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7. 工作电压、频率：220V50HZ气泵村力范围：50～110mmHg气泵流量范围：5～8升/分钟，交替波动周期：10-12分钟；气床垫上的充气泵可正常连续工作不小于24h。</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8. 最大噪声：45dB（A），超静音，省电；</w:t>
            </w:r>
          </w:p>
        </w:tc>
      </w:tr>
      <w:tr w14:paraId="093B4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3" w:hRule="atLeast"/>
        </w:trPr>
        <w:tc>
          <w:tcPr>
            <w:tcW w:w="0" w:type="auto"/>
            <w:shd w:val="clear" w:color="auto" w:fill="auto"/>
            <w:noWrap/>
            <w:vAlign w:val="center"/>
          </w:tcPr>
          <w:p w14:paraId="16029DD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w:t>
            </w:r>
          </w:p>
        </w:tc>
        <w:tc>
          <w:tcPr>
            <w:tcW w:w="984" w:type="dxa"/>
            <w:vMerge w:val="continue"/>
            <w:shd w:val="clear" w:color="auto" w:fill="auto"/>
            <w:vAlign w:val="center"/>
          </w:tcPr>
          <w:p w14:paraId="5C82E0C1">
            <w:pPr>
              <w:jc w:val="center"/>
              <w:rPr>
                <w:rFonts w:hint="eastAsia" w:ascii="宋体" w:hAnsi="宋体" w:eastAsia="宋体" w:cs="宋体"/>
                <w:i w:val="0"/>
                <w:iCs w:val="0"/>
                <w:color w:val="auto"/>
                <w:sz w:val="18"/>
                <w:szCs w:val="18"/>
                <w:highlight w:val="none"/>
                <w:u w:val="none"/>
              </w:rPr>
            </w:pPr>
          </w:p>
        </w:tc>
        <w:tc>
          <w:tcPr>
            <w:tcW w:w="1504" w:type="dxa"/>
            <w:shd w:val="clear" w:color="auto" w:fill="auto"/>
            <w:vAlign w:val="center"/>
          </w:tcPr>
          <w:p w14:paraId="51D84DB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儿童站立架</w:t>
            </w:r>
          </w:p>
        </w:tc>
        <w:tc>
          <w:tcPr>
            <w:tcW w:w="0" w:type="auto"/>
            <w:shd w:val="clear" w:color="auto" w:fill="auto"/>
            <w:noWrap/>
            <w:vAlign w:val="center"/>
          </w:tcPr>
          <w:p w14:paraId="4848925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5030" w:type="dxa"/>
            <w:shd w:val="clear" w:color="auto" w:fill="auto"/>
            <w:vAlign w:val="center"/>
          </w:tcPr>
          <w:p w14:paraId="1E8C136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 餐板和脚踏板：采用木板制作。</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 椅架为A3钢结构架经喷涂。</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 餐台按人体站姿设计，固定架上有调节旋钮，可作适当调节适用高度，为人体提供最佳用餐支撑。</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 转动架通过手摇调节机构，能轻松灵活调节站立架向前倾斜角度最大角度为40度。，调节桌面的角度，调节范围在0-40度之间。</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 四脚配有四个万向轮，均带有自锁功能，方便移动，稳定着地。</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 护胸垫、护脚垫、臀垫、枕头采用一次性成形高密度海绵，外包柔软的PU人造皮革，让人倍感舒适。</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7. 护胸垫、裆垫、可调节宽度，护脚垫：可调节高低。                                         8. 总长81cm±5mm，总宽64cm±5mm，总高79-98cm±5mm，前轮直径7.5cm±5mm，后轮直径7.5cm±5mm，                                                 9. 材质木板+A3钢，承载量75 kg±5kg，净重量24.6 kg±3kg，餐板尺寸长*宽55*36 cm±5mm，裆深可调17-27 cm±5mm，胸垫宽可调19-29 cm，腿垫高可调21-33 cm。</w:t>
            </w:r>
          </w:p>
        </w:tc>
      </w:tr>
      <w:tr w14:paraId="2C325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68" w:hRule="atLeast"/>
        </w:trPr>
        <w:tc>
          <w:tcPr>
            <w:tcW w:w="0" w:type="auto"/>
            <w:shd w:val="clear" w:color="auto" w:fill="auto"/>
            <w:noWrap/>
            <w:vAlign w:val="center"/>
          </w:tcPr>
          <w:p w14:paraId="7EDBF06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21</w:t>
            </w:r>
          </w:p>
        </w:tc>
        <w:tc>
          <w:tcPr>
            <w:tcW w:w="984" w:type="dxa"/>
            <w:vMerge w:val="continue"/>
            <w:shd w:val="clear" w:color="auto" w:fill="auto"/>
            <w:vAlign w:val="center"/>
          </w:tcPr>
          <w:p w14:paraId="6C10D322">
            <w:pPr>
              <w:jc w:val="center"/>
              <w:rPr>
                <w:rFonts w:hint="eastAsia" w:ascii="宋体" w:hAnsi="宋体" w:eastAsia="宋体" w:cs="宋体"/>
                <w:i w:val="0"/>
                <w:iCs w:val="0"/>
                <w:color w:val="auto"/>
                <w:sz w:val="18"/>
                <w:szCs w:val="18"/>
                <w:highlight w:val="none"/>
                <w:u w:val="none"/>
              </w:rPr>
            </w:pPr>
          </w:p>
        </w:tc>
        <w:tc>
          <w:tcPr>
            <w:tcW w:w="1504" w:type="dxa"/>
            <w:shd w:val="clear" w:color="auto" w:fill="auto"/>
            <w:vAlign w:val="center"/>
          </w:tcPr>
          <w:p w14:paraId="068EF5E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坐姿椅</w:t>
            </w:r>
          </w:p>
        </w:tc>
        <w:tc>
          <w:tcPr>
            <w:tcW w:w="0" w:type="auto"/>
            <w:shd w:val="clear" w:color="auto" w:fill="auto"/>
            <w:noWrap/>
            <w:vAlign w:val="center"/>
          </w:tcPr>
          <w:p w14:paraId="505523B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5030" w:type="dxa"/>
            <w:shd w:val="clear" w:color="auto" w:fill="auto"/>
            <w:vAlign w:val="center"/>
          </w:tcPr>
          <w:p w14:paraId="493E40E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 主要技术指标和参数</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1）外形尺寸（长×宽×高）：680mm×600mm×（880～965）mm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2）座位垫宽度：350mm±5mm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3）座位垫深度：350mm±5mm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4）头部靠垫高度：100mm±5mm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5）头部靠垫可调高度：0mm～85mm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6）桌面板长×宽：600mm×400mm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7）桌面板离座垫高：200mm±5mm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8）踏脚板长×宽：345mm×240mm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9）踏脚板上下调节范围：130mm±5mm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10）扶手前后可调距离：150mm±5mm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11）整体仰角：0°～30°</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12）额定承载：≥60kg</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13）配件：护心型固定绑带（1条）</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14）大腿绑带（1条）</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15）脚绑带（2条） 产品用途：用于1～7岁的脑瘫儿童进行坐位保持、坐位平衡、矫正坐姿、防止和治疗畸形。</w:t>
            </w:r>
          </w:p>
        </w:tc>
      </w:tr>
      <w:tr w14:paraId="26B8C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3" w:hRule="atLeast"/>
        </w:trPr>
        <w:tc>
          <w:tcPr>
            <w:tcW w:w="0" w:type="auto"/>
            <w:shd w:val="clear" w:color="auto" w:fill="auto"/>
            <w:noWrap/>
            <w:vAlign w:val="center"/>
          </w:tcPr>
          <w:p w14:paraId="5C06BD7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22</w:t>
            </w:r>
          </w:p>
        </w:tc>
        <w:tc>
          <w:tcPr>
            <w:tcW w:w="984" w:type="dxa"/>
            <w:vMerge w:val="restart"/>
            <w:shd w:val="clear" w:color="auto" w:fill="auto"/>
            <w:vAlign w:val="center"/>
          </w:tcPr>
          <w:p w14:paraId="5CB40AE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沟通和信息辅助器具</w:t>
            </w:r>
          </w:p>
        </w:tc>
        <w:tc>
          <w:tcPr>
            <w:tcW w:w="1504" w:type="dxa"/>
            <w:shd w:val="clear" w:color="auto" w:fill="auto"/>
            <w:vAlign w:val="center"/>
          </w:tcPr>
          <w:p w14:paraId="28A9676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单筒望远镜</w:t>
            </w:r>
          </w:p>
        </w:tc>
        <w:tc>
          <w:tcPr>
            <w:tcW w:w="0" w:type="auto"/>
            <w:shd w:val="clear" w:color="auto" w:fill="auto"/>
            <w:noWrap/>
            <w:vAlign w:val="center"/>
          </w:tcPr>
          <w:p w14:paraId="21272C1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5030" w:type="dxa"/>
            <w:shd w:val="clear" w:color="auto" w:fill="auto"/>
            <w:vAlign w:val="center"/>
          </w:tcPr>
          <w:p w14:paraId="135F216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 Q/KJ00⒋ ⒛ 04《助视器技术条件》; GB23719 009《眼科光学和仪器光学助视器》                                                      2. 放大倍率：≥6倍,物镜口径:18mm±2mm；,棱镜材料：BK7；                                                                                    3. 出瞳直径:≥3mm;6.出瞳距离：10.5-11mm；7.视场角：9.5°8±1.伸缩调焦的最大尺寸：3*7.5-12CM;                                                                     4. 近焦距离（指可清晰观察到目标物的最近距离）不大于250mm；                                                                         5. 镜片采用全表面镀膜，物像不变形，成像清晰，不应出现成像弯曲、发毛、边缘带色；</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 不应有肉眼可见的气泡、条纹、白色结石、黑点、白点等；</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7. 镜片表面不应有水迹、指印、油污、尘埃、霉斑等；                                                                                                   </w:t>
            </w:r>
          </w:p>
        </w:tc>
      </w:tr>
      <w:tr w14:paraId="552CD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43" w:hRule="atLeast"/>
        </w:trPr>
        <w:tc>
          <w:tcPr>
            <w:tcW w:w="0" w:type="auto"/>
            <w:shd w:val="clear" w:color="auto" w:fill="auto"/>
            <w:noWrap/>
            <w:vAlign w:val="center"/>
          </w:tcPr>
          <w:p w14:paraId="2377A26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23</w:t>
            </w:r>
          </w:p>
        </w:tc>
        <w:tc>
          <w:tcPr>
            <w:tcW w:w="984" w:type="dxa"/>
            <w:vMerge w:val="continue"/>
            <w:shd w:val="clear" w:color="auto" w:fill="auto"/>
            <w:vAlign w:val="center"/>
          </w:tcPr>
          <w:p w14:paraId="5E7260E6">
            <w:pPr>
              <w:jc w:val="center"/>
              <w:rPr>
                <w:rFonts w:hint="eastAsia" w:ascii="宋体" w:hAnsi="宋体" w:eastAsia="宋体" w:cs="宋体"/>
                <w:i w:val="0"/>
                <w:iCs w:val="0"/>
                <w:color w:val="auto"/>
                <w:sz w:val="18"/>
                <w:szCs w:val="18"/>
                <w:highlight w:val="none"/>
                <w:u w:val="none"/>
              </w:rPr>
            </w:pPr>
          </w:p>
        </w:tc>
        <w:tc>
          <w:tcPr>
            <w:tcW w:w="1504" w:type="dxa"/>
            <w:shd w:val="clear" w:color="auto" w:fill="auto"/>
            <w:vAlign w:val="center"/>
          </w:tcPr>
          <w:p w14:paraId="7267A49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闪光门铃</w:t>
            </w:r>
          </w:p>
        </w:tc>
        <w:tc>
          <w:tcPr>
            <w:tcW w:w="0" w:type="auto"/>
            <w:shd w:val="clear" w:color="auto" w:fill="auto"/>
            <w:noWrap/>
            <w:vAlign w:val="center"/>
          </w:tcPr>
          <w:p w14:paraId="6E2285C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5030" w:type="dxa"/>
            <w:shd w:val="clear" w:color="auto" w:fill="auto"/>
            <w:vAlign w:val="center"/>
          </w:tcPr>
          <w:p w14:paraId="41115CD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产品组成：发射器，接收器，支架，锂电池，USB线，充电器、说明书（保修卡）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1、接收器:白色 LED 闪光灯，左侧有“选曲”“音量”2个按键，1个充电口。</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2、右侧有开关键，宽电压输入：AC100V-240V。</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3、感应器：有一个自发电按钮，按压发电不用电池。</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4、发射器：按键自发电，无需充电，方便使用，发射器按下时，发射器有蓝色光设计。</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5、接收器：发射器按下时，接收器会提示所选择的音乐，并带七种彩色强闪光震动功能。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6、≥32首提示音乐选择，可闪光提示，音乐提示，震动提示。 铃音大小可调节。</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7、室内阻隔区域≥40米，抗干扰。</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8、接收器使用锂电池蓄电，USB充电，也可更换锂电池，可以随身携带。                                                                                                   </w:t>
            </w:r>
          </w:p>
        </w:tc>
      </w:tr>
      <w:tr w14:paraId="176CF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8" w:hRule="atLeast"/>
        </w:trPr>
        <w:tc>
          <w:tcPr>
            <w:tcW w:w="0" w:type="auto"/>
            <w:shd w:val="clear" w:color="auto" w:fill="auto"/>
            <w:noWrap/>
            <w:vAlign w:val="center"/>
          </w:tcPr>
          <w:p w14:paraId="3F1EE24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24</w:t>
            </w:r>
          </w:p>
        </w:tc>
        <w:tc>
          <w:tcPr>
            <w:tcW w:w="984" w:type="dxa"/>
            <w:vMerge w:val="continue"/>
            <w:shd w:val="clear" w:color="auto" w:fill="auto"/>
            <w:vAlign w:val="center"/>
          </w:tcPr>
          <w:p w14:paraId="78A5A279">
            <w:pPr>
              <w:jc w:val="center"/>
              <w:rPr>
                <w:rFonts w:hint="eastAsia" w:ascii="宋体" w:hAnsi="宋体" w:eastAsia="宋体" w:cs="宋体"/>
                <w:i w:val="0"/>
                <w:iCs w:val="0"/>
                <w:color w:val="auto"/>
                <w:sz w:val="18"/>
                <w:szCs w:val="18"/>
                <w:highlight w:val="none"/>
                <w:u w:val="none"/>
              </w:rPr>
            </w:pPr>
          </w:p>
        </w:tc>
        <w:tc>
          <w:tcPr>
            <w:tcW w:w="1504" w:type="dxa"/>
            <w:shd w:val="clear" w:color="auto" w:fill="auto"/>
            <w:vAlign w:val="center"/>
          </w:tcPr>
          <w:p w14:paraId="10703F5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震动闹钟</w:t>
            </w:r>
          </w:p>
        </w:tc>
        <w:tc>
          <w:tcPr>
            <w:tcW w:w="0" w:type="auto"/>
            <w:shd w:val="clear" w:color="auto" w:fill="auto"/>
            <w:noWrap/>
            <w:vAlign w:val="center"/>
          </w:tcPr>
          <w:p w14:paraId="665BB1C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c>
          <w:tcPr>
            <w:tcW w:w="5030" w:type="dxa"/>
            <w:shd w:val="clear" w:color="auto" w:fill="auto"/>
            <w:vAlign w:val="center"/>
          </w:tcPr>
          <w:p w14:paraId="2C5C325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1.产品组成：闹钟、振动器、电源适配器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2.产品材质：钟体及振动器外壳采用ABS工程塑料</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3.规格尺寸：闹钟11cm*11*5.5cm±1cm、显示屏直径≥60mm、振动器9cm*6.5*2.2cm±0.5cm。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4.供电方式：闹钟采用DC5V或3节7号电池供电，振动器内置≥3500毫安≥3.7V锂电池供电。</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1）时间、日期、闹钟时间、闹钟规则同时显示，24小时制/12小时制时间显示任意切换，可显示 月份，日期，显示屏带夜光功能。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2）闹铃具有震动、响铃、闪光功能。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3）触控控制的彩色小夜灯功能，具有≥4种颜色按顺序触控切换（红色绿色蓝色白色）</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4）拨动开关一键设置闹钟模式，顺序为关闭闹钟，1-星期5闹钟、1-星期6闹钟、每周7天闹钟。</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5）振动提示为独立的震动器，以无线方式和闹钟本体链接，具备震动提示。</w:t>
            </w:r>
          </w:p>
        </w:tc>
      </w:tr>
      <w:tr w14:paraId="61BC8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8" w:hRule="atLeast"/>
        </w:trPr>
        <w:tc>
          <w:tcPr>
            <w:tcW w:w="0" w:type="auto"/>
            <w:shd w:val="clear" w:color="auto" w:fill="auto"/>
            <w:noWrap/>
            <w:vAlign w:val="center"/>
          </w:tcPr>
          <w:p w14:paraId="1BDBFC7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25</w:t>
            </w:r>
          </w:p>
        </w:tc>
        <w:tc>
          <w:tcPr>
            <w:tcW w:w="984" w:type="dxa"/>
            <w:vMerge w:val="continue"/>
            <w:shd w:val="clear" w:color="auto" w:fill="auto"/>
            <w:vAlign w:val="center"/>
          </w:tcPr>
          <w:p w14:paraId="6E020DE8">
            <w:pPr>
              <w:jc w:val="center"/>
              <w:rPr>
                <w:rFonts w:hint="eastAsia" w:ascii="宋体" w:hAnsi="宋体" w:eastAsia="宋体" w:cs="宋体"/>
                <w:i w:val="0"/>
                <w:iCs w:val="0"/>
                <w:color w:val="auto"/>
                <w:sz w:val="18"/>
                <w:szCs w:val="18"/>
                <w:highlight w:val="none"/>
                <w:u w:val="none"/>
              </w:rPr>
            </w:pPr>
          </w:p>
        </w:tc>
        <w:tc>
          <w:tcPr>
            <w:tcW w:w="1504" w:type="dxa"/>
            <w:shd w:val="clear" w:color="auto" w:fill="auto"/>
            <w:vAlign w:val="center"/>
          </w:tcPr>
          <w:p w14:paraId="20614B3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助听器</w:t>
            </w:r>
          </w:p>
        </w:tc>
        <w:tc>
          <w:tcPr>
            <w:tcW w:w="0" w:type="auto"/>
            <w:shd w:val="clear" w:color="auto" w:fill="auto"/>
            <w:noWrap/>
            <w:vAlign w:val="center"/>
          </w:tcPr>
          <w:p w14:paraId="4097A5E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53</w:t>
            </w:r>
          </w:p>
        </w:tc>
        <w:tc>
          <w:tcPr>
            <w:tcW w:w="5030" w:type="dxa"/>
            <w:shd w:val="clear" w:color="auto" w:fill="auto"/>
            <w:vAlign w:val="center"/>
          </w:tcPr>
          <w:p w14:paraId="3F0C74DF">
            <w:pPr>
              <w:keepNext w:val="0"/>
              <w:keepLines w:val="0"/>
              <w:widowControl/>
              <w:suppressLineNumbers w:val="0"/>
              <w:spacing w:after="120" w:afterAutospacing="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一、全数字助听器：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参数：</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非线性(压缩)测试：人体正常佩戴助听器，在人体正前方50cm与人体耳朵同一水平面，通过仿真嘴播放50dB-90dB声压级(dBSPL)的幅度扫描信号，该扫描信号以1kHz为间隔，在输入信号90dB时，1KHz输出信号106.102dB；2KHz输出信号131.964dB,3KHz；输出信号118.604dB；4KHz输出信号106.102dB【提供第三方权威机构出具的检验报告复印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★2、满档声增益：≤49dB。当外界输入声压＞听力阈值时，自动启动听力保护功能，对超出听力阈值的入耳声压进行压缩。</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★3、对样品进行持续浸水试验。 样品全部浸入水中，  样品最低点低于水面 1.1m ；试验持续时间：30min  试验后，样品可正常使用。【提供第三方权威机构出具的检验报告复印件】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4、等效输入噪声级：≤25dB，总谐波失真：≤1.8%</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5、频率响应范围：200Hz-6000Hz。</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6、电流量：≤2.5mA</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★7、可选智能降噪深度。说明智能降噪深度控制原理。</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8、独立验配通道和频段数：≥16</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9、聆听程序设置：≥7个</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★10、全数字信号处理技术，自动音量控制，勿需手动调节音量，方便用户日常使用。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11、具备自动声反馈抑制功能。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12、具备内置测听功能。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13、具备开机延时功能。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14、具备移频功能、双麦克风技术，数据存储及实时分析系统。</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15、具备低电压提示。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16、具备蓝牙功能。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★17、内置语音评估功能，自动计算语言识别率0～100P。</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18、按用户需求提供多款耳塞或耳模</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★19、具备个人电脑、平板、手机系统验配软件，多模式下编程验配及患者管理功能。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20、具备无线编程功能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★21、助听器直连智能手机接听，勿需辅助配件。并可与各种音频输出设备无中转连接。</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★22、可使用手机链接助听器，居家自主自助测听、验配、微调等功能。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★23，提供免费维保/免费电池供应/每年一次免费性能刷新修正参数</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★24，首次适配后为用户提供3个月的听觉康复训练和言语训练，助听器后言语识别率≥60%；须提供经国家认证认可部门认可的检测机构出具的检测报告复印件佐证以上标★参数。</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注：以上标★参数须提供经国家认证认可部门认可的检测机构出具的检测报告复印件佐证。</w:t>
            </w:r>
          </w:p>
        </w:tc>
      </w:tr>
      <w:tr w14:paraId="30DBF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48" w:hRule="atLeast"/>
        </w:trPr>
        <w:tc>
          <w:tcPr>
            <w:tcW w:w="0" w:type="auto"/>
            <w:shd w:val="clear" w:color="auto" w:fill="auto"/>
            <w:noWrap/>
            <w:vAlign w:val="center"/>
          </w:tcPr>
          <w:p w14:paraId="04630B4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26</w:t>
            </w:r>
          </w:p>
        </w:tc>
        <w:tc>
          <w:tcPr>
            <w:tcW w:w="984" w:type="dxa"/>
            <w:vMerge w:val="continue"/>
            <w:shd w:val="clear" w:color="auto" w:fill="auto"/>
            <w:vAlign w:val="center"/>
          </w:tcPr>
          <w:p w14:paraId="62AB8CCC">
            <w:pPr>
              <w:jc w:val="center"/>
              <w:rPr>
                <w:rFonts w:hint="eastAsia" w:ascii="宋体" w:hAnsi="宋体" w:eastAsia="宋体" w:cs="宋体"/>
                <w:i w:val="0"/>
                <w:iCs w:val="0"/>
                <w:color w:val="auto"/>
                <w:sz w:val="18"/>
                <w:szCs w:val="18"/>
                <w:highlight w:val="none"/>
                <w:u w:val="none"/>
              </w:rPr>
            </w:pPr>
          </w:p>
        </w:tc>
        <w:tc>
          <w:tcPr>
            <w:tcW w:w="1504" w:type="dxa"/>
            <w:shd w:val="clear" w:color="auto" w:fill="auto"/>
            <w:vAlign w:val="center"/>
          </w:tcPr>
          <w:p w14:paraId="6CE6762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滤光镜</w:t>
            </w:r>
          </w:p>
        </w:tc>
        <w:tc>
          <w:tcPr>
            <w:tcW w:w="0" w:type="auto"/>
            <w:shd w:val="clear" w:color="auto" w:fill="auto"/>
            <w:noWrap/>
            <w:vAlign w:val="center"/>
          </w:tcPr>
          <w:p w14:paraId="2F72662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5030" w:type="dxa"/>
            <w:shd w:val="clear" w:color="auto" w:fill="auto"/>
            <w:vAlign w:val="center"/>
          </w:tcPr>
          <w:p w14:paraId="7D7A554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Q/KJ00⒋ ⒛ 04《助视器技术条件》; GB23719 009《眼科光学和仪器光学助视器》                                                                                      1.镜片材料.树脂材质;镜架材料.PC</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2.排除和滤除光束中的散射光线，使光线能与正规之透光轴投入眼睛视觉影像，使视野清晰自然，柔和不刺眼。</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3.镜片夜间有效抵挡刺眼远光强光，提高夜间实物亮度，镜片具有微光增量效果，缓解视觉疲劳，款式通用。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4.防止强光，防紫外线，抵挡炫光，可见光透视率,98（％）</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5.对低视力和眼疾病患者有一定保护作用。                                                                             6.可以配合戴近视镜的朋友使用，把近视镜套在内部使用。                             7、镜高45mm±2mm;镜宽62mm±2mm;鼻宽15mm±2mm；镜腿155mm±2mm,镜框总宽145mm±2mm。                                                                  </w:t>
            </w:r>
          </w:p>
        </w:tc>
      </w:tr>
      <w:tr w14:paraId="0C837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03" w:hRule="atLeast"/>
        </w:trPr>
        <w:tc>
          <w:tcPr>
            <w:tcW w:w="0" w:type="auto"/>
            <w:shd w:val="clear" w:color="auto" w:fill="auto"/>
            <w:noWrap/>
            <w:vAlign w:val="center"/>
          </w:tcPr>
          <w:p w14:paraId="08929A6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27</w:t>
            </w:r>
          </w:p>
        </w:tc>
        <w:tc>
          <w:tcPr>
            <w:tcW w:w="984" w:type="dxa"/>
            <w:vMerge w:val="continue"/>
            <w:shd w:val="clear" w:color="auto" w:fill="auto"/>
            <w:vAlign w:val="center"/>
          </w:tcPr>
          <w:p w14:paraId="04ADC653">
            <w:pPr>
              <w:jc w:val="center"/>
              <w:rPr>
                <w:rFonts w:hint="eastAsia" w:ascii="宋体" w:hAnsi="宋体" w:eastAsia="宋体" w:cs="宋体"/>
                <w:i w:val="0"/>
                <w:iCs w:val="0"/>
                <w:color w:val="auto"/>
                <w:sz w:val="18"/>
                <w:szCs w:val="18"/>
                <w:highlight w:val="none"/>
                <w:u w:val="none"/>
              </w:rPr>
            </w:pPr>
          </w:p>
        </w:tc>
        <w:tc>
          <w:tcPr>
            <w:tcW w:w="1504" w:type="dxa"/>
            <w:shd w:val="clear" w:color="auto" w:fill="auto"/>
            <w:vAlign w:val="center"/>
          </w:tcPr>
          <w:p w14:paraId="037B23C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盲表</w:t>
            </w:r>
          </w:p>
        </w:tc>
        <w:tc>
          <w:tcPr>
            <w:tcW w:w="0" w:type="auto"/>
            <w:shd w:val="clear" w:color="auto" w:fill="auto"/>
            <w:noWrap/>
            <w:vAlign w:val="center"/>
          </w:tcPr>
          <w:p w14:paraId="0D7E80B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5030" w:type="dxa"/>
            <w:shd w:val="clear" w:color="auto" w:fill="auto"/>
            <w:vAlign w:val="center"/>
          </w:tcPr>
          <w:p w14:paraId="39EA47A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执行标准：按GB/T6044-2005《指针式石英手表》国家标准执行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1.内配置进口机芯与进口电池，搭配不锈钢表带，简约大字点加三针显示，可同时满足低视力或老人听力不便，耐用，防沾水，不过敏等特点。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2.盲表由表壳、金属表带、电子机芯、表扣，底盖组成；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3.功能：三针大字点数字显示，清晰超大声音语音报时，防过敏电镀层；</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4.金属电镀层，环保无镍电镀，手表准确度，30天+-3秒内；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5.产品配置说明，不多与3个按键操作，方便低视力和盲人以及老年人使用。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6.大声音报时与闹钟，还增加年、年、日、星期报功能；表面颜色：黑色、白色；</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7.手表总长度，25CM±2CM，可以根据需要缩伸表带长度。</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8.报时/贪睡功能，闹钟功能、生活防水。</w:t>
            </w:r>
          </w:p>
        </w:tc>
      </w:tr>
      <w:tr w14:paraId="0C3F0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0" w:type="auto"/>
            <w:shd w:val="clear" w:color="auto" w:fill="auto"/>
            <w:noWrap/>
            <w:vAlign w:val="center"/>
          </w:tcPr>
          <w:p w14:paraId="7BF1848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28</w:t>
            </w:r>
          </w:p>
        </w:tc>
        <w:tc>
          <w:tcPr>
            <w:tcW w:w="984" w:type="dxa"/>
            <w:vMerge w:val="continue"/>
            <w:shd w:val="clear" w:color="auto" w:fill="auto"/>
            <w:vAlign w:val="center"/>
          </w:tcPr>
          <w:p w14:paraId="104862BC">
            <w:pPr>
              <w:jc w:val="center"/>
              <w:rPr>
                <w:rFonts w:hint="eastAsia" w:ascii="宋体" w:hAnsi="宋体" w:eastAsia="宋体" w:cs="宋体"/>
                <w:i w:val="0"/>
                <w:iCs w:val="0"/>
                <w:color w:val="auto"/>
                <w:sz w:val="18"/>
                <w:szCs w:val="18"/>
                <w:highlight w:val="none"/>
                <w:u w:val="none"/>
              </w:rPr>
            </w:pPr>
          </w:p>
        </w:tc>
        <w:tc>
          <w:tcPr>
            <w:tcW w:w="1504" w:type="dxa"/>
            <w:shd w:val="clear" w:color="auto" w:fill="auto"/>
            <w:vAlign w:val="center"/>
          </w:tcPr>
          <w:p w14:paraId="6DD3EA1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手持式多功能放大镜</w:t>
            </w:r>
          </w:p>
        </w:tc>
        <w:tc>
          <w:tcPr>
            <w:tcW w:w="0" w:type="auto"/>
            <w:shd w:val="clear" w:color="auto" w:fill="auto"/>
            <w:noWrap/>
            <w:vAlign w:val="center"/>
          </w:tcPr>
          <w:p w14:paraId="40F3B95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c>
          <w:tcPr>
            <w:tcW w:w="5030" w:type="dxa"/>
            <w:shd w:val="clear" w:color="auto" w:fill="auto"/>
            <w:vAlign w:val="center"/>
          </w:tcPr>
          <w:p w14:paraId="2526916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Q/KJ00⒋ ⒛ 04《助视器技术条件》; GB23719 009《眼科光学和仪器光学助视器》                                                           1、材质：镜面：亚克力/管：硅胶；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2、待机时间：聚合物锂电池≥500mAh，≥10h；</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3、外观尺寸：130-125*100-95*17mm-15(折叠)；226-223*105-100*18-16mm(打开）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4、镜片尺寸：直径90mm±5mm，视觉清晰更舒适</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5、采用优质镜片，健康护眼防蓝光</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6、隐藏式手柄设计，符合人体工程学原理使用更方便。                                                                          </w:t>
            </w:r>
          </w:p>
        </w:tc>
      </w:tr>
      <w:tr w14:paraId="0FD58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58" w:hRule="atLeast"/>
        </w:trPr>
        <w:tc>
          <w:tcPr>
            <w:tcW w:w="0" w:type="auto"/>
            <w:shd w:val="clear" w:color="auto" w:fill="auto"/>
            <w:noWrap/>
            <w:vAlign w:val="center"/>
          </w:tcPr>
          <w:p w14:paraId="60DFA34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29</w:t>
            </w:r>
          </w:p>
        </w:tc>
        <w:tc>
          <w:tcPr>
            <w:tcW w:w="984" w:type="dxa"/>
            <w:vMerge w:val="continue"/>
            <w:shd w:val="clear" w:color="auto" w:fill="auto"/>
            <w:vAlign w:val="center"/>
          </w:tcPr>
          <w:p w14:paraId="4FCB07F2">
            <w:pPr>
              <w:jc w:val="center"/>
              <w:rPr>
                <w:rFonts w:hint="eastAsia" w:ascii="宋体" w:hAnsi="宋体" w:eastAsia="宋体" w:cs="宋体"/>
                <w:i w:val="0"/>
                <w:iCs w:val="0"/>
                <w:color w:val="auto"/>
                <w:sz w:val="18"/>
                <w:szCs w:val="18"/>
                <w:highlight w:val="none"/>
                <w:u w:val="none"/>
              </w:rPr>
            </w:pPr>
          </w:p>
        </w:tc>
        <w:tc>
          <w:tcPr>
            <w:tcW w:w="1504" w:type="dxa"/>
            <w:shd w:val="clear" w:color="auto" w:fill="auto"/>
            <w:vAlign w:val="center"/>
          </w:tcPr>
          <w:p w14:paraId="42B26B7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听书机</w:t>
            </w:r>
          </w:p>
        </w:tc>
        <w:tc>
          <w:tcPr>
            <w:tcW w:w="0" w:type="auto"/>
            <w:shd w:val="clear" w:color="auto" w:fill="auto"/>
            <w:noWrap/>
            <w:vAlign w:val="center"/>
          </w:tcPr>
          <w:p w14:paraId="373BC5C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13</w:t>
            </w:r>
          </w:p>
        </w:tc>
        <w:tc>
          <w:tcPr>
            <w:tcW w:w="5030" w:type="dxa"/>
            <w:shd w:val="clear" w:color="auto" w:fill="auto"/>
            <w:vAlign w:val="center"/>
          </w:tcPr>
          <w:p w14:paraId="2DC7490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1.执行标准：QB/T 4325-2012</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2.产品组成：听书收音一体机、充电线、挂绳</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3.性能参数：工作电压3.7v、喇叭功率4Ω 5W 、2200mAh蓄电量、数字屏显</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4.材质：ABS外壳、硅胶按键、</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5.规格：机身长99mm宽32mm高66mm（±3mm），显示屏宽38mm高25mm（±3mm），天线长69～165mm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1）一体成型盲文触点按键，全程按键语音提示，内置FM收音机、蓝牙音响、插卡音响、语音记事本、时钟功能，高亮背光按键，音量调节,电子书功能，听书功能。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2）收音机自动搜索电台，99组电台频率记忆。</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3）蓝牙音响可连接手机，播放音乐及接听电话。</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4）插卡音响快捷数字点歌，支持9999个音乐或故事文件，支持64gtf卡，支持64GU盘。</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5）语音记事本最多支持999段语音记录，单个语音记录最长20分钟。注：以上标★参数须提供经国家认证认可部门认可的检测机构出具的检测报告复印件佐证。</w:t>
            </w:r>
          </w:p>
        </w:tc>
      </w:tr>
      <w:tr w14:paraId="1F38D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3" w:hRule="atLeast"/>
        </w:trPr>
        <w:tc>
          <w:tcPr>
            <w:tcW w:w="0" w:type="auto"/>
            <w:shd w:val="clear" w:color="auto" w:fill="auto"/>
            <w:noWrap/>
            <w:vAlign w:val="center"/>
          </w:tcPr>
          <w:p w14:paraId="1C8971A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w:t>
            </w:r>
          </w:p>
        </w:tc>
        <w:tc>
          <w:tcPr>
            <w:tcW w:w="984" w:type="dxa"/>
            <w:vMerge w:val="continue"/>
            <w:shd w:val="clear" w:color="auto" w:fill="auto"/>
            <w:vAlign w:val="center"/>
          </w:tcPr>
          <w:p w14:paraId="71B6DE2B">
            <w:pPr>
              <w:jc w:val="center"/>
              <w:rPr>
                <w:rFonts w:hint="eastAsia" w:ascii="宋体" w:hAnsi="宋体" w:eastAsia="宋体" w:cs="宋体"/>
                <w:i w:val="0"/>
                <w:iCs w:val="0"/>
                <w:color w:val="auto"/>
                <w:sz w:val="18"/>
                <w:szCs w:val="18"/>
                <w:highlight w:val="none"/>
                <w:u w:val="none"/>
              </w:rPr>
            </w:pPr>
          </w:p>
        </w:tc>
        <w:tc>
          <w:tcPr>
            <w:tcW w:w="1504" w:type="dxa"/>
            <w:shd w:val="clear" w:color="auto" w:fill="auto"/>
            <w:vAlign w:val="center"/>
          </w:tcPr>
          <w:p w14:paraId="36A04A8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中距离眼镜式助视器</w:t>
            </w:r>
          </w:p>
        </w:tc>
        <w:tc>
          <w:tcPr>
            <w:tcW w:w="0" w:type="auto"/>
            <w:shd w:val="clear" w:color="auto" w:fill="auto"/>
            <w:noWrap/>
            <w:vAlign w:val="center"/>
          </w:tcPr>
          <w:p w14:paraId="09F6D9D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w:t>
            </w:r>
          </w:p>
        </w:tc>
        <w:tc>
          <w:tcPr>
            <w:tcW w:w="5030" w:type="dxa"/>
            <w:shd w:val="clear" w:color="auto" w:fill="auto"/>
            <w:vAlign w:val="center"/>
          </w:tcPr>
          <w:p w14:paraId="7F962B9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Q/KJ00⒋ ⒛ 04《助视器技术条件》; GB23719 009《眼科光学和仪器光学助视器》                                                          1.光学性能：成像清晰，无成像弯曲、发毛、边缘带色。                                        2.光学部件无肉眼可见的气泡、条纹、白色结石、黑点、白点等。                          3.镜片表面无水迹、指印、油污、尘埃、霉斑等。</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4.放大倍率：2.0倍-2.5倍。</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5.至少可清晰观察3米处目标物,最远可清晰观察5米处目标物,重量：40克±3g,镜片尺寸35mm±3mm.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6.镜架材质：PP、镜片材质：PC、PMMA、包装材质：防护袋。                                                                           7.具有双调焦轮，并且调焦轮位于镜框边缘，方便调节。                                                                                 8.各调节部件运转灵活，间隙应均匀适当，方便调节。                                                                                                                                                              </w:t>
            </w:r>
          </w:p>
        </w:tc>
      </w:tr>
      <w:tr w14:paraId="6F2D5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43" w:hRule="atLeast"/>
        </w:trPr>
        <w:tc>
          <w:tcPr>
            <w:tcW w:w="0" w:type="auto"/>
            <w:shd w:val="clear" w:color="auto" w:fill="auto"/>
            <w:noWrap/>
            <w:vAlign w:val="center"/>
          </w:tcPr>
          <w:p w14:paraId="09F45E0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31</w:t>
            </w:r>
          </w:p>
        </w:tc>
        <w:tc>
          <w:tcPr>
            <w:tcW w:w="984" w:type="dxa"/>
            <w:vMerge w:val="continue"/>
            <w:shd w:val="clear" w:color="auto" w:fill="auto"/>
            <w:vAlign w:val="center"/>
          </w:tcPr>
          <w:p w14:paraId="79BF32E0">
            <w:pPr>
              <w:jc w:val="center"/>
              <w:rPr>
                <w:rFonts w:hint="eastAsia" w:ascii="宋体" w:hAnsi="宋体" w:eastAsia="宋体" w:cs="宋体"/>
                <w:i w:val="0"/>
                <w:iCs w:val="0"/>
                <w:color w:val="auto"/>
                <w:sz w:val="18"/>
                <w:szCs w:val="18"/>
                <w:highlight w:val="none"/>
                <w:u w:val="none"/>
              </w:rPr>
            </w:pPr>
          </w:p>
        </w:tc>
        <w:tc>
          <w:tcPr>
            <w:tcW w:w="1504" w:type="dxa"/>
            <w:shd w:val="clear" w:color="auto" w:fill="auto"/>
            <w:vAlign w:val="center"/>
          </w:tcPr>
          <w:p w14:paraId="23BE16F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手持电子助视器 </w:t>
            </w:r>
          </w:p>
        </w:tc>
        <w:tc>
          <w:tcPr>
            <w:tcW w:w="0" w:type="auto"/>
            <w:shd w:val="clear" w:color="auto" w:fill="auto"/>
            <w:noWrap/>
            <w:vAlign w:val="center"/>
          </w:tcPr>
          <w:p w14:paraId="40F1954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5030" w:type="dxa"/>
            <w:shd w:val="clear" w:color="auto" w:fill="auto"/>
            <w:vAlign w:val="center"/>
          </w:tcPr>
          <w:p w14:paraId="6EF2D64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1.显示屏尺寸：≥3.5寸。</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2.放大倍数：2-24倍。</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3.显示模式:≥4种。</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4.具备画面定格/释放功能。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5.具备屏幕亮度/对比度调节功能。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6.支持阅读功能。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7.具有视频输出功能，可连接电视机显示，具有视频输出接口。</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8.具有省电模式功能，助视器模式下3分钟无移动自动关机。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9.按键具有声音提示功能。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10.记忆功能：关机后自动保存本次色彩模式，放大倍数，视频输出格式，按键音状态，亮度值设置。</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11.打卡关闭照明灯功能。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12.外置可拆卸电池便于更换，电池可连续不间断使用3.5小时。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13．电池电量不足时，容量图标闪烁提示。</w:t>
            </w:r>
          </w:p>
        </w:tc>
      </w:tr>
      <w:tr w14:paraId="427BA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3" w:hRule="atLeast"/>
        </w:trPr>
        <w:tc>
          <w:tcPr>
            <w:tcW w:w="0" w:type="auto"/>
            <w:shd w:val="clear" w:color="auto" w:fill="auto"/>
            <w:noWrap/>
            <w:vAlign w:val="center"/>
          </w:tcPr>
          <w:p w14:paraId="2F06333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32</w:t>
            </w:r>
          </w:p>
        </w:tc>
        <w:tc>
          <w:tcPr>
            <w:tcW w:w="984" w:type="dxa"/>
            <w:vMerge w:val="restart"/>
            <w:shd w:val="clear" w:color="auto" w:fill="auto"/>
            <w:vAlign w:val="center"/>
          </w:tcPr>
          <w:p w14:paraId="505AB81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家庭和其他场所的家具和适配件</w:t>
            </w:r>
          </w:p>
        </w:tc>
        <w:tc>
          <w:tcPr>
            <w:tcW w:w="1504" w:type="dxa"/>
            <w:shd w:val="clear" w:color="auto" w:fill="auto"/>
            <w:vAlign w:val="center"/>
          </w:tcPr>
          <w:p w14:paraId="2382F31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多功能护理床</w:t>
            </w:r>
          </w:p>
        </w:tc>
        <w:tc>
          <w:tcPr>
            <w:tcW w:w="0" w:type="auto"/>
            <w:shd w:val="clear" w:color="auto" w:fill="auto"/>
            <w:noWrap/>
            <w:vAlign w:val="center"/>
          </w:tcPr>
          <w:p w14:paraId="671EBA7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5030" w:type="dxa"/>
            <w:shd w:val="clear" w:color="auto" w:fill="auto"/>
            <w:vAlign w:val="center"/>
          </w:tcPr>
          <w:p w14:paraId="34E2434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 规格尺寸2000*900*500mm±5mm,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 功能：起身、左右翻身、上曲腿、下曲腿、就餐、输液、洗头、洗脚、解便、静音轮、折叠护栏。</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 参配及材质：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 背部可升降角度≥0-80，±5.</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 腿部可升降角度≥整体上抬腿25度，整体下曲腿65度。</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 翻身角度（左右翻身）≥0-45，±5.</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 床体载重＜260kg，不变形。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 床框材料：40*80mm±3mm矩形方管，壁厚≥0.9mm，冷轧方管床架，表面静电粉末喷涂。</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 床面材料：优质冷轧方管厚度≥1.1mm。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（7） 床头床尾：采用高级工程材料ABS 床头尾板，加厚床头尾板带暗锁装置，拆卸方便，尾板外侧有病人信息卡查槽。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（8） 护栏：铝合金立柱、侧伏式护栏，可收缩放平，单式按键快速定位保险开关，整体建构合理，坚固耐用，且具有防夹手功能。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（9） 脚轮：125mm±3mm静音脚轮，配备4个制动脚轮，静音耐磨，稳定性强。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（10） 可伸缩不锈钢输液架。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（11） 便携式、就餐桌。</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（12） 摇炳配置：侧面为一个摇炳可左右翻身，前段配置2个摇炳一个可起背一个可以抬腿和曲腿，便孔采用秒开装置。</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4、 床垫：外形与病床尺寸配套，厚度≥60mm，半粽半棉床垫，带拉链，可拆洗，回弹性好，可长期保持床面干净卫生。  </w:t>
            </w:r>
          </w:p>
        </w:tc>
      </w:tr>
      <w:tr w14:paraId="12527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25" w:hRule="atLeast"/>
        </w:trPr>
        <w:tc>
          <w:tcPr>
            <w:tcW w:w="0" w:type="auto"/>
            <w:shd w:val="clear" w:color="auto" w:fill="auto"/>
            <w:noWrap/>
            <w:vAlign w:val="center"/>
          </w:tcPr>
          <w:p w14:paraId="117DB87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33</w:t>
            </w:r>
          </w:p>
        </w:tc>
        <w:tc>
          <w:tcPr>
            <w:tcW w:w="984" w:type="dxa"/>
            <w:vMerge w:val="continue"/>
            <w:shd w:val="clear" w:color="auto" w:fill="auto"/>
            <w:vAlign w:val="center"/>
          </w:tcPr>
          <w:p w14:paraId="761A6256">
            <w:pPr>
              <w:jc w:val="center"/>
              <w:rPr>
                <w:rFonts w:hint="eastAsia" w:ascii="宋体" w:hAnsi="宋体" w:eastAsia="宋体" w:cs="宋体"/>
                <w:i w:val="0"/>
                <w:iCs w:val="0"/>
                <w:color w:val="auto"/>
                <w:sz w:val="18"/>
                <w:szCs w:val="18"/>
                <w:highlight w:val="none"/>
                <w:u w:val="none"/>
              </w:rPr>
            </w:pPr>
          </w:p>
        </w:tc>
        <w:tc>
          <w:tcPr>
            <w:tcW w:w="1504" w:type="dxa"/>
            <w:shd w:val="clear" w:color="auto" w:fill="auto"/>
            <w:vAlign w:val="center"/>
          </w:tcPr>
          <w:p w14:paraId="58DC111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多功能床靠架</w:t>
            </w:r>
          </w:p>
        </w:tc>
        <w:tc>
          <w:tcPr>
            <w:tcW w:w="0" w:type="auto"/>
            <w:shd w:val="clear" w:color="auto" w:fill="auto"/>
            <w:noWrap/>
            <w:vAlign w:val="center"/>
          </w:tcPr>
          <w:p w14:paraId="6AA2F77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5030" w:type="dxa"/>
            <w:shd w:val="clear" w:color="auto" w:fill="auto"/>
            <w:vAlign w:val="center"/>
          </w:tcPr>
          <w:p w14:paraId="1E4248F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1.材质：高强度碳素钢管+网格布阻燃面料，                                                                 2，免安装，5档可调节，每档角度分别是65,55,45,35，25度，免安装.面料阻燃、免安装、五档可调、承重272斤±5kg;净重：3kg±0.5kg 毛重：3.6kg±51kg                                                                  3.折叠后总宽度为58cm±5cm,总长度为60cm±5cm,总高为7.5cm±5cm；网布底座尺寸：55*52CM±5cm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4.适用人群长期卧床人士、喜欢躺在床上看书看报人士。</w:t>
            </w:r>
          </w:p>
        </w:tc>
      </w:tr>
    </w:tbl>
    <w:p w14:paraId="5BB86522">
      <w:pPr>
        <w:pStyle w:val="7"/>
        <w:rPr>
          <w:rFonts w:hint="eastAsia"/>
          <w:color w:val="auto"/>
          <w:highlight w:val="none"/>
        </w:rPr>
      </w:pPr>
    </w:p>
    <w:p w14:paraId="688DAA1E">
      <w:pPr>
        <w:numPr>
          <w:ilvl w:val="0"/>
          <w:numId w:val="3"/>
        </w:numPr>
        <w:snapToGrid w:val="0"/>
        <w:spacing w:line="400" w:lineRule="exact"/>
        <w:ind w:firstLine="480"/>
        <w:rPr>
          <w:rFonts w:hint="eastAsia" w:asciiTheme="minorEastAsia" w:hAnsiTheme="minorEastAsia"/>
          <w:b/>
          <w:bCs/>
          <w:color w:val="auto"/>
          <w:highlight w:val="none"/>
        </w:rPr>
      </w:pPr>
      <w:r>
        <w:rPr>
          <w:rFonts w:hint="eastAsia" w:asciiTheme="minorEastAsia" w:hAnsiTheme="minorEastAsia"/>
          <w:b/>
          <w:bCs/>
          <w:color w:val="auto"/>
          <w:highlight w:val="none"/>
        </w:rPr>
        <w:t>供方提供的货物必须是响应文件“分项报价明细表”中明确的货物制造商</w:t>
      </w:r>
      <w:r>
        <w:rPr>
          <w:rFonts w:hint="eastAsia" w:asciiTheme="minorEastAsia" w:hAnsiTheme="minorEastAsia"/>
          <w:b/>
          <w:bCs/>
          <w:color w:val="auto"/>
          <w:highlight w:val="none"/>
          <w:lang w:eastAsia="zh-CN"/>
        </w:rPr>
        <w:t>或明确品牌的货物制造商</w:t>
      </w:r>
      <w:r>
        <w:rPr>
          <w:rFonts w:hint="eastAsia" w:asciiTheme="minorEastAsia" w:hAnsiTheme="minorEastAsia"/>
          <w:b/>
          <w:bCs/>
          <w:color w:val="auto"/>
          <w:highlight w:val="none"/>
        </w:rPr>
        <w:t>原厂生产的、全新的、未使用过的正品，并完全符合国家质量标准，附完备的技术资料（如有）、装箱单（如有）、产品“三包”证书和产品合格证。所有产品符合《中华人民共和国产品质量法》、《中华人民共和国计量法》、《中华人民共和国标准化法》要求，并符合相关行业管理规定。“分项报价明细表”必须明确货物制造商</w:t>
      </w:r>
      <w:r>
        <w:rPr>
          <w:rFonts w:hint="eastAsia" w:asciiTheme="minorEastAsia" w:hAnsiTheme="minorEastAsia"/>
          <w:b/>
          <w:bCs/>
          <w:color w:val="auto"/>
          <w:highlight w:val="none"/>
          <w:lang w:eastAsia="zh-CN"/>
        </w:rPr>
        <w:t>或货物品牌</w:t>
      </w:r>
      <w:r>
        <w:rPr>
          <w:rFonts w:hint="eastAsia" w:asciiTheme="minorEastAsia" w:hAnsiTheme="minorEastAsia"/>
          <w:b/>
          <w:bCs/>
          <w:color w:val="auto"/>
          <w:highlight w:val="none"/>
        </w:rPr>
        <w:t>。</w:t>
      </w:r>
    </w:p>
    <w:bookmarkEnd w:id="68"/>
    <w:p w14:paraId="1DC41F29">
      <w:pPr>
        <w:pStyle w:val="3"/>
        <w:pageBreakBefore/>
        <w:ind w:firstLine="2160" w:firstLineChars="600"/>
        <w:rPr>
          <w:rFonts w:hint="eastAsia" w:asciiTheme="minorEastAsia" w:hAnsiTheme="minorEastAsia"/>
          <w:color w:val="auto"/>
          <w:sz w:val="36"/>
          <w:szCs w:val="30"/>
          <w:highlight w:val="none"/>
        </w:rPr>
      </w:pPr>
      <w:bookmarkStart w:id="69" w:name="_Toc15492"/>
      <w:bookmarkStart w:id="70" w:name="_Toc65660341"/>
      <w:bookmarkStart w:id="71" w:name="_Toc13356"/>
      <w:bookmarkStart w:id="72" w:name="_Toc523"/>
      <w:bookmarkStart w:id="73" w:name="_Toc3498"/>
      <w:r>
        <w:rPr>
          <w:rFonts w:hint="eastAsia" w:asciiTheme="minorEastAsia" w:hAnsiTheme="minorEastAsia"/>
          <w:color w:val="auto"/>
          <w:sz w:val="36"/>
          <w:szCs w:val="30"/>
          <w:highlight w:val="none"/>
        </w:rPr>
        <w:t xml:space="preserve">第三篇  </w:t>
      </w:r>
      <w:bookmarkEnd w:id="66"/>
      <w:r>
        <w:rPr>
          <w:rFonts w:hint="eastAsia" w:asciiTheme="minorEastAsia" w:hAnsiTheme="minorEastAsia"/>
          <w:color w:val="auto"/>
          <w:sz w:val="36"/>
          <w:szCs w:val="30"/>
          <w:highlight w:val="none"/>
        </w:rPr>
        <w:t>询价</w:t>
      </w:r>
      <w:bookmarkEnd w:id="69"/>
      <w:bookmarkEnd w:id="70"/>
      <w:bookmarkEnd w:id="71"/>
      <w:bookmarkEnd w:id="72"/>
      <w:r>
        <w:rPr>
          <w:rFonts w:hint="eastAsia" w:asciiTheme="minorEastAsia" w:hAnsiTheme="minorEastAsia"/>
          <w:color w:val="auto"/>
          <w:sz w:val="36"/>
          <w:szCs w:val="30"/>
          <w:highlight w:val="none"/>
        </w:rPr>
        <w:t>项目商务需求</w:t>
      </w:r>
      <w:bookmarkEnd w:id="73"/>
    </w:p>
    <w:p w14:paraId="07EC2EB5">
      <w:pPr>
        <w:pStyle w:val="3"/>
        <w:spacing w:line="400" w:lineRule="exact"/>
        <w:ind w:firstLine="482" w:firstLineChars="200"/>
        <w:rPr>
          <w:rFonts w:hint="eastAsia" w:asciiTheme="minorEastAsia" w:hAnsiTheme="minorEastAsia"/>
          <w:b/>
          <w:color w:val="auto"/>
          <w:highlight w:val="none"/>
        </w:rPr>
      </w:pPr>
      <w:bookmarkStart w:id="74" w:name="_Toc20395"/>
      <w:bookmarkStart w:id="75" w:name="OLE_LINK5"/>
      <w:r>
        <w:rPr>
          <w:rFonts w:hint="eastAsia" w:asciiTheme="minorEastAsia" w:hAnsiTheme="minorEastAsia"/>
          <w:b/>
          <w:color w:val="auto"/>
          <w:highlight w:val="none"/>
        </w:rPr>
        <w:t>一、交货期、交货地点及验收方式</w:t>
      </w:r>
      <w:bookmarkEnd w:id="74"/>
    </w:p>
    <w:p w14:paraId="0AC87BD2">
      <w:pPr>
        <w:snapToGrid w:val="0"/>
        <w:spacing w:line="400" w:lineRule="exact"/>
        <w:ind w:firstLine="240" w:firstLineChars="100"/>
        <w:outlineLvl w:val="2"/>
        <w:rPr>
          <w:rFonts w:hint="eastAsia" w:asciiTheme="minorEastAsia" w:hAnsiTheme="minorEastAsia"/>
          <w:color w:val="auto"/>
          <w:highlight w:val="none"/>
        </w:rPr>
      </w:pPr>
      <w:r>
        <w:rPr>
          <w:rFonts w:hint="eastAsia" w:asciiTheme="minorEastAsia" w:hAnsiTheme="minorEastAsia"/>
          <w:color w:val="auto"/>
          <w:highlight w:val="none"/>
        </w:rPr>
        <w:t>（一）交货期</w:t>
      </w:r>
    </w:p>
    <w:p w14:paraId="4842E541">
      <w:pPr>
        <w:snapToGrid w:val="0"/>
        <w:spacing w:line="400" w:lineRule="exact"/>
        <w:ind w:firstLine="480" w:firstLineChars="200"/>
        <w:rPr>
          <w:rFonts w:hint="eastAsia" w:asciiTheme="minorEastAsia" w:hAnsiTheme="minorEastAsia"/>
          <w:color w:val="auto"/>
          <w:highlight w:val="none"/>
        </w:rPr>
      </w:pPr>
      <w:r>
        <w:rPr>
          <w:rFonts w:hint="eastAsia"/>
          <w:color w:val="auto"/>
          <w:highlight w:val="none"/>
        </w:rPr>
        <w:t>在采购合同签订后</w:t>
      </w:r>
      <w:r>
        <w:rPr>
          <w:rFonts w:hint="eastAsia"/>
          <w:color w:val="auto"/>
          <w:highlight w:val="none"/>
          <w:u w:val="single"/>
          <w:lang w:val="en-US" w:eastAsia="zh-CN"/>
        </w:rPr>
        <w:t>30</w:t>
      </w:r>
      <w:r>
        <w:rPr>
          <w:rFonts w:hint="eastAsia"/>
          <w:color w:val="auto"/>
          <w:highlight w:val="none"/>
        </w:rPr>
        <w:t>个日历天内完成交货</w:t>
      </w:r>
      <w:r>
        <w:rPr>
          <w:rFonts w:hint="eastAsia"/>
          <w:color w:val="auto"/>
          <w:highlight w:val="none"/>
          <w:lang w:eastAsia="zh-CN"/>
        </w:rPr>
        <w:t>、组装</w:t>
      </w:r>
      <w:r>
        <w:rPr>
          <w:rFonts w:hint="eastAsia"/>
          <w:color w:val="auto"/>
          <w:highlight w:val="none"/>
        </w:rPr>
        <w:t>。成交供应商未在约定交货期内完成交货</w:t>
      </w:r>
      <w:r>
        <w:rPr>
          <w:rFonts w:hint="eastAsia"/>
          <w:color w:val="auto"/>
          <w:highlight w:val="none"/>
          <w:lang w:eastAsia="zh-CN"/>
        </w:rPr>
        <w:t>、组装</w:t>
      </w:r>
      <w:r>
        <w:rPr>
          <w:rFonts w:hint="eastAsia"/>
          <w:color w:val="auto"/>
          <w:highlight w:val="none"/>
        </w:rPr>
        <w:t>的，根据实际超期天数按300元/天处以违约金。</w:t>
      </w:r>
    </w:p>
    <w:p w14:paraId="4961D0C5">
      <w:pPr>
        <w:snapToGrid w:val="0"/>
        <w:spacing w:line="400" w:lineRule="exact"/>
        <w:ind w:firstLine="480" w:firstLineChars="200"/>
        <w:outlineLvl w:val="2"/>
        <w:rPr>
          <w:rFonts w:hint="eastAsia" w:asciiTheme="minorEastAsia" w:hAnsiTheme="minorEastAsia"/>
          <w:color w:val="auto"/>
          <w:highlight w:val="none"/>
        </w:rPr>
      </w:pPr>
      <w:r>
        <w:rPr>
          <w:rFonts w:hint="eastAsia" w:asciiTheme="minorEastAsia" w:hAnsiTheme="minorEastAsia"/>
          <w:color w:val="auto"/>
          <w:highlight w:val="none"/>
        </w:rPr>
        <w:t>（二）交货地点</w:t>
      </w:r>
    </w:p>
    <w:p w14:paraId="4892ED75">
      <w:pPr>
        <w:snapToGrid w:val="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交货地点：</w:t>
      </w:r>
      <w:r>
        <w:rPr>
          <w:rFonts w:hint="eastAsia" w:asciiTheme="minorEastAsia" w:hAnsiTheme="minorEastAsia"/>
          <w:color w:val="auto"/>
          <w:highlight w:val="none"/>
          <w:lang w:eastAsia="zh-CN"/>
        </w:rPr>
        <w:t>以</w:t>
      </w:r>
      <w:r>
        <w:rPr>
          <w:rFonts w:hint="eastAsia" w:asciiTheme="minorEastAsia" w:hAnsiTheme="minorEastAsia"/>
          <w:color w:val="auto"/>
          <w:highlight w:val="none"/>
        </w:rPr>
        <w:t>采购人指定地点为准</w:t>
      </w:r>
      <w:r>
        <w:rPr>
          <w:rFonts w:hint="eastAsia" w:cs="仿宋" w:asciiTheme="minorEastAsia" w:hAnsiTheme="minorEastAsia" w:eastAsiaTheme="minorEastAsia"/>
          <w:color w:val="auto"/>
          <w:highlight w:val="none"/>
          <w:lang w:eastAsia="zh-CN"/>
        </w:rPr>
        <w:t>，</w:t>
      </w:r>
      <w:r>
        <w:rPr>
          <w:rFonts w:hint="eastAsia" w:cs="仿宋" w:asciiTheme="minorEastAsia" w:hAnsiTheme="minorEastAsia" w:eastAsiaTheme="minorEastAsia"/>
          <w:color w:val="auto"/>
          <w:highlight w:val="none"/>
          <w:lang w:val="en-US" w:eastAsia="zh-CN"/>
        </w:rPr>
        <w:t>站立架、多功能护理床等大件货品需送货至残疾人家庭</w:t>
      </w:r>
      <w:r>
        <w:rPr>
          <w:rFonts w:hint="eastAsia"/>
          <w:color w:val="auto"/>
          <w:highlight w:val="none"/>
        </w:rPr>
        <w:t>。</w:t>
      </w:r>
    </w:p>
    <w:p w14:paraId="47AC7DD1">
      <w:pPr>
        <w:snapToGrid w:val="0"/>
        <w:spacing w:line="400" w:lineRule="exact"/>
        <w:ind w:firstLine="480" w:firstLineChars="200"/>
        <w:outlineLvl w:val="2"/>
        <w:rPr>
          <w:rFonts w:hint="eastAsia" w:asciiTheme="minorEastAsia" w:hAnsiTheme="minorEastAsia"/>
          <w:color w:val="auto"/>
          <w:highlight w:val="none"/>
        </w:rPr>
      </w:pPr>
      <w:r>
        <w:rPr>
          <w:rFonts w:hint="eastAsia" w:asciiTheme="minorEastAsia" w:hAnsiTheme="minorEastAsia"/>
          <w:color w:val="auto"/>
          <w:highlight w:val="none"/>
        </w:rPr>
        <w:t>（三）验收方式</w:t>
      </w:r>
    </w:p>
    <w:p w14:paraId="3F638C60">
      <w:pPr>
        <w:snapToGrid w:val="0"/>
        <w:spacing w:line="360" w:lineRule="auto"/>
        <w:ind w:firstLine="480" w:firstLineChars="200"/>
        <w:rPr>
          <w:rFonts w:hint="eastAsia"/>
          <w:color w:val="auto"/>
          <w:highlight w:val="none"/>
        </w:rPr>
      </w:pPr>
      <w:r>
        <w:rPr>
          <w:rFonts w:hint="eastAsia"/>
          <w:color w:val="auto"/>
          <w:highlight w:val="none"/>
        </w:rPr>
        <w:t>1.货物到达现场后，成交供应商应在收货单位人员在场情况下当面开箱，共同清点、检查外观，作出开箱记录，双方签字确认。</w:t>
      </w:r>
    </w:p>
    <w:p w14:paraId="690D035B">
      <w:pPr>
        <w:snapToGrid w:val="0"/>
        <w:spacing w:line="360" w:lineRule="auto"/>
        <w:ind w:firstLine="480" w:firstLineChars="200"/>
        <w:rPr>
          <w:rFonts w:hint="eastAsia"/>
          <w:color w:val="auto"/>
          <w:highlight w:val="none"/>
        </w:rPr>
      </w:pPr>
      <w:r>
        <w:rPr>
          <w:rFonts w:hint="eastAsia"/>
          <w:color w:val="auto"/>
          <w:highlight w:val="none"/>
        </w:rPr>
        <w:t>2.成交供应商应保证货物到达采购人指定地完好无损，如有缺漏、损坏，由供应商负责调换、补齐，由此产生的所有一切费用由成交供应商承担。</w:t>
      </w:r>
    </w:p>
    <w:p w14:paraId="3346BB03">
      <w:pPr>
        <w:snapToGrid w:val="0"/>
        <w:spacing w:line="360" w:lineRule="auto"/>
        <w:ind w:firstLine="480" w:firstLineChars="200"/>
        <w:rPr>
          <w:rFonts w:hint="eastAsia"/>
          <w:color w:val="auto"/>
          <w:highlight w:val="none"/>
        </w:rPr>
      </w:pPr>
      <w:r>
        <w:rPr>
          <w:rFonts w:hint="eastAsia"/>
          <w:color w:val="auto"/>
          <w:highlight w:val="none"/>
        </w:rPr>
        <w:t>3.成交供应商应提供完备的技术资料（如有）、装箱单（如有）、产品“三包”证书和产品合格证等。</w:t>
      </w:r>
    </w:p>
    <w:p w14:paraId="3B812CB8">
      <w:pPr>
        <w:snapToGrid w:val="0"/>
        <w:spacing w:line="360" w:lineRule="auto"/>
        <w:ind w:firstLine="480" w:firstLineChars="200"/>
        <w:rPr>
          <w:rFonts w:hint="eastAsia"/>
          <w:color w:val="auto"/>
          <w:highlight w:val="none"/>
        </w:rPr>
      </w:pPr>
      <w:r>
        <w:rPr>
          <w:rFonts w:hint="eastAsia"/>
          <w:color w:val="auto"/>
          <w:highlight w:val="none"/>
        </w:rPr>
        <w:t>4.成交供应商提供的货物未达到招标文件规定要求，且对采购人造成损失的，由成交供应商承担一切责任，并赔偿所造成的损失。</w:t>
      </w:r>
    </w:p>
    <w:p w14:paraId="659D6562">
      <w:pPr>
        <w:snapToGrid w:val="0"/>
        <w:spacing w:line="360" w:lineRule="auto"/>
        <w:ind w:firstLine="480" w:firstLineChars="200"/>
        <w:rPr>
          <w:rFonts w:hint="eastAsia"/>
          <w:color w:val="auto"/>
          <w:highlight w:val="none"/>
        </w:rPr>
      </w:pPr>
      <w:r>
        <w:rPr>
          <w:rFonts w:hint="eastAsia"/>
          <w:color w:val="auto"/>
          <w:highlight w:val="none"/>
        </w:rPr>
        <w:t>5.采购人需要制造商对成交供应商交付的产品（包括质量、配置参数等）进行确认的，制造商应予以配合，并出具书面意见。</w:t>
      </w:r>
    </w:p>
    <w:p w14:paraId="624758EF">
      <w:pPr>
        <w:snapToGrid w:val="0"/>
        <w:spacing w:line="360" w:lineRule="auto"/>
        <w:ind w:firstLine="480" w:firstLineChars="200"/>
        <w:rPr>
          <w:rFonts w:hint="eastAsia"/>
          <w:color w:val="auto"/>
          <w:highlight w:val="none"/>
        </w:rPr>
      </w:pPr>
      <w:r>
        <w:rPr>
          <w:rFonts w:hint="eastAsia"/>
          <w:color w:val="auto"/>
          <w:highlight w:val="none"/>
        </w:rPr>
        <w:t>6.产品包装材料归采购人所有。</w:t>
      </w:r>
    </w:p>
    <w:p w14:paraId="662BBE16">
      <w:pPr>
        <w:snapToGrid w:val="0"/>
        <w:spacing w:line="360" w:lineRule="auto"/>
        <w:ind w:firstLine="480" w:firstLineChars="200"/>
        <w:rPr>
          <w:rFonts w:hint="eastAsia"/>
          <w:color w:val="auto"/>
          <w:highlight w:val="none"/>
        </w:rPr>
      </w:pPr>
      <w:r>
        <w:rPr>
          <w:rFonts w:hint="eastAsia"/>
          <w:color w:val="auto"/>
          <w:highlight w:val="none"/>
        </w:rPr>
        <w:t>7.采购人顺利完成所有货物签收后，视为验收合格。</w:t>
      </w:r>
    </w:p>
    <w:p w14:paraId="37283619">
      <w:pPr>
        <w:snapToGrid w:val="0"/>
        <w:spacing w:line="360" w:lineRule="auto"/>
        <w:ind w:firstLine="480" w:firstLineChars="200"/>
        <w:rPr>
          <w:rFonts w:hint="eastAsia"/>
          <w:color w:val="auto"/>
          <w:highlight w:val="none"/>
        </w:rPr>
      </w:pPr>
      <w:r>
        <w:rPr>
          <w:rFonts w:hint="eastAsia"/>
          <w:color w:val="auto"/>
          <w:highlight w:val="none"/>
        </w:rPr>
        <w:t>8.若因货物质量问题或型号错误导致采购人无法顺利完成配发的，成交供应商须无条件调换货物直至采购人采购的所有货物配发完成为止，由此产生的所有一切费用由成交供应商承担。</w:t>
      </w:r>
    </w:p>
    <w:p w14:paraId="1CB02A56">
      <w:pPr>
        <w:pStyle w:val="3"/>
        <w:spacing w:line="400" w:lineRule="exact"/>
        <w:ind w:firstLine="482" w:firstLineChars="200"/>
        <w:rPr>
          <w:rFonts w:hint="eastAsia" w:asciiTheme="minorEastAsia" w:hAnsiTheme="minorEastAsia"/>
          <w:b/>
          <w:color w:val="auto"/>
          <w:highlight w:val="none"/>
        </w:rPr>
      </w:pPr>
      <w:bookmarkStart w:id="76" w:name="_Toc8592"/>
      <w:bookmarkStart w:id="77" w:name="_Toc7746"/>
      <w:bookmarkStart w:id="78" w:name="_Toc18152"/>
      <w:bookmarkStart w:id="79" w:name="_Toc20367"/>
      <w:bookmarkStart w:id="80" w:name="_Toc1964"/>
      <w:bookmarkStart w:id="81" w:name="_Toc13418"/>
      <w:bookmarkStart w:id="82" w:name="_Toc28679"/>
      <w:bookmarkStart w:id="83" w:name="_Toc30781"/>
      <w:bookmarkStart w:id="84" w:name="_Toc29144"/>
      <w:bookmarkStart w:id="85" w:name="_Toc29436"/>
      <w:bookmarkStart w:id="86" w:name="_Toc22158"/>
      <w:bookmarkStart w:id="87" w:name="_Toc21022"/>
      <w:bookmarkStart w:id="88" w:name="_Toc4036"/>
      <w:bookmarkStart w:id="89" w:name="_Toc22142"/>
      <w:bookmarkStart w:id="90" w:name="_Toc75793510"/>
      <w:bookmarkStart w:id="91" w:name="_Toc9271"/>
      <w:bookmarkStart w:id="92" w:name="_Toc1484"/>
      <w:bookmarkStart w:id="93" w:name="_Toc267320050"/>
      <w:r>
        <w:rPr>
          <w:rFonts w:hint="eastAsia" w:asciiTheme="minorEastAsia" w:hAnsiTheme="minorEastAsia"/>
          <w:b/>
          <w:color w:val="auto"/>
          <w:highlight w:val="none"/>
        </w:rPr>
        <w:t>二、报价要求</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2D54E322">
      <w:pPr>
        <w:snapToGrid w:val="0"/>
        <w:spacing w:line="360" w:lineRule="auto"/>
        <w:ind w:firstLine="480" w:firstLineChars="200"/>
        <w:rPr>
          <w:rFonts w:hint="eastAsia"/>
          <w:color w:val="auto"/>
          <w:highlight w:val="none"/>
        </w:rPr>
      </w:pPr>
      <w:bookmarkStart w:id="94" w:name="_Toc20182"/>
      <w:bookmarkStart w:id="95" w:name="_Toc15677"/>
      <w:bookmarkStart w:id="96" w:name="_Toc14177"/>
      <w:bookmarkStart w:id="97" w:name="_Toc1450"/>
      <w:bookmarkStart w:id="98" w:name="_Toc4252"/>
      <w:bookmarkStart w:id="99" w:name="_Toc23903"/>
      <w:bookmarkStart w:id="100" w:name="_Toc3465"/>
      <w:bookmarkStart w:id="101" w:name="_Toc75793511"/>
      <w:bookmarkStart w:id="102" w:name="_Toc15096"/>
      <w:bookmarkStart w:id="103" w:name="_Toc16693"/>
      <w:bookmarkStart w:id="104" w:name="_Toc4774"/>
      <w:bookmarkStart w:id="105" w:name="_Toc2821"/>
      <w:bookmarkStart w:id="106" w:name="_Toc27382"/>
      <w:bookmarkStart w:id="107" w:name="_Toc32313"/>
      <w:bookmarkStart w:id="108" w:name="_Toc2244"/>
      <w:bookmarkStart w:id="109" w:name="_Toc20887"/>
      <w:r>
        <w:rPr>
          <w:rFonts w:hint="eastAsia"/>
          <w:color w:val="auto"/>
          <w:highlight w:val="none"/>
        </w:rPr>
        <w:t>本次报价须为人民币报价，供应商的报价为将“第二篇询价项目技术（质量）需求”的“项目一览表”明确货物的合格产品送达采购人指定地点的价格，包括但不限于：货物本身价值、</w:t>
      </w:r>
      <w:r>
        <w:rPr>
          <w:rFonts w:hint="eastAsia"/>
          <w:color w:val="auto"/>
          <w:highlight w:val="none"/>
          <w:lang w:eastAsia="zh-CN"/>
        </w:rPr>
        <w:t>包装费、</w:t>
      </w:r>
      <w:r>
        <w:rPr>
          <w:rFonts w:hint="eastAsia"/>
          <w:color w:val="auto"/>
          <w:highlight w:val="none"/>
        </w:rPr>
        <w:t>装运费（含货物上车及运输费用）、货物到场的下货费用、</w:t>
      </w:r>
      <w:r>
        <w:rPr>
          <w:rFonts w:hint="eastAsia" w:ascii="宋体" w:hAnsi="宋体" w:cs="宋体"/>
          <w:bCs/>
          <w:color w:val="auto"/>
          <w:kern w:val="0"/>
          <w:sz w:val="24"/>
          <w:szCs w:val="40"/>
          <w:highlight w:val="none"/>
        </w:rPr>
        <w:t>安装调试费</w:t>
      </w:r>
      <w:r>
        <w:rPr>
          <w:rFonts w:hint="eastAsia"/>
          <w:color w:val="auto"/>
          <w:highlight w:val="none"/>
        </w:rPr>
        <w:t>、</w:t>
      </w:r>
      <w:r>
        <w:rPr>
          <w:rFonts w:hint="eastAsia"/>
          <w:color w:val="auto"/>
          <w:highlight w:val="none"/>
          <w:lang w:eastAsia="zh-CN"/>
        </w:rPr>
        <w:t>培训费（包含个体上门培训的所有一切费用，包含但不限于人员差旅费、车费等）、质保期内的所有服务费（包含但不限于人员到场费、货物送修送回运输费、各种零配件费用、维修工时费等因质量问题而产生的所有一切费用）、</w:t>
      </w:r>
      <w:r>
        <w:rPr>
          <w:rFonts w:hint="eastAsia"/>
          <w:color w:val="auto"/>
          <w:highlight w:val="none"/>
        </w:rPr>
        <w:t>各种应纳的税费、采购代理服务费、利润、完成合同明示或暗示的应由成交供应商承担的一切责任、义务和风险而产生的费用等所有一切费用。</w:t>
      </w:r>
    </w:p>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14:paraId="3AF60C25">
      <w:pPr>
        <w:pStyle w:val="3"/>
        <w:spacing w:line="400" w:lineRule="exact"/>
        <w:ind w:firstLine="482" w:firstLineChars="200"/>
        <w:rPr>
          <w:rFonts w:hint="eastAsia" w:asciiTheme="minorEastAsia" w:hAnsiTheme="minorEastAsia"/>
          <w:b/>
          <w:color w:val="auto"/>
          <w:highlight w:val="none"/>
        </w:rPr>
      </w:pPr>
      <w:bookmarkStart w:id="110" w:name="_Toc12285"/>
      <w:bookmarkStart w:id="111" w:name="_Toc8955"/>
      <w:bookmarkStart w:id="112" w:name="_Toc22695"/>
      <w:bookmarkStart w:id="113" w:name="_Toc1008"/>
      <w:bookmarkStart w:id="114" w:name="_Toc21888"/>
      <w:bookmarkStart w:id="115" w:name="_Toc8529"/>
      <w:bookmarkStart w:id="116" w:name="_Toc32722"/>
      <w:bookmarkStart w:id="117" w:name="_Toc19350"/>
      <w:bookmarkStart w:id="118" w:name="_Toc25552"/>
      <w:bookmarkStart w:id="119" w:name="_Toc30442"/>
      <w:bookmarkStart w:id="120" w:name="_Toc29286"/>
      <w:bookmarkStart w:id="121" w:name="_Toc25932"/>
      <w:bookmarkStart w:id="122" w:name="_Toc5174"/>
      <w:bookmarkStart w:id="123" w:name="_Toc75793512"/>
      <w:bookmarkStart w:id="124" w:name="_Toc25745"/>
      <w:bookmarkStart w:id="125" w:name="_Toc18007"/>
      <w:bookmarkStart w:id="126" w:name="_Toc18763"/>
      <w:r>
        <w:rPr>
          <w:rFonts w:hint="eastAsia" w:asciiTheme="minorEastAsia" w:hAnsiTheme="minorEastAsia"/>
          <w:b/>
          <w:color w:val="auto"/>
          <w:highlight w:val="none"/>
        </w:rPr>
        <w:t>三、货款结算与</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Pr>
          <w:rFonts w:hint="eastAsia" w:asciiTheme="minorEastAsia" w:hAnsiTheme="minorEastAsia"/>
          <w:b/>
          <w:color w:val="auto"/>
          <w:highlight w:val="none"/>
        </w:rPr>
        <w:t>支付</w:t>
      </w:r>
      <w:bookmarkEnd w:id="126"/>
    </w:p>
    <w:p w14:paraId="0C3CC362">
      <w:pPr>
        <w:autoSpaceDE w:val="0"/>
        <w:autoSpaceDN w:val="0"/>
        <w:adjustRightInd w:val="0"/>
        <w:snapToGrid w:val="0"/>
        <w:spacing w:line="400" w:lineRule="exact"/>
        <w:ind w:firstLine="480" w:firstLineChars="200"/>
        <w:rPr>
          <w:rFonts w:hint="eastAsia"/>
          <w:color w:val="auto"/>
          <w:szCs w:val="21"/>
          <w:highlight w:val="none"/>
        </w:rPr>
      </w:pPr>
      <w:r>
        <w:rPr>
          <w:rFonts w:hint="eastAsia"/>
          <w:color w:val="auto"/>
          <w:szCs w:val="21"/>
          <w:highlight w:val="none"/>
        </w:rPr>
        <w:t>（一）货款结算</w:t>
      </w:r>
    </w:p>
    <w:p w14:paraId="150E07B0">
      <w:pPr>
        <w:snapToGrid w:val="0"/>
        <w:spacing w:line="400" w:lineRule="exact"/>
        <w:ind w:firstLine="480" w:firstLineChars="200"/>
        <w:rPr>
          <w:rFonts w:hint="eastAsia" w:asciiTheme="minorEastAsia" w:hAnsiTheme="minorEastAsia"/>
          <w:color w:val="auto"/>
          <w:highlight w:val="none"/>
        </w:rPr>
      </w:pPr>
      <w:r>
        <w:rPr>
          <w:rFonts w:hint="eastAsia"/>
          <w:color w:val="auto"/>
          <w:szCs w:val="21"/>
          <w:highlight w:val="none"/>
        </w:rPr>
        <w:t>结算货款=成交价</w:t>
      </w:r>
    </w:p>
    <w:p w14:paraId="5649A0CF">
      <w:pPr>
        <w:snapToGrid w:val="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（二）货款支付：采购人验收合格后一次性支付结算货款的100%。</w:t>
      </w:r>
    </w:p>
    <w:p w14:paraId="50421527">
      <w:pPr>
        <w:pStyle w:val="3"/>
        <w:spacing w:line="400" w:lineRule="exact"/>
        <w:ind w:firstLine="482" w:firstLineChars="200"/>
        <w:rPr>
          <w:rFonts w:hint="eastAsia" w:eastAsia="宋体" w:cs="宋体" w:asciiTheme="minorEastAsia" w:hAnsiTheme="minorEastAsia"/>
          <w:b/>
          <w:color w:val="auto"/>
          <w:highlight w:val="none"/>
        </w:rPr>
      </w:pPr>
      <w:bookmarkStart w:id="127" w:name="_Toc18659"/>
      <w:bookmarkStart w:id="128" w:name="_Toc7168"/>
      <w:bookmarkStart w:id="129" w:name="_Toc28797"/>
      <w:bookmarkStart w:id="130" w:name="_Toc28488"/>
      <w:bookmarkStart w:id="131" w:name="_Toc26694"/>
      <w:bookmarkStart w:id="132" w:name="_Toc5987"/>
      <w:bookmarkStart w:id="133" w:name="_Toc9916"/>
      <w:bookmarkStart w:id="134" w:name="_Toc28278"/>
      <w:bookmarkStart w:id="135" w:name="_Toc18165"/>
      <w:bookmarkStart w:id="136" w:name="_Toc13166"/>
      <w:bookmarkStart w:id="137" w:name="_Toc26367"/>
      <w:bookmarkStart w:id="138" w:name="_Toc75793515"/>
      <w:bookmarkStart w:id="139" w:name="_Toc20414"/>
      <w:bookmarkStart w:id="140" w:name="_Toc15245"/>
      <w:bookmarkStart w:id="141" w:name="_Toc8027"/>
      <w:bookmarkStart w:id="142" w:name="_Toc106030391"/>
      <w:bookmarkStart w:id="143" w:name="_Toc23677"/>
      <w:bookmarkStart w:id="144" w:name="_Toc342913389"/>
      <w:r>
        <w:rPr>
          <w:rFonts w:hint="eastAsia" w:eastAsia="宋体" w:cs="宋体" w:asciiTheme="minorEastAsia" w:hAnsiTheme="minorEastAsia"/>
          <w:b/>
          <w:color w:val="auto"/>
          <w:highlight w:val="none"/>
        </w:rPr>
        <w:t>四、</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Pr>
          <w:rFonts w:hint="eastAsia" w:eastAsia="宋体" w:cs="宋体" w:asciiTheme="minorEastAsia" w:hAnsiTheme="minorEastAsia"/>
          <w:b/>
          <w:color w:val="auto"/>
          <w:highlight w:val="none"/>
        </w:rPr>
        <w:t>质量保证及售后服务</w:t>
      </w:r>
      <w:bookmarkEnd w:id="143"/>
    </w:p>
    <w:p w14:paraId="1A729653">
      <w:pPr>
        <w:pStyle w:val="46"/>
        <w:widowControl w:val="0"/>
        <w:spacing w:line="440" w:lineRule="exact"/>
        <w:ind w:firstLine="420" w:firstLineChars="175"/>
        <w:rPr>
          <w:rFonts w:hint="eastAsia" w:eastAsia="宋体"/>
          <w:color w:val="auto"/>
          <w:highlight w:val="none"/>
          <w:lang w:eastAsia="zh-CN"/>
        </w:rPr>
      </w:pPr>
      <w:r>
        <w:rPr>
          <w:rFonts w:hint="eastAsia"/>
          <w:color w:val="auto"/>
          <w:highlight w:val="none"/>
          <w:lang w:eastAsia="zh-CN"/>
        </w:rPr>
        <w:t>（一）产品质量保证期</w:t>
      </w:r>
    </w:p>
    <w:p w14:paraId="0B5367E4">
      <w:pPr>
        <w:pStyle w:val="46"/>
        <w:widowControl w:val="0"/>
        <w:spacing w:line="440" w:lineRule="exact"/>
        <w:ind w:firstLine="420" w:firstLineChars="175"/>
        <w:rPr>
          <w:rFonts w:hint="eastAsia"/>
          <w:bCs/>
          <w:color w:val="auto"/>
          <w:szCs w:val="40"/>
          <w:highlight w:val="none"/>
        </w:rPr>
      </w:pPr>
      <w:r>
        <w:rPr>
          <w:rFonts w:hint="eastAsia"/>
          <w:color w:val="auto"/>
          <w:highlight w:val="none"/>
        </w:rPr>
        <w:t>1.产品质量保证期</w:t>
      </w:r>
      <w:r>
        <w:rPr>
          <w:rFonts w:hint="eastAsia"/>
          <w:bCs/>
          <w:color w:val="auto"/>
          <w:szCs w:val="40"/>
          <w:highlight w:val="none"/>
        </w:rPr>
        <w:t>不低于壹年。</w:t>
      </w:r>
    </w:p>
    <w:p w14:paraId="002E33C6">
      <w:pPr>
        <w:pStyle w:val="46"/>
        <w:widowControl w:val="0"/>
        <w:spacing w:line="440" w:lineRule="exact"/>
        <w:ind w:firstLine="420" w:firstLineChars="175"/>
        <w:rPr>
          <w:rFonts w:hint="eastAsia"/>
          <w:bCs/>
          <w:color w:val="auto"/>
          <w:szCs w:val="40"/>
          <w:highlight w:val="none"/>
        </w:rPr>
      </w:pPr>
      <w:r>
        <w:rPr>
          <w:rFonts w:hint="eastAsia"/>
          <w:bCs/>
          <w:color w:val="auto"/>
          <w:szCs w:val="40"/>
          <w:highlight w:val="none"/>
        </w:rPr>
        <w:t>2.产品属于国家规定“三包”范围的，其产品质量保证期不得低于“三包”规定。</w:t>
      </w:r>
    </w:p>
    <w:p w14:paraId="6248B904">
      <w:pPr>
        <w:pStyle w:val="46"/>
        <w:widowControl w:val="0"/>
        <w:spacing w:line="440" w:lineRule="exact"/>
        <w:ind w:firstLine="420" w:firstLineChars="175"/>
        <w:rPr>
          <w:rFonts w:hint="eastAsia"/>
          <w:bCs/>
          <w:color w:val="auto"/>
          <w:szCs w:val="40"/>
          <w:highlight w:val="none"/>
        </w:rPr>
      </w:pPr>
      <w:r>
        <w:rPr>
          <w:rFonts w:hint="eastAsia"/>
          <w:bCs/>
          <w:color w:val="auto"/>
          <w:szCs w:val="40"/>
          <w:highlight w:val="none"/>
        </w:rPr>
        <w:t>3.中标供应商的产品质量保证期承诺优于国家“三包”规定的，按供应商实际承诺执行。</w:t>
      </w:r>
    </w:p>
    <w:p w14:paraId="6B37421D">
      <w:pPr>
        <w:pStyle w:val="46"/>
        <w:widowControl w:val="0"/>
        <w:spacing w:line="440" w:lineRule="exact"/>
        <w:ind w:firstLine="420" w:firstLineChars="175"/>
        <w:rPr>
          <w:rFonts w:hint="eastAsia"/>
          <w:bCs/>
          <w:color w:val="auto"/>
          <w:szCs w:val="40"/>
          <w:highlight w:val="none"/>
          <w:lang w:eastAsia="zh-CN"/>
        </w:rPr>
      </w:pPr>
      <w:r>
        <w:rPr>
          <w:rFonts w:hint="eastAsia"/>
          <w:bCs/>
          <w:color w:val="auto"/>
          <w:szCs w:val="40"/>
          <w:highlight w:val="none"/>
          <w:lang w:eastAsia="zh-CN"/>
        </w:rPr>
        <w:t>（二）售后服务内容</w:t>
      </w:r>
    </w:p>
    <w:p w14:paraId="395662F6">
      <w:pPr>
        <w:pStyle w:val="46"/>
        <w:widowControl w:val="0"/>
        <w:spacing w:line="440" w:lineRule="exact"/>
        <w:ind w:firstLine="420" w:firstLineChars="175"/>
        <w:rPr>
          <w:rFonts w:hint="eastAsia"/>
          <w:bCs/>
          <w:color w:val="auto"/>
          <w:szCs w:val="40"/>
          <w:highlight w:val="none"/>
          <w:lang w:eastAsia="zh-CN"/>
        </w:rPr>
      </w:pPr>
      <w:r>
        <w:rPr>
          <w:rFonts w:hint="eastAsia"/>
          <w:bCs/>
          <w:color w:val="auto"/>
          <w:szCs w:val="40"/>
          <w:highlight w:val="none"/>
          <w:lang w:eastAsia="zh-CN"/>
        </w:rPr>
        <w:t>1.成交供应商在质量保证期内应当为采购人提供以下技术支持和服务：</w:t>
      </w:r>
    </w:p>
    <w:p w14:paraId="19BF80BF">
      <w:pPr>
        <w:pStyle w:val="46"/>
        <w:widowControl w:val="0"/>
        <w:spacing w:line="440" w:lineRule="exact"/>
        <w:ind w:firstLine="420" w:firstLineChars="175"/>
        <w:rPr>
          <w:rFonts w:hint="eastAsia"/>
          <w:bCs/>
          <w:color w:val="auto"/>
          <w:szCs w:val="40"/>
          <w:highlight w:val="none"/>
          <w:lang w:eastAsia="zh-CN"/>
        </w:rPr>
      </w:pPr>
      <w:r>
        <w:rPr>
          <w:rFonts w:hint="eastAsia"/>
          <w:bCs/>
          <w:color w:val="auto"/>
          <w:szCs w:val="40"/>
          <w:highlight w:val="none"/>
          <w:lang w:eastAsia="zh-CN"/>
        </w:rPr>
        <w:t>1.1电话咨询</w:t>
      </w:r>
    </w:p>
    <w:p w14:paraId="3837267F">
      <w:pPr>
        <w:pStyle w:val="46"/>
        <w:widowControl w:val="0"/>
        <w:spacing w:line="440" w:lineRule="exact"/>
        <w:ind w:firstLine="420" w:firstLineChars="175"/>
        <w:rPr>
          <w:rFonts w:hint="eastAsia"/>
          <w:bCs/>
          <w:color w:val="auto"/>
          <w:szCs w:val="40"/>
          <w:highlight w:val="none"/>
          <w:lang w:eastAsia="zh-CN"/>
        </w:rPr>
      </w:pPr>
      <w:r>
        <w:rPr>
          <w:rFonts w:hint="eastAsia"/>
          <w:bCs/>
          <w:color w:val="auto"/>
          <w:szCs w:val="40"/>
          <w:highlight w:val="none"/>
          <w:lang w:eastAsia="zh-CN"/>
        </w:rPr>
        <w:t>成交供应商应当为采购人提供技术援助电话，解答采购人在使用中遇到的问题，及时为采购人提出解决问题的建议。</w:t>
      </w:r>
    </w:p>
    <w:p w14:paraId="43FAF963">
      <w:pPr>
        <w:pStyle w:val="46"/>
        <w:widowControl w:val="0"/>
        <w:spacing w:line="440" w:lineRule="exact"/>
        <w:ind w:firstLine="420" w:firstLineChars="175"/>
        <w:rPr>
          <w:rFonts w:hint="eastAsia"/>
          <w:bCs/>
          <w:color w:val="auto"/>
          <w:szCs w:val="40"/>
          <w:highlight w:val="none"/>
          <w:lang w:eastAsia="zh-CN"/>
        </w:rPr>
      </w:pPr>
      <w:r>
        <w:rPr>
          <w:rFonts w:hint="eastAsia"/>
          <w:bCs/>
          <w:color w:val="auto"/>
          <w:szCs w:val="40"/>
          <w:highlight w:val="none"/>
          <w:lang w:eastAsia="zh-CN"/>
        </w:rPr>
        <w:t>1.2现场响应</w:t>
      </w:r>
    </w:p>
    <w:p w14:paraId="2589D211">
      <w:pPr>
        <w:pStyle w:val="46"/>
        <w:widowControl w:val="0"/>
        <w:spacing w:line="440" w:lineRule="exact"/>
        <w:ind w:firstLine="420" w:firstLineChars="175"/>
        <w:rPr>
          <w:rFonts w:hint="eastAsia"/>
          <w:bCs/>
          <w:color w:val="auto"/>
          <w:szCs w:val="40"/>
          <w:highlight w:val="none"/>
          <w:lang w:eastAsia="zh-CN"/>
        </w:rPr>
      </w:pPr>
      <w:r>
        <w:rPr>
          <w:rFonts w:hint="eastAsia"/>
          <w:bCs/>
          <w:color w:val="auto"/>
          <w:szCs w:val="40"/>
          <w:highlight w:val="none"/>
          <w:lang w:eastAsia="zh-CN"/>
        </w:rPr>
        <w:t>采购人遇到使用及技术问题，电话咨询不能解决的，成交供应商应在</w:t>
      </w:r>
      <w:r>
        <w:rPr>
          <w:rFonts w:hint="eastAsia"/>
          <w:bCs/>
          <w:color w:val="auto"/>
          <w:szCs w:val="40"/>
          <w:highlight w:val="none"/>
          <w:lang w:val="en-US" w:eastAsia="zh-CN"/>
        </w:rPr>
        <w:t>2</w:t>
      </w:r>
      <w:r>
        <w:rPr>
          <w:rFonts w:hint="eastAsia"/>
          <w:bCs/>
          <w:color w:val="auto"/>
          <w:szCs w:val="40"/>
          <w:highlight w:val="none"/>
          <w:lang w:eastAsia="zh-CN"/>
        </w:rPr>
        <w:t>小时内到达现场（远郊区</w:t>
      </w:r>
      <w:r>
        <w:rPr>
          <w:rFonts w:hint="eastAsia"/>
          <w:bCs/>
          <w:color w:val="auto"/>
          <w:szCs w:val="40"/>
          <w:highlight w:val="none"/>
          <w:lang w:val="en-US" w:eastAsia="zh-CN"/>
        </w:rPr>
        <w:t>3</w:t>
      </w:r>
      <w:r>
        <w:rPr>
          <w:rFonts w:hint="eastAsia"/>
          <w:bCs/>
          <w:color w:val="auto"/>
          <w:szCs w:val="40"/>
          <w:highlight w:val="none"/>
          <w:lang w:eastAsia="zh-CN"/>
        </w:rPr>
        <w:t>小时内到达现场）进行处理，确保产品正常工作；无法在</w:t>
      </w:r>
      <w:r>
        <w:rPr>
          <w:rFonts w:hint="eastAsia"/>
          <w:bCs/>
          <w:color w:val="auto"/>
          <w:szCs w:val="40"/>
          <w:highlight w:val="none"/>
          <w:lang w:val="en-US" w:eastAsia="zh-CN"/>
        </w:rPr>
        <w:t>24</w:t>
      </w:r>
      <w:r>
        <w:rPr>
          <w:rFonts w:hint="eastAsia"/>
          <w:bCs/>
          <w:color w:val="auto"/>
          <w:szCs w:val="40"/>
          <w:highlight w:val="none"/>
          <w:lang w:eastAsia="zh-CN"/>
        </w:rPr>
        <w:t>小时内解决的，应在</w:t>
      </w:r>
      <w:r>
        <w:rPr>
          <w:rFonts w:hint="eastAsia"/>
          <w:bCs/>
          <w:color w:val="auto"/>
          <w:szCs w:val="40"/>
          <w:highlight w:val="none"/>
          <w:lang w:val="en-US" w:eastAsia="zh-CN"/>
        </w:rPr>
        <w:t>24</w:t>
      </w:r>
      <w:r>
        <w:rPr>
          <w:rFonts w:hint="eastAsia"/>
          <w:bCs/>
          <w:color w:val="auto"/>
          <w:szCs w:val="40"/>
          <w:highlight w:val="none"/>
          <w:lang w:eastAsia="zh-CN"/>
        </w:rPr>
        <w:t>小时内提供备用产品，使采购人能够正常使用。</w:t>
      </w:r>
    </w:p>
    <w:p w14:paraId="4F6007A7">
      <w:pPr>
        <w:pStyle w:val="46"/>
        <w:widowControl w:val="0"/>
        <w:spacing w:line="440" w:lineRule="exact"/>
        <w:ind w:firstLine="420" w:firstLineChars="175"/>
        <w:rPr>
          <w:rFonts w:hint="eastAsia"/>
          <w:bCs/>
          <w:color w:val="auto"/>
          <w:szCs w:val="40"/>
          <w:highlight w:val="none"/>
          <w:lang w:eastAsia="zh-CN"/>
        </w:rPr>
      </w:pPr>
      <w:r>
        <w:rPr>
          <w:rFonts w:hint="eastAsia"/>
          <w:bCs/>
          <w:color w:val="auto"/>
          <w:szCs w:val="40"/>
          <w:highlight w:val="none"/>
          <w:lang w:eastAsia="zh-CN"/>
        </w:rPr>
        <w:t>1.3技术升级</w:t>
      </w:r>
    </w:p>
    <w:p w14:paraId="56E42280">
      <w:pPr>
        <w:pStyle w:val="46"/>
        <w:widowControl w:val="0"/>
        <w:spacing w:line="440" w:lineRule="exact"/>
        <w:ind w:firstLine="420" w:firstLineChars="175"/>
        <w:rPr>
          <w:rFonts w:hint="eastAsia"/>
          <w:bCs/>
          <w:color w:val="auto"/>
          <w:szCs w:val="40"/>
          <w:highlight w:val="none"/>
          <w:lang w:eastAsia="zh-CN"/>
        </w:rPr>
      </w:pPr>
      <w:r>
        <w:rPr>
          <w:rFonts w:hint="eastAsia"/>
          <w:bCs/>
          <w:color w:val="auto"/>
          <w:szCs w:val="40"/>
          <w:highlight w:val="none"/>
          <w:lang w:eastAsia="zh-CN"/>
        </w:rPr>
        <w:t>在质保期内，如果投标人的产品技术升级，投标人应及时通知采购人，如采购人有相应要求，投标人应对采购人购买的产品进行升级服务。</w:t>
      </w:r>
    </w:p>
    <w:p w14:paraId="71D9D199">
      <w:pPr>
        <w:pStyle w:val="46"/>
        <w:widowControl w:val="0"/>
        <w:spacing w:line="440" w:lineRule="exact"/>
        <w:ind w:firstLine="420" w:firstLineChars="175"/>
        <w:rPr>
          <w:rFonts w:hint="eastAsia"/>
          <w:bCs/>
          <w:color w:val="auto"/>
          <w:szCs w:val="40"/>
          <w:highlight w:val="none"/>
          <w:lang w:eastAsia="zh-CN"/>
        </w:rPr>
      </w:pPr>
      <w:r>
        <w:rPr>
          <w:rFonts w:hint="eastAsia"/>
          <w:bCs/>
          <w:color w:val="auto"/>
          <w:szCs w:val="40"/>
          <w:highlight w:val="none"/>
          <w:lang w:eastAsia="zh-CN"/>
        </w:rPr>
        <w:t>2.质保期外服务要求</w:t>
      </w:r>
    </w:p>
    <w:p w14:paraId="5CC311EB">
      <w:pPr>
        <w:pStyle w:val="46"/>
        <w:widowControl w:val="0"/>
        <w:spacing w:line="440" w:lineRule="exact"/>
        <w:ind w:firstLine="420" w:firstLineChars="175"/>
        <w:rPr>
          <w:rFonts w:hint="eastAsia"/>
          <w:bCs/>
          <w:color w:val="auto"/>
          <w:szCs w:val="40"/>
          <w:highlight w:val="none"/>
          <w:lang w:eastAsia="zh-CN"/>
        </w:rPr>
      </w:pPr>
      <w:r>
        <w:rPr>
          <w:rFonts w:hint="eastAsia"/>
          <w:bCs/>
          <w:color w:val="auto"/>
          <w:szCs w:val="40"/>
          <w:highlight w:val="none"/>
          <w:lang w:eastAsia="zh-CN"/>
        </w:rPr>
        <w:t>2.1质量保证期过后，投标人应同样提供免费电话咨询服务，并应承诺提供产品上门维护服务。</w:t>
      </w:r>
    </w:p>
    <w:p w14:paraId="32E69B3F">
      <w:pPr>
        <w:pStyle w:val="46"/>
        <w:widowControl w:val="0"/>
        <w:spacing w:line="440" w:lineRule="exact"/>
        <w:ind w:firstLine="420" w:firstLineChars="175"/>
        <w:rPr>
          <w:rFonts w:hint="eastAsia"/>
          <w:bCs/>
          <w:color w:val="auto"/>
          <w:szCs w:val="40"/>
          <w:highlight w:val="none"/>
          <w:lang w:eastAsia="zh-CN"/>
        </w:rPr>
      </w:pPr>
      <w:r>
        <w:rPr>
          <w:rFonts w:hint="eastAsia"/>
          <w:bCs/>
          <w:color w:val="auto"/>
          <w:szCs w:val="40"/>
          <w:highlight w:val="none"/>
          <w:lang w:eastAsia="zh-CN"/>
        </w:rPr>
        <w:t>2.2质量保证期过后，采购人需要继续由原投标人提供售后服务的，该投标人应以优惠价格提供售后服务。</w:t>
      </w:r>
    </w:p>
    <w:p w14:paraId="1D788137">
      <w:pPr>
        <w:pStyle w:val="3"/>
        <w:spacing w:line="400" w:lineRule="exact"/>
        <w:ind w:firstLine="482" w:firstLineChars="200"/>
        <w:rPr>
          <w:rFonts w:hint="eastAsia" w:eastAsia="宋体" w:cs="宋体" w:asciiTheme="minorEastAsia" w:hAnsiTheme="minorEastAsia"/>
          <w:b/>
          <w:color w:val="auto"/>
          <w:highlight w:val="none"/>
        </w:rPr>
      </w:pPr>
      <w:bookmarkStart w:id="145" w:name="_Toc7146"/>
      <w:bookmarkStart w:id="146" w:name="_Toc267320054"/>
      <w:bookmarkStart w:id="147" w:name="_Toc10406"/>
      <w:bookmarkStart w:id="148" w:name="_Toc30515"/>
      <w:bookmarkStart w:id="149" w:name="_Toc14923"/>
      <w:bookmarkStart w:id="150" w:name="_Toc28513"/>
      <w:bookmarkStart w:id="151" w:name="_Toc17569"/>
      <w:bookmarkStart w:id="152" w:name="_Toc4353"/>
      <w:bookmarkStart w:id="153" w:name="_Toc13936"/>
      <w:bookmarkStart w:id="154" w:name="_Toc75793516"/>
      <w:bookmarkStart w:id="155" w:name="_Toc27175"/>
      <w:bookmarkStart w:id="156" w:name="_Toc6385"/>
      <w:bookmarkStart w:id="157" w:name="_Toc106030392"/>
      <w:bookmarkStart w:id="158" w:name="_Toc1138"/>
      <w:bookmarkStart w:id="159" w:name="_Toc32308"/>
      <w:bookmarkStart w:id="160" w:name="_Toc23858"/>
      <w:bookmarkStart w:id="161" w:name="_Toc529"/>
      <w:bookmarkStart w:id="162" w:name="_Toc6099"/>
      <w:r>
        <w:rPr>
          <w:rFonts w:hint="eastAsia" w:eastAsia="宋体" w:cs="宋体" w:asciiTheme="minorEastAsia" w:hAnsiTheme="minorEastAsia"/>
          <w:b/>
          <w:color w:val="auto"/>
          <w:highlight w:val="none"/>
          <w:lang w:eastAsia="zh-CN"/>
        </w:rPr>
        <w:t>五、</w:t>
      </w:r>
      <w:r>
        <w:rPr>
          <w:rFonts w:hint="eastAsia" w:eastAsia="宋体" w:cs="宋体" w:asciiTheme="minorEastAsia" w:hAnsiTheme="minorEastAsia"/>
          <w:b/>
          <w:color w:val="auto"/>
          <w:highlight w:val="none"/>
        </w:rPr>
        <w:t>培训</w:t>
      </w:r>
      <w:bookmarkEnd w:id="145"/>
    </w:p>
    <w:p w14:paraId="7F85F18C">
      <w:pPr>
        <w:pStyle w:val="46"/>
        <w:widowControl w:val="0"/>
        <w:spacing w:line="440" w:lineRule="exact"/>
        <w:ind w:firstLine="420" w:firstLineChars="175"/>
        <w:rPr>
          <w:rFonts w:hint="eastAsia" w:eastAsia="宋体"/>
          <w:color w:val="auto"/>
          <w:highlight w:val="none"/>
        </w:rPr>
      </w:pPr>
      <w:r>
        <w:rPr>
          <w:rFonts w:hint="eastAsia" w:eastAsia="宋体"/>
          <w:bCs/>
          <w:color w:val="auto"/>
          <w:szCs w:val="40"/>
          <w:highlight w:val="none"/>
        </w:rPr>
        <w:t>成交供应商须提供对设备的操作培训，使相关使用人员能够正常操作相关设备。</w:t>
      </w:r>
    </w:p>
    <w:p w14:paraId="52A72272">
      <w:pPr>
        <w:pStyle w:val="3"/>
        <w:spacing w:line="400" w:lineRule="exact"/>
        <w:ind w:firstLine="482" w:firstLineChars="200"/>
        <w:rPr>
          <w:rFonts w:hint="eastAsia" w:eastAsia="宋体" w:cs="宋体" w:asciiTheme="minorEastAsia" w:hAnsiTheme="minorEastAsia"/>
          <w:b/>
          <w:color w:val="auto"/>
          <w:highlight w:val="none"/>
          <w:lang w:eastAsia="zh-CN"/>
        </w:rPr>
      </w:pPr>
      <w:bookmarkStart w:id="163" w:name="_Toc12037"/>
      <w:r>
        <w:rPr>
          <w:rFonts w:hint="eastAsia" w:eastAsia="宋体" w:cs="宋体" w:asciiTheme="minorEastAsia" w:hAnsiTheme="minorEastAsia"/>
          <w:b/>
          <w:color w:val="auto"/>
          <w:highlight w:val="none"/>
          <w:lang w:eastAsia="zh-CN"/>
        </w:rPr>
        <w:t>六、</w:t>
      </w:r>
      <w:bookmarkEnd w:id="146"/>
      <w:r>
        <w:rPr>
          <w:rFonts w:hint="eastAsia" w:eastAsia="宋体" w:cs="宋体" w:asciiTheme="minorEastAsia" w:hAnsiTheme="minorEastAsia"/>
          <w:b/>
          <w:color w:val="auto"/>
          <w:highlight w:val="none"/>
          <w:lang w:eastAsia="zh-CN"/>
        </w:rPr>
        <w:t>知识产权</w:t>
      </w:r>
      <w:bookmarkEnd w:id="163"/>
    </w:p>
    <w:p w14:paraId="7F4BEC41">
      <w:pPr>
        <w:pStyle w:val="46"/>
        <w:widowControl w:val="0"/>
        <w:spacing w:line="440" w:lineRule="exact"/>
        <w:ind w:firstLine="420" w:firstLineChars="175"/>
        <w:rPr>
          <w:rFonts w:hint="eastAsia" w:eastAsia="宋体"/>
          <w:bCs/>
          <w:color w:val="auto"/>
          <w:szCs w:val="40"/>
          <w:highlight w:val="none"/>
        </w:rPr>
      </w:pPr>
      <w:r>
        <w:rPr>
          <w:rFonts w:hint="eastAsia" w:eastAsia="宋体"/>
          <w:bCs/>
          <w:color w:val="auto"/>
          <w:szCs w:val="40"/>
          <w:highlight w:val="none"/>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7C482A28">
      <w:pPr>
        <w:pStyle w:val="3"/>
        <w:ind w:firstLine="482" w:firstLineChars="200"/>
        <w:rPr>
          <w:rFonts w:hint="eastAsia"/>
          <w:b/>
          <w:color w:val="auto"/>
          <w:highlight w:val="none"/>
        </w:rPr>
      </w:pPr>
      <w:bookmarkStart w:id="164" w:name="_Toc3131"/>
      <w:r>
        <w:rPr>
          <w:rFonts w:hint="eastAsia"/>
          <w:b/>
          <w:color w:val="auto"/>
          <w:highlight w:val="none"/>
          <w:lang w:eastAsia="zh-CN"/>
        </w:rPr>
        <w:t>七、</w:t>
      </w:r>
      <w:r>
        <w:rPr>
          <w:rFonts w:hint="eastAsia"/>
          <w:b/>
          <w:color w:val="auto"/>
          <w:highlight w:val="none"/>
        </w:rPr>
        <w:t>其他商务要求内容</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4"/>
    </w:p>
    <w:p w14:paraId="1D27AD6F">
      <w:pPr>
        <w:pStyle w:val="46"/>
        <w:widowControl w:val="0"/>
        <w:spacing w:line="440" w:lineRule="exact"/>
        <w:ind w:firstLine="420" w:firstLineChars="175"/>
        <w:rPr>
          <w:rFonts w:hint="eastAsia" w:eastAsia="宋体"/>
          <w:bCs/>
          <w:color w:val="auto"/>
          <w:szCs w:val="40"/>
          <w:highlight w:val="none"/>
          <w:lang w:val="en-US" w:eastAsia="zh-CN"/>
        </w:rPr>
      </w:pPr>
      <w:r>
        <w:rPr>
          <w:rFonts w:hint="eastAsia" w:eastAsia="宋体"/>
          <w:bCs/>
          <w:color w:val="auto"/>
          <w:szCs w:val="40"/>
          <w:highlight w:val="none"/>
          <w:lang w:val="en-US" w:eastAsia="zh-CN"/>
        </w:rPr>
        <w:t>1、因本项目涉及特殊人群，采购人因个体人员实际情况要求成交供应商进行个体上门</w:t>
      </w:r>
      <w:r>
        <w:rPr>
          <w:rFonts w:hint="eastAsia" w:eastAsia="宋体"/>
          <w:bCs/>
          <w:color w:val="auto"/>
          <w:szCs w:val="40"/>
          <w:highlight w:val="none"/>
          <w:lang w:eastAsia="zh-CN"/>
        </w:rPr>
        <w:t>操作培训的，成交供应商须无条件接受，并承担上门操作培训的所有一切费用。</w:t>
      </w:r>
    </w:p>
    <w:p w14:paraId="7786350B">
      <w:pPr>
        <w:pStyle w:val="46"/>
        <w:widowControl w:val="0"/>
        <w:spacing w:line="440" w:lineRule="exact"/>
        <w:ind w:firstLine="420" w:firstLineChars="175"/>
        <w:rPr>
          <w:rFonts w:hint="eastAsia" w:eastAsia="宋体"/>
          <w:bCs/>
          <w:color w:val="auto"/>
          <w:szCs w:val="40"/>
          <w:highlight w:val="none"/>
          <w:lang w:eastAsia="zh-CN"/>
        </w:rPr>
      </w:pPr>
      <w:r>
        <w:rPr>
          <w:rFonts w:hint="eastAsia" w:eastAsia="宋体"/>
          <w:bCs/>
          <w:color w:val="auto"/>
          <w:szCs w:val="40"/>
          <w:highlight w:val="none"/>
          <w:lang w:val="en-US" w:eastAsia="zh-CN"/>
        </w:rPr>
        <w:t>2、</w:t>
      </w:r>
      <w:r>
        <w:rPr>
          <w:rFonts w:hint="eastAsia" w:eastAsia="宋体"/>
          <w:bCs/>
          <w:color w:val="auto"/>
          <w:szCs w:val="40"/>
          <w:highlight w:val="none"/>
          <w:lang w:eastAsia="zh-CN"/>
        </w:rPr>
        <w:t>其他未尽事宜由供需双方在采购合同中详细约定。</w:t>
      </w:r>
      <w:bookmarkEnd w:id="75"/>
    </w:p>
    <w:p w14:paraId="72ADD237">
      <w:pPr>
        <w:rPr>
          <w:rFonts w:hint="eastAsia" w:asciiTheme="minorEastAsia" w:hAnsiTheme="minorEastAsia"/>
          <w:color w:val="auto"/>
          <w:highlight w:val="none"/>
        </w:rPr>
      </w:pPr>
    </w:p>
    <w:p w14:paraId="1166857D">
      <w:pPr>
        <w:pStyle w:val="9"/>
        <w:ind w:left="1440"/>
        <w:rPr>
          <w:rFonts w:hint="eastAsia" w:asciiTheme="minorEastAsia" w:hAnsiTheme="minorEastAsia"/>
          <w:color w:val="auto"/>
          <w:highlight w:val="none"/>
        </w:rPr>
      </w:pPr>
    </w:p>
    <w:p w14:paraId="251BC97B">
      <w:pPr>
        <w:rPr>
          <w:rFonts w:hint="eastAsia"/>
          <w:color w:val="auto"/>
          <w:highlight w:val="none"/>
        </w:rPr>
      </w:pPr>
    </w:p>
    <w:p w14:paraId="360D2895">
      <w:pPr>
        <w:rPr>
          <w:rFonts w:hint="eastAsia"/>
          <w:color w:val="auto"/>
          <w:highlight w:val="none"/>
        </w:rPr>
      </w:pPr>
    </w:p>
    <w:p w14:paraId="31DABF1C">
      <w:pPr>
        <w:rPr>
          <w:rFonts w:hint="eastAsia"/>
          <w:color w:val="auto"/>
          <w:highlight w:val="none"/>
        </w:rPr>
      </w:pPr>
    </w:p>
    <w:p w14:paraId="2FE26CFD">
      <w:pPr>
        <w:rPr>
          <w:rFonts w:hint="eastAsia"/>
          <w:color w:val="auto"/>
          <w:highlight w:val="none"/>
        </w:rPr>
      </w:pPr>
    </w:p>
    <w:p w14:paraId="1C7BFB42">
      <w:pPr>
        <w:rPr>
          <w:rFonts w:hint="eastAsia" w:asciiTheme="minorEastAsia" w:hAnsiTheme="minorEastAsia"/>
          <w:color w:val="auto"/>
          <w:highlight w:val="none"/>
        </w:rPr>
      </w:pPr>
    </w:p>
    <w:p w14:paraId="5B62C22E">
      <w:pPr>
        <w:rPr>
          <w:rFonts w:hint="eastAsia" w:asciiTheme="minorEastAsia" w:hAnsiTheme="minorEastAsia"/>
          <w:color w:val="auto"/>
          <w:highlight w:val="none"/>
        </w:rPr>
      </w:pPr>
    </w:p>
    <w:p w14:paraId="76C0492E">
      <w:pPr>
        <w:rPr>
          <w:rFonts w:hint="eastAsia" w:asciiTheme="minorEastAsia" w:hAnsiTheme="minorEastAsia"/>
          <w:color w:val="auto"/>
          <w:highlight w:val="none"/>
        </w:rPr>
      </w:pPr>
    </w:p>
    <w:p w14:paraId="49C46E2F">
      <w:pPr>
        <w:rPr>
          <w:rFonts w:hint="eastAsia" w:asciiTheme="minorEastAsia" w:hAnsiTheme="minorEastAsia"/>
          <w:color w:val="auto"/>
          <w:highlight w:val="none"/>
        </w:rPr>
      </w:pPr>
    </w:p>
    <w:p w14:paraId="0FC3E050">
      <w:pPr>
        <w:rPr>
          <w:rFonts w:hint="eastAsia" w:asciiTheme="minorEastAsia" w:hAnsiTheme="minorEastAsia"/>
          <w:color w:val="auto"/>
          <w:highlight w:val="none"/>
        </w:rPr>
      </w:pPr>
    </w:p>
    <w:p w14:paraId="68810B5E">
      <w:pPr>
        <w:rPr>
          <w:rFonts w:hint="eastAsia" w:asciiTheme="minorEastAsia" w:hAnsiTheme="minorEastAsia"/>
          <w:color w:val="auto"/>
          <w:highlight w:val="none"/>
        </w:rPr>
      </w:pPr>
    </w:p>
    <w:p w14:paraId="399DF8BB">
      <w:pPr>
        <w:rPr>
          <w:rFonts w:hint="eastAsia" w:asciiTheme="minorEastAsia" w:hAnsiTheme="minorEastAsia"/>
          <w:color w:val="auto"/>
          <w:highlight w:val="none"/>
        </w:rPr>
      </w:pPr>
    </w:p>
    <w:p w14:paraId="7C5BE0C4">
      <w:pPr>
        <w:rPr>
          <w:rFonts w:hint="eastAsia" w:asciiTheme="minorEastAsia" w:hAnsiTheme="minorEastAsia"/>
          <w:color w:val="auto"/>
          <w:highlight w:val="none"/>
        </w:rPr>
      </w:pPr>
    </w:p>
    <w:p w14:paraId="6BCAC04D">
      <w:pPr>
        <w:rPr>
          <w:rFonts w:hint="eastAsia" w:asciiTheme="minorEastAsia" w:hAnsiTheme="minorEastAsia"/>
          <w:color w:val="auto"/>
          <w:highlight w:val="none"/>
        </w:rPr>
      </w:pPr>
    </w:p>
    <w:p w14:paraId="5C4048FA">
      <w:pPr>
        <w:rPr>
          <w:rFonts w:hint="eastAsia" w:asciiTheme="minorEastAsia" w:hAnsiTheme="minorEastAsia"/>
          <w:color w:val="auto"/>
          <w:highlight w:val="none"/>
        </w:rPr>
      </w:pPr>
    </w:p>
    <w:p w14:paraId="293C742A">
      <w:pPr>
        <w:rPr>
          <w:rFonts w:hint="eastAsia" w:asciiTheme="minorEastAsia" w:hAnsiTheme="minorEastAsia"/>
          <w:color w:val="auto"/>
          <w:highlight w:val="none"/>
        </w:rPr>
      </w:pPr>
    </w:p>
    <w:p w14:paraId="0F4144D4">
      <w:pPr>
        <w:pStyle w:val="9"/>
        <w:ind w:left="1440"/>
        <w:rPr>
          <w:rFonts w:hint="eastAsia" w:asciiTheme="minorEastAsia" w:hAnsiTheme="minorEastAsia"/>
          <w:color w:val="auto"/>
          <w:highlight w:val="none"/>
        </w:rPr>
      </w:pPr>
    </w:p>
    <w:p w14:paraId="55FA3D20">
      <w:pPr>
        <w:rPr>
          <w:rFonts w:hint="eastAsia" w:asciiTheme="minorEastAsia" w:hAnsiTheme="minorEastAsia"/>
          <w:color w:val="auto"/>
          <w:highlight w:val="none"/>
        </w:rPr>
      </w:pPr>
    </w:p>
    <w:p w14:paraId="7C07D2BB">
      <w:pPr>
        <w:pStyle w:val="3"/>
        <w:pageBreakBefore/>
        <w:rPr>
          <w:rFonts w:hint="eastAsia" w:asciiTheme="minorEastAsia" w:hAnsiTheme="minorEastAsia"/>
          <w:color w:val="auto"/>
          <w:sz w:val="36"/>
          <w:szCs w:val="30"/>
          <w:highlight w:val="none"/>
        </w:rPr>
      </w:pPr>
      <w:bookmarkStart w:id="165" w:name="_Toc65660349"/>
      <w:bookmarkStart w:id="166" w:name="_Toc31282"/>
      <w:bookmarkStart w:id="167" w:name="_Toc24195"/>
      <w:bookmarkStart w:id="168" w:name="_Toc20724"/>
      <w:bookmarkStart w:id="169" w:name="_Toc16123"/>
      <w:r>
        <w:rPr>
          <w:rFonts w:hint="eastAsia" w:asciiTheme="minorEastAsia" w:hAnsiTheme="minorEastAsia"/>
          <w:color w:val="auto"/>
          <w:sz w:val="36"/>
          <w:szCs w:val="30"/>
          <w:highlight w:val="none"/>
        </w:rPr>
        <w:t>第四篇  采购程序、评定成交的标准、无效报价及采购终止</w:t>
      </w:r>
      <w:bookmarkEnd w:id="165"/>
      <w:bookmarkEnd w:id="166"/>
      <w:bookmarkEnd w:id="167"/>
      <w:bookmarkEnd w:id="168"/>
      <w:bookmarkEnd w:id="169"/>
    </w:p>
    <w:p w14:paraId="532C5588">
      <w:pPr>
        <w:pStyle w:val="3"/>
        <w:spacing w:line="400" w:lineRule="exact"/>
        <w:rPr>
          <w:rFonts w:hint="eastAsia" w:asciiTheme="minorEastAsia" w:hAnsiTheme="minorEastAsia"/>
          <w:color w:val="auto"/>
          <w:highlight w:val="none"/>
        </w:rPr>
      </w:pPr>
      <w:bookmarkStart w:id="170" w:name="_Toc19947"/>
      <w:bookmarkStart w:id="171" w:name="_Toc65660350"/>
      <w:bookmarkStart w:id="172" w:name="_Toc27932"/>
      <w:bookmarkStart w:id="173" w:name="_Toc64732012"/>
      <w:bookmarkStart w:id="174" w:name="_Toc9361"/>
      <w:bookmarkStart w:id="175" w:name="_Toc5167"/>
      <w:r>
        <w:rPr>
          <w:rFonts w:hint="eastAsia" w:asciiTheme="minorEastAsia" w:hAnsiTheme="minorEastAsia"/>
          <w:color w:val="auto"/>
          <w:highlight w:val="none"/>
        </w:rPr>
        <w:t>一、采购程序</w:t>
      </w:r>
      <w:bookmarkEnd w:id="170"/>
      <w:bookmarkEnd w:id="171"/>
      <w:bookmarkEnd w:id="172"/>
      <w:bookmarkEnd w:id="173"/>
      <w:bookmarkEnd w:id="174"/>
      <w:bookmarkEnd w:id="175"/>
    </w:p>
    <w:p w14:paraId="66DA1726">
      <w:pPr>
        <w:pStyle w:val="12"/>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（一）询价按询价通知书规定的时间和地点进行。</w:t>
      </w:r>
    </w:p>
    <w:p w14:paraId="57B6F75A">
      <w:pPr>
        <w:pStyle w:val="12"/>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 xml:space="preserve">（二）由本项目询价小组对各供应商的资格条件、实质性响应等进行审查。 </w:t>
      </w:r>
    </w:p>
    <w:p w14:paraId="213C1CC7">
      <w:pPr>
        <w:snapToGrid w:val="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1.资格性审查。依据法律法规和询价通知书的规定，对响应文件中的资格证明材料、保证金等进行审查。资格性审查内容如下：</w:t>
      </w:r>
    </w:p>
    <w:tbl>
      <w:tblPr>
        <w:tblStyle w:val="21"/>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708"/>
        <w:gridCol w:w="2665"/>
        <w:gridCol w:w="5267"/>
      </w:tblGrid>
      <w:tr w14:paraId="1D4AE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Borders>
              <w:top w:val="single" w:color="auto" w:sz="4" w:space="0"/>
              <w:left w:val="single" w:color="auto" w:sz="4" w:space="0"/>
              <w:bottom w:val="single" w:color="auto" w:sz="4" w:space="0"/>
              <w:right w:val="single" w:color="auto" w:sz="4" w:space="0"/>
            </w:tcBorders>
            <w:vAlign w:val="center"/>
          </w:tcPr>
          <w:p w14:paraId="1A28B30C">
            <w:pPr>
              <w:jc w:val="center"/>
              <w:rPr>
                <w:rFonts w:hint="eastAsia" w:asciiTheme="minorEastAsia" w:hAnsiTheme="minorEastAsia"/>
                <w:b/>
                <w:color w:val="auto"/>
                <w:szCs w:val="21"/>
                <w:highlight w:val="none"/>
              </w:rPr>
            </w:pPr>
            <w:r>
              <w:rPr>
                <w:rFonts w:hint="eastAsia" w:asciiTheme="minorEastAsia" w:hAnsiTheme="minorEastAsia"/>
                <w:b/>
                <w:color w:val="auto"/>
                <w:szCs w:val="21"/>
                <w:highlight w:val="none"/>
              </w:rPr>
              <w:t>序号</w:t>
            </w:r>
          </w:p>
        </w:tc>
        <w:tc>
          <w:tcPr>
            <w:tcW w:w="3373" w:type="dxa"/>
            <w:gridSpan w:val="2"/>
            <w:tcBorders>
              <w:top w:val="single" w:color="auto" w:sz="4" w:space="0"/>
              <w:left w:val="single" w:color="auto" w:sz="4" w:space="0"/>
              <w:bottom w:val="single" w:color="auto" w:sz="4" w:space="0"/>
              <w:right w:val="single" w:color="auto" w:sz="4" w:space="0"/>
            </w:tcBorders>
            <w:vAlign w:val="center"/>
          </w:tcPr>
          <w:p w14:paraId="2669820B">
            <w:pPr>
              <w:jc w:val="center"/>
              <w:rPr>
                <w:rFonts w:hint="eastAsia" w:asciiTheme="minorEastAsia" w:hAnsiTheme="minorEastAsia"/>
                <w:b/>
                <w:color w:val="auto"/>
                <w:szCs w:val="21"/>
                <w:highlight w:val="none"/>
              </w:rPr>
            </w:pPr>
            <w:r>
              <w:rPr>
                <w:rFonts w:hint="eastAsia" w:asciiTheme="minorEastAsia" w:hAnsiTheme="minorEastAsia"/>
                <w:b/>
                <w:color w:val="auto"/>
                <w:szCs w:val="21"/>
                <w:highlight w:val="none"/>
              </w:rPr>
              <w:t>检查因素</w:t>
            </w:r>
          </w:p>
        </w:tc>
        <w:tc>
          <w:tcPr>
            <w:tcW w:w="5267" w:type="dxa"/>
            <w:tcBorders>
              <w:top w:val="single" w:color="auto" w:sz="4" w:space="0"/>
              <w:left w:val="single" w:color="auto" w:sz="4" w:space="0"/>
              <w:bottom w:val="single" w:color="auto" w:sz="4" w:space="0"/>
              <w:right w:val="single" w:color="auto" w:sz="4" w:space="0"/>
            </w:tcBorders>
            <w:vAlign w:val="center"/>
          </w:tcPr>
          <w:p w14:paraId="38AE99B1">
            <w:pPr>
              <w:jc w:val="center"/>
              <w:rPr>
                <w:rFonts w:hint="eastAsia" w:asciiTheme="minorEastAsia" w:hAnsiTheme="minorEastAsia"/>
                <w:b/>
                <w:color w:val="auto"/>
                <w:szCs w:val="21"/>
                <w:highlight w:val="none"/>
              </w:rPr>
            </w:pPr>
            <w:r>
              <w:rPr>
                <w:rFonts w:hint="eastAsia" w:asciiTheme="minorEastAsia" w:hAnsiTheme="minorEastAsia"/>
                <w:b/>
                <w:color w:val="auto"/>
                <w:szCs w:val="21"/>
                <w:highlight w:val="none"/>
              </w:rPr>
              <w:t>检查内容</w:t>
            </w:r>
          </w:p>
        </w:tc>
      </w:tr>
      <w:tr w14:paraId="5359A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restart"/>
            <w:vAlign w:val="center"/>
          </w:tcPr>
          <w:p w14:paraId="5EE200CD">
            <w:pPr>
              <w:jc w:val="center"/>
              <w:rPr>
                <w:rFonts w:hint="eastAsia" w:asciiTheme="minorEastAsia" w:hAnsiTheme="minorEastAsia"/>
                <w:color w:val="auto"/>
                <w:szCs w:val="21"/>
                <w:highlight w:val="none"/>
              </w:rPr>
            </w:pPr>
            <w:r>
              <w:rPr>
                <w:rFonts w:hint="eastAsia" w:asciiTheme="minorEastAsia" w:hAnsiTheme="minorEastAsia"/>
                <w:color w:val="auto"/>
                <w:szCs w:val="21"/>
                <w:highlight w:val="none"/>
              </w:rPr>
              <w:t>（一）</w:t>
            </w:r>
          </w:p>
        </w:tc>
        <w:tc>
          <w:tcPr>
            <w:tcW w:w="708" w:type="dxa"/>
            <w:vMerge w:val="restart"/>
            <w:vAlign w:val="center"/>
          </w:tcPr>
          <w:p w14:paraId="1F45A5CC">
            <w:pPr>
              <w:rPr>
                <w:rFonts w:hint="eastAsia" w:cs="仿宋_GB2312" w:asciiTheme="minorEastAsia" w:hAnsiTheme="minorEastAsia"/>
                <w:color w:val="auto"/>
                <w:szCs w:val="21"/>
                <w:highlight w:val="none"/>
                <w:lang w:val="zh-CN"/>
              </w:rPr>
            </w:pPr>
            <w:r>
              <w:rPr>
                <w:rFonts w:hint="eastAsia" w:cs="仿宋_GB2312" w:asciiTheme="minorEastAsia" w:hAnsiTheme="minorEastAsia"/>
                <w:color w:val="auto"/>
                <w:szCs w:val="21"/>
                <w:highlight w:val="none"/>
                <w:lang w:val="zh-CN"/>
              </w:rPr>
              <w:t>《中华人民共和国政府采购法》第二十二条规定</w:t>
            </w:r>
          </w:p>
        </w:tc>
        <w:tc>
          <w:tcPr>
            <w:tcW w:w="2665" w:type="dxa"/>
            <w:vAlign w:val="center"/>
          </w:tcPr>
          <w:p w14:paraId="4DF6371C">
            <w:pPr>
              <w:rPr>
                <w:rFonts w:hint="eastAsia" w:asciiTheme="minorEastAsia" w:hAnsiTheme="minorEastAsia"/>
                <w:color w:val="auto"/>
                <w:szCs w:val="21"/>
                <w:highlight w:val="none"/>
              </w:rPr>
            </w:pPr>
            <w:r>
              <w:rPr>
                <w:rFonts w:hint="eastAsia" w:asciiTheme="minorEastAsia" w:hAnsiTheme="minorEastAsia"/>
                <w:color w:val="auto"/>
                <w:szCs w:val="21"/>
                <w:highlight w:val="none"/>
              </w:rPr>
              <w:t>1.具有独立承担民事责任的能力</w:t>
            </w:r>
          </w:p>
        </w:tc>
        <w:tc>
          <w:tcPr>
            <w:tcW w:w="5267" w:type="dxa"/>
            <w:vAlign w:val="center"/>
          </w:tcPr>
          <w:p w14:paraId="79AD0941">
            <w:pPr>
              <w:rPr>
                <w:rFonts w:hint="eastAsia" w:asciiTheme="minorEastAsia" w:hAnsiTheme="minorEastAsia"/>
                <w:color w:val="auto"/>
                <w:szCs w:val="21"/>
                <w:highlight w:val="none"/>
              </w:rPr>
            </w:pPr>
            <w:r>
              <w:rPr>
                <w:rFonts w:hint="eastAsia" w:asciiTheme="minorEastAsia" w:hAnsiTheme="minorEastAsia"/>
                <w:color w:val="auto"/>
                <w:szCs w:val="21"/>
                <w:highlight w:val="none"/>
              </w:rPr>
              <w:t xml:space="preserve">1.供应商法人营业执照（副本）或事业单位法人证书（副本）或个体工商户营业执照或社会团体法人登记证书（提供复印件）。 </w:t>
            </w:r>
          </w:p>
          <w:p w14:paraId="7E490BE1">
            <w:pPr>
              <w:rPr>
                <w:rFonts w:hint="eastAsia" w:asciiTheme="minorEastAsia" w:hAnsiTheme="minorEastAsia"/>
                <w:color w:val="auto"/>
                <w:szCs w:val="21"/>
                <w:highlight w:val="none"/>
              </w:rPr>
            </w:pPr>
            <w:r>
              <w:rPr>
                <w:rFonts w:hint="eastAsia" w:asciiTheme="minorEastAsia" w:hAnsiTheme="minorEastAsia"/>
                <w:color w:val="auto"/>
                <w:szCs w:val="21"/>
                <w:highlight w:val="none"/>
              </w:rPr>
              <w:t>2.供应商法定代表人身份证明和法定代表人授权代表委托书。</w:t>
            </w:r>
          </w:p>
        </w:tc>
      </w:tr>
      <w:tr w14:paraId="0942C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vAlign w:val="center"/>
          </w:tcPr>
          <w:p w14:paraId="32731CD1">
            <w:pPr>
              <w:jc w:val="center"/>
              <w:rPr>
                <w:rFonts w:hint="eastAsia" w:asciiTheme="minorEastAsia" w:hAnsiTheme="minorEastAsia"/>
                <w:color w:val="auto"/>
                <w:szCs w:val="21"/>
                <w:highlight w:val="none"/>
              </w:rPr>
            </w:pPr>
          </w:p>
        </w:tc>
        <w:tc>
          <w:tcPr>
            <w:tcW w:w="708" w:type="dxa"/>
            <w:vMerge w:val="continue"/>
            <w:vAlign w:val="center"/>
          </w:tcPr>
          <w:p w14:paraId="05255A17">
            <w:pPr>
              <w:rPr>
                <w:rFonts w:hint="eastAsia" w:cs="仿宋_GB2312" w:asciiTheme="minorEastAsia" w:hAnsiTheme="minorEastAsia"/>
                <w:color w:val="auto"/>
                <w:szCs w:val="21"/>
                <w:highlight w:val="none"/>
                <w:lang w:val="zh-CN"/>
              </w:rPr>
            </w:pPr>
          </w:p>
        </w:tc>
        <w:tc>
          <w:tcPr>
            <w:tcW w:w="2665" w:type="dxa"/>
            <w:vAlign w:val="center"/>
          </w:tcPr>
          <w:p w14:paraId="04FDE7DF">
            <w:pPr>
              <w:rPr>
                <w:rFonts w:hint="eastAsia" w:asciiTheme="minorEastAsia" w:hAnsiTheme="minorEastAsia"/>
                <w:color w:val="auto"/>
                <w:szCs w:val="21"/>
                <w:highlight w:val="none"/>
              </w:rPr>
            </w:pPr>
            <w:r>
              <w:rPr>
                <w:rFonts w:hint="eastAsia" w:cs="仿宋_GB2312" w:asciiTheme="minorEastAsia" w:hAnsiTheme="minorEastAsia"/>
                <w:color w:val="auto"/>
                <w:szCs w:val="21"/>
                <w:highlight w:val="none"/>
                <w:lang w:val="zh-CN"/>
              </w:rPr>
              <w:t>2.</w:t>
            </w:r>
            <w:r>
              <w:rPr>
                <w:rFonts w:hint="eastAsia" w:asciiTheme="minorEastAsia" w:hAnsiTheme="minorEastAsia"/>
                <w:color w:val="auto"/>
                <w:szCs w:val="21"/>
                <w:highlight w:val="none"/>
              </w:rPr>
              <w:t>具有良好的商业信誉和健全的财务会计制度</w:t>
            </w:r>
          </w:p>
        </w:tc>
        <w:tc>
          <w:tcPr>
            <w:tcW w:w="5267" w:type="dxa"/>
            <w:vMerge w:val="restart"/>
            <w:vAlign w:val="center"/>
          </w:tcPr>
          <w:p w14:paraId="1BB4FC61">
            <w:pPr>
              <w:rPr>
                <w:rFonts w:hint="eastAsia" w:asciiTheme="minorEastAsia" w:hAnsiTheme="minorEastAsia"/>
                <w:b/>
                <w:color w:val="auto"/>
                <w:szCs w:val="21"/>
                <w:highlight w:val="none"/>
              </w:rPr>
            </w:pPr>
            <w:r>
              <w:rPr>
                <w:rFonts w:hint="eastAsia" w:asciiTheme="minorEastAsia" w:hAnsiTheme="minorEastAsia"/>
                <w:color w:val="auto"/>
                <w:szCs w:val="21"/>
                <w:highlight w:val="none"/>
              </w:rPr>
              <w:t>供应商提供“基本资格条件承诺函”（格式详见第七篇）</w:t>
            </w:r>
          </w:p>
        </w:tc>
      </w:tr>
      <w:tr w14:paraId="5EF82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vAlign w:val="center"/>
          </w:tcPr>
          <w:p w14:paraId="621AE627">
            <w:pPr>
              <w:jc w:val="center"/>
              <w:rPr>
                <w:rFonts w:hint="eastAsia" w:asciiTheme="minorEastAsia" w:hAnsiTheme="minorEastAsia"/>
                <w:color w:val="auto"/>
                <w:szCs w:val="21"/>
                <w:highlight w:val="none"/>
              </w:rPr>
            </w:pPr>
          </w:p>
        </w:tc>
        <w:tc>
          <w:tcPr>
            <w:tcW w:w="708" w:type="dxa"/>
            <w:vMerge w:val="continue"/>
            <w:vAlign w:val="center"/>
          </w:tcPr>
          <w:p w14:paraId="3CFC3F8F">
            <w:pPr>
              <w:rPr>
                <w:rFonts w:hint="eastAsia" w:cs="仿宋_GB2312" w:asciiTheme="minorEastAsia" w:hAnsiTheme="minorEastAsia"/>
                <w:color w:val="auto"/>
                <w:szCs w:val="21"/>
                <w:highlight w:val="none"/>
                <w:lang w:val="zh-CN"/>
              </w:rPr>
            </w:pPr>
          </w:p>
        </w:tc>
        <w:tc>
          <w:tcPr>
            <w:tcW w:w="2665" w:type="dxa"/>
            <w:vAlign w:val="center"/>
          </w:tcPr>
          <w:p w14:paraId="341F1F2D">
            <w:pPr>
              <w:rPr>
                <w:rFonts w:hint="eastAsia" w:cs="仿宋_GB2312" w:asciiTheme="minorEastAsia" w:hAnsiTheme="minorEastAsia"/>
                <w:color w:val="auto"/>
                <w:szCs w:val="21"/>
                <w:highlight w:val="none"/>
                <w:lang w:val="zh-CN"/>
              </w:rPr>
            </w:pPr>
            <w:r>
              <w:rPr>
                <w:rFonts w:hint="eastAsia" w:cs="仿宋_GB2312" w:asciiTheme="minorEastAsia" w:hAnsiTheme="minorEastAsia"/>
                <w:color w:val="auto"/>
                <w:szCs w:val="21"/>
                <w:highlight w:val="none"/>
                <w:lang w:val="zh-CN"/>
              </w:rPr>
              <w:t>3.具有履行合同所必需的设备和专业技术能力</w:t>
            </w:r>
          </w:p>
        </w:tc>
        <w:tc>
          <w:tcPr>
            <w:tcW w:w="5267" w:type="dxa"/>
            <w:vMerge w:val="continue"/>
            <w:vAlign w:val="center"/>
          </w:tcPr>
          <w:p w14:paraId="28FBCD1A">
            <w:pPr>
              <w:rPr>
                <w:rFonts w:hint="eastAsia" w:asciiTheme="minorEastAsia" w:hAnsiTheme="minorEastAsia"/>
                <w:color w:val="auto"/>
                <w:szCs w:val="21"/>
                <w:highlight w:val="none"/>
              </w:rPr>
            </w:pPr>
          </w:p>
        </w:tc>
      </w:tr>
      <w:tr w14:paraId="0B355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vAlign w:val="center"/>
          </w:tcPr>
          <w:p w14:paraId="7180521D">
            <w:pPr>
              <w:jc w:val="center"/>
              <w:rPr>
                <w:rFonts w:hint="eastAsia" w:asciiTheme="minorEastAsia" w:hAnsiTheme="minorEastAsia"/>
                <w:color w:val="auto"/>
                <w:szCs w:val="21"/>
                <w:highlight w:val="none"/>
              </w:rPr>
            </w:pPr>
          </w:p>
        </w:tc>
        <w:tc>
          <w:tcPr>
            <w:tcW w:w="708" w:type="dxa"/>
            <w:vMerge w:val="continue"/>
            <w:vAlign w:val="center"/>
          </w:tcPr>
          <w:p w14:paraId="62DB1D6A">
            <w:pPr>
              <w:rPr>
                <w:rFonts w:hint="eastAsia" w:cs="仿宋_GB2312" w:asciiTheme="minorEastAsia" w:hAnsiTheme="minorEastAsia"/>
                <w:color w:val="auto"/>
                <w:szCs w:val="21"/>
                <w:highlight w:val="none"/>
                <w:lang w:val="zh-CN"/>
              </w:rPr>
            </w:pPr>
          </w:p>
        </w:tc>
        <w:tc>
          <w:tcPr>
            <w:tcW w:w="2665" w:type="dxa"/>
            <w:vAlign w:val="center"/>
          </w:tcPr>
          <w:p w14:paraId="0B046785">
            <w:pPr>
              <w:rPr>
                <w:rFonts w:hint="eastAsia" w:cs="仿宋_GB2312" w:asciiTheme="minorEastAsia" w:hAnsiTheme="minorEastAsia"/>
                <w:color w:val="auto"/>
                <w:szCs w:val="21"/>
                <w:highlight w:val="none"/>
                <w:lang w:val="zh-CN"/>
              </w:rPr>
            </w:pPr>
            <w:r>
              <w:rPr>
                <w:rFonts w:hint="eastAsia" w:cs="仿宋_GB2312" w:asciiTheme="minorEastAsia" w:hAnsiTheme="minorEastAsia"/>
                <w:color w:val="auto"/>
                <w:szCs w:val="21"/>
                <w:highlight w:val="none"/>
                <w:lang w:val="zh-CN"/>
              </w:rPr>
              <w:t>4.有依法缴纳税收和社会保障金的良好记录</w:t>
            </w:r>
          </w:p>
        </w:tc>
        <w:tc>
          <w:tcPr>
            <w:tcW w:w="5267" w:type="dxa"/>
            <w:vMerge w:val="continue"/>
            <w:vAlign w:val="center"/>
          </w:tcPr>
          <w:p w14:paraId="4303FE08">
            <w:pPr>
              <w:rPr>
                <w:rFonts w:hint="eastAsia" w:asciiTheme="minorEastAsia" w:hAnsiTheme="minorEastAsia"/>
                <w:color w:val="auto"/>
                <w:szCs w:val="21"/>
                <w:highlight w:val="none"/>
              </w:rPr>
            </w:pPr>
          </w:p>
        </w:tc>
      </w:tr>
      <w:tr w14:paraId="341C5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vAlign w:val="center"/>
          </w:tcPr>
          <w:p w14:paraId="17B9FACD">
            <w:pPr>
              <w:jc w:val="center"/>
              <w:rPr>
                <w:rFonts w:hint="eastAsia" w:asciiTheme="minorEastAsia" w:hAnsiTheme="minorEastAsia"/>
                <w:color w:val="auto"/>
                <w:szCs w:val="21"/>
                <w:highlight w:val="none"/>
              </w:rPr>
            </w:pPr>
          </w:p>
        </w:tc>
        <w:tc>
          <w:tcPr>
            <w:tcW w:w="708" w:type="dxa"/>
            <w:vMerge w:val="continue"/>
            <w:vAlign w:val="center"/>
          </w:tcPr>
          <w:p w14:paraId="54D75B9E">
            <w:pPr>
              <w:rPr>
                <w:rFonts w:hint="eastAsia" w:cs="仿宋_GB2312" w:asciiTheme="minorEastAsia" w:hAnsiTheme="minorEastAsia"/>
                <w:color w:val="auto"/>
                <w:szCs w:val="21"/>
                <w:highlight w:val="none"/>
                <w:lang w:val="zh-CN"/>
              </w:rPr>
            </w:pPr>
          </w:p>
        </w:tc>
        <w:tc>
          <w:tcPr>
            <w:tcW w:w="2665" w:type="dxa"/>
            <w:vAlign w:val="center"/>
          </w:tcPr>
          <w:p w14:paraId="64E2B1BC">
            <w:pPr>
              <w:rPr>
                <w:rFonts w:hint="eastAsia" w:cs="仿宋_GB2312" w:asciiTheme="minorEastAsia" w:hAnsiTheme="minorEastAsia"/>
                <w:color w:val="auto"/>
                <w:szCs w:val="21"/>
                <w:highlight w:val="none"/>
                <w:lang w:val="zh-CN"/>
              </w:rPr>
            </w:pPr>
            <w:r>
              <w:rPr>
                <w:rFonts w:hint="eastAsia" w:asciiTheme="minorEastAsia" w:hAnsiTheme="minorEastAsia"/>
                <w:color w:val="auto"/>
                <w:szCs w:val="21"/>
                <w:highlight w:val="none"/>
              </w:rPr>
              <w:t>5.参加政府采购活动前三年内，在经营活动中没有重大违法记录</w:t>
            </w:r>
          </w:p>
        </w:tc>
        <w:tc>
          <w:tcPr>
            <w:tcW w:w="5267" w:type="dxa"/>
            <w:vMerge w:val="continue"/>
            <w:vAlign w:val="center"/>
          </w:tcPr>
          <w:p w14:paraId="67C9645E">
            <w:pPr>
              <w:rPr>
                <w:rFonts w:hint="eastAsia" w:asciiTheme="minorEastAsia" w:hAnsiTheme="minorEastAsia"/>
                <w:b/>
                <w:color w:val="auto"/>
                <w:szCs w:val="21"/>
                <w:highlight w:val="none"/>
              </w:rPr>
            </w:pPr>
          </w:p>
        </w:tc>
      </w:tr>
      <w:tr w14:paraId="0BDC3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988" w:type="dxa"/>
            <w:vMerge w:val="continue"/>
            <w:vAlign w:val="center"/>
          </w:tcPr>
          <w:p w14:paraId="3EA7CD35">
            <w:pPr>
              <w:jc w:val="center"/>
              <w:rPr>
                <w:rFonts w:hint="eastAsia" w:asciiTheme="minorEastAsia" w:hAnsiTheme="minorEastAsia"/>
                <w:color w:val="auto"/>
                <w:szCs w:val="21"/>
                <w:highlight w:val="none"/>
              </w:rPr>
            </w:pPr>
          </w:p>
        </w:tc>
        <w:tc>
          <w:tcPr>
            <w:tcW w:w="708" w:type="dxa"/>
            <w:vMerge w:val="continue"/>
            <w:vAlign w:val="center"/>
          </w:tcPr>
          <w:p w14:paraId="467841EC">
            <w:pPr>
              <w:rPr>
                <w:rFonts w:hint="eastAsia" w:cs="仿宋_GB2312" w:asciiTheme="minorEastAsia" w:hAnsiTheme="minorEastAsia"/>
                <w:color w:val="auto"/>
                <w:szCs w:val="21"/>
                <w:highlight w:val="none"/>
              </w:rPr>
            </w:pPr>
          </w:p>
        </w:tc>
        <w:tc>
          <w:tcPr>
            <w:tcW w:w="2665" w:type="dxa"/>
            <w:vAlign w:val="center"/>
          </w:tcPr>
          <w:p w14:paraId="0E85C225">
            <w:pPr>
              <w:rPr>
                <w:rFonts w:hint="eastAsia" w:asciiTheme="minorEastAsia" w:hAnsiTheme="minorEastAsia"/>
                <w:color w:val="auto"/>
                <w:szCs w:val="21"/>
                <w:highlight w:val="none"/>
              </w:rPr>
            </w:pPr>
            <w:r>
              <w:rPr>
                <w:rFonts w:hint="eastAsia" w:asciiTheme="minorEastAsia" w:hAnsiTheme="minorEastAsia"/>
                <w:color w:val="auto"/>
                <w:szCs w:val="21"/>
                <w:highlight w:val="none"/>
              </w:rPr>
              <w:t>6.法律、行政法规规定的其他条件</w:t>
            </w:r>
          </w:p>
        </w:tc>
        <w:tc>
          <w:tcPr>
            <w:tcW w:w="5267" w:type="dxa"/>
            <w:vAlign w:val="center"/>
          </w:tcPr>
          <w:p w14:paraId="3C75BCE4">
            <w:pPr>
              <w:rPr>
                <w:rFonts w:hint="eastAsia" w:asciiTheme="minorEastAsia" w:hAnsiTheme="minorEastAsia"/>
                <w:color w:val="auto"/>
                <w:szCs w:val="21"/>
                <w:highlight w:val="none"/>
              </w:rPr>
            </w:pPr>
          </w:p>
        </w:tc>
      </w:tr>
    </w:tbl>
    <w:p w14:paraId="1AB12898">
      <w:pPr>
        <w:snapToGrid w:val="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注：</w:t>
      </w:r>
    </w:p>
    <w:p w14:paraId="196F0AF0">
      <w:pPr>
        <w:snapToGrid w:val="0"/>
        <w:spacing w:line="400" w:lineRule="exact"/>
        <w:ind w:firstLine="480" w:firstLineChars="200"/>
        <w:jc w:val="both"/>
        <w:rPr>
          <w:rFonts w:hint="eastAsia" w:asciiTheme="minorEastAsia" w:hAnsiTheme="minorEastAsia"/>
          <w:color w:val="auto"/>
          <w:highlight w:val="none"/>
        </w:rPr>
      </w:pPr>
      <w:r>
        <w:rPr>
          <w:rFonts w:asciiTheme="minorEastAsia" w:hAnsiTheme="minorEastAsia"/>
          <w:color w:val="auto"/>
          <w:highlight w:val="none"/>
        </w:rPr>
        <w:fldChar w:fldCharType="begin"/>
      </w:r>
      <w:r>
        <w:rPr>
          <w:rFonts w:asciiTheme="minorEastAsia" w:hAnsiTheme="minorEastAsia"/>
          <w:color w:val="auto"/>
          <w:highlight w:val="none"/>
        </w:rPr>
        <w:instrText xml:space="preserve"> </w:instrText>
      </w:r>
      <w:r>
        <w:rPr>
          <w:rFonts w:hint="eastAsia" w:asciiTheme="minorEastAsia" w:hAnsiTheme="minorEastAsia"/>
          <w:color w:val="auto"/>
          <w:highlight w:val="none"/>
        </w:rPr>
        <w:instrText xml:space="preserve">eq \o\ac(○,</w:instrText>
      </w:r>
      <w:r>
        <w:rPr>
          <w:rFonts w:hint="eastAsia" w:asciiTheme="minorEastAsia" w:hAnsiTheme="minorEastAsia"/>
          <w:color w:val="auto"/>
          <w:position w:val="3"/>
          <w:sz w:val="16"/>
          <w:highlight w:val="none"/>
        </w:rPr>
        <w:instrText xml:space="preserve">1</w:instrText>
      </w:r>
      <w:r>
        <w:rPr>
          <w:rFonts w:hint="eastAsia" w:asciiTheme="minorEastAsia" w:hAnsiTheme="minorEastAsia"/>
          <w:color w:val="auto"/>
          <w:highlight w:val="none"/>
        </w:rPr>
        <w:instrText xml:space="preserve">)</w:instrText>
      </w:r>
      <w:r>
        <w:rPr>
          <w:rFonts w:asciiTheme="minorEastAsia" w:hAnsiTheme="minorEastAsia"/>
          <w:color w:val="auto"/>
          <w:highlight w:val="none"/>
        </w:rPr>
        <w:fldChar w:fldCharType="end"/>
      </w:r>
      <w:r>
        <w:rPr>
          <w:rFonts w:hint="eastAsia" w:asciiTheme="minorEastAsia" w:hAnsiTheme="minorEastAsia"/>
          <w:color w:val="auto"/>
          <w:highlight w:val="none"/>
        </w:rPr>
        <w:t>根据《</w:t>
      </w:r>
      <w:r>
        <w:rPr>
          <w:rFonts w:asciiTheme="minorEastAsia" w:hAnsiTheme="minorEastAsia"/>
          <w:color w:val="auto"/>
          <w:highlight w:val="none"/>
        </w:rPr>
        <w:t>中华人民共和国政府采购法实施条例</w:t>
      </w:r>
      <w:r>
        <w:rPr>
          <w:rFonts w:hint="eastAsia" w:asciiTheme="minorEastAsia" w:hAnsiTheme="minorEastAsia"/>
          <w:color w:val="auto"/>
          <w:highlight w:val="none"/>
        </w:rPr>
        <w:t>》第十九条“参加政府采购活动前三年内，在经营活动中没有重大违法记录”中“重大违法记录”</w:t>
      </w:r>
      <w:r>
        <w:rPr>
          <w:rFonts w:asciiTheme="minorEastAsia" w:hAnsiTheme="minorEastAsia"/>
          <w:color w:val="auto"/>
          <w:highlight w:val="none"/>
        </w:rPr>
        <w:t>，是指供应商因违法经营受到刑事处罚或者责令停产停业、吊销许可证或者执照、较大数额罚款等行政处罚。</w:t>
      </w:r>
      <w:r>
        <w:rPr>
          <w:rFonts w:hint="eastAsia" w:asciiTheme="minorEastAsia" w:hAnsiTheme="minorEastAsia"/>
          <w:color w:val="auto"/>
          <w:highlight w:val="none"/>
        </w:rPr>
        <w:t>行政处罚中“较大数额”的认定标准，按照“</w:t>
      </w:r>
      <w:r>
        <w:rPr>
          <w:rFonts w:asciiTheme="minorEastAsia" w:hAnsiTheme="minorEastAsia"/>
          <w:color w:val="auto"/>
          <w:highlight w:val="none"/>
        </w:rPr>
        <w:t>财政部关于《中华人民共和国政府采购法实施条例》第十九条第一款“较大数额罚款”具体适用问题的意见</w:t>
      </w:r>
      <w:r>
        <w:rPr>
          <w:rFonts w:hint="eastAsia" w:asciiTheme="minorEastAsia" w:hAnsiTheme="minorEastAsia"/>
          <w:color w:val="auto"/>
          <w:highlight w:val="none"/>
        </w:rPr>
        <w:t>（财库〔2022〕3 号）”执行。供应商可于响应文件递交截止时间前通过 “信用中国”网站(</w:t>
      </w:r>
      <w:r>
        <w:rPr>
          <w:color w:val="auto"/>
          <w:highlight w:val="none"/>
        </w:rPr>
        <w:fldChar w:fldCharType="begin"/>
      </w:r>
      <w:r>
        <w:rPr>
          <w:color w:val="auto"/>
          <w:highlight w:val="none"/>
        </w:rPr>
        <w:instrText xml:space="preserve"> HYPERLINK "http://www.creditchina" </w:instrText>
      </w:r>
      <w:r>
        <w:rPr>
          <w:color w:val="auto"/>
          <w:highlight w:val="none"/>
        </w:rPr>
        <w:fldChar w:fldCharType="separate"/>
      </w:r>
      <w:r>
        <w:rPr>
          <w:rFonts w:hint="eastAsia"/>
          <w:color w:val="auto"/>
          <w:highlight w:val="none"/>
        </w:rPr>
        <w:t>www.creditchina</w:t>
      </w:r>
      <w:r>
        <w:rPr>
          <w:rFonts w:hint="eastAsia"/>
          <w:color w:val="auto"/>
          <w:highlight w:val="none"/>
        </w:rPr>
        <w:fldChar w:fldCharType="end"/>
      </w:r>
      <w:r>
        <w:rPr>
          <w:rFonts w:hint="eastAsia" w:asciiTheme="minorEastAsia" w:hAnsiTheme="minorEastAsia"/>
          <w:color w:val="auto"/>
          <w:highlight w:val="none"/>
        </w:rPr>
        <w:t>.gov.cn)、</w:t>
      </w:r>
      <w:r>
        <w:rPr>
          <w:rFonts w:asciiTheme="minorEastAsia" w:hAnsiTheme="minorEastAsia"/>
          <w:color w:val="auto"/>
          <w:highlight w:val="none"/>
        </w:rPr>
        <w:t>”</w:t>
      </w:r>
      <w:r>
        <w:rPr>
          <w:rFonts w:hint="eastAsia" w:asciiTheme="minorEastAsia" w:hAnsiTheme="minorEastAsia"/>
          <w:color w:val="auto"/>
          <w:highlight w:val="none"/>
        </w:rPr>
        <w:t>中国政府采购网</w:t>
      </w:r>
      <w:r>
        <w:rPr>
          <w:rFonts w:asciiTheme="minorEastAsia" w:hAnsiTheme="minorEastAsia"/>
          <w:color w:val="auto"/>
          <w:highlight w:val="none"/>
        </w:rPr>
        <w:t>”</w:t>
      </w:r>
      <w:r>
        <w:rPr>
          <w:rFonts w:hint="eastAsia" w:asciiTheme="minorEastAsia" w:hAnsiTheme="minorEastAsia"/>
          <w:color w:val="auto"/>
          <w:highlight w:val="none"/>
        </w:rPr>
        <w:t>(</w:t>
      </w:r>
      <w:r>
        <w:rPr>
          <w:color w:val="auto"/>
          <w:highlight w:val="none"/>
        </w:rPr>
        <w:fldChar w:fldCharType="begin"/>
      </w:r>
      <w:r>
        <w:rPr>
          <w:color w:val="auto"/>
          <w:highlight w:val="none"/>
        </w:rPr>
        <w:instrText xml:space="preserve"> HYPERLINK "http://www.ccgp" </w:instrText>
      </w:r>
      <w:r>
        <w:rPr>
          <w:color w:val="auto"/>
          <w:highlight w:val="none"/>
        </w:rPr>
        <w:fldChar w:fldCharType="separate"/>
      </w:r>
      <w:r>
        <w:rPr>
          <w:rFonts w:hint="eastAsia"/>
          <w:color w:val="auto"/>
          <w:highlight w:val="none"/>
        </w:rPr>
        <w:t>www.ccgp</w:t>
      </w:r>
      <w:r>
        <w:rPr>
          <w:rFonts w:hint="eastAsia"/>
          <w:color w:val="auto"/>
          <w:highlight w:val="none"/>
        </w:rPr>
        <w:fldChar w:fldCharType="end"/>
      </w:r>
      <w:r>
        <w:rPr>
          <w:rFonts w:hint="eastAsia" w:asciiTheme="minorEastAsia" w:hAnsiTheme="minorEastAsia"/>
          <w:color w:val="auto"/>
          <w:highlight w:val="none"/>
        </w:rPr>
        <w:t>.gov.cn)等渠道查询信用记录。</w:t>
      </w:r>
    </w:p>
    <w:p w14:paraId="54036A1C">
      <w:pPr>
        <w:snapToGrid w:val="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2.实质性响应审查。询价小组应当对响应文件进行评审，并根据询价通知书规定的采购程序、评定成交的标准等事项与实质性响应询价通知书要求的供应商进行评审。未实质性响应询价通知书的响应文件按无效处理，询价小组应当告知有关供应商。实质性响应审查内容如下：</w:t>
      </w:r>
    </w:p>
    <w:tbl>
      <w:tblPr>
        <w:tblStyle w:val="21"/>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694"/>
        <w:gridCol w:w="6259"/>
      </w:tblGrid>
      <w:tr w14:paraId="1208E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75" w:type="dxa"/>
            <w:vAlign w:val="center"/>
          </w:tcPr>
          <w:p w14:paraId="220A949B">
            <w:pPr>
              <w:jc w:val="center"/>
              <w:rPr>
                <w:rFonts w:hint="eastAsia" w:asciiTheme="minorEastAsia" w:hAnsiTheme="minorEastAsia"/>
                <w:b/>
                <w:color w:val="auto"/>
                <w:szCs w:val="21"/>
                <w:highlight w:val="none"/>
              </w:rPr>
            </w:pPr>
            <w:r>
              <w:rPr>
                <w:rFonts w:hint="eastAsia" w:asciiTheme="minorEastAsia" w:hAnsiTheme="minorEastAsia"/>
                <w:b/>
                <w:color w:val="auto"/>
                <w:szCs w:val="21"/>
                <w:highlight w:val="none"/>
              </w:rPr>
              <w:t>序号</w:t>
            </w:r>
          </w:p>
        </w:tc>
        <w:tc>
          <w:tcPr>
            <w:tcW w:w="2694" w:type="dxa"/>
            <w:vAlign w:val="center"/>
          </w:tcPr>
          <w:p w14:paraId="0AF3CF62">
            <w:pPr>
              <w:jc w:val="center"/>
              <w:rPr>
                <w:rFonts w:hint="eastAsia" w:asciiTheme="minorEastAsia" w:hAnsiTheme="minorEastAsia"/>
                <w:b/>
                <w:color w:val="auto"/>
                <w:szCs w:val="21"/>
                <w:highlight w:val="none"/>
              </w:rPr>
            </w:pPr>
            <w:r>
              <w:rPr>
                <w:rFonts w:hint="eastAsia" w:asciiTheme="minorEastAsia" w:hAnsiTheme="minorEastAsia"/>
                <w:b/>
                <w:color w:val="auto"/>
                <w:szCs w:val="21"/>
                <w:highlight w:val="none"/>
              </w:rPr>
              <w:t>审查因素</w:t>
            </w:r>
          </w:p>
        </w:tc>
        <w:tc>
          <w:tcPr>
            <w:tcW w:w="6259" w:type="dxa"/>
            <w:vAlign w:val="center"/>
          </w:tcPr>
          <w:p w14:paraId="4667AA9C">
            <w:pPr>
              <w:jc w:val="center"/>
              <w:rPr>
                <w:rFonts w:hint="eastAsia" w:asciiTheme="minorEastAsia" w:hAnsiTheme="minorEastAsia"/>
                <w:b/>
                <w:color w:val="auto"/>
                <w:szCs w:val="21"/>
                <w:highlight w:val="none"/>
              </w:rPr>
            </w:pPr>
            <w:r>
              <w:rPr>
                <w:rFonts w:hint="eastAsia" w:asciiTheme="minorEastAsia" w:hAnsiTheme="minorEastAsia"/>
                <w:b/>
                <w:color w:val="auto"/>
                <w:szCs w:val="21"/>
                <w:highlight w:val="none"/>
              </w:rPr>
              <w:t>审查标准</w:t>
            </w:r>
          </w:p>
        </w:tc>
      </w:tr>
      <w:tr w14:paraId="3089F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75" w:type="dxa"/>
            <w:vMerge w:val="restart"/>
            <w:vAlign w:val="center"/>
          </w:tcPr>
          <w:p w14:paraId="7B3F7C9E">
            <w:pPr>
              <w:jc w:val="center"/>
              <w:rPr>
                <w:rFonts w:hint="eastAsia" w:asciiTheme="minorEastAsia" w:hAnsiTheme="minorEastAsia"/>
                <w:color w:val="auto"/>
                <w:szCs w:val="21"/>
                <w:highlight w:val="none"/>
              </w:rPr>
            </w:pPr>
            <w:r>
              <w:rPr>
                <w:rFonts w:hint="eastAsia" w:asciiTheme="minorEastAsia" w:hAnsiTheme="minorEastAsia"/>
                <w:color w:val="auto"/>
                <w:szCs w:val="21"/>
                <w:highlight w:val="none"/>
              </w:rPr>
              <w:t>1</w:t>
            </w:r>
          </w:p>
        </w:tc>
        <w:tc>
          <w:tcPr>
            <w:tcW w:w="2694" w:type="dxa"/>
            <w:vAlign w:val="center"/>
          </w:tcPr>
          <w:p w14:paraId="4D9CA18C">
            <w:pPr>
              <w:rPr>
                <w:rFonts w:hint="eastAsia" w:asciiTheme="minorEastAsia" w:hAnsiTheme="minorEastAsia"/>
                <w:color w:val="auto"/>
                <w:szCs w:val="21"/>
                <w:highlight w:val="none"/>
              </w:rPr>
            </w:pPr>
            <w:r>
              <w:rPr>
                <w:rFonts w:hint="eastAsia" w:asciiTheme="minorEastAsia" w:hAnsiTheme="minorEastAsia"/>
                <w:color w:val="auto"/>
                <w:szCs w:val="21"/>
                <w:highlight w:val="none"/>
              </w:rPr>
              <w:t>响应文件签署或盖章</w:t>
            </w:r>
          </w:p>
        </w:tc>
        <w:tc>
          <w:tcPr>
            <w:tcW w:w="6259" w:type="dxa"/>
            <w:vAlign w:val="center"/>
          </w:tcPr>
          <w:p w14:paraId="0CEE6449">
            <w:pPr>
              <w:rPr>
                <w:rFonts w:hint="eastAsia" w:asciiTheme="minorEastAsia" w:hAnsiTheme="minorEastAsia"/>
                <w:color w:val="auto"/>
                <w:szCs w:val="21"/>
                <w:highlight w:val="none"/>
              </w:rPr>
            </w:pPr>
            <w:r>
              <w:rPr>
                <w:rFonts w:hint="eastAsia" w:asciiTheme="minorEastAsia" w:hAnsiTheme="minorEastAsia"/>
                <w:color w:val="auto"/>
                <w:szCs w:val="21"/>
                <w:highlight w:val="none"/>
              </w:rPr>
              <w:t>按“第七篇响应文件格式要求”要求签署或盖章</w:t>
            </w:r>
          </w:p>
        </w:tc>
      </w:tr>
      <w:tr w14:paraId="77B7D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675" w:type="dxa"/>
            <w:vMerge w:val="continue"/>
            <w:vAlign w:val="center"/>
          </w:tcPr>
          <w:p w14:paraId="37076E4D">
            <w:pPr>
              <w:jc w:val="center"/>
              <w:rPr>
                <w:rFonts w:hint="eastAsia" w:asciiTheme="minorEastAsia" w:hAnsiTheme="minorEastAsia"/>
                <w:color w:val="auto"/>
                <w:szCs w:val="21"/>
                <w:highlight w:val="none"/>
              </w:rPr>
            </w:pPr>
          </w:p>
        </w:tc>
        <w:tc>
          <w:tcPr>
            <w:tcW w:w="2694" w:type="dxa"/>
            <w:vAlign w:val="center"/>
          </w:tcPr>
          <w:p w14:paraId="331F5E62">
            <w:pPr>
              <w:rPr>
                <w:rFonts w:hint="eastAsia" w:asciiTheme="minorEastAsia" w:hAnsiTheme="minorEastAsia"/>
                <w:color w:val="auto"/>
                <w:szCs w:val="21"/>
                <w:highlight w:val="none"/>
              </w:rPr>
            </w:pPr>
            <w:r>
              <w:rPr>
                <w:rFonts w:hint="eastAsia" w:asciiTheme="minorEastAsia" w:hAnsiTheme="minorEastAsia"/>
                <w:color w:val="auto"/>
                <w:szCs w:val="21"/>
                <w:highlight w:val="none"/>
              </w:rPr>
              <w:t>法定代表人身份证明及授权委托书</w:t>
            </w:r>
          </w:p>
        </w:tc>
        <w:tc>
          <w:tcPr>
            <w:tcW w:w="6259" w:type="dxa"/>
            <w:vAlign w:val="center"/>
          </w:tcPr>
          <w:p w14:paraId="5574AA58">
            <w:pPr>
              <w:rPr>
                <w:rFonts w:hint="eastAsia" w:asciiTheme="minorEastAsia" w:hAnsiTheme="minorEastAsia"/>
                <w:color w:val="auto"/>
                <w:szCs w:val="21"/>
                <w:highlight w:val="none"/>
              </w:rPr>
            </w:pPr>
            <w:r>
              <w:rPr>
                <w:rFonts w:hint="eastAsia" w:asciiTheme="minorEastAsia" w:hAnsiTheme="minorEastAsia"/>
                <w:color w:val="auto"/>
                <w:szCs w:val="21"/>
                <w:highlight w:val="none"/>
              </w:rPr>
              <w:t>法定代表人身份证明及授权委托书有效，符合询价通知书规定的格式，签署或盖章齐全。</w:t>
            </w:r>
          </w:p>
        </w:tc>
      </w:tr>
      <w:tr w14:paraId="4E240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75" w:type="dxa"/>
            <w:vMerge w:val="continue"/>
            <w:vAlign w:val="center"/>
          </w:tcPr>
          <w:p w14:paraId="63939908">
            <w:pPr>
              <w:jc w:val="center"/>
              <w:rPr>
                <w:rFonts w:hint="eastAsia" w:asciiTheme="minorEastAsia" w:hAnsiTheme="minorEastAsia"/>
                <w:color w:val="auto"/>
                <w:szCs w:val="21"/>
                <w:highlight w:val="none"/>
              </w:rPr>
            </w:pPr>
          </w:p>
        </w:tc>
        <w:tc>
          <w:tcPr>
            <w:tcW w:w="2694" w:type="dxa"/>
            <w:vAlign w:val="center"/>
          </w:tcPr>
          <w:p w14:paraId="3062A318">
            <w:pPr>
              <w:rPr>
                <w:rFonts w:hint="eastAsia" w:cs="仿宋_GB2312" w:asciiTheme="minorEastAsia" w:hAnsiTheme="minorEastAsia"/>
                <w:color w:val="auto"/>
                <w:szCs w:val="21"/>
                <w:highlight w:val="none"/>
                <w:lang w:val="zh-CN"/>
              </w:rPr>
            </w:pPr>
            <w:r>
              <w:rPr>
                <w:rFonts w:hint="eastAsia" w:cs="仿宋_GB2312" w:asciiTheme="minorEastAsia" w:hAnsiTheme="minorEastAsia"/>
                <w:color w:val="auto"/>
                <w:szCs w:val="21"/>
                <w:highlight w:val="none"/>
              </w:rPr>
              <w:t>响应</w:t>
            </w:r>
            <w:r>
              <w:rPr>
                <w:rFonts w:hint="eastAsia" w:cs="仿宋_GB2312" w:asciiTheme="minorEastAsia" w:hAnsiTheme="minorEastAsia"/>
                <w:color w:val="auto"/>
                <w:szCs w:val="21"/>
                <w:highlight w:val="none"/>
                <w:lang w:val="zh-CN"/>
              </w:rPr>
              <w:t>方案</w:t>
            </w:r>
          </w:p>
        </w:tc>
        <w:tc>
          <w:tcPr>
            <w:tcW w:w="6259" w:type="dxa"/>
            <w:vAlign w:val="center"/>
          </w:tcPr>
          <w:p w14:paraId="5317ABBB">
            <w:pPr>
              <w:rPr>
                <w:rFonts w:hint="eastAsia" w:asciiTheme="minorEastAsia" w:hAnsiTheme="minorEastAsia"/>
                <w:color w:val="auto"/>
                <w:szCs w:val="21"/>
                <w:highlight w:val="none"/>
              </w:rPr>
            </w:pPr>
            <w:r>
              <w:rPr>
                <w:rFonts w:hint="eastAsia" w:cs="仿宋_GB2312" w:asciiTheme="minorEastAsia" w:hAnsiTheme="minorEastAsia"/>
                <w:color w:val="auto"/>
                <w:szCs w:val="21"/>
                <w:highlight w:val="none"/>
                <w:lang w:val="zh-CN"/>
              </w:rPr>
              <w:t>只能有一个</w:t>
            </w:r>
            <w:r>
              <w:rPr>
                <w:rFonts w:hint="eastAsia" w:cs="仿宋_GB2312" w:asciiTheme="minorEastAsia" w:hAnsiTheme="minorEastAsia"/>
                <w:color w:val="auto"/>
                <w:szCs w:val="21"/>
                <w:highlight w:val="none"/>
              </w:rPr>
              <w:t>响应</w:t>
            </w:r>
            <w:r>
              <w:rPr>
                <w:rFonts w:hint="eastAsia" w:cs="仿宋_GB2312" w:asciiTheme="minorEastAsia" w:hAnsiTheme="minorEastAsia"/>
                <w:color w:val="auto"/>
                <w:szCs w:val="21"/>
                <w:highlight w:val="none"/>
                <w:lang w:val="zh-CN"/>
              </w:rPr>
              <w:t>方案。</w:t>
            </w:r>
          </w:p>
        </w:tc>
      </w:tr>
      <w:tr w14:paraId="6C908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Merge w:val="continue"/>
            <w:vAlign w:val="center"/>
          </w:tcPr>
          <w:p w14:paraId="56423FFB">
            <w:pPr>
              <w:jc w:val="center"/>
              <w:rPr>
                <w:rFonts w:hint="eastAsia" w:asciiTheme="minorEastAsia" w:hAnsiTheme="minorEastAsia"/>
                <w:color w:val="auto"/>
                <w:szCs w:val="21"/>
                <w:highlight w:val="none"/>
              </w:rPr>
            </w:pPr>
          </w:p>
        </w:tc>
        <w:tc>
          <w:tcPr>
            <w:tcW w:w="2694" w:type="dxa"/>
            <w:vAlign w:val="center"/>
          </w:tcPr>
          <w:p w14:paraId="469D5946">
            <w:pPr>
              <w:rPr>
                <w:rFonts w:hint="eastAsia" w:cs="仿宋_GB2312" w:asciiTheme="minorEastAsia" w:hAnsiTheme="minorEastAsia"/>
                <w:color w:val="auto"/>
                <w:szCs w:val="21"/>
                <w:highlight w:val="none"/>
                <w:lang w:val="zh-CN"/>
              </w:rPr>
            </w:pPr>
            <w:r>
              <w:rPr>
                <w:rFonts w:hint="eastAsia" w:asciiTheme="minorEastAsia" w:hAnsiTheme="minorEastAsia"/>
                <w:color w:val="auto"/>
                <w:szCs w:val="21"/>
                <w:highlight w:val="none"/>
              </w:rPr>
              <w:t>报价唯一</w:t>
            </w:r>
          </w:p>
        </w:tc>
        <w:tc>
          <w:tcPr>
            <w:tcW w:w="6259" w:type="dxa"/>
            <w:vAlign w:val="center"/>
          </w:tcPr>
          <w:p w14:paraId="1D76AB26">
            <w:pPr>
              <w:rPr>
                <w:rFonts w:hint="eastAsia" w:asciiTheme="minorEastAsia" w:hAnsiTheme="minorEastAsia"/>
                <w:color w:val="auto"/>
                <w:szCs w:val="21"/>
                <w:highlight w:val="none"/>
              </w:rPr>
            </w:pPr>
            <w:r>
              <w:rPr>
                <w:rFonts w:hint="eastAsia" w:asciiTheme="minorEastAsia" w:hAnsiTheme="minorEastAsia"/>
                <w:color w:val="auto"/>
                <w:szCs w:val="21"/>
                <w:highlight w:val="none"/>
              </w:rPr>
              <w:t>只能有一个有效报价，不得提交选择性报价。</w:t>
            </w:r>
          </w:p>
        </w:tc>
      </w:tr>
      <w:tr w14:paraId="0533E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675" w:type="dxa"/>
            <w:vAlign w:val="center"/>
          </w:tcPr>
          <w:p w14:paraId="7F8B8BB0">
            <w:pPr>
              <w:jc w:val="center"/>
              <w:rPr>
                <w:rFonts w:hint="eastAsia" w:asciiTheme="minorEastAsia" w:hAnsiTheme="minorEastAsia"/>
                <w:color w:val="auto"/>
                <w:szCs w:val="21"/>
                <w:highlight w:val="none"/>
              </w:rPr>
            </w:pPr>
            <w:r>
              <w:rPr>
                <w:rFonts w:hint="eastAsia" w:asciiTheme="minorEastAsia" w:hAnsiTheme="minorEastAsia"/>
                <w:color w:val="auto"/>
                <w:szCs w:val="21"/>
                <w:highlight w:val="none"/>
              </w:rPr>
              <w:t>2</w:t>
            </w:r>
          </w:p>
        </w:tc>
        <w:tc>
          <w:tcPr>
            <w:tcW w:w="2694" w:type="dxa"/>
            <w:vAlign w:val="center"/>
          </w:tcPr>
          <w:p w14:paraId="277ACE0F">
            <w:pPr>
              <w:rPr>
                <w:rFonts w:hint="eastAsia" w:asciiTheme="minorEastAsia" w:hAnsiTheme="minorEastAsia"/>
                <w:color w:val="auto"/>
                <w:szCs w:val="21"/>
                <w:highlight w:val="none"/>
              </w:rPr>
            </w:pPr>
            <w:r>
              <w:rPr>
                <w:rFonts w:hint="eastAsia" w:cs="仿宋_GB2312" w:asciiTheme="minorEastAsia" w:hAnsiTheme="minorEastAsia"/>
                <w:color w:val="auto"/>
                <w:szCs w:val="21"/>
                <w:highlight w:val="none"/>
              </w:rPr>
              <w:t>响应文件</w:t>
            </w:r>
            <w:r>
              <w:rPr>
                <w:rFonts w:hint="eastAsia" w:cs="仿宋_GB2312" w:asciiTheme="minorEastAsia" w:hAnsiTheme="minorEastAsia"/>
                <w:color w:val="auto"/>
                <w:szCs w:val="21"/>
                <w:highlight w:val="none"/>
                <w:lang w:val="zh-CN"/>
              </w:rPr>
              <w:t>份数</w:t>
            </w:r>
          </w:p>
        </w:tc>
        <w:tc>
          <w:tcPr>
            <w:tcW w:w="6259" w:type="dxa"/>
            <w:vAlign w:val="center"/>
          </w:tcPr>
          <w:p w14:paraId="2D3FD750">
            <w:pPr>
              <w:rPr>
                <w:rFonts w:hint="eastAsia" w:asciiTheme="minorEastAsia" w:hAnsiTheme="minorEastAsia"/>
                <w:color w:val="auto"/>
                <w:szCs w:val="21"/>
                <w:highlight w:val="none"/>
              </w:rPr>
            </w:pPr>
            <w:r>
              <w:rPr>
                <w:rFonts w:hint="eastAsia" w:cs="仿宋_GB2312" w:asciiTheme="minorEastAsia" w:hAnsiTheme="minorEastAsia"/>
                <w:color w:val="auto"/>
                <w:szCs w:val="21"/>
                <w:highlight w:val="none"/>
              </w:rPr>
              <w:t>响应文件</w:t>
            </w:r>
            <w:r>
              <w:rPr>
                <w:rFonts w:hint="eastAsia" w:cs="仿宋_GB2312" w:asciiTheme="minorEastAsia" w:hAnsiTheme="minorEastAsia"/>
                <w:color w:val="auto"/>
                <w:szCs w:val="21"/>
                <w:highlight w:val="none"/>
                <w:lang w:val="zh-CN"/>
              </w:rPr>
              <w:t>正、副本数量符合</w:t>
            </w:r>
            <w:r>
              <w:rPr>
                <w:rFonts w:hint="eastAsia" w:cs="仿宋_GB2312" w:asciiTheme="minorEastAsia" w:hAnsiTheme="minorEastAsia"/>
                <w:color w:val="auto"/>
                <w:szCs w:val="21"/>
                <w:highlight w:val="none"/>
              </w:rPr>
              <w:t>询价通知书</w:t>
            </w:r>
            <w:r>
              <w:rPr>
                <w:rFonts w:hint="eastAsia" w:cs="仿宋_GB2312" w:asciiTheme="minorEastAsia" w:hAnsiTheme="minorEastAsia"/>
                <w:color w:val="auto"/>
                <w:szCs w:val="21"/>
                <w:highlight w:val="none"/>
                <w:lang w:val="zh-CN"/>
              </w:rPr>
              <w:t>要求。</w:t>
            </w:r>
          </w:p>
        </w:tc>
      </w:tr>
      <w:tr w14:paraId="23BF3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75" w:type="dxa"/>
            <w:vMerge w:val="restart"/>
            <w:vAlign w:val="center"/>
          </w:tcPr>
          <w:p w14:paraId="32E2B2F7">
            <w:pPr>
              <w:jc w:val="center"/>
              <w:rPr>
                <w:rFonts w:hint="eastAsia" w:asciiTheme="minorEastAsia" w:hAnsiTheme="minorEastAsia"/>
                <w:color w:val="auto"/>
                <w:szCs w:val="21"/>
                <w:highlight w:val="none"/>
              </w:rPr>
            </w:pPr>
            <w:r>
              <w:rPr>
                <w:rFonts w:hint="eastAsia" w:asciiTheme="minorEastAsia" w:hAnsiTheme="minorEastAsia"/>
                <w:color w:val="auto"/>
                <w:szCs w:val="21"/>
                <w:highlight w:val="none"/>
              </w:rPr>
              <w:t>3</w:t>
            </w:r>
          </w:p>
        </w:tc>
        <w:tc>
          <w:tcPr>
            <w:tcW w:w="2694" w:type="dxa"/>
            <w:vAlign w:val="center"/>
          </w:tcPr>
          <w:p w14:paraId="3DF87729">
            <w:pPr>
              <w:rPr>
                <w:rFonts w:hint="eastAsia" w:asciiTheme="minorEastAsia" w:hAnsiTheme="minorEastAsia"/>
                <w:color w:val="auto"/>
                <w:szCs w:val="21"/>
                <w:highlight w:val="none"/>
              </w:rPr>
            </w:pPr>
            <w:r>
              <w:rPr>
                <w:rFonts w:hint="eastAsia" w:asciiTheme="minorEastAsia" w:hAnsiTheme="minorEastAsia"/>
                <w:color w:val="auto"/>
                <w:szCs w:val="21"/>
                <w:highlight w:val="none"/>
              </w:rPr>
              <w:t>响应文件内容</w:t>
            </w:r>
          </w:p>
        </w:tc>
        <w:tc>
          <w:tcPr>
            <w:tcW w:w="6259" w:type="dxa"/>
            <w:vAlign w:val="center"/>
          </w:tcPr>
          <w:p w14:paraId="00003A0A">
            <w:pPr>
              <w:pStyle w:val="11"/>
              <w:rPr>
                <w:rFonts w:hint="eastAsia" w:asciiTheme="minorEastAsia" w:hAnsiTheme="minorEastAsia"/>
                <w:color w:val="auto"/>
                <w:szCs w:val="21"/>
                <w:highlight w:val="none"/>
              </w:rPr>
            </w:pPr>
            <w:r>
              <w:rPr>
                <w:rFonts w:hint="eastAsia" w:asciiTheme="minorEastAsia" w:hAnsiTheme="minorEastAsia"/>
                <w:color w:val="auto"/>
                <w:szCs w:val="21"/>
                <w:highlight w:val="none"/>
              </w:rPr>
              <w:t>对询价通知书第二篇、第三篇规定的询价内容进行实质性响应。</w:t>
            </w:r>
          </w:p>
        </w:tc>
      </w:tr>
      <w:tr w14:paraId="65F49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75" w:type="dxa"/>
            <w:vMerge w:val="continue"/>
            <w:vAlign w:val="center"/>
          </w:tcPr>
          <w:p w14:paraId="78FF550B">
            <w:pPr>
              <w:jc w:val="center"/>
              <w:rPr>
                <w:rFonts w:hint="eastAsia" w:asciiTheme="minorEastAsia" w:hAnsiTheme="minorEastAsia"/>
                <w:color w:val="auto"/>
                <w:szCs w:val="21"/>
                <w:highlight w:val="none"/>
              </w:rPr>
            </w:pPr>
          </w:p>
        </w:tc>
        <w:tc>
          <w:tcPr>
            <w:tcW w:w="2694" w:type="dxa"/>
            <w:vAlign w:val="center"/>
          </w:tcPr>
          <w:p w14:paraId="766E8ADE">
            <w:pPr>
              <w:rPr>
                <w:rFonts w:hint="eastAsia" w:asciiTheme="minorEastAsia" w:hAnsiTheme="minorEastAsia"/>
                <w:color w:val="auto"/>
                <w:szCs w:val="21"/>
                <w:highlight w:val="none"/>
              </w:rPr>
            </w:pPr>
            <w:r>
              <w:rPr>
                <w:rFonts w:hint="eastAsia" w:asciiTheme="minorEastAsia" w:hAnsiTheme="minorEastAsia"/>
                <w:color w:val="auto"/>
                <w:szCs w:val="21"/>
                <w:highlight w:val="none"/>
              </w:rPr>
              <w:t>询价有效期</w:t>
            </w:r>
          </w:p>
        </w:tc>
        <w:tc>
          <w:tcPr>
            <w:tcW w:w="6259" w:type="dxa"/>
            <w:vAlign w:val="center"/>
          </w:tcPr>
          <w:p w14:paraId="09D25ADE">
            <w:pPr>
              <w:rPr>
                <w:rFonts w:hint="eastAsia" w:asciiTheme="minorEastAsia" w:hAnsiTheme="minorEastAsia"/>
                <w:color w:val="auto"/>
                <w:szCs w:val="21"/>
                <w:highlight w:val="none"/>
              </w:rPr>
            </w:pPr>
            <w:r>
              <w:rPr>
                <w:rFonts w:hint="eastAsia" w:asciiTheme="minorEastAsia" w:hAnsiTheme="minorEastAsia"/>
                <w:color w:val="auto"/>
                <w:szCs w:val="21"/>
                <w:highlight w:val="none"/>
              </w:rPr>
              <w:t>响应文件及有关承诺文件有效期为提交响应文件截止时间起90天。</w:t>
            </w:r>
          </w:p>
        </w:tc>
      </w:tr>
    </w:tbl>
    <w:p w14:paraId="749CF166">
      <w:pPr>
        <w:pStyle w:val="12"/>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三）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43E5D74E">
      <w:pPr>
        <w:pStyle w:val="12"/>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询价小组要求供应商澄清、说明或者更正响应文件应当以书面形式作出。供应商的澄清、说明或者更正应当由法定代表人（或其授权代表）签署或者加盖公章。由授权代表签署的，应当附法定代表人授权书。</w:t>
      </w:r>
    </w:p>
    <w:p w14:paraId="6381B1E9">
      <w:pPr>
        <w:spacing w:line="400" w:lineRule="exact"/>
        <w:ind w:firstLine="360" w:firstLineChars="150"/>
        <w:rPr>
          <w:rFonts w:hint="eastAsia" w:asciiTheme="minorEastAsia" w:hAnsiTheme="minorEastAsia"/>
          <w:color w:val="auto"/>
          <w:highlight w:val="none"/>
        </w:rPr>
      </w:pPr>
      <w:r>
        <w:rPr>
          <w:rFonts w:hint="eastAsia" w:asciiTheme="minorEastAsia" w:hAnsiTheme="minorEastAsia"/>
          <w:color w:val="auto"/>
          <w:highlight w:val="none"/>
        </w:rPr>
        <w:t>（四）评审的依据为询价通知书和响应文件（含有效的补充文件）。询价小组判断响应文件对询价通知书的响应，仅基于响应文件本身而不靠外部证据。</w:t>
      </w:r>
    </w:p>
    <w:p w14:paraId="01932B0A">
      <w:pPr>
        <w:pStyle w:val="3"/>
        <w:spacing w:line="400" w:lineRule="exact"/>
        <w:ind w:firstLine="480" w:firstLineChars="200"/>
        <w:rPr>
          <w:rFonts w:hint="eastAsia" w:asciiTheme="minorEastAsia" w:hAnsiTheme="minorEastAsia"/>
          <w:color w:val="auto"/>
          <w:highlight w:val="none"/>
        </w:rPr>
      </w:pPr>
      <w:bookmarkStart w:id="176" w:name="_Toc5395"/>
      <w:bookmarkStart w:id="177" w:name="_Toc11713"/>
      <w:bookmarkStart w:id="178" w:name="_Toc65660351"/>
      <w:bookmarkStart w:id="179" w:name="_Toc64732013"/>
      <w:bookmarkStart w:id="180" w:name="_Toc30639"/>
      <w:bookmarkStart w:id="181" w:name="_Toc5149"/>
      <w:r>
        <w:rPr>
          <w:rFonts w:hint="eastAsia" w:asciiTheme="minorEastAsia" w:hAnsiTheme="minorEastAsia"/>
          <w:color w:val="auto"/>
          <w:highlight w:val="none"/>
        </w:rPr>
        <w:t>二、评定成交的标准</w:t>
      </w:r>
      <w:bookmarkEnd w:id="176"/>
      <w:bookmarkEnd w:id="177"/>
      <w:bookmarkEnd w:id="178"/>
      <w:bookmarkEnd w:id="179"/>
      <w:bookmarkEnd w:id="180"/>
      <w:bookmarkEnd w:id="181"/>
    </w:p>
    <w:p w14:paraId="05E6C79F">
      <w:pPr>
        <w:pStyle w:val="12"/>
        <w:spacing w:line="400" w:lineRule="exact"/>
        <w:ind w:firstLine="480" w:firstLineChars="200"/>
        <w:rPr>
          <w:rFonts w:hint="eastAsia" w:asciiTheme="minorEastAsia" w:hAnsiTheme="minorEastAsia"/>
          <w:color w:val="auto"/>
          <w:highlight w:val="none"/>
        </w:rPr>
      </w:pPr>
      <w:bookmarkStart w:id="182" w:name="_Toc65660352"/>
      <w:bookmarkStart w:id="183" w:name="_Toc29113"/>
      <w:bookmarkStart w:id="184" w:name="_Toc12644"/>
      <w:bookmarkStart w:id="185" w:name="_Toc19473"/>
      <w:r>
        <w:rPr>
          <w:rFonts w:hint="eastAsia" w:asciiTheme="minorEastAsia" w:hAnsiTheme="minorEastAsia"/>
          <w:color w:val="auto"/>
          <w:highlight w:val="none"/>
        </w:rPr>
        <w:t>（一）询价小组将依照本询价通知书相关规定对技术（质量）和商务均能满足实质性响应要求的供应商所提交的报价，按照由低到高的顺序提出3名以上成交候选人，并编写评审报告。</w:t>
      </w:r>
    </w:p>
    <w:p w14:paraId="0184DFF4">
      <w:pPr>
        <w:pStyle w:val="12"/>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（二）若供应商的报价价格相同，由询价小组举手表决，按照少数服从多数原则确定排序。</w:t>
      </w:r>
    </w:p>
    <w:p w14:paraId="619053A9">
      <w:pPr>
        <w:snapToGrid w:val="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（三）成交价格=成交供应商的报价。</w:t>
      </w:r>
    </w:p>
    <w:p w14:paraId="78E667EA">
      <w:pPr>
        <w:pStyle w:val="3"/>
        <w:spacing w:line="400" w:lineRule="exact"/>
        <w:ind w:firstLine="480" w:firstLineChars="200"/>
        <w:rPr>
          <w:rFonts w:hint="eastAsia" w:asciiTheme="minorEastAsia" w:hAnsiTheme="minorEastAsia"/>
          <w:color w:val="auto"/>
          <w:highlight w:val="none"/>
        </w:rPr>
      </w:pPr>
      <w:bookmarkStart w:id="186" w:name="_Toc26405"/>
      <w:r>
        <w:rPr>
          <w:rFonts w:hint="eastAsia" w:asciiTheme="minorEastAsia" w:hAnsiTheme="minorEastAsia"/>
          <w:color w:val="auto"/>
          <w:highlight w:val="none"/>
        </w:rPr>
        <w:t>三、无效</w:t>
      </w:r>
      <w:bookmarkEnd w:id="182"/>
      <w:bookmarkEnd w:id="183"/>
      <w:bookmarkEnd w:id="184"/>
      <w:r>
        <w:rPr>
          <w:rFonts w:hint="eastAsia" w:asciiTheme="minorEastAsia" w:hAnsiTheme="minorEastAsia"/>
          <w:color w:val="auto"/>
          <w:highlight w:val="none"/>
        </w:rPr>
        <w:t>报价</w:t>
      </w:r>
      <w:bookmarkEnd w:id="185"/>
      <w:bookmarkEnd w:id="186"/>
    </w:p>
    <w:p w14:paraId="3A2D76F7">
      <w:pPr>
        <w:snapToGrid w:val="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供应商发生以下条款情况之一者，视为无效报价：</w:t>
      </w:r>
    </w:p>
    <w:p w14:paraId="7D39BE6A">
      <w:pPr>
        <w:pStyle w:val="12"/>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（一）供应商不符合规定的资格条件的；</w:t>
      </w:r>
    </w:p>
    <w:p w14:paraId="2B4ADCCC">
      <w:pPr>
        <w:pStyle w:val="12"/>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（二）供应商未通过实质性响应审查的；</w:t>
      </w:r>
    </w:p>
    <w:p w14:paraId="72055459">
      <w:pPr>
        <w:pStyle w:val="12"/>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（三）供应商未在保证金到账截止时间前足额交纳所参与包保证金的；</w:t>
      </w:r>
    </w:p>
    <w:p w14:paraId="5181DD28">
      <w:pPr>
        <w:pStyle w:val="12"/>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（四）供应商所提交的响应文件未按“第七篇响应文件格式要求”要求签署或盖章的；</w:t>
      </w:r>
    </w:p>
    <w:p w14:paraId="7E0E2710">
      <w:pPr>
        <w:pStyle w:val="12"/>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（五）供应商的报价超过采购预算或最高限价的；</w:t>
      </w:r>
    </w:p>
    <w:p w14:paraId="7FFD815A">
      <w:pPr>
        <w:pStyle w:val="12"/>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（六）供应商不接受询价小组修正后的价格的；</w:t>
      </w:r>
    </w:p>
    <w:p w14:paraId="3B58534E">
      <w:pPr>
        <w:pStyle w:val="12"/>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（七）单位负责人为同一人或者存在直接控股、管理关系的不同供应商，</w:t>
      </w:r>
      <w:r>
        <w:rPr>
          <w:rFonts w:asciiTheme="minorEastAsia" w:hAnsiTheme="minorEastAsia"/>
          <w:color w:val="auto"/>
          <w:highlight w:val="none"/>
        </w:rPr>
        <w:t>参加同一合同项</w:t>
      </w:r>
      <w:r>
        <w:rPr>
          <w:rFonts w:hint="eastAsia" w:asciiTheme="minorEastAsia" w:hAnsiTheme="minorEastAsia"/>
          <w:color w:val="auto"/>
          <w:highlight w:val="none"/>
        </w:rPr>
        <w:t>（包）报价的；</w:t>
      </w:r>
    </w:p>
    <w:p w14:paraId="4680A9AF">
      <w:pPr>
        <w:pStyle w:val="12"/>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（八）为采购项目提供整体设计、规范编制或者项目管理、监理、检测等服务的供应商再参加该采购项目的其他采购活动的；</w:t>
      </w:r>
    </w:p>
    <w:p w14:paraId="50FA69F4">
      <w:pPr>
        <w:pStyle w:val="12"/>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（九）同一</w:t>
      </w:r>
      <w:r>
        <w:rPr>
          <w:rFonts w:asciiTheme="minorEastAsia" w:hAnsiTheme="minorEastAsia"/>
          <w:color w:val="auto"/>
          <w:highlight w:val="none"/>
        </w:rPr>
        <w:t>合同项</w:t>
      </w:r>
      <w:r>
        <w:rPr>
          <w:rFonts w:hint="eastAsia" w:asciiTheme="minorEastAsia" w:hAnsiTheme="minorEastAsia"/>
          <w:color w:val="auto"/>
          <w:highlight w:val="none"/>
        </w:rPr>
        <w:t>（包）</w:t>
      </w:r>
      <w:r>
        <w:rPr>
          <w:rFonts w:asciiTheme="minorEastAsia" w:hAnsiTheme="minorEastAsia"/>
          <w:color w:val="auto"/>
          <w:highlight w:val="none"/>
        </w:rPr>
        <w:t>下</w:t>
      </w:r>
      <w:r>
        <w:rPr>
          <w:rFonts w:hint="eastAsia" w:asciiTheme="minorEastAsia" w:hAnsiTheme="minorEastAsia"/>
          <w:color w:val="auto"/>
          <w:highlight w:val="none"/>
        </w:rPr>
        <w:t>的货物，制造商参与报价，再委托代理商参与报价的；</w:t>
      </w:r>
    </w:p>
    <w:p w14:paraId="31BF8524">
      <w:pPr>
        <w:pStyle w:val="12"/>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（十）供应商响应文件内容有与国家现行法律法规相违背的内容，或附有采购人无法接受条件的；</w:t>
      </w:r>
    </w:p>
    <w:p w14:paraId="1B638534">
      <w:pPr>
        <w:pStyle w:val="12"/>
        <w:spacing w:line="400" w:lineRule="exact"/>
        <w:rPr>
          <w:rFonts w:hint="eastAsia" w:asciiTheme="minorEastAsia" w:hAnsiTheme="minorEastAsia"/>
          <w:color w:val="auto"/>
          <w:highlight w:val="none"/>
        </w:rPr>
      </w:pPr>
      <w:r>
        <w:rPr>
          <w:rFonts w:hint="eastAsia" w:asciiTheme="minorEastAsia" w:hAnsiTheme="minorEastAsia"/>
          <w:color w:val="auto"/>
          <w:highlight w:val="none"/>
        </w:rPr>
        <w:t>（十一）法律、法规和询价通知书规定的其他无效情形。</w:t>
      </w:r>
    </w:p>
    <w:p w14:paraId="53F9EE89">
      <w:pPr>
        <w:pStyle w:val="3"/>
        <w:spacing w:line="400" w:lineRule="exact"/>
        <w:ind w:firstLine="480" w:firstLineChars="200"/>
        <w:rPr>
          <w:rFonts w:hint="eastAsia" w:asciiTheme="minorEastAsia" w:hAnsiTheme="minorEastAsia"/>
          <w:color w:val="auto"/>
          <w:highlight w:val="none"/>
        </w:rPr>
      </w:pPr>
      <w:bookmarkStart w:id="187" w:name="_Toc65660353"/>
      <w:bookmarkStart w:id="188" w:name="_Toc29298"/>
      <w:bookmarkStart w:id="189" w:name="_Toc5441"/>
      <w:bookmarkStart w:id="190" w:name="_Toc22716"/>
      <w:bookmarkStart w:id="191" w:name="_Toc28422"/>
      <w:r>
        <w:rPr>
          <w:rFonts w:hint="eastAsia" w:asciiTheme="minorEastAsia" w:hAnsiTheme="minorEastAsia"/>
          <w:color w:val="auto"/>
          <w:highlight w:val="none"/>
        </w:rPr>
        <w:t>四、采购终止</w:t>
      </w:r>
      <w:bookmarkEnd w:id="187"/>
      <w:bookmarkEnd w:id="188"/>
      <w:bookmarkEnd w:id="189"/>
      <w:bookmarkEnd w:id="190"/>
      <w:bookmarkEnd w:id="191"/>
    </w:p>
    <w:p w14:paraId="3640E506">
      <w:pPr>
        <w:snapToGrid w:val="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出现下列情形之一的，采购人或者采购代理机构应当终止询价采购活动，发布项目终止公告并说明原因，重新开展采购活动：</w:t>
      </w:r>
    </w:p>
    <w:p w14:paraId="729ED631">
      <w:pPr>
        <w:snapToGrid w:val="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（一）因情况变化，不再符合规定的询价采购方式适用情形的；</w:t>
      </w:r>
    </w:p>
    <w:p w14:paraId="528C0CC9">
      <w:pPr>
        <w:snapToGrid w:val="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（二）出现影响采购公正的违法、违规行为的；</w:t>
      </w:r>
    </w:p>
    <w:p w14:paraId="61D365F1">
      <w:pPr>
        <w:snapToGrid w:val="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（三）在采购过程中符合竞争要求的供应商或者报价未超过采购预算的供应商不足3家的。</w:t>
      </w:r>
      <w:bookmarkStart w:id="192" w:name="_Toc8916"/>
      <w:bookmarkStart w:id="193" w:name="_Toc20055"/>
      <w:bookmarkStart w:id="194" w:name="_Toc65660354"/>
      <w:bookmarkStart w:id="195" w:name="_Toc10768"/>
    </w:p>
    <w:p w14:paraId="05FAB01C">
      <w:pPr>
        <w:pStyle w:val="9"/>
        <w:ind w:left="1440"/>
        <w:rPr>
          <w:rFonts w:hint="eastAsia" w:asciiTheme="minorEastAsia" w:hAnsiTheme="minorEastAsia"/>
          <w:color w:val="auto"/>
          <w:highlight w:val="none"/>
        </w:rPr>
      </w:pPr>
    </w:p>
    <w:p w14:paraId="7D42E8AD">
      <w:pPr>
        <w:rPr>
          <w:rFonts w:hint="eastAsia" w:asciiTheme="minorEastAsia" w:hAnsiTheme="minorEastAsia"/>
          <w:color w:val="auto"/>
          <w:highlight w:val="none"/>
        </w:rPr>
      </w:pPr>
    </w:p>
    <w:p w14:paraId="0AE53222">
      <w:pPr>
        <w:rPr>
          <w:rFonts w:hint="eastAsia" w:asciiTheme="minorEastAsia" w:hAnsiTheme="minorEastAsia"/>
          <w:color w:val="auto"/>
          <w:highlight w:val="none"/>
        </w:rPr>
      </w:pPr>
    </w:p>
    <w:p w14:paraId="15C0EA71">
      <w:pPr>
        <w:rPr>
          <w:rFonts w:hint="eastAsia" w:asciiTheme="minorEastAsia" w:hAnsiTheme="minorEastAsia"/>
          <w:color w:val="auto"/>
          <w:highlight w:val="none"/>
        </w:rPr>
      </w:pPr>
    </w:p>
    <w:p w14:paraId="24EEAB59">
      <w:pPr>
        <w:rPr>
          <w:rFonts w:hint="eastAsia" w:asciiTheme="minorEastAsia" w:hAnsiTheme="minorEastAsia"/>
          <w:color w:val="auto"/>
          <w:highlight w:val="none"/>
        </w:rPr>
      </w:pPr>
    </w:p>
    <w:p w14:paraId="733034F1">
      <w:pPr>
        <w:rPr>
          <w:rFonts w:hint="eastAsia" w:asciiTheme="minorEastAsia" w:hAnsiTheme="minorEastAsia"/>
          <w:color w:val="auto"/>
          <w:highlight w:val="none"/>
        </w:rPr>
      </w:pPr>
    </w:p>
    <w:p w14:paraId="1B6C09EC">
      <w:pPr>
        <w:rPr>
          <w:rFonts w:hint="eastAsia" w:asciiTheme="minorEastAsia" w:hAnsiTheme="minorEastAsia"/>
          <w:color w:val="auto"/>
          <w:highlight w:val="none"/>
        </w:rPr>
      </w:pPr>
    </w:p>
    <w:p w14:paraId="1AC56CB1">
      <w:pPr>
        <w:rPr>
          <w:rFonts w:hint="eastAsia" w:asciiTheme="minorEastAsia" w:hAnsiTheme="minorEastAsia"/>
          <w:color w:val="auto"/>
          <w:highlight w:val="none"/>
        </w:rPr>
      </w:pPr>
    </w:p>
    <w:p w14:paraId="22E7807E">
      <w:pPr>
        <w:rPr>
          <w:rFonts w:hint="eastAsia" w:asciiTheme="minorEastAsia" w:hAnsiTheme="minorEastAsia"/>
          <w:color w:val="auto"/>
          <w:highlight w:val="none"/>
        </w:rPr>
      </w:pPr>
    </w:p>
    <w:p w14:paraId="26393279">
      <w:pPr>
        <w:rPr>
          <w:rFonts w:hint="eastAsia" w:asciiTheme="minorEastAsia" w:hAnsiTheme="minorEastAsia"/>
          <w:color w:val="auto"/>
          <w:highlight w:val="none"/>
        </w:rPr>
      </w:pPr>
    </w:p>
    <w:p w14:paraId="7B52177B">
      <w:pPr>
        <w:rPr>
          <w:rFonts w:hint="eastAsia" w:asciiTheme="minorEastAsia" w:hAnsiTheme="minorEastAsia"/>
          <w:color w:val="auto"/>
          <w:highlight w:val="none"/>
        </w:rPr>
      </w:pPr>
    </w:p>
    <w:p w14:paraId="175BCD7C">
      <w:pPr>
        <w:rPr>
          <w:rFonts w:hint="eastAsia" w:asciiTheme="minorEastAsia" w:hAnsiTheme="minorEastAsia"/>
          <w:color w:val="auto"/>
          <w:highlight w:val="none"/>
        </w:rPr>
      </w:pPr>
    </w:p>
    <w:p w14:paraId="37E6D501">
      <w:pPr>
        <w:rPr>
          <w:rFonts w:hint="eastAsia" w:asciiTheme="minorEastAsia" w:hAnsiTheme="minorEastAsia"/>
          <w:color w:val="auto"/>
          <w:highlight w:val="none"/>
        </w:rPr>
      </w:pPr>
    </w:p>
    <w:p w14:paraId="2D8661BA">
      <w:pPr>
        <w:rPr>
          <w:rFonts w:hint="eastAsia" w:asciiTheme="minorEastAsia" w:hAnsiTheme="minorEastAsia"/>
          <w:color w:val="auto"/>
          <w:highlight w:val="none"/>
        </w:rPr>
      </w:pPr>
    </w:p>
    <w:p w14:paraId="175FF8A9">
      <w:pPr>
        <w:rPr>
          <w:rFonts w:hint="eastAsia" w:asciiTheme="minorEastAsia" w:hAnsiTheme="minorEastAsia"/>
          <w:color w:val="auto"/>
          <w:highlight w:val="none"/>
        </w:rPr>
      </w:pPr>
    </w:p>
    <w:p w14:paraId="57D327EF">
      <w:pPr>
        <w:rPr>
          <w:rFonts w:hint="eastAsia" w:asciiTheme="minorEastAsia" w:hAnsiTheme="minorEastAsia"/>
          <w:color w:val="auto"/>
          <w:highlight w:val="none"/>
        </w:rPr>
      </w:pPr>
    </w:p>
    <w:p w14:paraId="5AAFF309">
      <w:pPr>
        <w:rPr>
          <w:rFonts w:hint="eastAsia" w:asciiTheme="minorEastAsia" w:hAnsiTheme="minorEastAsia"/>
          <w:color w:val="auto"/>
          <w:highlight w:val="none"/>
        </w:rPr>
      </w:pPr>
    </w:p>
    <w:p w14:paraId="2B0B79BC">
      <w:pPr>
        <w:rPr>
          <w:rFonts w:hint="eastAsia" w:asciiTheme="minorEastAsia" w:hAnsiTheme="minorEastAsia"/>
          <w:color w:val="auto"/>
          <w:highlight w:val="none"/>
        </w:rPr>
      </w:pPr>
    </w:p>
    <w:p w14:paraId="7249F67D">
      <w:pPr>
        <w:rPr>
          <w:rFonts w:hint="eastAsia" w:asciiTheme="minorEastAsia" w:hAnsiTheme="minorEastAsia"/>
          <w:color w:val="auto"/>
          <w:highlight w:val="none"/>
        </w:rPr>
      </w:pPr>
    </w:p>
    <w:p w14:paraId="1A820768">
      <w:pPr>
        <w:rPr>
          <w:rFonts w:hint="eastAsia" w:asciiTheme="minorEastAsia" w:hAnsiTheme="minorEastAsia"/>
          <w:color w:val="auto"/>
          <w:highlight w:val="none"/>
        </w:rPr>
      </w:pPr>
    </w:p>
    <w:p w14:paraId="0962ED23">
      <w:pPr>
        <w:rPr>
          <w:rFonts w:hint="eastAsia" w:asciiTheme="minorEastAsia" w:hAnsiTheme="minorEastAsia"/>
          <w:color w:val="auto"/>
          <w:highlight w:val="none"/>
        </w:rPr>
      </w:pPr>
    </w:p>
    <w:p w14:paraId="33300EB7">
      <w:pPr>
        <w:rPr>
          <w:rFonts w:hint="eastAsia" w:asciiTheme="minorEastAsia" w:hAnsiTheme="minorEastAsia"/>
          <w:color w:val="auto"/>
          <w:highlight w:val="none"/>
        </w:rPr>
      </w:pPr>
    </w:p>
    <w:p w14:paraId="55B14265">
      <w:pPr>
        <w:rPr>
          <w:rFonts w:hint="eastAsia" w:asciiTheme="minorEastAsia" w:hAnsiTheme="minorEastAsia"/>
          <w:color w:val="auto"/>
          <w:highlight w:val="none"/>
        </w:rPr>
      </w:pPr>
    </w:p>
    <w:p w14:paraId="0C4CF436">
      <w:pPr>
        <w:pStyle w:val="9"/>
        <w:ind w:left="1440"/>
        <w:rPr>
          <w:rFonts w:hint="eastAsia" w:asciiTheme="minorEastAsia" w:hAnsiTheme="minorEastAsia"/>
          <w:color w:val="auto"/>
          <w:highlight w:val="none"/>
        </w:rPr>
      </w:pPr>
    </w:p>
    <w:p w14:paraId="7F417515">
      <w:pPr>
        <w:rPr>
          <w:rFonts w:hint="eastAsia" w:asciiTheme="minorEastAsia" w:hAnsiTheme="minorEastAsia"/>
          <w:color w:val="auto"/>
          <w:highlight w:val="none"/>
        </w:rPr>
      </w:pPr>
    </w:p>
    <w:p w14:paraId="0D35B30C">
      <w:pPr>
        <w:pStyle w:val="3"/>
        <w:pageBreakBefore/>
        <w:ind w:firstLine="2880" w:firstLineChars="800"/>
        <w:rPr>
          <w:rFonts w:hint="eastAsia" w:asciiTheme="minorEastAsia" w:hAnsiTheme="minorEastAsia"/>
          <w:color w:val="auto"/>
          <w:sz w:val="36"/>
          <w:szCs w:val="30"/>
          <w:highlight w:val="none"/>
        </w:rPr>
      </w:pPr>
      <w:bookmarkStart w:id="196" w:name="_Toc3366"/>
      <w:r>
        <w:rPr>
          <w:rFonts w:hint="eastAsia" w:asciiTheme="minorEastAsia" w:hAnsiTheme="minorEastAsia"/>
          <w:color w:val="auto"/>
          <w:sz w:val="36"/>
          <w:szCs w:val="30"/>
          <w:highlight w:val="none"/>
        </w:rPr>
        <w:t>第五篇  供应商须知</w:t>
      </w:r>
      <w:bookmarkEnd w:id="192"/>
      <w:bookmarkEnd w:id="193"/>
      <w:bookmarkEnd w:id="194"/>
      <w:bookmarkEnd w:id="195"/>
      <w:bookmarkEnd w:id="196"/>
    </w:p>
    <w:p w14:paraId="6022961E">
      <w:pPr>
        <w:pStyle w:val="3"/>
        <w:numPr>
          <w:ilvl w:val="0"/>
          <w:numId w:val="4"/>
        </w:numPr>
        <w:spacing w:line="400" w:lineRule="exact"/>
        <w:rPr>
          <w:rFonts w:hint="eastAsia" w:asciiTheme="minorEastAsia" w:hAnsiTheme="minorEastAsia"/>
          <w:color w:val="auto"/>
          <w:highlight w:val="none"/>
        </w:rPr>
      </w:pPr>
      <w:bookmarkStart w:id="197" w:name="_Toc16524"/>
      <w:bookmarkStart w:id="198" w:name="_Toc4409"/>
      <w:bookmarkStart w:id="199" w:name="_Toc5290"/>
      <w:bookmarkStart w:id="200" w:name="_Toc2864"/>
      <w:bookmarkStart w:id="201" w:name="_Toc65660355"/>
      <w:r>
        <w:rPr>
          <w:rFonts w:hint="eastAsia" w:asciiTheme="minorEastAsia" w:hAnsiTheme="minorEastAsia"/>
          <w:color w:val="auto"/>
          <w:highlight w:val="none"/>
        </w:rPr>
        <w:t>询价费用</w:t>
      </w:r>
      <w:bookmarkEnd w:id="197"/>
      <w:bookmarkEnd w:id="198"/>
      <w:bookmarkEnd w:id="199"/>
      <w:bookmarkEnd w:id="200"/>
      <w:bookmarkEnd w:id="201"/>
    </w:p>
    <w:p w14:paraId="29E5F709">
      <w:pPr>
        <w:pStyle w:val="29"/>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参与报价的供应商应承担其编制响应文件与递交响应文件所涉及的一切费用，不论询价结果如何，采购人和采购代理机构在任何情况下无义务也无责任承担这些费用。</w:t>
      </w:r>
    </w:p>
    <w:p w14:paraId="7642CA97">
      <w:pPr>
        <w:pStyle w:val="3"/>
        <w:spacing w:line="400" w:lineRule="exact"/>
        <w:ind w:firstLine="480" w:firstLineChars="200"/>
        <w:rPr>
          <w:rFonts w:hint="eastAsia" w:asciiTheme="minorEastAsia" w:hAnsiTheme="minorEastAsia"/>
          <w:color w:val="auto"/>
          <w:highlight w:val="none"/>
        </w:rPr>
      </w:pPr>
      <w:bookmarkStart w:id="202" w:name="_Toc65660356"/>
      <w:bookmarkStart w:id="203" w:name="_Toc10858"/>
      <w:bookmarkStart w:id="204" w:name="_Toc31739"/>
      <w:bookmarkStart w:id="205" w:name="_Toc31070"/>
      <w:bookmarkStart w:id="206" w:name="_Toc5915"/>
      <w:r>
        <w:rPr>
          <w:rFonts w:hint="eastAsia" w:asciiTheme="minorEastAsia" w:hAnsiTheme="minorEastAsia"/>
          <w:color w:val="auto"/>
          <w:highlight w:val="none"/>
        </w:rPr>
        <w:t>二、询价通知书</w:t>
      </w:r>
      <w:bookmarkEnd w:id="202"/>
      <w:bookmarkEnd w:id="203"/>
      <w:bookmarkEnd w:id="204"/>
      <w:bookmarkEnd w:id="205"/>
      <w:bookmarkEnd w:id="206"/>
      <w:r>
        <w:rPr>
          <w:rFonts w:asciiTheme="minorEastAsia" w:hAnsiTheme="minorEastAsia"/>
          <w:color w:val="auto"/>
          <w:highlight w:val="none"/>
        </w:rPr>
        <w:tab/>
      </w:r>
    </w:p>
    <w:p w14:paraId="7B62F724">
      <w:pPr>
        <w:snapToGrid w:val="0"/>
        <w:spacing w:line="400" w:lineRule="exact"/>
        <w:ind w:firstLine="360" w:firstLineChars="150"/>
        <w:rPr>
          <w:rFonts w:hint="eastAsia" w:asciiTheme="minorEastAsia" w:hAnsiTheme="minorEastAsia"/>
          <w:color w:val="auto"/>
          <w:highlight w:val="none"/>
        </w:rPr>
      </w:pPr>
      <w:r>
        <w:rPr>
          <w:rFonts w:hint="eastAsia" w:asciiTheme="minorEastAsia" w:hAnsiTheme="minorEastAsia"/>
          <w:color w:val="auto"/>
          <w:highlight w:val="none"/>
        </w:rPr>
        <w:t>（一）询价通知书由询价采购邀请书，询价项目技术（质量）需求，询价项目商务需求，采购程序、评定成交的标准、无效报价及采购终止，供应商须知，合同格式，响应文件格式要求七部分组成。</w:t>
      </w:r>
    </w:p>
    <w:p w14:paraId="1EB01CB0">
      <w:pPr>
        <w:snapToGrid w:val="0"/>
        <w:spacing w:line="400" w:lineRule="exact"/>
        <w:ind w:firstLine="360" w:firstLineChars="150"/>
        <w:rPr>
          <w:rFonts w:hint="eastAsia" w:asciiTheme="minorEastAsia" w:hAnsiTheme="minorEastAsia"/>
          <w:color w:val="auto"/>
          <w:highlight w:val="none"/>
        </w:rPr>
      </w:pPr>
      <w:r>
        <w:rPr>
          <w:rFonts w:hint="eastAsia" w:asciiTheme="minorEastAsia" w:hAnsiTheme="minorEastAsia"/>
          <w:color w:val="auto"/>
          <w:highlight w:val="none"/>
        </w:rPr>
        <w:t>（二）采购人（或采购代理机构）所作的一切有效的书面通知、修改及补充，都是询价通知书不可分割的部分。</w:t>
      </w:r>
    </w:p>
    <w:p w14:paraId="6549421C">
      <w:pPr>
        <w:pStyle w:val="3"/>
        <w:spacing w:line="400" w:lineRule="exact"/>
        <w:ind w:firstLine="480" w:firstLineChars="200"/>
        <w:rPr>
          <w:rFonts w:hint="eastAsia" w:asciiTheme="minorEastAsia" w:hAnsiTheme="minorEastAsia"/>
          <w:color w:val="auto"/>
          <w:highlight w:val="none"/>
        </w:rPr>
      </w:pPr>
      <w:bookmarkStart w:id="207" w:name="_Toc65660357"/>
      <w:bookmarkStart w:id="208" w:name="_Toc1922"/>
      <w:bookmarkStart w:id="209" w:name="_Toc3061"/>
      <w:bookmarkStart w:id="210" w:name="_Toc9532"/>
      <w:bookmarkStart w:id="211" w:name="_Toc29836"/>
      <w:r>
        <w:rPr>
          <w:rFonts w:hint="eastAsia" w:asciiTheme="minorEastAsia" w:hAnsiTheme="minorEastAsia"/>
          <w:color w:val="auto"/>
          <w:highlight w:val="none"/>
        </w:rPr>
        <w:t>三、报价要求</w:t>
      </w:r>
      <w:bookmarkEnd w:id="207"/>
      <w:bookmarkEnd w:id="208"/>
      <w:bookmarkEnd w:id="209"/>
      <w:bookmarkEnd w:id="210"/>
      <w:bookmarkEnd w:id="211"/>
    </w:p>
    <w:p w14:paraId="467A1286">
      <w:pPr>
        <w:snapToGrid w:val="0"/>
        <w:spacing w:line="400" w:lineRule="exact"/>
        <w:ind w:firstLine="360" w:firstLineChars="150"/>
        <w:outlineLvl w:val="2"/>
        <w:rPr>
          <w:rFonts w:hint="eastAsia" w:asciiTheme="minorEastAsia" w:hAnsiTheme="minorEastAsia"/>
          <w:color w:val="auto"/>
          <w:highlight w:val="none"/>
        </w:rPr>
      </w:pPr>
      <w:r>
        <w:rPr>
          <w:rFonts w:hint="eastAsia" w:asciiTheme="minorEastAsia" w:hAnsiTheme="minorEastAsia"/>
          <w:color w:val="auto"/>
          <w:highlight w:val="none"/>
        </w:rPr>
        <w:t>（一）响应文件</w:t>
      </w:r>
    </w:p>
    <w:p w14:paraId="54257D2A">
      <w:pPr>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供应商应当按照询价通知书的要求编制响应文件，并对询价通知书提出的要求和条件作出实质性响应，响应文件原则上采用软面订本。</w:t>
      </w:r>
    </w:p>
    <w:p w14:paraId="3D3F8FF8">
      <w:pPr>
        <w:pStyle w:val="43"/>
        <w:numPr>
          <w:ilvl w:val="0"/>
          <w:numId w:val="5"/>
        </w:numPr>
        <w:spacing w:line="400" w:lineRule="exact"/>
        <w:ind w:firstLineChars="0"/>
        <w:rPr>
          <w:rFonts w:hint="eastAsia" w:asciiTheme="minorEastAsia" w:hAnsiTheme="minorEastAsia"/>
          <w:color w:val="auto"/>
          <w:highlight w:val="none"/>
        </w:rPr>
      </w:pPr>
      <w:r>
        <w:rPr>
          <w:rFonts w:hint="eastAsia" w:asciiTheme="minorEastAsia" w:hAnsiTheme="minorEastAsia"/>
          <w:color w:val="auto"/>
          <w:highlight w:val="none"/>
        </w:rPr>
        <w:t>响应文件组成</w:t>
      </w:r>
    </w:p>
    <w:p w14:paraId="4A830385">
      <w:pPr>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响应文件由“第七篇响应文件格式要求”规定的部分和供应商所作的一切有效补充、修改和承诺等文件组成，供应商应按照“第七篇响应文件格式”规定进行编写和装订，也可在基本格式基础上对表格进行扩展，未规定格式的由供应商自定格式。</w:t>
      </w:r>
    </w:p>
    <w:p w14:paraId="1F2AEAC6">
      <w:pPr>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2.联合体</w:t>
      </w:r>
    </w:p>
    <w:p w14:paraId="4C7D5F28">
      <w:pPr>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不允许</w:t>
      </w:r>
    </w:p>
    <w:p w14:paraId="00B86856">
      <w:pPr>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3.报价有效期：响应文件及有关承诺文件有效期为提交响应文件截止时间起90天。</w:t>
      </w:r>
    </w:p>
    <w:p w14:paraId="3D8766D0">
      <w:pPr>
        <w:snapToGrid w:val="0"/>
        <w:spacing w:line="400" w:lineRule="exact"/>
        <w:ind w:firstLine="360" w:firstLineChars="150"/>
        <w:outlineLvl w:val="2"/>
        <w:rPr>
          <w:rFonts w:hint="eastAsia" w:asciiTheme="minorEastAsia" w:hAnsiTheme="minorEastAsia"/>
          <w:color w:val="auto"/>
          <w:highlight w:val="none"/>
        </w:rPr>
      </w:pPr>
      <w:r>
        <w:rPr>
          <w:rFonts w:hint="eastAsia" w:asciiTheme="minorEastAsia" w:hAnsiTheme="minorEastAsia"/>
          <w:color w:val="auto"/>
          <w:highlight w:val="none"/>
        </w:rPr>
        <w:t>（二）保证金：</w:t>
      </w:r>
    </w:p>
    <w:p w14:paraId="0E7FFC8E">
      <w:pPr>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无</w:t>
      </w:r>
    </w:p>
    <w:p w14:paraId="5F087AFF">
      <w:pPr>
        <w:snapToGrid w:val="0"/>
        <w:spacing w:line="400" w:lineRule="exact"/>
        <w:ind w:firstLine="360" w:firstLineChars="150"/>
        <w:outlineLvl w:val="2"/>
        <w:rPr>
          <w:rFonts w:hint="eastAsia" w:asciiTheme="minorEastAsia" w:hAnsiTheme="minorEastAsia"/>
          <w:color w:val="auto"/>
          <w:highlight w:val="none"/>
        </w:rPr>
      </w:pPr>
      <w:r>
        <w:rPr>
          <w:rFonts w:hint="eastAsia" w:asciiTheme="minorEastAsia" w:hAnsiTheme="minorEastAsia"/>
          <w:color w:val="auto"/>
          <w:highlight w:val="none"/>
        </w:rPr>
        <w:t>（三）修正错误</w:t>
      </w:r>
    </w:p>
    <w:p w14:paraId="6363774E">
      <w:pPr>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若供应商所递交的响应文件或报价中的价格出现大写金额和小写金额不一致的错误，以大写金额修正为准。</w:t>
      </w:r>
    </w:p>
    <w:p w14:paraId="79E4D009">
      <w:pPr>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询价小组或采购人按上述修正错误的原则及方法修正供应商的报价，供应商同意并签署确认后，修正后的报价对供应商具有约束作用。如果供应商不接受修正后的价格，将视为无效报价。</w:t>
      </w:r>
    </w:p>
    <w:p w14:paraId="5A0DEE44">
      <w:pPr>
        <w:snapToGrid w:val="0"/>
        <w:spacing w:line="400" w:lineRule="exact"/>
        <w:ind w:firstLine="360" w:firstLineChars="150"/>
        <w:outlineLvl w:val="2"/>
        <w:rPr>
          <w:rFonts w:hint="eastAsia" w:asciiTheme="minorEastAsia" w:hAnsiTheme="minorEastAsia"/>
          <w:color w:val="auto"/>
          <w:highlight w:val="none"/>
        </w:rPr>
      </w:pPr>
      <w:r>
        <w:rPr>
          <w:rFonts w:hint="eastAsia" w:asciiTheme="minorEastAsia" w:hAnsiTheme="minorEastAsia"/>
          <w:color w:val="auto"/>
          <w:highlight w:val="none"/>
        </w:rPr>
        <w:t>（四）提交响应文件的份数和签署</w:t>
      </w:r>
    </w:p>
    <w:p w14:paraId="637A906D">
      <w:pPr>
        <w:snapToGrid w:val="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1.响应文件一式二份，其中正本一份，副本一份；副本可为正本的复印件，应与正本一致，如出现不一致情况以正本为准。</w:t>
      </w:r>
    </w:p>
    <w:p w14:paraId="70038AC0">
      <w:pPr>
        <w:snapToGrid w:val="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2.在响应文件正本中，询价通知书第七篇响应文件格式中规定签署、盖章的地方必须按其规定签署、盖章。</w:t>
      </w:r>
    </w:p>
    <w:p w14:paraId="52EEC9D5">
      <w:pPr>
        <w:snapToGrid w:val="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3.若供应商对响应文件的错处作必要修改，则应在修改处加盖供应商公章或由法定代表人（或其授权代表）签署确认。</w:t>
      </w:r>
    </w:p>
    <w:p w14:paraId="2DC1C161">
      <w:pPr>
        <w:snapToGrid w:val="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4.电报、电话、传真形式的响应文件概不接受。</w:t>
      </w:r>
    </w:p>
    <w:p w14:paraId="7D246746">
      <w:pPr>
        <w:snapToGrid w:val="0"/>
        <w:spacing w:line="400" w:lineRule="exact"/>
        <w:ind w:firstLine="360" w:firstLineChars="150"/>
        <w:outlineLvl w:val="2"/>
        <w:rPr>
          <w:rFonts w:hint="eastAsia" w:asciiTheme="minorEastAsia" w:hAnsiTheme="minorEastAsia"/>
          <w:color w:val="auto"/>
          <w:highlight w:val="none"/>
        </w:rPr>
      </w:pPr>
      <w:r>
        <w:rPr>
          <w:rFonts w:hint="eastAsia" w:asciiTheme="minorEastAsia" w:hAnsiTheme="minorEastAsia"/>
          <w:color w:val="auto"/>
          <w:highlight w:val="none"/>
        </w:rPr>
        <w:t>（五）响应文件的递交</w:t>
      </w:r>
    </w:p>
    <w:p w14:paraId="789ADBBE">
      <w:pPr>
        <w:pStyle w:val="1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响应文件的正本、副本应密封送达报价地点，应在封套上注明询价项目名称、供应商名称。若正本、副本分别进行密封的，还应在封套上注明“正本”、“副本”、字样。</w:t>
      </w:r>
    </w:p>
    <w:p w14:paraId="67ECF6D7">
      <w:pPr>
        <w:snapToGrid w:val="0"/>
        <w:spacing w:line="400" w:lineRule="exact"/>
        <w:ind w:firstLine="360" w:firstLineChars="150"/>
        <w:outlineLvl w:val="2"/>
        <w:rPr>
          <w:rFonts w:hint="eastAsia" w:asciiTheme="minorEastAsia" w:hAnsiTheme="minorEastAsia"/>
          <w:color w:val="auto"/>
          <w:highlight w:val="none"/>
        </w:rPr>
      </w:pPr>
      <w:r>
        <w:rPr>
          <w:rFonts w:hint="eastAsia" w:asciiTheme="minorEastAsia" w:hAnsiTheme="minorEastAsia"/>
          <w:color w:val="auto"/>
          <w:highlight w:val="none"/>
        </w:rPr>
        <w:t>（六）响应文件语言：简体中文</w:t>
      </w:r>
    </w:p>
    <w:p w14:paraId="08C688D3">
      <w:pPr>
        <w:pStyle w:val="3"/>
        <w:spacing w:line="400" w:lineRule="exact"/>
        <w:ind w:firstLine="480" w:firstLineChars="200"/>
        <w:rPr>
          <w:rFonts w:hint="eastAsia" w:asciiTheme="minorEastAsia" w:hAnsiTheme="minorEastAsia"/>
          <w:color w:val="auto"/>
          <w:highlight w:val="none"/>
        </w:rPr>
      </w:pPr>
      <w:bookmarkStart w:id="212" w:name="_Toc6242"/>
      <w:bookmarkStart w:id="213" w:name="_Toc822"/>
      <w:bookmarkStart w:id="214" w:name="_Toc14702"/>
      <w:bookmarkStart w:id="215" w:name="_Toc10172"/>
      <w:bookmarkStart w:id="216" w:name="_Toc65660358"/>
      <w:r>
        <w:rPr>
          <w:rFonts w:hint="eastAsia" w:asciiTheme="minorEastAsia" w:hAnsiTheme="minorEastAsia"/>
          <w:color w:val="auto"/>
          <w:highlight w:val="none"/>
        </w:rPr>
        <w:t>四、成交供应商的确定和变更</w:t>
      </w:r>
      <w:bookmarkEnd w:id="212"/>
      <w:bookmarkEnd w:id="213"/>
      <w:bookmarkEnd w:id="214"/>
      <w:bookmarkEnd w:id="215"/>
      <w:bookmarkEnd w:id="216"/>
    </w:p>
    <w:p w14:paraId="437BBDA6">
      <w:pPr>
        <w:snapToGrid w:val="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一）采购代理机构应当在评审结束后2个工作日内将评审报告送采购人确认。采购人应当在收到评审报告后5个工作日内，从评审报告提出的成交候选人中，根据质量和商务均能满足采购文件实质性响应要求且报价最低的原则确定成交供应商，也可以书面授权询价小组直接确定成交供应商。采购人逾期未确定成交供应商且不提出异议的，视为确定评审报告提出的报价最低的供应商为成交供应商。</w:t>
      </w:r>
    </w:p>
    <w:p w14:paraId="7D276F94">
      <w:pPr>
        <w:snapToGrid w:val="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（二）成交供应商的变更</w:t>
      </w:r>
    </w:p>
    <w:p w14:paraId="6CF07EA5">
      <w:pPr>
        <w:snapToGrid w:val="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1.成交供应商拒绝签订政府采购合同的，采购人可以按照评审报告推荐的成交候选人顺序，确定排名下一位的候选人为成交供应商，也可以重新开展政府采购活动。拒绝签订政府采购合同的成交供应商不得参加对该项目重新开展的采购活动。</w:t>
      </w:r>
    </w:p>
    <w:p w14:paraId="61375FC6">
      <w:pPr>
        <w:snapToGrid w:val="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2.成交供应商无充分理由放弃成交的，采购人将向同级财政部门报告，财政部门将根据相关法律法规的规定进行处理。</w:t>
      </w:r>
    </w:p>
    <w:p w14:paraId="2462150F">
      <w:pPr>
        <w:pStyle w:val="3"/>
        <w:spacing w:line="400" w:lineRule="exact"/>
        <w:ind w:firstLine="480" w:firstLineChars="200"/>
        <w:rPr>
          <w:rFonts w:hint="eastAsia" w:asciiTheme="minorEastAsia" w:hAnsiTheme="minorEastAsia"/>
          <w:color w:val="auto"/>
          <w:highlight w:val="none"/>
        </w:rPr>
      </w:pPr>
      <w:bookmarkStart w:id="217" w:name="_Toc17787"/>
      <w:bookmarkStart w:id="218" w:name="_Toc10504"/>
      <w:bookmarkStart w:id="219" w:name="_Toc1092"/>
      <w:bookmarkStart w:id="220" w:name="_Toc65660359"/>
      <w:r>
        <w:rPr>
          <w:rFonts w:hint="eastAsia" w:asciiTheme="minorEastAsia" w:hAnsiTheme="minorEastAsia"/>
          <w:color w:val="auto"/>
          <w:highlight w:val="none"/>
        </w:rPr>
        <w:t>五、成交通知</w:t>
      </w:r>
      <w:bookmarkEnd w:id="217"/>
      <w:bookmarkEnd w:id="218"/>
      <w:bookmarkEnd w:id="219"/>
      <w:bookmarkEnd w:id="220"/>
    </w:p>
    <w:p w14:paraId="61CEAA07">
      <w:pPr>
        <w:tabs>
          <w:tab w:val="left" w:pos="7230"/>
        </w:tabs>
        <w:spacing w:line="400" w:lineRule="exact"/>
        <w:ind w:firstLine="360" w:firstLineChars="150"/>
        <w:rPr>
          <w:rFonts w:hint="eastAsia" w:asciiTheme="minorEastAsia" w:hAnsiTheme="minorEastAsia"/>
          <w:color w:val="auto"/>
          <w:highlight w:val="none"/>
        </w:rPr>
      </w:pPr>
      <w:r>
        <w:rPr>
          <w:rFonts w:hint="eastAsia" w:asciiTheme="minorEastAsia" w:hAnsiTheme="minorEastAsia"/>
          <w:color w:val="auto"/>
          <w:highlight w:val="none"/>
        </w:rPr>
        <w:t>（一）成交供应商确定后，采购代理机构将在垫江县人民政府网上发布成交结果公告。</w:t>
      </w:r>
    </w:p>
    <w:p w14:paraId="505DB69E">
      <w:pPr>
        <w:spacing w:line="400" w:lineRule="exact"/>
        <w:ind w:firstLine="360" w:firstLineChars="150"/>
        <w:rPr>
          <w:rFonts w:hint="eastAsia" w:asciiTheme="minorEastAsia" w:hAnsiTheme="minorEastAsia"/>
          <w:color w:val="auto"/>
          <w:highlight w:val="none"/>
        </w:rPr>
      </w:pPr>
      <w:r>
        <w:rPr>
          <w:rFonts w:hint="eastAsia" w:asciiTheme="minorEastAsia" w:hAnsiTheme="minorEastAsia"/>
          <w:color w:val="auto"/>
          <w:highlight w:val="none"/>
        </w:rPr>
        <w:t>（二）结果公告发出同时，采购人或采购代理机构将以书面形式发出《成交通知书》。《成交通知书》一经发出即发生法律效力。</w:t>
      </w:r>
    </w:p>
    <w:p w14:paraId="3633B0B4">
      <w:pPr>
        <w:spacing w:line="400" w:lineRule="exact"/>
        <w:ind w:firstLine="360" w:firstLineChars="150"/>
        <w:rPr>
          <w:rFonts w:hint="eastAsia" w:asciiTheme="minorEastAsia" w:hAnsiTheme="minorEastAsia"/>
          <w:color w:val="auto"/>
          <w:highlight w:val="none"/>
        </w:rPr>
      </w:pPr>
      <w:r>
        <w:rPr>
          <w:rFonts w:hint="eastAsia" w:asciiTheme="minorEastAsia" w:hAnsiTheme="minorEastAsia"/>
          <w:color w:val="auto"/>
          <w:highlight w:val="none"/>
        </w:rPr>
        <w:t>（三）《成交通知书》将作为签订合同的依据。</w:t>
      </w:r>
    </w:p>
    <w:p w14:paraId="780EB30B">
      <w:pPr>
        <w:pStyle w:val="3"/>
        <w:spacing w:line="400" w:lineRule="exact"/>
        <w:ind w:firstLine="480" w:firstLineChars="200"/>
        <w:rPr>
          <w:rFonts w:hint="eastAsia" w:asciiTheme="minorEastAsia" w:hAnsiTheme="minorEastAsia"/>
          <w:color w:val="auto"/>
          <w:highlight w:val="none"/>
        </w:rPr>
      </w:pPr>
      <w:bookmarkStart w:id="221" w:name="_Toc31082"/>
      <w:bookmarkStart w:id="222" w:name="_Toc21393"/>
      <w:bookmarkStart w:id="223" w:name="_Toc65660360"/>
      <w:bookmarkStart w:id="224" w:name="_Toc30909"/>
      <w:bookmarkStart w:id="225" w:name="_Toc1010"/>
      <w:r>
        <w:rPr>
          <w:rFonts w:hint="eastAsia" w:asciiTheme="minorEastAsia" w:hAnsiTheme="minorEastAsia"/>
          <w:color w:val="auto"/>
          <w:highlight w:val="none"/>
        </w:rPr>
        <w:t>六、关于质疑和投诉</w:t>
      </w:r>
      <w:bookmarkEnd w:id="221"/>
      <w:bookmarkEnd w:id="222"/>
      <w:bookmarkEnd w:id="223"/>
      <w:bookmarkEnd w:id="224"/>
      <w:bookmarkEnd w:id="225"/>
    </w:p>
    <w:p w14:paraId="66F79C0A">
      <w:pPr>
        <w:spacing w:line="400" w:lineRule="exact"/>
        <w:ind w:firstLine="360" w:firstLineChars="150"/>
        <w:outlineLvl w:val="2"/>
        <w:rPr>
          <w:rFonts w:hint="eastAsia" w:asciiTheme="minorEastAsia" w:hAnsiTheme="minorEastAsia"/>
          <w:color w:val="auto"/>
          <w:highlight w:val="none"/>
        </w:rPr>
      </w:pPr>
      <w:r>
        <w:rPr>
          <w:rFonts w:hint="eastAsia" w:asciiTheme="minorEastAsia" w:hAnsiTheme="minorEastAsia"/>
          <w:color w:val="auto"/>
          <w:highlight w:val="none"/>
        </w:rPr>
        <w:t xml:space="preserve"> （一）质疑</w:t>
      </w:r>
    </w:p>
    <w:p w14:paraId="442A0CF7">
      <w:pPr>
        <w:spacing w:line="400" w:lineRule="exact"/>
        <w:ind w:right="12" w:firstLine="480"/>
        <w:rPr>
          <w:rFonts w:hint="eastAsia" w:cs="仿宋" w:asciiTheme="minorEastAsia" w:hAnsiTheme="minorEastAsia"/>
          <w:color w:val="auto"/>
          <w:highlight w:val="none"/>
        </w:rPr>
      </w:pPr>
      <w:r>
        <w:rPr>
          <w:rFonts w:hint="eastAsia" w:cs="仿宋" w:asciiTheme="minorEastAsia" w:hAnsiTheme="minorEastAsia"/>
          <w:color w:val="auto"/>
          <w:highlight w:val="none"/>
        </w:rPr>
        <w:t>供应商认为采购文件、采购过程和成交结果使自己的权益收到伤害的，可向采购人或采购代理机构以书面形式提出质疑。</w:t>
      </w:r>
    </w:p>
    <w:p w14:paraId="1C4037B3">
      <w:pPr>
        <w:spacing w:line="400" w:lineRule="exact"/>
        <w:ind w:right="12" w:firstLine="480"/>
        <w:rPr>
          <w:rFonts w:hint="eastAsia" w:cs="仿宋" w:asciiTheme="minorEastAsia" w:hAnsiTheme="minorEastAsia"/>
          <w:color w:val="auto"/>
          <w:highlight w:val="none"/>
        </w:rPr>
      </w:pPr>
      <w:r>
        <w:rPr>
          <w:rFonts w:hint="eastAsia" w:cs="仿宋" w:asciiTheme="minorEastAsia" w:hAnsiTheme="minorEastAsia"/>
          <w:color w:val="auto"/>
          <w:highlight w:val="none"/>
        </w:rPr>
        <w:t xml:space="preserve">提出质疑的应当是参与所质疑项目采购活动的供应商。 </w:t>
      </w:r>
    </w:p>
    <w:p w14:paraId="66A58AF1">
      <w:pPr>
        <w:spacing w:line="400" w:lineRule="exact"/>
        <w:ind w:right="12" w:firstLine="480"/>
        <w:rPr>
          <w:rFonts w:hint="eastAsia" w:cs="仿宋" w:asciiTheme="minorEastAsia" w:hAnsiTheme="minorEastAsia"/>
          <w:color w:val="auto"/>
          <w:highlight w:val="none"/>
        </w:rPr>
      </w:pPr>
      <w:r>
        <w:rPr>
          <w:rFonts w:hint="eastAsia" w:cs="仿宋" w:asciiTheme="minorEastAsia" w:hAnsiTheme="minorEastAsia"/>
          <w:color w:val="auto"/>
          <w:highlight w:val="none"/>
        </w:rPr>
        <w:t>1.质疑时限、内容</w:t>
      </w:r>
    </w:p>
    <w:p w14:paraId="77D0333D">
      <w:pPr>
        <w:spacing w:line="400" w:lineRule="exact"/>
        <w:ind w:right="12" w:firstLine="480"/>
        <w:rPr>
          <w:rFonts w:hint="eastAsia" w:cs="仿宋" w:asciiTheme="minorEastAsia" w:hAnsiTheme="minorEastAsia"/>
          <w:color w:val="auto"/>
          <w:highlight w:val="none"/>
        </w:rPr>
      </w:pPr>
      <w:r>
        <w:rPr>
          <w:rFonts w:hint="eastAsia" w:cs="仿宋" w:asciiTheme="minorEastAsia" w:hAnsiTheme="minorEastAsia"/>
          <w:color w:val="auto"/>
          <w:highlight w:val="none"/>
        </w:rPr>
        <w:t>1.1供应商认为采购文件、采购过程、成交结果使自己的权益受到损害的，可以在知道或者应知其权益受到损害之日起7个工作日内，以书面形式向采购人、采购代理机构提出质疑。</w:t>
      </w:r>
    </w:p>
    <w:p w14:paraId="094A9663">
      <w:pPr>
        <w:spacing w:line="400" w:lineRule="exact"/>
        <w:ind w:right="12" w:firstLine="480"/>
        <w:rPr>
          <w:rFonts w:hint="eastAsia" w:cs="仿宋" w:asciiTheme="minorEastAsia" w:hAnsiTheme="minorEastAsia"/>
          <w:color w:val="auto"/>
          <w:highlight w:val="none"/>
        </w:rPr>
      </w:pPr>
      <w:r>
        <w:rPr>
          <w:rFonts w:hint="eastAsia" w:cs="仿宋" w:asciiTheme="minorEastAsia" w:hAnsiTheme="minorEastAsia"/>
          <w:color w:val="auto"/>
          <w:highlight w:val="none"/>
        </w:rPr>
        <w:t>1.2供应商提出质疑应当提交质疑函和必要的证明材料，质疑函应当包括下列内容：</w:t>
      </w:r>
    </w:p>
    <w:p w14:paraId="0D7804BF">
      <w:pPr>
        <w:spacing w:line="400" w:lineRule="exact"/>
        <w:ind w:right="12" w:firstLine="480"/>
        <w:rPr>
          <w:rFonts w:hint="eastAsia" w:cs="仿宋" w:asciiTheme="minorEastAsia" w:hAnsiTheme="minorEastAsia"/>
          <w:color w:val="auto"/>
          <w:highlight w:val="none"/>
        </w:rPr>
      </w:pPr>
      <w:r>
        <w:rPr>
          <w:rFonts w:hint="eastAsia" w:cs="仿宋" w:asciiTheme="minorEastAsia" w:hAnsiTheme="minorEastAsia"/>
          <w:color w:val="auto"/>
          <w:highlight w:val="none"/>
        </w:rPr>
        <w:t>1.2.1供应商的姓名或者名称、地址、邮编、联系人及联系电话；</w:t>
      </w:r>
    </w:p>
    <w:p w14:paraId="505AD061">
      <w:pPr>
        <w:spacing w:line="400" w:lineRule="exact"/>
        <w:ind w:right="12" w:firstLine="480"/>
        <w:rPr>
          <w:rFonts w:hint="eastAsia" w:cs="仿宋" w:asciiTheme="minorEastAsia" w:hAnsiTheme="minorEastAsia"/>
          <w:color w:val="auto"/>
          <w:highlight w:val="none"/>
        </w:rPr>
      </w:pPr>
      <w:r>
        <w:rPr>
          <w:rFonts w:hint="eastAsia" w:cs="仿宋" w:asciiTheme="minorEastAsia" w:hAnsiTheme="minorEastAsia"/>
          <w:color w:val="auto"/>
          <w:highlight w:val="none"/>
        </w:rPr>
        <w:t>1.2.2</w:t>
      </w:r>
      <w:r>
        <w:rPr>
          <w:rFonts w:hint="eastAsia" w:asciiTheme="minorEastAsia" w:hAnsiTheme="minorEastAsia"/>
          <w:color w:val="auto"/>
          <w:highlight w:val="none"/>
        </w:rPr>
        <w:t>质疑项目的项目名称、项目号以及采购执行编号</w:t>
      </w:r>
      <w:r>
        <w:rPr>
          <w:rFonts w:hint="eastAsia" w:cs="仿宋" w:asciiTheme="minorEastAsia" w:hAnsiTheme="minorEastAsia"/>
          <w:color w:val="auto"/>
          <w:highlight w:val="none"/>
        </w:rPr>
        <w:t>；</w:t>
      </w:r>
    </w:p>
    <w:p w14:paraId="46F8ED88">
      <w:pPr>
        <w:spacing w:line="400" w:lineRule="exact"/>
        <w:ind w:right="12" w:firstLine="480"/>
        <w:rPr>
          <w:rFonts w:hint="eastAsia" w:cs="仿宋" w:asciiTheme="minorEastAsia" w:hAnsiTheme="minorEastAsia"/>
          <w:color w:val="auto"/>
          <w:highlight w:val="none"/>
        </w:rPr>
      </w:pPr>
      <w:r>
        <w:rPr>
          <w:rFonts w:hint="eastAsia" w:cs="仿宋" w:asciiTheme="minorEastAsia" w:hAnsiTheme="minorEastAsia"/>
          <w:color w:val="auto"/>
          <w:highlight w:val="none"/>
        </w:rPr>
        <w:t>1.2.3具体、明确的质疑事项和与质疑事项相关的请求；</w:t>
      </w:r>
    </w:p>
    <w:p w14:paraId="56BD6182">
      <w:pPr>
        <w:spacing w:line="400" w:lineRule="exact"/>
        <w:ind w:right="12" w:firstLine="480"/>
        <w:rPr>
          <w:rFonts w:hint="eastAsia" w:cs="仿宋" w:asciiTheme="minorEastAsia" w:hAnsiTheme="minorEastAsia"/>
          <w:color w:val="auto"/>
          <w:highlight w:val="none"/>
        </w:rPr>
      </w:pPr>
      <w:r>
        <w:rPr>
          <w:rFonts w:hint="eastAsia" w:cs="仿宋" w:asciiTheme="minorEastAsia" w:hAnsiTheme="minorEastAsia"/>
          <w:color w:val="auto"/>
          <w:highlight w:val="none"/>
        </w:rPr>
        <w:t>1.2.4事实依据；</w:t>
      </w:r>
    </w:p>
    <w:p w14:paraId="3A528FAB">
      <w:pPr>
        <w:spacing w:line="400" w:lineRule="exact"/>
        <w:ind w:right="12" w:firstLine="480"/>
        <w:rPr>
          <w:rFonts w:hint="eastAsia" w:cs="仿宋" w:asciiTheme="minorEastAsia" w:hAnsiTheme="minorEastAsia"/>
          <w:color w:val="auto"/>
          <w:highlight w:val="none"/>
        </w:rPr>
      </w:pPr>
      <w:r>
        <w:rPr>
          <w:rFonts w:hint="eastAsia" w:cs="仿宋" w:asciiTheme="minorEastAsia" w:hAnsiTheme="minorEastAsia"/>
          <w:color w:val="auto"/>
          <w:highlight w:val="none"/>
        </w:rPr>
        <w:t>1.2.5必要的法律依据；</w:t>
      </w:r>
    </w:p>
    <w:p w14:paraId="0C5E6BFD">
      <w:pPr>
        <w:spacing w:line="400" w:lineRule="exact"/>
        <w:ind w:right="12" w:firstLine="480"/>
        <w:rPr>
          <w:rFonts w:hint="eastAsia" w:cs="仿宋" w:asciiTheme="minorEastAsia" w:hAnsiTheme="minorEastAsia"/>
          <w:color w:val="auto"/>
          <w:highlight w:val="none"/>
        </w:rPr>
      </w:pPr>
      <w:r>
        <w:rPr>
          <w:rFonts w:hint="eastAsia" w:cs="仿宋" w:asciiTheme="minorEastAsia" w:hAnsiTheme="minorEastAsia"/>
          <w:color w:val="auto"/>
          <w:highlight w:val="none"/>
        </w:rPr>
        <w:t>1.2.6提出质疑的日期；</w:t>
      </w:r>
    </w:p>
    <w:p w14:paraId="1D618CB9">
      <w:pPr>
        <w:spacing w:line="400" w:lineRule="exact"/>
        <w:ind w:right="12" w:firstLine="480"/>
        <w:rPr>
          <w:rFonts w:hint="eastAsia" w:cs="仿宋" w:asciiTheme="minorEastAsia" w:hAnsiTheme="minorEastAsia"/>
          <w:color w:val="auto"/>
          <w:highlight w:val="none"/>
        </w:rPr>
      </w:pPr>
      <w:r>
        <w:rPr>
          <w:rFonts w:hint="eastAsia" w:cs="仿宋" w:asciiTheme="minorEastAsia" w:hAnsiTheme="minorEastAsia"/>
          <w:color w:val="auto"/>
          <w:highlight w:val="none"/>
        </w:rPr>
        <w:t>1.2.7营业执照（或事业单位法人证书，或个体工商户营业执照）复印件；</w:t>
      </w:r>
    </w:p>
    <w:p w14:paraId="42605772">
      <w:pPr>
        <w:spacing w:line="400" w:lineRule="exact"/>
        <w:ind w:right="12" w:firstLine="480"/>
        <w:rPr>
          <w:rFonts w:hint="eastAsia" w:cs="仿宋" w:asciiTheme="minorEastAsia" w:hAnsiTheme="minorEastAsia"/>
          <w:color w:val="auto"/>
          <w:highlight w:val="none"/>
        </w:rPr>
      </w:pPr>
      <w:r>
        <w:rPr>
          <w:rFonts w:hint="eastAsia" w:cs="仿宋" w:asciiTheme="minorEastAsia" w:hAnsiTheme="minorEastAsia"/>
          <w:color w:val="auto"/>
          <w:highlight w:val="none"/>
        </w:rPr>
        <w:t>1.2.8法定代表人授权委托书原件、法定代表人身份证复印件和其授权代表的身份证复印件；</w:t>
      </w:r>
    </w:p>
    <w:p w14:paraId="050779C6">
      <w:pPr>
        <w:spacing w:line="400" w:lineRule="exact"/>
        <w:ind w:right="12" w:firstLine="480"/>
        <w:rPr>
          <w:rFonts w:hint="eastAsia" w:cs="仿宋" w:asciiTheme="minorEastAsia" w:hAnsiTheme="minorEastAsia"/>
          <w:color w:val="auto"/>
          <w:highlight w:val="none"/>
        </w:rPr>
      </w:pPr>
      <w:r>
        <w:rPr>
          <w:rFonts w:hint="eastAsia" w:cs="仿宋" w:asciiTheme="minorEastAsia" w:hAnsiTheme="minorEastAsia"/>
          <w:color w:val="auto"/>
          <w:highlight w:val="none"/>
        </w:rPr>
        <w:t>1.3供应商为法人或者其他组织的，质疑函应当由法定代表人、主要负责人，或者其授权代表签字或者盖章，并加盖公章。</w:t>
      </w:r>
    </w:p>
    <w:p w14:paraId="0AD74DBE">
      <w:pPr>
        <w:spacing w:line="400" w:lineRule="exact"/>
        <w:ind w:right="12" w:firstLine="480"/>
        <w:rPr>
          <w:rFonts w:hint="eastAsia" w:cs="仿宋" w:asciiTheme="minorEastAsia" w:hAnsiTheme="minorEastAsia"/>
          <w:color w:val="auto"/>
          <w:highlight w:val="none"/>
        </w:rPr>
      </w:pPr>
      <w:r>
        <w:rPr>
          <w:rFonts w:hint="eastAsia" w:cs="仿宋" w:asciiTheme="minorEastAsia" w:hAnsiTheme="minorEastAsia"/>
          <w:color w:val="auto"/>
          <w:highlight w:val="none"/>
        </w:rPr>
        <w:t>2.质疑答复</w:t>
      </w:r>
    </w:p>
    <w:p w14:paraId="00CE16F8">
      <w:pPr>
        <w:spacing w:line="400" w:lineRule="exact"/>
        <w:ind w:right="12" w:firstLine="480"/>
        <w:rPr>
          <w:rFonts w:hint="eastAsia" w:cs="仿宋" w:asciiTheme="minorEastAsia" w:hAnsiTheme="minorEastAsia"/>
          <w:color w:val="auto"/>
          <w:highlight w:val="none"/>
        </w:rPr>
      </w:pPr>
      <w:r>
        <w:rPr>
          <w:rFonts w:hint="eastAsia" w:cs="仿宋" w:asciiTheme="minorEastAsia" w:hAnsiTheme="minorEastAsia"/>
          <w:color w:val="auto"/>
          <w:highlight w:val="none"/>
        </w:rPr>
        <w:t>采购人、采购代理机构应当在收到供应商的书面质疑后七个工作日内作出答复，并以书面形式通知质疑供应商和其他有关供应商。</w:t>
      </w:r>
    </w:p>
    <w:p w14:paraId="7D53CA42">
      <w:pPr>
        <w:spacing w:line="400" w:lineRule="exact"/>
        <w:ind w:right="12" w:firstLine="480"/>
        <w:rPr>
          <w:rFonts w:hint="eastAsia" w:cs="仿宋" w:asciiTheme="minorEastAsia" w:hAnsiTheme="minorEastAsia"/>
          <w:color w:val="auto"/>
          <w:highlight w:val="none"/>
        </w:rPr>
      </w:pPr>
      <w:r>
        <w:rPr>
          <w:rFonts w:hint="eastAsia" w:cs="仿宋" w:asciiTheme="minorEastAsia" w:hAnsiTheme="minorEastAsia"/>
          <w:color w:val="auto"/>
          <w:highlight w:val="none"/>
        </w:rPr>
        <w:t>3.其他</w:t>
      </w:r>
    </w:p>
    <w:p w14:paraId="12833F97">
      <w:pPr>
        <w:spacing w:line="400" w:lineRule="exact"/>
        <w:ind w:right="12" w:firstLine="480"/>
        <w:rPr>
          <w:rFonts w:hint="eastAsia" w:cs="仿宋" w:asciiTheme="minorEastAsia" w:hAnsiTheme="minorEastAsia"/>
          <w:color w:val="auto"/>
          <w:highlight w:val="none"/>
        </w:rPr>
      </w:pPr>
      <w:r>
        <w:rPr>
          <w:rFonts w:hint="eastAsia" w:cs="仿宋" w:asciiTheme="minorEastAsia" w:hAnsiTheme="minorEastAsia"/>
          <w:color w:val="auto"/>
          <w:highlight w:val="none"/>
        </w:rPr>
        <w:t>3.1供应商应按照《政府采购质疑和投诉办法》（财政部令第94号）及相关法律法规要求，在法定质疑期内一次性提出针对同一采购程序环节的质疑。</w:t>
      </w:r>
    </w:p>
    <w:p w14:paraId="502B3B60">
      <w:pPr>
        <w:spacing w:line="400" w:lineRule="exact"/>
        <w:ind w:right="12" w:firstLine="480"/>
        <w:rPr>
          <w:rFonts w:hint="eastAsia" w:cs="仿宋" w:asciiTheme="minorEastAsia" w:hAnsiTheme="minorEastAsia"/>
          <w:color w:val="auto"/>
          <w:highlight w:val="none"/>
        </w:rPr>
      </w:pPr>
      <w:r>
        <w:rPr>
          <w:rFonts w:hint="eastAsia" w:cs="仿宋" w:asciiTheme="minorEastAsia" w:hAnsiTheme="minorEastAsia"/>
          <w:color w:val="auto"/>
          <w:highlight w:val="none"/>
        </w:rPr>
        <w:t>3.2质疑函范本可在财政部门户网站和中国政府采购网下载。</w:t>
      </w:r>
    </w:p>
    <w:p w14:paraId="2591C292">
      <w:pPr>
        <w:pStyle w:val="3"/>
        <w:spacing w:line="400" w:lineRule="exact"/>
        <w:ind w:firstLine="480" w:firstLineChars="200"/>
        <w:rPr>
          <w:rFonts w:hint="eastAsia" w:asciiTheme="minorEastAsia" w:hAnsiTheme="minorEastAsia"/>
          <w:color w:val="auto"/>
          <w:highlight w:val="none"/>
        </w:rPr>
      </w:pPr>
      <w:bookmarkStart w:id="226" w:name="_Toc3127"/>
      <w:bookmarkStart w:id="227" w:name="_Toc2964"/>
      <w:bookmarkStart w:id="228" w:name="_Toc23778"/>
      <w:bookmarkStart w:id="229" w:name="_Toc65660361"/>
      <w:bookmarkStart w:id="230" w:name="_Toc16648"/>
      <w:r>
        <w:rPr>
          <w:rFonts w:hint="eastAsia" w:asciiTheme="minorEastAsia" w:hAnsiTheme="minorEastAsia"/>
          <w:color w:val="auto"/>
          <w:highlight w:val="none"/>
        </w:rPr>
        <w:t>七、签订合同</w:t>
      </w:r>
      <w:bookmarkEnd w:id="226"/>
      <w:bookmarkEnd w:id="227"/>
      <w:bookmarkEnd w:id="228"/>
      <w:bookmarkEnd w:id="229"/>
      <w:bookmarkEnd w:id="230"/>
    </w:p>
    <w:p w14:paraId="63E215B5">
      <w:pPr>
        <w:spacing w:line="400" w:lineRule="exact"/>
        <w:ind w:firstLine="360" w:firstLineChars="150"/>
        <w:rPr>
          <w:rFonts w:hint="eastAsia" w:asciiTheme="minorEastAsia" w:hAnsiTheme="minorEastAsia"/>
          <w:color w:val="auto"/>
          <w:highlight w:val="none"/>
        </w:rPr>
      </w:pPr>
      <w:r>
        <w:rPr>
          <w:rFonts w:hint="eastAsia" w:asciiTheme="minorEastAsia" w:hAnsiTheme="minorEastAsia"/>
          <w:color w:val="auto"/>
          <w:highlight w:val="none"/>
        </w:rPr>
        <w:t>（一）采购人原则上应在成交通知书发出之日起二十日内和成交供应商签订政府采购合同，无正当理由不得拒绝或拖延合同签订。所签订的合同不得对询价通知书和供应商的响应文件作实质性修改。其他未尽事宜由采购人和成交供应商在采购合同中详细约定。</w:t>
      </w:r>
    </w:p>
    <w:p w14:paraId="7367A335">
      <w:pPr>
        <w:spacing w:line="400" w:lineRule="exact"/>
        <w:ind w:firstLine="360" w:firstLineChars="150"/>
        <w:rPr>
          <w:rFonts w:hint="eastAsia" w:asciiTheme="minorEastAsia" w:hAnsiTheme="minorEastAsia"/>
          <w:color w:val="auto"/>
          <w:highlight w:val="none"/>
        </w:rPr>
      </w:pPr>
      <w:r>
        <w:rPr>
          <w:rFonts w:hint="eastAsia" w:asciiTheme="minorEastAsia" w:hAnsiTheme="minorEastAsia"/>
          <w:color w:val="auto"/>
          <w:highlight w:val="none"/>
        </w:rPr>
        <w:t>（二）询价通知书、供应商的响应文件及澄清文件等，均为签订政府采购合同的依据。</w:t>
      </w:r>
    </w:p>
    <w:p w14:paraId="69ED1C04">
      <w:pPr>
        <w:spacing w:line="400" w:lineRule="exact"/>
        <w:ind w:firstLine="360" w:firstLineChars="150"/>
        <w:rPr>
          <w:rFonts w:hint="eastAsia" w:asciiTheme="minorEastAsia" w:hAnsiTheme="minorEastAsia"/>
          <w:color w:val="auto"/>
          <w:highlight w:val="none"/>
        </w:rPr>
      </w:pPr>
      <w:r>
        <w:rPr>
          <w:rFonts w:hint="eastAsia" w:asciiTheme="minorEastAsia" w:hAnsiTheme="minorEastAsia"/>
          <w:color w:val="auto"/>
          <w:highlight w:val="none"/>
        </w:rPr>
        <w:t>（三）合同生效条款由供需双方约定，法律、行政法规规定应当办理批准、登记等手续后生效的合同，依照其规定。</w:t>
      </w:r>
    </w:p>
    <w:p w14:paraId="4858B7B8">
      <w:pPr>
        <w:spacing w:line="400" w:lineRule="exact"/>
        <w:ind w:firstLine="360" w:firstLineChars="150"/>
        <w:rPr>
          <w:rFonts w:hint="eastAsia" w:asciiTheme="minorEastAsia" w:hAnsiTheme="minorEastAsia"/>
          <w:color w:val="auto"/>
          <w:highlight w:val="none"/>
        </w:rPr>
      </w:pPr>
      <w:r>
        <w:rPr>
          <w:rFonts w:hint="eastAsia" w:asciiTheme="minorEastAsia" w:hAnsiTheme="minorEastAsia"/>
          <w:color w:val="auto"/>
          <w:highlight w:val="none"/>
        </w:rPr>
        <w:t>（四）合同原则上应按照《重庆市政府采购合同》签订，相关单位要求适用合同通用格式版本的，应按其要求另行签订其他合同。</w:t>
      </w:r>
    </w:p>
    <w:p w14:paraId="0E8CE7C3">
      <w:pPr>
        <w:spacing w:line="400" w:lineRule="exact"/>
        <w:ind w:firstLine="360" w:firstLineChars="150"/>
        <w:rPr>
          <w:rFonts w:hint="eastAsia" w:asciiTheme="minorEastAsia" w:hAnsiTheme="minorEastAsia"/>
          <w:color w:val="auto"/>
          <w:highlight w:val="none"/>
        </w:rPr>
      </w:pPr>
      <w:r>
        <w:rPr>
          <w:rFonts w:hint="eastAsia" w:asciiTheme="minorEastAsia" w:hAnsiTheme="minorEastAsia"/>
          <w:color w:val="auto"/>
          <w:highlight w:val="none"/>
        </w:rPr>
        <w:t>（五）采购人要求成交供应商提供履约保证金的，应当在询价通知书中予以约定。成交供应商履约完毕后，采购人根据采购文件规定无息退还其履约保证金。</w:t>
      </w:r>
    </w:p>
    <w:p w14:paraId="4EA3D61E">
      <w:pPr>
        <w:pStyle w:val="3"/>
        <w:spacing w:line="400" w:lineRule="exact"/>
        <w:ind w:firstLine="480" w:firstLineChars="200"/>
        <w:rPr>
          <w:rFonts w:hint="eastAsia" w:asciiTheme="minorEastAsia" w:hAnsiTheme="minorEastAsia"/>
          <w:color w:val="auto"/>
          <w:highlight w:val="none"/>
        </w:rPr>
      </w:pPr>
      <w:bookmarkStart w:id="231" w:name="_Toc77"/>
      <w:bookmarkStart w:id="232" w:name="_Toc23016"/>
      <w:r>
        <w:rPr>
          <w:rFonts w:hint="eastAsia" w:asciiTheme="minorEastAsia" w:hAnsiTheme="minorEastAsia"/>
          <w:color w:val="auto"/>
          <w:highlight w:val="none"/>
        </w:rPr>
        <w:t>八、项目验收</w:t>
      </w:r>
      <w:bookmarkEnd w:id="231"/>
      <w:bookmarkEnd w:id="232"/>
    </w:p>
    <w:p w14:paraId="7E5A122A">
      <w:pPr>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合同执行完毕，采购人或采购代理机构原则上应在7个工作日内组织履约情况验收，不得无故拖延或附加额外条件。</w:t>
      </w:r>
    </w:p>
    <w:p w14:paraId="6077CA38">
      <w:pPr>
        <w:pStyle w:val="3"/>
        <w:spacing w:line="400" w:lineRule="exact"/>
        <w:ind w:firstLine="480" w:firstLineChars="200"/>
        <w:rPr>
          <w:rFonts w:hint="eastAsia" w:asciiTheme="minorEastAsia" w:hAnsiTheme="minorEastAsia"/>
          <w:color w:val="auto"/>
          <w:highlight w:val="none"/>
        </w:rPr>
      </w:pPr>
      <w:bookmarkStart w:id="233" w:name="_Toc9730"/>
      <w:bookmarkStart w:id="234" w:name="_Toc15521"/>
      <w:bookmarkStart w:id="235" w:name="_Toc65660363"/>
      <w:bookmarkStart w:id="236" w:name="_Toc4867"/>
      <w:bookmarkStart w:id="237" w:name="_Toc29759"/>
      <w:r>
        <w:rPr>
          <w:rFonts w:hint="eastAsia" w:asciiTheme="minorEastAsia" w:hAnsiTheme="minorEastAsia"/>
          <w:color w:val="auto"/>
          <w:highlight w:val="none"/>
        </w:rPr>
        <w:t>九、</w:t>
      </w:r>
      <w:bookmarkEnd w:id="233"/>
      <w:bookmarkEnd w:id="234"/>
      <w:bookmarkEnd w:id="235"/>
      <w:bookmarkEnd w:id="236"/>
      <w:r>
        <w:rPr>
          <w:rFonts w:hint="eastAsia" w:asciiTheme="minorEastAsia" w:hAnsiTheme="minorEastAsia"/>
          <w:color w:val="auto"/>
          <w:highlight w:val="none"/>
        </w:rPr>
        <w:t>采购代理服务费</w:t>
      </w:r>
      <w:bookmarkEnd w:id="237"/>
    </w:p>
    <w:p w14:paraId="6E95B503">
      <w:pPr>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本项目采购代理服务费</w:t>
      </w:r>
      <w:r>
        <w:rPr>
          <w:rFonts w:hint="eastAsia" w:asciiTheme="minorEastAsia" w:hAnsiTheme="minorEastAsia"/>
          <w:color w:val="auto"/>
          <w:highlight w:val="none"/>
          <w:lang w:val="en-US" w:eastAsia="zh-CN"/>
        </w:rPr>
        <w:t>3</w:t>
      </w:r>
      <w:r>
        <w:rPr>
          <w:rFonts w:hint="eastAsia" w:asciiTheme="minorEastAsia" w:hAnsiTheme="minorEastAsia"/>
          <w:color w:val="auto"/>
          <w:highlight w:val="none"/>
        </w:rPr>
        <w:t>000元，由成交供应商承担并在领取成交通知书时一次性向采购代理机构支付。各供应商在报价时须考虑此费用，项目实施过程中不得以任何理由要求采购人补偿此费用。</w:t>
      </w:r>
    </w:p>
    <w:bookmarkEnd w:id="144"/>
    <w:p w14:paraId="004E18CC">
      <w:pPr>
        <w:pStyle w:val="3"/>
        <w:pageBreakBefore/>
        <w:numPr>
          <w:ilvl w:val="0"/>
          <w:numId w:val="6"/>
        </w:numPr>
        <w:jc w:val="center"/>
        <w:rPr>
          <w:rFonts w:hint="eastAsia" w:asciiTheme="minorEastAsia" w:hAnsiTheme="minorEastAsia"/>
          <w:color w:val="auto"/>
          <w:sz w:val="36"/>
          <w:szCs w:val="30"/>
          <w:highlight w:val="none"/>
        </w:rPr>
      </w:pPr>
      <w:bookmarkStart w:id="238" w:name="_Toc12789059"/>
      <w:bookmarkStart w:id="239" w:name="_Toc11641055"/>
      <w:bookmarkStart w:id="240" w:name="_Toc28162"/>
      <w:bookmarkStart w:id="241" w:name="_Toc10599"/>
      <w:bookmarkStart w:id="242" w:name="_Toc65660365"/>
      <w:bookmarkStart w:id="243" w:name="_Toc14861"/>
      <w:r>
        <w:rPr>
          <w:rFonts w:hint="eastAsia" w:asciiTheme="minorEastAsia" w:hAnsiTheme="minorEastAsia"/>
          <w:color w:val="auto"/>
          <w:sz w:val="36"/>
          <w:szCs w:val="30"/>
          <w:highlight w:val="none"/>
        </w:rPr>
        <w:t xml:space="preserve"> </w:t>
      </w:r>
      <w:bookmarkEnd w:id="238"/>
      <w:bookmarkEnd w:id="239"/>
      <w:bookmarkStart w:id="244" w:name="_Toc7155"/>
      <w:r>
        <w:rPr>
          <w:rFonts w:hint="eastAsia" w:asciiTheme="minorEastAsia" w:hAnsiTheme="minorEastAsia"/>
          <w:color w:val="auto"/>
          <w:sz w:val="36"/>
          <w:szCs w:val="30"/>
          <w:highlight w:val="none"/>
        </w:rPr>
        <w:t>合同</w:t>
      </w:r>
      <w:bookmarkEnd w:id="240"/>
      <w:bookmarkEnd w:id="241"/>
      <w:bookmarkEnd w:id="242"/>
      <w:bookmarkEnd w:id="243"/>
      <w:r>
        <w:rPr>
          <w:rFonts w:hint="eastAsia" w:asciiTheme="minorEastAsia" w:hAnsiTheme="minorEastAsia"/>
          <w:color w:val="auto"/>
          <w:sz w:val="36"/>
          <w:szCs w:val="30"/>
          <w:highlight w:val="none"/>
        </w:rPr>
        <w:t>格式</w:t>
      </w:r>
      <w:bookmarkEnd w:id="244"/>
    </w:p>
    <w:p w14:paraId="4F1A0261">
      <w:pPr>
        <w:rPr>
          <w:rFonts w:hint="eastAsia"/>
          <w:color w:val="auto"/>
          <w:highlight w:val="none"/>
        </w:rPr>
      </w:pPr>
      <w:r>
        <w:rPr>
          <w:rFonts w:hint="eastAsia"/>
          <w:color w:val="auto"/>
          <w:highlight w:val="none"/>
        </w:rPr>
        <w:t>由采购人与成交供应商协商签订。</w:t>
      </w:r>
    </w:p>
    <w:p w14:paraId="33DA2CE4">
      <w:pPr>
        <w:spacing w:line="400" w:lineRule="exact"/>
        <w:ind w:right="12" w:firstLine="480"/>
        <w:rPr>
          <w:rFonts w:hint="eastAsia" w:cs="仿宋" w:asciiTheme="minorEastAsia" w:hAnsiTheme="minorEastAsia"/>
          <w:color w:val="auto"/>
          <w:highlight w:val="none"/>
        </w:rPr>
      </w:pPr>
    </w:p>
    <w:p w14:paraId="53F8ED09">
      <w:pPr>
        <w:pStyle w:val="3"/>
        <w:pageBreakBefore/>
        <w:jc w:val="center"/>
        <w:rPr>
          <w:rFonts w:hint="eastAsia" w:asciiTheme="minorEastAsia" w:hAnsiTheme="minorEastAsia"/>
          <w:color w:val="auto"/>
          <w:sz w:val="36"/>
          <w:szCs w:val="30"/>
          <w:highlight w:val="none"/>
        </w:rPr>
      </w:pPr>
      <w:bookmarkStart w:id="245" w:name="_Hlt41879464"/>
      <w:bookmarkEnd w:id="245"/>
      <w:bookmarkStart w:id="246" w:name="_Toc27802"/>
      <w:bookmarkStart w:id="247" w:name="_Toc65660378"/>
      <w:bookmarkStart w:id="248" w:name="_Toc18521"/>
      <w:bookmarkStart w:id="249" w:name="_Toc6968"/>
      <w:bookmarkStart w:id="250" w:name="_Toc9538"/>
      <w:bookmarkStart w:id="251" w:name="_Toc12789072"/>
      <w:r>
        <w:rPr>
          <w:rFonts w:hint="eastAsia" w:asciiTheme="minorEastAsia" w:hAnsiTheme="minorEastAsia"/>
          <w:color w:val="auto"/>
          <w:sz w:val="36"/>
          <w:szCs w:val="30"/>
          <w:highlight w:val="none"/>
        </w:rPr>
        <w:t>第七篇  响应文件格式要求</w:t>
      </w:r>
      <w:bookmarkEnd w:id="246"/>
      <w:bookmarkEnd w:id="247"/>
      <w:bookmarkEnd w:id="248"/>
      <w:bookmarkEnd w:id="249"/>
      <w:bookmarkEnd w:id="250"/>
      <w:bookmarkEnd w:id="251"/>
    </w:p>
    <w:p w14:paraId="0FAA53AE">
      <w:pPr>
        <w:spacing w:line="400" w:lineRule="exact"/>
        <w:ind w:firstLine="482" w:firstLineChars="200"/>
        <w:rPr>
          <w:rFonts w:hint="eastAsia" w:asciiTheme="minorEastAsia" w:hAnsiTheme="minorEastAsia"/>
          <w:b/>
          <w:color w:val="auto"/>
          <w:highlight w:val="none"/>
        </w:rPr>
      </w:pPr>
      <w:r>
        <w:rPr>
          <w:rFonts w:hint="eastAsia" w:asciiTheme="minorEastAsia" w:hAnsiTheme="minorEastAsia"/>
          <w:b/>
          <w:color w:val="auto"/>
          <w:highlight w:val="none"/>
        </w:rPr>
        <w:t>一、经济部分</w:t>
      </w:r>
    </w:p>
    <w:p w14:paraId="1458F2C9">
      <w:pPr>
        <w:snapToGrid w:val="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（一）报价函</w:t>
      </w:r>
    </w:p>
    <w:p w14:paraId="3366C1D1">
      <w:pPr>
        <w:snapToGrid w:val="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（二）分项报价明细表</w:t>
      </w:r>
    </w:p>
    <w:p w14:paraId="08263CA1">
      <w:pPr>
        <w:spacing w:line="400" w:lineRule="exact"/>
        <w:ind w:firstLine="482" w:firstLineChars="200"/>
        <w:rPr>
          <w:rFonts w:hint="eastAsia" w:asciiTheme="minorEastAsia" w:hAnsiTheme="minorEastAsia"/>
          <w:b/>
          <w:color w:val="auto"/>
          <w:highlight w:val="none"/>
        </w:rPr>
      </w:pPr>
      <w:r>
        <w:rPr>
          <w:rFonts w:hint="eastAsia" w:asciiTheme="minorEastAsia" w:hAnsiTheme="minorEastAsia"/>
          <w:b/>
          <w:color w:val="auto"/>
          <w:highlight w:val="none"/>
        </w:rPr>
        <w:t>二、技术（质量）部分</w:t>
      </w:r>
    </w:p>
    <w:p w14:paraId="3DF0ADD4">
      <w:pPr>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技术（质量）响应承诺</w:t>
      </w:r>
    </w:p>
    <w:p w14:paraId="5549607A">
      <w:pPr>
        <w:spacing w:line="400" w:lineRule="exact"/>
        <w:ind w:firstLine="482" w:firstLineChars="200"/>
        <w:rPr>
          <w:rFonts w:hint="eastAsia" w:asciiTheme="minorEastAsia" w:hAnsiTheme="minorEastAsia"/>
          <w:b/>
          <w:color w:val="auto"/>
          <w:highlight w:val="none"/>
        </w:rPr>
      </w:pPr>
      <w:r>
        <w:rPr>
          <w:rFonts w:hint="eastAsia" w:asciiTheme="minorEastAsia" w:hAnsiTheme="minorEastAsia"/>
          <w:b/>
          <w:color w:val="auto"/>
          <w:highlight w:val="none"/>
        </w:rPr>
        <w:t>三、商务部分</w:t>
      </w:r>
    </w:p>
    <w:p w14:paraId="7B070694">
      <w:pPr>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商务响应承诺</w:t>
      </w:r>
    </w:p>
    <w:p w14:paraId="579448EF">
      <w:pPr>
        <w:spacing w:line="400" w:lineRule="exact"/>
        <w:ind w:firstLine="482" w:firstLineChars="200"/>
        <w:rPr>
          <w:rFonts w:hint="eastAsia" w:asciiTheme="minorEastAsia" w:hAnsiTheme="minorEastAsia"/>
          <w:b/>
          <w:color w:val="auto"/>
          <w:highlight w:val="none"/>
        </w:rPr>
      </w:pPr>
      <w:r>
        <w:rPr>
          <w:rFonts w:hint="eastAsia" w:asciiTheme="minorEastAsia" w:hAnsiTheme="minorEastAsia"/>
          <w:b/>
          <w:color w:val="auto"/>
          <w:highlight w:val="none"/>
        </w:rPr>
        <w:t>四、资格条件及其他</w:t>
      </w:r>
    </w:p>
    <w:p w14:paraId="6EBEEBB0">
      <w:pPr>
        <w:snapToGrid w:val="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（一）法人营业执照（副本）或事业单位法人证书（副本）或个体工商户营业执照或社会团体法人登记证书</w:t>
      </w:r>
    </w:p>
    <w:p w14:paraId="2D64AA3C">
      <w:pPr>
        <w:snapToGrid w:val="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（二）法定代表人身份证明书（格式）</w:t>
      </w:r>
    </w:p>
    <w:p w14:paraId="09E39DD6">
      <w:pPr>
        <w:snapToGrid w:val="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（三）法定代表人授权委托书（格式）</w:t>
      </w:r>
    </w:p>
    <w:p w14:paraId="7C2ACCA4">
      <w:pPr>
        <w:snapToGrid w:val="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（四）基本资格条件承诺函（格式）</w:t>
      </w:r>
    </w:p>
    <w:p w14:paraId="10F9AEBC">
      <w:pPr>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（五）特定资格条件证书或证明文件</w:t>
      </w:r>
    </w:p>
    <w:p w14:paraId="55B11F36">
      <w:pPr>
        <w:spacing w:line="400" w:lineRule="exact"/>
        <w:ind w:firstLine="482" w:firstLineChars="200"/>
        <w:rPr>
          <w:rFonts w:hint="eastAsia" w:asciiTheme="minorEastAsia" w:hAnsiTheme="minorEastAsia"/>
          <w:b/>
          <w:color w:val="auto"/>
          <w:highlight w:val="none"/>
        </w:rPr>
      </w:pPr>
      <w:r>
        <w:rPr>
          <w:rFonts w:hint="eastAsia" w:asciiTheme="minorEastAsia" w:hAnsiTheme="minorEastAsia"/>
          <w:b/>
          <w:color w:val="auto"/>
          <w:highlight w:val="none"/>
        </w:rPr>
        <w:t>五、其他资料</w:t>
      </w:r>
    </w:p>
    <w:p w14:paraId="07074E4F">
      <w:pPr>
        <w:snapToGrid w:val="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lang w:eastAsia="zh-CN"/>
        </w:rPr>
        <w:t>供应商认为应该提供的其他资料，包含但不限于</w:t>
      </w:r>
      <w:r>
        <w:rPr>
          <w:rFonts w:hint="eastAsia" w:asciiTheme="minorEastAsia" w:hAnsiTheme="minorEastAsia"/>
          <w:color w:val="auto"/>
          <w:highlight w:val="none"/>
        </w:rPr>
        <w:t>投标企业对公账户开户银行许可证或基本存款账户信息复印件加盖鲜章。</w:t>
      </w:r>
    </w:p>
    <w:p w14:paraId="3E53F18F">
      <w:pPr>
        <w:snapToGrid w:val="0"/>
        <w:spacing w:line="360" w:lineRule="auto"/>
        <w:rPr>
          <w:rFonts w:hint="eastAsia" w:asciiTheme="minorEastAsia" w:hAnsiTheme="minorEastAsia"/>
          <w:color w:val="auto"/>
          <w:highlight w:val="none"/>
          <w:bdr w:val="single" w:color="auto" w:sz="4" w:space="0"/>
        </w:rPr>
        <w:sectPr>
          <w:footerReference r:id="rId8" w:type="default"/>
          <w:pgSz w:w="11907" w:h="16840"/>
          <w:pgMar w:top="1134" w:right="1191" w:bottom="1134" w:left="1304" w:header="851" w:footer="992" w:gutter="0"/>
          <w:pgNumType w:fmt="numberInDash"/>
          <w:cols w:space="720" w:num="1"/>
          <w:docGrid w:linePitch="380" w:charSpace="-5735"/>
        </w:sectPr>
      </w:pPr>
    </w:p>
    <w:p w14:paraId="3566D204">
      <w:pPr>
        <w:pStyle w:val="3"/>
        <w:pageBreakBefore/>
        <w:numPr>
          <w:ilvl w:val="0"/>
          <w:numId w:val="7"/>
        </w:numPr>
        <w:spacing w:line="500" w:lineRule="exact"/>
        <w:rPr>
          <w:rFonts w:hint="eastAsia" w:asciiTheme="minorEastAsia" w:hAnsiTheme="minorEastAsia"/>
          <w:b/>
          <w:color w:val="auto"/>
          <w:szCs w:val="28"/>
          <w:highlight w:val="none"/>
        </w:rPr>
      </w:pPr>
      <w:bookmarkStart w:id="252" w:name="_Toc80799903"/>
      <w:bookmarkStart w:id="253" w:name="_Toc429584884"/>
      <w:bookmarkStart w:id="254" w:name="_Toc196642867"/>
      <w:bookmarkStart w:id="255" w:name="_Toc24466"/>
      <w:bookmarkStart w:id="256" w:name="_Toc313008357"/>
      <w:bookmarkStart w:id="257" w:name="_Toc342913420"/>
      <w:bookmarkStart w:id="258" w:name="_Toc26085"/>
      <w:bookmarkStart w:id="259" w:name="_Toc22655"/>
      <w:bookmarkStart w:id="260" w:name="_Toc313888361"/>
      <w:bookmarkStart w:id="261" w:name="_Toc14073"/>
      <w:bookmarkStart w:id="262" w:name="_Toc65660380"/>
      <w:r>
        <w:rPr>
          <w:rFonts w:hint="eastAsia" w:asciiTheme="minorEastAsia" w:hAnsiTheme="minorEastAsia"/>
          <w:b/>
          <w:color w:val="auto"/>
          <w:szCs w:val="28"/>
          <w:highlight w:val="none"/>
        </w:rPr>
        <w:t>经济</w:t>
      </w:r>
      <w:bookmarkEnd w:id="252"/>
      <w:bookmarkEnd w:id="253"/>
      <w:r>
        <w:rPr>
          <w:rFonts w:hint="eastAsia" w:asciiTheme="minorEastAsia" w:hAnsiTheme="minorEastAsia"/>
          <w:b/>
          <w:color w:val="auto"/>
          <w:szCs w:val="28"/>
          <w:highlight w:val="none"/>
        </w:rPr>
        <w:t>部分</w:t>
      </w:r>
      <w:bookmarkEnd w:id="254"/>
      <w:bookmarkEnd w:id="255"/>
    </w:p>
    <w:p w14:paraId="4493BFD7">
      <w:pPr>
        <w:tabs>
          <w:tab w:val="left" w:pos="6300"/>
        </w:tabs>
        <w:snapToGrid w:val="0"/>
        <w:spacing w:line="360" w:lineRule="auto"/>
        <w:jc w:val="center"/>
        <w:rPr>
          <w:rFonts w:hint="eastAsia" w:asciiTheme="minorEastAsia" w:hAnsiTheme="minorEastAsia"/>
          <w:b/>
          <w:color w:val="auto"/>
          <w:szCs w:val="28"/>
          <w:highlight w:val="none"/>
        </w:rPr>
      </w:pPr>
      <w:r>
        <w:rPr>
          <w:rFonts w:hint="eastAsia" w:asciiTheme="minorEastAsia" w:hAnsiTheme="minorEastAsia"/>
          <w:b/>
          <w:color w:val="auto"/>
          <w:szCs w:val="28"/>
          <w:highlight w:val="none"/>
        </w:rPr>
        <w:t>报价函</w:t>
      </w:r>
    </w:p>
    <w:p w14:paraId="73337385">
      <w:pPr>
        <w:tabs>
          <w:tab w:val="left" w:pos="6300"/>
        </w:tabs>
        <w:snapToGrid w:val="0"/>
        <w:spacing w:line="360" w:lineRule="auto"/>
        <w:rPr>
          <w:rFonts w:hint="eastAsia" w:asciiTheme="minorEastAsia" w:hAnsiTheme="minorEastAsia"/>
          <w:color w:val="auto"/>
          <w:highlight w:val="none"/>
        </w:rPr>
      </w:pPr>
      <w:r>
        <w:rPr>
          <w:rFonts w:hint="eastAsia" w:asciiTheme="minorEastAsia" w:hAnsiTheme="minorEastAsia"/>
          <w:color w:val="auto"/>
          <w:highlight w:val="none"/>
          <w:u w:val="single"/>
        </w:rPr>
        <w:t>（采购代理机构名称）</w:t>
      </w:r>
      <w:r>
        <w:rPr>
          <w:rFonts w:hint="eastAsia" w:asciiTheme="minorEastAsia" w:hAnsiTheme="minorEastAsia"/>
          <w:color w:val="auto"/>
          <w:highlight w:val="none"/>
        </w:rPr>
        <w:t>：</w:t>
      </w:r>
    </w:p>
    <w:p w14:paraId="17E39C0C">
      <w:pPr>
        <w:tabs>
          <w:tab w:val="left" w:pos="6300"/>
        </w:tabs>
        <w:snapToGrid w:val="0"/>
        <w:spacing w:line="360" w:lineRule="auto"/>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我方收到____________________________（询价项目名称）的询价通知书，经详细研究，决定参加该询价项目的报价。</w:t>
      </w:r>
    </w:p>
    <w:p w14:paraId="11E62D09">
      <w:pPr>
        <w:tabs>
          <w:tab w:val="left" w:pos="6300"/>
        </w:tabs>
        <w:snapToGrid w:val="0"/>
        <w:spacing w:line="360" w:lineRule="auto"/>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1.愿意按照询价通知书中的一切要求，提供本项目的交货及技术服务，项目总报价</w:t>
      </w:r>
      <w:r>
        <w:rPr>
          <w:rFonts w:hint="eastAsia" w:asciiTheme="minorEastAsia" w:hAnsiTheme="minorEastAsia"/>
          <w:color w:val="auto"/>
          <w:szCs w:val="28"/>
          <w:highlight w:val="none"/>
        </w:rPr>
        <w:t>为人民币小写</w:t>
      </w:r>
      <w:r>
        <w:rPr>
          <w:rFonts w:hint="eastAsia" w:asciiTheme="minorEastAsia" w:hAnsiTheme="minorEastAsia"/>
          <w:color w:val="auto"/>
          <w:szCs w:val="28"/>
          <w:highlight w:val="none"/>
          <w:u w:val="single"/>
        </w:rPr>
        <w:t xml:space="preserve">        （大写：</w:t>
      </w:r>
      <w:r>
        <w:rPr>
          <w:rFonts w:hint="eastAsia" w:asciiTheme="minorEastAsia" w:hAnsiTheme="minorEastAsia"/>
          <w:b/>
          <w:bCs/>
          <w:color w:val="auto"/>
          <w:szCs w:val="28"/>
          <w:highlight w:val="none"/>
          <w:u w:val="single"/>
        </w:rPr>
        <w:t xml:space="preserve">             </w:t>
      </w:r>
      <w:r>
        <w:rPr>
          <w:rFonts w:hint="eastAsia" w:asciiTheme="minorEastAsia" w:hAnsiTheme="minorEastAsia"/>
          <w:color w:val="auto"/>
          <w:szCs w:val="28"/>
          <w:highlight w:val="none"/>
          <w:u w:val="single"/>
        </w:rPr>
        <w:t xml:space="preserve"> ）</w:t>
      </w:r>
      <w:r>
        <w:rPr>
          <w:rFonts w:hint="eastAsia" w:asciiTheme="minorEastAsia" w:hAnsiTheme="minorEastAsia"/>
          <w:color w:val="auto"/>
          <w:szCs w:val="28"/>
          <w:highlight w:val="none"/>
        </w:rPr>
        <w:t xml:space="preserve"> 。</w:t>
      </w:r>
    </w:p>
    <w:p w14:paraId="465A8058">
      <w:pPr>
        <w:tabs>
          <w:tab w:val="left" w:pos="6300"/>
        </w:tabs>
        <w:snapToGrid w:val="0"/>
        <w:spacing w:line="360" w:lineRule="auto"/>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2.我方现提交的响应文件为：响应文件正本</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份，副本</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份。</w:t>
      </w:r>
    </w:p>
    <w:p w14:paraId="18FA9427">
      <w:pPr>
        <w:tabs>
          <w:tab w:val="left" w:pos="6300"/>
        </w:tabs>
        <w:snapToGrid w:val="0"/>
        <w:spacing w:line="360" w:lineRule="auto"/>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3.我方承诺：本次报价的有效期为提交响应文件截止时间起90天。</w:t>
      </w:r>
    </w:p>
    <w:p w14:paraId="60124A06">
      <w:pPr>
        <w:tabs>
          <w:tab w:val="left" w:pos="6300"/>
        </w:tabs>
        <w:snapToGrid w:val="0"/>
        <w:spacing w:line="360" w:lineRule="auto"/>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4.我方完全理解和接受贵方询价通知书的一切规定和要求及评审办法。</w:t>
      </w:r>
    </w:p>
    <w:p w14:paraId="38AEA850">
      <w:pPr>
        <w:tabs>
          <w:tab w:val="left" w:pos="6300"/>
        </w:tabs>
        <w:snapToGrid w:val="0"/>
        <w:spacing w:line="360" w:lineRule="auto"/>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5.在整个询价过程中，我方若有违规行为，接受按照《中华人民共和国政府采购法》和《询价通知书》之规定给予惩罚。</w:t>
      </w:r>
    </w:p>
    <w:p w14:paraId="1F7BE0A1">
      <w:pPr>
        <w:tabs>
          <w:tab w:val="left" w:pos="6300"/>
        </w:tabs>
        <w:snapToGrid w:val="0"/>
        <w:spacing w:line="360" w:lineRule="auto"/>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6.我方若成为成交供应商，将按照询价通知书规定与采购人签订合同，并且严格履行合同义务。本承诺函将成为合同不可分割的一部分，与合同具有同等的法律效力。</w:t>
      </w:r>
    </w:p>
    <w:p w14:paraId="6E65329D">
      <w:pPr>
        <w:tabs>
          <w:tab w:val="left" w:pos="6300"/>
        </w:tabs>
        <w:snapToGrid w:val="0"/>
        <w:spacing w:line="360" w:lineRule="auto"/>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7.我方同意按询价通知书规定，交纳询价通知书要求的保证金。如果我方成为成交供应商，保证在接到成交通知书后，向采购代理机构缴纳询价通知书规定的采购代理服务费。</w:t>
      </w:r>
    </w:p>
    <w:p w14:paraId="3B539EBB">
      <w:pPr>
        <w:tabs>
          <w:tab w:val="left" w:pos="6300"/>
        </w:tabs>
        <w:snapToGrid w:val="0"/>
        <w:spacing w:line="360" w:lineRule="auto"/>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8.</w:t>
      </w:r>
      <w:r>
        <w:rPr>
          <w:rFonts w:hint="eastAsia" w:asciiTheme="minorEastAsia" w:hAnsiTheme="minorEastAsia"/>
          <w:color w:val="auto"/>
          <w:szCs w:val="28"/>
          <w:highlight w:val="none"/>
        </w:rPr>
        <w:t>我方未</w:t>
      </w:r>
      <w:r>
        <w:rPr>
          <w:rFonts w:asciiTheme="minorEastAsia" w:hAnsiTheme="minorEastAsia"/>
          <w:color w:val="auto"/>
          <w:highlight w:val="none"/>
        </w:rPr>
        <w:t>为采购项目提供整体设计、规范编制或者项目管理、监理、检测等服务。</w:t>
      </w:r>
    </w:p>
    <w:p w14:paraId="11FD42C7">
      <w:pPr>
        <w:tabs>
          <w:tab w:val="left" w:pos="6300"/>
        </w:tabs>
        <w:snapToGrid w:val="0"/>
        <w:spacing w:line="360" w:lineRule="auto"/>
        <w:ind w:firstLine="570"/>
        <w:rPr>
          <w:rFonts w:hint="eastAsia" w:asciiTheme="minorEastAsia" w:hAnsiTheme="minorEastAsia"/>
          <w:color w:val="auto"/>
          <w:highlight w:val="none"/>
        </w:rPr>
      </w:pPr>
      <w:bookmarkStart w:id="263" w:name="OLE_LINK2"/>
      <w:r>
        <w:rPr>
          <w:rFonts w:hint="eastAsia" w:asciiTheme="minorEastAsia" w:hAnsiTheme="minorEastAsia"/>
          <w:color w:val="auto"/>
          <w:highlight w:val="none"/>
        </w:rPr>
        <w:t>供应商（公章）：</w:t>
      </w:r>
    </w:p>
    <w:p w14:paraId="3BF793C6">
      <w:pPr>
        <w:tabs>
          <w:tab w:val="left" w:pos="6300"/>
        </w:tabs>
        <w:snapToGrid w:val="0"/>
        <w:spacing w:line="360" w:lineRule="auto"/>
        <w:ind w:firstLine="570"/>
        <w:rPr>
          <w:rFonts w:hint="eastAsia" w:asciiTheme="minorEastAsia" w:hAnsiTheme="minorEastAsia"/>
          <w:color w:val="auto"/>
          <w:highlight w:val="none"/>
        </w:rPr>
      </w:pPr>
      <w:r>
        <w:rPr>
          <w:rFonts w:hint="eastAsia" w:asciiTheme="minorEastAsia" w:hAnsiTheme="minorEastAsia"/>
          <w:color w:val="auto"/>
          <w:highlight w:val="none"/>
        </w:rPr>
        <w:t xml:space="preserve">地址：  </w:t>
      </w:r>
    </w:p>
    <w:p w14:paraId="23ECF7B6">
      <w:pPr>
        <w:tabs>
          <w:tab w:val="left" w:pos="6300"/>
        </w:tabs>
        <w:snapToGrid w:val="0"/>
        <w:spacing w:line="360" w:lineRule="auto"/>
        <w:ind w:firstLine="570"/>
        <w:rPr>
          <w:rFonts w:hint="eastAsia" w:asciiTheme="minorEastAsia" w:hAnsiTheme="minorEastAsia"/>
          <w:color w:val="auto"/>
          <w:highlight w:val="none"/>
        </w:rPr>
      </w:pPr>
      <w:r>
        <w:rPr>
          <w:rFonts w:hint="eastAsia" w:asciiTheme="minorEastAsia" w:hAnsiTheme="minorEastAsia"/>
          <w:color w:val="auto"/>
          <w:highlight w:val="none"/>
        </w:rPr>
        <w:t>电话：                           传真：</w:t>
      </w:r>
    </w:p>
    <w:p w14:paraId="54E7C05B">
      <w:pPr>
        <w:tabs>
          <w:tab w:val="left" w:pos="6300"/>
        </w:tabs>
        <w:snapToGrid w:val="0"/>
        <w:spacing w:line="360" w:lineRule="auto"/>
        <w:ind w:firstLine="570"/>
        <w:rPr>
          <w:rFonts w:hint="eastAsia" w:asciiTheme="minorEastAsia" w:hAnsiTheme="minorEastAsia"/>
          <w:color w:val="auto"/>
          <w:highlight w:val="none"/>
        </w:rPr>
      </w:pPr>
      <w:r>
        <w:rPr>
          <w:rFonts w:hint="eastAsia" w:asciiTheme="minorEastAsia" w:hAnsiTheme="minorEastAsia"/>
          <w:color w:val="auto"/>
          <w:highlight w:val="none"/>
        </w:rPr>
        <w:t>网址：                           邮编：</w:t>
      </w:r>
    </w:p>
    <w:p w14:paraId="59CB4896">
      <w:pPr>
        <w:tabs>
          <w:tab w:val="left" w:pos="6300"/>
        </w:tabs>
        <w:snapToGrid w:val="0"/>
        <w:spacing w:line="360" w:lineRule="auto"/>
        <w:ind w:firstLine="570"/>
        <w:rPr>
          <w:rFonts w:hint="eastAsia" w:asciiTheme="minorEastAsia" w:hAnsiTheme="minorEastAsia"/>
          <w:color w:val="auto"/>
          <w:highlight w:val="none"/>
        </w:rPr>
      </w:pPr>
      <w:r>
        <w:rPr>
          <w:rFonts w:hint="eastAsia" w:asciiTheme="minorEastAsia" w:hAnsiTheme="minorEastAsia"/>
          <w:color w:val="auto"/>
          <w:highlight w:val="none"/>
        </w:rPr>
        <w:t>联系人：</w:t>
      </w:r>
    </w:p>
    <w:p w14:paraId="66AC810D">
      <w:pPr>
        <w:snapToGrid w:val="0"/>
        <w:spacing w:line="360" w:lineRule="auto"/>
        <w:ind w:firstLine="480" w:firstLineChars="200"/>
        <w:rPr>
          <w:rFonts w:hint="eastAsia" w:asciiTheme="minorEastAsia" w:hAnsiTheme="minorEastAsia"/>
          <w:color w:val="auto"/>
          <w:highlight w:val="none"/>
        </w:rPr>
        <w:sectPr>
          <w:pgSz w:w="11907" w:h="16840"/>
          <w:pgMar w:top="1134" w:right="1191" w:bottom="1134" w:left="1304" w:header="851" w:footer="992" w:gutter="0"/>
          <w:pgNumType w:fmt="numberInDash"/>
          <w:cols w:space="720" w:num="1"/>
          <w:docGrid w:linePitch="380" w:charSpace="-5735"/>
        </w:sectPr>
      </w:pPr>
      <w:r>
        <w:rPr>
          <w:rFonts w:hint="eastAsia" w:asciiTheme="minorEastAsia" w:hAnsiTheme="minorEastAsia"/>
          <w:color w:val="auto"/>
          <w:highlight w:val="none"/>
        </w:rPr>
        <w:t xml:space="preserve">                                      年   月   日</w:t>
      </w:r>
    </w:p>
    <w:bookmarkEnd w:id="263"/>
    <w:p w14:paraId="5ACBFBB9">
      <w:pPr>
        <w:pageBreakBefore/>
        <w:snapToGrid w:val="0"/>
        <w:spacing w:line="500" w:lineRule="exact"/>
        <w:jc w:val="center"/>
        <w:rPr>
          <w:rFonts w:hint="eastAsia" w:asciiTheme="minorEastAsia" w:hAnsiTheme="minorEastAsia"/>
          <w:b/>
          <w:bCs/>
          <w:color w:val="auto"/>
          <w:szCs w:val="28"/>
          <w:highlight w:val="none"/>
        </w:rPr>
      </w:pPr>
      <w:r>
        <w:rPr>
          <w:rFonts w:hint="eastAsia" w:asciiTheme="minorEastAsia" w:hAnsiTheme="minorEastAsia"/>
          <w:color w:val="auto"/>
          <w:szCs w:val="36"/>
          <w:highlight w:val="none"/>
        </w:rPr>
        <w:t>（二）分项报价明细表</w:t>
      </w:r>
    </w:p>
    <w:p w14:paraId="5E84CE09">
      <w:pPr>
        <w:snapToGrid w:val="0"/>
        <w:spacing w:line="400" w:lineRule="exact"/>
        <w:ind w:firstLine="480" w:firstLineChars="200"/>
        <w:rPr>
          <w:rFonts w:hint="eastAsia" w:eastAsia="宋体" w:asciiTheme="minorEastAsia" w:hAnsiTheme="minorEastAsia"/>
          <w:color w:val="auto"/>
          <w:szCs w:val="28"/>
          <w:highlight w:val="none"/>
          <w:lang w:eastAsia="zh-CN"/>
        </w:rPr>
      </w:pPr>
      <w:r>
        <w:rPr>
          <w:rFonts w:hint="eastAsia" w:asciiTheme="minorEastAsia" w:hAnsiTheme="minorEastAsia"/>
          <w:color w:val="auto"/>
          <w:highlight w:val="none"/>
        </w:rPr>
        <w:t>名称：</w:t>
      </w:r>
      <w:r>
        <w:rPr>
          <w:rFonts w:hint="eastAsia" w:asciiTheme="minorEastAsia" w:hAnsiTheme="minorEastAsia"/>
          <w:color w:val="auto"/>
          <w:szCs w:val="28"/>
          <w:highlight w:val="none"/>
          <w:lang w:eastAsia="zh-CN"/>
        </w:rPr>
        <w:t>垫江县残联2025年度基本型辅助器具适配采购</w:t>
      </w:r>
    </w:p>
    <w:tbl>
      <w:tblPr>
        <w:tblStyle w:val="21"/>
        <w:tblW w:w="1463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63"/>
        <w:gridCol w:w="1036"/>
        <w:gridCol w:w="1584"/>
        <w:gridCol w:w="1307"/>
        <w:gridCol w:w="5294"/>
        <w:gridCol w:w="1487"/>
        <w:gridCol w:w="1487"/>
        <w:gridCol w:w="1579"/>
      </w:tblGrid>
      <w:tr w14:paraId="72C86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BEA9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F559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类别</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0CCE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产品名称</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9FCE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数量（台/副/个）</w:t>
            </w:r>
          </w:p>
        </w:tc>
        <w:tc>
          <w:tcPr>
            <w:tcW w:w="5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7588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参数</w:t>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CF42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单价（元）</w:t>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256B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合价（元）</w:t>
            </w:r>
          </w:p>
        </w:tc>
        <w:tc>
          <w:tcPr>
            <w:tcW w:w="1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3EF5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货物制造商或货物品牌</w:t>
            </w:r>
          </w:p>
        </w:tc>
      </w:tr>
      <w:tr w14:paraId="642DD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4B76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0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6BED5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个人移动辅助器具</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A052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普通轮椅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30E8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22</w:t>
            </w:r>
          </w:p>
        </w:tc>
        <w:tc>
          <w:tcPr>
            <w:tcW w:w="5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8106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 整车采用优质钢管制成，表面采用电镀处理，加后手刹；总                                                                                                                                                                     长1050mm±100mm,总宽680mm±30mm,总高915mm±30mm,坐宽460mm±30mm，座深420mm±30mm,座与地面510mm±30mm，做与扶手距离220mm±30mm,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 黑格600D靠背坐垫，加厚海绵，外观美丽大方，使用方便，双刹车；</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 前轮为7寸实心轮，后轮为24寸优质南方PU发泡胎，加厚铝车圈；</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 ABS防滑手扶圈；不锈钢护板。</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5、 铁前叉，ABS脚踏板，吹塑扶手 。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6、净重15kg±3kg,总重17KG±3kg</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7、外包装箱尺寸：950-940*270-260*930-920mm±20mm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E29CA">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AEADB">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4E7BD">
            <w:pPr>
              <w:rPr>
                <w:rFonts w:hint="eastAsia" w:ascii="宋体" w:hAnsi="宋体" w:eastAsia="宋体" w:cs="宋体"/>
                <w:i w:val="0"/>
                <w:iCs w:val="0"/>
                <w:color w:val="auto"/>
                <w:sz w:val="18"/>
                <w:szCs w:val="18"/>
                <w:highlight w:val="none"/>
                <w:u w:val="none"/>
              </w:rPr>
            </w:pPr>
          </w:p>
        </w:tc>
      </w:tr>
      <w:tr w14:paraId="19031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3F9B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BB5F98">
            <w:pPr>
              <w:jc w:val="center"/>
              <w:rPr>
                <w:rFonts w:hint="eastAsia" w:ascii="宋体" w:hAnsi="宋体" w:eastAsia="宋体" w:cs="宋体"/>
                <w:i w:val="0"/>
                <w:iCs w:val="0"/>
                <w:color w:val="auto"/>
                <w:sz w:val="18"/>
                <w:szCs w:val="18"/>
                <w:highlight w:val="none"/>
                <w:u w:val="none"/>
              </w:rPr>
            </w:pP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E259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护理型轮椅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F6D3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w:t>
            </w:r>
          </w:p>
        </w:tc>
        <w:tc>
          <w:tcPr>
            <w:tcW w:w="5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D43B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1、整车采用优质钢管制成，表面喷塑处理，靠背可折叠；长、宽、高：81*56*85cm±3cm                                                      2、座宽：46cm±3cm 座高：47cm±3cm 座深：37cm±3cm靠背高：40cm±3cm扶手高：22cm±3cm                                                                    3、前轮：6寸PVC轮，                                                                           4、后轮：16寸一体轮，PU胎                                                                     5、双交叉管，可背折，带线刹，                                                                 6、承重：</w:t>
            </w:r>
            <w:r>
              <w:rPr>
                <w:rStyle w:val="48"/>
                <w:rFonts w:eastAsia="宋体"/>
                <w:color w:val="auto"/>
                <w:sz w:val="18"/>
                <w:szCs w:val="18"/>
                <w:highlight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 xml:space="preserve">100kg                                                                                 7、外包装箱尺寸：950-940*270-260**930-920mm±20mm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0F65A">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A41FD">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F3EE7">
            <w:pPr>
              <w:rPr>
                <w:rFonts w:hint="eastAsia" w:ascii="宋体" w:hAnsi="宋体" w:eastAsia="宋体" w:cs="宋体"/>
                <w:i w:val="0"/>
                <w:iCs w:val="0"/>
                <w:color w:val="auto"/>
                <w:sz w:val="18"/>
                <w:szCs w:val="18"/>
                <w:highlight w:val="none"/>
                <w:u w:val="none"/>
              </w:rPr>
            </w:pPr>
          </w:p>
        </w:tc>
      </w:tr>
      <w:tr w14:paraId="72A4F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82EF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808134">
            <w:pPr>
              <w:jc w:val="center"/>
              <w:rPr>
                <w:rFonts w:hint="eastAsia" w:ascii="宋体" w:hAnsi="宋体" w:eastAsia="宋体" w:cs="宋体"/>
                <w:i w:val="0"/>
                <w:iCs w:val="0"/>
                <w:color w:val="auto"/>
                <w:sz w:val="18"/>
                <w:szCs w:val="18"/>
                <w:highlight w:val="none"/>
                <w:u w:val="none"/>
              </w:rPr>
            </w:pP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7450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功能轮椅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3A3B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58</w:t>
            </w:r>
          </w:p>
        </w:tc>
        <w:tc>
          <w:tcPr>
            <w:tcW w:w="5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9650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 整车采用优质钢管制成，表面喷涂处理，加后手刹；总长：1080mm±100mm,总宽：630mm±30mm,总高：920mm±30mm,坐宽460mm±30mm，座深;420mm±30mm,座与地面480mm±30mm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 网布600D靠背坐垫，透气性好,防水易清理，外观美丽大方，双刹车；</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 前轮为7寸加宽实心轮，后轮为24寸优质PU实心轮，加厚铝车圈；</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 ABS防滑手扶圈；ABS护板。</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 加厚铁前叉，ABS脚踏板，吹塑扶手.扶手可后翻式阶梯扶手方便老年人上下车，可拆卸踏杆方便携带。</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6、净重:18kg±3kg,总重：20KG±3kg</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7、外包装箱尺寸：850±30*260±30*940±30mm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2AB58">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0D464">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F8574">
            <w:pPr>
              <w:rPr>
                <w:rFonts w:hint="eastAsia" w:ascii="宋体" w:hAnsi="宋体" w:eastAsia="宋体" w:cs="宋体"/>
                <w:i w:val="0"/>
                <w:iCs w:val="0"/>
                <w:color w:val="auto"/>
                <w:sz w:val="18"/>
                <w:szCs w:val="18"/>
                <w:highlight w:val="none"/>
                <w:u w:val="none"/>
              </w:rPr>
            </w:pPr>
          </w:p>
        </w:tc>
      </w:tr>
      <w:tr w14:paraId="18A70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A8E7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0E9C88">
            <w:pPr>
              <w:jc w:val="center"/>
              <w:rPr>
                <w:rFonts w:hint="eastAsia" w:ascii="宋体" w:hAnsi="宋体" w:eastAsia="宋体" w:cs="宋体"/>
                <w:i w:val="0"/>
                <w:iCs w:val="0"/>
                <w:color w:val="auto"/>
                <w:sz w:val="18"/>
                <w:szCs w:val="18"/>
                <w:highlight w:val="none"/>
                <w:u w:val="none"/>
              </w:rPr>
            </w:pP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0784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高靠背带便桶轮椅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990C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w:t>
            </w:r>
          </w:p>
        </w:tc>
        <w:tc>
          <w:tcPr>
            <w:tcW w:w="5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6C35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 整车采用优质钢管制成，表面电镀处理，靠背五档可以全躺；总长：1110mm±100mm,总宽：660mm±30mm,总高：960-1250mm,坐宽460mm-440mm，座深;420mm-410,座与地面530mm-540mm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 黑600D靠背坐垫，防水易清理,带大容量便桶，双刹车；</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 前轮为7寸实心轮，后轮为24寸PU实心轮，优质加厚铝车圈；</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 ABS防滑手扶圈；骨科式腿部支架可抬高至水平，可拆卸，便于携带；</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 铁前叉，ABS脚踏板，吹塑扶手</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6、净重:19kg±3kg,总重：21.5KG±3kg</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7、外包装箱尺寸950-930*260-250*940-930mm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B648E">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157BF">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4881B">
            <w:pPr>
              <w:rPr>
                <w:rFonts w:hint="eastAsia" w:ascii="宋体" w:hAnsi="宋体" w:eastAsia="宋体" w:cs="宋体"/>
                <w:i w:val="0"/>
                <w:iCs w:val="0"/>
                <w:color w:val="auto"/>
                <w:sz w:val="18"/>
                <w:szCs w:val="18"/>
                <w:highlight w:val="none"/>
                <w:u w:val="none"/>
              </w:rPr>
            </w:pPr>
          </w:p>
        </w:tc>
      </w:tr>
      <w:tr w14:paraId="794AF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A88C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041960">
            <w:pPr>
              <w:jc w:val="center"/>
              <w:rPr>
                <w:rFonts w:hint="eastAsia" w:ascii="宋体" w:hAnsi="宋体" w:eastAsia="宋体" w:cs="宋体"/>
                <w:i w:val="0"/>
                <w:iCs w:val="0"/>
                <w:color w:val="auto"/>
                <w:sz w:val="18"/>
                <w:szCs w:val="18"/>
                <w:highlight w:val="none"/>
                <w:u w:val="none"/>
              </w:rPr>
            </w:pP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01CB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带座手杖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44DC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43</w:t>
            </w:r>
          </w:p>
        </w:tc>
        <w:tc>
          <w:tcPr>
            <w:tcW w:w="5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3784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 材料：铝合金                                                              2. 管径≥22mm ，壁厚≥1.5mm，表面处理：雾银/咖啡色  尺寸：57-53*31-29*72CM-70cm 长宽高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3. 座位高度：48-49.2CM 能折叠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 单台净重：1KG±0.1kg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80E51">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99E43">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559C4">
            <w:pPr>
              <w:rPr>
                <w:rFonts w:hint="eastAsia" w:ascii="宋体" w:hAnsi="宋体" w:eastAsia="宋体" w:cs="宋体"/>
                <w:i w:val="0"/>
                <w:iCs w:val="0"/>
                <w:color w:val="auto"/>
                <w:sz w:val="18"/>
                <w:szCs w:val="18"/>
                <w:highlight w:val="none"/>
                <w:u w:val="none"/>
              </w:rPr>
            </w:pPr>
          </w:p>
        </w:tc>
      </w:tr>
      <w:tr w14:paraId="2BE7A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BA36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w:t>
            </w: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A671E3">
            <w:pPr>
              <w:jc w:val="center"/>
              <w:rPr>
                <w:rFonts w:hint="eastAsia" w:ascii="宋体" w:hAnsi="宋体" w:eastAsia="宋体" w:cs="宋体"/>
                <w:i w:val="0"/>
                <w:iCs w:val="0"/>
                <w:color w:val="auto"/>
                <w:sz w:val="18"/>
                <w:szCs w:val="18"/>
                <w:highlight w:val="none"/>
                <w:u w:val="none"/>
              </w:rPr>
            </w:pP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CADC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四脚拐杖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DD24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w:t>
            </w:r>
          </w:p>
        </w:tc>
        <w:tc>
          <w:tcPr>
            <w:tcW w:w="5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6564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1、采用高强度氧化铝管上支、A3钢喷涂下支、整体防锈能力强。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2、上支、下支冲有调节孔可供使用者随意调节适用高度,管内装有弹珠按钮，轻松一按可徒手轻松调节，伸缩自如，定位安全可靠，伸长量标识清楚；</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3、下支四脚管做支撑，扩大受力面积。</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4、下支四脚都套有耐磨防滑胶脚，弹性佳，直径不小于13mm。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5、PVC把手不吸汗、不易破损、变形，且使用寿命长。</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6.四脚手杖的向内稳定性能不小于1.5°，向外稳定性能不小于4.0°；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4F83">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F82E5">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5B7B3">
            <w:pPr>
              <w:rPr>
                <w:rFonts w:hint="eastAsia" w:ascii="宋体" w:hAnsi="宋体" w:eastAsia="宋体" w:cs="宋体"/>
                <w:i w:val="0"/>
                <w:iCs w:val="0"/>
                <w:color w:val="auto"/>
                <w:sz w:val="18"/>
                <w:szCs w:val="18"/>
                <w:highlight w:val="none"/>
                <w:u w:val="none"/>
              </w:rPr>
            </w:pPr>
          </w:p>
        </w:tc>
      </w:tr>
      <w:tr w14:paraId="468FED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FC05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w:t>
            </w: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9ED6B4">
            <w:pPr>
              <w:jc w:val="center"/>
              <w:rPr>
                <w:rFonts w:hint="eastAsia" w:ascii="宋体" w:hAnsi="宋体" w:eastAsia="宋体" w:cs="宋体"/>
                <w:i w:val="0"/>
                <w:iCs w:val="0"/>
                <w:color w:val="auto"/>
                <w:sz w:val="18"/>
                <w:szCs w:val="18"/>
                <w:highlight w:val="none"/>
                <w:u w:val="none"/>
              </w:rPr>
            </w:pP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7B2F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手杖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9E42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w:t>
            </w:r>
          </w:p>
        </w:tc>
        <w:tc>
          <w:tcPr>
            <w:tcW w:w="5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6FA7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1、拐杖上、下支管采用高强度特种铝型材焊接而成.表面经氧化处理。</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2、上支冲有9-10个调节孔、下支冲有1个调节孔，可供使用者随意调节适用高度。</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3、采用PVC拐杖头，不吸汗、不易破损。</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4、底部套有弹性好，耐磨系数高的防滑胶脚。调节高度70-94cm，拐杖管材质7003/T=1.2</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5、净重量0.4kg-0.5kg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DCF63">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44DC8">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19986">
            <w:pPr>
              <w:rPr>
                <w:rFonts w:hint="eastAsia" w:ascii="宋体" w:hAnsi="宋体" w:eastAsia="宋体" w:cs="宋体"/>
                <w:i w:val="0"/>
                <w:iCs w:val="0"/>
                <w:color w:val="auto"/>
                <w:sz w:val="18"/>
                <w:szCs w:val="18"/>
                <w:highlight w:val="none"/>
                <w:u w:val="none"/>
              </w:rPr>
            </w:pPr>
          </w:p>
        </w:tc>
      </w:tr>
      <w:tr w14:paraId="61FE9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7780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w:t>
            </w: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65E3C7">
            <w:pPr>
              <w:jc w:val="center"/>
              <w:rPr>
                <w:rFonts w:hint="eastAsia" w:ascii="宋体" w:hAnsi="宋体" w:eastAsia="宋体" w:cs="宋体"/>
                <w:i w:val="0"/>
                <w:iCs w:val="0"/>
                <w:color w:val="auto"/>
                <w:sz w:val="18"/>
                <w:szCs w:val="18"/>
                <w:highlight w:val="none"/>
                <w:u w:val="none"/>
              </w:rPr>
            </w:pP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596B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腋拐（副）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054D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18</w:t>
            </w:r>
          </w:p>
        </w:tc>
        <w:tc>
          <w:tcPr>
            <w:tcW w:w="5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50945">
            <w:pPr>
              <w:keepNext w:val="0"/>
              <w:keepLines w:val="0"/>
              <w:widowControl/>
              <w:suppressLineNumbers w:val="0"/>
              <w:jc w:val="both"/>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1.主架：采用高强度铝合金管，表面氧化处理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2.脚管：采用优质不锈钢管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3.高度：110-133cm，高度8-9档可调，手柄4档可调，固定可靠。</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4.脚垫：耐用橡胶防滑脚垫，耐磨、有弹性，着地性能好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5.手把：采用软性橡胶环保材质，固定牢靠，防滑、符合人体力学设计。</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6.腋托套：采用软性材质，防滑、符合人体力学设计。</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7.净荷载≥100kg。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038A8">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6DDAF">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4FA0E">
            <w:pPr>
              <w:rPr>
                <w:rFonts w:hint="eastAsia" w:ascii="宋体" w:hAnsi="宋体" w:eastAsia="宋体" w:cs="宋体"/>
                <w:i w:val="0"/>
                <w:iCs w:val="0"/>
                <w:color w:val="auto"/>
                <w:sz w:val="18"/>
                <w:szCs w:val="18"/>
                <w:highlight w:val="none"/>
                <w:u w:val="none"/>
              </w:rPr>
            </w:pPr>
          </w:p>
        </w:tc>
      </w:tr>
      <w:tr w14:paraId="2CCEC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664F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w:t>
            </w: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4D8066">
            <w:pPr>
              <w:jc w:val="center"/>
              <w:rPr>
                <w:rFonts w:hint="eastAsia" w:ascii="宋体" w:hAnsi="宋体" w:eastAsia="宋体" w:cs="宋体"/>
                <w:i w:val="0"/>
                <w:iCs w:val="0"/>
                <w:color w:val="auto"/>
                <w:sz w:val="18"/>
                <w:szCs w:val="18"/>
                <w:highlight w:val="none"/>
                <w:u w:val="none"/>
              </w:rPr>
            </w:pP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7AA9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肘拐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B784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5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2403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1、拐杖上、下支管采用高强度特种铝型材焊接而成;.表面经氧化处理。</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2、上支、下支冲有调节孔可供用户随意调节适用高度。</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3、塑料手拐不仅轻便，而且结构设计符合人体手部要求，使用方便。</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4、下支套有耐磨防滑胶脚。调节高度96-119cm，拐杖弯管7003/φ25*1.2T，净重量0.6kg±0.1kg。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452E0">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7561E">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CE755">
            <w:pPr>
              <w:rPr>
                <w:rFonts w:hint="eastAsia" w:ascii="宋体" w:hAnsi="宋体" w:eastAsia="宋体" w:cs="宋体"/>
                <w:i w:val="0"/>
                <w:iCs w:val="0"/>
                <w:color w:val="auto"/>
                <w:sz w:val="18"/>
                <w:szCs w:val="18"/>
                <w:highlight w:val="none"/>
                <w:u w:val="none"/>
              </w:rPr>
            </w:pPr>
          </w:p>
        </w:tc>
      </w:tr>
      <w:tr w14:paraId="450D6E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E556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w:t>
            </w: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8FCB4C">
            <w:pPr>
              <w:jc w:val="center"/>
              <w:rPr>
                <w:rFonts w:hint="eastAsia" w:ascii="宋体" w:hAnsi="宋体" w:eastAsia="宋体" w:cs="宋体"/>
                <w:i w:val="0"/>
                <w:iCs w:val="0"/>
                <w:color w:val="auto"/>
                <w:sz w:val="18"/>
                <w:szCs w:val="18"/>
                <w:highlight w:val="none"/>
                <w:u w:val="none"/>
              </w:rPr>
            </w:pP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F588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框式四轮助行器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D711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c>
          <w:tcPr>
            <w:tcW w:w="5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8F52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1.车架采用加厚优质电镀碳钢材质，稳固支撑身体。</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2.扶手杆采用高密度海绵设计，吸汗防滑，使用舒适；扶手可以左右调节，适应不同肩宽的人使用。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3.固定座垫，乘坐舒适没压力。</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4.四轮设计，防翻、防后仰，使用安全。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5.产品尺寸：高度可调节：100-128cm，前后轮距：63cm-61cm，左右轮距：75cm-72cm。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A2E72">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53226">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58CAA">
            <w:pPr>
              <w:rPr>
                <w:rFonts w:hint="eastAsia" w:ascii="宋体" w:hAnsi="宋体" w:eastAsia="宋体" w:cs="宋体"/>
                <w:i w:val="0"/>
                <w:iCs w:val="0"/>
                <w:color w:val="auto"/>
                <w:sz w:val="18"/>
                <w:szCs w:val="18"/>
                <w:highlight w:val="none"/>
                <w:u w:val="none"/>
              </w:rPr>
            </w:pPr>
          </w:p>
        </w:tc>
      </w:tr>
      <w:tr w14:paraId="3DB61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7B0C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11</w:t>
            </w: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710C0D">
            <w:pPr>
              <w:jc w:val="center"/>
              <w:rPr>
                <w:rFonts w:hint="eastAsia" w:ascii="宋体" w:hAnsi="宋体" w:eastAsia="宋体" w:cs="宋体"/>
                <w:i w:val="0"/>
                <w:iCs w:val="0"/>
                <w:color w:val="auto"/>
                <w:sz w:val="18"/>
                <w:szCs w:val="18"/>
                <w:highlight w:val="none"/>
                <w:u w:val="none"/>
              </w:rPr>
            </w:pP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AA7F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阶梯框式助行器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9F11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w:t>
            </w:r>
          </w:p>
        </w:tc>
        <w:tc>
          <w:tcPr>
            <w:tcW w:w="5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EE8B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1、铝合金氧化车架不仅轻便美观、还具有不退色、防锈能力强,烟火红扁加宽加厚工字,让产品多一份色彩，更加稳固;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2、车架四脚配有伸缩管，可供使用者随意调节适用高度。也适用于不同高度人群使用;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3、四脚都套有耐磨防滑胶脚，让使用者用得放心;</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4、PVC把手：表面作纹条防滑处理、不吸汗、不易破损、变形，且使用寿命长;</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5、可折叠式车型方便携带出行，且能节省占用空间位置;</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6、阶梯式车架型，上阶主要辅助行走作用，下阶功能主要让蹲下的使用者要站起来时抓住下阶把手，辅助其站起来的作用；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7、总宽48CM总长度58CM调节高度74-92CM折叠后宽度56CM车架材质/管厚度AL6063T5 /φ28*1.2KG±0.1kg。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CDD15">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81D77">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8BA2D">
            <w:pPr>
              <w:rPr>
                <w:rFonts w:hint="eastAsia" w:ascii="宋体" w:hAnsi="宋体" w:eastAsia="宋体" w:cs="宋体"/>
                <w:i w:val="0"/>
                <w:iCs w:val="0"/>
                <w:color w:val="auto"/>
                <w:sz w:val="18"/>
                <w:szCs w:val="18"/>
                <w:highlight w:val="none"/>
                <w:u w:val="none"/>
              </w:rPr>
            </w:pPr>
          </w:p>
        </w:tc>
      </w:tr>
      <w:tr w14:paraId="15CDD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BD21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w:t>
            </w: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AA3039">
            <w:pPr>
              <w:jc w:val="center"/>
              <w:rPr>
                <w:rFonts w:hint="eastAsia" w:ascii="宋体" w:hAnsi="宋体" w:eastAsia="宋体" w:cs="宋体"/>
                <w:i w:val="0"/>
                <w:iCs w:val="0"/>
                <w:color w:val="auto"/>
                <w:sz w:val="18"/>
                <w:szCs w:val="18"/>
                <w:highlight w:val="none"/>
                <w:u w:val="none"/>
              </w:rPr>
            </w:pP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9349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手扶两轮助行器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79B3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c>
          <w:tcPr>
            <w:tcW w:w="5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ED77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 框架材质：铝合金，大架管直径≥25mm，管壁厚度≥1.2mm，安全性能好，可折叠结构、美观耐用，使用方便。</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 脚管：管直径28mm±2mm，管壁厚度≥1.2mm，高度可调,脚垫材质为耐磨、有弹性、表面摩擦系数较高的防滑橡胶材料，着地性能好，稳定性佳。前轮外皮采用优质橡胶材质，防滑耐磨。轮毂采用工程聚丙材质，结实耐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 把手高度：高度可调，配发泡手把，防滑、舒适； 8档调节。</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 外形尺寸：（长×宽×高）cm:60-58×50-47×75-95±2，可折叠，可定向。</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 最大承载量≥110kg；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3BB2F">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06815">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96781">
            <w:pPr>
              <w:rPr>
                <w:rFonts w:hint="eastAsia" w:ascii="宋体" w:hAnsi="宋体" w:eastAsia="宋体" w:cs="宋体"/>
                <w:i w:val="0"/>
                <w:iCs w:val="0"/>
                <w:color w:val="auto"/>
                <w:sz w:val="18"/>
                <w:szCs w:val="18"/>
                <w:highlight w:val="none"/>
                <w:u w:val="none"/>
              </w:rPr>
            </w:pPr>
          </w:p>
        </w:tc>
      </w:tr>
      <w:tr w14:paraId="6CF5C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1F09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13</w:t>
            </w: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72026E">
            <w:pPr>
              <w:jc w:val="center"/>
              <w:rPr>
                <w:rFonts w:hint="eastAsia" w:ascii="宋体" w:hAnsi="宋体" w:eastAsia="宋体" w:cs="宋体"/>
                <w:i w:val="0"/>
                <w:iCs w:val="0"/>
                <w:color w:val="auto"/>
                <w:sz w:val="18"/>
                <w:szCs w:val="18"/>
                <w:highlight w:val="none"/>
                <w:u w:val="none"/>
              </w:rPr>
            </w:pP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31D3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铝合金折叠助行器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91BA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5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A065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 框架材质：铝合金，大架管直径≥24mm，管壁厚度≥1.2mm，安全性能好，可折叠结构、美观耐用，使用方便。                                                                                 2. 脚管：管直径28mm±2mm，管壁厚度≥1.2mm，高度可调,脚垫材质为耐磨、有弹性、表面摩擦系数较高的防滑橡胶材料，着地性能好，稳定性佳。</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 把手高度：高度可调，配发泡手把，防滑、舒适；5档调节。</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 外形尺寸：（长×宽×高）cm:53-51×47-45×75-93±2，可折叠，可定向。</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 最大承载量≥105kg；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135A2">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2739C">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9C978">
            <w:pPr>
              <w:rPr>
                <w:rFonts w:hint="eastAsia" w:ascii="宋体" w:hAnsi="宋体" w:eastAsia="宋体" w:cs="宋体"/>
                <w:i w:val="0"/>
                <w:iCs w:val="0"/>
                <w:color w:val="auto"/>
                <w:sz w:val="18"/>
                <w:szCs w:val="18"/>
                <w:highlight w:val="none"/>
                <w:u w:val="none"/>
              </w:rPr>
            </w:pPr>
          </w:p>
        </w:tc>
      </w:tr>
      <w:tr w14:paraId="0A49BF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8FCB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14</w:t>
            </w: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2DBCCC">
            <w:pPr>
              <w:jc w:val="center"/>
              <w:rPr>
                <w:rFonts w:hint="eastAsia" w:ascii="宋体" w:hAnsi="宋体" w:eastAsia="宋体" w:cs="宋体"/>
                <w:i w:val="0"/>
                <w:iCs w:val="0"/>
                <w:color w:val="auto"/>
                <w:sz w:val="18"/>
                <w:szCs w:val="18"/>
                <w:highlight w:val="none"/>
                <w:u w:val="none"/>
              </w:rPr>
            </w:pP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5AF0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九节伸缩盲杖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A270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31</w:t>
            </w:r>
          </w:p>
        </w:tc>
        <w:tc>
          <w:tcPr>
            <w:tcW w:w="5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2917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1.产品符合GB16930.1-2014《安全色标志》和GB/T16930.2-2021《性能要求和试验方法》国家标准；</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2.规格：九节：伸长长度：136cm-139cm；缩短后长度：29cm-27cm；产品重量：216g-200g；节数：伸缩九节；壁厚：0.6mm-0.5mm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3.一拉伸长，一键收合，一键调高低，简单快捷，操作简单</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4.盲杖采用PE材质手柄，舒适握感，无色无味、无毒无害、防滑、耐用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5.盲杖的手柄结构设计适合盲杖使用中多种正确握持，手柄上端装有弹性腕带，不易从手中滑落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6.盲杖采用钛合金杖身，具有强度高，耐蚀性好、耐热性高、硬度大、轻便、耐用耐摔、可反光的特点；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7.盲杖采用合金钢/不锈钢耐磨杖尖，适合在水泥、沥青、砖质等硬质路面上使用,易于更换（可选配旋转头杖尖）；</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8.盲杖具有振动传导信号功能，有敲击声反馈</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9.转动部件转动灵活、连接部件连接牢固，折叠部件方便折叠和打开，无卡滞现象、折叠部件连接部位无明显晃动，其松晃量不大于5mm。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10.产品具有可伸缩，体积小巧，轻量的特点，不占空间，方便携带，</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11.包装：具有独立包装袋、包装盒。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9607F">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4148C">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40FDF">
            <w:pPr>
              <w:rPr>
                <w:rFonts w:hint="eastAsia" w:ascii="宋体" w:hAnsi="宋体" w:eastAsia="宋体" w:cs="宋体"/>
                <w:i w:val="0"/>
                <w:iCs w:val="0"/>
                <w:color w:val="auto"/>
                <w:sz w:val="18"/>
                <w:szCs w:val="18"/>
                <w:highlight w:val="none"/>
                <w:u w:val="none"/>
              </w:rPr>
            </w:pPr>
          </w:p>
        </w:tc>
      </w:tr>
      <w:tr w14:paraId="43D5E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0083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w:t>
            </w:r>
          </w:p>
        </w:tc>
        <w:tc>
          <w:tcPr>
            <w:tcW w:w="10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419B9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个人生活自理和防护辅助器具</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56B0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座便椅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3E2F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w:t>
            </w:r>
          </w:p>
        </w:tc>
        <w:tc>
          <w:tcPr>
            <w:tcW w:w="5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F955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 材质铝钢管喷涂，大架管直径22mm±2mm，壁厚≥0.7mm.产品尺寸（长宽高）55×44×44cm±2cm .便椅可折叠。</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 座面与靠背填充优质海绵，不易变形，柔软舒适。便椅扶手为工程聚丙材质，一次注塑成型，无毛刺，光滑平整。</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 支脚垫材质为耐磨、表面摩擦系数较高的防滑聚氯材料；便桶为工程聚丙材料制作，强度好、触感舒适、美观坚固、座便器可卸下。</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 最大静载荷≥90kg；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5D8BE">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52731">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12926">
            <w:pPr>
              <w:rPr>
                <w:rFonts w:hint="eastAsia" w:ascii="宋体" w:hAnsi="宋体" w:eastAsia="宋体" w:cs="宋体"/>
                <w:i w:val="0"/>
                <w:iCs w:val="0"/>
                <w:color w:val="auto"/>
                <w:sz w:val="18"/>
                <w:szCs w:val="18"/>
                <w:highlight w:val="none"/>
                <w:u w:val="none"/>
              </w:rPr>
            </w:pPr>
          </w:p>
        </w:tc>
      </w:tr>
      <w:tr w14:paraId="7F5C4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8DC3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w:t>
            </w: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1DADA7">
            <w:pPr>
              <w:jc w:val="center"/>
              <w:rPr>
                <w:rFonts w:hint="eastAsia" w:ascii="宋体" w:hAnsi="宋体" w:eastAsia="宋体" w:cs="宋体"/>
                <w:i w:val="0"/>
                <w:iCs w:val="0"/>
                <w:color w:val="auto"/>
                <w:sz w:val="18"/>
                <w:szCs w:val="18"/>
                <w:highlight w:val="none"/>
                <w:u w:val="none"/>
              </w:rPr>
            </w:pP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D01E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洗浴椅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26A4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c>
          <w:tcPr>
            <w:tcW w:w="5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ECD7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1.框架材质：铝合金;坐板高度：38cm-37cm坐板宽度：48-45cm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2.坐板深度：39cm-37cm总宽度：56cm-54cm总高度：68-81cm总长度：42cm-40cm 包装数量：5台包装尺寸：64*58*40cm±2cm;净重/台：3.1kg±1kg，毛重：17.5kg±1kg，管径：2.54cm管厚≥1.25mm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3.材质：铝合金;表面工艺：雾化银色;高度：6档调节;装配方式：拆装.</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4.优点：组装简单,带孔防滑坐板,高度可调节,防滑吸盘大脚垫,防滑靠背,舒适扶手.                                                          5.能自理的老人，孕妇，能自理的残疾人。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13DBE">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E25C8">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09338">
            <w:pPr>
              <w:rPr>
                <w:rFonts w:hint="eastAsia" w:ascii="宋体" w:hAnsi="宋体" w:eastAsia="宋体" w:cs="宋体"/>
                <w:i w:val="0"/>
                <w:iCs w:val="0"/>
                <w:color w:val="auto"/>
                <w:sz w:val="18"/>
                <w:szCs w:val="18"/>
                <w:highlight w:val="none"/>
                <w:u w:val="none"/>
              </w:rPr>
            </w:pPr>
          </w:p>
        </w:tc>
      </w:tr>
      <w:tr w14:paraId="3ABFD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C128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17</w:t>
            </w: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D688B7">
            <w:pPr>
              <w:jc w:val="center"/>
              <w:rPr>
                <w:rFonts w:hint="eastAsia" w:ascii="宋体" w:hAnsi="宋体" w:eastAsia="宋体" w:cs="宋体"/>
                <w:i w:val="0"/>
                <w:iCs w:val="0"/>
                <w:color w:val="auto"/>
                <w:sz w:val="18"/>
                <w:szCs w:val="18"/>
                <w:highlight w:val="none"/>
                <w:u w:val="none"/>
              </w:rPr>
            </w:pP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4235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体位垫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C1C9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5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15AE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 材质：海棉，网眼布</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 规格：47-43*25-22*15-13CM±2cm。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 卧床病人防褥疮翻身护理用。                                                            4. 外套采用3D网眼布，透气防止闷热,内芯采用高密度海棉，久用不塌陷。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C28C4">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5DAC7">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144F0">
            <w:pPr>
              <w:rPr>
                <w:rFonts w:hint="eastAsia" w:ascii="宋体" w:hAnsi="宋体" w:eastAsia="宋体" w:cs="宋体"/>
                <w:i w:val="0"/>
                <w:iCs w:val="0"/>
                <w:color w:val="auto"/>
                <w:sz w:val="18"/>
                <w:szCs w:val="18"/>
                <w:highlight w:val="none"/>
                <w:u w:val="none"/>
              </w:rPr>
            </w:pPr>
          </w:p>
        </w:tc>
      </w:tr>
      <w:tr w14:paraId="39DDE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CD98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18</w:t>
            </w:r>
          </w:p>
        </w:tc>
        <w:tc>
          <w:tcPr>
            <w:tcW w:w="10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65236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个人医疗辅助器具</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927D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防压疮座垫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0B37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c>
          <w:tcPr>
            <w:tcW w:w="5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0D076">
            <w:pPr>
              <w:keepNext w:val="0"/>
              <w:keepLines w:val="0"/>
              <w:widowControl/>
              <w:suppressLineNumbers w:val="0"/>
              <w:spacing w:after="120" w:afterAutospacing="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1．材质：优质PVC面料或绒面环保材质，拥有良好的吸湿透气性能。座垫外套材质防霉、防滑、透气，具有阻燃性，有弹力，能适应坐姿产生的表面张力，有效防止褥疮的生成；</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2．规格：≥420mm*420mm；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3．多气室气垫，外观色泽均匀，无气泡，无杂质，无塑化不均，熔焊部位边缘整齐，气室间分隔整齐、间距相等，每个气室相对独立，各气室热合一个气嘴；</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4.抗菌性能：依据GB/T24253-2009标准进行检测，产品对金黄色葡萄球菌、大肠杆菌、铜绿假单胞菌、白色念珠菌、肺炎克雷伯菌、肠球菌、链球菌的抗菌性能≥99.99%</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5.除螨性能：依据GB/T24253-2009标准进行检测，产品对螨虫的去除率≥99.99%</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★6.产品可配备声光湿度报警器，具有湿度检测报警提醒功能，当检测到尿液浸湿时，可通过声音、红绿蓝三色闪光、震动三种方式进行报警提醒，报警传输距离≥40米；</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7.除满足以上条件规定外，按相应行业标准执行。</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注：以上标★参数须提供经国家认证认可部门认可的检测机构出具的检测报告复印件佐证。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0379E">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5BDFC">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FA5C3">
            <w:pPr>
              <w:rPr>
                <w:rFonts w:hint="eastAsia" w:ascii="宋体" w:hAnsi="宋体" w:eastAsia="宋体" w:cs="宋体"/>
                <w:i w:val="0"/>
                <w:iCs w:val="0"/>
                <w:color w:val="auto"/>
                <w:sz w:val="18"/>
                <w:szCs w:val="18"/>
                <w:highlight w:val="none"/>
                <w:u w:val="none"/>
              </w:rPr>
            </w:pPr>
          </w:p>
        </w:tc>
      </w:tr>
      <w:tr w14:paraId="16999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7C71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19</w:t>
            </w: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23DDB4">
            <w:pPr>
              <w:jc w:val="center"/>
              <w:rPr>
                <w:rFonts w:hint="eastAsia" w:ascii="宋体" w:hAnsi="宋体" w:eastAsia="宋体" w:cs="宋体"/>
                <w:i w:val="0"/>
                <w:iCs w:val="0"/>
                <w:color w:val="auto"/>
                <w:sz w:val="18"/>
                <w:szCs w:val="18"/>
                <w:highlight w:val="none"/>
                <w:u w:val="none"/>
              </w:rPr>
            </w:pP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2701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防压疮床垫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402E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w:t>
            </w:r>
          </w:p>
        </w:tc>
        <w:tc>
          <w:tcPr>
            <w:tcW w:w="5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39E9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 床垫主体为充气床垫。床垫由主机气泵、床面喷气条组成；</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 材质：国际通用≥0.36mm厚度布料及尼龙PVC医用级布料组成，吸湿透气良好。气床垫工作载荷≥135kg。</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 主机：采用ABS工程塑料，主机充气循环系统；气泵充气性能稳定，防寒、防高温的优质橡胶软管；</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 功能：波动、喷气、防霉、防滑、透气，具有阻燃性，有弹力，能适应坐姿产生的表面张力。</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 气条数量：≥22条；</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 充气后尺寸（长*宽*高）：1900*900mm±3mm。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7. 工作电压、频率：220V50HZ气泵村力范围：50～110mmHg气泵流量范围：5～8升/分钟，交替波动周期：10-12分钟；气床垫上的充气泵可正常连续工作不小于24h。</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8. 最大噪声：45dB（A），超静音，省电；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0022B">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FF78E">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63710">
            <w:pPr>
              <w:rPr>
                <w:rFonts w:hint="eastAsia" w:ascii="宋体" w:hAnsi="宋体" w:eastAsia="宋体" w:cs="宋体"/>
                <w:i w:val="0"/>
                <w:iCs w:val="0"/>
                <w:color w:val="auto"/>
                <w:sz w:val="18"/>
                <w:szCs w:val="18"/>
                <w:highlight w:val="none"/>
                <w:u w:val="none"/>
              </w:rPr>
            </w:pPr>
          </w:p>
        </w:tc>
      </w:tr>
      <w:tr w14:paraId="097F9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E2F0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w:t>
            </w: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1D3746">
            <w:pPr>
              <w:jc w:val="center"/>
              <w:rPr>
                <w:rFonts w:hint="eastAsia" w:ascii="宋体" w:hAnsi="宋体" w:eastAsia="宋体" w:cs="宋体"/>
                <w:i w:val="0"/>
                <w:iCs w:val="0"/>
                <w:color w:val="auto"/>
                <w:sz w:val="18"/>
                <w:szCs w:val="18"/>
                <w:highlight w:val="none"/>
                <w:u w:val="none"/>
              </w:rPr>
            </w:pP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317A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儿童站立架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4579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5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C7EC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 餐板和脚踏板：采用木板制作。</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 椅架为A3钢结构架经喷涂。</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 餐台按人体站姿设计，固定架上有调节旋钮，可作适当调节适用高度，为人体提供最佳用餐支撑。</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 转动架通过手摇调节机构，能轻松灵活调节站立架向前倾斜角度最大角度为40度。，调节桌面的角度，调节范围在0-40度之间。</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 四脚配有四个万向轮，均带有自锁功能，方便移动，稳定着地。</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 护胸垫、护脚垫、臀垫、枕头采用一次性成形高密度海绵，外包柔软的PU人造皮革，让人倍感舒适。</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7. 护胸垫、裆垫、可调节宽度，护脚垫：可调节高低。                                         8. 总长81cm±5mm，总宽64cm±5mm，总高79-98cm±5mm，前轮直径7.5cm±5mm，后轮直径7.5cm±5mm，                                                 9. 材质木板+A3钢，承载量75 kg±5kg，净重量24.6 kg±3kg，餐板尺寸长*宽55*36 cm±5mm，裆深可调17-27 cm±5mm，胸垫宽可调19-29 cm，腿垫高可调21-33 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6DD77">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0D934">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7BFB4">
            <w:pPr>
              <w:rPr>
                <w:rFonts w:hint="eastAsia" w:ascii="宋体" w:hAnsi="宋体" w:eastAsia="宋体" w:cs="宋体"/>
                <w:i w:val="0"/>
                <w:iCs w:val="0"/>
                <w:color w:val="auto"/>
                <w:sz w:val="18"/>
                <w:szCs w:val="18"/>
                <w:highlight w:val="none"/>
                <w:u w:val="none"/>
              </w:rPr>
            </w:pPr>
          </w:p>
        </w:tc>
      </w:tr>
      <w:tr w14:paraId="6B31B5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CD03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21</w:t>
            </w: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46B224">
            <w:pPr>
              <w:jc w:val="center"/>
              <w:rPr>
                <w:rFonts w:hint="eastAsia" w:ascii="宋体" w:hAnsi="宋体" w:eastAsia="宋体" w:cs="宋体"/>
                <w:i w:val="0"/>
                <w:iCs w:val="0"/>
                <w:color w:val="auto"/>
                <w:sz w:val="18"/>
                <w:szCs w:val="18"/>
                <w:highlight w:val="none"/>
                <w:u w:val="none"/>
              </w:rPr>
            </w:pP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88B5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坐姿椅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AF82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5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DCB7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 主要技术指标和参数</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1）外形尺寸（长×宽×高）：680mm×600mm×（880～965）mm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2）座位垫宽度：350mm±5mm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3）座位垫深度：350mm±5mm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4）头部靠垫高度：100mm±5mm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5）头部靠垫可调高度：0mm～85mm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6）桌面板长×宽：600mm×400mm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7）桌面板离座垫高：200mm±5mm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8）踏脚板长×宽：345mm×240mm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9）踏脚板上下调节范围：130mm±5mm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10）扶手前后可调距离：150mm±5mm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11）整体仰角：0°～30°</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12）额定承载：≥60kg</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13）配件：护心型固定绑带（1条）</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14）大腿绑带（1条）</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15）脚绑带（2条） 产品用途：用于1～7岁的脑瘫儿童进行坐位保持、坐位平衡、矫正坐姿、防止和治疗畸形。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B7450">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7806F">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0BD5C">
            <w:pPr>
              <w:rPr>
                <w:rFonts w:hint="eastAsia" w:ascii="宋体" w:hAnsi="宋体" w:eastAsia="宋体" w:cs="宋体"/>
                <w:i w:val="0"/>
                <w:iCs w:val="0"/>
                <w:color w:val="auto"/>
                <w:sz w:val="18"/>
                <w:szCs w:val="18"/>
                <w:highlight w:val="none"/>
                <w:u w:val="none"/>
              </w:rPr>
            </w:pPr>
          </w:p>
        </w:tc>
      </w:tr>
      <w:tr w14:paraId="38EC0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040B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22</w:t>
            </w:r>
          </w:p>
        </w:tc>
        <w:tc>
          <w:tcPr>
            <w:tcW w:w="10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511DD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沟通和信息辅助器具</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9C85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单筒望远镜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1606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5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243E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 Q/KJ00⒋ ⒛ 04《助视器技术条件》; GB23719 009《眼科光学和仪器光学助视器》                                                      2. 放大倍率：≥6倍,物镜口径:18mm±2mm；,棱镜材料：BK7；                                                                                    3. 出瞳直径:≥3mm;6.出瞳距离：10.5-11mm；7.视场角：9.5°8±1.伸缩调焦的最大尺寸：3*7.5-12CM;                                                                     4. 近焦距离（指可清晰观察到目标物的最近距离）不大于250mm；                                                                         5. 镜片采用全表面镀膜，物像不变形，成像清晰，不应出现成像弯曲、发毛、边缘带色；</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 不应有肉眼可见的气泡、条纹、白色结石、黑点、白点等；</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7. 镜片表面不应有水迹、指印、油污、尘埃、霉斑等；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7675C">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383B1">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92C16">
            <w:pPr>
              <w:rPr>
                <w:rFonts w:hint="eastAsia" w:ascii="宋体" w:hAnsi="宋体" w:eastAsia="宋体" w:cs="宋体"/>
                <w:i w:val="0"/>
                <w:iCs w:val="0"/>
                <w:color w:val="auto"/>
                <w:sz w:val="18"/>
                <w:szCs w:val="18"/>
                <w:highlight w:val="none"/>
                <w:u w:val="none"/>
              </w:rPr>
            </w:pPr>
          </w:p>
        </w:tc>
      </w:tr>
      <w:tr w14:paraId="629F5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258E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23</w:t>
            </w: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F13E9F">
            <w:pPr>
              <w:jc w:val="center"/>
              <w:rPr>
                <w:rFonts w:hint="eastAsia" w:ascii="宋体" w:hAnsi="宋体" w:eastAsia="宋体" w:cs="宋体"/>
                <w:i w:val="0"/>
                <w:iCs w:val="0"/>
                <w:color w:val="auto"/>
                <w:sz w:val="18"/>
                <w:szCs w:val="18"/>
                <w:highlight w:val="none"/>
                <w:u w:val="none"/>
              </w:rPr>
            </w:pP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8034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闪光门铃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8D93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5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9438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产品组成：发射器，接收器，支架，锂电池，USB线，充电器、说明书（保修卡）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1、接收器:白色 LED 闪光灯，左侧有“选曲”“音量”2个按键，1个充电口。</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2、右侧有开关键，宽电压输入：AC100V-240V。</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3、感应器：有一个自发电按钮，按压发电不用电池。</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4、发射器：按键自发电，无需充电，方便使用，发射器按下时，发射器有蓝色光设计。</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5、接收器：发射器按下时，接收器会提示所选择的音乐，并带七种彩色强闪光震动功能。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6、≥32首提示音乐选择，可闪光提示，音乐提示，震动提示。 铃音大小可调节。</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7、室内阻隔区域≥40米，抗干扰。</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8、接收器使用锂电池蓄电，USB充电，也可更换锂电池，可以随身携带。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4106B">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3A5F9">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0444E">
            <w:pPr>
              <w:rPr>
                <w:rFonts w:hint="eastAsia" w:ascii="宋体" w:hAnsi="宋体" w:eastAsia="宋体" w:cs="宋体"/>
                <w:i w:val="0"/>
                <w:iCs w:val="0"/>
                <w:color w:val="auto"/>
                <w:sz w:val="18"/>
                <w:szCs w:val="18"/>
                <w:highlight w:val="none"/>
                <w:u w:val="none"/>
              </w:rPr>
            </w:pPr>
          </w:p>
        </w:tc>
      </w:tr>
      <w:tr w14:paraId="410AD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53AE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24</w:t>
            </w: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7C947B">
            <w:pPr>
              <w:jc w:val="center"/>
              <w:rPr>
                <w:rFonts w:hint="eastAsia" w:ascii="宋体" w:hAnsi="宋体" w:eastAsia="宋体" w:cs="宋体"/>
                <w:i w:val="0"/>
                <w:iCs w:val="0"/>
                <w:color w:val="auto"/>
                <w:sz w:val="18"/>
                <w:szCs w:val="18"/>
                <w:highlight w:val="none"/>
                <w:u w:val="none"/>
              </w:rPr>
            </w:pP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861C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震动闹钟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D5CD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c>
          <w:tcPr>
            <w:tcW w:w="5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951E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1.产品组成：闹钟、振动器、电源适配器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2.产品材质：钟体及振动器外壳采用ABS工程塑料</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3.规格尺寸：闹钟11cm*11*5.5cm±1cm、显示屏直径≥60mm、振动器9cm*6.5*2.2cm±0.5cm。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4.供电方式：闹钟采用DC5V或3节7号电池供电，振动器内置≥3500毫安≥3.7V锂电池供电。</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1）时间、日期、闹钟时间、闹钟规则同时显示，24小时制/12小时制时间显示任意切换，可显示 月份，日期，显示屏带夜光功能。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2）闹铃具有震动、响铃、闪光功能。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3）触控控制的彩色小夜灯功能，具有≥4种颜色按顺序触控切换（红色绿色蓝色白色）</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4）拨动开关一键设置闹钟模式，顺序为关闭闹钟，1-星期5闹钟、1-星期6闹钟、每周7天闹钟。</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5）振动提示为独立的震动器，以无线方式和闹钟本体链接，具备震动提示。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07412">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9BA67">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17E49">
            <w:pPr>
              <w:rPr>
                <w:rFonts w:hint="eastAsia" w:ascii="宋体" w:hAnsi="宋体" w:eastAsia="宋体" w:cs="宋体"/>
                <w:i w:val="0"/>
                <w:iCs w:val="0"/>
                <w:color w:val="auto"/>
                <w:sz w:val="18"/>
                <w:szCs w:val="18"/>
                <w:highlight w:val="none"/>
                <w:u w:val="none"/>
              </w:rPr>
            </w:pPr>
          </w:p>
        </w:tc>
      </w:tr>
      <w:tr w14:paraId="180946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D1D4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25</w:t>
            </w: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17BD17">
            <w:pPr>
              <w:jc w:val="center"/>
              <w:rPr>
                <w:rFonts w:hint="eastAsia" w:ascii="宋体" w:hAnsi="宋体" w:eastAsia="宋体" w:cs="宋体"/>
                <w:i w:val="0"/>
                <w:iCs w:val="0"/>
                <w:color w:val="auto"/>
                <w:sz w:val="18"/>
                <w:szCs w:val="18"/>
                <w:highlight w:val="none"/>
                <w:u w:val="none"/>
              </w:rPr>
            </w:pP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65D6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助听器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4C06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53</w:t>
            </w:r>
          </w:p>
        </w:tc>
        <w:tc>
          <w:tcPr>
            <w:tcW w:w="5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AF8F5">
            <w:pPr>
              <w:keepNext w:val="0"/>
              <w:keepLines w:val="0"/>
              <w:widowControl/>
              <w:suppressLineNumbers w:val="0"/>
              <w:spacing w:after="120" w:afterAutospacing="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一、全数字助听器：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参数：</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非线性(压缩)测试：人体正常佩戴助听器，在人体正前方50cm与人体耳朵同一水平面，通过仿真嘴播放50dB-90dB声压级(dBSPL)的幅度扫描信号，该扫描信号以1kHz为间隔，在输入信号90dB时，1KHz输出信号106.102dB；2KHz输出信号131.964dB,3KHz；输出信号118.604dB；4KHz输出信号106.102dB【提供第三方权威机构出具的检验报告复印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★2、满档声增益：≤49dB。当外界输入声压＞听力阈值时，自动启动听力保护功能，对超出听力阈值的入耳声压进行压缩。</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★3、对样品进行持续浸水试验。 样品全部浸入水中，  样品最低点低于水面 1.1m ；试验持续时间：30min  试验后，样品可正常使用。【提供第三方权威机构出具的检验报告复印件】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4、等效输入噪声级：≤25dB，总谐波失真：≤1.8%</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5、频率响应范围：200Hz-6000Hz。</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6、电流量：≤2.5mA</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★7、可选智能降噪深度。说明智能降噪深度控制原理。</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8、独立验配通道和频段数：≥16</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9、聆听程序设置：≥7个</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★10、全数字信号处理技术，自动音量控制，勿需手动调节音量，方便用户日常使用。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11、具备自动声反馈抑制功能。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12、具备内置测听功能。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13、具备开机延时功能。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14、具备移频功能、双麦克风技术，数据存储及实时分析系统。</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15、具备低电压提示。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16、具备蓝牙功能。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★17、内置语音评估功能，自动计算语言识别率0～100P。</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18、按用户需求提供多款耳塞或耳模</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★19、具备个人电脑、平板、手机系统验配软件，多模式下编程验配及患者管理功能。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20、具备无线编程功能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★21、助听器直连智能手机接听，勿需辅助配件。并可与各种音频输出设备无中转连接。</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★22、可使用手机链接助听器，居家自主自助测听、验配、微调等功能。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★23，提供免费维保/免费电池供应/每年一次免费性能刷新修正参数</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★24，首次适配后为用户提供3个月的听觉康复训练和言语训练，助听器后言语识别率≥60%；须提供经国家认证认可部门认可的检测机构出具的检测报告复印件佐证以上标★参数。</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注：以上标★参数须提供经国家认证认可部门认可的检测机构出具的检测报告复印件佐证。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39ECB">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1CC35">
            <w:pPr>
              <w:rPr>
                <w:rFonts w:hint="eastAsia" w:ascii="宋体" w:hAnsi="宋体" w:eastAsia="宋体" w:cs="宋体"/>
                <w:i w:val="0"/>
                <w:iCs w:val="0"/>
                <w:color w:val="auto"/>
                <w:sz w:val="18"/>
                <w:szCs w:val="18"/>
                <w:highlight w:val="none"/>
                <w:u w:val="none"/>
              </w:rPr>
            </w:pPr>
          </w:p>
        </w:tc>
        <w:tc>
          <w:tcPr>
            <w:tcW w:w="1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C3F08">
            <w:pPr>
              <w:rPr>
                <w:rFonts w:hint="eastAsia" w:ascii="宋体" w:hAnsi="宋体" w:eastAsia="宋体" w:cs="宋体"/>
                <w:i w:val="0"/>
                <w:iCs w:val="0"/>
                <w:color w:val="auto"/>
                <w:sz w:val="18"/>
                <w:szCs w:val="18"/>
                <w:highlight w:val="none"/>
                <w:u w:val="none"/>
              </w:rPr>
            </w:pPr>
          </w:p>
        </w:tc>
      </w:tr>
      <w:tr w14:paraId="28EC6E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C213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26</w:t>
            </w: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A9839B">
            <w:pPr>
              <w:jc w:val="center"/>
              <w:rPr>
                <w:rFonts w:hint="eastAsia" w:ascii="宋体" w:hAnsi="宋体" w:eastAsia="宋体" w:cs="宋体"/>
                <w:i w:val="0"/>
                <w:iCs w:val="0"/>
                <w:color w:val="auto"/>
                <w:sz w:val="18"/>
                <w:szCs w:val="18"/>
                <w:highlight w:val="none"/>
                <w:u w:val="none"/>
              </w:rPr>
            </w:pP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3F57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滤光镜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D4CA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5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0438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Q/KJ00⒋ ⒛ 04《助视器技术条件》; GB23719 009《眼科光学和仪器光学助视器》                                                                                      1.镜片材料.树脂材质;镜架材料.PC</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2.排除和滤除光束中的散射光线，使光线能与正规之透光轴投入眼睛视觉影像，使视野清晰自然，柔和不刺眼。</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3.镜片夜间有效抵挡刺眼远光强光，提高夜间实物亮度，镜片具有微光增量效果，缓解视觉疲劳，款式通用。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4.防止强光，防紫外线，抵挡炫光，可见光透视率,98（％）</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5.对低视力和眼疾病患者有一定保护作用。                                                                             6.可以配合戴近视镜的朋友使用，把近视镜套在内部使用。                             7、镜高45mm±2mm;镜宽62mm±2mm;鼻宽15mm±2mm；镜腿155mm±2mm,镜框总宽145mm±2mm。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E203B">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A3E1A">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A4A18">
            <w:pPr>
              <w:rPr>
                <w:rFonts w:hint="eastAsia" w:ascii="宋体" w:hAnsi="宋体" w:eastAsia="宋体" w:cs="宋体"/>
                <w:i w:val="0"/>
                <w:iCs w:val="0"/>
                <w:color w:val="auto"/>
                <w:sz w:val="18"/>
                <w:szCs w:val="18"/>
                <w:highlight w:val="none"/>
                <w:u w:val="none"/>
              </w:rPr>
            </w:pPr>
          </w:p>
        </w:tc>
      </w:tr>
      <w:tr w14:paraId="73107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EB39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27</w:t>
            </w: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C691B3">
            <w:pPr>
              <w:jc w:val="center"/>
              <w:rPr>
                <w:rFonts w:hint="eastAsia" w:ascii="宋体" w:hAnsi="宋体" w:eastAsia="宋体" w:cs="宋体"/>
                <w:i w:val="0"/>
                <w:iCs w:val="0"/>
                <w:color w:val="auto"/>
                <w:sz w:val="18"/>
                <w:szCs w:val="18"/>
                <w:highlight w:val="none"/>
                <w:u w:val="none"/>
              </w:rPr>
            </w:pP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8031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盲表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15A5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5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C4C7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执行标准：按GB/T6044-2005《指针式石英手表》国家标准执行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1.内配置进口机芯与进口电池，搭配不锈钢表带，简约大字点加三针显示，可同时满足低视力或老人听力不便，耐用，防沾水，不过敏等特点。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2.盲表由表壳、金属表带、电子机芯、表扣，底盖组成；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3.功能：三针大字点数字显示，清晰超大声音语音报时，防过敏电镀层；</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4.金属电镀层，环保无镍电镀，手表准确度，30天+-3秒内；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5.产品配置说明，不多与3个按键操作，方便低视力和盲人以及老年人使用。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6.大声音报时与闹钟，还增加年、年、日、星期报功能；表面颜色：黑色、白色；</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7.手表总长度，25CM±2CM，可以根据需要缩伸表带长度。</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8.报时/贪睡功能，闹钟功能、生活防水。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03236">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8D2C2">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7C8D0">
            <w:pPr>
              <w:rPr>
                <w:rFonts w:hint="eastAsia" w:ascii="宋体" w:hAnsi="宋体" w:eastAsia="宋体" w:cs="宋体"/>
                <w:i w:val="0"/>
                <w:iCs w:val="0"/>
                <w:color w:val="auto"/>
                <w:sz w:val="18"/>
                <w:szCs w:val="18"/>
                <w:highlight w:val="none"/>
                <w:u w:val="none"/>
              </w:rPr>
            </w:pPr>
          </w:p>
        </w:tc>
      </w:tr>
      <w:tr w14:paraId="221FD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E0E5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28</w:t>
            </w: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DDC90B">
            <w:pPr>
              <w:jc w:val="center"/>
              <w:rPr>
                <w:rFonts w:hint="eastAsia" w:ascii="宋体" w:hAnsi="宋体" w:eastAsia="宋体" w:cs="宋体"/>
                <w:i w:val="0"/>
                <w:iCs w:val="0"/>
                <w:color w:val="auto"/>
                <w:sz w:val="18"/>
                <w:szCs w:val="18"/>
                <w:highlight w:val="none"/>
                <w:u w:val="none"/>
              </w:rPr>
            </w:pP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3EBB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手持式多功能放大镜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7283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c>
          <w:tcPr>
            <w:tcW w:w="5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6652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Q/KJ00⒋ ⒛ 04《助视器技术条件》; GB23719 009《眼科光学和仪器光学助视器》                                                           1、材质：镜面：亚克力/管：硅胶；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2、待机时间：聚合物锂电池≥500mAh，≥10h；</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3、外观尺寸：130-125*100-95*17mm-15(折叠)；226-223*105-100*18-16mm(打开）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4、镜片尺寸：直径90mm±5mm，视觉清晰更舒适</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5、采用优质镜片，健康护眼防蓝光</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6、隐藏式手柄设计，符合人体工程学原理使用更方便。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3F27D">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D822B">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43F7B">
            <w:pPr>
              <w:rPr>
                <w:rFonts w:hint="eastAsia" w:ascii="宋体" w:hAnsi="宋体" w:eastAsia="宋体" w:cs="宋体"/>
                <w:i w:val="0"/>
                <w:iCs w:val="0"/>
                <w:color w:val="auto"/>
                <w:sz w:val="18"/>
                <w:szCs w:val="18"/>
                <w:highlight w:val="none"/>
                <w:u w:val="none"/>
              </w:rPr>
            </w:pPr>
          </w:p>
        </w:tc>
      </w:tr>
      <w:tr w14:paraId="4CA9DF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B5CD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29</w:t>
            </w: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BF6C84">
            <w:pPr>
              <w:jc w:val="center"/>
              <w:rPr>
                <w:rFonts w:hint="eastAsia" w:ascii="宋体" w:hAnsi="宋体" w:eastAsia="宋体" w:cs="宋体"/>
                <w:i w:val="0"/>
                <w:iCs w:val="0"/>
                <w:color w:val="auto"/>
                <w:sz w:val="18"/>
                <w:szCs w:val="18"/>
                <w:highlight w:val="none"/>
                <w:u w:val="none"/>
              </w:rPr>
            </w:pP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2AE0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听书机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B3EA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13</w:t>
            </w:r>
          </w:p>
        </w:tc>
        <w:tc>
          <w:tcPr>
            <w:tcW w:w="5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ACC7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1.执行标准：QB/T 4325-2012</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2.产品组成：听书收音一体机、充电线、挂绳</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3.性能参数：工作电压3.7v、喇叭功率4Ω 5W 、2200mAh蓄电量、数字屏显</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4.材质：ABS外壳、硅胶按键、</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5.规格：机身长99mm宽32mm高66mm（±3mm），显示屏宽38mm高25mm（±3mm），天线长69～165mm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1）一体成型盲文触点按键，全程按键语音提示，内置FM收音机、蓝牙音响、插卡音响、语音记事本、时钟功能，高亮背光按键，音量调节,电子书功能，听书功能。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2）收音机自动搜索电台，99组电台频率记忆。</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3）蓝牙音响可连接手机，播放音乐及接听电话。</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4）插卡音响快捷数字点歌，支持9999个音乐或故事文件，支持64gtf卡，支持64GU盘。</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5）语音记事本最多支持999段语音记录，单个语音记录最长20分钟。注：以上标★参数须提供经国家认证认可部门认可的检测机构出具的检测报告复印件佐证。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7B2CC">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3A291">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2418D">
            <w:pPr>
              <w:rPr>
                <w:rFonts w:hint="eastAsia" w:ascii="宋体" w:hAnsi="宋体" w:eastAsia="宋体" w:cs="宋体"/>
                <w:i w:val="0"/>
                <w:iCs w:val="0"/>
                <w:color w:val="auto"/>
                <w:sz w:val="18"/>
                <w:szCs w:val="18"/>
                <w:highlight w:val="none"/>
                <w:u w:val="none"/>
              </w:rPr>
            </w:pPr>
          </w:p>
        </w:tc>
      </w:tr>
      <w:tr w14:paraId="76AA3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7CA5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w:t>
            </w: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D512A0">
            <w:pPr>
              <w:jc w:val="center"/>
              <w:rPr>
                <w:rFonts w:hint="eastAsia" w:ascii="宋体" w:hAnsi="宋体" w:eastAsia="宋体" w:cs="宋体"/>
                <w:i w:val="0"/>
                <w:iCs w:val="0"/>
                <w:color w:val="auto"/>
                <w:sz w:val="18"/>
                <w:szCs w:val="18"/>
                <w:highlight w:val="none"/>
                <w:u w:val="none"/>
              </w:rPr>
            </w:pP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FC75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中距离眼镜式助视器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8E97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w:t>
            </w:r>
          </w:p>
        </w:tc>
        <w:tc>
          <w:tcPr>
            <w:tcW w:w="5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95AC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Q/KJ00⒋ ⒛ 04《助视器技术条件》; GB23719 009《眼科光学和仪器光学助视器》                                                          1.光学性能：成像清晰，无成像弯曲、发毛、边缘带色。                                        2.光学部件无肉眼可见的气泡、条纹、白色结石、黑点、白点等。                          3.镜片表面无水迹、指印、油污、尘埃、霉斑等。</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4.放大倍率：2.0倍-2.5倍。</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5.至少可清晰观察3米处目标物,最远可清晰观察5米处目标物,重量：40克±3g,镜片尺寸35mm±3mm.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6.镜架材质：PP、镜片材质：PC、PMMA、包装材质：防护袋。                                                                           7.具有双调焦轮，并且调焦轮位于镜框边缘，方便调节。                                                                                 8.各调节部件运转灵活，间隙应均匀适当，方便调节。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22ACC">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2C3C6">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5F643">
            <w:pPr>
              <w:rPr>
                <w:rFonts w:hint="eastAsia" w:ascii="宋体" w:hAnsi="宋体" w:eastAsia="宋体" w:cs="宋体"/>
                <w:i w:val="0"/>
                <w:iCs w:val="0"/>
                <w:color w:val="auto"/>
                <w:sz w:val="18"/>
                <w:szCs w:val="18"/>
                <w:highlight w:val="none"/>
                <w:u w:val="none"/>
              </w:rPr>
            </w:pPr>
          </w:p>
        </w:tc>
      </w:tr>
      <w:tr w14:paraId="15F61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5A0D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31</w:t>
            </w: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0B5D03">
            <w:pPr>
              <w:jc w:val="center"/>
              <w:rPr>
                <w:rFonts w:hint="eastAsia" w:ascii="宋体" w:hAnsi="宋体" w:eastAsia="宋体" w:cs="宋体"/>
                <w:i w:val="0"/>
                <w:iCs w:val="0"/>
                <w:color w:val="auto"/>
                <w:sz w:val="18"/>
                <w:szCs w:val="18"/>
                <w:highlight w:val="none"/>
                <w:u w:val="none"/>
              </w:rPr>
            </w:pP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9402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手持电子助视器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EA9D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5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1B80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1.显示屏尺寸：≥3.5寸。</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2.放大倍数：2-24倍。</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3.显示模式:≥4种。</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4.具备画面定格/释放功能。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5.具备屏幕亮度/对比度调节功能。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6.支持阅读功能。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7.具有视频输出功能，可连接电视机显示，具有视频输出接口。</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8.具有省电模式功能，助视器模式下3分钟无移动自动关机。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9.按键具有声音提示功能。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10.记忆功能：关机后自动保存本次色彩模式，放大倍数，视频输出格式，按键音状态，亮度值设置。</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11.打卡关闭照明灯功能。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12.外置可拆卸电池便于更换，电池可连续不间断使用3.5小时。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13．电池电量不足时，容量图标闪烁提示。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16BC8">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27B42">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2E130">
            <w:pPr>
              <w:rPr>
                <w:rFonts w:hint="eastAsia" w:ascii="宋体" w:hAnsi="宋体" w:eastAsia="宋体" w:cs="宋体"/>
                <w:i w:val="0"/>
                <w:iCs w:val="0"/>
                <w:color w:val="auto"/>
                <w:sz w:val="18"/>
                <w:szCs w:val="18"/>
                <w:highlight w:val="none"/>
                <w:u w:val="none"/>
              </w:rPr>
            </w:pPr>
          </w:p>
        </w:tc>
      </w:tr>
      <w:tr w14:paraId="364B7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F063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32</w:t>
            </w:r>
          </w:p>
        </w:tc>
        <w:tc>
          <w:tcPr>
            <w:tcW w:w="10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F7299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家庭和其他场所的家具和适配件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6041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多功能护理床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AC7E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5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1DA1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 规格尺寸2000*900*500mm±5mm,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 功能：起身、左右翻身、上曲腿、下曲腿、就餐、输液、洗头、洗脚、解便、静音轮、折叠护栏。</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 参配及材质：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 背部可升降角度≥0-80，±5.</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 腿部可升降角度≥整体上抬腿25度，整体下曲腿65度。</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 翻身角度（左右翻身）≥0-45，±5.</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 床体载重＜260kg，不变形。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 床框材料：40*80mm±3mm矩形方管，壁厚≥0.9mm，冷轧方管床架，表面静电粉末喷涂。</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 床面材料：优质冷轧方管厚度≥1.1mm。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（7） 床头床尾：采用高级工程材料ABS 床头尾板，加厚床头尾板带暗锁装置，拆卸方便，尾板外侧有病人信息卡查槽。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（8） 护栏：铝合金立柱、侧伏式护栏，可收缩放平，单式按键快速定位保险开关，整体建构合理，坚固耐用，且具有防夹手功能。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（9） 脚轮：125mm±3mm静音脚轮，配备4个制动脚轮，静音耐磨，稳定性强。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（10） 可伸缩不锈钢输液架。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（11） 便携式、就餐桌。</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（12） 摇炳配置：侧面为一个摇炳可左右翻身，前段配置2个摇炳一个可起背一个可以抬腿和曲腿，便孔采用秒开装置。</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4、 床垫：外形与病床尺寸配套，厚度≥60mm，半粽半棉床垫，带拉链，可拆洗，回弹性好，可长期保持床面干净卫生。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EFF68">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536F0">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40DBB">
            <w:pPr>
              <w:rPr>
                <w:rFonts w:hint="eastAsia" w:ascii="宋体" w:hAnsi="宋体" w:eastAsia="宋体" w:cs="宋体"/>
                <w:i w:val="0"/>
                <w:iCs w:val="0"/>
                <w:color w:val="auto"/>
                <w:sz w:val="18"/>
                <w:szCs w:val="18"/>
                <w:highlight w:val="none"/>
                <w:u w:val="none"/>
              </w:rPr>
            </w:pPr>
          </w:p>
        </w:tc>
      </w:tr>
      <w:tr w14:paraId="251C3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756A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33</w:t>
            </w: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4A9309">
            <w:pPr>
              <w:jc w:val="center"/>
              <w:rPr>
                <w:rFonts w:hint="eastAsia" w:ascii="宋体" w:hAnsi="宋体" w:eastAsia="宋体" w:cs="宋体"/>
                <w:i w:val="0"/>
                <w:iCs w:val="0"/>
                <w:color w:val="auto"/>
                <w:sz w:val="18"/>
                <w:szCs w:val="18"/>
                <w:highlight w:val="none"/>
                <w:u w:val="none"/>
              </w:rPr>
            </w:pPr>
          </w:p>
        </w:tc>
        <w:tc>
          <w:tcPr>
            <w:tcW w:w="1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BA60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多功能床靠架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C65A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5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4706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1.材质：高强度碳素钢管+网格布阻燃面料，                                                                 2，免安装，5档可调节，每档角度分别是65,55,45,35，25度，免安装.面料阻燃、免安装、五档可调、承重272斤±5kg;净重：3kg±0.5kg 毛重：3.6kg±51kg                                                                  3.折叠后总宽度为58cm±5cm,总长度为60cm±5cm,总高为7.5cm±5cm；网布底座尺寸：55*52CM±5cm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4.适用人群长期卧床人士、喜欢躺在床上看书看报人士。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548C4">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BF3F1">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6D208">
            <w:pPr>
              <w:rPr>
                <w:rFonts w:hint="eastAsia" w:ascii="宋体" w:hAnsi="宋体" w:eastAsia="宋体" w:cs="宋体"/>
                <w:i w:val="0"/>
                <w:iCs w:val="0"/>
                <w:color w:val="auto"/>
                <w:sz w:val="18"/>
                <w:szCs w:val="18"/>
                <w:highlight w:val="none"/>
                <w:u w:val="none"/>
              </w:rPr>
            </w:pPr>
          </w:p>
        </w:tc>
      </w:tr>
      <w:tr w14:paraId="74FC1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1157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D5F365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项目总报价（元）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90171">
            <w:pP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F46F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r>
    </w:tbl>
    <w:p w14:paraId="3DA7BE35">
      <w:pPr>
        <w:snapToGrid w:val="0"/>
        <w:spacing w:line="400" w:lineRule="exact"/>
        <w:ind w:firstLine="480" w:firstLineChars="200"/>
        <w:rPr>
          <w:rFonts w:hint="eastAsia" w:asciiTheme="minorEastAsia" w:hAnsiTheme="minorEastAsia"/>
          <w:color w:val="auto"/>
          <w:szCs w:val="28"/>
          <w:highlight w:val="none"/>
        </w:rPr>
      </w:pPr>
    </w:p>
    <w:p w14:paraId="3CE1B94F">
      <w:pPr>
        <w:snapToGrid w:val="0"/>
        <w:spacing w:line="400" w:lineRule="exact"/>
        <w:ind w:firstLine="480" w:firstLineChars="200"/>
        <w:rPr>
          <w:rFonts w:hint="eastAsia" w:asciiTheme="minorEastAsia" w:hAnsiTheme="minorEastAsia"/>
          <w:color w:val="auto"/>
          <w:highlight w:val="none"/>
        </w:rPr>
        <w:sectPr>
          <w:pgSz w:w="16840" w:h="11907" w:orient="landscape"/>
          <w:pgMar w:top="1304" w:right="1134" w:bottom="1191" w:left="1134" w:header="851" w:footer="992" w:gutter="0"/>
          <w:pgNumType w:fmt="numberInDash"/>
          <w:cols w:space="720" w:num="1"/>
          <w:docGrid w:linePitch="380" w:charSpace="-5735"/>
        </w:sectPr>
      </w:pPr>
      <w:r>
        <w:rPr>
          <w:rFonts w:hint="eastAsia" w:asciiTheme="minorEastAsia" w:hAnsiTheme="minorEastAsia"/>
          <w:color w:val="auto"/>
          <w:szCs w:val="28"/>
          <w:highlight w:val="none"/>
        </w:rPr>
        <w:t xml:space="preserve">              </w:t>
      </w:r>
      <w:r>
        <w:rPr>
          <w:rFonts w:hint="eastAsia" w:asciiTheme="minorEastAsia" w:hAnsiTheme="minorEastAsia"/>
          <w:color w:val="auto"/>
          <w:highlight w:val="none"/>
        </w:rPr>
        <w:t>供应商（公章）：                                              年   月   日</w:t>
      </w:r>
    </w:p>
    <w:p w14:paraId="3A8EEA09">
      <w:pPr>
        <w:pStyle w:val="3"/>
        <w:spacing w:line="400" w:lineRule="exact"/>
        <w:rPr>
          <w:rFonts w:hint="eastAsia" w:asciiTheme="minorEastAsia" w:hAnsiTheme="minorEastAsia"/>
          <w:color w:val="auto"/>
          <w:highlight w:val="none"/>
        </w:rPr>
      </w:pPr>
      <w:bookmarkStart w:id="264" w:name="_Toc196642868"/>
      <w:bookmarkStart w:id="265" w:name="_Toc25429"/>
      <w:r>
        <w:rPr>
          <w:rFonts w:hint="eastAsia" w:asciiTheme="minorEastAsia" w:hAnsiTheme="minorEastAsia"/>
          <w:color w:val="auto"/>
          <w:highlight w:val="none"/>
        </w:rPr>
        <w:t>二、技术（质量）部分</w:t>
      </w:r>
      <w:bookmarkEnd w:id="256"/>
      <w:bookmarkEnd w:id="257"/>
      <w:bookmarkEnd w:id="258"/>
      <w:bookmarkEnd w:id="259"/>
      <w:bookmarkEnd w:id="260"/>
      <w:bookmarkEnd w:id="261"/>
      <w:bookmarkEnd w:id="262"/>
      <w:bookmarkEnd w:id="264"/>
      <w:bookmarkEnd w:id="265"/>
    </w:p>
    <w:p w14:paraId="17B5290C">
      <w:pPr>
        <w:ind w:firstLine="482" w:firstLineChars="200"/>
        <w:jc w:val="center"/>
        <w:rPr>
          <w:rFonts w:hint="eastAsia" w:asciiTheme="minorEastAsia" w:hAnsiTheme="minorEastAsia"/>
          <w:b/>
          <w:bCs/>
          <w:color w:val="auto"/>
          <w:highlight w:val="none"/>
        </w:rPr>
      </w:pPr>
      <w:r>
        <w:rPr>
          <w:rFonts w:hint="eastAsia" w:asciiTheme="minorEastAsia" w:hAnsiTheme="minorEastAsia"/>
          <w:b/>
          <w:bCs/>
          <w:color w:val="auto"/>
          <w:highlight w:val="none"/>
        </w:rPr>
        <w:t>技术（质量）响应承诺</w:t>
      </w:r>
    </w:p>
    <w:p w14:paraId="1BF479AB">
      <w:pPr>
        <w:tabs>
          <w:tab w:val="left" w:pos="6300"/>
        </w:tabs>
        <w:snapToGrid w:val="0"/>
        <w:spacing w:line="360" w:lineRule="auto"/>
        <w:ind w:firstLine="480" w:firstLineChars="200"/>
        <w:rPr>
          <w:rFonts w:hint="eastAsia"/>
          <w:color w:val="auto"/>
          <w:highlight w:val="none"/>
        </w:rPr>
      </w:pPr>
      <w:r>
        <w:rPr>
          <w:rFonts w:hint="eastAsia"/>
          <w:color w:val="auto"/>
          <w:highlight w:val="none"/>
        </w:rPr>
        <w:t>致</w:t>
      </w:r>
      <w:r>
        <w:rPr>
          <w:rFonts w:hint="eastAsia"/>
          <w:color w:val="auto"/>
          <w:highlight w:val="none"/>
          <w:u w:val="single"/>
        </w:rPr>
        <w:t xml:space="preserve">                   </w:t>
      </w:r>
      <w:r>
        <w:rPr>
          <w:rFonts w:hint="eastAsia"/>
          <w:color w:val="auto"/>
          <w:highlight w:val="none"/>
        </w:rPr>
        <w:t>（采购人名称）：</w:t>
      </w:r>
    </w:p>
    <w:p w14:paraId="0CEC5377">
      <w:pPr>
        <w:tabs>
          <w:tab w:val="left" w:pos="6300"/>
        </w:tabs>
        <w:snapToGrid w:val="0"/>
        <w:spacing w:line="360" w:lineRule="auto"/>
        <w:ind w:firstLine="480" w:firstLineChars="200"/>
        <w:rPr>
          <w:rFonts w:hint="eastAsia"/>
          <w:color w:val="auto"/>
          <w:highlight w:val="none"/>
        </w:rPr>
      </w:pPr>
      <w:r>
        <w:rPr>
          <w:rFonts w:hint="eastAsia"/>
          <w:color w:val="auto"/>
          <w:highlight w:val="none"/>
        </w:rPr>
        <w:t xml:space="preserve">    </w:t>
      </w:r>
      <w:r>
        <w:rPr>
          <w:rFonts w:hint="eastAsia"/>
          <w:color w:val="auto"/>
          <w:highlight w:val="none"/>
          <w:u w:val="single"/>
        </w:rPr>
        <w:t xml:space="preserve">              </w:t>
      </w:r>
      <w:r>
        <w:rPr>
          <w:rFonts w:hint="eastAsia"/>
          <w:color w:val="auto"/>
          <w:highlight w:val="none"/>
        </w:rPr>
        <w:t>（供应商名称）郑重承诺完全响应“第二篇询价项目技术（质量）需求”规定全部内容，具体如下：</w:t>
      </w:r>
    </w:p>
    <w:p w14:paraId="61E4DFAE">
      <w:pPr>
        <w:numPr>
          <w:ilvl w:val="0"/>
          <w:numId w:val="0"/>
        </w:numPr>
        <w:snapToGrid w:val="0"/>
        <w:spacing w:line="400" w:lineRule="exact"/>
        <w:ind w:left="633" w:leftChars="0"/>
        <w:rPr>
          <w:rFonts w:hint="eastAsia" w:asciiTheme="minorEastAsia" w:hAnsiTheme="minorEastAsia"/>
          <w:color w:val="auto"/>
          <w:highlight w:val="none"/>
        </w:rPr>
      </w:pPr>
      <w:r>
        <w:rPr>
          <w:rFonts w:hint="eastAsia" w:asciiTheme="minorEastAsia" w:hAnsiTheme="minorEastAsia"/>
          <w:color w:val="auto"/>
          <w:highlight w:val="none"/>
          <w:lang w:val="en-US" w:eastAsia="zh-CN"/>
        </w:rPr>
        <w:t>1.</w:t>
      </w:r>
      <w:r>
        <w:rPr>
          <w:rFonts w:hint="eastAsia" w:asciiTheme="minorEastAsia" w:hAnsiTheme="minorEastAsia"/>
          <w:color w:val="auto"/>
          <w:highlight w:val="none"/>
        </w:rPr>
        <w:t>项目一览表</w:t>
      </w:r>
    </w:p>
    <w:tbl>
      <w:tblPr>
        <w:tblStyle w:val="21"/>
        <w:tblW w:w="9578"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20"/>
        <w:gridCol w:w="984"/>
        <w:gridCol w:w="1504"/>
        <w:gridCol w:w="1240"/>
        <w:gridCol w:w="5030"/>
      </w:tblGrid>
      <w:tr w14:paraId="7D7AC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8" w:hRule="atLeast"/>
        </w:trPr>
        <w:tc>
          <w:tcPr>
            <w:tcW w:w="820" w:type="dxa"/>
            <w:shd w:val="clear" w:color="auto" w:fill="auto"/>
            <w:noWrap/>
            <w:vAlign w:val="center"/>
          </w:tcPr>
          <w:p w14:paraId="477FABF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序号</w:t>
            </w:r>
          </w:p>
        </w:tc>
        <w:tc>
          <w:tcPr>
            <w:tcW w:w="984" w:type="dxa"/>
            <w:shd w:val="clear" w:color="auto" w:fill="auto"/>
            <w:noWrap/>
            <w:vAlign w:val="center"/>
          </w:tcPr>
          <w:p w14:paraId="386F936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类别</w:t>
            </w:r>
          </w:p>
        </w:tc>
        <w:tc>
          <w:tcPr>
            <w:tcW w:w="1504" w:type="dxa"/>
            <w:shd w:val="clear" w:color="auto" w:fill="auto"/>
            <w:vAlign w:val="center"/>
          </w:tcPr>
          <w:p w14:paraId="10CEE96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产品名称</w:t>
            </w:r>
          </w:p>
        </w:tc>
        <w:tc>
          <w:tcPr>
            <w:tcW w:w="1240" w:type="dxa"/>
            <w:shd w:val="clear" w:color="auto" w:fill="auto"/>
            <w:vAlign w:val="center"/>
          </w:tcPr>
          <w:p w14:paraId="1604DF9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数量（台/副/个）</w:t>
            </w:r>
          </w:p>
        </w:tc>
        <w:tc>
          <w:tcPr>
            <w:tcW w:w="5030" w:type="dxa"/>
            <w:shd w:val="clear" w:color="auto" w:fill="auto"/>
            <w:noWrap/>
            <w:vAlign w:val="center"/>
          </w:tcPr>
          <w:p w14:paraId="744A34F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参数</w:t>
            </w:r>
          </w:p>
        </w:tc>
      </w:tr>
      <w:tr w14:paraId="04928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73" w:hRule="atLeast"/>
        </w:trPr>
        <w:tc>
          <w:tcPr>
            <w:tcW w:w="0" w:type="auto"/>
            <w:shd w:val="clear" w:color="auto" w:fill="auto"/>
            <w:noWrap/>
            <w:vAlign w:val="center"/>
          </w:tcPr>
          <w:p w14:paraId="2253F84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984" w:type="dxa"/>
            <w:vMerge w:val="restart"/>
            <w:shd w:val="clear" w:color="auto" w:fill="auto"/>
            <w:vAlign w:val="center"/>
          </w:tcPr>
          <w:p w14:paraId="0368E77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个人移动辅助器具</w:t>
            </w:r>
          </w:p>
        </w:tc>
        <w:tc>
          <w:tcPr>
            <w:tcW w:w="1504" w:type="dxa"/>
            <w:shd w:val="clear" w:color="auto" w:fill="auto"/>
            <w:vAlign w:val="center"/>
          </w:tcPr>
          <w:p w14:paraId="1B829FE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普通轮椅</w:t>
            </w:r>
          </w:p>
        </w:tc>
        <w:tc>
          <w:tcPr>
            <w:tcW w:w="0" w:type="auto"/>
            <w:shd w:val="clear" w:color="auto" w:fill="auto"/>
            <w:noWrap/>
            <w:vAlign w:val="center"/>
          </w:tcPr>
          <w:p w14:paraId="17E538F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22</w:t>
            </w:r>
          </w:p>
        </w:tc>
        <w:tc>
          <w:tcPr>
            <w:tcW w:w="5030" w:type="dxa"/>
            <w:shd w:val="clear" w:color="auto" w:fill="auto"/>
            <w:vAlign w:val="center"/>
          </w:tcPr>
          <w:p w14:paraId="59BBA59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 整车采用优质钢管制成，表面采用电镀处理，加后手刹；总                                                                                                                                                                     长1050mm±100mm,总宽680mm±30mm,总高915mm±30mm,坐宽460mm±30mm，座深420mm±30mm,座与地面510mm±30mm，做与扶手距离220mm±30mm,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 黑格600D靠背坐垫，加厚海绵，外观美丽大方，使用方便，双刹车；</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 前轮为7寸实心轮，后轮为24寸优质南方PU发泡胎，加厚铝车圈；</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 ABS防滑手扶圈；不锈钢护板。</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5、 铁前叉，ABS脚踏板，吹塑扶手 。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6、净重15kg±3kg,总重17KG±3kg</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7、外包装箱尺寸：950-940*270-260*930-920mm±20mm   </w:t>
            </w:r>
          </w:p>
        </w:tc>
      </w:tr>
      <w:tr w14:paraId="4465B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8" w:hRule="atLeast"/>
        </w:trPr>
        <w:tc>
          <w:tcPr>
            <w:tcW w:w="0" w:type="auto"/>
            <w:shd w:val="clear" w:color="auto" w:fill="auto"/>
            <w:noWrap/>
            <w:vAlign w:val="center"/>
          </w:tcPr>
          <w:p w14:paraId="57336FB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984" w:type="dxa"/>
            <w:vMerge w:val="continue"/>
            <w:shd w:val="clear" w:color="auto" w:fill="auto"/>
            <w:vAlign w:val="center"/>
          </w:tcPr>
          <w:p w14:paraId="68222C44">
            <w:pPr>
              <w:jc w:val="center"/>
              <w:rPr>
                <w:rFonts w:hint="eastAsia" w:ascii="宋体" w:hAnsi="宋体" w:eastAsia="宋体" w:cs="宋体"/>
                <w:i w:val="0"/>
                <w:iCs w:val="0"/>
                <w:color w:val="auto"/>
                <w:sz w:val="18"/>
                <w:szCs w:val="18"/>
                <w:highlight w:val="none"/>
                <w:u w:val="none"/>
              </w:rPr>
            </w:pPr>
          </w:p>
        </w:tc>
        <w:tc>
          <w:tcPr>
            <w:tcW w:w="1504" w:type="dxa"/>
            <w:shd w:val="clear" w:color="auto" w:fill="auto"/>
            <w:vAlign w:val="center"/>
          </w:tcPr>
          <w:p w14:paraId="7FC57B8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护理型轮椅</w:t>
            </w:r>
          </w:p>
        </w:tc>
        <w:tc>
          <w:tcPr>
            <w:tcW w:w="0" w:type="auto"/>
            <w:shd w:val="clear" w:color="auto" w:fill="auto"/>
            <w:noWrap/>
            <w:vAlign w:val="center"/>
          </w:tcPr>
          <w:p w14:paraId="53E1A29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w:t>
            </w:r>
          </w:p>
        </w:tc>
        <w:tc>
          <w:tcPr>
            <w:tcW w:w="5030" w:type="dxa"/>
            <w:shd w:val="clear" w:color="auto" w:fill="auto"/>
            <w:vAlign w:val="center"/>
          </w:tcPr>
          <w:p w14:paraId="0564FE7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1、整车采用优质钢管制成，表面喷塑处理，靠背可折叠；长、宽、高：81*56*85cm±3cm                                                      2、座宽：46cm±3cm 座高：47cm±3cm 座深：37cm±3cm靠背高：40cm±3cm扶手高：22cm±3cm                                                                    3、前轮：6寸PVC轮，                                                                           4、后轮：16寸一体轮，PU胎                                                                     5、双交叉管，可背折，带线刹，                                                                 6、承重：</w:t>
            </w:r>
            <w:r>
              <w:rPr>
                <w:rFonts w:ascii="Arial" w:hAnsi="Arial" w:eastAsia="宋体" w:cs="Arial"/>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 xml:space="preserve">100kg                                                                                 7、外包装箱尺寸：950-940*270-260**930-920mm±20mm  </w:t>
            </w:r>
          </w:p>
        </w:tc>
      </w:tr>
      <w:tr w14:paraId="45E2D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98" w:hRule="atLeast"/>
        </w:trPr>
        <w:tc>
          <w:tcPr>
            <w:tcW w:w="0" w:type="auto"/>
            <w:shd w:val="clear" w:color="auto" w:fill="auto"/>
            <w:noWrap/>
            <w:vAlign w:val="center"/>
          </w:tcPr>
          <w:p w14:paraId="29E6BCB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c>
          <w:tcPr>
            <w:tcW w:w="984" w:type="dxa"/>
            <w:vMerge w:val="continue"/>
            <w:shd w:val="clear" w:color="auto" w:fill="auto"/>
            <w:vAlign w:val="center"/>
          </w:tcPr>
          <w:p w14:paraId="6D387F97">
            <w:pPr>
              <w:jc w:val="center"/>
              <w:rPr>
                <w:rFonts w:hint="eastAsia" w:ascii="宋体" w:hAnsi="宋体" w:eastAsia="宋体" w:cs="宋体"/>
                <w:i w:val="0"/>
                <w:iCs w:val="0"/>
                <w:color w:val="auto"/>
                <w:sz w:val="18"/>
                <w:szCs w:val="18"/>
                <w:highlight w:val="none"/>
                <w:u w:val="none"/>
              </w:rPr>
            </w:pPr>
          </w:p>
        </w:tc>
        <w:tc>
          <w:tcPr>
            <w:tcW w:w="1504" w:type="dxa"/>
            <w:shd w:val="clear" w:color="auto" w:fill="auto"/>
            <w:vAlign w:val="center"/>
          </w:tcPr>
          <w:p w14:paraId="2CBCF5D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功能轮椅</w:t>
            </w:r>
          </w:p>
        </w:tc>
        <w:tc>
          <w:tcPr>
            <w:tcW w:w="0" w:type="auto"/>
            <w:shd w:val="clear" w:color="auto" w:fill="auto"/>
            <w:noWrap/>
            <w:vAlign w:val="center"/>
          </w:tcPr>
          <w:p w14:paraId="6A76864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58</w:t>
            </w:r>
          </w:p>
        </w:tc>
        <w:tc>
          <w:tcPr>
            <w:tcW w:w="5030" w:type="dxa"/>
            <w:shd w:val="clear" w:color="auto" w:fill="auto"/>
            <w:vAlign w:val="center"/>
          </w:tcPr>
          <w:p w14:paraId="7360678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 整车采用优质钢管制成，表面喷涂处理，加后手刹；总长：1080mm±100mm,总宽：630mm±30mm,总高：920mm±30mm,坐宽460mm±30mm，座深;420mm±30mm,座与地面480mm±30mm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 网布600D靠背坐垫，透气性好,防水易清理，外观美丽大方，双刹车；</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 前轮为7寸加宽实心轮，后轮为24寸优质PU实心轮，加厚铝车圈；</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 ABS防滑手扶圈；ABS护板。</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 加厚铁前叉，ABS脚踏板，吹塑扶手.扶手可后翻式阶梯扶手方便老年人上下车，可拆卸踏杆方便携带。</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6、净重:18kg±3kg,总重：20KG±3kg</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7、外包装箱尺寸：850±30*260±30*940±30mm</w:t>
            </w:r>
          </w:p>
        </w:tc>
      </w:tr>
      <w:tr w14:paraId="70EAC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3" w:hRule="atLeast"/>
        </w:trPr>
        <w:tc>
          <w:tcPr>
            <w:tcW w:w="0" w:type="auto"/>
            <w:shd w:val="clear" w:color="auto" w:fill="auto"/>
            <w:noWrap/>
            <w:vAlign w:val="center"/>
          </w:tcPr>
          <w:p w14:paraId="6384531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984" w:type="dxa"/>
            <w:vMerge w:val="continue"/>
            <w:shd w:val="clear" w:color="auto" w:fill="auto"/>
            <w:vAlign w:val="center"/>
          </w:tcPr>
          <w:p w14:paraId="2DF064F6">
            <w:pPr>
              <w:jc w:val="center"/>
              <w:rPr>
                <w:rFonts w:hint="eastAsia" w:ascii="宋体" w:hAnsi="宋体" w:eastAsia="宋体" w:cs="宋体"/>
                <w:i w:val="0"/>
                <w:iCs w:val="0"/>
                <w:color w:val="auto"/>
                <w:sz w:val="18"/>
                <w:szCs w:val="18"/>
                <w:highlight w:val="none"/>
                <w:u w:val="none"/>
              </w:rPr>
            </w:pPr>
          </w:p>
        </w:tc>
        <w:tc>
          <w:tcPr>
            <w:tcW w:w="1504" w:type="dxa"/>
            <w:shd w:val="clear" w:color="auto" w:fill="auto"/>
            <w:vAlign w:val="center"/>
          </w:tcPr>
          <w:p w14:paraId="35E26AC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高靠背带便桶轮椅</w:t>
            </w:r>
          </w:p>
        </w:tc>
        <w:tc>
          <w:tcPr>
            <w:tcW w:w="0" w:type="auto"/>
            <w:shd w:val="clear" w:color="auto" w:fill="auto"/>
            <w:noWrap/>
            <w:vAlign w:val="center"/>
          </w:tcPr>
          <w:p w14:paraId="6A469C7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w:t>
            </w:r>
          </w:p>
        </w:tc>
        <w:tc>
          <w:tcPr>
            <w:tcW w:w="5030" w:type="dxa"/>
            <w:shd w:val="clear" w:color="auto" w:fill="auto"/>
            <w:vAlign w:val="center"/>
          </w:tcPr>
          <w:p w14:paraId="4665856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 整车采用优质钢管制成，表面电镀处理，靠背五档可以全躺；总长：1110mm±100mm,总宽：660mm±30mm,总高：960-1250mm,坐宽460mm-440mm，座深;420mm-410,座与地面530mm-540mm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 黑600D靠背坐垫，防水易清理,带大容量便桶，双刹车；</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 前轮为7寸实心轮，后轮为24寸PU实心轮，优质加厚铝车圈；</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 ABS防滑手扶圈；骨科式腿部支架可抬高至水平，可拆卸，便于携带；</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 铁前叉，ABS脚踏板，吹塑扶手</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6、净重:19kg±3kg,总重：21.5KG±3kg</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7、外包装箱尺寸950-930*260-250*940-930mm</w:t>
            </w:r>
          </w:p>
        </w:tc>
      </w:tr>
      <w:tr w14:paraId="48349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0" w:type="auto"/>
            <w:shd w:val="clear" w:color="auto" w:fill="auto"/>
            <w:noWrap/>
            <w:vAlign w:val="center"/>
          </w:tcPr>
          <w:p w14:paraId="2A83443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c>
          <w:tcPr>
            <w:tcW w:w="984" w:type="dxa"/>
            <w:vMerge w:val="continue"/>
            <w:shd w:val="clear" w:color="auto" w:fill="auto"/>
            <w:vAlign w:val="center"/>
          </w:tcPr>
          <w:p w14:paraId="7AD3C308">
            <w:pPr>
              <w:jc w:val="center"/>
              <w:rPr>
                <w:rFonts w:hint="eastAsia" w:ascii="宋体" w:hAnsi="宋体" w:eastAsia="宋体" w:cs="宋体"/>
                <w:i w:val="0"/>
                <w:iCs w:val="0"/>
                <w:color w:val="auto"/>
                <w:sz w:val="18"/>
                <w:szCs w:val="18"/>
                <w:highlight w:val="none"/>
                <w:u w:val="none"/>
              </w:rPr>
            </w:pPr>
          </w:p>
        </w:tc>
        <w:tc>
          <w:tcPr>
            <w:tcW w:w="1504" w:type="dxa"/>
            <w:shd w:val="clear" w:color="auto" w:fill="auto"/>
            <w:vAlign w:val="center"/>
          </w:tcPr>
          <w:p w14:paraId="535D60E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带座手杖</w:t>
            </w:r>
          </w:p>
        </w:tc>
        <w:tc>
          <w:tcPr>
            <w:tcW w:w="0" w:type="auto"/>
            <w:shd w:val="clear" w:color="auto" w:fill="auto"/>
            <w:noWrap/>
            <w:vAlign w:val="center"/>
          </w:tcPr>
          <w:p w14:paraId="7670BF3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43</w:t>
            </w:r>
          </w:p>
        </w:tc>
        <w:tc>
          <w:tcPr>
            <w:tcW w:w="5030" w:type="dxa"/>
            <w:shd w:val="clear" w:color="auto" w:fill="auto"/>
            <w:vAlign w:val="center"/>
          </w:tcPr>
          <w:p w14:paraId="2746721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 材料：铝合金                                                              2. 管径≥22mm ，壁厚≥1.5mm，表面处理：雾银/咖啡色  尺寸：57-53*31-29*72CM-70cm 长宽高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3. 座位高度：48-49.2CM 能折叠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 单台净重：1KG±0.1kg</w:t>
            </w:r>
          </w:p>
        </w:tc>
      </w:tr>
      <w:tr w14:paraId="03CC8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68" w:hRule="atLeast"/>
        </w:trPr>
        <w:tc>
          <w:tcPr>
            <w:tcW w:w="0" w:type="auto"/>
            <w:shd w:val="clear" w:color="auto" w:fill="auto"/>
            <w:noWrap/>
            <w:vAlign w:val="center"/>
          </w:tcPr>
          <w:p w14:paraId="6928B89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w:t>
            </w:r>
          </w:p>
        </w:tc>
        <w:tc>
          <w:tcPr>
            <w:tcW w:w="984" w:type="dxa"/>
            <w:vMerge w:val="continue"/>
            <w:shd w:val="clear" w:color="auto" w:fill="auto"/>
            <w:vAlign w:val="center"/>
          </w:tcPr>
          <w:p w14:paraId="763AFA0F">
            <w:pPr>
              <w:jc w:val="center"/>
              <w:rPr>
                <w:rFonts w:hint="eastAsia" w:ascii="宋体" w:hAnsi="宋体" w:eastAsia="宋体" w:cs="宋体"/>
                <w:i w:val="0"/>
                <w:iCs w:val="0"/>
                <w:color w:val="auto"/>
                <w:sz w:val="18"/>
                <w:szCs w:val="18"/>
                <w:highlight w:val="none"/>
                <w:u w:val="none"/>
              </w:rPr>
            </w:pPr>
          </w:p>
        </w:tc>
        <w:tc>
          <w:tcPr>
            <w:tcW w:w="1504" w:type="dxa"/>
            <w:shd w:val="clear" w:color="auto" w:fill="auto"/>
            <w:vAlign w:val="center"/>
          </w:tcPr>
          <w:p w14:paraId="3C04034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四脚拐杖</w:t>
            </w:r>
          </w:p>
        </w:tc>
        <w:tc>
          <w:tcPr>
            <w:tcW w:w="0" w:type="auto"/>
            <w:shd w:val="clear" w:color="auto" w:fill="auto"/>
            <w:noWrap/>
            <w:vAlign w:val="center"/>
          </w:tcPr>
          <w:p w14:paraId="3D10B02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w:t>
            </w:r>
          </w:p>
        </w:tc>
        <w:tc>
          <w:tcPr>
            <w:tcW w:w="5030" w:type="dxa"/>
            <w:shd w:val="clear" w:color="auto" w:fill="auto"/>
            <w:vAlign w:val="center"/>
          </w:tcPr>
          <w:p w14:paraId="0895967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1、采用高强度氧化铝管上支、A3钢喷涂下支、整体防锈能力强。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2、上支、下支冲有调节孔可供使用者随意调节适用高度,管内装有弹珠按钮，轻松一按可徒手轻松调节，伸缩自如，定位安全可靠，伸长量标识清楚；</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3、下支四脚管做支撑，扩大受力面积。</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4、下支四脚都套有耐磨防滑胶脚，弹性佳，直径不小于13mm。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5、PVC把手不吸汗、不易破损、变形，且使用寿命长。</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6.四脚手杖的向内稳定性能不小于1.5°，向外稳定性能不小于4.0°；</w:t>
            </w:r>
          </w:p>
        </w:tc>
      </w:tr>
      <w:tr w14:paraId="514E9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48" w:hRule="atLeast"/>
        </w:trPr>
        <w:tc>
          <w:tcPr>
            <w:tcW w:w="0" w:type="auto"/>
            <w:shd w:val="clear" w:color="auto" w:fill="auto"/>
            <w:noWrap/>
            <w:vAlign w:val="center"/>
          </w:tcPr>
          <w:p w14:paraId="07ACB6D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w:t>
            </w:r>
          </w:p>
        </w:tc>
        <w:tc>
          <w:tcPr>
            <w:tcW w:w="984" w:type="dxa"/>
            <w:vMerge w:val="continue"/>
            <w:shd w:val="clear" w:color="auto" w:fill="auto"/>
            <w:vAlign w:val="center"/>
          </w:tcPr>
          <w:p w14:paraId="0A5F9A9B">
            <w:pPr>
              <w:jc w:val="center"/>
              <w:rPr>
                <w:rFonts w:hint="eastAsia" w:ascii="宋体" w:hAnsi="宋体" w:eastAsia="宋体" w:cs="宋体"/>
                <w:i w:val="0"/>
                <w:iCs w:val="0"/>
                <w:color w:val="auto"/>
                <w:sz w:val="18"/>
                <w:szCs w:val="18"/>
                <w:highlight w:val="none"/>
                <w:u w:val="none"/>
              </w:rPr>
            </w:pPr>
          </w:p>
        </w:tc>
        <w:tc>
          <w:tcPr>
            <w:tcW w:w="1504" w:type="dxa"/>
            <w:shd w:val="clear" w:color="auto" w:fill="auto"/>
            <w:vAlign w:val="center"/>
          </w:tcPr>
          <w:p w14:paraId="31A8F9D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手杖</w:t>
            </w:r>
          </w:p>
        </w:tc>
        <w:tc>
          <w:tcPr>
            <w:tcW w:w="0" w:type="auto"/>
            <w:shd w:val="clear" w:color="auto" w:fill="auto"/>
            <w:noWrap/>
            <w:vAlign w:val="center"/>
          </w:tcPr>
          <w:p w14:paraId="717835B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w:t>
            </w:r>
          </w:p>
        </w:tc>
        <w:tc>
          <w:tcPr>
            <w:tcW w:w="5030" w:type="dxa"/>
            <w:shd w:val="clear" w:color="auto" w:fill="auto"/>
            <w:vAlign w:val="center"/>
          </w:tcPr>
          <w:p w14:paraId="19F28FD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1、拐杖上、下支管采用高强度特种铝型材焊接而成.表面经氧化处理。</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2、上支冲有9-10个调节孔、下支冲有1个调节孔，可供使用者随意调节适用高度。</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3、采用PVC拐杖头，不吸汗、不易破损。</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4、底部套有弹性好，耐磨系数高的防滑胶脚。调节高度70-94cm，拐杖管材质7003/T=1.2</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5、净重量0.4kg-0.5kg</w:t>
            </w:r>
          </w:p>
        </w:tc>
      </w:tr>
      <w:tr w14:paraId="4B1F3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23" w:hRule="atLeast"/>
        </w:trPr>
        <w:tc>
          <w:tcPr>
            <w:tcW w:w="0" w:type="auto"/>
            <w:shd w:val="clear" w:color="auto" w:fill="auto"/>
            <w:noWrap/>
            <w:vAlign w:val="center"/>
          </w:tcPr>
          <w:p w14:paraId="1CA4D93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w:t>
            </w:r>
          </w:p>
        </w:tc>
        <w:tc>
          <w:tcPr>
            <w:tcW w:w="984" w:type="dxa"/>
            <w:vMerge w:val="continue"/>
            <w:shd w:val="clear" w:color="auto" w:fill="auto"/>
            <w:vAlign w:val="center"/>
          </w:tcPr>
          <w:p w14:paraId="0F50B47D">
            <w:pPr>
              <w:jc w:val="center"/>
              <w:rPr>
                <w:rFonts w:hint="eastAsia" w:ascii="宋体" w:hAnsi="宋体" w:eastAsia="宋体" w:cs="宋体"/>
                <w:i w:val="0"/>
                <w:iCs w:val="0"/>
                <w:color w:val="auto"/>
                <w:sz w:val="18"/>
                <w:szCs w:val="18"/>
                <w:highlight w:val="none"/>
                <w:u w:val="none"/>
              </w:rPr>
            </w:pPr>
          </w:p>
        </w:tc>
        <w:tc>
          <w:tcPr>
            <w:tcW w:w="1504" w:type="dxa"/>
            <w:shd w:val="clear" w:color="auto" w:fill="auto"/>
            <w:vAlign w:val="center"/>
          </w:tcPr>
          <w:p w14:paraId="6F911A5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腋拐（副）</w:t>
            </w:r>
          </w:p>
        </w:tc>
        <w:tc>
          <w:tcPr>
            <w:tcW w:w="0" w:type="auto"/>
            <w:shd w:val="clear" w:color="auto" w:fill="auto"/>
            <w:noWrap/>
            <w:vAlign w:val="center"/>
          </w:tcPr>
          <w:p w14:paraId="2317785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18</w:t>
            </w:r>
          </w:p>
        </w:tc>
        <w:tc>
          <w:tcPr>
            <w:tcW w:w="5030" w:type="dxa"/>
            <w:shd w:val="clear" w:color="auto" w:fill="auto"/>
            <w:vAlign w:val="center"/>
          </w:tcPr>
          <w:p w14:paraId="535157BE">
            <w:pPr>
              <w:keepNext w:val="0"/>
              <w:keepLines w:val="0"/>
              <w:widowControl/>
              <w:suppressLineNumbers w:val="0"/>
              <w:jc w:val="both"/>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1.主架：采用高强度铝合金管，表面氧化处理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2.脚管：采用优质不锈钢管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3.高度：110-133cm，高度8-9档可调，手柄4档可调，固定可靠。</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4.脚垫：耐用橡胶防滑脚垫，耐磨、有弹性，着地性能好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5.手把：采用软性橡胶环保材质，固定牢靠，防滑、符合人体力学设计。</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6.腋托套：采用软性材质，防滑、符合人体力学设计。</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7.净荷载≥100kg。</w:t>
            </w:r>
          </w:p>
        </w:tc>
      </w:tr>
      <w:tr w14:paraId="42757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28" w:hRule="atLeast"/>
        </w:trPr>
        <w:tc>
          <w:tcPr>
            <w:tcW w:w="0" w:type="auto"/>
            <w:shd w:val="clear" w:color="auto" w:fill="auto"/>
            <w:noWrap/>
            <w:vAlign w:val="center"/>
          </w:tcPr>
          <w:p w14:paraId="0859909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w:t>
            </w:r>
          </w:p>
        </w:tc>
        <w:tc>
          <w:tcPr>
            <w:tcW w:w="984" w:type="dxa"/>
            <w:vMerge w:val="continue"/>
            <w:shd w:val="clear" w:color="auto" w:fill="auto"/>
            <w:vAlign w:val="center"/>
          </w:tcPr>
          <w:p w14:paraId="751B4635">
            <w:pPr>
              <w:jc w:val="center"/>
              <w:rPr>
                <w:rFonts w:hint="eastAsia" w:ascii="宋体" w:hAnsi="宋体" w:eastAsia="宋体" w:cs="宋体"/>
                <w:i w:val="0"/>
                <w:iCs w:val="0"/>
                <w:color w:val="auto"/>
                <w:sz w:val="18"/>
                <w:szCs w:val="18"/>
                <w:highlight w:val="none"/>
                <w:u w:val="none"/>
              </w:rPr>
            </w:pPr>
          </w:p>
        </w:tc>
        <w:tc>
          <w:tcPr>
            <w:tcW w:w="1504" w:type="dxa"/>
            <w:shd w:val="clear" w:color="auto" w:fill="auto"/>
            <w:vAlign w:val="center"/>
          </w:tcPr>
          <w:p w14:paraId="2D5BB00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肘拐</w:t>
            </w:r>
          </w:p>
        </w:tc>
        <w:tc>
          <w:tcPr>
            <w:tcW w:w="0" w:type="auto"/>
            <w:shd w:val="clear" w:color="auto" w:fill="auto"/>
            <w:noWrap/>
            <w:vAlign w:val="center"/>
          </w:tcPr>
          <w:p w14:paraId="2D616E8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5030" w:type="dxa"/>
            <w:shd w:val="clear" w:color="auto" w:fill="auto"/>
            <w:vAlign w:val="center"/>
          </w:tcPr>
          <w:p w14:paraId="59843B4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1、拐杖上、下支管采用高强度特种铝型材焊接而成;.表面经氧化处理。</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2、上支、下支冲有调节孔可供用户随意调节适用高度。</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3、塑料手拐不仅轻便，而且结构设计符合人体手部要求，使用方便。</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4、下支套有耐磨防滑胶脚。调节高度96-119cm，拐杖弯管7003/φ25*1.2T，净重量0.6kg±0.1kg。</w:t>
            </w:r>
          </w:p>
        </w:tc>
      </w:tr>
      <w:tr w14:paraId="0F429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28" w:hRule="atLeast"/>
        </w:trPr>
        <w:tc>
          <w:tcPr>
            <w:tcW w:w="0" w:type="auto"/>
            <w:shd w:val="clear" w:color="auto" w:fill="auto"/>
            <w:noWrap/>
            <w:vAlign w:val="center"/>
          </w:tcPr>
          <w:p w14:paraId="2C885A5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w:t>
            </w:r>
          </w:p>
        </w:tc>
        <w:tc>
          <w:tcPr>
            <w:tcW w:w="984" w:type="dxa"/>
            <w:vMerge w:val="continue"/>
            <w:shd w:val="clear" w:color="auto" w:fill="auto"/>
            <w:vAlign w:val="center"/>
          </w:tcPr>
          <w:p w14:paraId="28BD7741">
            <w:pPr>
              <w:jc w:val="center"/>
              <w:rPr>
                <w:rFonts w:hint="eastAsia" w:ascii="宋体" w:hAnsi="宋体" w:eastAsia="宋体" w:cs="宋体"/>
                <w:i w:val="0"/>
                <w:iCs w:val="0"/>
                <w:color w:val="auto"/>
                <w:sz w:val="18"/>
                <w:szCs w:val="18"/>
                <w:highlight w:val="none"/>
                <w:u w:val="none"/>
              </w:rPr>
            </w:pPr>
          </w:p>
        </w:tc>
        <w:tc>
          <w:tcPr>
            <w:tcW w:w="1504" w:type="dxa"/>
            <w:shd w:val="clear" w:color="auto" w:fill="auto"/>
            <w:vAlign w:val="center"/>
          </w:tcPr>
          <w:p w14:paraId="6AFF24D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框式四轮助行器</w:t>
            </w:r>
          </w:p>
        </w:tc>
        <w:tc>
          <w:tcPr>
            <w:tcW w:w="0" w:type="auto"/>
            <w:shd w:val="clear" w:color="auto" w:fill="auto"/>
            <w:noWrap/>
            <w:vAlign w:val="center"/>
          </w:tcPr>
          <w:p w14:paraId="1D21790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c>
          <w:tcPr>
            <w:tcW w:w="5030" w:type="dxa"/>
            <w:shd w:val="clear" w:color="auto" w:fill="auto"/>
            <w:vAlign w:val="center"/>
          </w:tcPr>
          <w:p w14:paraId="3A7F060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1.车架采用加厚优质电镀碳钢材质，稳固支撑身体。</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2.扶手杆采用高密度海绵设计，吸汗防滑，使用舒适；扶手可以左右调节，适应不同肩宽的人使用。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3.固定座垫，乘坐舒适没压力。</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4.四轮设计，防翻、防后仰，使用安全。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5.产品尺寸：高度可调节：100-128cm，前后轮距：63cm-61cm，左右轮距：75cm-72cm。</w:t>
            </w:r>
          </w:p>
        </w:tc>
      </w:tr>
      <w:tr w14:paraId="1D6C8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33" w:hRule="atLeast"/>
        </w:trPr>
        <w:tc>
          <w:tcPr>
            <w:tcW w:w="0" w:type="auto"/>
            <w:shd w:val="clear" w:color="auto" w:fill="auto"/>
            <w:noWrap/>
            <w:vAlign w:val="center"/>
          </w:tcPr>
          <w:p w14:paraId="5DE104C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11</w:t>
            </w:r>
          </w:p>
        </w:tc>
        <w:tc>
          <w:tcPr>
            <w:tcW w:w="984" w:type="dxa"/>
            <w:vMerge w:val="continue"/>
            <w:shd w:val="clear" w:color="auto" w:fill="auto"/>
            <w:vAlign w:val="center"/>
          </w:tcPr>
          <w:p w14:paraId="26D47985">
            <w:pPr>
              <w:jc w:val="center"/>
              <w:rPr>
                <w:rFonts w:hint="eastAsia" w:ascii="宋体" w:hAnsi="宋体" w:eastAsia="宋体" w:cs="宋体"/>
                <w:i w:val="0"/>
                <w:iCs w:val="0"/>
                <w:color w:val="auto"/>
                <w:sz w:val="18"/>
                <w:szCs w:val="18"/>
                <w:highlight w:val="none"/>
                <w:u w:val="none"/>
              </w:rPr>
            </w:pPr>
          </w:p>
        </w:tc>
        <w:tc>
          <w:tcPr>
            <w:tcW w:w="1504" w:type="dxa"/>
            <w:shd w:val="clear" w:color="auto" w:fill="auto"/>
            <w:vAlign w:val="center"/>
          </w:tcPr>
          <w:p w14:paraId="5E87105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阶梯框式助行器</w:t>
            </w:r>
          </w:p>
        </w:tc>
        <w:tc>
          <w:tcPr>
            <w:tcW w:w="0" w:type="auto"/>
            <w:shd w:val="clear" w:color="auto" w:fill="auto"/>
            <w:noWrap/>
            <w:vAlign w:val="center"/>
          </w:tcPr>
          <w:p w14:paraId="644E2EA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w:t>
            </w:r>
          </w:p>
        </w:tc>
        <w:tc>
          <w:tcPr>
            <w:tcW w:w="5030" w:type="dxa"/>
            <w:shd w:val="clear" w:color="auto" w:fill="auto"/>
            <w:vAlign w:val="center"/>
          </w:tcPr>
          <w:p w14:paraId="56162FB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1、铝合金氧化车架不仅轻便美观、还具有不退色、防锈能力强,烟火红扁加宽加厚工字,让产品多一份色彩，更加稳固;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2、车架四脚配有伸缩管，可供使用者随意调节适用高度。也适用于不同高度人群使用;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3、四脚都套有耐磨防滑胶脚，让使用者用得放心;</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4、PVC把手：表面作纹条防滑处理、不吸汗、不易破损、变形，且使用寿命长;</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5、可折叠式车型方便携带出行，且能节省占用空间位置;</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6、阶梯式车架型，上阶主要辅助行走作用，下阶功能主要让蹲下的使用者要站起来时抓住下阶把手，辅助其站起来的作用；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7、总宽48CM总长度58CM调节高度74-92CM折叠后宽度56CM车架材质/管厚度AL6063T5 /φ28*1.2KG±0.1kg。</w:t>
            </w:r>
          </w:p>
        </w:tc>
      </w:tr>
      <w:tr w14:paraId="1A3C5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trPr>
        <w:tc>
          <w:tcPr>
            <w:tcW w:w="0" w:type="auto"/>
            <w:shd w:val="clear" w:color="auto" w:fill="auto"/>
            <w:noWrap/>
            <w:vAlign w:val="center"/>
          </w:tcPr>
          <w:p w14:paraId="08C0EC1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w:t>
            </w:r>
          </w:p>
        </w:tc>
        <w:tc>
          <w:tcPr>
            <w:tcW w:w="984" w:type="dxa"/>
            <w:vMerge w:val="continue"/>
            <w:shd w:val="clear" w:color="auto" w:fill="auto"/>
            <w:vAlign w:val="center"/>
          </w:tcPr>
          <w:p w14:paraId="3C1C5086">
            <w:pPr>
              <w:jc w:val="center"/>
              <w:rPr>
                <w:rFonts w:hint="eastAsia" w:ascii="宋体" w:hAnsi="宋体" w:eastAsia="宋体" w:cs="宋体"/>
                <w:i w:val="0"/>
                <w:iCs w:val="0"/>
                <w:color w:val="auto"/>
                <w:sz w:val="18"/>
                <w:szCs w:val="18"/>
                <w:highlight w:val="none"/>
                <w:u w:val="none"/>
              </w:rPr>
            </w:pPr>
          </w:p>
        </w:tc>
        <w:tc>
          <w:tcPr>
            <w:tcW w:w="1504" w:type="dxa"/>
            <w:shd w:val="clear" w:color="auto" w:fill="auto"/>
            <w:vAlign w:val="center"/>
          </w:tcPr>
          <w:p w14:paraId="14FCB83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手扶两轮助行器</w:t>
            </w:r>
          </w:p>
        </w:tc>
        <w:tc>
          <w:tcPr>
            <w:tcW w:w="0" w:type="auto"/>
            <w:shd w:val="clear" w:color="auto" w:fill="auto"/>
            <w:noWrap/>
            <w:vAlign w:val="center"/>
          </w:tcPr>
          <w:p w14:paraId="55C7006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c>
          <w:tcPr>
            <w:tcW w:w="5030" w:type="dxa"/>
            <w:shd w:val="clear" w:color="auto" w:fill="auto"/>
            <w:vAlign w:val="center"/>
          </w:tcPr>
          <w:p w14:paraId="2D8DFAC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 框架材质：铝合金，大架管直径≥25mm，管壁厚度≥1.2mm，安全性能好，可折叠结构、美观耐用，使用方便。</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 脚管：管直径28mm±2mm，管壁厚度≥1.2mm，高度可调,脚垫材质为耐磨、有弹性、表面摩擦系数较高的防滑橡胶材料，着地性能好，稳定性佳。前轮外皮采用优质橡胶材质，防滑耐磨。轮毂采用工程聚丙材质，结实耐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 把手高度：高度可调，配发泡手把，防滑、舒适； 8档调节。</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 外形尺寸：（长×宽×高）cm:60-58×50-47×75-95±2，可折叠，可定向。</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 最大承载量≥110kg；</w:t>
            </w:r>
          </w:p>
        </w:tc>
      </w:tr>
      <w:tr w14:paraId="789F6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trPr>
        <w:tc>
          <w:tcPr>
            <w:tcW w:w="0" w:type="auto"/>
            <w:shd w:val="clear" w:color="auto" w:fill="auto"/>
            <w:noWrap/>
            <w:vAlign w:val="center"/>
          </w:tcPr>
          <w:p w14:paraId="6891D7D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13</w:t>
            </w:r>
          </w:p>
        </w:tc>
        <w:tc>
          <w:tcPr>
            <w:tcW w:w="984" w:type="dxa"/>
            <w:vMerge w:val="continue"/>
            <w:shd w:val="clear" w:color="auto" w:fill="auto"/>
            <w:vAlign w:val="center"/>
          </w:tcPr>
          <w:p w14:paraId="1E6637F2">
            <w:pPr>
              <w:jc w:val="center"/>
              <w:rPr>
                <w:rFonts w:hint="eastAsia" w:ascii="宋体" w:hAnsi="宋体" w:eastAsia="宋体" w:cs="宋体"/>
                <w:i w:val="0"/>
                <w:iCs w:val="0"/>
                <w:color w:val="auto"/>
                <w:sz w:val="18"/>
                <w:szCs w:val="18"/>
                <w:highlight w:val="none"/>
                <w:u w:val="none"/>
              </w:rPr>
            </w:pPr>
          </w:p>
        </w:tc>
        <w:tc>
          <w:tcPr>
            <w:tcW w:w="1504" w:type="dxa"/>
            <w:shd w:val="clear" w:color="auto" w:fill="auto"/>
            <w:vAlign w:val="center"/>
          </w:tcPr>
          <w:p w14:paraId="456375A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铝合金折叠助行器</w:t>
            </w:r>
          </w:p>
        </w:tc>
        <w:tc>
          <w:tcPr>
            <w:tcW w:w="0" w:type="auto"/>
            <w:shd w:val="clear" w:color="auto" w:fill="auto"/>
            <w:noWrap/>
            <w:vAlign w:val="center"/>
          </w:tcPr>
          <w:p w14:paraId="5353F29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5030" w:type="dxa"/>
            <w:shd w:val="clear" w:color="auto" w:fill="auto"/>
            <w:vAlign w:val="center"/>
          </w:tcPr>
          <w:p w14:paraId="3220223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 框架材质：铝合金，大架管直径≥24mm，管壁厚度≥1.2mm，安全性能好，可折叠结构、美观耐用，使用方便。                                                                                 2. 脚管：管直径28mm±2mm，管壁厚度≥1.2mm，高度可调,脚垫材质为耐磨、有弹性、表面摩擦系数较高的防滑橡胶材料，着地性能好，稳定性佳。</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 把手高度：高度可调，配发泡手把，防滑、舒适；5档调节。</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 外形尺寸：（长×宽×高）cm:53-51×47-45×75-93±2，可折叠，可定向。</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 最大承载量≥105kg；</w:t>
            </w:r>
          </w:p>
        </w:tc>
      </w:tr>
      <w:tr w14:paraId="2A263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8" w:hRule="atLeast"/>
        </w:trPr>
        <w:tc>
          <w:tcPr>
            <w:tcW w:w="0" w:type="auto"/>
            <w:shd w:val="clear" w:color="auto" w:fill="auto"/>
            <w:noWrap/>
            <w:vAlign w:val="center"/>
          </w:tcPr>
          <w:p w14:paraId="52517BB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14</w:t>
            </w:r>
          </w:p>
        </w:tc>
        <w:tc>
          <w:tcPr>
            <w:tcW w:w="984" w:type="dxa"/>
            <w:vMerge w:val="continue"/>
            <w:shd w:val="clear" w:color="auto" w:fill="auto"/>
            <w:vAlign w:val="center"/>
          </w:tcPr>
          <w:p w14:paraId="484791D9">
            <w:pPr>
              <w:jc w:val="center"/>
              <w:rPr>
                <w:rFonts w:hint="eastAsia" w:ascii="宋体" w:hAnsi="宋体" w:eastAsia="宋体" w:cs="宋体"/>
                <w:i w:val="0"/>
                <w:iCs w:val="0"/>
                <w:color w:val="auto"/>
                <w:sz w:val="18"/>
                <w:szCs w:val="18"/>
                <w:highlight w:val="none"/>
                <w:u w:val="none"/>
              </w:rPr>
            </w:pPr>
          </w:p>
        </w:tc>
        <w:tc>
          <w:tcPr>
            <w:tcW w:w="1504" w:type="dxa"/>
            <w:shd w:val="clear" w:color="auto" w:fill="auto"/>
            <w:vAlign w:val="center"/>
          </w:tcPr>
          <w:p w14:paraId="3B46C42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九节伸缩盲杖</w:t>
            </w:r>
          </w:p>
        </w:tc>
        <w:tc>
          <w:tcPr>
            <w:tcW w:w="0" w:type="auto"/>
            <w:shd w:val="clear" w:color="auto" w:fill="auto"/>
            <w:noWrap/>
            <w:vAlign w:val="center"/>
          </w:tcPr>
          <w:p w14:paraId="4C3A569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31</w:t>
            </w:r>
          </w:p>
        </w:tc>
        <w:tc>
          <w:tcPr>
            <w:tcW w:w="5030" w:type="dxa"/>
            <w:shd w:val="clear" w:color="auto" w:fill="auto"/>
            <w:vAlign w:val="center"/>
          </w:tcPr>
          <w:p w14:paraId="7893FFC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1.产品符合GB16930.1-2014《安全色标志》和GB/T16930.2-2021《性能要求和试验方法》国家标准；</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2.规格：九节：伸长长度：136cm-139cm；缩短后长度：29cm-27cm；产品重量：216g-200g；节数：伸缩九节；壁厚：0.6mm-0.5mm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3.一拉伸长，一键收合，一键调高低，简单快捷，操作简单</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4.盲杖采用PE材质手柄，舒适握感，无色无味、无毒无害、防滑、耐用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5.盲杖的手柄结构设计适合盲杖使用中多种正确握持，手柄上端装有弹性腕带，不易从手中滑落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6.盲杖采用钛合金杖身，具有强度高，耐蚀性好、耐热性高、硬度大、轻便、耐用耐摔、可反光的特点；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7.盲杖采用合金钢/不锈钢耐磨杖尖，适合在水泥、沥青、砖质等硬质路面上使用,易于更换（可选配旋转头杖尖）；</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8.盲杖具有振动传导信号功能，有敲击声反馈</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9.转动部件转动灵活、连接部件连接牢固，折叠部件方便折叠和打开，无卡滞现象、折叠部件连接部位无明显晃动，其松晃量不大于5mm。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10.产品具有可伸缩，体积小巧，轻量的特点，不占空间，方便携带，</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11.包装：具有独立包装袋、包装盒。</w:t>
            </w:r>
          </w:p>
        </w:tc>
      </w:tr>
      <w:tr w14:paraId="69DAE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trPr>
        <w:tc>
          <w:tcPr>
            <w:tcW w:w="0" w:type="auto"/>
            <w:shd w:val="clear" w:color="auto" w:fill="auto"/>
            <w:noWrap/>
            <w:vAlign w:val="center"/>
          </w:tcPr>
          <w:p w14:paraId="51446BF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w:t>
            </w:r>
          </w:p>
        </w:tc>
        <w:tc>
          <w:tcPr>
            <w:tcW w:w="984" w:type="dxa"/>
            <w:vMerge w:val="restart"/>
            <w:shd w:val="clear" w:color="auto" w:fill="auto"/>
            <w:vAlign w:val="center"/>
          </w:tcPr>
          <w:p w14:paraId="5592EE4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个人生活自理和防护辅助器具</w:t>
            </w:r>
          </w:p>
        </w:tc>
        <w:tc>
          <w:tcPr>
            <w:tcW w:w="1504" w:type="dxa"/>
            <w:shd w:val="clear" w:color="auto" w:fill="auto"/>
            <w:vAlign w:val="center"/>
          </w:tcPr>
          <w:p w14:paraId="3CC0C88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座便椅</w:t>
            </w:r>
          </w:p>
        </w:tc>
        <w:tc>
          <w:tcPr>
            <w:tcW w:w="0" w:type="auto"/>
            <w:shd w:val="clear" w:color="auto" w:fill="auto"/>
            <w:noWrap/>
            <w:vAlign w:val="center"/>
          </w:tcPr>
          <w:p w14:paraId="4E7415B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w:t>
            </w:r>
          </w:p>
        </w:tc>
        <w:tc>
          <w:tcPr>
            <w:tcW w:w="5030" w:type="dxa"/>
            <w:shd w:val="clear" w:color="auto" w:fill="auto"/>
            <w:vAlign w:val="center"/>
          </w:tcPr>
          <w:p w14:paraId="00364C0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 材质铝钢管喷涂，大架管直径22mm±2mm，壁厚≥0.7mm.产品尺寸（长宽高）55×44×44cm±2cm .便椅可折叠。</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 座面与靠背填充优质海绵，不易变形，柔软舒适。便椅扶手为工程聚丙材质，一次注塑成型，无毛刺，光滑平整。</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 支脚垫材质为耐磨、表面摩擦系数较高的防滑聚氯材料；便桶为工程聚丙材料制作，强度好、触感舒适、美观坚固、座便器可卸下。</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 最大静载荷≥90kg；</w:t>
            </w:r>
          </w:p>
        </w:tc>
      </w:tr>
      <w:tr w14:paraId="6FECE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28" w:hRule="atLeast"/>
        </w:trPr>
        <w:tc>
          <w:tcPr>
            <w:tcW w:w="0" w:type="auto"/>
            <w:shd w:val="clear" w:color="auto" w:fill="auto"/>
            <w:noWrap/>
            <w:vAlign w:val="center"/>
          </w:tcPr>
          <w:p w14:paraId="57B9C5E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w:t>
            </w:r>
          </w:p>
        </w:tc>
        <w:tc>
          <w:tcPr>
            <w:tcW w:w="984" w:type="dxa"/>
            <w:vMerge w:val="continue"/>
            <w:shd w:val="clear" w:color="auto" w:fill="auto"/>
            <w:vAlign w:val="center"/>
          </w:tcPr>
          <w:p w14:paraId="5382BDFC">
            <w:pPr>
              <w:jc w:val="center"/>
              <w:rPr>
                <w:rFonts w:hint="eastAsia" w:ascii="宋体" w:hAnsi="宋体" w:eastAsia="宋体" w:cs="宋体"/>
                <w:i w:val="0"/>
                <w:iCs w:val="0"/>
                <w:color w:val="auto"/>
                <w:sz w:val="18"/>
                <w:szCs w:val="18"/>
                <w:highlight w:val="none"/>
                <w:u w:val="none"/>
              </w:rPr>
            </w:pPr>
          </w:p>
        </w:tc>
        <w:tc>
          <w:tcPr>
            <w:tcW w:w="1504" w:type="dxa"/>
            <w:shd w:val="clear" w:color="auto" w:fill="auto"/>
            <w:vAlign w:val="center"/>
          </w:tcPr>
          <w:p w14:paraId="5F6FAAA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洗浴椅</w:t>
            </w:r>
          </w:p>
        </w:tc>
        <w:tc>
          <w:tcPr>
            <w:tcW w:w="0" w:type="auto"/>
            <w:shd w:val="clear" w:color="auto" w:fill="auto"/>
            <w:noWrap/>
            <w:vAlign w:val="center"/>
          </w:tcPr>
          <w:p w14:paraId="0B4C3CF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c>
          <w:tcPr>
            <w:tcW w:w="5030" w:type="dxa"/>
            <w:shd w:val="clear" w:color="auto" w:fill="auto"/>
            <w:vAlign w:val="center"/>
          </w:tcPr>
          <w:p w14:paraId="3A9D346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1.框架材质：铝合金;坐板高度：38cm-37cm坐板宽度：48-45cm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2.坐板深度：39cm-37cm总宽度：56cm-54cm总高度：68-81cm总长度：42cm-40cm 包装数量：5台包装尺寸：64*58*40cm±2cm;净重/台：3.1kg±1kg，毛重：17.5kg±1kg，管径：2.54cm管厚≥1.25mm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3.材质：铝合金;表面工艺：雾化银色;高度：6档调节;装配方式：拆装.</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4.优点：组装简单,带孔防滑坐板,高度可调节,防滑吸盘大脚垫,防滑靠背,舒适扶手.                                                          5.能自理的老人，孕妇，能自理的残疾人。</w:t>
            </w:r>
          </w:p>
        </w:tc>
      </w:tr>
      <w:tr w14:paraId="3DB8D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0" w:type="auto"/>
            <w:shd w:val="clear" w:color="auto" w:fill="auto"/>
            <w:noWrap/>
            <w:vAlign w:val="center"/>
          </w:tcPr>
          <w:p w14:paraId="7D15EC3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17</w:t>
            </w:r>
          </w:p>
        </w:tc>
        <w:tc>
          <w:tcPr>
            <w:tcW w:w="984" w:type="dxa"/>
            <w:vMerge w:val="continue"/>
            <w:shd w:val="clear" w:color="auto" w:fill="auto"/>
            <w:vAlign w:val="center"/>
          </w:tcPr>
          <w:p w14:paraId="56B1C43F">
            <w:pPr>
              <w:jc w:val="center"/>
              <w:rPr>
                <w:rFonts w:hint="eastAsia" w:ascii="宋体" w:hAnsi="宋体" w:eastAsia="宋体" w:cs="宋体"/>
                <w:i w:val="0"/>
                <w:iCs w:val="0"/>
                <w:color w:val="auto"/>
                <w:sz w:val="18"/>
                <w:szCs w:val="18"/>
                <w:highlight w:val="none"/>
                <w:u w:val="none"/>
              </w:rPr>
            </w:pPr>
          </w:p>
        </w:tc>
        <w:tc>
          <w:tcPr>
            <w:tcW w:w="1504" w:type="dxa"/>
            <w:shd w:val="clear" w:color="auto" w:fill="auto"/>
            <w:vAlign w:val="center"/>
          </w:tcPr>
          <w:p w14:paraId="5F4A558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体位垫</w:t>
            </w:r>
          </w:p>
        </w:tc>
        <w:tc>
          <w:tcPr>
            <w:tcW w:w="0" w:type="auto"/>
            <w:shd w:val="clear" w:color="auto" w:fill="auto"/>
            <w:noWrap/>
            <w:vAlign w:val="center"/>
          </w:tcPr>
          <w:p w14:paraId="4BE07DF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5030" w:type="dxa"/>
            <w:shd w:val="clear" w:color="auto" w:fill="auto"/>
            <w:vAlign w:val="center"/>
          </w:tcPr>
          <w:p w14:paraId="276C17A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 材质：海棉，网眼布</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 规格：47-43*25-22*15-13CM±2cm。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 卧床病人防褥疮翻身护理用。                                                            4. 外套采用3D网眼布，透气防止闷热,内芯采用高密度海棉，久用不塌陷。</w:t>
            </w:r>
          </w:p>
        </w:tc>
      </w:tr>
      <w:tr w14:paraId="7B384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23" w:hRule="atLeast"/>
        </w:trPr>
        <w:tc>
          <w:tcPr>
            <w:tcW w:w="0" w:type="auto"/>
            <w:shd w:val="clear" w:color="auto" w:fill="auto"/>
            <w:noWrap/>
            <w:vAlign w:val="center"/>
          </w:tcPr>
          <w:p w14:paraId="0EB8F9E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18</w:t>
            </w:r>
          </w:p>
        </w:tc>
        <w:tc>
          <w:tcPr>
            <w:tcW w:w="984" w:type="dxa"/>
            <w:vMerge w:val="restart"/>
            <w:shd w:val="clear" w:color="auto" w:fill="auto"/>
            <w:vAlign w:val="center"/>
          </w:tcPr>
          <w:p w14:paraId="5A832D9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个人医疗辅助器具</w:t>
            </w:r>
          </w:p>
        </w:tc>
        <w:tc>
          <w:tcPr>
            <w:tcW w:w="1504" w:type="dxa"/>
            <w:shd w:val="clear" w:color="auto" w:fill="auto"/>
            <w:vAlign w:val="center"/>
          </w:tcPr>
          <w:p w14:paraId="39A0617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防压疮座垫</w:t>
            </w:r>
          </w:p>
        </w:tc>
        <w:tc>
          <w:tcPr>
            <w:tcW w:w="0" w:type="auto"/>
            <w:shd w:val="clear" w:color="auto" w:fill="auto"/>
            <w:noWrap/>
            <w:vAlign w:val="center"/>
          </w:tcPr>
          <w:p w14:paraId="4BF0A4C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c>
          <w:tcPr>
            <w:tcW w:w="5030" w:type="dxa"/>
            <w:shd w:val="clear" w:color="auto" w:fill="auto"/>
            <w:vAlign w:val="center"/>
          </w:tcPr>
          <w:p w14:paraId="7B05DC53">
            <w:pPr>
              <w:keepNext w:val="0"/>
              <w:keepLines w:val="0"/>
              <w:widowControl/>
              <w:suppressLineNumbers w:val="0"/>
              <w:spacing w:after="120" w:afterAutospacing="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1．材质：优质PVC面料或绒面环保材质，拥有良好的吸湿透气性能。座垫外套材质防霉、防滑、透气，具有阻燃性，有弹力，能适应坐姿产生的表面张力，有效防止褥疮的生成；</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2．规格：≥420mm*420mm；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3．多气室气垫，外观色泽均匀，无气泡，无杂质，无塑化不均，熔焊部位边缘整齐，气室间分隔整齐、间距相等，每个气室相对独立，各气室热合一个气嘴；</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4.抗菌性能：依据GB/T24253-2009标准进行检测，产品对金黄色葡萄球菌、大肠杆菌、铜绿假单胞菌、白色念珠菌、肺炎克雷伯菌、肠球菌、链球菌的抗菌性能≥99.99%</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5.除螨性能：依据GB/T24253-2009标准进行检测，产品对螨虫的去除率≥99.99%</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★6.产品可配备声光湿度报警器，具有湿度检测报警提醒功能，当检测到尿液浸湿时，可通过声音、红绿蓝三色闪光、震动三种方式进行报警提醒，报警传输距离≥40米；</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7.除满足以上条件规定外，按相应行业标准执行。</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注：以上标★参数须提供经国家认证认可部门认可的检测机构出具的检测报告复印件佐证。</w:t>
            </w:r>
          </w:p>
        </w:tc>
      </w:tr>
      <w:tr w14:paraId="0D564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3" w:hRule="atLeast"/>
        </w:trPr>
        <w:tc>
          <w:tcPr>
            <w:tcW w:w="0" w:type="auto"/>
            <w:shd w:val="clear" w:color="auto" w:fill="auto"/>
            <w:noWrap/>
            <w:vAlign w:val="center"/>
          </w:tcPr>
          <w:p w14:paraId="4EA19C3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19</w:t>
            </w:r>
          </w:p>
        </w:tc>
        <w:tc>
          <w:tcPr>
            <w:tcW w:w="984" w:type="dxa"/>
            <w:vMerge w:val="continue"/>
            <w:shd w:val="clear" w:color="auto" w:fill="auto"/>
            <w:vAlign w:val="center"/>
          </w:tcPr>
          <w:p w14:paraId="57235CA1">
            <w:pPr>
              <w:jc w:val="center"/>
              <w:rPr>
                <w:rFonts w:hint="eastAsia" w:ascii="宋体" w:hAnsi="宋体" w:eastAsia="宋体" w:cs="宋体"/>
                <w:i w:val="0"/>
                <w:iCs w:val="0"/>
                <w:color w:val="auto"/>
                <w:sz w:val="18"/>
                <w:szCs w:val="18"/>
                <w:highlight w:val="none"/>
                <w:u w:val="none"/>
              </w:rPr>
            </w:pPr>
          </w:p>
        </w:tc>
        <w:tc>
          <w:tcPr>
            <w:tcW w:w="1504" w:type="dxa"/>
            <w:shd w:val="clear" w:color="auto" w:fill="auto"/>
            <w:vAlign w:val="center"/>
          </w:tcPr>
          <w:p w14:paraId="0E65DA7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防压疮床垫</w:t>
            </w:r>
          </w:p>
        </w:tc>
        <w:tc>
          <w:tcPr>
            <w:tcW w:w="0" w:type="auto"/>
            <w:shd w:val="clear" w:color="auto" w:fill="auto"/>
            <w:noWrap/>
            <w:vAlign w:val="center"/>
          </w:tcPr>
          <w:p w14:paraId="5B91AC4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w:t>
            </w:r>
          </w:p>
        </w:tc>
        <w:tc>
          <w:tcPr>
            <w:tcW w:w="5030" w:type="dxa"/>
            <w:shd w:val="clear" w:color="auto" w:fill="auto"/>
            <w:vAlign w:val="center"/>
          </w:tcPr>
          <w:p w14:paraId="76AE216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 床垫主体为充气床垫。床垫由主机气泵、床面喷气条组成；</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 材质：国际通用≥0.36mm厚度布料及尼龙PVC医用级布料组成，吸湿透气良好。气床垫工作载荷≥135kg。</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 主机：采用ABS工程塑料，主机充气循环系统；气泵充气性能稳定，防寒、防高温的优质橡胶软管；</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 功能：波动、喷气、防霉、防滑、透气，具有阻燃性，有弹力，能适应坐姿产生的表面张力。</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 气条数量：≥22条；</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 充气后尺寸（长*宽*高）：1900*900mm±3mm。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7. 工作电压、频率：220V50HZ气泵村力范围：50～110mmHg气泵流量范围：5～8升/分钟，交替波动周期：10-12分钟；气床垫上的充气泵可正常连续工作不小于24h。</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8. 最大噪声：45dB（A），超静音，省电；</w:t>
            </w:r>
          </w:p>
        </w:tc>
      </w:tr>
      <w:tr w14:paraId="1732F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3" w:hRule="atLeast"/>
        </w:trPr>
        <w:tc>
          <w:tcPr>
            <w:tcW w:w="0" w:type="auto"/>
            <w:shd w:val="clear" w:color="auto" w:fill="auto"/>
            <w:noWrap/>
            <w:vAlign w:val="center"/>
          </w:tcPr>
          <w:p w14:paraId="248FEB0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w:t>
            </w:r>
          </w:p>
        </w:tc>
        <w:tc>
          <w:tcPr>
            <w:tcW w:w="984" w:type="dxa"/>
            <w:vMerge w:val="continue"/>
            <w:shd w:val="clear" w:color="auto" w:fill="auto"/>
            <w:vAlign w:val="center"/>
          </w:tcPr>
          <w:p w14:paraId="7ECB0B55">
            <w:pPr>
              <w:jc w:val="center"/>
              <w:rPr>
                <w:rFonts w:hint="eastAsia" w:ascii="宋体" w:hAnsi="宋体" w:eastAsia="宋体" w:cs="宋体"/>
                <w:i w:val="0"/>
                <w:iCs w:val="0"/>
                <w:color w:val="auto"/>
                <w:sz w:val="18"/>
                <w:szCs w:val="18"/>
                <w:highlight w:val="none"/>
                <w:u w:val="none"/>
              </w:rPr>
            </w:pPr>
          </w:p>
        </w:tc>
        <w:tc>
          <w:tcPr>
            <w:tcW w:w="1504" w:type="dxa"/>
            <w:shd w:val="clear" w:color="auto" w:fill="auto"/>
            <w:vAlign w:val="center"/>
          </w:tcPr>
          <w:p w14:paraId="2954294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儿童站立架</w:t>
            </w:r>
          </w:p>
        </w:tc>
        <w:tc>
          <w:tcPr>
            <w:tcW w:w="0" w:type="auto"/>
            <w:shd w:val="clear" w:color="auto" w:fill="auto"/>
            <w:noWrap/>
            <w:vAlign w:val="center"/>
          </w:tcPr>
          <w:p w14:paraId="0D39A12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5030" w:type="dxa"/>
            <w:shd w:val="clear" w:color="auto" w:fill="auto"/>
            <w:vAlign w:val="center"/>
          </w:tcPr>
          <w:p w14:paraId="0DF8999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 餐板和脚踏板：采用木板制作。</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 椅架为A3钢结构架经喷涂。</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 餐台按人体站姿设计，固定架上有调节旋钮，可作适当调节适用高度，为人体提供最佳用餐支撑。</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 转动架通过手摇调节机构，能轻松灵活调节站立架向前倾斜角度最大角度为40度。，调节桌面的角度，调节范围在0-40度之间。</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 四脚配有四个万向轮，均带有自锁功能，方便移动，稳定着地。</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 护胸垫、护脚垫、臀垫、枕头采用一次性成形高密度海绵，外包柔软的PU人造皮革，让人倍感舒适。</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7. 护胸垫、裆垫、可调节宽度，护脚垫：可调节高低。                                         8. 总长81cm±5mm，总宽64cm±5mm，总高79-98cm±5mm，前轮直径7.5cm±5mm，后轮直径7.5cm±5mm，                                                 9. 材质木板+A3钢，承载量75 kg±5kg，净重量24.6 kg±3kg，餐板尺寸长*宽55*36 cm±5mm，裆深可调17-27 cm±5mm，胸垫宽可调19-29 cm，腿垫高可调21-33 cm。</w:t>
            </w:r>
          </w:p>
        </w:tc>
      </w:tr>
      <w:tr w14:paraId="7B311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68" w:hRule="atLeast"/>
        </w:trPr>
        <w:tc>
          <w:tcPr>
            <w:tcW w:w="0" w:type="auto"/>
            <w:shd w:val="clear" w:color="auto" w:fill="auto"/>
            <w:noWrap/>
            <w:vAlign w:val="center"/>
          </w:tcPr>
          <w:p w14:paraId="30D50FE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21</w:t>
            </w:r>
          </w:p>
        </w:tc>
        <w:tc>
          <w:tcPr>
            <w:tcW w:w="984" w:type="dxa"/>
            <w:vMerge w:val="continue"/>
            <w:shd w:val="clear" w:color="auto" w:fill="auto"/>
            <w:vAlign w:val="center"/>
          </w:tcPr>
          <w:p w14:paraId="393B9189">
            <w:pPr>
              <w:jc w:val="center"/>
              <w:rPr>
                <w:rFonts w:hint="eastAsia" w:ascii="宋体" w:hAnsi="宋体" w:eastAsia="宋体" w:cs="宋体"/>
                <w:i w:val="0"/>
                <w:iCs w:val="0"/>
                <w:color w:val="auto"/>
                <w:sz w:val="18"/>
                <w:szCs w:val="18"/>
                <w:highlight w:val="none"/>
                <w:u w:val="none"/>
              </w:rPr>
            </w:pPr>
          </w:p>
        </w:tc>
        <w:tc>
          <w:tcPr>
            <w:tcW w:w="1504" w:type="dxa"/>
            <w:shd w:val="clear" w:color="auto" w:fill="auto"/>
            <w:vAlign w:val="center"/>
          </w:tcPr>
          <w:p w14:paraId="5EDBE5C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坐姿椅</w:t>
            </w:r>
          </w:p>
        </w:tc>
        <w:tc>
          <w:tcPr>
            <w:tcW w:w="0" w:type="auto"/>
            <w:shd w:val="clear" w:color="auto" w:fill="auto"/>
            <w:noWrap/>
            <w:vAlign w:val="center"/>
          </w:tcPr>
          <w:p w14:paraId="7149E9D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5030" w:type="dxa"/>
            <w:shd w:val="clear" w:color="auto" w:fill="auto"/>
            <w:vAlign w:val="center"/>
          </w:tcPr>
          <w:p w14:paraId="6B26003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 主要技术指标和参数</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1）外形尺寸（长×宽×高）：680mm×600mm×（880～965）mm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2）座位垫宽度：350mm±5mm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3）座位垫深度：350mm±5mm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4）头部靠垫高度：100mm±5mm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5）头部靠垫可调高度：0mm～85mm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6）桌面板长×宽：600mm×400mm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7）桌面板离座垫高：200mm±5mm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8）踏脚板长×宽：345mm×240mm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9）踏脚板上下调节范围：130mm±5mm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10）扶手前后可调距离：150mm±5mm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11）整体仰角：0°～30°</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12）额定承载：≥60kg</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13）配件：护心型固定绑带（1条）</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14）大腿绑带（1条）</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15）脚绑带（2条） 产品用途：用于1～7岁的脑瘫儿童进行坐位保持、坐位平衡、矫正坐姿、防止和治疗畸形。</w:t>
            </w:r>
          </w:p>
        </w:tc>
      </w:tr>
      <w:tr w14:paraId="51331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3" w:hRule="atLeast"/>
        </w:trPr>
        <w:tc>
          <w:tcPr>
            <w:tcW w:w="0" w:type="auto"/>
            <w:shd w:val="clear" w:color="auto" w:fill="auto"/>
            <w:noWrap/>
            <w:vAlign w:val="center"/>
          </w:tcPr>
          <w:p w14:paraId="42F48B5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22</w:t>
            </w:r>
          </w:p>
        </w:tc>
        <w:tc>
          <w:tcPr>
            <w:tcW w:w="984" w:type="dxa"/>
            <w:vMerge w:val="restart"/>
            <w:shd w:val="clear" w:color="auto" w:fill="auto"/>
            <w:vAlign w:val="center"/>
          </w:tcPr>
          <w:p w14:paraId="0A8738B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沟通和信息辅助器具</w:t>
            </w:r>
          </w:p>
        </w:tc>
        <w:tc>
          <w:tcPr>
            <w:tcW w:w="1504" w:type="dxa"/>
            <w:shd w:val="clear" w:color="auto" w:fill="auto"/>
            <w:vAlign w:val="center"/>
          </w:tcPr>
          <w:p w14:paraId="58C0789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单筒望远镜</w:t>
            </w:r>
          </w:p>
        </w:tc>
        <w:tc>
          <w:tcPr>
            <w:tcW w:w="0" w:type="auto"/>
            <w:shd w:val="clear" w:color="auto" w:fill="auto"/>
            <w:noWrap/>
            <w:vAlign w:val="center"/>
          </w:tcPr>
          <w:p w14:paraId="0ED3720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5030" w:type="dxa"/>
            <w:shd w:val="clear" w:color="auto" w:fill="auto"/>
            <w:vAlign w:val="center"/>
          </w:tcPr>
          <w:p w14:paraId="2D70102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 Q/KJ00⒋ ⒛ 04《助视器技术条件》; GB23719 009《眼科光学和仪器光学助视器》                                                      2. 放大倍率：≥6倍,物镜口径:18mm±2mm；,棱镜材料：BK7；                                                                                    3. 出瞳直径:≥3mm;6.出瞳距离：10.5-11mm；7.视场角：9.5°8±1.伸缩调焦的最大尺寸：3*7.5-12CM;                                                                     4. 近焦距离（指可清晰观察到目标物的最近距离）不大于250mm；                                                                         5. 镜片采用全表面镀膜，物像不变形，成像清晰，不应出现成像弯曲、发毛、边缘带色；</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 不应有肉眼可见的气泡、条纹、白色结石、黑点、白点等；</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7. 镜片表面不应有水迹、指印、油污、尘埃、霉斑等；                                                                                                   </w:t>
            </w:r>
          </w:p>
        </w:tc>
      </w:tr>
      <w:tr w14:paraId="4B6A5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43" w:hRule="atLeast"/>
        </w:trPr>
        <w:tc>
          <w:tcPr>
            <w:tcW w:w="0" w:type="auto"/>
            <w:shd w:val="clear" w:color="auto" w:fill="auto"/>
            <w:noWrap/>
            <w:vAlign w:val="center"/>
          </w:tcPr>
          <w:p w14:paraId="5D93801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23</w:t>
            </w:r>
          </w:p>
        </w:tc>
        <w:tc>
          <w:tcPr>
            <w:tcW w:w="984" w:type="dxa"/>
            <w:vMerge w:val="continue"/>
            <w:shd w:val="clear" w:color="auto" w:fill="auto"/>
            <w:vAlign w:val="center"/>
          </w:tcPr>
          <w:p w14:paraId="0B00D7BF">
            <w:pPr>
              <w:jc w:val="center"/>
              <w:rPr>
                <w:rFonts w:hint="eastAsia" w:ascii="宋体" w:hAnsi="宋体" w:eastAsia="宋体" w:cs="宋体"/>
                <w:i w:val="0"/>
                <w:iCs w:val="0"/>
                <w:color w:val="auto"/>
                <w:sz w:val="18"/>
                <w:szCs w:val="18"/>
                <w:highlight w:val="none"/>
                <w:u w:val="none"/>
              </w:rPr>
            </w:pPr>
          </w:p>
        </w:tc>
        <w:tc>
          <w:tcPr>
            <w:tcW w:w="1504" w:type="dxa"/>
            <w:shd w:val="clear" w:color="auto" w:fill="auto"/>
            <w:vAlign w:val="center"/>
          </w:tcPr>
          <w:p w14:paraId="0B41167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闪光门铃</w:t>
            </w:r>
          </w:p>
        </w:tc>
        <w:tc>
          <w:tcPr>
            <w:tcW w:w="0" w:type="auto"/>
            <w:shd w:val="clear" w:color="auto" w:fill="auto"/>
            <w:noWrap/>
            <w:vAlign w:val="center"/>
          </w:tcPr>
          <w:p w14:paraId="254B289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5030" w:type="dxa"/>
            <w:shd w:val="clear" w:color="auto" w:fill="auto"/>
            <w:vAlign w:val="center"/>
          </w:tcPr>
          <w:p w14:paraId="1FDA480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产品组成：发射器，接收器，支架，锂电池，USB线，充电器、说明书（保修卡）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1、接收器:白色 LED 闪光灯，左侧有“选曲”“音量”2个按键，1个充电口。</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2、右侧有开关键，宽电压输入：AC100V-240V。</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3、感应器：有一个自发电按钮，按压发电不用电池。</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4、发射器：按键自发电，无需充电，方便使用，发射器按下时，发射器有蓝色光设计。</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5、接收器：发射器按下时，接收器会提示所选择的音乐，并带七种彩色强闪光震动功能。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6、≥32首提示音乐选择，可闪光提示，音乐提示，震动提示。 铃音大小可调节。</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7、室内阻隔区域≥40米，抗干扰。</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8、接收器使用锂电池蓄电，USB充电，也可更换锂电池，可以随身携带。                                                                                                   </w:t>
            </w:r>
          </w:p>
        </w:tc>
      </w:tr>
      <w:tr w14:paraId="03134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8" w:hRule="atLeast"/>
        </w:trPr>
        <w:tc>
          <w:tcPr>
            <w:tcW w:w="0" w:type="auto"/>
            <w:shd w:val="clear" w:color="auto" w:fill="auto"/>
            <w:noWrap/>
            <w:vAlign w:val="center"/>
          </w:tcPr>
          <w:p w14:paraId="1472F33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24</w:t>
            </w:r>
          </w:p>
        </w:tc>
        <w:tc>
          <w:tcPr>
            <w:tcW w:w="984" w:type="dxa"/>
            <w:vMerge w:val="continue"/>
            <w:shd w:val="clear" w:color="auto" w:fill="auto"/>
            <w:vAlign w:val="center"/>
          </w:tcPr>
          <w:p w14:paraId="74742EBF">
            <w:pPr>
              <w:jc w:val="center"/>
              <w:rPr>
                <w:rFonts w:hint="eastAsia" w:ascii="宋体" w:hAnsi="宋体" w:eastAsia="宋体" w:cs="宋体"/>
                <w:i w:val="0"/>
                <w:iCs w:val="0"/>
                <w:color w:val="auto"/>
                <w:sz w:val="18"/>
                <w:szCs w:val="18"/>
                <w:highlight w:val="none"/>
                <w:u w:val="none"/>
              </w:rPr>
            </w:pPr>
          </w:p>
        </w:tc>
        <w:tc>
          <w:tcPr>
            <w:tcW w:w="1504" w:type="dxa"/>
            <w:shd w:val="clear" w:color="auto" w:fill="auto"/>
            <w:vAlign w:val="center"/>
          </w:tcPr>
          <w:p w14:paraId="4988026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震动闹钟</w:t>
            </w:r>
          </w:p>
        </w:tc>
        <w:tc>
          <w:tcPr>
            <w:tcW w:w="0" w:type="auto"/>
            <w:shd w:val="clear" w:color="auto" w:fill="auto"/>
            <w:noWrap/>
            <w:vAlign w:val="center"/>
          </w:tcPr>
          <w:p w14:paraId="3749EC9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c>
          <w:tcPr>
            <w:tcW w:w="5030" w:type="dxa"/>
            <w:shd w:val="clear" w:color="auto" w:fill="auto"/>
            <w:vAlign w:val="center"/>
          </w:tcPr>
          <w:p w14:paraId="4CE6D7E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1.产品组成：闹钟、振动器、电源适配器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2.产品材质：钟体及振动器外壳采用ABS工程塑料</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3.规格尺寸：闹钟11cm*11*5.5cm±1cm、显示屏直径≥60mm、振动器9cm*6.5*2.2cm±0.5cm。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4.供电方式：闹钟采用DC5V或3节7号电池供电，振动器内置≥3500毫安≥3.7V锂电池供电。</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1）时间、日期、闹钟时间、闹钟规则同时显示，24小时制/12小时制时间显示任意切换，可显示 月份，日期，显示屏带夜光功能。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2）闹铃具有震动、响铃、闪光功能。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3）触控控制的彩色小夜灯功能，具有≥4种颜色按顺序触控切换（红色绿色蓝色白色）</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4）拨动开关一键设置闹钟模式，顺序为关闭闹钟，1-星期5闹钟、1-星期6闹钟、每周7天闹钟。</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5）振动提示为独立的震动器，以无线方式和闹钟本体链接，具备震动提示。</w:t>
            </w:r>
          </w:p>
        </w:tc>
      </w:tr>
      <w:tr w14:paraId="04D88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8" w:hRule="atLeast"/>
        </w:trPr>
        <w:tc>
          <w:tcPr>
            <w:tcW w:w="0" w:type="auto"/>
            <w:shd w:val="clear" w:color="auto" w:fill="auto"/>
            <w:noWrap/>
            <w:vAlign w:val="center"/>
          </w:tcPr>
          <w:p w14:paraId="169DC2D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25</w:t>
            </w:r>
          </w:p>
        </w:tc>
        <w:tc>
          <w:tcPr>
            <w:tcW w:w="984" w:type="dxa"/>
            <w:vMerge w:val="continue"/>
            <w:shd w:val="clear" w:color="auto" w:fill="auto"/>
            <w:vAlign w:val="center"/>
          </w:tcPr>
          <w:p w14:paraId="25193B6D">
            <w:pPr>
              <w:jc w:val="center"/>
              <w:rPr>
                <w:rFonts w:hint="eastAsia" w:ascii="宋体" w:hAnsi="宋体" w:eastAsia="宋体" w:cs="宋体"/>
                <w:i w:val="0"/>
                <w:iCs w:val="0"/>
                <w:color w:val="auto"/>
                <w:sz w:val="18"/>
                <w:szCs w:val="18"/>
                <w:highlight w:val="none"/>
                <w:u w:val="none"/>
              </w:rPr>
            </w:pPr>
          </w:p>
        </w:tc>
        <w:tc>
          <w:tcPr>
            <w:tcW w:w="1504" w:type="dxa"/>
            <w:shd w:val="clear" w:color="auto" w:fill="auto"/>
            <w:vAlign w:val="center"/>
          </w:tcPr>
          <w:p w14:paraId="657382F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助听器</w:t>
            </w:r>
          </w:p>
        </w:tc>
        <w:tc>
          <w:tcPr>
            <w:tcW w:w="0" w:type="auto"/>
            <w:shd w:val="clear" w:color="auto" w:fill="auto"/>
            <w:noWrap/>
            <w:vAlign w:val="center"/>
          </w:tcPr>
          <w:p w14:paraId="0DD6771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53</w:t>
            </w:r>
          </w:p>
        </w:tc>
        <w:tc>
          <w:tcPr>
            <w:tcW w:w="5030" w:type="dxa"/>
            <w:shd w:val="clear" w:color="auto" w:fill="auto"/>
            <w:vAlign w:val="center"/>
          </w:tcPr>
          <w:p w14:paraId="24EAE2ED">
            <w:pPr>
              <w:keepNext w:val="0"/>
              <w:keepLines w:val="0"/>
              <w:widowControl/>
              <w:suppressLineNumbers w:val="0"/>
              <w:spacing w:after="120" w:afterAutospacing="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一、全数字助听器：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参数：</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非线性(压缩)测试：人体正常佩戴助听器，在人体正前方50cm与人体耳朵同一水平面，通过仿真嘴播放50dB-90dB声压级(dBSPL)的幅度扫描信号，该扫描信号以1kHz为间隔，在输入信号90dB时，1KHz输出信号106.102dB；2KHz输出信号131.964dB,3KHz；输出信号118.604dB；4KHz输出信号106.102dB【提供第三方权威机构出具的检验报告复印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★2、满档声增益：≤49dB。当外界输入声压＞听力阈值时，自动启动听力保护功能，对超出听力阈值的入耳声压进行压缩。</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★3、对样品进行持续浸水试验。 样品全部浸入水中，  样品最低点低于水面 1.1m ；试验持续时间：30min  试验后，样品可正常使用。【提供第三方权威机构出具的检验报告复印件】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4、等效输入噪声级：≤25dB，总谐波失真：≤1.8%</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5、频率响应范围：200Hz-6000Hz。</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6、电流量：≤2.5mA</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★7、可选智能降噪深度。说明智能降噪深度控制原理。</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8、独立验配通道和频段数：≥16</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9、聆听程序设置：≥7个</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★10、全数字信号处理技术，自动音量控制，勿需手动调节音量，方便用户日常使用。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11、具备自动声反馈抑制功能。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12、具备内置测听功能。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13、具备开机延时功能。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14、具备移频功能、双麦克风技术，数据存储及实时分析系统。</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15、具备低电压提示。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16、具备蓝牙功能。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★17、内置语音评估功能，自动计算语言识别率0～100P。</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18、按用户需求提供多款耳塞或耳模</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★19、具备个人电脑、平板、手机系统验配软件，多模式下编程验配及患者管理功能。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20、具备无线编程功能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★21、助听器直连智能手机接听，勿需辅助配件。并可与各种音频输出设备无中转连接。</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★22、可使用手机链接助听器，居家自主自助测听、验配、微调等功能。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★23，提供免费维保/免费电池供应/每年一次免费性能刷新修正参数</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★24，首次适配后为用户提供3个月的听觉康复训练和言语训练，助听器后言语识别率≥60%；须提供经国家认证认可部门认可的检测机构出具的检测报告复印件佐证以上标★参数。</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注：以上标★参数须提供经国家认证认可部门认可的检测机构出具的检测报告复印件佐证。</w:t>
            </w:r>
          </w:p>
        </w:tc>
      </w:tr>
      <w:tr w14:paraId="59C06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48" w:hRule="atLeast"/>
        </w:trPr>
        <w:tc>
          <w:tcPr>
            <w:tcW w:w="0" w:type="auto"/>
            <w:shd w:val="clear" w:color="auto" w:fill="auto"/>
            <w:noWrap/>
            <w:vAlign w:val="center"/>
          </w:tcPr>
          <w:p w14:paraId="03D6F95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26</w:t>
            </w:r>
          </w:p>
        </w:tc>
        <w:tc>
          <w:tcPr>
            <w:tcW w:w="984" w:type="dxa"/>
            <w:vMerge w:val="continue"/>
            <w:shd w:val="clear" w:color="auto" w:fill="auto"/>
            <w:vAlign w:val="center"/>
          </w:tcPr>
          <w:p w14:paraId="38F454C9">
            <w:pPr>
              <w:jc w:val="center"/>
              <w:rPr>
                <w:rFonts w:hint="eastAsia" w:ascii="宋体" w:hAnsi="宋体" w:eastAsia="宋体" w:cs="宋体"/>
                <w:i w:val="0"/>
                <w:iCs w:val="0"/>
                <w:color w:val="auto"/>
                <w:sz w:val="18"/>
                <w:szCs w:val="18"/>
                <w:highlight w:val="none"/>
                <w:u w:val="none"/>
              </w:rPr>
            </w:pPr>
          </w:p>
        </w:tc>
        <w:tc>
          <w:tcPr>
            <w:tcW w:w="1504" w:type="dxa"/>
            <w:shd w:val="clear" w:color="auto" w:fill="auto"/>
            <w:vAlign w:val="center"/>
          </w:tcPr>
          <w:p w14:paraId="61DB523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滤光镜</w:t>
            </w:r>
          </w:p>
        </w:tc>
        <w:tc>
          <w:tcPr>
            <w:tcW w:w="0" w:type="auto"/>
            <w:shd w:val="clear" w:color="auto" w:fill="auto"/>
            <w:noWrap/>
            <w:vAlign w:val="center"/>
          </w:tcPr>
          <w:p w14:paraId="0C41879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5030" w:type="dxa"/>
            <w:shd w:val="clear" w:color="auto" w:fill="auto"/>
            <w:vAlign w:val="center"/>
          </w:tcPr>
          <w:p w14:paraId="2E55082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Q/KJ00⒋ ⒛ 04《助视器技术条件》; GB23719 009《眼科光学和仪器光学助视器》                                                                                      1.镜片材料.树脂材质;镜架材料.PC</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2.排除和滤除光束中的散射光线，使光线能与正规之透光轴投入眼睛视觉影像，使视野清晰自然，柔和不刺眼。</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3.镜片夜间有效抵挡刺眼远光强光，提高夜间实物亮度，镜片具有微光增量效果，缓解视觉疲劳，款式通用。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4.防止强光，防紫外线，抵挡炫光，可见光透视率,98（％）</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5.对低视力和眼疾病患者有一定保护作用。                                                                             6.可以配合戴近视镜的朋友使用，把近视镜套在内部使用。                             7、镜高45mm±2mm;镜宽62mm±2mm;鼻宽15mm±2mm；镜腿155mm±2mm,镜框总宽145mm±2mm。                                                                  </w:t>
            </w:r>
          </w:p>
        </w:tc>
      </w:tr>
      <w:tr w14:paraId="23763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03" w:hRule="atLeast"/>
        </w:trPr>
        <w:tc>
          <w:tcPr>
            <w:tcW w:w="0" w:type="auto"/>
            <w:shd w:val="clear" w:color="auto" w:fill="auto"/>
            <w:noWrap/>
            <w:vAlign w:val="center"/>
          </w:tcPr>
          <w:p w14:paraId="4E5E588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27</w:t>
            </w:r>
          </w:p>
        </w:tc>
        <w:tc>
          <w:tcPr>
            <w:tcW w:w="984" w:type="dxa"/>
            <w:vMerge w:val="continue"/>
            <w:shd w:val="clear" w:color="auto" w:fill="auto"/>
            <w:vAlign w:val="center"/>
          </w:tcPr>
          <w:p w14:paraId="67A34702">
            <w:pPr>
              <w:jc w:val="center"/>
              <w:rPr>
                <w:rFonts w:hint="eastAsia" w:ascii="宋体" w:hAnsi="宋体" w:eastAsia="宋体" w:cs="宋体"/>
                <w:i w:val="0"/>
                <w:iCs w:val="0"/>
                <w:color w:val="auto"/>
                <w:sz w:val="18"/>
                <w:szCs w:val="18"/>
                <w:highlight w:val="none"/>
                <w:u w:val="none"/>
              </w:rPr>
            </w:pPr>
          </w:p>
        </w:tc>
        <w:tc>
          <w:tcPr>
            <w:tcW w:w="1504" w:type="dxa"/>
            <w:shd w:val="clear" w:color="auto" w:fill="auto"/>
            <w:vAlign w:val="center"/>
          </w:tcPr>
          <w:p w14:paraId="3786DEE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盲表</w:t>
            </w:r>
          </w:p>
        </w:tc>
        <w:tc>
          <w:tcPr>
            <w:tcW w:w="0" w:type="auto"/>
            <w:shd w:val="clear" w:color="auto" w:fill="auto"/>
            <w:noWrap/>
            <w:vAlign w:val="center"/>
          </w:tcPr>
          <w:p w14:paraId="62C1ED6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5030" w:type="dxa"/>
            <w:shd w:val="clear" w:color="auto" w:fill="auto"/>
            <w:vAlign w:val="center"/>
          </w:tcPr>
          <w:p w14:paraId="692AF97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执行标准：按GB/T6044-2005《指针式石英手表》国家标准执行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1.内配置进口机芯与进口电池，搭配不锈钢表带，简约大字点加三针显示，可同时满足低视力或老人听力不便，耐用，防沾水，不过敏等特点。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2.盲表由表壳、金属表带、电子机芯、表扣，底盖组成；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3.功能：三针大字点数字显示，清晰超大声音语音报时，防过敏电镀层；</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4.金属电镀层，环保无镍电镀，手表准确度，30天+-3秒内；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5.产品配置说明，不多与3个按键操作，方便低视力和盲人以及老年人使用。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6.大声音报时与闹钟，还增加年、年、日、星期报功能；表面颜色：黑色、白色；</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7.手表总长度，25CM±2CM，可以根据需要缩伸表带长度。</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8.报时/贪睡功能，闹钟功能、生活防水。</w:t>
            </w:r>
          </w:p>
        </w:tc>
      </w:tr>
      <w:tr w14:paraId="55D1C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0" w:type="auto"/>
            <w:shd w:val="clear" w:color="auto" w:fill="auto"/>
            <w:noWrap/>
            <w:vAlign w:val="center"/>
          </w:tcPr>
          <w:p w14:paraId="23615BA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28</w:t>
            </w:r>
          </w:p>
        </w:tc>
        <w:tc>
          <w:tcPr>
            <w:tcW w:w="984" w:type="dxa"/>
            <w:vMerge w:val="continue"/>
            <w:shd w:val="clear" w:color="auto" w:fill="auto"/>
            <w:vAlign w:val="center"/>
          </w:tcPr>
          <w:p w14:paraId="65D7767A">
            <w:pPr>
              <w:jc w:val="center"/>
              <w:rPr>
                <w:rFonts w:hint="eastAsia" w:ascii="宋体" w:hAnsi="宋体" w:eastAsia="宋体" w:cs="宋体"/>
                <w:i w:val="0"/>
                <w:iCs w:val="0"/>
                <w:color w:val="auto"/>
                <w:sz w:val="18"/>
                <w:szCs w:val="18"/>
                <w:highlight w:val="none"/>
                <w:u w:val="none"/>
              </w:rPr>
            </w:pPr>
          </w:p>
        </w:tc>
        <w:tc>
          <w:tcPr>
            <w:tcW w:w="1504" w:type="dxa"/>
            <w:shd w:val="clear" w:color="auto" w:fill="auto"/>
            <w:vAlign w:val="center"/>
          </w:tcPr>
          <w:p w14:paraId="585FC1C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手持式多功能放大镜</w:t>
            </w:r>
          </w:p>
        </w:tc>
        <w:tc>
          <w:tcPr>
            <w:tcW w:w="0" w:type="auto"/>
            <w:shd w:val="clear" w:color="auto" w:fill="auto"/>
            <w:noWrap/>
            <w:vAlign w:val="center"/>
          </w:tcPr>
          <w:p w14:paraId="2D8CB3B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c>
          <w:tcPr>
            <w:tcW w:w="5030" w:type="dxa"/>
            <w:shd w:val="clear" w:color="auto" w:fill="auto"/>
            <w:vAlign w:val="center"/>
          </w:tcPr>
          <w:p w14:paraId="0B58824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Q/KJ00⒋ ⒛ 04《助视器技术条件》; GB23719 009《眼科光学和仪器光学助视器》                                                           1、材质：镜面：亚克力/管：硅胶；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2、待机时间：聚合物锂电池≥500mAh，≥10h；</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3、外观尺寸：130-125*100-95*17mm-15(折叠)；226-223*105-100*18-16mm(打开）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4、镜片尺寸：直径90mm±5mm，视觉清晰更舒适</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5、采用优质镜片，健康护眼防蓝光</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6、隐藏式手柄设计，符合人体工程学原理使用更方便。                                                                          </w:t>
            </w:r>
          </w:p>
        </w:tc>
      </w:tr>
      <w:tr w14:paraId="0C52D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58" w:hRule="atLeast"/>
        </w:trPr>
        <w:tc>
          <w:tcPr>
            <w:tcW w:w="0" w:type="auto"/>
            <w:shd w:val="clear" w:color="auto" w:fill="auto"/>
            <w:noWrap/>
            <w:vAlign w:val="center"/>
          </w:tcPr>
          <w:p w14:paraId="513A98F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29</w:t>
            </w:r>
          </w:p>
        </w:tc>
        <w:tc>
          <w:tcPr>
            <w:tcW w:w="984" w:type="dxa"/>
            <w:vMerge w:val="continue"/>
            <w:shd w:val="clear" w:color="auto" w:fill="auto"/>
            <w:vAlign w:val="center"/>
          </w:tcPr>
          <w:p w14:paraId="07A7BDB6">
            <w:pPr>
              <w:jc w:val="center"/>
              <w:rPr>
                <w:rFonts w:hint="eastAsia" w:ascii="宋体" w:hAnsi="宋体" w:eastAsia="宋体" w:cs="宋体"/>
                <w:i w:val="0"/>
                <w:iCs w:val="0"/>
                <w:color w:val="auto"/>
                <w:sz w:val="18"/>
                <w:szCs w:val="18"/>
                <w:highlight w:val="none"/>
                <w:u w:val="none"/>
              </w:rPr>
            </w:pPr>
          </w:p>
        </w:tc>
        <w:tc>
          <w:tcPr>
            <w:tcW w:w="1504" w:type="dxa"/>
            <w:shd w:val="clear" w:color="auto" w:fill="auto"/>
            <w:vAlign w:val="center"/>
          </w:tcPr>
          <w:p w14:paraId="30E2E40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听书机</w:t>
            </w:r>
          </w:p>
        </w:tc>
        <w:tc>
          <w:tcPr>
            <w:tcW w:w="0" w:type="auto"/>
            <w:shd w:val="clear" w:color="auto" w:fill="auto"/>
            <w:noWrap/>
            <w:vAlign w:val="center"/>
          </w:tcPr>
          <w:p w14:paraId="6E0790D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13</w:t>
            </w:r>
          </w:p>
        </w:tc>
        <w:tc>
          <w:tcPr>
            <w:tcW w:w="5030" w:type="dxa"/>
            <w:shd w:val="clear" w:color="auto" w:fill="auto"/>
            <w:vAlign w:val="center"/>
          </w:tcPr>
          <w:p w14:paraId="5959141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1.执行标准：QB/T 4325-2012</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2.产品组成：听书收音一体机、充电线、挂绳</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3.性能参数：工作电压3.7v、喇叭功率4Ω 5W 、2200mAh蓄电量、数字屏显</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4.材质：ABS外壳、硅胶按键、</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5.规格：机身长99mm宽32mm高66mm（±3mm），显示屏宽38mm高25mm（±3mm），天线长69～165mm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1）一体成型盲文触点按键，全程按键语音提示，内置FM收音机、蓝牙音响、插卡音响、语音记事本、时钟功能，高亮背光按键，音量调节,电子书功能，听书功能。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2）收音机自动搜索电台，99组电台频率记忆。</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3）蓝牙音响可连接手机，播放音乐及接听电话。</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4）插卡音响快捷数字点歌，支持9999个音乐或故事文件，支持64gtf卡，支持64GU盘。</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5）语音记事本最多支持999段语音记录，单个语音记录最长20分钟。注：以上标★参数须提供经国家认证认可部门认可的检测机构出具的检测报告复印件佐证。</w:t>
            </w:r>
          </w:p>
        </w:tc>
      </w:tr>
      <w:tr w14:paraId="2E876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3" w:hRule="atLeast"/>
        </w:trPr>
        <w:tc>
          <w:tcPr>
            <w:tcW w:w="0" w:type="auto"/>
            <w:shd w:val="clear" w:color="auto" w:fill="auto"/>
            <w:noWrap/>
            <w:vAlign w:val="center"/>
          </w:tcPr>
          <w:p w14:paraId="3A20407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w:t>
            </w:r>
          </w:p>
        </w:tc>
        <w:tc>
          <w:tcPr>
            <w:tcW w:w="984" w:type="dxa"/>
            <w:vMerge w:val="continue"/>
            <w:shd w:val="clear" w:color="auto" w:fill="auto"/>
            <w:vAlign w:val="center"/>
          </w:tcPr>
          <w:p w14:paraId="0EBA72D6">
            <w:pPr>
              <w:jc w:val="center"/>
              <w:rPr>
                <w:rFonts w:hint="eastAsia" w:ascii="宋体" w:hAnsi="宋体" w:eastAsia="宋体" w:cs="宋体"/>
                <w:i w:val="0"/>
                <w:iCs w:val="0"/>
                <w:color w:val="auto"/>
                <w:sz w:val="18"/>
                <w:szCs w:val="18"/>
                <w:highlight w:val="none"/>
                <w:u w:val="none"/>
              </w:rPr>
            </w:pPr>
          </w:p>
        </w:tc>
        <w:tc>
          <w:tcPr>
            <w:tcW w:w="1504" w:type="dxa"/>
            <w:shd w:val="clear" w:color="auto" w:fill="auto"/>
            <w:vAlign w:val="center"/>
          </w:tcPr>
          <w:p w14:paraId="10EA5F5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中距离眼镜式助视器</w:t>
            </w:r>
          </w:p>
        </w:tc>
        <w:tc>
          <w:tcPr>
            <w:tcW w:w="0" w:type="auto"/>
            <w:shd w:val="clear" w:color="auto" w:fill="auto"/>
            <w:noWrap/>
            <w:vAlign w:val="center"/>
          </w:tcPr>
          <w:p w14:paraId="1A8F131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w:t>
            </w:r>
          </w:p>
        </w:tc>
        <w:tc>
          <w:tcPr>
            <w:tcW w:w="5030" w:type="dxa"/>
            <w:shd w:val="clear" w:color="auto" w:fill="auto"/>
            <w:vAlign w:val="center"/>
          </w:tcPr>
          <w:p w14:paraId="24DB479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Q/KJ00⒋ ⒛ 04《助视器技术条件》; GB23719 009《眼科光学和仪器光学助视器》                                                          1.光学性能：成像清晰，无成像弯曲、发毛、边缘带色。                                        2.光学部件无肉眼可见的气泡、条纹、白色结石、黑点、白点等。                          3.镜片表面无水迹、指印、油污、尘埃、霉斑等。</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4.放大倍率：2.0倍-2.5倍。</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5.至少可清晰观察3米处目标物,最远可清晰观察5米处目标物,重量：40克±3g,镜片尺寸35mm±3mm.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6.镜架材质：PP、镜片材质：PC、PMMA、包装材质：防护袋。                                                                           7.具有双调焦轮，并且调焦轮位于镜框边缘，方便调节。                                                                                 8.各调节部件运转灵活，间隙应均匀适当，方便调节。                                                                                                                                                              </w:t>
            </w:r>
          </w:p>
        </w:tc>
      </w:tr>
      <w:tr w14:paraId="1FB71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43" w:hRule="atLeast"/>
        </w:trPr>
        <w:tc>
          <w:tcPr>
            <w:tcW w:w="0" w:type="auto"/>
            <w:shd w:val="clear" w:color="auto" w:fill="auto"/>
            <w:noWrap/>
            <w:vAlign w:val="center"/>
          </w:tcPr>
          <w:p w14:paraId="5B0A5DD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31</w:t>
            </w:r>
          </w:p>
        </w:tc>
        <w:tc>
          <w:tcPr>
            <w:tcW w:w="984" w:type="dxa"/>
            <w:vMerge w:val="continue"/>
            <w:shd w:val="clear" w:color="auto" w:fill="auto"/>
            <w:vAlign w:val="center"/>
          </w:tcPr>
          <w:p w14:paraId="2B9F22CF">
            <w:pPr>
              <w:jc w:val="center"/>
              <w:rPr>
                <w:rFonts w:hint="eastAsia" w:ascii="宋体" w:hAnsi="宋体" w:eastAsia="宋体" w:cs="宋体"/>
                <w:i w:val="0"/>
                <w:iCs w:val="0"/>
                <w:color w:val="auto"/>
                <w:sz w:val="18"/>
                <w:szCs w:val="18"/>
                <w:highlight w:val="none"/>
                <w:u w:val="none"/>
              </w:rPr>
            </w:pPr>
          </w:p>
        </w:tc>
        <w:tc>
          <w:tcPr>
            <w:tcW w:w="1504" w:type="dxa"/>
            <w:shd w:val="clear" w:color="auto" w:fill="auto"/>
            <w:vAlign w:val="center"/>
          </w:tcPr>
          <w:p w14:paraId="41069EE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手持电子助视器 </w:t>
            </w:r>
          </w:p>
        </w:tc>
        <w:tc>
          <w:tcPr>
            <w:tcW w:w="0" w:type="auto"/>
            <w:shd w:val="clear" w:color="auto" w:fill="auto"/>
            <w:noWrap/>
            <w:vAlign w:val="center"/>
          </w:tcPr>
          <w:p w14:paraId="1CCE1B9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5030" w:type="dxa"/>
            <w:shd w:val="clear" w:color="auto" w:fill="auto"/>
            <w:vAlign w:val="center"/>
          </w:tcPr>
          <w:p w14:paraId="10E444A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1.显示屏尺寸：≥3.5寸。</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2.放大倍数：2-24倍。</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3.显示模式:≥4种。</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4.具备画面定格/释放功能。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5.具备屏幕亮度/对比度调节功能。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6.支持阅读功能。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7.具有视频输出功能，可连接电视机显示，具有视频输出接口。</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8.具有省电模式功能，助视器模式下3分钟无移动自动关机。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9.按键具有声音提示功能。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10.记忆功能：关机后自动保存本次色彩模式，放大倍数，视频输出格式，按键音状态，亮度值设置。</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11.打卡关闭照明灯功能。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12.外置可拆卸电池便于更换，电池可连续不间断使用3.5小时。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13．电池电量不足时，容量图标闪烁提示。</w:t>
            </w:r>
          </w:p>
        </w:tc>
      </w:tr>
      <w:tr w14:paraId="23EF9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3" w:hRule="atLeast"/>
        </w:trPr>
        <w:tc>
          <w:tcPr>
            <w:tcW w:w="0" w:type="auto"/>
            <w:shd w:val="clear" w:color="auto" w:fill="auto"/>
            <w:noWrap/>
            <w:vAlign w:val="center"/>
          </w:tcPr>
          <w:p w14:paraId="1C7C8ED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32</w:t>
            </w:r>
          </w:p>
        </w:tc>
        <w:tc>
          <w:tcPr>
            <w:tcW w:w="984" w:type="dxa"/>
            <w:vMerge w:val="restart"/>
            <w:shd w:val="clear" w:color="auto" w:fill="auto"/>
            <w:vAlign w:val="center"/>
          </w:tcPr>
          <w:p w14:paraId="2A0D133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家庭和其他场所的家具和适配件</w:t>
            </w:r>
          </w:p>
        </w:tc>
        <w:tc>
          <w:tcPr>
            <w:tcW w:w="1504" w:type="dxa"/>
            <w:shd w:val="clear" w:color="auto" w:fill="auto"/>
            <w:vAlign w:val="center"/>
          </w:tcPr>
          <w:p w14:paraId="57DFAA3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多功能护理床</w:t>
            </w:r>
          </w:p>
        </w:tc>
        <w:tc>
          <w:tcPr>
            <w:tcW w:w="0" w:type="auto"/>
            <w:shd w:val="clear" w:color="auto" w:fill="auto"/>
            <w:noWrap/>
            <w:vAlign w:val="center"/>
          </w:tcPr>
          <w:p w14:paraId="2389ADC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5030" w:type="dxa"/>
            <w:shd w:val="clear" w:color="auto" w:fill="auto"/>
            <w:vAlign w:val="center"/>
          </w:tcPr>
          <w:p w14:paraId="0D8751F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 规格尺寸2000*900*500mm±5mm,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 功能：起身、左右翻身、上曲腿、下曲腿、就餐、输液、洗头、洗脚、解便、静音轮、折叠护栏。</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 参配及材质：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 背部可升降角度≥0-80，±5.</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 腿部可升降角度≥整体上抬腿25度，整体下曲腿65度。</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 翻身角度（左右翻身）≥0-45，±5.</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 床体载重＜260kg，不变形。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 床框材料：40*80mm±3mm矩形方管，壁厚≥0.9mm，冷轧方管床架，表面静电粉末喷涂。</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 床面材料：优质冷轧方管厚度≥1.1mm。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（7） 床头床尾：采用高级工程材料ABS 床头尾板，加厚床头尾板带暗锁装置，拆卸方便，尾板外侧有病人信息卡查槽。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（8） 护栏：铝合金立柱、侧伏式护栏，可收缩放平，单式按键快速定位保险开关，整体建构合理，坚固耐用，且具有防夹手功能。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（9） 脚轮：125mm±3mm静音脚轮，配备4个制动脚轮，静音耐磨，稳定性强。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（10） 可伸缩不锈钢输液架。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（11） 便携式、就餐桌。</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（12） 摇炳配置：侧面为一个摇炳可左右翻身，前段配置2个摇炳一个可起背一个可以抬腿和曲腿，便孔采用秒开装置。</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4、 床垫：外形与病床尺寸配套，厚度≥60mm，半粽半棉床垫，带拉链，可拆洗，回弹性好，可长期保持床面干净卫生。  </w:t>
            </w:r>
          </w:p>
        </w:tc>
      </w:tr>
      <w:tr w14:paraId="6E2D7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25" w:hRule="atLeast"/>
        </w:trPr>
        <w:tc>
          <w:tcPr>
            <w:tcW w:w="0" w:type="auto"/>
            <w:shd w:val="clear" w:color="auto" w:fill="auto"/>
            <w:noWrap/>
            <w:vAlign w:val="center"/>
          </w:tcPr>
          <w:p w14:paraId="021F578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33</w:t>
            </w:r>
          </w:p>
        </w:tc>
        <w:tc>
          <w:tcPr>
            <w:tcW w:w="984" w:type="dxa"/>
            <w:vMerge w:val="continue"/>
            <w:shd w:val="clear" w:color="auto" w:fill="auto"/>
            <w:vAlign w:val="center"/>
          </w:tcPr>
          <w:p w14:paraId="3C42A117">
            <w:pPr>
              <w:jc w:val="center"/>
              <w:rPr>
                <w:rFonts w:hint="eastAsia" w:ascii="宋体" w:hAnsi="宋体" w:eastAsia="宋体" w:cs="宋体"/>
                <w:i w:val="0"/>
                <w:iCs w:val="0"/>
                <w:color w:val="auto"/>
                <w:sz w:val="18"/>
                <w:szCs w:val="18"/>
                <w:highlight w:val="none"/>
                <w:u w:val="none"/>
              </w:rPr>
            </w:pPr>
          </w:p>
        </w:tc>
        <w:tc>
          <w:tcPr>
            <w:tcW w:w="1504" w:type="dxa"/>
            <w:shd w:val="clear" w:color="auto" w:fill="auto"/>
            <w:vAlign w:val="center"/>
          </w:tcPr>
          <w:p w14:paraId="7355AD4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多功能床靠架</w:t>
            </w:r>
          </w:p>
        </w:tc>
        <w:tc>
          <w:tcPr>
            <w:tcW w:w="0" w:type="auto"/>
            <w:shd w:val="clear" w:color="auto" w:fill="auto"/>
            <w:noWrap/>
            <w:vAlign w:val="center"/>
          </w:tcPr>
          <w:p w14:paraId="27AF39D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5030" w:type="dxa"/>
            <w:shd w:val="clear" w:color="auto" w:fill="auto"/>
            <w:vAlign w:val="center"/>
          </w:tcPr>
          <w:p w14:paraId="66D27E8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1.材质：高强度碳素钢管+网格布阻燃面料，                                                                 2，免安装，5档可调节，每档角度分别是65,55,45,35，25度，免安装.面料阻燃、免安装、五档可调、承重272斤±5kg;净重：3kg±0.5kg 毛重：3.6kg±51kg                                                                  3.折叠后总宽度为58cm±5cm,总长度为60cm±5cm,总高为7.5cm±5cm；网布底座尺寸：55*52CM±5cm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4.适用人群长期卧床人士、喜欢躺在床上看书看报人士。</w:t>
            </w:r>
          </w:p>
        </w:tc>
      </w:tr>
    </w:tbl>
    <w:p w14:paraId="6EB18D61">
      <w:pPr>
        <w:pStyle w:val="7"/>
        <w:rPr>
          <w:rFonts w:hint="eastAsia"/>
          <w:color w:val="auto"/>
          <w:highlight w:val="none"/>
        </w:rPr>
      </w:pPr>
    </w:p>
    <w:p w14:paraId="2C2ED7A0">
      <w:pPr>
        <w:snapToGrid w:val="0"/>
        <w:spacing w:line="400" w:lineRule="exact"/>
        <w:ind w:firstLine="482" w:firstLineChars="200"/>
        <w:rPr>
          <w:rFonts w:hint="eastAsia" w:cs="仿宋" w:asciiTheme="minorEastAsia" w:hAnsiTheme="minorEastAsia" w:eastAsiaTheme="minorEastAsia"/>
          <w:b/>
          <w:bCs/>
          <w:color w:val="auto"/>
          <w:highlight w:val="none"/>
        </w:rPr>
      </w:pPr>
      <w:r>
        <w:rPr>
          <w:rFonts w:hint="eastAsia" w:cs="仿宋" w:asciiTheme="minorEastAsia" w:hAnsiTheme="minorEastAsia" w:eastAsiaTheme="minorEastAsia"/>
          <w:b/>
          <w:bCs/>
          <w:color w:val="auto"/>
          <w:highlight w:val="none"/>
          <w:lang w:val="en-US" w:eastAsia="zh-CN"/>
        </w:rPr>
        <w:t>2.</w:t>
      </w:r>
      <w:r>
        <w:rPr>
          <w:rFonts w:hint="eastAsia" w:cs="仿宋" w:asciiTheme="minorEastAsia" w:hAnsiTheme="minorEastAsia" w:eastAsiaTheme="minorEastAsia"/>
          <w:b/>
          <w:bCs/>
          <w:color w:val="auto"/>
          <w:highlight w:val="none"/>
        </w:rPr>
        <w:t>供方提供的货物必须是响应文件“分项报价明细表”中明确的货物制造商</w:t>
      </w:r>
      <w:r>
        <w:rPr>
          <w:rFonts w:hint="eastAsia" w:cs="仿宋" w:asciiTheme="minorEastAsia" w:hAnsiTheme="minorEastAsia" w:eastAsiaTheme="minorEastAsia"/>
          <w:b/>
          <w:bCs/>
          <w:color w:val="auto"/>
          <w:highlight w:val="none"/>
          <w:lang w:eastAsia="zh-CN"/>
        </w:rPr>
        <w:t>或明确品牌的货物制造商</w:t>
      </w:r>
      <w:r>
        <w:rPr>
          <w:rFonts w:hint="eastAsia" w:cs="仿宋" w:asciiTheme="minorEastAsia" w:hAnsiTheme="minorEastAsia" w:eastAsiaTheme="minorEastAsia"/>
          <w:b/>
          <w:bCs/>
          <w:color w:val="auto"/>
          <w:highlight w:val="none"/>
        </w:rPr>
        <w:t>原厂生产的、全新的、未使用过的正品，并完全符合国家质量标准，附完备的技术资料（如有）、装箱单（如有）、产品“三包”证书和产品合格证。所有产品符合《中华人民共和国产品质量法》、《中华人民共和国计量法》、《中华人民共和国标准化法》要求，并符合相关行业管理规定。“分项报价明细表”必须明确货物制造商</w:t>
      </w:r>
      <w:r>
        <w:rPr>
          <w:rFonts w:hint="eastAsia" w:cs="仿宋" w:asciiTheme="minorEastAsia" w:hAnsiTheme="minorEastAsia" w:eastAsiaTheme="minorEastAsia"/>
          <w:b/>
          <w:bCs/>
          <w:color w:val="auto"/>
          <w:highlight w:val="none"/>
          <w:lang w:eastAsia="zh-CN"/>
        </w:rPr>
        <w:t>或货物品牌</w:t>
      </w:r>
      <w:r>
        <w:rPr>
          <w:rFonts w:hint="eastAsia" w:cs="仿宋" w:asciiTheme="minorEastAsia" w:hAnsiTheme="minorEastAsia" w:eastAsiaTheme="minorEastAsia"/>
          <w:b/>
          <w:bCs/>
          <w:color w:val="auto"/>
          <w:highlight w:val="none"/>
        </w:rPr>
        <w:t>。</w:t>
      </w:r>
    </w:p>
    <w:p w14:paraId="7A12963F">
      <w:pPr>
        <w:tabs>
          <w:tab w:val="left" w:pos="6300"/>
        </w:tabs>
        <w:snapToGrid w:val="0"/>
        <w:spacing w:line="360" w:lineRule="auto"/>
        <w:ind w:firstLine="480" w:firstLineChars="200"/>
        <w:rPr>
          <w:rFonts w:hint="eastAsia"/>
          <w:color w:val="auto"/>
          <w:highlight w:val="none"/>
        </w:rPr>
      </w:pPr>
      <w:r>
        <w:rPr>
          <w:rFonts w:hint="eastAsia"/>
          <w:color w:val="auto"/>
          <w:highlight w:val="none"/>
        </w:rPr>
        <w:t>我方对以上承诺负全部法律责任。</w:t>
      </w:r>
    </w:p>
    <w:p w14:paraId="361AE3DA">
      <w:pPr>
        <w:tabs>
          <w:tab w:val="left" w:pos="6300"/>
        </w:tabs>
        <w:snapToGrid w:val="0"/>
        <w:spacing w:line="360" w:lineRule="auto"/>
        <w:ind w:firstLine="480" w:firstLineChars="200"/>
        <w:rPr>
          <w:rFonts w:hint="eastAsia"/>
          <w:color w:val="auto"/>
          <w:highlight w:val="none"/>
        </w:rPr>
      </w:pPr>
      <w:r>
        <w:rPr>
          <w:rFonts w:hint="eastAsia"/>
          <w:color w:val="auto"/>
          <w:highlight w:val="none"/>
        </w:rPr>
        <w:t>特此承诺。</w:t>
      </w:r>
    </w:p>
    <w:p w14:paraId="40A3EA80">
      <w:pPr>
        <w:tabs>
          <w:tab w:val="left" w:pos="6300"/>
        </w:tabs>
        <w:snapToGrid w:val="0"/>
        <w:spacing w:line="360" w:lineRule="auto"/>
        <w:ind w:firstLine="480" w:firstLineChars="200"/>
        <w:jc w:val="right"/>
        <w:rPr>
          <w:rFonts w:hint="eastAsia"/>
          <w:color w:val="auto"/>
          <w:highlight w:val="none"/>
        </w:rPr>
      </w:pPr>
      <w:r>
        <w:rPr>
          <w:rFonts w:hint="eastAsia" w:asciiTheme="minorEastAsia" w:hAnsiTheme="minorEastAsia"/>
          <w:color w:val="auto"/>
          <w:highlight w:val="none"/>
        </w:rPr>
        <w:t>供应商（公章）</w:t>
      </w:r>
    </w:p>
    <w:p w14:paraId="6B681534">
      <w:pPr>
        <w:spacing w:line="360" w:lineRule="auto"/>
        <w:jc w:val="right"/>
        <w:rPr>
          <w:rFonts w:hint="eastAsia"/>
          <w:color w:val="auto"/>
          <w:highlight w:val="none"/>
        </w:rPr>
      </w:pPr>
      <w:r>
        <w:rPr>
          <w:rFonts w:hint="eastAsia"/>
          <w:color w:val="auto"/>
          <w:highlight w:val="none"/>
        </w:rPr>
        <w:t>年   月   日</w:t>
      </w:r>
    </w:p>
    <w:p w14:paraId="59F1E067">
      <w:pPr>
        <w:pStyle w:val="3"/>
        <w:pageBreakBefore/>
        <w:spacing w:line="400" w:lineRule="exact"/>
        <w:rPr>
          <w:rFonts w:hint="eastAsia" w:asciiTheme="minorEastAsia" w:hAnsiTheme="minorEastAsia"/>
          <w:color w:val="auto"/>
          <w:highlight w:val="none"/>
        </w:rPr>
      </w:pPr>
      <w:bookmarkStart w:id="266" w:name="_Toc24503"/>
      <w:bookmarkStart w:id="267" w:name="_Toc32158"/>
      <w:bookmarkStart w:id="268" w:name="_Toc27717"/>
      <w:bookmarkStart w:id="269" w:name="_Toc65660381"/>
      <w:bookmarkStart w:id="270" w:name="_Toc32339"/>
      <w:bookmarkStart w:id="271" w:name="_Toc196642869"/>
      <w:bookmarkStart w:id="272" w:name="_Toc342913421"/>
      <w:bookmarkStart w:id="273" w:name="_Toc313008358"/>
      <w:bookmarkStart w:id="274" w:name="_Toc313888362"/>
      <w:r>
        <w:rPr>
          <w:rFonts w:hint="eastAsia" w:asciiTheme="minorEastAsia" w:hAnsiTheme="minorEastAsia"/>
          <w:color w:val="auto"/>
          <w:highlight w:val="none"/>
        </w:rPr>
        <w:t>三、商务部分</w:t>
      </w:r>
      <w:bookmarkEnd w:id="266"/>
      <w:bookmarkEnd w:id="267"/>
      <w:bookmarkEnd w:id="268"/>
      <w:bookmarkEnd w:id="269"/>
      <w:bookmarkEnd w:id="270"/>
      <w:bookmarkEnd w:id="271"/>
    </w:p>
    <w:p w14:paraId="2F3AB493">
      <w:pPr>
        <w:spacing w:line="400" w:lineRule="exact"/>
        <w:ind w:firstLine="480" w:firstLineChars="200"/>
        <w:jc w:val="center"/>
        <w:rPr>
          <w:rFonts w:hint="eastAsia" w:asciiTheme="minorEastAsia" w:hAnsiTheme="minorEastAsia"/>
          <w:color w:val="auto"/>
          <w:highlight w:val="none"/>
        </w:rPr>
      </w:pPr>
      <w:r>
        <w:rPr>
          <w:rFonts w:hint="eastAsia" w:asciiTheme="minorEastAsia" w:hAnsiTheme="minorEastAsia"/>
          <w:color w:val="auto"/>
          <w:highlight w:val="none"/>
        </w:rPr>
        <w:t>商务响应承诺</w:t>
      </w:r>
    </w:p>
    <w:p w14:paraId="7A2E271E">
      <w:pPr>
        <w:tabs>
          <w:tab w:val="left" w:pos="6300"/>
        </w:tabs>
        <w:snapToGrid w:val="0"/>
        <w:spacing w:line="500" w:lineRule="exact"/>
        <w:ind w:firstLine="480" w:firstLineChars="200"/>
        <w:rPr>
          <w:rFonts w:hint="eastAsia"/>
          <w:color w:val="auto"/>
          <w:highlight w:val="none"/>
        </w:rPr>
      </w:pPr>
      <w:r>
        <w:rPr>
          <w:rFonts w:hint="eastAsia"/>
          <w:color w:val="auto"/>
          <w:highlight w:val="none"/>
        </w:rPr>
        <w:t>致</w:t>
      </w:r>
      <w:r>
        <w:rPr>
          <w:rFonts w:hint="eastAsia"/>
          <w:color w:val="auto"/>
          <w:highlight w:val="none"/>
          <w:u w:val="single"/>
        </w:rPr>
        <w:t xml:space="preserve">                   </w:t>
      </w:r>
      <w:r>
        <w:rPr>
          <w:rFonts w:hint="eastAsia"/>
          <w:color w:val="auto"/>
          <w:highlight w:val="none"/>
        </w:rPr>
        <w:t>（采购人名称）：</w:t>
      </w:r>
    </w:p>
    <w:p w14:paraId="579FA12F">
      <w:pPr>
        <w:snapToGrid w:val="0"/>
        <w:spacing w:line="360" w:lineRule="auto"/>
        <w:ind w:firstLine="465"/>
        <w:rPr>
          <w:rFonts w:hint="eastAsia"/>
          <w:color w:val="auto"/>
          <w:highlight w:val="none"/>
        </w:rPr>
      </w:pPr>
      <w:r>
        <w:rPr>
          <w:rFonts w:hint="eastAsia"/>
          <w:color w:val="auto"/>
          <w:highlight w:val="none"/>
          <w:u w:val="single"/>
        </w:rPr>
        <w:t xml:space="preserve">              </w:t>
      </w:r>
      <w:r>
        <w:rPr>
          <w:rFonts w:hint="eastAsia"/>
          <w:color w:val="auto"/>
          <w:highlight w:val="none"/>
        </w:rPr>
        <w:t>（供应商名称）郑重承诺完全响应“第三篇  询价项目商务需求”规定全部内容，具体如下：</w:t>
      </w:r>
    </w:p>
    <w:p w14:paraId="7018B445">
      <w:pPr>
        <w:pStyle w:val="3"/>
        <w:spacing w:line="400" w:lineRule="exact"/>
        <w:ind w:firstLine="482" w:firstLineChars="200"/>
        <w:rPr>
          <w:rFonts w:hint="eastAsia" w:asciiTheme="minorEastAsia" w:hAnsiTheme="minorEastAsia"/>
          <w:b/>
          <w:color w:val="auto"/>
          <w:highlight w:val="none"/>
        </w:rPr>
      </w:pPr>
      <w:bookmarkStart w:id="275" w:name="_Toc14971"/>
      <w:r>
        <w:rPr>
          <w:rFonts w:hint="eastAsia" w:asciiTheme="minorEastAsia" w:hAnsiTheme="minorEastAsia"/>
          <w:b/>
          <w:color w:val="auto"/>
          <w:highlight w:val="none"/>
        </w:rPr>
        <w:t>一、交货期、交货地点及验收方式</w:t>
      </w:r>
      <w:bookmarkEnd w:id="275"/>
    </w:p>
    <w:p w14:paraId="361392A3">
      <w:pPr>
        <w:snapToGrid w:val="0"/>
        <w:spacing w:line="400" w:lineRule="exact"/>
        <w:ind w:firstLine="240" w:firstLineChars="100"/>
        <w:outlineLvl w:val="2"/>
        <w:rPr>
          <w:rFonts w:hint="eastAsia" w:asciiTheme="minorEastAsia" w:hAnsiTheme="minorEastAsia"/>
          <w:color w:val="auto"/>
          <w:highlight w:val="none"/>
        </w:rPr>
      </w:pPr>
      <w:r>
        <w:rPr>
          <w:rFonts w:hint="eastAsia" w:asciiTheme="minorEastAsia" w:hAnsiTheme="minorEastAsia"/>
          <w:color w:val="auto"/>
          <w:highlight w:val="none"/>
        </w:rPr>
        <w:t>（一）交货期</w:t>
      </w:r>
    </w:p>
    <w:p w14:paraId="7A9C000A">
      <w:pPr>
        <w:snapToGrid w:val="0"/>
        <w:spacing w:line="400" w:lineRule="exact"/>
        <w:ind w:firstLine="480" w:firstLineChars="200"/>
        <w:rPr>
          <w:rFonts w:hint="eastAsia" w:asciiTheme="minorEastAsia" w:hAnsiTheme="minorEastAsia"/>
          <w:color w:val="auto"/>
          <w:highlight w:val="none"/>
        </w:rPr>
      </w:pPr>
      <w:r>
        <w:rPr>
          <w:rFonts w:hint="eastAsia"/>
          <w:color w:val="auto"/>
          <w:highlight w:val="none"/>
        </w:rPr>
        <w:t>在采购合同签订后</w:t>
      </w:r>
      <w:r>
        <w:rPr>
          <w:rFonts w:hint="eastAsia"/>
          <w:color w:val="auto"/>
          <w:highlight w:val="none"/>
          <w:u w:val="single"/>
          <w:lang w:val="en-US" w:eastAsia="zh-CN"/>
        </w:rPr>
        <w:t>30</w:t>
      </w:r>
      <w:r>
        <w:rPr>
          <w:rFonts w:hint="eastAsia"/>
          <w:color w:val="auto"/>
          <w:highlight w:val="none"/>
        </w:rPr>
        <w:t>个日历天内完成交货</w:t>
      </w:r>
      <w:r>
        <w:rPr>
          <w:rFonts w:hint="eastAsia"/>
          <w:color w:val="auto"/>
          <w:highlight w:val="none"/>
          <w:lang w:eastAsia="zh-CN"/>
        </w:rPr>
        <w:t>、组装</w:t>
      </w:r>
      <w:r>
        <w:rPr>
          <w:rFonts w:hint="eastAsia"/>
          <w:color w:val="auto"/>
          <w:highlight w:val="none"/>
        </w:rPr>
        <w:t>。成交供应商未在约定交货期内完成交货</w:t>
      </w:r>
      <w:r>
        <w:rPr>
          <w:rFonts w:hint="eastAsia"/>
          <w:color w:val="auto"/>
          <w:highlight w:val="none"/>
          <w:lang w:eastAsia="zh-CN"/>
        </w:rPr>
        <w:t>、组装</w:t>
      </w:r>
      <w:r>
        <w:rPr>
          <w:rFonts w:hint="eastAsia"/>
          <w:color w:val="auto"/>
          <w:highlight w:val="none"/>
        </w:rPr>
        <w:t>的，根据实际超期天数按300元/天处以违约金。</w:t>
      </w:r>
    </w:p>
    <w:p w14:paraId="4FA1EA8C">
      <w:pPr>
        <w:snapToGrid w:val="0"/>
        <w:spacing w:line="400" w:lineRule="exact"/>
        <w:ind w:firstLine="480" w:firstLineChars="200"/>
        <w:outlineLvl w:val="2"/>
        <w:rPr>
          <w:rFonts w:hint="eastAsia" w:asciiTheme="minorEastAsia" w:hAnsiTheme="minorEastAsia"/>
          <w:color w:val="auto"/>
          <w:highlight w:val="none"/>
        </w:rPr>
      </w:pPr>
      <w:r>
        <w:rPr>
          <w:rFonts w:hint="eastAsia" w:asciiTheme="minorEastAsia" w:hAnsiTheme="minorEastAsia"/>
          <w:color w:val="auto"/>
          <w:highlight w:val="none"/>
        </w:rPr>
        <w:t>（二）交货地点</w:t>
      </w:r>
    </w:p>
    <w:p w14:paraId="1D3FA658">
      <w:pPr>
        <w:snapToGrid w:val="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交货地点：</w:t>
      </w:r>
      <w:r>
        <w:rPr>
          <w:rFonts w:hint="eastAsia" w:asciiTheme="minorEastAsia" w:hAnsiTheme="minorEastAsia"/>
          <w:color w:val="auto"/>
          <w:highlight w:val="none"/>
          <w:lang w:eastAsia="zh-CN"/>
        </w:rPr>
        <w:t>以</w:t>
      </w:r>
      <w:r>
        <w:rPr>
          <w:rFonts w:hint="eastAsia" w:asciiTheme="minorEastAsia" w:hAnsiTheme="minorEastAsia"/>
          <w:color w:val="auto"/>
          <w:highlight w:val="none"/>
        </w:rPr>
        <w:t>采购人指定地点为准</w:t>
      </w:r>
      <w:r>
        <w:rPr>
          <w:rFonts w:hint="eastAsia" w:cs="仿宋" w:asciiTheme="minorEastAsia" w:hAnsiTheme="minorEastAsia" w:eastAsiaTheme="minorEastAsia"/>
          <w:color w:val="auto"/>
          <w:highlight w:val="none"/>
          <w:lang w:eastAsia="zh-CN"/>
        </w:rPr>
        <w:t>，</w:t>
      </w:r>
      <w:r>
        <w:rPr>
          <w:rFonts w:hint="eastAsia" w:cs="仿宋" w:asciiTheme="minorEastAsia" w:hAnsiTheme="minorEastAsia" w:eastAsiaTheme="minorEastAsia"/>
          <w:color w:val="auto"/>
          <w:highlight w:val="none"/>
          <w:lang w:val="en-US" w:eastAsia="zh-CN"/>
        </w:rPr>
        <w:t>站立架、多功能护理床等大件货品需送货至残疾人家庭</w:t>
      </w:r>
      <w:r>
        <w:rPr>
          <w:rFonts w:hint="eastAsia"/>
          <w:color w:val="auto"/>
          <w:highlight w:val="none"/>
        </w:rPr>
        <w:t>。</w:t>
      </w:r>
    </w:p>
    <w:p w14:paraId="35031B44">
      <w:pPr>
        <w:snapToGrid w:val="0"/>
        <w:spacing w:line="400" w:lineRule="exact"/>
        <w:ind w:firstLine="480" w:firstLineChars="200"/>
        <w:outlineLvl w:val="2"/>
        <w:rPr>
          <w:rFonts w:hint="eastAsia" w:asciiTheme="minorEastAsia" w:hAnsiTheme="minorEastAsia"/>
          <w:color w:val="auto"/>
          <w:highlight w:val="none"/>
        </w:rPr>
      </w:pPr>
      <w:r>
        <w:rPr>
          <w:rFonts w:hint="eastAsia" w:asciiTheme="minorEastAsia" w:hAnsiTheme="minorEastAsia"/>
          <w:color w:val="auto"/>
          <w:highlight w:val="none"/>
        </w:rPr>
        <w:t>（三）验收方式</w:t>
      </w:r>
    </w:p>
    <w:p w14:paraId="3194CCEE">
      <w:pPr>
        <w:snapToGrid w:val="0"/>
        <w:spacing w:line="360" w:lineRule="auto"/>
        <w:ind w:firstLine="480" w:firstLineChars="200"/>
        <w:rPr>
          <w:rFonts w:hint="eastAsia"/>
          <w:color w:val="auto"/>
          <w:highlight w:val="none"/>
        </w:rPr>
      </w:pPr>
      <w:r>
        <w:rPr>
          <w:rFonts w:hint="eastAsia"/>
          <w:color w:val="auto"/>
          <w:highlight w:val="none"/>
        </w:rPr>
        <w:t>1.货物到达现场后，成交供应商应在收货单位人员在场情况下当面开箱，共同清点、检查外观，作出开箱记录，双方签字确认。</w:t>
      </w:r>
    </w:p>
    <w:p w14:paraId="2CCFB456">
      <w:pPr>
        <w:snapToGrid w:val="0"/>
        <w:spacing w:line="360" w:lineRule="auto"/>
        <w:ind w:firstLine="480" w:firstLineChars="200"/>
        <w:rPr>
          <w:rFonts w:hint="eastAsia"/>
          <w:color w:val="auto"/>
          <w:highlight w:val="none"/>
        </w:rPr>
      </w:pPr>
      <w:r>
        <w:rPr>
          <w:rFonts w:hint="eastAsia"/>
          <w:color w:val="auto"/>
          <w:highlight w:val="none"/>
        </w:rPr>
        <w:t>2.成交供应商应保证货物到达采购人指定地完好无损，如有缺漏、损坏，由供应商负责调换、补齐，由此产生的所有一切费用由成交供应商承担。</w:t>
      </w:r>
    </w:p>
    <w:p w14:paraId="6E7F8D9F">
      <w:pPr>
        <w:snapToGrid w:val="0"/>
        <w:spacing w:line="360" w:lineRule="auto"/>
        <w:ind w:firstLine="480" w:firstLineChars="200"/>
        <w:rPr>
          <w:rFonts w:hint="eastAsia"/>
          <w:color w:val="auto"/>
          <w:highlight w:val="none"/>
        </w:rPr>
      </w:pPr>
      <w:r>
        <w:rPr>
          <w:rFonts w:hint="eastAsia"/>
          <w:color w:val="auto"/>
          <w:highlight w:val="none"/>
        </w:rPr>
        <w:t>3.成交供应商应提供完备的技术资料（如有）、装箱单（如有）、产品“三包”证书和产品合格证等。</w:t>
      </w:r>
    </w:p>
    <w:p w14:paraId="660E3F92">
      <w:pPr>
        <w:snapToGrid w:val="0"/>
        <w:spacing w:line="360" w:lineRule="auto"/>
        <w:ind w:firstLine="480" w:firstLineChars="200"/>
        <w:rPr>
          <w:rFonts w:hint="eastAsia"/>
          <w:color w:val="auto"/>
          <w:highlight w:val="none"/>
        </w:rPr>
      </w:pPr>
      <w:r>
        <w:rPr>
          <w:rFonts w:hint="eastAsia"/>
          <w:color w:val="auto"/>
          <w:highlight w:val="none"/>
        </w:rPr>
        <w:t>4.成交供应商提供的货物未达到招标文件规定要求，且对采购人造成损失的，由成交供应商承担一切责任，并赔偿所造成的损失。</w:t>
      </w:r>
    </w:p>
    <w:p w14:paraId="7B6CCD42">
      <w:pPr>
        <w:snapToGrid w:val="0"/>
        <w:spacing w:line="360" w:lineRule="auto"/>
        <w:ind w:firstLine="480" w:firstLineChars="200"/>
        <w:rPr>
          <w:rFonts w:hint="eastAsia"/>
          <w:color w:val="auto"/>
          <w:highlight w:val="none"/>
        </w:rPr>
      </w:pPr>
      <w:r>
        <w:rPr>
          <w:rFonts w:hint="eastAsia"/>
          <w:color w:val="auto"/>
          <w:highlight w:val="none"/>
        </w:rPr>
        <w:t>5.采购人需要制造商对成交供应商交付的产品（包括质量、配置参数等）进行确认的，制造商应予以配合，并出具书面意见。</w:t>
      </w:r>
    </w:p>
    <w:p w14:paraId="7D203735">
      <w:pPr>
        <w:snapToGrid w:val="0"/>
        <w:spacing w:line="360" w:lineRule="auto"/>
        <w:ind w:firstLine="480" w:firstLineChars="200"/>
        <w:rPr>
          <w:rFonts w:hint="eastAsia"/>
          <w:color w:val="auto"/>
          <w:highlight w:val="none"/>
        </w:rPr>
      </w:pPr>
      <w:r>
        <w:rPr>
          <w:rFonts w:hint="eastAsia"/>
          <w:color w:val="auto"/>
          <w:highlight w:val="none"/>
        </w:rPr>
        <w:t>6.产品包装材料归采购人所有。</w:t>
      </w:r>
    </w:p>
    <w:p w14:paraId="084FB35B">
      <w:pPr>
        <w:snapToGrid w:val="0"/>
        <w:spacing w:line="360" w:lineRule="auto"/>
        <w:ind w:firstLine="480" w:firstLineChars="200"/>
        <w:rPr>
          <w:rFonts w:hint="eastAsia"/>
          <w:color w:val="auto"/>
          <w:highlight w:val="none"/>
        </w:rPr>
      </w:pPr>
      <w:r>
        <w:rPr>
          <w:rFonts w:hint="eastAsia"/>
          <w:color w:val="auto"/>
          <w:highlight w:val="none"/>
        </w:rPr>
        <w:t>7.采购人顺利完成所有货物签收后，视为验收合格。</w:t>
      </w:r>
    </w:p>
    <w:p w14:paraId="3F737364">
      <w:pPr>
        <w:snapToGrid w:val="0"/>
        <w:spacing w:line="360" w:lineRule="auto"/>
        <w:ind w:firstLine="480" w:firstLineChars="200"/>
        <w:rPr>
          <w:rFonts w:hint="eastAsia"/>
          <w:color w:val="auto"/>
          <w:highlight w:val="none"/>
        </w:rPr>
      </w:pPr>
      <w:r>
        <w:rPr>
          <w:rFonts w:hint="eastAsia"/>
          <w:color w:val="auto"/>
          <w:highlight w:val="none"/>
        </w:rPr>
        <w:t>8.若因货物质量问题或型号错误导致采购人无法顺利完成配发的，成交供应商须无条件调换货物直至采购人采购的所有货物配发完成为止，由此产生的所有一切费用由成交供应商承担。</w:t>
      </w:r>
    </w:p>
    <w:p w14:paraId="00EDBAD2">
      <w:pPr>
        <w:pStyle w:val="3"/>
        <w:spacing w:line="400" w:lineRule="exact"/>
        <w:ind w:firstLine="482" w:firstLineChars="200"/>
        <w:rPr>
          <w:rFonts w:hint="eastAsia" w:asciiTheme="minorEastAsia" w:hAnsiTheme="minorEastAsia"/>
          <w:b/>
          <w:color w:val="auto"/>
          <w:highlight w:val="none"/>
        </w:rPr>
      </w:pPr>
      <w:bookmarkStart w:id="276" w:name="_Toc17830"/>
      <w:r>
        <w:rPr>
          <w:rFonts w:hint="eastAsia" w:asciiTheme="minorEastAsia" w:hAnsiTheme="minorEastAsia"/>
          <w:b/>
          <w:color w:val="auto"/>
          <w:highlight w:val="none"/>
        </w:rPr>
        <w:t>二、报价要求</w:t>
      </w:r>
      <w:bookmarkEnd w:id="276"/>
    </w:p>
    <w:p w14:paraId="7DD4825E">
      <w:pPr>
        <w:snapToGrid w:val="0"/>
        <w:spacing w:line="360" w:lineRule="auto"/>
        <w:ind w:firstLine="480" w:firstLineChars="200"/>
        <w:rPr>
          <w:rFonts w:hint="eastAsia"/>
          <w:color w:val="auto"/>
          <w:highlight w:val="none"/>
        </w:rPr>
      </w:pPr>
      <w:r>
        <w:rPr>
          <w:rFonts w:hint="eastAsia"/>
          <w:color w:val="auto"/>
          <w:highlight w:val="none"/>
        </w:rPr>
        <w:t>本次报价须为人民币报价，供应商的报价为将“第二篇询价项目技术（质量）需求”的“项目一览表”明确货物的合格产品送达采购人指定地点的价格，包括但不限于：货物本身价值、</w:t>
      </w:r>
      <w:r>
        <w:rPr>
          <w:rFonts w:hint="eastAsia"/>
          <w:color w:val="auto"/>
          <w:highlight w:val="none"/>
          <w:lang w:eastAsia="zh-CN"/>
        </w:rPr>
        <w:t>包装费、</w:t>
      </w:r>
      <w:r>
        <w:rPr>
          <w:rFonts w:hint="eastAsia"/>
          <w:color w:val="auto"/>
          <w:highlight w:val="none"/>
        </w:rPr>
        <w:t>装运费（含货物上车及运输费用）、货物到场的下货费用、</w:t>
      </w:r>
      <w:r>
        <w:rPr>
          <w:rFonts w:hint="eastAsia" w:ascii="宋体" w:hAnsi="宋体" w:cs="宋体"/>
          <w:bCs/>
          <w:color w:val="auto"/>
          <w:kern w:val="0"/>
          <w:sz w:val="24"/>
          <w:szCs w:val="40"/>
          <w:highlight w:val="none"/>
        </w:rPr>
        <w:t>安装调试费</w:t>
      </w:r>
      <w:r>
        <w:rPr>
          <w:rFonts w:hint="eastAsia"/>
          <w:color w:val="auto"/>
          <w:highlight w:val="none"/>
        </w:rPr>
        <w:t>、</w:t>
      </w:r>
      <w:r>
        <w:rPr>
          <w:rFonts w:hint="eastAsia"/>
          <w:color w:val="auto"/>
          <w:highlight w:val="none"/>
          <w:lang w:eastAsia="zh-CN"/>
        </w:rPr>
        <w:t>培训费（包含个体上门培训的所有一切费用，包含但不限于人员差旅费、车费等）、质保期内的所有服务费（包含但不限于人员到场费、货物送修送回运输费、各种零配件费用、维修工时费等因质量问题而产生的所有一切费用）、</w:t>
      </w:r>
      <w:r>
        <w:rPr>
          <w:rFonts w:hint="eastAsia"/>
          <w:color w:val="auto"/>
          <w:highlight w:val="none"/>
        </w:rPr>
        <w:t>各种应纳的税费、采购代理服务费、利润、完成合同明示或暗示的应由成交供应商承担的一切责任、义务和风险而产生的费用等所有一切费用。</w:t>
      </w:r>
    </w:p>
    <w:p w14:paraId="4B44A0F4">
      <w:pPr>
        <w:pStyle w:val="3"/>
        <w:spacing w:line="400" w:lineRule="exact"/>
        <w:ind w:firstLine="482" w:firstLineChars="200"/>
        <w:rPr>
          <w:rFonts w:hint="eastAsia" w:asciiTheme="minorEastAsia" w:hAnsiTheme="minorEastAsia"/>
          <w:b/>
          <w:color w:val="auto"/>
          <w:highlight w:val="none"/>
        </w:rPr>
      </w:pPr>
      <w:bookmarkStart w:id="277" w:name="_Toc28726"/>
      <w:r>
        <w:rPr>
          <w:rFonts w:hint="eastAsia" w:asciiTheme="minorEastAsia" w:hAnsiTheme="minorEastAsia"/>
          <w:b/>
          <w:color w:val="auto"/>
          <w:highlight w:val="none"/>
        </w:rPr>
        <w:t>三、货款结算与支付</w:t>
      </w:r>
      <w:bookmarkEnd w:id="277"/>
    </w:p>
    <w:p w14:paraId="5B631D44">
      <w:pPr>
        <w:autoSpaceDE w:val="0"/>
        <w:autoSpaceDN w:val="0"/>
        <w:adjustRightInd w:val="0"/>
        <w:snapToGrid w:val="0"/>
        <w:spacing w:line="400" w:lineRule="exact"/>
        <w:ind w:firstLine="480" w:firstLineChars="200"/>
        <w:rPr>
          <w:rFonts w:hint="eastAsia"/>
          <w:color w:val="auto"/>
          <w:szCs w:val="21"/>
          <w:highlight w:val="none"/>
        </w:rPr>
      </w:pPr>
      <w:r>
        <w:rPr>
          <w:rFonts w:hint="eastAsia"/>
          <w:color w:val="auto"/>
          <w:szCs w:val="21"/>
          <w:highlight w:val="none"/>
        </w:rPr>
        <w:t>（一）货款结算</w:t>
      </w:r>
    </w:p>
    <w:p w14:paraId="75416379">
      <w:pPr>
        <w:snapToGrid w:val="0"/>
        <w:spacing w:line="400" w:lineRule="exact"/>
        <w:ind w:firstLine="480" w:firstLineChars="200"/>
        <w:rPr>
          <w:rFonts w:hint="eastAsia" w:asciiTheme="minorEastAsia" w:hAnsiTheme="minorEastAsia"/>
          <w:color w:val="auto"/>
          <w:highlight w:val="none"/>
        </w:rPr>
      </w:pPr>
      <w:r>
        <w:rPr>
          <w:rFonts w:hint="eastAsia"/>
          <w:color w:val="auto"/>
          <w:szCs w:val="21"/>
          <w:highlight w:val="none"/>
        </w:rPr>
        <w:t>结算货款=成交价</w:t>
      </w:r>
    </w:p>
    <w:p w14:paraId="3279CC86">
      <w:pPr>
        <w:snapToGrid w:val="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（二）货款支付：采购人验收合格后一次性支付结算货款的100%。</w:t>
      </w:r>
    </w:p>
    <w:p w14:paraId="77BC8619">
      <w:pPr>
        <w:pStyle w:val="3"/>
        <w:spacing w:line="400" w:lineRule="exact"/>
        <w:ind w:firstLine="482" w:firstLineChars="200"/>
        <w:rPr>
          <w:rFonts w:hint="eastAsia" w:eastAsia="宋体" w:cs="宋体" w:asciiTheme="minorEastAsia" w:hAnsiTheme="minorEastAsia"/>
          <w:b/>
          <w:color w:val="auto"/>
          <w:highlight w:val="none"/>
        </w:rPr>
      </w:pPr>
      <w:bookmarkStart w:id="278" w:name="_Toc28929"/>
      <w:r>
        <w:rPr>
          <w:rFonts w:hint="eastAsia" w:eastAsia="宋体" w:cs="宋体" w:asciiTheme="minorEastAsia" w:hAnsiTheme="minorEastAsia"/>
          <w:b/>
          <w:color w:val="auto"/>
          <w:highlight w:val="none"/>
        </w:rPr>
        <w:t>四、质量保证及售后服务</w:t>
      </w:r>
      <w:bookmarkEnd w:id="278"/>
    </w:p>
    <w:p w14:paraId="66D02AAD">
      <w:pPr>
        <w:pStyle w:val="46"/>
        <w:widowControl w:val="0"/>
        <w:spacing w:line="440" w:lineRule="exact"/>
        <w:ind w:firstLine="420" w:firstLineChars="175"/>
        <w:rPr>
          <w:rFonts w:hint="eastAsia" w:eastAsia="宋体"/>
          <w:color w:val="auto"/>
          <w:highlight w:val="none"/>
          <w:lang w:eastAsia="zh-CN"/>
        </w:rPr>
      </w:pPr>
      <w:r>
        <w:rPr>
          <w:rFonts w:hint="eastAsia"/>
          <w:color w:val="auto"/>
          <w:highlight w:val="none"/>
          <w:lang w:eastAsia="zh-CN"/>
        </w:rPr>
        <w:t>（一）产品质量保证期</w:t>
      </w:r>
    </w:p>
    <w:p w14:paraId="64A289C9">
      <w:pPr>
        <w:pStyle w:val="46"/>
        <w:widowControl w:val="0"/>
        <w:spacing w:line="440" w:lineRule="exact"/>
        <w:ind w:firstLine="420" w:firstLineChars="175"/>
        <w:rPr>
          <w:rFonts w:hint="eastAsia"/>
          <w:bCs/>
          <w:color w:val="auto"/>
          <w:szCs w:val="40"/>
          <w:highlight w:val="none"/>
        </w:rPr>
      </w:pPr>
      <w:r>
        <w:rPr>
          <w:rFonts w:hint="eastAsia"/>
          <w:color w:val="auto"/>
          <w:highlight w:val="none"/>
        </w:rPr>
        <w:t>1.产品质量保证期</w:t>
      </w:r>
      <w:r>
        <w:rPr>
          <w:rFonts w:hint="eastAsia"/>
          <w:bCs/>
          <w:color w:val="auto"/>
          <w:szCs w:val="40"/>
          <w:highlight w:val="none"/>
        </w:rPr>
        <w:t>不低于壹年。</w:t>
      </w:r>
    </w:p>
    <w:p w14:paraId="6CB0B3A2">
      <w:pPr>
        <w:pStyle w:val="46"/>
        <w:widowControl w:val="0"/>
        <w:spacing w:line="440" w:lineRule="exact"/>
        <w:ind w:firstLine="420" w:firstLineChars="175"/>
        <w:rPr>
          <w:rFonts w:hint="eastAsia"/>
          <w:bCs/>
          <w:color w:val="auto"/>
          <w:szCs w:val="40"/>
          <w:highlight w:val="none"/>
        </w:rPr>
      </w:pPr>
      <w:r>
        <w:rPr>
          <w:rFonts w:hint="eastAsia"/>
          <w:bCs/>
          <w:color w:val="auto"/>
          <w:szCs w:val="40"/>
          <w:highlight w:val="none"/>
        </w:rPr>
        <w:t>2.产品属于国家规定“三包”范围的，其产品质量保证期不得低于“三包”规定。</w:t>
      </w:r>
    </w:p>
    <w:p w14:paraId="0983A19E">
      <w:pPr>
        <w:pStyle w:val="46"/>
        <w:widowControl w:val="0"/>
        <w:spacing w:line="440" w:lineRule="exact"/>
        <w:ind w:firstLine="420" w:firstLineChars="175"/>
        <w:rPr>
          <w:rFonts w:hint="eastAsia"/>
          <w:bCs/>
          <w:color w:val="auto"/>
          <w:szCs w:val="40"/>
          <w:highlight w:val="none"/>
        </w:rPr>
      </w:pPr>
      <w:r>
        <w:rPr>
          <w:rFonts w:hint="eastAsia"/>
          <w:bCs/>
          <w:color w:val="auto"/>
          <w:szCs w:val="40"/>
          <w:highlight w:val="none"/>
        </w:rPr>
        <w:t>3.中标供应商的产品质量保证期承诺优于国家“三包”规定的，按供应商实际承诺执行。</w:t>
      </w:r>
    </w:p>
    <w:p w14:paraId="562F7923">
      <w:pPr>
        <w:pStyle w:val="46"/>
        <w:widowControl w:val="0"/>
        <w:spacing w:line="440" w:lineRule="exact"/>
        <w:ind w:firstLine="420" w:firstLineChars="175"/>
        <w:rPr>
          <w:rFonts w:hint="eastAsia"/>
          <w:bCs/>
          <w:color w:val="auto"/>
          <w:szCs w:val="40"/>
          <w:highlight w:val="none"/>
          <w:lang w:eastAsia="zh-CN"/>
        </w:rPr>
      </w:pPr>
      <w:r>
        <w:rPr>
          <w:rFonts w:hint="eastAsia"/>
          <w:bCs/>
          <w:color w:val="auto"/>
          <w:szCs w:val="40"/>
          <w:highlight w:val="none"/>
          <w:lang w:eastAsia="zh-CN"/>
        </w:rPr>
        <w:t>（二）售后服务内容</w:t>
      </w:r>
    </w:p>
    <w:p w14:paraId="5508BA44">
      <w:pPr>
        <w:pStyle w:val="46"/>
        <w:widowControl w:val="0"/>
        <w:spacing w:line="440" w:lineRule="exact"/>
        <w:ind w:firstLine="420" w:firstLineChars="175"/>
        <w:rPr>
          <w:rFonts w:hint="eastAsia"/>
          <w:bCs/>
          <w:color w:val="auto"/>
          <w:szCs w:val="40"/>
          <w:highlight w:val="none"/>
          <w:lang w:eastAsia="zh-CN"/>
        </w:rPr>
      </w:pPr>
      <w:r>
        <w:rPr>
          <w:rFonts w:hint="eastAsia"/>
          <w:bCs/>
          <w:color w:val="auto"/>
          <w:szCs w:val="40"/>
          <w:highlight w:val="none"/>
          <w:lang w:eastAsia="zh-CN"/>
        </w:rPr>
        <w:t>1.成交供应商在质量保证期内应当为采购人提供以下技术支持和服务：</w:t>
      </w:r>
    </w:p>
    <w:p w14:paraId="62D36C70">
      <w:pPr>
        <w:pStyle w:val="46"/>
        <w:widowControl w:val="0"/>
        <w:spacing w:line="440" w:lineRule="exact"/>
        <w:ind w:firstLine="420" w:firstLineChars="175"/>
        <w:rPr>
          <w:rFonts w:hint="eastAsia"/>
          <w:bCs/>
          <w:color w:val="auto"/>
          <w:szCs w:val="40"/>
          <w:highlight w:val="none"/>
          <w:lang w:eastAsia="zh-CN"/>
        </w:rPr>
      </w:pPr>
      <w:r>
        <w:rPr>
          <w:rFonts w:hint="eastAsia"/>
          <w:bCs/>
          <w:color w:val="auto"/>
          <w:szCs w:val="40"/>
          <w:highlight w:val="none"/>
          <w:lang w:eastAsia="zh-CN"/>
        </w:rPr>
        <w:t>1.1电话咨询</w:t>
      </w:r>
    </w:p>
    <w:p w14:paraId="6B738CAB">
      <w:pPr>
        <w:pStyle w:val="46"/>
        <w:widowControl w:val="0"/>
        <w:spacing w:line="440" w:lineRule="exact"/>
        <w:ind w:firstLine="420" w:firstLineChars="175"/>
        <w:rPr>
          <w:rFonts w:hint="eastAsia"/>
          <w:bCs/>
          <w:color w:val="auto"/>
          <w:szCs w:val="40"/>
          <w:highlight w:val="none"/>
          <w:lang w:eastAsia="zh-CN"/>
        </w:rPr>
      </w:pPr>
      <w:r>
        <w:rPr>
          <w:rFonts w:hint="eastAsia"/>
          <w:bCs/>
          <w:color w:val="auto"/>
          <w:szCs w:val="40"/>
          <w:highlight w:val="none"/>
          <w:lang w:eastAsia="zh-CN"/>
        </w:rPr>
        <w:t>成交供应商应当为采购人提供技术援助电话，解答采购人在使用中遇到的问题，及时为采购人提出解决问题的建议。</w:t>
      </w:r>
    </w:p>
    <w:p w14:paraId="017828CE">
      <w:pPr>
        <w:pStyle w:val="46"/>
        <w:widowControl w:val="0"/>
        <w:spacing w:line="440" w:lineRule="exact"/>
        <w:ind w:firstLine="420" w:firstLineChars="175"/>
        <w:rPr>
          <w:rFonts w:hint="eastAsia"/>
          <w:bCs/>
          <w:color w:val="auto"/>
          <w:szCs w:val="40"/>
          <w:highlight w:val="none"/>
          <w:lang w:eastAsia="zh-CN"/>
        </w:rPr>
      </w:pPr>
      <w:r>
        <w:rPr>
          <w:rFonts w:hint="eastAsia"/>
          <w:bCs/>
          <w:color w:val="auto"/>
          <w:szCs w:val="40"/>
          <w:highlight w:val="none"/>
          <w:lang w:eastAsia="zh-CN"/>
        </w:rPr>
        <w:t>1.2现场响应</w:t>
      </w:r>
    </w:p>
    <w:p w14:paraId="290BAC54">
      <w:pPr>
        <w:pStyle w:val="46"/>
        <w:widowControl w:val="0"/>
        <w:spacing w:line="440" w:lineRule="exact"/>
        <w:ind w:firstLine="420" w:firstLineChars="175"/>
        <w:rPr>
          <w:rFonts w:hint="eastAsia"/>
          <w:bCs/>
          <w:color w:val="auto"/>
          <w:szCs w:val="40"/>
          <w:highlight w:val="none"/>
          <w:lang w:eastAsia="zh-CN"/>
        </w:rPr>
      </w:pPr>
      <w:r>
        <w:rPr>
          <w:rFonts w:hint="eastAsia"/>
          <w:bCs/>
          <w:color w:val="auto"/>
          <w:szCs w:val="40"/>
          <w:highlight w:val="none"/>
          <w:lang w:eastAsia="zh-CN"/>
        </w:rPr>
        <w:t>采购人遇到使用及技术问题，电话咨询不能解决的，成交供应商应在</w:t>
      </w:r>
      <w:r>
        <w:rPr>
          <w:rFonts w:hint="eastAsia"/>
          <w:bCs/>
          <w:color w:val="auto"/>
          <w:szCs w:val="40"/>
          <w:highlight w:val="none"/>
          <w:lang w:val="en-US" w:eastAsia="zh-CN"/>
        </w:rPr>
        <w:t>2</w:t>
      </w:r>
      <w:r>
        <w:rPr>
          <w:rFonts w:hint="eastAsia"/>
          <w:bCs/>
          <w:color w:val="auto"/>
          <w:szCs w:val="40"/>
          <w:highlight w:val="none"/>
          <w:lang w:eastAsia="zh-CN"/>
        </w:rPr>
        <w:t>小时内到达现场（远郊区</w:t>
      </w:r>
      <w:r>
        <w:rPr>
          <w:rFonts w:hint="eastAsia"/>
          <w:bCs/>
          <w:color w:val="auto"/>
          <w:szCs w:val="40"/>
          <w:highlight w:val="none"/>
          <w:lang w:val="en-US" w:eastAsia="zh-CN"/>
        </w:rPr>
        <w:t>3</w:t>
      </w:r>
      <w:r>
        <w:rPr>
          <w:rFonts w:hint="eastAsia"/>
          <w:bCs/>
          <w:color w:val="auto"/>
          <w:szCs w:val="40"/>
          <w:highlight w:val="none"/>
          <w:lang w:eastAsia="zh-CN"/>
        </w:rPr>
        <w:t>小时内到达现场）进行处理，确保产品正常工作；无法在</w:t>
      </w:r>
      <w:r>
        <w:rPr>
          <w:rFonts w:hint="eastAsia"/>
          <w:bCs/>
          <w:color w:val="auto"/>
          <w:szCs w:val="40"/>
          <w:highlight w:val="none"/>
          <w:lang w:val="en-US" w:eastAsia="zh-CN"/>
        </w:rPr>
        <w:t>24</w:t>
      </w:r>
      <w:r>
        <w:rPr>
          <w:rFonts w:hint="eastAsia"/>
          <w:bCs/>
          <w:color w:val="auto"/>
          <w:szCs w:val="40"/>
          <w:highlight w:val="none"/>
          <w:lang w:eastAsia="zh-CN"/>
        </w:rPr>
        <w:t>小时内解决的，应在</w:t>
      </w:r>
      <w:r>
        <w:rPr>
          <w:rFonts w:hint="eastAsia"/>
          <w:bCs/>
          <w:color w:val="auto"/>
          <w:szCs w:val="40"/>
          <w:highlight w:val="none"/>
          <w:lang w:val="en-US" w:eastAsia="zh-CN"/>
        </w:rPr>
        <w:t>24</w:t>
      </w:r>
      <w:r>
        <w:rPr>
          <w:rFonts w:hint="eastAsia"/>
          <w:bCs/>
          <w:color w:val="auto"/>
          <w:szCs w:val="40"/>
          <w:highlight w:val="none"/>
          <w:lang w:eastAsia="zh-CN"/>
        </w:rPr>
        <w:t>小时内提供备用产品，使采购人能够正常使用。</w:t>
      </w:r>
    </w:p>
    <w:p w14:paraId="21842C6A">
      <w:pPr>
        <w:pStyle w:val="46"/>
        <w:widowControl w:val="0"/>
        <w:spacing w:line="440" w:lineRule="exact"/>
        <w:ind w:firstLine="420" w:firstLineChars="175"/>
        <w:rPr>
          <w:rFonts w:hint="eastAsia"/>
          <w:bCs/>
          <w:color w:val="auto"/>
          <w:szCs w:val="40"/>
          <w:highlight w:val="none"/>
          <w:lang w:eastAsia="zh-CN"/>
        </w:rPr>
      </w:pPr>
      <w:r>
        <w:rPr>
          <w:rFonts w:hint="eastAsia"/>
          <w:bCs/>
          <w:color w:val="auto"/>
          <w:szCs w:val="40"/>
          <w:highlight w:val="none"/>
          <w:lang w:eastAsia="zh-CN"/>
        </w:rPr>
        <w:t>1.3技术升级</w:t>
      </w:r>
    </w:p>
    <w:p w14:paraId="1C991635">
      <w:pPr>
        <w:pStyle w:val="46"/>
        <w:widowControl w:val="0"/>
        <w:spacing w:line="440" w:lineRule="exact"/>
        <w:ind w:firstLine="420" w:firstLineChars="175"/>
        <w:rPr>
          <w:rFonts w:hint="eastAsia"/>
          <w:bCs/>
          <w:color w:val="auto"/>
          <w:szCs w:val="40"/>
          <w:highlight w:val="none"/>
          <w:lang w:eastAsia="zh-CN"/>
        </w:rPr>
      </w:pPr>
      <w:r>
        <w:rPr>
          <w:rFonts w:hint="eastAsia"/>
          <w:bCs/>
          <w:color w:val="auto"/>
          <w:szCs w:val="40"/>
          <w:highlight w:val="none"/>
          <w:lang w:eastAsia="zh-CN"/>
        </w:rPr>
        <w:t>在质保期内，如果投标人的产品技术升级，投标人应及时通知采购人，如采购人有相应要求，投标人应对采购人购买的产品进行升级服务。</w:t>
      </w:r>
    </w:p>
    <w:p w14:paraId="505F52AF">
      <w:pPr>
        <w:pStyle w:val="46"/>
        <w:widowControl w:val="0"/>
        <w:spacing w:line="440" w:lineRule="exact"/>
        <w:ind w:firstLine="420" w:firstLineChars="175"/>
        <w:rPr>
          <w:rFonts w:hint="eastAsia"/>
          <w:bCs/>
          <w:color w:val="auto"/>
          <w:szCs w:val="40"/>
          <w:highlight w:val="none"/>
          <w:lang w:eastAsia="zh-CN"/>
        </w:rPr>
      </w:pPr>
      <w:r>
        <w:rPr>
          <w:rFonts w:hint="eastAsia"/>
          <w:bCs/>
          <w:color w:val="auto"/>
          <w:szCs w:val="40"/>
          <w:highlight w:val="none"/>
          <w:lang w:eastAsia="zh-CN"/>
        </w:rPr>
        <w:t>2.质保期外服务要求</w:t>
      </w:r>
    </w:p>
    <w:p w14:paraId="2F22DD80">
      <w:pPr>
        <w:pStyle w:val="46"/>
        <w:widowControl w:val="0"/>
        <w:spacing w:line="440" w:lineRule="exact"/>
        <w:ind w:firstLine="420" w:firstLineChars="175"/>
        <w:rPr>
          <w:rFonts w:hint="eastAsia"/>
          <w:bCs/>
          <w:color w:val="auto"/>
          <w:szCs w:val="40"/>
          <w:highlight w:val="none"/>
          <w:lang w:eastAsia="zh-CN"/>
        </w:rPr>
      </w:pPr>
      <w:r>
        <w:rPr>
          <w:rFonts w:hint="eastAsia"/>
          <w:bCs/>
          <w:color w:val="auto"/>
          <w:szCs w:val="40"/>
          <w:highlight w:val="none"/>
          <w:lang w:eastAsia="zh-CN"/>
        </w:rPr>
        <w:t>2.1质量保证期过后，投标人应同样提供免费电话咨询服务，并应承诺提供产品上门维护服务。</w:t>
      </w:r>
    </w:p>
    <w:p w14:paraId="0C528004">
      <w:pPr>
        <w:pStyle w:val="46"/>
        <w:widowControl w:val="0"/>
        <w:spacing w:line="440" w:lineRule="exact"/>
        <w:ind w:firstLine="420" w:firstLineChars="175"/>
        <w:rPr>
          <w:rFonts w:hint="eastAsia"/>
          <w:bCs/>
          <w:color w:val="auto"/>
          <w:szCs w:val="40"/>
          <w:highlight w:val="none"/>
          <w:lang w:eastAsia="zh-CN"/>
        </w:rPr>
      </w:pPr>
      <w:r>
        <w:rPr>
          <w:rFonts w:hint="eastAsia"/>
          <w:bCs/>
          <w:color w:val="auto"/>
          <w:szCs w:val="40"/>
          <w:highlight w:val="none"/>
          <w:lang w:eastAsia="zh-CN"/>
        </w:rPr>
        <w:t>2.2质量保证期过后，采购人需要继续由原投标人提供售后服务的，该投标人应以优惠价格提供售后服务。</w:t>
      </w:r>
    </w:p>
    <w:p w14:paraId="40260AF2">
      <w:pPr>
        <w:pStyle w:val="3"/>
        <w:spacing w:line="400" w:lineRule="exact"/>
        <w:ind w:firstLine="482" w:firstLineChars="200"/>
        <w:rPr>
          <w:rFonts w:hint="eastAsia" w:eastAsia="宋体" w:cs="宋体" w:asciiTheme="minorEastAsia" w:hAnsiTheme="minorEastAsia"/>
          <w:b/>
          <w:color w:val="auto"/>
          <w:highlight w:val="none"/>
        </w:rPr>
      </w:pPr>
      <w:bookmarkStart w:id="279" w:name="_Toc32540"/>
      <w:r>
        <w:rPr>
          <w:rFonts w:hint="eastAsia" w:eastAsia="宋体" w:cs="宋体" w:asciiTheme="minorEastAsia" w:hAnsiTheme="minorEastAsia"/>
          <w:b/>
          <w:color w:val="auto"/>
          <w:highlight w:val="none"/>
          <w:lang w:eastAsia="zh-CN"/>
        </w:rPr>
        <w:t>五、</w:t>
      </w:r>
      <w:r>
        <w:rPr>
          <w:rFonts w:hint="eastAsia" w:eastAsia="宋体" w:cs="宋体" w:asciiTheme="minorEastAsia" w:hAnsiTheme="minorEastAsia"/>
          <w:b/>
          <w:color w:val="auto"/>
          <w:highlight w:val="none"/>
        </w:rPr>
        <w:t>培训</w:t>
      </w:r>
      <w:bookmarkEnd w:id="279"/>
    </w:p>
    <w:p w14:paraId="6CF523C4">
      <w:pPr>
        <w:pStyle w:val="46"/>
        <w:widowControl w:val="0"/>
        <w:spacing w:line="440" w:lineRule="exact"/>
        <w:ind w:firstLine="420" w:firstLineChars="175"/>
        <w:rPr>
          <w:rFonts w:hint="eastAsia" w:eastAsia="宋体"/>
          <w:color w:val="auto"/>
          <w:highlight w:val="none"/>
        </w:rPr>
      </w:pPr>
      <w:r>
        <w:rPr>
          <w:rFonts w:hint="eastAsia" w:eastAsia="宋体"/>
          <w:bCs/>
          <w:color w:val="auto"/>
          <w:szCs w:val="40"/>
          <w:highlight w:val="none"/>
        </w:rPr>
        <w:t>成交供应商须提供对设备的操作培训，使相关使用人员能够正常操作相关设备。</w:t>
      </w:r>
    </w:p>
    <w:p w14:paraId="7E6BD584">
      <w:pPr>
        <w:pStyle w:val="3"/>
        <w:spacing w:line="400" w:lineRule="exact"/>
        <w:ind w:firstLine="482" w:firstLineChars="200"/>
        <w:rPr>
          <w:rFonts w:hint="eastAsia" w:eastAsia="宋体" w:cs="宋体" w:asciiTheme="minorEastAsia" w:hAnsiTheme="minorEastAsia"/>
          <w:b/>
          <w:color w:val="auto"/>
          <w:highlight w:val="none"/>
          <w:lang w:eastAsia="zh-CN"/>
        </w:rPr>
      </w:pPr>
      <w:bookmarkStart w:id="280" w:name="_Toc11654"/>
      <w:r>
        <w:rPr>
          <w:rFonts w:hint="eastAsia" w:eastAsia="宋体" w:cs="宋体" w:asciiTheme="minorEastAsia" w:hAnsiTheme="minorEastAsia"/>
          <w:b/>
          <w:color w:val="auto"/>
          <w:highlight w:val="none"/>
          <w:lang w:eastAsia="zh-CN"/>
        </w:rPr>
        <w:t>六、知识产权</w:t>
      </w:r>
      <w:bookmarkEnd w:id="280"/>
    </w:p>
    <w:p w14:paraId="6344E1E5">
      <w:pPr>
        <w:pStyle w:val="46"/>
        <w:widowControl w:val="0"/>
        <w:spacing w:line="440" w:lineRule="exact"/>
        <w:ind w:firstLine="420" w:firstLineChars="175"/>
        <w:rPr>
          <w:rFonts w:hint="eastAsia" w:eastAsia="宋体"/>
          <w:bCs/>
          <w:color w:val="auto"/>
          <w:szCs w:val="40"/>
          <w:highlight w:val="none"/>
        </w:rPr>
      </w:pPr>
      <w:r>
        <w:rPr>
          <w:rFonts w:hint="eastAsia" w:eastAsia="宋体"/>
          <w:bCs/>
          <w:color w:val="auto"/>
          <w:szCs w:val="40"/>
          <w:highlight w:val="none"/>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257CC91D">
      <w:pPr>
        <w:pStyle w:val="3"/>
        <w:ind w:firstLine="482" w:firstLineChars="200"/>
        <w:rPr>
          <w:rFonts w:hint="eastAsia"/>
          <w:b/>
          <w:color w:val="auto"/>
          <w:highlight w:val="none"/>
        </w:rPr>
      </w:pPr>
      <w:bookmarkStart w:id="281" w:name="_Toc14729"/>
      <w:r>
        <w:rPr>
          <w:rFonts w:hint="eastAsia"/>
          <w:b/>
          <w:color w:val="auto"/>
          <w:highlight w:val="none"/>
          <w:lang w:eastAsia="zh-CN"/>
        </w:rPr>
        <w:t>七、</w:t>
      </w:r>
      <w:r>
        <w:rPr>
          <w:rFonts w:hint="eastAsia"/>
          <w:b/>
          <w:color w:val="auto"/>
          <w:highlight w:val="none"/>
        </w:rPr>
        <w:t>其他商务要求内容</w:t>
      </w:r>
      <w:bookmarkEnd w:id="281"/>
    </w:p>
    <w:p w14:paraId="714C7061">
      <w:pPr>
        <w:pStyle w:val="46"/>
        <w:widowControl w:val="0"/>
        <w:spacing w:line="440" w:lineRule="exact"/>
        <w:ind w:firstLine="420" w:firstLineChars="175"/>
        <w:rPr>
          <w:rFonts w:hint="eastAsia" w:eastAsia="宋体"/>
          <w:bCs/>
          <w:color w:val="auto"/>
          <w:szCs w:val="40"/>
          <w:highlight w:val="none"/>
          <w:lang w:val="en-US" w:eastAsia="zh-CN"/>
        </w:rPr>
      </w:pPr>
      <w:r>
        <w:rPr>
          <w:rFonts w:hint="eastAsia" w:eastAsia="宋体"/>
          <w:bCs/>
          <w:color w:val="auto"/>
          <w:szCs w:val="40"/>
          <w:highlight w:val="none"/>
          <w:lang w:val="en-US" w:eastAsia="zh-CN"/>
        </w:rPr>
        <w:t>1、因本项目涉及特殊人群，采购人因个体人员实际情况要求成交供应商进行个体上门</w:t>
      </w:r>
      <w:r>
        <w:rPr>
          <w:rFonts w:hint="eastAsia" w:eastAsia="宋体"/>
          <w:bCs/>
          <w:color w:val="auto"/>
          <w:szCs w:val="40"/>
          <w:highlight w:val="none"/>
          <w:lang w:eastAsia="zh-CN"/>
        </w:rPr>
        <w:t>操作培训的，成交供应商须无条件接受，并承担上门操作培训的所有一切费用。</w:t>
      </w:r>
    </w:p>
    <w:p w14:paraId="21E38C08">
      <w:pPr>
        <w:snapToGrid w:val="0"/>
        <w:spacing w:line="400" w:lineRule="exact"/>
        <w:ind w:firstLine="480" w:firstLineChars="200"/>
        <w:rPr>
          <w:rFonts w:hint="eastAsia" w:cs="仿宋" w:asciiTheme="minorEastAsia" w:hAnsiTheme="minorEastAsia" w:eastAsiaTheme="minorEastAsia"/>
          <w:color w:val="auto"/>
          <w:highlight w:val="none"/>
        </w:rPr>
      </w:pPr>
      <w:r>
        <w:rPr>
          <w:rFonts w:hint="eastAsia" w:eastAsia="宋体"/>
          <w:bCs/>
          <w:color w:val="auto"/>
          <w:szCs w:val="40"/>
          <w:highlight w:val="none"/>
          <w:lang w:val="en-US" w:eastAsia="zh-CN"/>
        </w:rPr>
        <w:t>2、</w:t>
      </w:r>
      <w:r>
        <w:rPr>
          <w:rFonts w:hint="eastAsia" w:eastAsia="宋体"/>
          <w:bCs/>
          <w:color w:val="auto"/>
          <w:szCs w:val="40"/>
          <w:highlight w:val="none"/>
          <w:lang w:eastAsia="zh-CN"/>
        </w:rPr>
        <w:t>其他未尽事宜由供需双方在采购合同中详细约定</w:t>
      </w:r>
      <w:r>
        <w:rPr>
          <w:rFonts w:hint="eastAsia" w:cs="仿宋" w:asciiTheme="minorEastAsia" w:hAnsiTheme="minorEastAsia" w:eastAsiaTheme="minorEastAsia"/>
          <w:color w:val="auto"/>
          <w:highlight w:val="none"/>
        </w:rPr>
        <w:t>。</w:t>
      </w:r>
    </w:p>
    <w:p w14:paraId="7E5E6811">
      <w:pPr>
        <w:tabs>
          <w:tab w:val="left" w:pos="6300"/>
        </w:tabs>
        <w:snapToGrid w:val="0"/>
        <w:spacing w:line="500" w:lineRule="exact"/>
        <w:ind w:firstLine="480" w:firstLineChars="200"/>
        <w:rPr>
          <w:rFonts w:hint="eastAsia"/>
          <w:color w:val="auto"/>
          <w:highlight w:val="none"/>
        </w:rPr>
      </w:pPr>
      <w:r>
        <w:rPr>
          <w:rFonts w:hint="eastAsia"/>
          <w:color w:val="auto"/>
          <w:highlight w:val="none"/>
        </w:rPr>
        <w:t>我方对以上承诺负全部法律责任。</w:t>
      </w:r>
    </w:p>
    <w:p w14:paraId="06CB573B">
      <w:pPr>
        <w:tabs>
          <w:tab w:val="left" w:pos="6300"/>
        </w:tabs>
        <w:snapToGrid w:val="0"/>
        <w:spacing w:line="500" w:lineRule="exact"/>
        <w:ind w:firstLine="480" w:firstLineChars="200"/>
        <w:rPr>
          <w:rFonts w:hint="eastAsia"/>
          <w:color w:val="auto"/>
          <w:highlight w:val="none"/>
        </w:rPr>
      </w:pPr>
      <w:r>
        <w:rPr>
          <w:rFonts w:hint="eastAsia"/>
          <w:color w:val="auto"/>
          <w:highlight w:val="none"/>
        </w:rPr>
        <w:t>特此承诺。</w:t>
      </w:r>
    </w:p>
    <w:p w14:paraId="41DE1A12">
      <w:pPr>
        <w:tabs>
          <w:tab w:val="left" w:pos="6300"/>
        </w:tabs>
        <w:snapToGrid w:val="0"/>
        <w:spacing w:line="500" w:lineRule="exact"/>
        <w:ind w:firstLine="480" w:firstLineChars="200"/>
        <w:jc w:val="right"/>
        <w:rPr>
          <w:rFonts w:hint="eastAsia"/>
          <w:color w:val="auto"/>
          <w:highlight w:val="none"/>
        </w:rPr>
      </w:pPr>
      <w:r>
        <w:rPr>
          <w:rFonts w:hint="eastAsia"/>
          <w:color w:val="auto"/>
          <w:highlight w:val="none"/>
        </w:rPr>
        <w:t>（供应商公章）</w:t>
      </w:r>
    </w:p>
    <w:p w14:paraId="009B01C1">
      <w:pPr>
        <w:tabs>
          <w:tab w:val="left" w:pos="6300"/>
        </w:tabs>
        <w:snapToGrid w:val="0"/>
        <w:spacing w:line="480" w:lineRule="exact"/>
        <w:ind w:firstLine="480" w:firstLineChars="200"/>
        <w:jc w:val="right"/>
        <w:rPr>
          <w:rFonts w:hint="eastAsia" w:asciiTheme="minorEastAsia" w:hAnsiTheme="minorEastAsia"/>
          <w:color w:val="auto"/>
          <w:highlight w:val="none"/>
        </w:rPr>
      </w:pPr>
      <w:r>
        <w:rPr>
          <w:rFonts w:hint="eastAsia"/>
          <w:color w:val="auto"/>
          <w:highlight w:val="none"/>
        </w:rPr>
        <w:t>年   月   日</w:t>
      </w:r>
    </w:p>
    <w:p w14:paraId="559EFB17">
      <w:pPr>
        <w:tabs>
          <w:tab w:val="left" w:pos="6300"/>
        </w:tabs>
        <w:snapToGrid w:val="0"/>
        <w:spacing w:line="480" w:lineRule="exact"/>
        <w:ind w:firstLine="480" w:firstLineChars="200"/>
        <w:rPr>
          <w:rFonts w:hint="eastAsia" w:asciiTheme="minorEastAsia" w:hAnsiTheme="minorEastAsia"/>
          <w:color w:val="auto"/>
          <w:highlight w:val="none"/>
        </w:rPr>
      </w:pPr>
    </w:p>
    <w:p w14:paraId="4F13811D">
      <w:pPr>
        <w:tabs>
          <w:tab w:val="left" w:pos="6300"/>
        </w:tabs>
        <w:snapToGrid w:val="0"/>
        <w:spacing w:line="480" w:lineRule="exact"/>
        <w:ind w:firstLine="480" w:firstLineChars="200"/>
        <w:rPr>
          <w:rFonts w:hint="eastAsia" w:asciiTheme="minorEastAsia" w:hAnsiTheme="minorEastAsia"/>
          <w:color w:val="auto"/>
          <w:highlight w:val="none"/>
        </w:rPr>
      </w:pPr>
    </w:p>
    <w:p w14:paraId="3A4D2015">
      <w:pPr>
        <w:tabs>
          <w:tab w:val="left" w:pos="6300"/>
        </w:tabs>
        <w:snapToGrid w:val="0"/>
        <w:spacing w:line="480" w:lineRule="exact"/>
        <w:ind w:firstLine="480" w:firstLineChars="200"/>
        <w:rPr>
          <w:rFonts w:hint="eastAsia" w:asciiTheme="minorEastAsia" w:hAnsiTheme="minorEastAsia"/>
          <w:color w:val="auto"/>
          <w:highlight w:val="none"/>
        </w:rPr>
      </w:pPr>
    </w:p>
    <w:p w14:paraId="3BD4AAB5">
      <w:pPr>
        <w:tabs>
          <w:tab w:val="left" w:pos="6300"/>
        </w:tabs>
        <w:snapToGrid w:val="0"/>
        <w:spacing w:line="480" w:lineRule="exact"/>
        <w:ind w:firstLine="480" w:firstLineChars="200"/>
        <w:rPr>
          <w:rFonts w:hint="eastAsia" w:asciiTheme="minorEastAsia" w:hAnsiTheme="minorEastAsia"/>
          <w:color w:val="auto"/>
          <w:highlight w:val="none"/>
        </w:rPr>
      </w:pPr>
    </w:p>
    <w:p w14:paraId="68A5BCDD">
      <w:pPr>
        <w:pStyle w:val="4"/>
        <w:rPr>
          <w:rFonts w:hint="eastAsia" w:asciiTheme="minorEastAsia" w:hAnsiTheme="minorEastAsia"/>
          <w:color w:val="auto"/>
          <w:highlight w:val="none"/>
        </w:rPr>
      </w:pPr>
    </w:p>
    <w:p w14:paraId="394B65B1">
      <w:pPr>
        <w:rPr>
          <w:rFonts w:hint="eastAsia" w:asciiTheme="minorEastAsia" w:hAnsiTheme="minorEastAsia"/>
          <w:color w:val="auto"/>
          <w:highlight w:val="none"/>
        </w:rPr>
      </w:pPr>
    </w:p>
    <w:p w14:paraId="1C89175D">
      <w:pPr>
        <w:pStyle w:val="4"/>
        <w:rPr>
          <w:rFonts w:hint="eastAsia" w:asciiTheme="minorEastAsia" w:hAnsiTheme="minorEastAsia"/>
          <w:color w:val="auto"/>
          <w:highlight w:val="none"/>
        </w:rPr>
      </w:pPr>
    </w:p>
    <w:p w14:paraId="5251F904">
      <w:pPr>
        <w:rPr>
          <w:rFonts w:hint="eastAsia" w:asciiTheme="minorEastAsia" w:hAnsiTheme="minorEastAsia"/>
          <w:color w:val="auto"/>
          <w:highlight w:val="none"/>
        </w:rPr>
      </w:pPr>
    </w:p>
    <w:p w14:paraId="2DCAEB11">
      <w:pPr>
        <w:pStyle w:val="4"/>
        <w:rPr>
          <w:rFonts w:hint="eastAsia" w:asciiTheme="minorEastAsia" w:hAnsiTheme="minorEastAsia"/>
          <w:color w:val="auto"/>
          <w:highlight w:val="none"/>
        </w:rPr>
      </w:pPr>
    </w:p>
    <w:p w14:paraId="5CA8B222">
      <w:pPr>
        <w:rPr>
          <w:rFonts w:hint="eastAsia" w:asciiTheme="minorEastAsia" w:hAnsiTheme="minorEastAsia"/>
          <w:color w:val="auto"/>
          <w:highlight w:val="none"/>
        </w:rPr>
      </w:pPr>
    </w:p>
    <w:p w14:paraId="4EC69CB7">
      <w:pPr>
        <w:pStyle w:val="3"/>
        <w:pageBreakBefore/>
        <w:spacing w:line="400" w:lineRule="exact"/>
        <w:ind w:firstLine="480" w:firstLineChars="200"/>
        <w:rPr>
          <w:rFonts w:hint="eastAsia" w:asciiTheme="minorEastAsia" w:hAnsiTheme="minorEastAsia"/>
          <w:color w:val="auto"/>
          <w:highlight w:val="none"/>
        </w:rPr>
      </w:pPr>
      <w:bookmarkStart w:id="282" w:name="_Toc11111"/>
      <w:bookmarkStart w:id="283" w:name="_Toc21793"/>
      <w:bookmarkStart w:id="284" w:name="_Toc196642870"/>
      <w:bookmarkStart w:id="285" w:name="_Toc2082"/>
      <w:bookmarkStart w:id="286" w:name="_Toc65660382"/>
      <w:bookmarkStart w:id="287" w:name="_Toc20162"/>
      <w:r>
        <w:rPr>
          <w:rFonts w:hint="eastAsia" w:asciiTheme="minorEastAsia" w:hAnsiTheme="minorEastAsia"/>
          <w:color w:val="auto"/>
          <w:highlight w:val="none"/>
        </w:rPr>
        <w:t>四、</w:t>
      </w:r>
      <w:bookmarkEnd w:id="272"/>
      <w:bookmarkEnd w:id="273"/>
      <w:bookmarkEnd w:id="274"/>
      <w:r>
        <w:rPr>
          <w:rFonts w:hint="eastAsia" w:asciiTheme="minorEastAsia" w:hAnsiTheme="minorEastAsia"/>
          <w:color w:val="auto"/>
          <w:highlight w:val="none"/>
        </w:rPr>
        <w:t>资格条件及其他</w:t>
      </w:r>
      <w:bookmarkEnd w:id="282"/>
      <w:bookmarkEnd w:id="283"/>
      <w:bookmarkEnd w:id="284"/>
      <w:bookmarkEnd w:id="285"/>
      <w:bookmarkEnd w:id="286"/>
      <w:bookmarkEnd w:id="287"/>
      <w:bookmarkStart w:id="288" w:name="_Toc313008359"/>
      <w:bookmarkStart w:id="289" w:name="_Toc313888363"/>
      <w:bookmarkStart w:id="290" w:name="_Toc342913422"/>
    </w:p>
    <w:p w14:paraId="3476F492">
      <w:pPr>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（一）法人营业执照（副本）或事业单位法人证书（副本）或个体工商户营业执照或社会团体法人登记证书复印件</w:t>
      </w:r>
    </w:p>
    <w:p w14:paraId="52914195">
      <w:pPr>
        <w:tabs>
          <w:tab w:val="left" w:pos="6300"/>
        </w:tabs>
        <w:snapToGrid w:val="0"/>
        <w:spacing w:line="500" w:lineRule="exact"/>
        <w:ind w:firstLine="570"/>
        <w:rPr>
          <w:rFonts w:hint="eastAsia" w:asciiTheme="minorEastAsia" w:hAnsiTheme="minorEastAsia"/>
          <w:color w:val="auto"/>
          <w:highlight w:val="none"/>
        </w:rPr>
      </w:pPr>
    </w:p>
    <w:p w14:paraId="298DC1FA">
      <w:pPr>
        <w:tabs>
          <w:tab w:val="left" w:pos="6300"/>
        </w:tabs>
        <w:snapToGrid w:val="0"/>
        <w:spacing w:line="500" w:lineRule="exact"/>
        <w:ind w:firstLine="570"/>
        <w:rPr>
          <w:rFonts w:hint="eastAsia" w:asciiTheme="minorEastAsia" w:hAnsiTheme="minorEastAsia"/>
          <w:color w:val="auto"/>
          <w:highlight w:val="none"/>
        </w:rPr>
      </w:pPr>
    </w:p>
    <w:p w14:paraId="3E576D49">
      <w:pPr>
        <w:tabs>
          <w:tab w:val="left" w:pos="6300"/>
        </w:tabs>
        <w:snapToGrid w:val="0"/>
        <w:spacing w:line="500" w:lineRule="exact"/>
        <w:ind w:firstLine="570"/>
        <w:rPr>
          <w:rFonts w:hint="eastAsia" w:asciiTheme="minorEastAsia" w:hAnsiTheme="minorEastAsia"/>
          <w:color w:val="auto"/>
          <w:highlight w:val="none"/>
        </w:rPr>
      </w:pPr>
    </w:p>
    <w:p w14:paraId="3B085EB7">
      <w:pPr>
        <w:tabs>
          <w:tab w:val="left" w:pos="6300"/>
        </w:tabs>
        <w:snapToGrid w:val="0"/>
        <w:spacing w:line="500" w:lineRule="exact"/>
        <w:ind w:firstLine="570"/>
        <w:rPr>
          <w:rFonts w:hint="eastAsia" w:asciiTheme="minorEastAsia" w:hAnsiTheme="minorEastAsia"/>
          <w:color w:val="auto"/>
          <w:highlight w:val="none"/>
        </w:rPr>
      </w:pPr>
    </w:p>
    <w:p w14:paraId="4B265A1D">
      <w:pPr>
        <w:tabs>
          <w:tab w:val="left" w:pos="6300"/>
        </w:tabs>
        <w:snapToGrid w:val="0"/>
        <w:spacing w:line="500" w:lineRule="exact"/>
        <w:ind w:firstLine="570"/>
        <w:rPr>
          <w:rFonts w:hint="eastAsia" w:asciiTheme="minorEastAsia" w:hAnsiTheme="minorEastAsia"/>
          <w:color w:val="auto"/>
          <w:highlight w:val="none"/>
        </w:rPr>
      </w:pPr>
    </w:p>
    <w:p w14:paraId="195BD6E4">
      <w:pPr>
        <w:spacing w:line="400" w:lineRule="exact"/>
        <w:ind w:firstLine="480" w:firstLineChars="200"/>
        <w:rPr>
          <w:rFonts w:hint="eastAsia" w:asciiTheme="minorEastAsia" w:hAnsiTheme="minorEastAsia"/>
          <w:color w:val="auto"/>
          <w:highlight w:val="none"/>
        </w:rPr>
      </w:pPr>
      <w:r>
        <w:rPr>
          <w:rFonts w:asciiTheme="minorEastAsia" w:hAnsiTheme="minorEastAsia"/>
          <w:color w:val="auto"/>
          <w:highlight w:val="none"/>
        </w:rPr>
        <w:br w:type="page"/>
      </w:r>
      <w:r>
        <w:rPr>
          <w:rFonts w:hint="eastAsia" w:asciiTheme="minorEastAsia" w:hAnsiTheme="minorEastAsia"/>
          <w:color w:val="auto"/>
          <w:highlight w:val="none"/>
        </w:rPr>
        <w:t>（二）法定代表人身份证明书（格式）</w:t>
      </w:r>
    </w:p>
    <w:p w14:paraId="734F9FD3">
      <w:pPr>
        <w:tabs>
          <w:tab w:val="left" w:pos="6300"/>
        </w:tabs>
        <w:snapToGrid w:val="0"/>
        <w:spacing w:line="500" w:lineRule="exact"/>
        <w:ind w:firstLine="570"/>
        <w:rPr>
          <w:rFonts w:hint="eastAsia" w:asciiTheme="minorEastAsia" w:hAnsiTheme="minorEastAsia"/>
          <w:color w:val="auto"/>
          <w:highlight w:val="none"/>
        </w:rPr>
      </w:pPr>
    </w:p>
    <w:p w14:paraId="50B347EE">
      <w:pPr>
        <w:tabs>
          <w:tab w:val="left" w:pos="6300"/>
        </w:tabs>
        <w:snapToGrid w:val="0"/>
        <w:spacing w:line="500" w:lineRule="exact"/>
        <w:ind w:firstLine="570"/>
        <w:rPr>
          <w:rFonts w:hint="eastAsia" w:asciiTheme="minorEastAsia" w:hAnsiTheme="minorEastAsia"/>
          <w:color w:val="auto"/>
          <w:highlight w:val="none"/>
        </w:rPr>
      </w:pPr>
      <w:r>
        <w:rPr>
          <w:rFonts w:hint="eastAsia" w:asciiTheme="minorEastAsia" w:hAnsiTheme="minorEastAsia"/>
          <w:color w:val="auto"/>
          <w:highlight w:val="none"/>
        </w:rPr>
        <w:t>询价项目名称：</w:t>
      </w:r>
      <w:r>
        <w:rPr>
          <w:rFonts w:hint="eastAsia" w:asciiTheme="minorEastAsia" w:hAnsiTheme="minorEastAsia"/>
          <w:color w:val="auto"/>
          <w:highlight w:val="none"/>
          <w:u w:val="single"/>
        </w:rPr>
        <w:t xml:space="preserve">                                                </w:t>
      </w:r>
    </w:p>
    <w:p w14:paraId="08DB4D0E">
      <w:pPr>
        <w:tabs>
          <w:tab w:val="left" w:pos="6300"/>
        </w:tabs>
        <w:snapToGrid w:val="0"/>
        <w:spacing w:line="500" w:lineRule="exact"/>
        <w:ind w:firstLine="570"/>
        <w:rPr>
          <w:rFonts w:hint="eastAsia" w:asciiTheme="minorEastAsia" w:hAnsiTheme="minorEastAsia"/>
          <w:color w:val="auto"/>
          <w:highlight w:val="none"/>
        </w:rPr>
      </w:pPr>
    </w:p>
    <w:p w14:paraId="6027D286">
      <w:pPr>
        <w:tabs>
          <w:tab w:val="left" w:pos="6300"/>
        </w:tabs>
        <w:snapToGrid w:val="0"/>
        <w:spacing w:line="500" w:lineRule="exact"/>
        <w:rPr>
          <w:rFonts w:hint="eastAsia" w:asciiTheme="minorEastAsia" w:hAnsiTheme="minorEastAsia"/>
          <w:color w:val="auto"/>
          <w:highlight w:val="none"/>
        </w:rPr>
      </w:pPr>
      <w:r>
        <w:rPr>
          <w:rFonts w:hint="eastAsia" w:asciiTheme="minorEastAsia" w:hAnsiTheme="minorEastAsia"/>
          <w:color w:val="auto"/>
          <w:highlight w:val="none"/>
        </w:rPr>
        <w:t>致：</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（采购代理机构名称）：</w:t>
      </w:r>
    </w:p>
    <w:p w14:paraId="72C4409C">
      <w:pPr>
        <w:tabs>
          <w:tab w:val="left" w:pos="6300"/>
        </w:tabs>
        <w:snapToGrid w:val="0"/>
        <w:spacing w:line="500" w:lineRule="exact"/>
        <w:ind w:firstLine="570"/>
        <w:rPr>
          <w:rFonts w:hint="eastAsia" w:asciiTheme="minorEastAsia" w:hAnsiTheme="minorEastAsia"/>
          <w:color w:val="auto"/>
          <w:highlight w:val="none"/>
        </w:rPr>
      </w:pP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（法定代表人姓名）在</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（供应商名称）任</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（职务名称）职务，是（供应商名称）</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的法定代表人。</w:t>
      </w:r>
    </w:p>
    <w:p w14:paraId="6DEF8A05">
      <w:pPr>
        <w:tabs>
          <w:tab w:val="left" w:pos="6300"/>
        </w:tabs>
        <w:snapToGrid w:val="0"/>
        <w:spacing w:line="500" w:lineRule="exact"/>
        <w:ind w:firstLine="570"/>
        <w:rPr>
          <w:rFonts w:hint="eastAsia" w:asciiTheme="minorEastAsia" w:hAnsiTheme="minorEastAsia"/>
          <w:color w:val="auto"/>
          <w:highlight w:val="none"/>
        </w:rPr>
      </w:pPr>
    </w:p>
    <w:p w14:paraId="198ECAA5">
      <w:pPr>
        <w:tabs>
          <w:tab w:val="left" w:pos="6300"/>
        </w:tabs>
        <w:snapToGrid w:val="0"/>
        <w:spacing w:line="500" w:lineRule="exact"/>
        <w:ind w:firstLine="570"/>
        <w:rPr>
          <w:rFonts w:hint="eastAsia" w:asciiTheme="minorEastAsia" w:hAnsiTheme="minorEastAsia"/>
          <w:color w:val="auto"/>
          <w:highlight w:val="none"/>
        </w:rPr>
      </w:pPr>
      <w:r>
        <w:rPr>
          <w:rFonts w:hint="eastAsia" w:asciiTheme="minorEastAsia" w:hAnsiTheme="minorEastAsia"/>
          <w:color w:val="auto"/>
          <w:highlight w:val="none"/>
        </w:rPr>
        <w:t>特此证明。</w:t>
      </w:r>
    </w:p>
    <w:p w14:paraId="1600D3EA">
      <w:pPr>
        <w:tabs>
          <w:tab w:val="left" w:pos="6300"/>
        </w:tabs>
        <w:snapToGrid w:val="0"/>
        <w:spacing w:line="500" w:lineRule="exact"/>
        <w:ind w:firstLine="570"/>
        <w:rPr>
          <w:rFonts w:hint="eastAsia" w:asciiTheme="minorEastAsia" w:hAnsiTheme="minorEastAsia"/>
          <w:color w:val="auto"/>
          <w:highlight w:val="none"/>
        </w:rPr>
      </w:pPr>
    </w:p>
    <w:p w14:paraId="38CE85C9">
      <w:pPr>
        <w:tabs>
          <w:tab w:val="left" w:pos="6300"/>
        </w:tabs>
        <w:snapToGrid w:val="0"/>
        <w:spacing w:line="500" w:lineRule="exact"/>
        <w:ind w:firstLine="570"/>
        <w:rPr>
          <w:rFonts w:hint="eastAsia" w:asciiTheme="minorEastAsia" w:hAnsiTheme="minorEastAsia"/>
          <w:color w:val="auto"/>
          <w:highlight w:val="none"/>
        </w:rPr>
      </w:pPr>
    </w:p>
    <w:p w14:paraId="65EF3853">
      <w:pPr>
        <w:tabs>
          <w:tab w:val="left" w:pos="6300"/>
        </w:tabs>
        <w:snapToGrid w:val="0"/>
        <w:spacing w:line="500" w:lineRule="exact"/>
        <w:ind w:firstLine="570"/>
        <w:rPr>
          <w:rFonts w:hint="eastAsia" w:asciiTheme="minorEastAsia" w:hAnsiTheme="minorEastAsia"/>
          <w:color w:val="auto"/>
          <w:highlight w:val="none"/>
        </w:rPr>
      </w:pPr>
    </w:p>
    <w:p w14:paraId="2550ACDC">
      <w:pPr>
        <w:tabs>
          <w:tab w:val="left" w:pos="6300"/>
        </w:tabs>
        <w:snapToGrid w:val="0"/>
        <w:spacing w:line="500" w:lineRule="exact"/>
        <w:ind w:firstLine="570"/>
        <w:rPr>
          <w:rFonts w:hint="eastAsia" w:asciiTheme="minorEastAsia" w:hAnsiTheme="minorEastAsia"/>
          <w:color w:val="auto"/>
          <w:highlight w:val="none"/>
        </w:rPr>
      </w:pPr>
      <w:r>
        <w:rPr>
          <w:rFonts w:hint="eastAsia" w:asciiTheme="minorEastAsia" w:hAnsiTheme="minorEastAsia"/>
          <w:color w:val="auto"/>
          <w:highlight w:val="none"/>
        </w:rPr>
        <w:t xml:space="preserve">                                             （供应商公章）</w:t>
      </w:r>
    </w:p>
    <w:p w14:paraId="23042C32">
      <w:pPr>
        <w:tabs>
          <w:tab w:val="left" w:pos="6300"/>
        </w:tabs>
        <w:snapToGrid w:val="0"/>
        <w:spacing w:line="500" w:lineRule="exact"/>
        <w:ind w:firstLine="570"/>
        <w:rPr>
          <w:rFonts w:hint="eastAsia" w:asciiTheme="minorEastAsia" w:hAnsiTheme="minorEastAsia"/>
          <w:color w:val="auto"/>
          <w:highlight w:val="none"/>
        </w:rPr>
      </w:pPr>
    </w:p>
    <w:p w14:paraId="72203D72">
      <w:pPr>
        <w:tabs>
          <w:tab w:val="left" w:pos="6300"/>
        </w:tabs>
        <w:snapToGrid w:val="0"/>
        <w:spacing w:line="500" w:lineRule="exact"/>
        <w:ind w:firstLine="570"/>
        <w:rPr>
          <w:rFonts w:hint="eastAsia" w:asciiTheme="minorEastAsia" w:hAnsiTheme="minorEastAsia"/>
          <w:color w:val="auto"/>
          <w:highlight w:val="none"/>
        </w:rPr>
      </w:pPr>
      <w:r>
        <w:rPr>
          <w:rFonts w:hint="eastAsia" w:asciiTheme="minorEastAsia" w:hAnsiTheme="minorEastAsia"/>
          <w:color w:val="auto"/>
          <w:highlight w:val="none"/>
        </w:rPr>
        <w:t xml:space="preserve">                                             年   月   日</w:t>
      </w:r>
    </w:p>
    <w:p w14:paraId="59E242F6">
      <w:pPr>
        <w:tabs>
          <w:tab w:val="left" w:pos="6300"/>
        </w:tabs>
        <w:snapToGrid w:val="0"/>
        <w:spacing w:line="500" w:lineRule="exact"/>
        <w:ind w:firstLine="570"/>
        <w:rPr>
          <w:rFonts w:hint="eastAsia" w:asciiTheme="minorEastAsia" w:hAnsiTheme="minorEastAsia"/>
          <w:color w:val="auto"/>
          <w:highlight w:val="none"/>
        </w:rPr>
      </w:pPr>
    </w:p>
    <w:p w14:paraId="582FBDA5">
      <w:pPr>
        <w:tabs>
          <w:tab w:val="left" w:pos="6300"/>
        </w:tabs>
        <w:snapToGrid w:val="0"/>
        <w:spacing w:line="500" w:lineRule="exact"/>
        <w:ind w:firstLine="570"/>
        <w:rPr>
          <w:rFonts w:hint="eastAsia" w:asciiTheme="minorEastAsia" w:hAnsiTheme="minorEastAsia"/>
          <w:color w:val="auto"/>
          <w:highlight w:val="none"/>
        </w:rPr>
      </w:pPr>
    </w:p>
    <w:p w14:paraId="3A8B3A75">
      <w:pPr>
        <w:tabs>
          <w:tab w:val="left" w:pos="6300"/>
        </w:tabs>
        <w:snapToGrid w:val="0"/>
        <w:spacing w:line="500" w:lineRule="exact"/>
        <w:ind w:firstLine="570"/>
        <w:rPr>
          <w:rFonts w:hint="eastAsia" w:asciiTheme="minorEastAsia" w:hAnsiTheme="minorEastAsia"/>
          <w:color w:val="auto"/>
          <w:highlight w:val="none"/>
        </w:rPr>
      </w:pPr>
      <w:r>
        <w:rPr>
          <w:rFonts w:hint="eastAsia" w:asciiTheme="minorEastAsia" w:hAnsiTheme="minorEastAsia"/>
          <w:color w:val="auto"/>
          <w:highlight w:val="none"/>
        </w:rPr>
        <w:t>法定代表人电话：XXXXXXX      电子邮箱：XXXXXX@XXXXX（若授权他人办理并签署响应文件的可不填写）</w:t>
      </w:r>
    </w:p>
    <w:p w14:paraId="0A4E7A57">
      <w:pPr>
        <w:tabs>
          <w:tab w:val="left" w:pos="6300"/>
        </w:tabs>
        <w:snapToGrid w:val="0"/>
        <w:spacing w:line="500" w:lineRule="exact"/>
        <w:ind w:firstLine="570"/>
        <w:rPr>
          <w:rFonts w:hint="eastAsia" w:asciiTheme="minorEastAsia" w:hAnsiTheme="minorEastAsia"/>
          <w:color w:val="auto"/>
          <w:highlight w:val="none"/>
        </w:rPr>
      </w:pPr>
      <w:r>
        <w:rPr>
          <w:rFonts w:hint="eastAsia" w:asciiTheme="minorEastAsia" w:hAnsiTheme="minorEastAsia"/>
          <w:color w:val="auto"/>
          <w:highlight w:val="none"/>
        </w:rPr>
        <w:t>（附：法定代表人身份证正反面复印件）</w:t>
      </w:r>
    </w:p>
    <w:p w14:paraId="7FB81B4A">
      <w:pPr>
        <w:tabs>
          <w:tab w:val="left" w:pos="6300"/>
        </w:tabs>
        <w:snapToGrid w:val="0"/>
        <w:spacing w:line="500" w:lineRule="exact"/>
        <w:ind w:firstLine="570"/>
        <w:rPr>
          <w:rFonts w:hint="eastAsia" w:asciiTheme="minorEastAsia" w:hAnsiTheme="minorEastAsia"/>
          <w:color w:val="auto"/>
          <w:highlight w:val="none"/>
        </w:rPr>
      </w:pPr>
    </w:p>
    <w:p w14:paraId="54FBF538">
      <w:pPr>
        <w:tabs>
          <w:tab w:val="left" w:pos="6300"/>
        </w:tabs>
        <w:snapToGrid w:val="0"/>
        <w:spacing w:line="500" w:lineRule="exact"/>
        <w:ind w:firstLine="570"/>
        <w:rPr>
          <w:rFonts w:hint="eastAsia" w:asciiTheme="minorEastAsia" w:hAnsiTheme="minorEastAsia"/>
          <w:color w:val="auto"/>
          <w:highlight w:val="none"/>
        </w:rPr>
      </w:pPr>
    </w:p>
    <w:p w14:paraId="60FB519D">
      <w:pPr>
        <w:tabs>
          <w:tab w:val="left" w:pos="6300"/>
        </w:tabs>
        <w:snapToGrid w:val="0"/>
        <w:spacing w:line="500" w:lineRule="exact"/>
        <w:ind w:firstLine="570"/>
        <w:rPr>
          <w:rFonts w:hint="eastAsia" w:asciiTheme="minorEastAsia" w:hAnsiTheme="minorEastAsia"/>
          <w:color w:val="auto"/>
          <w:highlight w:val="none"/>
        </w:rPr>
      </w:pPr>
    </w:p>
    <w:p w14:paraId="2476DFEF">
      <w:pPr>
        <w:tabs>
          <w:tab w:val="left" w:pos="6300"/>
        </w:tabs>
        <w:snapToGrid w:val="0"/>
        <w:spacing w:line="500" w:lineRule="exact"/>
        <w:ind w:firstLine="570"/>
        <w:rPr>
          <w:rFonts w:hint="eastAsia" w:asciiTheme="minorEastAsia" w:hAnsiTheme="minorEastAsia"/>
          <w:color w:val="auto"/>
          <w:highlight w:val="none"/>
        </w:rPr>
      </w:pPr>
    </w:p>
    <w:p w14:paraId="7F799CE0">
      <w:pPr>
        <w:tabs>
          <w:tab w:val="left" w:pos="6300"/>
        </w:tabs>
        <w:snapToGrid w:val="0"/>
        <w:spacing w:line="500" w:lineRule="exact"/>
        <w:ind w:firstLine="570"/>
        <w:rPr>
          <w:rFonts w:hint="eastAsia" w:asciiTheme="minorEastAsia" w:hAnsiTheme="minorEastAsia"/>
          <w:color w:val="auto"/>
          <w:highlight w:val="none"/>
        </w:rPr>
      </w:pPr>
    </w:p>
    <w:p w14:paraId="77844165">
      <w:pPr>
        <w:tabs>
          <w:tab w:val="left" w:pos="6300"/>
        </w:tabs>
        <w:snapToGrid w:val="0"/>
        <w:spacing w:line="500" w:lineRule="exact"/>
        <w:ind w:firstLine="570"/>
        <w:rPr>
          <w:rFonts w:hint="eastAsia" w:asciiTheme="minorEastAsia" w:hAnsiTheme="minorEastAsia"/>
          <w:color w:val="auto"/>
          <w:highlight w:val="none"/>
        </w:rPr>
      </w:pPr>
    </w:p>
    <w:p w14:paraId="27CDC1FE">
      <w:pPr>
        <w:tabs>
          <w:tab w:val="left" w:pos="6300"/>
        </w:tabs>
        <w:snapToGrid w:val="0"/>
        <w:spacing w:line="500" w:lineRule="exact"/>
        <w:ind w:firstLine="570"/>
        <w:rPr>
          <w:rFonts w:hint="eastAsia" w:asciiTheme="minorEastAsia" w:hAnsiTheme="minorEastAsia"/>
          <w:color w:val="auto"/>
          <w:highlight w:val="none"/>
        </w:rPr>
      </w:pPr>
    </w:p>
    <w:p w14:paraId="1B980252">
      <w:pPr>
        <w:spacing w:line="400" w:lineRule="exact"/>
        <w:rPr>
          <w:rFonts w:hint="eastAsia" w:asciiTheme="minorEastAsia" w:hAnsiTheme="minorEastAsia"/>
          <w:color w:val="auto"/>
          <w:highlight w:val="none"/>
        </w:rPr>
      </w:pPr>
    </w:p>
    <w:p w14:paraId="319DBD7C">
      <w:pPr>
        <w:keepNext w:val="0"/>
        <w:keepLines w:val="0"/>
        <w:pageBreakBefore/>
        <w:widowControl/>
        <w:kinsoku/>
        <w:wordWrap/>
        <w:overflowPunct/>
        <w:topLinePunct w:val="0"/>
        <w:autoSpaceDE/>
        <w:autoSpaceDN/>
        <w:bidi w:val="0"/>
        <w:adjustRightInd/>
        <w:snapToGrid/>
        <w:spacing w:line="400" w:lineRule="exact"/>
        <w:textAlignment w:val="auto"/>
        <w:rPr>
          <w:rFonts w:hint="eastAsia" w:asciiTheme="minorEastAsia" w:hAnsiTheme="minorEastAsia"/>
          <w:color w:val="auto"/>
          <w:highlight w:val="none"/>
        </w:rPr>
      </w:pPr>
      <w:r>
        <w:rPr>
          <w:rFonts w:hint="eastAsia" w:asciiTheme="minorEastAsia" w:hAnsiTheme="minorEastAsia"/>
          <w:color w:val="auto"/>
          <w:highlight w:val="none"/>
        </w:rPr>
        <w:t>（三）法定代表人授权委托书（格式）</w:t>
      </w:r>
    </w:p>
    <w:p w14:paraId="0B7B12A5">
      <w:pPr>
        <w:tabs>
          <w:tab w:val="left" w:pos="6300"/>
        </w:tabs>
        <w:snapToGrid w:val="0"/>
        <w:spacing w:line="500" w:lineRule="exact"/>
        <w:ind w:firstLine="570"/>
        <w:rPr>
          <w:rFonts w:hint="eastAsia" w:asciiTheme="minorEastAsia" w:hAnsiTheme="minorEastAsia"/>
          <w:color w:val="auto"/>
          <w:highlight w:val="none"/>
        </w:rPr>
      </w:pPr>
      <w:r>
        <w:rPr>
          <w:rFonts w:hint="eastAsia" w:asciiTheme="minorEastAsia" w:hAnsiTheme="minorEastAsia"/>
          <w:color w:val="auto"/>
          <w:highlight w:val="none"/>
        </w:rPr>
        <w:t xml:space="preserve">    </w:t>
      </w:r>
    </w:p>
    <w:p w14:paraId="0B86FA31">
      <w:pPr>
        <w:tabs>
          <w:tab w:val="left" w:pos="6300"/>
        </w:tabs>
        <w:snapToGrid w:val="0"/>
        <w:spacing w:line="500" w:lineRule="exact"/>
        <w:ind w:firstLine="480" w:firstLineChars="200"/>
        <w:rPr>
          <w:rFonts w:hint="eastAsia" w:asciiTheme="minorEastAsia" w:hAnsiTheme="minorEastAsia"/>
          <w:color w:val="auto"/>
          <w:highlight w:val="none"/>
        </w:rPr>
      </w:pPr>
      <w:r>
        <w:rPr>
          <w:rFonts w:hint="eastAsia" w:asciiTheme="minorEastAsia" w:hAnsiTheme="minorEastAsia"/>
          <w:color w:val="auto"/>
          <w:szCs w:val="28"/>
          <w:highlight w:val="none"/>
        </w:rPr>
        <w:t>询价项目名称</w:t>
      </w:r>
      <w:r>
        <w:rPr>
          <w:rFonts w:hint="eastAsia" w:asciiTheme="minorEastAsia" w:hAnsiTheme="minorEastAsia"/>
          <w:color w:val="auto"/>
          <w:highlight w:val="none"/>
        </w:rPr>
        <w:t>：</w:t>
      </w:r>
      <w:r>
        <w:rPr>
          <w:rFonts w:hint="eastAsia" w:asciiTheme="minorEastAsia" w:hAnsiTheme="minorEastAsia"/>
          <w:color w:val="auto"/>
          <w:highlight w:val="none"/>
          <w:u w:val="single"/>
        </w:rPr>
        <w:t xml:space="preserve">                                                </w:t>
      </w:r>
    </w:p>
    <w:p w14:paraId="5438F0C2">
      <w:pPr>
        <w:tabs>
          <w:tab w:val="left" w:pos="6300"/>
        </w:tabs>
        <w:snapToGrid w:val="0"/>
        <w:spacing w:line="500" w:lineRule="exact"/>
        <w:ind w:firstLine="570"/>
        <w:rPr>
          <w:rFonts w:hint="eastAsia" w:asciiTheme="minorEastAsia" w:hAnsiTheme="minorEastAsia"/>
          <w:color w:val="auto"/>
          <w:highlight w:val="none"/>
        </w:rPr>
      </w:pPr>
    </w:p>
    <w:p w14:paraId="27791CD8">
      <w:pPr>
        <w:tabs>
          <w:tab w:val="left" w:pos="6300"/>
        </w:tabs>
        <w:snapToGrid w:val="0"/>
        <w:spacing w:line="500" w:lineRule="exact"/>
        <w:rPr>
          <w:rFonts w:hint="eastAsia" w:asciiTheme="minorEastAsia" w:hAnsiTheme="minorEastAsia"/>
          <w:color w:val="auto"/>
          <w:highlight w:val="none"/>
        </w:rPr>
      </w:pPr>
      <w:r>
        <w:rPr>
          <w:rFonts w:hint="eastAsia" w:asciiTheme="minorEastAsia" w:hAnsiTheme="minorEastAsia"/>
          <w:color w:val="auto"/>
          <w:highlight w:val="none"/>
        </w:rPr>
        <w:t>致：</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（采购代理机构名称）：</w:t>
      </w:r>
    </w:p>
    <w:p w14:paraId="6C544031">
      <w:pPr>
        <w:tabs>
          <w:tab w:val="left" w:pos="6300"/>
        </w:tabs>
        <w:snapToGrid w:val="0"/>
        <w:spacing w:line="5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（供应商法定代表人名称）是</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（供应商名称）的法定代表人，特授权</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（被授权人姓名及身份证代码）代表我单位全权办理上述项目的报价、签约等具体工作，并签署全部有关文件、协议及合同。</w:t>
      </w:r>
    </w:p>
    <w:p w14:paraId="772F7AB4">
      <w:pPr>
        <w:tabs>
          <w:tab w:val="left" w:pos="6300"/>
        </w:tabs>
        <w:snapToGrid w:val="0"/>
        <w:spacing w:line="5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我单位对被授权人的</w:t>
      </w:r>
      <w:r>
        <w:rPr>
          <w:rFonts w:hint="eastAsia" w:asciiTheme="minorEastAsia" w:hAnsiTheme="minorEastAsia"/>
          <w:color w:val="auto"/>
          <w:szCs w:val="28"/>
          <w:highlight w:val="none"/>
        </w:rPr>
        <w:t>签署</w:t>
      </w:r>
      <w:r>
        <w:rPr>
          <w:rFonts w:hint="eastAsia" w:asciiTheme="minorEastAsia" w:hAnsiTheme="minorEastAsia"/>
          <w:color w:val="auto"/>
          <w:highlight w:val="none"/>
        </w:rPr>
        <w:t>负全部责任。</w:t>
      </w:r>
    </w:p>
    <w:p w14:paraId="73834299">
      <w:pPr>
        <w:tabs>
          <w:tab w:val="left" w:pos="6300"/>
        </w:tabs>
        <w:snapToGrid w:val="0"/>
        <w:spacing w:line="5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在撤销授权的书面通知以前，本授权书一直有效。被授权人在授权书有效期内签署的所有文件不因授权的撤销而失效。</w:t>
      </w:r>
    </w:p>
    <w:p w14:paraId="0D9EE77D">
      <w:pPr>
        <w:tabs>
          <w:tab w:val="left" w:pos="6300"/>
        </w:tabs>
        <w:snapToGrid w:val="0"/>
        <w:spacing w:line="500" w:lineRule="exact"/>
        <w:ind w:firstLine="570"/>
        <w:rPr>
          <w:rFonts w:hint="eastAsia" w:asciiTheme="minorEastAsia" w:hAnsiTheme="minorEastAsia"/>
          <w:color w:val="auto"/>
          <w:highlight w:val="none"/>
        </w:rPr>
      </w:pPr>
      <w:r>
        <w:rPr>
          <w:rFonts w:hint="eastAsia" w:asciiTheme="minorEastAsia" w:hAnsiTheme="minorEastAsia"/>
          <w:color w:val="auto"/>
          <w:highlight w:val="none"/>
        </w:rPr>
        <w:t>被授权人：                                 供应商法定代表人：</w:t>
      </w:r>
    </w:p>
    <w:p w14:paraId="24235C49">
      <w:pPr>
        <w:tabs>
          <w:tab w:val="left" w:pos="6300"/>
        </w:tabs>
        <w:snapToGrid w:val="0"/>
        <w:spacing w:line="500" w:lineRule="exact"/>
        <w:ind w:firstLine="570"/>
        <w:rPr>
          <w:rFonts w:hint="eastAsia" w:asciiTheme="minorEastAsia" w:hAnsiTheme="minorEastAsia"/>
          <w:color w:val="auto"/>
          <w:szCs w:val="28"/>
          <w:highlight w:val="none"/>
        </w:rPr>
      </w:pPr>
      <w:r>
        <w:rPr>
          <w:rFonts w:hint="eastAsia" w:asciiTheme="minorEastAsia" w:hAnsiTheme="minorEastAsia"/>
          <w:color w:val="auto"/>
          <w:szCs w:val="28"/>
          <w:highlight w:val="none"/>
        </w:rPr>
        <w:t>（签署或盖章）                                （签署或盖章）</w:t>
      </w:r>
    </w:p>
    <w:p w14:paraId="7B9826FF">
      <w:pPr>
        <w:tabs>
          <w:tab w:val="left" w:pos="6300"/>
        </w:tabs>
        <w:snapToGrid w:val="0"/>
        <w:spacing w:line="500" w:lineRule="exact"/>
        <w:rPr>
          <w:rFonts w:hint="eastAsia" w:asciiTheme="minorEastAsia" w:hAnsiTheme="minorEastAsia"/>
          <w:color w:val="auto"/>
          <w:highlight w:val="none"/>
        </w:rPr>
      </w:pPr>
    </w:p>
    <w:p w14:paraId="171CF39C">
      <w:pPr>
        <w:tabs>
          <w:tab w:val="left" w:pos="6300"/>
        </w:tabs>
        <w:snapToGrid w:val="0"/>
        <w:spacing w:line="500" w:lineRule="exact"/>
        <w:ind w:firstLine="570"/>
        <w:rPr>
          <w:rFonts w:hint="eastAsia" w:asciiTheme="minorEastAsia" w:hAnsiTheme="minorEastAsia"/>
          <w:color w:val="auto"/>
          <w:highlight w:val="none"/>
        </w:rPr>
      </w:pPr>
      <w:r>
        <w:rPr>
          <w:rFonts w:hint="eastAsia" w:asciiTheme="minorEastAsia" w:hAnsiTheme="minorEastAsia"/>
          <w:color w:val="auto"/>
          <w:highlight w:val="none"/>
        </w:rPr>
        <w:t xml:space="preserve">（附：被授权人身份证正反面复印件）                                 </w:t>
      </w:r>
    </w:p>
    <w:p w14:paraId="4CBA5B99">
      <w:pPr>
        <w:tabs>
          <w:tab w:val="left" w:pos="6300"/>
        </w:tabs>
        <w:snapToGrid w:val="0"/>
        <w:spacing w:line="500" w:lineRule="exact"/>
        <w:ind w:right="480" w:firstLine="570"/>
        <w:jc w:val="center"/>
        <w:rPr>
          <w:rFonts w:hint="eastAsia" w:asciiTheme="minorEastAsia" w:hAnsiTheme="minorEastAsia"/>
          <w:color w:val="auto"/>
          <w:highlight w:val="none"/>
        </w:rPr>
      </w:pPr>
      <w:r>
        <w:rPr>
          <w:rFonts w:hint="eastAsia" w:asciiTheme="minorEastAsia" w:hAnsiTheme="minorEastAsia"/>
          <w:color w:val="auto"/>
          <w:highlight w:val="none"/>
        </w:rPr>
        <w:t xml:space="preserve">                                         （供应商公章）</w:t>
      </w:r>
    </w:p>
    <w:p w14:paraId="2458D1B4">
      <w:pPr>
        <w:tabs>
          <w:tab w:val="left" w:pos="6300"/>
        </w:tabs>
        <w:snapToGrid w:val="0"/>
        <w:spacing w:line="500" w:lineRule="exact"/>
        <w:ind w:right="480" w:firstLine="570"/>
        <w:jc w:val="right"/>
        <w:rPr>
          <w:rFonts w:hint="eastAsia" w:asciiTheme="minorEastAsia" w:hAnsiTheme="minorEastAsia"/>
          <w:color w:val="auto"/>
          <w:highlight w:val="none"/>
        </w:rPr>
      </w:pPr>
      <w:r>
        <w:rPr>
          <w:rFonts w:hint="eastAsia" w:asciiTheme="minorEastAsia" w:hAnsiTheme="minorEastAsia"/>
          <w:color w:val="auto"/>
          <w:highlight w:val="none"/>
        </w:rPr>
        <w:t>年   月   日</w:t>
      </w:r>
    </w:p>
    <w:p w14:paraId="7E71A70D">
      <w:pPr>
        <w:tabs>
          <w:tab w:val="left" w:pos="6300"/>
        </w:tabs>
        <w:snapToGrid w:val="0"/>
        <w:spacing w:line="500" w:lineRule="exact"/>
        <w:ind w:right="480" w:firstLine="570"/>
        <w:rPr>
          <w:rFonts w:hint="eastAsia" w:asciiTheme="minorEastAsia" w:hAnsiTheme="minorEastAsia"/>
          <w:color w:val="auto"/>
          <w:highlight w:val="none"/>
        </w:rPr>
      </w:pPr>
      <w:r>
        <w:rPr>
          <w:rFonts w:hint="eastAsia" w:asciiTheme="minorEastAsia" w:hAnsiTheme="minorEastAsia"/>
          <w:color w:val="auto"/>
          <w:highlight w:val="none"/>
        </w:rPr>
        <w:t>被授权人电话：XXXXXXX     电子邮箱：XXXXXX@XXXXX（若法定代表人办理并签署响应文件的可不填写）</w:t>
      </w:r>
    </w:p>
    <w:p w14:paraId="6922948F">
      <w:pPr>
        <w:tabs>
          <w:tab w:val="left" w:pos="6300"/>
        </w:tabs>
        <w:snapToGrid w:val="0"/>
        <w:spacing w:line="500" w:lineRule="exact"/>
        <w:ind w:right="480" w:firstLine="570"/>
        <w:rPr>
          <w:rFonts w:hint="eastAsia" w:asciiTheme="minorEastAsia" w:hAnsiTheme="minorEastAsia"/>
          <w:color w:val="auto"/>
          <w:highlight w:val="none"/>
        </w:rPr>
      </w:pPr>
      <w:r>
        <w:rPr>
          <w:rFonts w:hint="eastAsia" w:asciiTheme="minorEastAsia" w:hAnsiTheme="minorEastAsia"/>
          <w:color w:val="auto"/>
          <w:highlight w:val="none"/>
        </w:rPr>
        <w:t>注：</w:t>
      </w:r>
    </w:p>
    <w:p w14:paraId="6EAA0F15">
      <w:pPr>
        <w:tabs>
          <w:tab w:val="left" w:pos="6300"/>
        </w:tabs>
        <w:snapToGrid w:val="0"/>
        <w:spacing w:line="500" w:lineRule="exact"/>
        <w:ind w:right="480" w:firstLine="570"/>
        <w:rPr>
          <w:rFonts w:hint="eastAsia" w:asciiTheme="minorEastAsia" w:hAnsiTheme="minorEastAsia"/>
          <w:color w:val="auto"/>
          <w:highlight w:val="none"/>
        </w:rPr>
      </w:pPr>
      <w:r>
        <w:rPr>
          <w:rFonts w:hint="eastAsia" w:asciiTheme="minorEastAsia" w:hAnsiTheme="minorEastAsia"/>
          <w:color w:val="auto"/>
          <w:highlight w:val="none"/>
        </w:rPr>
        <w:t>1.若为法定代表人办理并签署响应文件的，不提供此文件。</w:t>
      </w:r>
    </w:p>
    <w:p w14:paraId="0D11905E">
      <w:pPr>
        <w:tabs>
          <w:tab w:val="left" w:pos="6300"/>
        </w:tabs>
        <w:snapToGrid w:val="0"/>
        <w:spacing w:line="400" w:lineRule="exact"/>
        <w:ind w:firstLine="573"/>
        <w:rPr>
          <w:rFonts w:hint="eastAsia" w:asciiTheme="minorEastAsia" w:hAnsiTheme="minorEastAsia"/>
          <w:color w:val="auto"/>
          <w:highlight w:val="none"/>
        </w:rPr>
      </w:pPr>
      <w:r>
        <w:rPr>
          <w:rFonts w:hint="eastAsia" w:asciiTheme="minorEastAsia" w:hAnsiTheme="minorEastAsia"/>
          <w:color w:val="auto"/>
          <w:highlight w:val="none"/>
        </w:rPr>
        <w:t>2.若为联合体参与的，法定代表人授权委托书由联合体主办方（主体）出具。</w:t>
      </w:r>
    </w:p>
    <w:p w14:paraId="75DC23D0">
      <w:pPr>
        <w:spacing w:line="400" w:lineRule="exact"/>
        <w:ind w:firstLine="480" w:firstLineChars="200"/>
        <w:rPr>
          <w:rFonts w:hint="eastAsia" w:asciiTheme="minorEastAsia" w:hAnsiTheme="minorEastAsia"/>
          <w:color w:val="auto"/>
          <w:highlight w:val="none"/>
        </w:rPr>
      </w:pPr>
      <w:r>
        <w:rPr>
          <w:rFonts w:asciiTheme="minorEastAsia" w:hAnsiTheme="minorEastAsia"/>
          <w:color w:val="auto"/>
          <w:highlight w:val="none"/>
        </w:rPr>
        <w:br w:type="column"/>
      </w:r>
      <w:r>
        <w:rPr>
          <w:rFonts w:hint="eastAsia" w:asciiTheme="minorEastAsia" w:hAnsiTheme="minorEastAsia"/>
          <w:color w:val="auto"/>
          <w:highlight w:val="none"/>
        </w:rPr>
        <w:t>（四）基本资格条件承诺函（格式）</w:t>
      </w:r>
    </w:p>
    <w:p w14:paraId="1956CF36">
      <w:pPr>
        <w:tabs>
          <w:tab w:val="left" w:pos="6300"/>
        </w:tabs>
        <w:snapToGrid w:val="0"/>
        <w:spacing w:line="500" w:lineRule="exact"/>
        <w:ind w:firstLine="643" w:firstLineChars="200"/>
        <w:jc w:val="center"/>
        <w:rPr>
          <w:rFonts w:hint="eastAsia" w:cs="方正仿宋_GBK" w:asciiTheme="minorEastAsia" w:hAnsiTheme="minorEastAsia"/>
          <w:b/>
          <w:bCs/>
          <w:color w:val="auto"/>
          <w:sz w:val="32"/>
          <w:szCs w:val="32"/>
          <w:highlight w:val="none"/>
        </w:rPr>
      </w:pPr>
      <w:r>
        <w:rPr>
          <w:rFonts w:hint="eastAsia" w:cs="方正仿宋_GBK" w:asciiTheme="minorEastAsia" w:hAnsiTheme="minorEastAsia"/>
          <w:b/>
          <w:bCs/>
          <w:color w:val="auto"/>
          <w:sz w:val="32"/>
          <w:szCs w:val="32"/>
          <w:highlight w:val="none"/>
        </w:rPr>
        <w:t>基本资格条件承诺函</w:t>
      </w:r>
    </w:p>
    <w:p w14:paraId="32580CC8">
      <w:pPr>
        <w:tabs>
          <w:tab w:val="left" w:pos="6300"/>
        </w:tabs>
        <w:snapToGrid w:val="0"/>
        <w:spacing w:line="530" w:lineRule="exact"/>
        <w:rPr>
          <w:rFonts w:hint="eastAsia" w:asciiTheme="minorEastAsia" w:hAnsiTheme="minorEastAsia"/>
          <w:color w:val="auto"/>
          <w:highlight w:val="none"/>
        </w:rPr>
      </w:pPr>
    </w:p>
    <w:p w14:paraId="76EF170A">
      <w:pPr>
        <w:tabs>
          <w:tab w:val="left" w:pos="6300"/>
        </w:tabs>
        <w:snapToGrid w:val="0"/>
        <w:spacing w:line="5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致</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（采购代理机构名称）：</w:t>
      </w:r>
    </w:p>
    <w:p w14:paraId="4D53D849">
      <w:pPr>
        <w:tabs>
          <w:tab w:val="left" w:pos="6300"/>
        </w:tabs>
        <w:snapToGrid w:val="0"/>
        <w:spacing w:line="5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 xml:space="preserve">    </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（供应商名称）郑重承诺：</w:t>
      </w:r>
    </w:p>
    <w:p w14:paraId="249D59E3">
      <w:pPr>
        <w:tabs>
          <w:tab w:val="left" w:pos="6300"/>
        </w:tabs>
        <w:snapToGrid w:val="0"/>
        <w:spacing w:line="5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1.我方具有良好的商业信誉和健全的财务会计制度，具有履行合同所必需的设备和专业技术能力，具</w:t>
      </w:r>
      <w:r>
        <w:rPr>
          <w:rFonts w:hint="eastAsia" w:asciiTheme="minorEastAsia" w:hAnsiTheme="minorEastAsia"/>
          <w:color w:val="auto"/>
          <w:highlight w:val="none"/>
          <w:lang w:val="zh-CN"/>
        </w:rPr>
        <w:t>有依法缴纳税收和社会保障金的良好记录</w:t>
      </w:r>
      <w:r>
        <w:rPr>
          <w:rFonts w:hint="eastAsia" w:asciiTheme="minorEastAsia" w:hAnsiTheme="minorEastAsia"/>
          <w:color w:val="auto"/>
          <w:highlight w:val="none"/>
        </w:rPr>
        <w:t>，参加本项目采购活动前三年内无重大违法活动记录。</w:t>
      </w:r>
    </w:p>
    <w:p w14:paraId="438E2C7C">
      <w:pPr>
        <w:tabs>
          <w:tab w:val="left" w:pos="6300"/>
        </w:tabs>
        <w:snapToGrid w:val="0"/>
        <w:spacing w:line="5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2.我方未列入在信用中国网站（www.creditchina.gov.cn）“失信被执行人”、“重大税收违法案件当事人名单”中，也未列入中国政府采购网（www.ccgp.gov.cn）“政府采购严重违法失信行为记录名单”中。</w:t>
      </w:r>
    </w:p>
    <w:p w14:paraId="404D74C7">
      <w:pPr>
        <w:tabs>
          <w:tab w:val="left" w:pos="6300"/>
        </w:tabs>
        <w:snapToGrid w:val="0"/>
        <w:spacing w:line="5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3.我方在采购项目评审（评标）环节结束后，随时接受采购人、采购代理机构的检查验证，配合提供相关证明材料，证明符合《中华人民共和国政府采购法》规定的供应商基本资格条件。</w:t>
      </w:r>
    </w:p>
    <w:p w14:paraId="7685C710">
      <w:pPr>
        <w:tabs>
          <w:tab w:val="left" w:pos="6300"/>
        </w:tabs>
        <w:snapToGrid w:val="0"/>
        <w:spacing w:line="5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我方对以上承诺负全部法律责任。</w:t>
      </w:r>
    </w:p>
    <w:p w14:paraId="0532A9AD">
      <w:pPr>
        <w:tabs>
          <w:tab w:val="left" w:pos="6300"/>
        </w:tabs>
        <w:snapToGrid w:val="0"/>
        <w:spacing w:line="5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rPr>
        <w:t>特此承诺。</w:t>
      </w:r>
    </w:p>
    <w:p w14:paraId="03A404E1">
      <w:pPr>
        <w:tabs>
          <w:tab w:val="left" w:pos="6300"/>
        </w:tabs>
        <w:snapToGrid w:val="0"/>
        <w:spacing w:line="500" w:lineRule="exact"/>
        <w:ind w:firstLine="480" w:firstLineChars="200"/>
        <w:rPr>
          <w:rFonts w:hint="eastAsia" w:asciiTheme="minorEastAsia" w:hAnsiTheme="minorEastAsia"/>
          <w:color w:val="auto"/>
          <w:highlight w:val="none"/>
        </w:rPr>
      </w:pPr>
    </w:p>
    <w:p w14:paraId="465BD39A">
      <w:pPr>
        <w:tabs>
          <w:tab w:val="left" w:pos="6300"/>
        </w:tabs>
        <w:snapToGrid w:val="0"/>
        <w:spacing w:line="500" w:lineRule="exact"/>
        <w:ind w:firstLine="480" w:firstLineChars="200"/>
        <w:jc w:val="right"/>
        <w:rPr>
          <w:rFonts w:hint="eastAsia" w:asciiTheme="minorEastAsia" w:hAnsiTheme="minorEastAsia"/>
          <w:color w:val="auto"/>
          <w:highlight w:val="none"/>
        </w:rPr>
      </w:pPr>
      <w:r>
        <w:rPr>
          <w:rFonts w:hint="eastAsia" w:asciiTheme="minorEastAsia" w:hAnsiTheme="minorEastAsia"/>
          <w:color w:val="auto"/>
          <w:highlight w:val="none"/>
        </w:rPr>
        <w:t>（供应商公章）</w:t>
      </w:r>
    </w:p>
    <w:p w14:paraId="4BD186B3">
      <w:pPr>
        <w:spacing w:line="400" w:lineRule="exact"/>
        <w:ind w:firstLine="6480" w:firstLineChars="2700"/>
        <w:rPr>
          <w:rFonts w:hint="eastAsia" w:asciiTheme="minorEastAsia" w:hAnsiTheme="minorEastAsia"/>
          <w:color w:val="auto"/>
          <w:highlight w:val="none"/>
        </w:rPr>
      </w:pPr>
      <w:r>
        <w:rPr>
          <w:rFonts w:hint="eastAsia" w:asciiTheme="minorEastAsia" w:hAnsiTheme="minorEastAsia"/>
          <w:color w:val="auto"/>
          <w:highlight w:val="none"/>
        </w:rPr>
        <w:t>年   月   日</w:t>
      </w:r>
    </w:p>
    <w:p w14:paraId="40294D01">
      <w:pPr>
        <w:spacing w:line="400" w:lineRule="exact"/>
        <w:ind w:firstLine="480" w:firstLineChars="200"/>
        <w:rPr>
          <w:rFonts w:hint="eastAsia" w:asciiTheme="minorEastAsia" w:hAnsiTheme="minorEastAsia"/>
          <w:color w:val="auto"/>
          <w:highlight w:val="none"/>
        </w:rPr>
      </w:pPr>
      <w:r>
        <w:rPr>
          <w:rFonts w:asciiTheme="minorEastAsia" w:hAnsiTheme="minorEastAsia"/>
          <w:color w:val="auto"/>
          <w:highlight w:val="none"/>
        </w:rPr>
        <w:br w:type="page"/>
      </w:r>
      <w:r>
        <w:rPr>
          <w:rFonts w:hint="eastAsia" w:asciiTheme="minorEastAsia" w:hAnsiTheme="minorEastAsia"/>
          <w:color w:val="auto"/>
          <w:highlight w:val="none"/>
        </w:rPr>
        <w:t>（五）特定资格条件证书或证明文件</w:t>
      </w:r>
    </w:p>
    <w:p w14:paraId="0B7C0040">
      <w:pPr>
        <w:spacing w:line="400" w:lineRule="exact"/>
        <w:ind w:firstLine="480" w:firstLineChars="200"/>
        <w:rPr>
          <w:rFonts w:hint="eastAsia" w:asciiTheme="minorEastAsia" w:hAnsiTheme="minorEastAsia"/>
          <w:color w:val="auto"/>
          <w:highlight w:val="none"/>
        </w:rPr>
      </w:pPr>
    </w:p>
    <w:p w14:paraId="2F224568">
      <w:pPr>
        <w:pStyle w:val="3"/>
        <w:spacing w:line="400" w:lineRule="exact"/>
        <w:ind w:firstLine="480" w:firstLineChars="200"/>
        <w:rPr>
          <w:rFonts w:hint="eastAsia" w:asciiTheme="minorEastAsia" w:hAnsiTheme="minorEastAsia"/>
          <w:color w:val="auto"/>
          <w:highlight w:val="none"/>
        </w:rPr>
      </w:pPr>
      <w:r>
        <w:rPr>
          <w:rFonts w:asciiTheme="minorEastAsia" w:hAnsiTheme="minorEastAsia"/>
          <w:color w:val="auto"/>
          <w:highlight w:val="none"/>
        </w:rPr>
        <w:br w:type="page"/>
      </w:r>
      <w:bookmarkStart w:id="291" w:name="_Toc196642871"/>
      <w:bookmarkStart w:id="292" w:name="_Toc2080"/>
      <w:bookmarkStart w:id="293" w:name="_Toc15815"/>
      <w:bookmarkStart w:id="294" w:name="_Toc65660383"/>
      <w:bookmarkStart w:id="295" w:name="_Toc17010"/>
      <w:bookmarkStart w:id="296" w:name="_Toc16650"/>
      <w:r>
        <w:rPr>
          <w:rFonts w:hint="eastAsia" w:asciiTheme="minorEastAsia" w:hAnsiTheme="minorEastAsia"/>
          <w:color w:val="auto"/>
          <w:highlight w:val="none"/>
        </w:rPr>
        <w:t>五、</w:t>
      </w:r>
      <w:bookmarkEnd w:id="288"/>
      <w:bookmarkEnd w:id="289"/>
      <w:bookmarkEnd w:id="290"/>
      <w:r>
        <w:rPr>
          <w:rFonts w:hint="eastAsia" w:asciiTheme="minorEastAsia" w:hAnsiTheme="minorEastAsia"/>
          <w:color w:val="auto"/>
          <w:highlight w:val="none"/>
        </w:rPr>
        <w:t>其他资料</w:t>
      </w:r>
      <w:bookmarkEnd w:id="291"/>
      <w:bookmarkEnd w:id="292"/>
      <w:bookmarkEnd w:id="293"/>
      <w:bookmarkEnd w:id="294"/>
      <w:bookmarkEnd w:id="295"/>
      <w:bookmarkEnd w:id="296"/>
    </w:p>
    <w:p w14:paraId="50CD7C6C">
      <w:pPr>
        <w:snapToGrid w:val="0"/>
        <w:spacing w:line="400" w:lineRule="exact"/>
        <w:ind w:firstLine="480" w:firstLineChars="200"/>
        <w:rPr>
          <w:rFonts w:hint="eastAsia" w:asciiTheme="minorEastAsia" w:hAnsiTheme="minorEastAsia"/>
          <w:color w:val="auto"/>
          <w:highlight w:val="none"/>
        </w:rPr>
      </w:pPr>
      <w:r>
        <w:rPr>
          <w:rFonts w:hint="eastAsia" w:asciiTheme="minorEastAsia" w:hAnsiTheme="minorEastAsia"/>
          <w:color w:val="auto"/>
          <w:highlight w:val="none"/>
          <w:lang w:eastAsia="zh-CN"/>
        </w:rPr>
        <w:t>供应商认为应该提供的其他资料，包含但不限于</w:t>
      </w:r>
      <w:r>
        <w:rPr>
          <w:rFonts w:hint="eastAsia" w:asciiTheme="minorEastAsia" w:hAnsiTheme="minorEastAsia"/>
          <w:color w:val="auto"/>
          <w:highlight w:val="none"/>
        </w:rPr>
        <w:t>投标企业对公账户开户银行许可证或基本存款账户信息复印件加盖鲜章。</w:t>
      </w:r>
    </w:p>
    <w:p w14:paraId="762B2CAC">
      <w:pPr>
        <w:pStyle w:val="20"/>
        <w:ind w:firstLine="480"/>
        <w:rPr>
          <w:rFonts w:hint="eastAsia" w:asciiTheme="minorEastAsia" w:hAnsiTheme="minorEastAsia"/>
          <w:color w:val="auto"/>
          <w:sz w:val="24"/>
          <w:highlight w:val="none"/>
        </w:rPr>
      </w:pPr>
    </w:p>
    <w:p w14:paraId="715DC2D5">
      <w:pPr>
        <w:pStyle w:val="20"/>
        <w:ind w:firstLine="480"/>
        <w:rPr>
          <w:rFonts w:hint="eastAsia" w:asciiTheme="minorEastAsia" w:hAnsiTheme="minorEastAsia"/>
          <w:color w:val="auto"/>
          <w:sz w:val="24"/>
          <w:highlight w:val="none"/>
        </w:rPr>
      </w:pPr>
    </w:p>
    <w:p w14:paraId="35086B6D">
      <w:pPr>
        <w:pStyle w:val="20"/>
        <w:ind w:firstLine="480"/>
        <w:rPr>
          <w:rFonts w:hint="eastAsia" w:asciiTheme="minorEastAsia" w:hAnsiTheme="minorEastAsia"/>
          <w:color w:val="auto"/>
          <w:sz w:val="24"/>
          <w:highlight w:val="none"/>
        </w:rPr>
      </w:pPr>
    </w:p>
    <w:p w14:paraId="1F0E0CCA">
      <w:pPr>
        <w:pStyle w:val="20"/>
        <w:ind w:firstLine="480"/>
        <w:rPr>
          <w:rFonts w:hint="eastAsia" w:asciiTheme="minorEastAsia" w:hAnsiTheme="minorEastAsia"/>
          <w:color w:val="auto"/>
          <w:sz w:val="24"/>
          <w:highlight w:val="none"/>
        </w:rPr>
      </w:pPr>
    </w:p>
    <w:p w14:paraId="790D7334">
      <w:pPr>
        <w:pStyle w:val="20"/>
        <w:ind w:firstLine="480"/>
        <w:rPr>
          <w:rFonts w:hint="eastAsia" w:asciiTheme="minorEastAsia" w:hAnsiTheme="minorEastAsia"/>
          <w:color w:val="auto"/>
          <w:sz w:val="24"/>
          <w:highlight w:val="none"/>
        </w:rPr>
      </w:pPr>
    </w:p>
    <w:p w14:paraId="14097938">
      <w:pPr>
        <w:pStyle w:val="20"/>
        <w:ind w:firstLine="480"/>
        <w:rPr>
          <w:rFonts w:hint="eastAsia" w:asciiTheme="minorEastAsia" w:hAnsiTheme="minorEastAsia"/>
          <w:color w:val="auto"/>
          <w:sz w:val="24"/>
          <w:highlight w:val="none"/>
        </w:rPr>
      </w:pPr>
    </w:p>
    <w:p w14:paraId="4A7C1F67">
      <w:pPr>
        <w:spacing w:line="360" w:lineRule="auto"/>
        <w:ind w:firstLine="480" w:firstLineChars="200"/>
        <w:jc w:val="center"/>
        <w:rPr>
          <w:rFonts w:hint="eastAsia" w:asciiTheme="minorEastAsia" w:hAnsiTheme="minorEastAsia"/>
          <w:color w:val="auto"/>
          <w:highlight w:val="none"/>
        </w:rPr>
      </w:pPr>
      <w:r>
        <w:rPr>
          <w:rFonts w:hint="eastAsia" w:asciiTheme="minorEastAsia" w:hAnsiTheme="minorEastAsia"/>
          <w:color w:val="auto"/>
          <w:highlight w:val="none"/>
        </w:rPr>
        <w:t>（结束）</w:t>
      </w:r>
    </w:p>
    <w:sectPr>
      <w:headerReference r:id="rId9" w:type="default"/>
      <w:footerReference r:id="rId10" w:type="default"/>
      <w:pgSz w:w="11907" w:h="16840"/>
      <w:pgMar w:top="1134" w:right="1191" w:bottom="1134" w:left="1304"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85F1795-5232-4A41-947D-864A14817E65}"/>
  </w:font>
  <w:font w:name="Arial">
    <w:panose1 w:val="020B0604020202020204"/>
    <w:charset w:val="01"/>
    <w:family w:val="swiss"/>
    <w:pitch w:val="default"/>
    <w:sig w:usb0="E0002AFF" w:usb1="C0007843" w:usb2="00000009" w:usb3="00000000" w:csb0="400001FF" w:csb1="FFFF0000"/>
    <w:embedRegular r:id="rId2" w:fontKey="{1BFA5016-5B92-4B1B-9C2E-1D164B035FF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0F0152B3-CB95-4657-99A8-7D318A00DB99}"/>
  </w:font>
  <w:font w:name="Symbol">
    <w:panose1 w:val="05050102010706020507"/>
    <w:charset w:val="02"/>
    <w:family w:val="roman"/>
    <w:pitch w:val="default"/>
    <w:sig w:usb0="00000000" w:usb1="00000000" w:usb2="00000000" w:usb3="00000000" w:csb0="80000000" w:csb1="00000000"/>
    <w:embedRegular r:id="rId4" w:fontKey="{1B56EEA8-6D6B-4985-8321-B6B1B7BD6C98}"/>
  </w:font>
  <w:font w:name="Calibri">
    <w:panose1 w:val="020F0502020204030204"/>
    <w:charset w:val="00"/>
    <w:family w:val="swiss"/>
    <w:pitch w:val="default"/>
    <w:sig w:usb0="E00002FF" w:usb1="4000ACFF" w:usb2="00000001" w:usb3="00000000" w:csb0="2000019F" w:csb1="00000000"/>
    <w:embedRegular r:id="rId5" w:fontKey="{CFEED138-18FB-48B6-9B80-C561026B06EC}"/>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00" w:usb3="00000000" w:csb0="00040000" w:csb1="00000000"/>
    <w:embedRegular r:id="rId6" w:fontKey="{39D781D1-4AF4-4382-AD48-99D8B123A195}"/>
  </w:font>
  <w:font w:name="仿宋">
    <w:panose1 w:val="02010609060101010101"/>
    <w:charset w:val="86"/>
    <w:family w:val="modern"/>
    <w:pitch w:val="default"/>
    <w:sig w:usb0="800002BF" w:usb1="38CF7CFA" w:usb2="00000016" w:usb3="00000000" w:csb0="00040001" w:csb1="00000000"/>
    <w:embedRegular r:id="rId7" w:fontKey="{C30428F8-9A6D-4CEB-A631-863E1ECF2BD0}"/>
  </w:font>
  <w:font w:name="Tahoma">
    <w:panose1 w:val="020B0604030504040204"/>
    <w:charset w:val="00"/>
    <w:family w:val="swiss"/>
    <w:pitch w:val="default"/>
    <w:sig w:usb0="E1002EFF" w:usb1="C000605B" w:usb2="00000029" w:usb3="00000000" w:csb0="200101FF" w:csb1="20280000"/>
    <w:embedRegular r:id="rId8" w:fontKey="{C0195A0B-4693-459F-95F9-9CC7565B016E}"/>
  </w:font>
  <w:font w:name="方正仿宋_GBK">
    <w:panose1 w:val="03000509000000000000"/>
    <w:charset w:val="86"/>
    <w:family w:val="auto"/>
    <w:pitch w:val="default"/>
    <w:sig w:usb0="00000001" w:usb1="080E0000" w:usb2="00000000" w:usb3="00000000" w:csb0="00040000" w:csb1="00000000"/>
    <w:embedRegular r:id="rId9" w:fontKey="{8CD0CAFF-113D-431C-AE0D-E7508764B9D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WPSEMBED4">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2F428">
    <w:pPr>
      <w:pStyle w:val="14"/>
      <w:framePr w:wrap="around" w:vAnchor="text" w:hAnchor="margin" w:xAlign="center" w:y="1"/>
      <w:jc w:val="center"/>
      <w:rPr>
        <w:rStyle w:val="24"/>
        <w:rFonts w:hint="eastAsia"/>
        <w:sz w:val="21"/>
        <w:szCs w:val="21"/>
      </w:rPr>
    </w:pPr>
    <w:r>
      <w:rPr>
        <w:sz w:val="21"/>
        <w:szCs w:val="21"/>
      </w:rPr>
      <w:fldChar w:fldCharType="begin"/>
    </w:r>
    <w:r>
      <w:rPr>
        <w:rStyle w:val="24"/>
        <w:sz w:val="21"/>
        <w:szCs w:val="21"/>
      </w:rPr>
      <w:instrText xml:space="preserve">PAGE  </w:instrText>
    </w:r>
    <w:r>
      <w:rPr>
        <w:sz w:val="21"/>
        <w:szCs w:val="21"/>
      </w:rPr>
      <w:fldChar w:fldCharType="separate"/>
    </w:r>
    <w:r>
      <w:rPr>
        <w:rStyle w:val="24"/>
        <w:sz w:val="21"/>
        <w:szCs w:val="21"/>
      </w:rPr>
      <w:t>- 7 -</w:t>
    </w:r>
    <w:r>
      <w:rPr>
        <w:sz w:val="21"/>
        <w:szCs w:val="21"/>
      </w:rPr>
      <w:fldChar w:fldCharType="end"/>
    </w:r>
  </w:p>
  <w:p w14:paraId="493D691D">
    <w:pPr>
      <w:pStyle w:val="14"/>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0A4B1">
    <w:pPr>
      <w:pStyle w:val="14"/>
      <w:framePr w:wrap="around" w:vAnchor="text" w:hAnchor="margin" w:xAlign="center" w:y="1"/>
      <w:rPr>
        <w:rStyle w:val="24"/>
        <w:rFonts w:hint="eastAsia"/>
      </w:rPr>
    </w:pPr>
    <w:r>
      <w:fldChar w:fldCharType="begin"/>
    </w:r>
    <w:r>
      <w:rPr>
        <w:rStyle w:val="24"/>
      </w:rPr>
      <w:instrText xml:space="preserve">PAGE  </w:instrText>
    </w:r>
    <w:r>
      <w:fldChar w:fldCharType="end"/>
    </w:r>
  </w:p>
  <w:p w14:paraId="342AD3EC">
    <w:pPr>
      <w:pStyle w:val="14"/>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8DB6D">
    <w:pPr>
      <w:pStyle w:val="14"/>
      <w:framePr w:wrap="around" w:vAnchor="text" w:hAnchor="margin" w:xAlign="center" w:y="1"/>
      <w:rPr>
        <w:rStyle w:val="24"/>
        <w:rFonts w:hint="eastAsia"/>
      </w:rPr>
    </w:pPr>
  </w:p>
  <w:p w14:paraId="4B86B226">
    <w:pPr>
      <w:pStyle w:val="14"/>
      <w:jc w:val="center"/>
      <w:rPr>
        <w:rFonts w:hint="eastAsia"/>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CECBE">
    <w:pPr>
      <w:pStyle w:val="14"/>
      <w:jc w:val="center"/>
      <w:rPr>
        <w:rFonts w:hint="eastAsia"/>
        <w:sz w:val="21"/>
        <w:szCs w:val="21"/>
      </w:rPr>
    </w:pPr>
    <w:r>
      <w:rPr>
        <w:sz w:val="21"/>
        <w:szCs w:val="21"/>
      </w:rPr>
      <w:fldChar w:fldCharType="begin"/>
    </w:r>
    <w:r>
      <w:rPr>
        <w:rStyle w:val="24"/>
        <w:sz w:val="21"/>
        <w:szCs w:val="21"/>
      </w:rPr>
      <w:instrText xml:space="preserve"> PAGE </w:instrText>
    </w:r>
    <w:r>
      <w:rPr>
        <w:sz w:val="21"/>
        <w:szCs w:val="21"/>
      </w:rPr>
      <w:fldChar w:fldCharType="separate"/>
    </w:r>
    <w:r>
      <w:rPr>
        <w:rStyle w:val="24"/>
        <w:sz w:val="21"/>
        <w:szCs w:val="21"/>
      </w:rPr>
      <w:t>- 31 -</w:t>
    </w:r>
    <w:r>
      <w:rPr>
        <w:sz w:val="21"/>
        <w:szCs w:val="2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B87DA">
    <w:pPr>
      <w:pStyle w:val="14"/>
      <w:jc w:val="center"/>
      <w:rPr>
        <w:rFonts w:hint="eastAsia"/>
        <w:sz w:val="24"/>
      </w:rPr>
    </w:pPr>
    <w:r>
      <w:rPr>
        <w:sz w:val="24"/>
      </w:rPr>
      <w:fldChar w:fldCharType="begin"/>
    </w:r>
    <w:r>
      <w:rPr>
        <w:rStyle w:val="24"/>
        <w:sz w:val="24"/>
      </w:rPr>
      <w:instrText xml:space="preserve"> PAGE </w:instrText>
    </w:r>
    <w:r>
      <w:rPr>
        <w:sz w:val="24"/>
      </w:rPr>
      <w:fldChar w:fldCharType="separate"/>
    </w:r>
    <w:r>
      <w:rPr>
        <w:rStyle w:val="24"/>
        <w:sz w:val="24"/>
      </w:rPr>
      <w:t>46</w:t>
    </w:r>
    <w:r>
      <w:rPr>
        <w:sz w:val="24"/>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4F7C5">
    <w:pPr>
      <w:pStyle w:val="15"/>
      <w:pBdr>
        <w:bottom w:val="single" w:color="auto" w:sz="6" w:space="0"/>
      </w:pBdr>
      <w:ind w:firstLine="7560" w:firstLineChars="3600"/>
      <w:jc w:val="both"/>
      <w:rPr>
        <w:rFonts w:hint="eastAsia" w:ascii="方正仿宋_GBK" w:eastAsia="方正仿宋_GBK"/>
        <w:sz w:val="21"/>
        <w:szCs w:val="21"/>
      </w:rPr>
    </w:pPr>
    <w:r>
      <w:rPr>
        <w:rFonts w:hint="eastAsia" w:ascii="方正仿宋_GBK" w:eastAsia="方正仿宋_GBK"/>
        <w:sz w:val="21"/>
        <w:szCs w:val="21"/>
      </w:rPr>
      <w:t>询价通知书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E0891">
    <w:pPr>
      <w:pStyle w:val="15"/>
      <w:pBdr>
        <w:bottom w:val="none" w:color="auto" w:sz="0" w:space="0"/>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ADF9F">
    <w:pPr>
      <w:pStyle w:val="15"/>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A264E92"/>
    <w:multiLevelType w:val="singleLevel"/>
    <w:tmpl w:val="FA264E92"/>
    <w:lvl w:ilvl="0" w:tentative="0">
      <w:start w:val="2"/>
      <w:numFmt w:val="chineseCounting"/>
      <w:suff w:val="space"/>
      <w:lvlText w:val="第%1篇"/>
      <w:lvlJc w:val="left"/>
      <w:rPr>
        <w:rFonts w:hint="eastAsia"/>
      </w:rPr>
    </w:lvl>
  </w:abstractNum>
  <w:abstractNum w:abstractNumId="1">
    <w:nsid w:val="46C5B32A"/>
    <w:multiLevelType w:val="singleLevel"/>
    <w:tmpl w:val="46C5B32A"/>
    <w:lvl w:ilvl="0" w:tentative="0">
      <w:start w:val="1"/>
      <w:numFmt w:val="decimal"/>
      <w:suff w:val="nothing"/>
      <w:lvlText w:val="%1．"/>
      <w:lvlJc w:val="left"/>
      <w:pPr>
        <w:ind w:left="153"/>
      </w:pPr>
    </w:lvl>
  </w:abstractNum>
  <w:abstractNum w:abstractNumId="2">
    <w:nsid w:val="5748629E"/>
    <w:multiLevelType w:val="singleLevel"/>
    <w:tmpl w:val="5748629E"/>
    <w:lvl w:ilvl="0" w:tentative="0">
      <w:start w:val="6"/>
      <w:numFmt w:val="chineseCounting"/>
      <w:suff w:val="space"/>
      <w:lvlText w:val="第%1篇"/>
      <w:lvlJc w:val="left"/>
      <w:rPr>
        <w:rFonts w:hint="eastAsia"/>
      </w:rPr>
    </w:lvl>
  </w:abstractNum>
  <w:abstractNum w:abstractNumId="3">
    <w:nsid w:val="68745E4B"/>
    <w:multiLevelType w:val="singleLevel"/>
    <w:tmpl w:val="68745E4B"/>
    <w:lvl w:ilvl="0" w:tentative="0">
      <w:start w:val="1"/>
      <w:numFmt w:val="chineseCounting"/>
      <w:suff w:val="nothing"/>
      <w:lvlText w:val="%1、"/>
      <w:lvlJc w:val="left"/>
      <w:rPr>
        <w:rFonts w:hint="eastAsia"/>
      </w:rPr>
    </w:lvl>
  </w:abstractNum>
  <w:abstractNum w:abstractNumId="4">
    <w:nsid w:val="6B154790"/>
    <w:multiLevelType w:val="multilevel"/>
    <w:tmpl w:val="6B154790"/>
    <w:lvl w:ilvl="0" w:tentative="0">
      <w:start w:val="2"/>
      <w:numFmt w:val="japaneseCounting"/>
      <w:lvlText w:val="%1、"/>
      <w:lvlJc w:val="left"/>
      <w:pPr>
        <w:ind w:left="992" w:hanging="510"/>
      </w:pPr>
      <w:rPr>
        <w:rFonts w:hint="default"/>
        <w:b w:val="0"/>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5">
    <w:nsid w:val="758F4851"/>
    <w:multiLevelType w:val="multilevel"/>
    <w:tmpl w:val="758F4851"/>
    <w:lvl w:ilvl="0" w:tentative="0">
      <w:start w:val="2"/>
      <w:numFmt w:val="japaneseCounting"/>
      <w:lvlText w:val="%1、"/>
      <w:lvlJc w:val="left"/>
      <w:pPr>
        <w:ind w:left="960" w:hanging="48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6">
    <w:nsid w:val="7CFE6BDE"/>
    <w:multiLevelType w:val="multilevel"/>
    <w:tmpl w:val="7CFE6BDE"/>
    <w:lvl w:ilvl="0" w:tentative="0">
      <w:start w:val="2"/>
      <w:numFmt w:val="japaneseCounting"/>
      <w:lvlText w:val="%1."/>
      <w:lvlJc w:val="left"/>
      <w:pPr>
        <w:ind w:left="840" w:hanging="36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num w:numId="1">
    <w:abstractNumId w:val="3"/>
  </w:num>
  <w:num w:numId="2">
    <w:abstractNumId w:val="0"/>
  </w:num>
  <w:num w:numId="3">
    <w:abstractNumId w:val="1"/>
  </w:num>
  <w:num w:numId="4">
    <w:abstractNumId w:val="5"/>
  </w:num>
  <w:num w:numId="5">
    <w:abstractNumId w:val="6"/>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VkZjEyZGI2NmViMGNmNDM1MzgwZmNmYjc5ZDU0YjAifQ=="/>
  </w:docVars>
  <w:rsids>
    <w:rsidRoot w:val="009B2924"/>
    <w:rsid w:val="00011504"/>
    <w:rsid w:val="0001369D"/>
    <w:rsid w:val="00015D8B"/>
    <w:rsid w:val="0005481A"/>
    <w:rsid w:val="00060EC0"/>
    <w:rsid w:val="00097FE6"/>
    <w:rsid w:val="000A28AF"/>
    <w:rsid w:val="000B4204"/>
    <w:rsid w:val="000B73AB"/>
    <w:rsid w:val="000E1102"/>
    <w:rsid w:val="000F5645"/>
    <w:rsid w:val="00104599"/>
    <w:rsid w:val="001335D0"/>
    <w:rsid w:val="00140F69"/>
    <w:rsid w:val="00162FFD"/>
    <w:rsid w:val="00163453"/>
    <w:rsid w:val="001B2183"/>
    <w:rsid w:val="001B29F7"/>
    <w:rsid w:val="001D678F"/>
    <w:rsid w:val="0020156A"/>
    <w:rsid w:val="00212FAD"/>
    <w:rsid w:val="0022349D"/>
    <w:rsid w:val="00253919"/>
    <w:rsid w:val="00282E75"/>
    <w:rsid w:val="002870AF"/>
    <w:rsid w:val="002910CC"/>
    <w:rsid w:val="00291D30"/>
    <w:rsid w:val="002F49E5"/>
    <w:rsid w:val="0030063A"/>
    <w:rsid w:val="00302AD8"/>
    <w:rsid w:val="00324956"/>
    <w:rsid w:val="0032574F"/>
    <w:rsid w:val="00382179"/>
    <w:rsid w:val="003933FD"/>
    <w:rsid w:val="003B4B00"/>
    <w:rsid w:val="003D70FF"/>
    <w:rsid w:val="003E4058"/>
    <w:rsid w:val="003F070C"/>
    <w:rsid w:val="00422F1D"/>
    <w:rsid w:val="00431DED"/>
    <w:rsid w:val="00432645"/>
    <w:rsid w:val="0043279A"/>
    <w:rsid w:val="00440E6D"/>
    <w:rsid w:val="004456D0"/>
    <w:rsid w:val="004542D6"/>
    <w:rsid w:val="0045752F"/>
    <w:rsid w:val="00465BED"/>
    <w:rsid w:val="0046797F"/>
    <w:rsid w:val="00470B56"/>
    <w:rsid w:val="00481050"/>
    <w:rsid w:val="00481312"/>
    <w:rsid w:val="00483AEE"/>
    <w:rsid w:val="004C59B7"/>
    <w:rsid w:val="004D2212"/>
    <w:rsid w:val="004D272D"/>
    <w:rsid w:val="004D712C"/>
    <w:rsid w:val="00510115"/>
    <w:rsid w:val="00536C39"/>
    <w:rsid w:val="0058154D"/>
    <w:rsid w:val="005C6976"/>
    <w:rsid w:val="005E7E9D"/>
    <w:rsid w:val="005F650E"/>
    <w:rsid w:val="006206F9"/>
    <w:rsid w:val="00647E01"/>
    <w:rsid w:val="0065412B"/>
    <w:rsid w:val="006616C1"/>
    <w:rsid w:val="0066440E"/>
    <w:rsid w:val="00666BE6"/>
    <w:rsid w:val="00686583"/>
    <w:rsid w:val="00686C9B"/>
    <w:rsid w:val="006B1B9E"/>
    <w:rsid w:val="006C4898"/>
    <w:rsid w:val="006D0CE9"/>
    <w:rsid w:val="006D131E"/>
    <w:rsid w:val="006E2B36"/>
    <w:rsid w:val="006E7B3E"/>
    <w:rsid w:val="00700F42"/>
    <w:rsid w:val="00706972"/>
    <w:rsid w:val="0074173B"/>
    <w:rsid w:val="00742533"/>
    <w:rsid w:val="007557AC"/>
    <w:rsid w:val="00756774"/>
    <w:rsid w:val="007720FE"/>
    <w:rsid w:val="00791088"/>
    <w:rsid w:val="007B5DDD"/>
    <w:rsid w:val="007C4781"/>
    <w:rsid w:val="007C6FB7"/>
    <w:rsid w:val="007F38EF"/>
    <w:rsid w:val="007F5A42"/>
    <w:rsid w:val="00817D83"/>
    <w:rsid w:val="00830E0E"/>
    <w:rsid w:val="00831D62"/>
    <w:rsid w:val="0083681F"/>
    <w:rsid w:val="00846EE5"/>
    <w:rsid w:val="00855D0E"/>
    <w:rsid w:val="008C6E2B"/>
    <w:rsid w:val="008D224A"/>
    <w:rsid w:val="008E3B32"/>
    <w:rsid w:val="008F72CD"/>
    <w:rsid w:val="00915E40"/>
    <w:rsid w:val="009264EB"/>
    <w:rsid w:val="00935B1F"/>
    <w:rsid w:val="009372D6"/>
    <w:rsid w:val="00961E60"/>
    <w:rsid w:val="009648EC"/>
    <w:rsid w:val="00972E90"/>
    <w:rsid w:val="00977B14"/>
    <w:rsid w:val="00985E49"/>
    <w:rsid w:val="009B2924"/>
    <w:rsid w:val="009D0B66"/>
    <w:rsid w:val="009E5E63"/>
    <w:rsid w:val="00A0089F"/>
    <w:rsid w:val="00A035C3"/>
    <w:rsid w:val="00A4528B"/>
    <w:rsid w:val="00A7230D"/>
    <w:rsid w:val="00A7680C"/>
    <w:rsid w:val="00A87A05"/>
    <w:rsid w:val="00AB4DB0"/>
    <w:rsid w:val="00AE1C69"/>
    <w:rsid w:val="00B030AC"/>
    <w:rsid w:val="00B06ABD"/>
    <w:rsid w:val="00B2646A"/>
    <w:rsid w:val="00B65A27"/>
    <w:rsid w:val="00BD19D3"/>
    <w:rsid w:val="00BE6357"/>
    <w:rsid w:val="00BF1B4D"/>
    <w:rsid w:val="00C11035"/>
    <w:rsid w:val="00C160DA"/>
    <w:rsid w:val="00C33C14"/>
    <w:rsid w:val="00C44024"/>
    <w:rsid w:val="00C80D62"/>
    <w:rsid w:val="00C86119"/>
    <w:rsid w:val="00C95807"/>
    <w:rsid w:val="00CB77CF"/>
    <w:rsid w:val="00CE2D18"/>
    <w:rsid w:val="00CF3FB1"/>
    <w:rsid w:val="00CF603C"/>
    <w:rsid w:val="00D263F6"/>
    <w:rsid w:val="00D51E29"/>
    <w:rsid w:val="00D6298E"/>
    <w:rsid w:val="00D71E67"/>
    <w:rsid w:val="00D75A29"/>
    <w:rsid w:val="00DB32F8"/>
    <w:rsid w:val="00DD28A9"/>
    <w:rsid w:val="00DD4860"/>
    <w:rsid w:val="00DD59AC"/>
    <w:rsid w:val="00E20DEE"/>
    <w:rsid w:val="00E65C6D"/>
    <w:rsid w:val="00E76BC6"/>
    <w:rsid w:val="00E838F4"/>
    <w:rsid w:val="00E8722A"/>
    <w:rsid w:val="00EE4DB2"/>
    <w:rsid w:val="00F12129"/>
    <w:rsid w:val="00F57E36"/>
    <w:rsid w:val="00F81B5F"/>
    <w:rsid w:val="00F82766"/>
    <w:rsid w:val="00FB703B"/>
    <w:rsid w:val="00FC0BFA"/>
    <w:rsid w:val="00FC71CD"/>
    <w:rsid w:val="00FD1202"/>
    <w:rsid w:val="012A2CF1"/>
    <w:rsid w:val="012C6CCF"/>
    <w:rsid w:val="013C690E"/>
    <w:rsid w:val="01610122"/>
    <w:rsid w:val="016E2F6B"/>
    <w:rsid w:val="01B446F6"/>
    <w:rsid w:val="02225B04"/>
    <w:rsid w:val="023870D5"/>
    <w:rsid w:val="023B0973"/>
    <w:rsid w:val="02441F1E"/>
    <w:rsid w:val="026003DA"/>
    <w:rsid w:val="028916DF"/>
    <w:rsid w:val="02926524"/>
    <w:rsid w:val="02A84B32"/>
    <w:rsid w:val="02C1531D"/>
    <w:rsid w:val="02CE3403"/>
    <w:rsid w:val="02DA1F3A"/>
    <w:rsid w:val="032D315A"/>
    <w:rsid w:val="036F2FCB"/>
    <w:rsid w:val="037F1D1A"/>
    <w:rsid w:val="038344E8"/>
    <w:rsid w:val="03A039EC"/>
    <w:rsid w:val="03A04F32"/>
    <w:rsid w:val="03B629A7"/>
    <w:rsid w:val="03B8082E"/>
    <w:rsid w:val="03D90444"/>
    <w:rsid w:val="03E2379C"/>
    <w:rsid w:val="03E5503B"/>
    <w:rsid w:val="040C25C7"/>
    <w:rsid w:val="043A35D9"/>
    <w:rsid w:val="043C517B"/>
    <w:rsid w:val="0482288A"/>
    <w:rsid w:val="04B30C95"/>
    <w:rsid w:val="04B54A0D"/>
    <w:rsid w:val="04E23328"/>
    <w:rsid w:val="04EA0D61"/>
    <w:rsid w:val="04F574FF"/>
    <w:rsid w:val="05314127"/>
    <w:rsid w:val="05393890"/>
    <w:rsid w:val="05422004"/>
    <w:rsid w:val="05485881"/>
    <w:rsid w:val="054933A7"/>
    <w:rsid w:val="05753079"/>
    <w:rsid w:val="05833E2B"/>
    <w:rsid w:val="05C80770"/>
    <w:rsid w:val="05DD246D"/>
    <w:rsid w:val="05E530D0"/>
    <w:rsid w:val="060A0D89"/>
    <w:rsid w:val="064926A5"/>
    <w:rsid w:val="06963963"/>
    <w:rsid w:val="06B14BB9"/>
    <w:rsid w:val="06C453DB"/>
    <w:rsid w:val="06DE5E9C"/>
    <w:rsid w:val="06EC66E0"/>
    <w:rsid w:val="06F7130D"/>
    <w:rsid w:val="06FC6923"/>
    <w:rsid w:val="07035F04"/>
    <w:rsid w:val="0708380B"/>
    <w:rsid w:val="07173FCA"/>
    <w:rsid w:val="071747CF"/>
    <w:rsid w:val="071C0D73"/>
    <w:rsid w:val="07226F87"/>
    <w:rsid w:val="075C12C6"/>
    <w:rsid w:val="076C048D"/>
    <w:rsid w:val="077A1F3E"/>
    <w:rsid w:val="07A80859"/>
    <w:rsid w:val="07E31891"/>
    <w:rsid w:val="08163A15"/>
    <w:rsid w:val="08191757"/>
    <w:rsid w:val="08241862"/>
    <w:rsid w:val="08422A5C"/>
    <w:rsid w:val="084367D4"/>
    <w:rsid w:val="086230FE"/>
    <w:rsid w:val="086A3D60"/>
    <w:rsid w:val="08817E0D"/>
    <w:rsid w:val="08A74FB5"/>
    <w:rsid w:val="08AE00F1"/>
    <w:rsid w:val="08CE609D"/>
    <w:rsid w:val="08E9737B"/>
    <w:rsid w:val="08F57ACE"/>
    <w:rsid w:val="08F85EFA"/>
    <w:rsid w:val="091D7025"/>
    <w:rsid w:val="092108C3"/>
    <w:rsid w:val="09502F56"/>
    <w:rsid w:val="09842C00"/>
    <w:rsid w:val="09CA2D09"/>
    <w:rsid w:val="09D742C8"/>
    <w:rsid w:val="09E518F1"/>
    <w:rsid w:val="09ED2E9B"/>
    <w:rsid w:val="0A05210C"/>
    <w:rsid w:val="0A067AB9"/>
    <w:rsid w:val="0A0A1357"/>
    <w:rsid w:val="0A391C3C"/>
    <w:rsid w:val="0A3C34DB"/>
    <w:rsid w:val="0A690DF5"/>
    <w:rsid w:val="0A6F565E"/>
    <w:rsid w:val="0A7D75E3"/>
    <w:rsid w:val="0A8168BF"/>
    <w:rsid w:val="0A845DAB"/>
    <w:rsid w:val="0A856C30"/>
    <w:rsid w:val="0A9357F1"/>
    <w:rsid w:val="0A995741"/>
    <w:rsid w:val="0A9F5EAA"/>
    <w:rsid w:val="0AAC0660"/>
    <w:rsid w:val="0AB45767"/>
    <w:rsid w:val="0ACA0AE6"/>
    <w:rsid w:val="0ADD60A7"/>
    <w:rsid w:val="0AEA2F37"/>
    <w:rsid w:val="0AFB5144"/>
    <w:rsid w:val="0AFD710E"/>
    <w:rsid w:val="0B04224A"/>
    <w:rsid w:val="0B0C10FF"/>
    <w:rsid w:val="0B12292A"/>
    <w:rsid w:val="0B137D21"/>
    <w:rsid w:val="0B153625"/>
    <w:rsid w:val="0B8158A0"/>
    <w:rsid w:val="0B922DC9"/>
    <w:rsid w:val="0BDA2FAB"/>
    <w:rsid w:val="0BE04893"/>
    <w:rsid w:val="0C41127C"/>
    <w:rsid w:val="0C420132"/>
    <w:rsid w:val="0C4F74F5"/>
    <w:rsid w:val="0C743400"/>
    <w:rsid w:val="0C7D0506"/>
    <w:rsid w:val="0C8573BB"/>
    <w:rsid w:val="0CA05FA3"/>
    <w:rsid w:val="0CB101B0"/>
    <w:rsid w:val="0CE976A5"/>
    <w:rsid w:val="0CF472D9"/>
    <w:rsid w:val="0CF85DDF"/>
    <w:rsid w:val="0D034560"/>
    <w:rsid w:val="0D0B5B12"/>
    <w:rsid w:val="0D10137A"/>
    <w:rsid w:val="0D200E92"/>
    <w:rsid w:val="0D444B80"/>
    <w:rsid w:val="0D621EF5"/>
    <w:rsid w:val="0D6671EC"/>
    <w:rsid w:val="0D957212"/>
    <w:rsid w:val="0DED6FC6"/>
    <w:rsid w:val="0DFA7935"/>
    <w:rsid w:val="0E1A30EE"/>
    <w:rsid w:val="0E3015A8"/>
    <w:rsid w:val="0E455054"/>
    <w:rsid w:val="0EB64553"/>
    <w:rsid w:val="0EF10D38"/>
    <w:rsid w:val="0EF95630"/>
    <w:rsid w:val="0F264E85"/>
    <w:rsid w:val="0F2C1D70"/>
    <w:rsid w:val="0F5F3EF3"/>
    <w:rsid w:val="0F696B20"/>
    <w:rsid w:val="0F73799F"/>
    <w:rsid w:val="0FBF2BE4"/>
    <w:rsid w:val="0FC41FA8"/>
    <w:rsid w:val="0FFC7994"/>
    <w:rsid w:val="10174821"/>
    <w:rsid w:val="101A606C"/>
    <w:rsid w:val="102B28BD"/>
    <w:rsid w:val="102D3FF1"/>
    <w:rsid w:val="103E7FAD"/>
    <w:rsid w:val="10423BF8"/>
    <w:rsid w:val="1057106E"/>
    <w:rsid w:val="10735343"/>
    <w:rsid w:val="10853E2D"/>
    <w:rsid w:val="108D31D5"/>
    <w:rsid w:val="10945E1E"/>
    <w:rsid w:val="10A96F26"/>
    <w:rsid w:val="10DE709A"/>
    <w:rsid w:val="110C1E59"/>
    <w:rsid w:val="111F725E"/>
    <w:rsid w:val="1145536B"/>
    <w:rsid w:val="115F0EF8"/>
    <w:rsid w:val="116B45C5"/>
    <w:rsid w:val="11851C0B"/>
    <w:rsid w:val="11CF5602"/>
    <w:rsid w:val="11D5049D"/>
    <w:rsid w:val="12647A72"/>
    <w:rsid w:val="12696F1F"/>
    <w:rsid w:val="128E1386"/>
    <w:rsid w:val="129B7938"/>
    <w:rsid w:val="12A06CFD"/>
    <w:rsid w:val="12AB56A1"/>
    <w:rsid w:val="12C16D2C"/>
    <w:rsid w:val="131C20FB"/>
    <w:rsid w:val="135875D7"/>
    <w:rsid w:val="13824654"/>
    <w:rsid w:val="13F6294C"/>
    <w:rsid w:val="14022767"/>
    <w:rsid w:val="14027543"/>
    <w:rsid w:val="14586BFD"/>
    <w:rsid w:val="145C4EA5"/>
    <w:rsid w:val="147D5717"/>
    <w:rsid w:val="149A59CD"/>
    <w:rsid w:val="14E57A0A"/>
    <w:rsid w:val="150712B5"/>
    <w:rsid w:val="15192D96"/>
    <w:rsid w:val="15D942D4"/>
    <w:rsid w:val="161A6DC6"/>
    <w:rsid w:val="16290DB7"/>
    <w:rsid w:val="167514DA"/>
    <w:rsid w:val="16781D3E"/>
    <w:rsid w:val="16797F90"/>
    <w:rsid w:val="167E36CC"/>
    <w:rsid w:val="16C17241"/>
    <w:rsid w:val="16D664BE"/>
    <w:rsid w:val="16D927DD"/>
    <w:rsid w:val="16F23AD3"/>
    <w:rsid w:val="170E71F1"/>
    <w:rsid w:val="1723614E"/>
    <w:rsid w:val="172A3039"/>
    <w:rsid w:val="17403B42"/>
    <w:rsid w:val="1759391E"/>
    <w:rsid w:val="178F4DDC"/>
    <w:rsid w:val="17A325BC"/>
    <w:rsid w:val="17C468EA"/>
    <w:rsid w:val="17CB248B"/>
    <w:rsid w:val="17EC02EE"/>
    <w:rsid w:val="17FB2C27"/>
    <w:rsid w:val="18095344"/>
    <w:rsid w:val="181141F9"/>
    <w:rsid w:val="185A22E8"/>
    <w:rsid w:val="185D4464"/>
    <w:rsid w:val="1876405C"/>
    <w:rsid w:val="18A40BC9"/>
    <w:rsid w:val="18A64941"/>
    <w:rsid w:val="18AB4D78"/>
    <w:rsid w:val="18C82B09"/>
    <w:rsid w:val="18D97CA7"/>
    <w:rsid w:val="18F2402A"/>
    <w:rsid w:val="19341F4D"/>
    <w:rsid w:val="195B397D"/>
    <w:rsid w:val="19C46458"/>
    <w:rsid w:val="1A061A5E"/>
    <w:rsid w:val="1A451FCE"/>
    <w:rsid w:val="1A864A2A"/>
    <w:rsid w:val="1AD50D58"/>
    <w:rsid w:val="1AED3033"/>
    <w:rsid w:val="1AF000F5"/>
    <w:rsid w:val="1B1130D7"/>
    <w:rsid w:val="1B153BFD"/>
    <w:rsid w:val="1B183D2A"/>
    <w:rsid w:val="1B3003F3"/>
    <w:rsid w:val="1BB710BE"/>
    <w:rsid w:val="1BE4455F"/>
    <w:rsid w:val="1C163B8C"/>
    <w:rsid w:val="1C1C4F1A"/>
    <w:rsid w:val="1C5446B4"/>
    <w:rsid w:val="1C5C45BA"/>
    <w:rsid w:val="1C6A3ED7"/>
    <w:rsid w:val="1CB6536F"/>
    <w:rsid w:val="1CD852E5"/>
    <w:rsid w:val="1CDF0421"/>
    <w:rsid w:val="1CF57C45"/>
    <w:rsid w:val="1D4B1F5B"/>
    <w:rsid w:val="1D5726AE"/>
    <w:rsid w:val="1D8148D9"/>
    <w:rsid w:val="1DC15D79"/>
    <w:rsid w:val="1E3D5D47"/>
    <w:rsid w:val="1E432C32"/>
    <w:rsid w:val="1E4C7CB2"/>
    <w:rsid w:val="1EA2204E"/>
    <w:rsid w:val="1EDA7A2A"/>
    <w:rsid w:val="1EE109CA"/>
    <w:rsid w:val="1EF5699B"/>
    <w:rsid w:val="1F26058A"/>
    <w:rsid w:val="1F38650F"/>
    <w:rsid w:val="1F4F514D"/>
    <w:rsid w:val="1FF53C05"/>
    <w:rsid w:val="200C65DB"/>
    <w:rsid w:val="201642F0"/>
    <w:rsid w:val="204F58BE"/>
    <w:rsid w:val="207215AC"/>
    <w:rsid w:val="20A83220"/>
    <w:rsid w:val="20B63B8F"/>
    <w:rsid w:val="20C95670"/>
    <w:rsid w:val="210E5779"/>
    <w:rsid w:val="21667363"/>
    <w:rsid w:val="21707F18"/>
    <w:rsid w:val="217C0935"/>
    <w:rsid w:val="219519F6"/>
    <w:rsid w:val="220C2220"/>
    <w:rsid w:val="221A1EFC"/>
    <w:rsid w:val="225B08E6"/>
    <w:rsid w:val="225F141B"/>
    <w:rsid w:val="22804455"/>
    <w:rsid w:val="22A7378F"/>
    <w:rsid w:val="22AC349C"/>
    <w:rsid w:val="22B61C24"/>
    <w:rsid w:val="22BE5354"/>
    <w:rsid w:val="22C03740"/>
    <w:rsid w:val="233D2346"/>
    <w:rsid w:val="235C1DCF"/>
    <w:rsid w:val="2392443F"/>
    <w:rsid w:val="23A44003"/>
    <w:rsid w:val="23E70540"/>
    <w:rsid w:val="23F32A04"/>
    <w:rsid w:val="24FE78B3"/>
    <w:rsid w:val="25207829"/>
    <w:rsid w:val="25290D20"/>
    <w:rsid w:val="252F085B"/>
    <w:rsid w:val="25897AC4"/>
    <w:rsid w:val="259C77F7"/>
    <w:rsid w:val="25A954BC"/>
    <w:rsid w:val="25BC39F6"/>
    <w:rsid w:val="25C603D0"/>
    <w:rsid w:val="25E22D30"/>
    <w:rsid w:val="26536FAC"/>
    <w:rsid w:val="26B11081"/>
    <w:rsid w:val="26FD2518"/>
    <w:rsid w:val="27315D1D"/>
    <w:rsid w:val="273D0B66"/>
    <w:rsid w:val="27637EA1"/>
    <w:rsid w:val="27846795"/>
    <w:rsid w:val="27856069"/>
    <w:rsid w:val="278A3680"/>
    <w:rsid w:val="27A97FAA"/>
    <w:rsid w:val="281541A6"/>
    <w:rsid w:val="281C4C20"/>
    <w:rsid w:val="285C6DCA"/>
    <w:rsid w:val="28893937"/>
    <w:rsid w:val="28C57065"/>
    <w:rsid w:val="28DB1740"/>
    <w:rsid w:val="290E1818"/>
    <w:rsid w:val="29187F31"/>
    <w:rsid w:val="29253660"/>
    <w:rsid w:val="29312005"/>
    <w:rsid w:val="294840A4"/>
    <w:rsid w:val="296B4951"/>
    <w:rsid w:val="297B5976"/>
    <w:rsid w:val="297D349C"/>
    <w:rsid w:val="29826D04"/>
    <w:rsid w:val="299E3412"/>
    <w:rsid w:val="29A24CB1"/>
    <w:rsid w:val="29AF561F"/>
    <w:rsid w:val="29B957A9"/>
    <w:rsid w:val="29FB2613"/>
    <w:rsid w:val="2A0239A1"/>
    <w:rsid w:val="2A375D41"/>
    <w:rsid w:val="2A385615"/>
    <w:rsid w:val="2A5A558B"/>
    <w:rsid w:val="2AA131BA"/>
    <w:rsid w:val="2AC02A72"/>
    <w:rsid w:val="2B065713"/>
    <w:rsid w:val="2B0B4AD7"/>
    <w:rsid w:val="2B24262E"/>
    <w:rsid w:val="2B597F39"/>
    <w:rsid w:val="2B5E10AB"/>
    <w:rsid w:val="2B966A97"/>
    <w:rsid w:val="2BC90C1A"/>
    <w:rsid w:val="2BC929C8"/>
    <w:rsid w:val="2BDA4BD6"/>
    <w:rsid w:val="2BF612E4"/>
    <w:rsid w:val="2C155C0E"/>
    <w:rsid w:val="2C1B0D4A"/>
    <w:rsid w:val="2C3F2C8B"/>
    <w:rsid w:val="2C5A7AC4"/>
    <w:rsid w:val="2CBF3DCB"/>
    <w:rsid w:val="2CCB2770"/>
    <w:rsid w:val="2CE848EE"/>
    <w:rsid w:val="2D152E17"/>
    <w:rsid w:val="2D1934DC"/>
    <w:rsid w:val="2D19589E"/>
    <w:rsid w:val="2D6F42EE"/>
    <w:rsid w:val="2D7E5A35"/>
    <w:rsid w:val="2DB66F7C"/>
    <w:rsid w:val="2E053A60"/>
    <w:rsid w:val="2E13617D"/>
    <w:rsid w:val="2E1B14D5"/>
    <w:rsid w:val="2E382087"/>
    <w:rsid w:val="2E5F5866"/>
    <w:rsid w:val="2ED31DB0"/>
    <w:rsid w:val="2EDA313F"/>
    <w:rsid w:val="2F056FD0"/>
    <w:rsid w:val="2F0E4B96"/>
    <w:rsid w:val="2F1C5505"/>
    <w:rsid w:val="2F483808"/>
    <w:rsid w:val="2FBD04DD"/>
    <w:rsid w:val="2FD61B58"/>
    <w:rsid w:val="2FE34275"/>
    <w:rsid w:val="2FE778C1"/>
    <w:rsid w:val="2FFF3289"/>
    <w:rsid w:val="3038636F"/>
    <w:rsid w:val="30564D6B"/>
    <w:rsid w:val="30627F5F"/>
    <w:rsid w:val="306A53E8"/>
    <w:rsid w:val="30A734F4"/>
    <w:rsid w:val="30A752A2"/>
    <w:rsid w:val="30A9101A"/>
    <w:rsid w:val="30D616E4"/>
    <w:rsid w:val="30F37044"/>
    <w:rsid w:val="31215055"/>
    <w:rsid w:val="312468F3"/>
    <w:rsid w:val="315512C4"/>
    <w:rsid w:val="31572824"/>
    <w:rsid w:val="31626121"/>
    <w:rsid w:val="31807FCD"/>
    <w:rsid w:val="31837ABD"/>
    <w:rsid w:val="318A49A8"/>
    <w:rsid w:val="31945827"/>
    <w:rsid w:val="31CC4FC0"/>
    <w:rsid w:val="31D200FD"/>
    <w:rsid w:val="31E00383"/>
    <w:rsid w:val="31E3230A"/>
    <w:rsid w:val="31EC540E"/>
    <w:rsid w:val="31EF0CAF"/>
    <w:rsid w:val="31FE7144"/>
    <w:rsid w:val="320F30FF"/>
    <w:rsid w:val="3231615E"/>
    <w:rsid w:val="323E32C5"/>
    <w:rsid w:val="32526E70"/>
    <w:rsid w:val="32562ADC"/>
    <w:rsid w:val="325F5D63"/>
    <w:rsid w:val="32624BA7"/>
    <w:rsid w:val="328A4231"/>
    <w:rsid w:val="32AF70A0"/>
    <w:rsid w:val="32B50F16"/>
    <w:rsid w:val="32B83797"/>
    <w:rsid w:val="32C739DA"/>
    <w:rsid w:val="32D300D2"/>
    <w:rsid w:val="32EB6C82"/>
    <w:rsid w:val="3342007F"/>
    <w:rsid w:val="336D4581"/>
    <w:rsid w:val="3390380D"/>
    <w:rsid w:val="33AD0E22"/>
    <w:rsid w:val="33C00B55"/>
    <w:rsid w:val="33F7209D"/>
    <w:rsid w:val="33FB7DDF"/>
    <w:rsid w:val="340824FC"/>
    <w:rsid w:val="340F388A"/>
    <w:rsid w:val="343706EB"/>
    <w:rsid w:val="343D21A6"/>
    <w:rsid w:val="343E2B0F"/>
    <w:rsid w:val="346E6803"/>
    <w:rsid w:val="34711E4F"/>
    <w:rsid w:val="34831B82"/>
    <w:rsid w:val="34893BBD"/>
    <w:rsid w:val="350902DA"/>
    <w:rsid w:val="351925B0"/>
    <w:rsid w:val="35696FCA"/>
    <w:rsid w:val="357A11D7"/>
    <w:rsid w:val="358160C2"/>
    <w:rsid w:val="35935DF5"/>
    <w:rsid w:val="35BF4E3C"/>
    <w:rsid w:val="35C16E06"/>
    <w:rsid w:val="35E825E5"/>
    <w:rsid w:val="35E93C67"/>
    <w:rsid w:val="36277B49"/>
    <w:rsid w:val="36484E32"/>
    <w:rsid w:val="36603F29"/>
    <w:rsid w:val="36625EF3"/>
    <w:rsid w:val="368C4D1E"/>
    <w:rsid w:val="36A24542"/>
    <w:rsid w:val="36C50230"/>
    <w:rsid w:val="37021484"/>
    <w:rsid w:val="37052D23"/>
    <w:rsid w:val="370B3B23"/>
    <w:rsid w:val="37182A56"/>
    <w:rsid w:val="37531CE0"/>
    <w:rsid w:val="375F0685"/>
    <w:rsid w:val="376B0DD8"/>
    <w:rsid w:val="37C14E9C"/>
    <w:rsid w:val="37CA42ED"/>
    <w:rsid w:val="37ED3EE3"/>
    <w:rsid w:val="3801798E"/>
    <w:rsid w:val="38082ACA"/>
    <w:rsid w:val="38327B47"/>
    <w:rsid w:val="38454CBB"/>
    <w:rsid w:val="38832151"/>
    <w:rsid w:val="38952A77"/>
    <w:rsid w:val="38A071A7"/>
    <w:rsid w:val="38B62526"/>
    <w:rsid w:val="38BE7936"/>
    <w:rsid w:val="38CA4224"/>
    <w:rsid w:val="38D429AD"/>
    <w:rsid w:val="3905525C"/>
    <w:rsid w:val="392576AC"/>
    <w:rsid w:val="392822D8"/>
    <w:rsid w:val="3929719C"/>
    <w:rsid w:val="39322A9F"/>
    <w:rsid w:val="39353716"/>
    <w:rsid w:val="39700927"/>
    <w:rsid w:val="397321C6"/>
    <w:rsid w:val="398919E9"/>
    <w:rsid w:val="398E0DAD"/>
    <w:rsid w:val="39930ABA"/>
    <w:rsid w:val="39A9208B"/>
    <w:rsid w:val="39AE3C21"/>
    <w:rsid w:val="39BF18AF"/>
    <w:rsid w:val="39C742BF"/>
    <w:rsid w:val="39C92140"/>
    <w:rsid w:val="39E6508D"/>
    <w:rsid w:val="39F90DFC"/>
    <w:rsid w:val="39FF17F6"/>
    <w:rsid w:val="3A3000B7"/>
    <w:rsid w:val="3A347BA7"/>
    <w:rsid w:val="3A647D60"/>
    <w:rsid w:val="3A9C74FA"/>
    <w:rsid w:val="3AB536D0"/>
    <w:rsid w:val="3AEB40DA"/>
    <w:rsid w:val="3AFD61EB"/>
    <w:rsid w:val="3B9528C7"/>
    <w:rsid w:val="3BA27253"/>
    <w:rsid w:val="3BC30375"/>
    <w:rsid w:val="3BC60D48"/>
    <w:rsid w:val="3BDA652C"/>
    <w:rsid w:val="3BF70E8C"/>
    <w:rsid w:val="3C340332"/>
    <w:rsid w:val="3C4936B2"/>
    <w:rsid w:val="3C6F3118"/>
    <w:rsid w:val="3CA408E8"/>
    <w:rsid w:val="3CB72D11"/>
    <w:rsid w:val="3CB74ABF"/>
    <w:rsid w:val="3CFD4BC8"/>
    <w:rsid w:val="3D1D2B74"/>
    <w:rsid w:val="3D1E68EC"/>
    <w:rsid w:val="3D3B124C"/>
    <w:rsid w:val="3D44685E"/>
    <w:rsid w:val="3D7C0522"/>
    <w:rsid w:val="3D891FB8"/>
    <w:rsid w:val="3D98044D"/>
    <w:rsid w:val="3DDC47DD"/>
    <w:rsid w:val="3DF77869"/>
    <w:rsid w:val="3E09759C"/>
    <w:rsid w:val="3E0C4997"/>
    <w:rsid w:val="3E1E76F1"/>
    <w:rsid w:val="3E29379B"/>
    <w:rsid w:val="3E502CC5"/>
    <w:rsid w:val="3E846C23"/>
    <w:rsid w:val="3EBA2645"/>
    <w:rsid w:val="3EC534C3"/>
    <w:rsid w:val="3ED01E68"/>
    <w:rsid w:val="3EE23115"/>
    <w:rsid w:val="3EF20030"/>
    <w:rsid w:val="3EF9316D"/>
    <w:rsid w:val="3EFE0783"/>
    <w:rsid w:val="3F346B36"/>
    <w:rsid w:val="3F51213F"/>
    <w:rsid w:val="3F593C0C"/>
    <w:rsid w:val="3F676329"/>
    <w:rsid w:val="3F7B0026"/>
    <w:rsid w:val="3F892743"/>
    <w:rsid w:val="3FC279E4"/>
    <w:rsid w:val="3FDB0AC5"/>
    <w:rsid w:val="3FF37BBC"/>
    <w:rsid w:val="40061FE5"/>
    <w:rsid w:val="40300E10"/>
    <w:rsid w:val="40477F08"/>
    <w:rsid w:val="4089407A"/>
    <w:rsid w:val="408A49C4"/>
    <w:rsid w:val="40B530C4"/>
    <w:rsid w:val="40C31C84"/>
    <w:rsid w:val="40E04FC5"/>
    <w:rsid w:val="40FE2CBD"/>
    <w:rsid w:val="418C651A"/>
    <w:rsid w:val="4191768D"/>
    <w:rsid w:val="41950E19"/>
    <w:rsid w:val="41B24A2D"/>
    <w:rsid w:val="41D67795"/>
    <w:rsid w:val="41EA4FEF"/>
    <w:rsid w:val="41EB464F"/>
    <w:rsid w:val="41F20B34"/>
    <w:rsid w:val="423876C9"/>
    <w:rsid w:val="426052B1"/>
    <w:rsid w:val="426B113B"/>
    <w:rsid w:val="426B25D4"/>
    <w:rsid w:val="426D1FB4"/>
    <w:rsid w:val="42DE2DA6"/>
    <w:rsid w:val="42FA74B4"/>
    <w:rsid w:val="43151261"/>
    <w:rsid w:val="433375CA"/>
    <w:rsid w:val="433F2B10"/>
    <w:rsid w:val="43851473"/>
    <w:rsid w:val="43DE7E87"/>
    <w:rsid w:val="43E53CC0"/>
    <w:rsid w:val="43E91A02"/>
    <w:rsid w:val="43EA39CC"/>
    <w:rsid w:val="43EE7018"/>
    <w:rsid w:val="442962A2"/>
    <w:rsid w:val="44511355"/>
    <w:rsid w:val="44A1408B"/>
    <w:rsid w:val="44B06ACD"/>
    <w:rsid w:val="44B33DBE"/>
    <w:rsid w:val="451C5E07"/>
    <w:rsid w:val="45275CE0"/>
    <w:rsid w:val="453B44DF"/>
    <w:rsid w:val="4561381A"/>
    <w:rsid w:val="457E7663"/>
    <w:rsid w:val="45943BEF"/>
    <w:rsid w:val="45AA3413"/>
    <w:rsid w:val="45B24076"/>
    <w:rsid w:val="45C500E2"/>
    <w:rsid w:val="45CC5137"/>
    <w:rsid w:val="45CF070A"/>
    <w:rsid w:val="45CF1E40"/>
    <w:rsid w:val="46004DE1"/>
    <w:rsid w:val="46236D21"/>
    <w:rsid w:val="463A3DF9"/>
    <w:rsid w:val="4665733A"/>
    <w:rsid w:val="467416DE"/>
    <w:rsid w:val="46DA7D28"/>
    <w:rsid w:val="46F50C07"/>
    <w:rsid w:val="471B226F"/>
    <w:rsid w:val="473236C0"/>
    <w:rsid w:val="47431429"/>
    <w:rsid w:val="47483D29"/>
    <w:rsid w:val="47795932"/>
    <w:rsid w:val="478C7274"/>
    <w:rsid w:val="47B16CDB"/>
    <w:rsid w:val="47DB480D"/>
    <w:rsid w:val="48036E0A"/>
    <w:rsid w:val="480C5CBF"/>
    <w:rsid w:val="48286976"/>
    <w:rsid w:val="48343468"/>
    <w:rsid w:val="486E0837"/>
    <w:rsid w:val="4871646A"/>
    <w:rsid w:val="487A3290"/>
    <w:rsid w:val="487F2935"/>
    <w:rsid w:val="48822FF5"/>
    <w:rsid w:val="48D72771"/>
    <w:rsid w:val="48EC7FE3"/>
    <w:rsid w:val="48F21359"/>
    <w:rsid w:val="491C63D6"/>
    <w:rsid w:val="49320819"/>
    <w:rsid w:val="49437E06"/>
    <w:rsid w:val="49494CF1"/>
    <w:rsid w:val="496672F0"/>
    <w:rsid w:val="4967185E"/>
    <w:rsid w:val="49BA174B"/>
    <w:rsid w:val="49CD147E"/>
    <w:rsid w:val="49E54A1A"/>
    <w:rsid w:val="49F20EE5"/>
    <w:rsid w:val="4A031344"/>
    <w:rsid w:val="4A084BAC"/>
    <w:rsid w:val="4A314103"/>
    <w:rsid w:val="4A510301"/>
    <w:rsid w:val="4A54461F"/>
    <w:rsid w:val="4A9326C8"/>
    <w:rsid w:val="4AB8212E"/>
    <w:rsid w:val="4ABD14F2"/>
    <w:rsid w:val="4ABD7744"/>
    <w:rsid w:val="4B467AB2"/>
    <w:rsid w:val="4BBE19C6"/>
    <w:rsid w:val="4C3457E4"/>
    <w:rsid w:val="4C453E95"/>
    <w:rsid w:val="4C482292"/>
    <w:rsid w:val="4C4A325A"/>
    <w:rsid w:val="4C561BFF"/>
    <w:rsid w:val="4CAF5D07"/>
    <w:rsid w:val="4CBB5F06"/>
    <w:rsid w:val="4CC36B68"/>
    <w:rsid w:val="4CCD7BE2"/>
    <w:rsid w:val="4CD531A2"/>
    <w:rsid w:val="4D19612B"/>
    <w:rsid w:val="4D20220D"/>
    <w:rsid w:val="4D2770F7"/>
    <w:rsid w:val="4D355CB8"/>
    <w:rsid w:val="4D404FE1"/>
    <w:rsid w:val="4D92310A"/>
    <w:rsid w:val="4D987FF5"/>
    <w:rsid w:val="4D9C5D37"/>
    <w:rsid w:val="4DD454D1"/>
    <w:rsid w:val="4DDF0E6A"/>
    <w:rsid w:val="4DF416CF"/>
    <w:rsid w:val="4E281379"/>
    <w:rsid w:val="4E775E5C"/>
    <w:rsid w:val="4EAC3D58"/>
    <w:rsid w:val="4EB33338"/>
    <w:rsid w:val="4EBC1B2C"/>
    <w:rsid w:val="4EC37599"/>
    <w:rsid w:val="4ED60DD5"/>
    <w:rsid w:val="4F1418FD"/>
    <w:rsid w:val="4F47498D"/>
    <w:rsid w:val="4F5B752C"/>
    <w:rsid w:val="4F905428"/>
    <w:rsid w:val="4F960564"/>
    <w:rsid w:val="4FE86D55"/>
    <w:rsid w:val="4FEB4542"/>
    <w:rsid w:val="4FF0236A"/>
    <w:rsid w:val="5015592D"/>
    <w:rsid w:val="502A587C"/>
    <w:rsid w:val="502E69EF"/>
    <w:rsid w:val="50361F93"/>
    <w:rsid w:val="503B5167"/>
    <w:rsid w:val="507F6B27"/>
    <w:rsid w:val="50AF0082"/>
    <w:rsid w:val="50B43398"/>
    <w:rsid w:val="50BF0A14"/>
    <w:rsid w:val="50D457E8"/>
    <w:rsid w:val="512509BB"/>
    <w:rsid w:val="51254295"/>
    <w:rsid w:val="5139564B"/>
    <w:rsid w:val="51450494"/>
    <w:rsid w:val="51493AE0"/>
    <w:rsid w:val="519705BD"/>
    <w:rsid w:val="51C27D36"/>
    <w:rsid w:val="51F468A8"/>
    <w:rsid w:val="523D116B"/>
    <w:rsid w:val="523E01F5"/>
    <w:rsid w:val="525E3535"/>
    <w:rsid w:val="526030BB"/>
    <w:rsid w:val="52827872"/>
    <w:rsid w:val="52A623E6"/>
    <w:rsid w:val="52B008E6"/>
    <w:rsid w:val="52F201A7"/>
    <w:rsid w:val="52FB52AE"/>
    <w:rsid w:val="538F3C48"/>
    <w:rsid w:val="53CE29C2"/>
    <w:rsid w:val="53D8739D"/>
    <w:rsid w:val="53DA3115"/>
    <w:rsid w:val="53DD09E5"/>
    <w:rsid w:val="53F1045F"/>
    <w:rsid w:val="53F954C6"/>
    <w:rsid w:val="543071D9"/>
    <w:rsid w:val="546458CD"/>
    <w:rsid w:val="548A25BF"/>
    <w:rsid w:val="54994D7E"/>
    <w:rsid w:val="549A14D7"/>
    <w:rsid w:val="54BF230B"/>
    <w:rsid w:val="54D1276A"/>
    <w:rsid w:val="54D67D81"/>
    <w:rsid w:val="551B4BD7"/>
    <w:rsid w:val="55436A98"/>
    <w:rsid w:val="554D618D"/>
    <w:rsid w:val="555F76C3"/>
    <w:rsid w:val="55654BF2"/>
    <w:rsid w:val="557355CF"/>
    <w:rsid w:val="55935C72"/>
    <w:rsid w:val="55A41C2D"/>
    <w:rsid w:val="55CC2F32"/>
    <w:rsid w:val="55D371FF"/>
    <w:rsid w:val="55E53FF3"/>
    <w:rsid w:val="55EA01B6"/>
    <w:rsid w:val="55EB160A"/>
    <w:rsid w:val="560E23AE"/>
    <w:rsid w:val="56350AD7"/>
    <w:rsid w:val="56372AA1"/>
    <w:rsid w:val="56A95021"/>
    <w:rsid w:val="56AB0D99"/>
    <w:rsid w:val="56D55E16"/>
    <w:rsid w:val="56FC7131"/>
    <w:rsid w:val="574216FD"/>
    <w:rsid w:val="575925A3"/>
    <w:rsid w:val="57676637"/>
    <w:rsid w:val="577C4060"/>
    <w:rsid w:val="578E4942"/>
    <w:rsid w:val="57925AB5"/>
    <w:rsid w:val="57BD5228"/>
    <w:rsid w:val="57D305A7"/>
    <w:rsid w:val="57FA1FD8"/>
    <w:rsid w:val="58000923"/>
    <w:rsid w:val="580A0AED"/>
    <w:rsid w:val="58130B7B"/>
    <w:rsid w:val="583F3E8F"/>
    <w:rsid w:val="58533496"/>
    <w:rsid w:val="58535244"/>
    <w:rsid w:val="587358E6"/>
    <w:rsid w:val="58796EF8"/>
    <w:rsid w:val="58937D37"/>
    <w:rsid w:val="58990C3A"/>
    <w:rsid w:val="58EC5BDB"/>
    <w:rsid w:val="58F96192"/>
    <w:rsid w:val="58FA6008"/>
    <w:rsid w:val="58FC5F1C"/>
    <w:rsid w:val="58FF717A"/>
    <w:rsid w:val="59232E69"/>
    <w:rsid w:val="59246BE1"/>
    <w:rsid w:val="593F75D9"/>
    <w:rsid w:val="596516D3"/>
    <w:rsid w:val="59BD0686"/>
    <w:rsid w:val="59E44CEE"/>
    <w:rsid w:val="5A3D61AC"/>
    <w:rsid w:val="5A3E3CD2"/>
    <w:rsid w:val="5A405C9C"/>
    <w:rsid w:val="5A525C7E"/>
    <w:rsid w:val="5A577137"/>
    <w:rsid w:val="5A625C12"/>
    <w:rsid w:val="5A865020"/>
    <w:rsid w:val="5A93401E"/>
    <w:rsid w:val="5A9A3049"/>
    <w:rsid w:val="5AB346C0"/>
    <w:rsid w:val="5ABA3F0F"/>
    <w:rsid w:val="5ABE2B3D"/>
    <w:rsid w:val="5AF50835"/>
    <w:rsid w:val="5B3A26EB"/>
    <w:rsid w:val="5B503CBD"/>
    <w:rsid w:val="5B6836FC"/>
    <w:rsid w:val="5B6D486F"/>
    <w:rsid w:val="5B721E85"/>
    <w:rsid w:val="5B8816A9"/>
    <w:rsid w:val="5B8E76D9"/>
    <w:rsid w:val="5B9718EC"/>
    <w:rsid w:val="5B9C5154"/>
    <w:rsid w:val="5C014FB9"/>
    <w:rsid w:val="5C1178F0"/>
    <w:rsid w:val="5C1A0927"/>
    <w:rsid w:val="5C207B33"/>
    <w:rsid w:val="5C7659A5"/>
    <w:rsid w:val="5C966047"/>
    <w:rsid w:val="5CAB38A1"/>
    <w:rsid w:val="5CB74E5B"/>
    <w:rsid w:val="5CB81EFA"/>
    <w:rsid w:val="5CBC3D00"/>
    <w:rsid w:val="5CC826A5"/>
    <w:rsid w:val="5D1C479E"/>
    <w:rsid w:val="5DBF1BFB"/>
    <w:rsid w:val="5DD00333"/>
    <w:rsid w:val="5DF50B4C"/>
    <w:rsid w:val="5E0F1C0D"/>
    <w:rsid w:val="5E826883"/>
    <w:rsid w:val="5E8343A9"/>
    <w:rsid w:val="5E897C12"/>
    <w:rsid w:val="5E9D546B"/>
    <w:rsid w:val="5ECE3D77"/>
    <w:rsid w:val="5EDE112F"/>
    <w:rsid w:val="5F0C518E"/>
    <w:rsid w:val="5F30008D"/>
    <w:rsid w:val="5F427DC1"/>
    <w:rsid w:val="5FD838E2"/>
    <w:rsid w:val="5FE01AB3"/>
    <w:rsid w:val="60234096"/>
    <w:rsid w:val="603C0CB4"/>
    <w:rsid w:val="60563970"/>
    <w:rsid w:val="60767200"/>
    <w:rsid w:val="609D1752"/>
    <w:rsid w:val="60A30D33"/>
    <w:rsid w:val="60BD3BA3"/>
    <w:rsid w:val="60BE1AFF"/>
    <w:rsid w:val="60DA0BF8"/>
    <w:rsid w:val="60DF4DDA"/>
    <w:rsid w:val="60EA0710"/>
    <w:rsid w:val="61204131"/>
    <w:rsid w:val="612A47CD"/>
    <w:rsid w:val="612B3202"/>
    <w:rsid w:val="61343A90"/>
    <w:rsid w:val="61A51FCC"/>
    <w:rsid w:val="61EB473F"/>
    <w:rsid w:val="61F950AE"/>
    <w:rsid w:val="62365F45"/>
    <w:rsid w:val="623E1313"/>
    <w:rsid w:val="62570CF6"/>
    <w:rsid w:val="625C73EB"/>
    <w:rsid w:val="62970423"/>
    <w:rsid w:val="62D921B3"/>
    <w:rsid w:val="630141D6"/>
    <w:rsid w:val="632C5010"/>
    <w:rsid w:val="63400ABB"/>
    <w:rsid w:val="6384309D"/>
    <w:rsid w:val="63876148"/>
    <w:rsid w:val="63A31776"/>
    <w:rsid w:val="63B55005"/>
    <w:rsid w:val="63CB772D"/>
    <w:rsid w:val="63E63410"/>
    <w:rsid w:val="6404264E"/>
    <w:rsid w:val="642A5B55"/>
    <w:rsid w:val="645A5BAC"/>
    <w:rsid w:val="6472739A"/>
    <w:rsid w:val="65000533"/>
    <w:rsid w:val="6502427A"/>
    <w:rsid w:val="651A5A67"/>
    <w:rsid w:val="65335407"/>
    <w:rsid w:val="6569254B"/>
    <w:rsid w:val="65C47781"/>
    <w:rsid w:val="65D200F0"/>
    <w:rsid w:val="65D737B6"/>
    <w:rsid w:val="66263F98"/>
    <w:rsid w:val="6628108A"/>
    <w:rsid w:val="663A5C95"/>
    <w:rsid w:val="666B5E4F"/>
    <w:rsid w:val="66D02156"/>
    <w:rsid w:val="66D41C46"/>
    <w:rsid w:val="66DB4D83"/>
    <w:rsid w:val="671B3F06"/>
    <w:rsid w:val="6796514D"/>
    <w:rsid w:val="67B0620F"/>
    <w:rsid w:val="67C93A06"/>
    <w:rsid w:val="67E759A9"/>
    <w:rsid w:val="67ED7463"/>
    <w:rsid w:val="67FC6E3C"/>
    <w:rsid w:val="68077DF9"/>
    <w:rsid w:val="681C1AF7"/>
    <w:rsid w:val="68273FF7"/>
    <w:rsid w:val="6844104D"/>
    <w:rsid w:val="68517738"/>
    <w:rsid w:val="68631724"/>
    <w:rsid w:val="686A0AB4"/>
    <w:rsid w:val="68882CE8"/>
    <w:rsid w:val="6899527E"/>
    <w:rsid w:val="689E69AF"/>
    <w:rsid w:val="68C06926"/>
    <w:rsid w:val="68DE78AF"/>
    <w:rsid w:val="6931512E"/>
    <w:rsid w:val="69617F7B"/>
    <w:rsid w:val="69653029"/>
    <w:rsid w:val="696848C8"/>
    <w:rsid w:val="69765236"/>
    <w:rsid w:val="69B33D95"/>
    <w:rsid w:val="69D72179"/>
    <w:rsid w:val="69D81A4D"/>
    <w:rsid w:val="6A1D6A55"/>
    <w:rsid w:val="6A366AD7"/>
    <w:rsid w:val="6A484E25"/>
    <w:rsid w:val="6A4946F9"/>
    <w:rsid w:val="6A9516EC"/>
    <w:rsid w:val="6A9A4F55"/>
    <w:rsid w:val="6AB52A37"/>
    <w:rsid w:val="6AC344AB"/>
    <w:rsid w:val="6AE10DD5"/>
    <w:rsid w:val="6AE26C5E"/>
    <w:rsid w:val="6B286A04"/>
    <w:rsid w:val="6B2B0947"/>
    <w:rsid w:val="6B841E8D"/>
    <w:rsid w:val="6BA047ED"/>
    <w:rsid w:val="6C150D37"/>
    <w:rsid w:val="6C403CB0"/>
    <w:rsid w:val="6C515AE7"/>
    <w:rsid w:val="6C6E6699"/>
    <w:rsid w:val="6CBC7404"/>
    <w:rsid w:val="6D2D3E5E"/>
    <w:rsid w:val="6D5B4E6F"/>
    <w:rsid w:val="6D887D47"/>
    <w:rsid w:val="6D8F3E9A"/>
    <w:rsid w:val="6D927096"/>
    <w:rsid w:val="6D97577B"/>
    <w:rsid w:val="6D991EC2"/>
    <w:rsid w:val="6DAC7479"/>
    <w:rsid w:val="6DB35745"/>
    <w:rsid w:val="6DFB21AE"/>
    <w:rsid w:val="6E445903"/>
    <w:rsid w:val="6E5024FA"/>
    <w:rsid w:val="6E70212E"/>
    <w:rsid w:val="6E8F6BA7"/>
    <w:rsid w:val="6EBD1212"/>
    <w:rsid w:val="6EE61DAE"/>
    <w:rsid w:val="6EF74724"/>
    <w:rsid w:val="6F327E52"/>
    <w:rsid w:val="6F45589F"/>
    <w:rsid w:val="6F5E29F5"/>
    <w:rsid w:val="6F7C2E7B"/>
    <w:rsid w:val="6FB37F46"/>
    <w:rsid w:val="6FC244BD"/>
    <w:rsid w:val="6FDD7DBD"/>
    <w:rsid w:val="6FE70C3C"/>
    <w:rsid w:val="7036571F"/>
    <w:rsid w:val="70390D6C"/>
    <w:rsid w:val="706D59C3"/>
    <w:rsid w:val="70746C75"/>
    <w:rsid w:val="70E45BB9"/>
    <w:rsid w:val="712F289B"/>
    <w:rsid w:val="716A7A1B"/>
    <w:rsid w:val="71D53A39"/>
    <w:rsid w:val="71D7083C"/>
    <w:rsid w:val="71F94C57"/>
    <w:rsid w:val="7238752D"/>
    <w:rsid w:val="72477770"/>
    <w:rsid w:val="72671421"/>
    <w:rsid w:val="726A7902"/>
    <w:rsid w:val="72AE3C93"/>
    <w:rsid w:val="72BD3ED6"/>
    <w:rsid w:val="72D37256"/>
    <w:rsid w:val="72D72F0A"/>
    <w:rsid w:val="72DA4A88"/>
    <w:rsid w:val="73423FB5"/>
    <w:rsid w:val="73700F48"/>
    <w:rsid w:val="73813156"/>
    <w:rsid w:val="738D38A8"/>
    <w:rsid w:val="73AE635E"/>
    <w:rsid w:val="73C80D84"/>
    <w:rsid w:val="73D17C39"/>
    <w:rsid w:val="73DC038C"/>
    <w:rsid w:val="73ED0138"/>
    <w:rsid w:val="73FA2AB3"/>
    <w:rsid w:val="740022CC"/>
    <w:rsid w:val="743B3304"/>
    <w:rsid w:val="74485A21"/>
    <w:rsid w:val="7451744A"/>
    <w:rsid w:val="745B7503"/>
    <w:rsid w:val="749E5641"/>
    <w:rsid w:val="74C03F77"/>
    <w:rsid w:val="74C23A26"/>
    <w:rsid w:val="74D15A17"/>
    <w:rsid w:val="74DD616A"/>
    <w:rsid w:val="74FC0CE6"/>
    <w:rsid w:val="75315FF6"/>
    <w:rsid w:val="755328D0"/>
    <w:rsid w:val="75640639"/>
    <w:rsid w:val="759016AD"/>
    <w:rsid w:val="7598230E"/>
    <w:rsid w:val="75D02172"/>
    <w:rsid w:val="76426BCC"/>
    <w:rsid w:val="766034F6"/>
    <w:rsid w:val="76984A3E"/>
    <w:rsid w:val="76A96C4B"/>
    <w:rsid w:val="76AB6DEC"/>
    <w:rsid w:val="76AC673B"/>
    <w:rsid w:val="76B6211F"/>
    <w:rsid w:val="76D10E1C"/>
    <w:rsid w:val="76F767F1"/>
    <w:rsid w:val="77040325"/>
    <w:rsid w:val="770420D4"/>
    <w:rsid w:val="770B595E"/>
    <w:rsid w:val="77204A34"/>
    <w:rsid w:val="77381D7D"/>
    <w:rsid w:val="77514BED"/>
    <w:rsid w:val="776006C9"/>
    <w:rsid w:val="77822FF8"/>
    <w:rsid w:val="77CE4490"/>
    <w:rsid w:val="77D01FB6"/>
    <w:rsid w:val="77D05B96"/>
    <w:rsid w:val="77EF68E0"/>
    <w:rsid w:val="78165C1C"/>
    <w:rsid w:val="781D15D5"/>
    <w:rsid w:val="78271FB1"/>
    <w:rsid w:val="782A7918"/>
    <w:rsid w:val="7856695F"/>
    <w:rsid w:val="788A03B6"/>
    <w:rsid w:val="788D497F"/>
    <w:rsid w:val="788F00C3"/>
    <w:rsid w:val="78DF4BA6"/>
    <w:rsid w:val="78E73A5B"/>
    <w:rsid w:val="790E7239"/>
    <w:rsid w:val="793842B6"/>
    <w:rsid w:val="793D0405"/>
    <w:rsid w:val="7940316B"/>
    <w:rsid w:val="79457F9D"/>
    <w:rsid w:val="794744F9"/>
    <w:rsid w:val="795F5CE7"/>
    <w:rsid w:val="797F0DAB"/>
    <w:rsid w:val="798A41B9"/>
    <w:rsid w:val="79921895"/>
    <w:rsid w:val="799A287B"/>
    <w:rsid w:val="799E4D98"/>
    <w:rsid w:val="79AB4A88"/>
    <w:rsid w:val="79B7342D"/>
    <w:rsid w:val="79C66549"/>
    <w:rsid w:val="79DA536E"/>
    <w:rsid w:val="7A0E1B21"/>
    <w:rsid w:val="7A230AC3"/>
    <w:rsid w:val="7A301431"/>
    <w:rsid w:val="7A85177D"/>
    <w:rsid w:val="7AA03EC1"/>
    <w:rsid w:val="7ABE07EB"/>
    <w:rsid w:val="7ABF6FEF"/>
    <w:rsid w:val="7AD63D87"/>
    <w:rsid w:val="7B095F0A"/>
    <w:rsid w:val="7B252618"/>
    <w:rsid w:val="7B38234C"/>
    <w:rsid w:val="7B656EB9"/>
    <w:rsid w:val="7B7D1600"/>
    <w:rsid w:val="7B8B4B71"/>
    <w:rsid w:val="7B8C6B3B"/>
    <w:rsid w:val="7B963516"/>
    <w:rsid w:val="7B9A4DB4"/>
    <w:rsid w:val="7BEC1388"/>
    <w:rsid w:val="7C0B180E"/>
    <w:rsid w:val="7C3074C7"/>
    <w:rsid w:val="7C321491"/>
    <w:rsid w:val="7C457115"/>
    <w:rsid w:val="7C7A6994"/>
    <w:rsid w:val="7C815F74"/>
    <w:rsid w:val="7CB41EA6"/>
    <w:rsid w:val="7CBC0D5A"/>
    <w:rsid w:val="7CC134AA"/>
    <w:rsid w:val="7D006E99"/>
    <w:rsid w:val="7D034BDB"/>
    <w:rsid w:val="7D3D633F"/>
    <w:rsid w:val="7D7634EC"/>
    <w:rsid w:val="7DFC0350"/>
    <w:rsid w:val="7DFC3B04"/>
    <w:rsid w:val="7E357016"/>
    <w:rsid w:val="7E8E49B7"/>
    <w:rsid w:val="7E9D436B"/>
    <w:rsid w:val="7EB4618D"/>
    <w:rsid w:val="7EB937A4"/>
    <w:rsid w:val="7ECF2FC7"/>
    <w:rsid w:val="7EED5B43"/>
    <w:rsid w:val="7F3B065C"/>
    <w:rsid w:val="7F3B240A"/>
    <w:rsid w:val="7FA53D28"/>
    <w:rsid w:val="7FBD72C3"/>
    <w:rsid w:val="7FC91559"/>
    <w:rsid w:val="7FCC0F03"/>
    <w:rsid w:val="7FD5285F"/>
    <w:rsid w:val="7FE67F7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iPriority="99"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qFormat/>
    <w:uiPriority w:val="0"/>
    <w:pPr>
      <w:keepNext/>
      <w:tabs>
        <w:tab w:val="left" w:pos="3360"/>
      </w:tabs>
      <w:snapToGrid w:val="0"/>
      <w:spacing w:beforeLines="100" w:afterLines="50" w:line="800" w:lineRule="atLeast"/>
      <w:jc w:val="center"/>
      <w:outlineLvl w:val="0"/>
    </w:pPr>
    <w:rPr>
      <w:rFonts w:eastAsia="黑体"/>
      <w:sz w:val="44"/>
    </w:rPr>
  </w:style>
  <w:style w:type="paragraph" w:styleId="3">
    <w:name w:val="heading 2"/>
    <w:basedOn w:val="1"/>
    <w:next w:val="1"/>
    <w:qFormat/>
    <w:uiPriority w:val="0"/>
    <w:pPr>
      <w:keepNext/>
      <w:keepLines/>
      <w:adjustRightInd w:val="0"/>
      <w:snapToGrid w:val="0"/>
      <w:spacing w:line="360" w:lineRule="auto"/>
      <w:outlineLvl w:val="1"/>
    </w:pPr>
  </w:style>
  <w:style w:type="paragraph" w:styleId="4">
    <w:name w:val="heading 3"/>
    <w:basedOn w:val="1"/>
    <w:next w:val="1"/>
    <w:qFormat/>
    <w:uiPriority w:val="0"/>
    <w:pPr>
      <w:keepNext/>
      <w:keepLines/>
      <w:spacing w:before="260" w:after="260" w:line="413" w:lineRule="auto"/>
      <w:jc w:val="center"/>
      <w:outlineLvl w:val="2"/>
    </w:pPr>
    <w:rPr>
      <w:b/>
      <w:sz w:val="44"/>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qFormat/>
    <w:uiPriority w:val="0"/>
    <w:pPr>
      <w:adjustRightInd w:val="0"/>
      <w:snapToGrid w:val="0"/>
      <w:spacing w:line="360" w:lineRule="auto"/>
      <w:ind w:firstLine="420"/>
    </w:pPr>
  </w:style>
  <w:style w:type="paragraph" w:styleId="6">
    <w:name w:val="annotation text"/>
    <w:basedOn w:val="1"/>
    <w:link w:val="38"/>
    <w:qFormat/>
    <w:uiPriority w:val="0"/>
    <w:pPr>
      <w:tabs>
        <w:tab w:val="left" w:pos="1134"/>
      </w:tabs>
      <w:adjustRightInd w:val="0"/>
      <w:snapToGrid w:val="0"/>
      <w:spacing w:line="280" w:lineRule="atLeast"/>
    </w:pPr>
    <w:rPr>
      <w:rFonts w:ascii="Times New Roman" w:hAnsi="Times New Roman" w:eastAsia="PMingLiU" w:cs="Times New Roman"/>
      <w:szCs w:val="20"/>
      <w:lang w:eastAsia="zh-TW"/>
    </w:rPr>
  </w:style>
  <w:style w:type="paragraph" w:styleId="7">
    <w:name w:val="Body Text"/>
    <w:basedOn w:val="1"/>
    <w:next w:val="1"/>
    <w:qFormat/>
    <w:uiPriority w:val="0"/>
    <w:rPr>
      <w:rFonts w:ascii="仿宋_GB2312" w:eastAsia="仿宋_GB2312"/>
      <w:sz w:val="32"/>
    </w:rPr>
  </w:style>
  <w:style w:type="paragraph" w:styleId="8">
    <w:name w:val="Body Text Indent"/>
    <w:basedOn w:val="1"/>
    <w:next w:val="7"/>
    <w:qFormat/>
    <w:uiPriority w:val="0"/>
    <w:pPr>
      <w:spacing w:line="700" w:lineRule="exact"/>
      <w:ind w:left="960"/>
    </w:pPr>
    <w:rPr>
      <w:sz w:val="44"/>
    </w:rPr>
  </w:style>
  <w:style w:type="paragraph" w:styleId="9">
    <w:name w:val="index 4"/>
    <w:basedOn w:val="1"/>
    <w:next w:val="1"/>
    <w:unhideWhenUsed/>
    <w:qFormat/>
    <w:uiPriority w:val="99"/>
    <w:pPr>
      <w:ind w:left="600" w:leftChars="600"/>
    </w:pPr>
  </w:style>
  <w:style w:type="paragraph" w:styleId="10">
    <w:name w:val="Plain Text"/>
    <w:basedOn w:val="1"/>
    <w:qFormat/>
    <w:uiPriority w:val="0"/>
    <w:pPr>
      <w:adjustRightInd w:val="0"/>
      <w:snapToGrid w:val="0"/>
      <w:spacing w:line="360" w:lineRule="auto"/>
    </w:pPr>
    <w:rPr>
      <w:rFonts w:hAnsi="Courier New"/>
    </w:rPr>
  </w:style>
  <w:style w:type="paragraph" w:styleId="11">
    <w:name w:val="Date"/>
    <w:basedOn w:val="1"/>
    <w:next w:val="1"/>
    <w:qFormat/>
    <w:uiPriority w:val="0"/>
  </w:style>
  <w:style w:type="paragraph" w:styleId="12">
    <w:name w:val="Body Text Indent 2"/>
    <w:basedOn w:val="1"/>
    <w:qFormat/>
    <w:uiPriority w:val="0"/>
    <w:pPr>
      <w:snapToGrid w:val="0"/>
      <w:spacing w:line="560" w:lineRule="atLeast"/>
      <w:ind w:firstLine="540"/>
    </w:pPr>
  </w:style>
  <w:style w:type="paragraph" w:styleId="13">
    <w:name w:val="Balloon Text"/>
    <w:basedOn w:val="1"/>
    <w:link w:val="32"/>
    <w:semiHidden/>
    <w:unhideWhenUsed/>
    <w:qFormat/>
    <w:uiPriority w:val="99"/>
    <w:rPr>
      <w:sz w:val="18"/>
      <w:szCs w:val="18"/>
    </w:rPr>
  </w:style>
  <w:style w:type="paragraph" w:styleId="14">
    <w:name w:val="footer"/>
    <w:basedOn w:val="1"/>
    <w:link w:val="28"/>
    <w:semiHidden/>
    <w:unhideWhenUsed/>
    <w:qFormat/>
    <w:uiPriority w:val="99"/>
    <w:pPr>
      <w:tabs>
        <w:tab w:val="center" w:pos="4153"/>
        <w:tab w:val="right" w:pos="8306"/>
      </w:tabs>
      <w:snapToGrid w:val="0"/>
    </w:pPr>
    <w:rPr>
      <w:sz w:val="18"/>
      <w:szCs w:val="18"/>
    </w:rPr>
  </w:style>
  <w:style w:type="paragraph" w:styleId="15">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pPr>
      <w:tabs>
        <w:tab w:val="left" w:pos="1260"/>
        <w:tab w:val="left" w:pos="1685"/>
        <w:tab w:val="right" w:leader="dot" w:pos="8400"/>
      </w:tabs>
      <w:spacing w:line="320" w:lineRule="exact"/>
      <w:ind w:firstLine="280" w:firstLineChars="100"/>
    </w:pPr>
    <w:rPr>
      <w:rFonts w:ascii="Times New Roman" w:hAnsi="Times New Roman"/>
      <w:b/>
    </w:rPr>
  </w:style>
  <w:style w:type="paragraph" w:styleId="17">
    <w:name w:val="toc 2"/>
    <w:basedOn w:val="1"/>
    <w:next w:val="1"/>
    <w:qFormat/>
    <w:uiPriority w:val="39"/>
    <w:pPr>
      <w:tabs>
        <w:tab w:val="right" w:leader="dot" w:pos="8400"/>
      </w:tabs>
      <w:spacing w:line="440" w:lineRule="exact"/>
      <w:ind w:left="280" w:leftChars="100" w:right="-91" w:rightChars="-91"/>
    </w:pPr>
  </w:style>
  <w:style w:type="paragraph" w:styleId="18">
    <w:name w:val="Normal (Web)"/>
    <w:basedOn w:val="1"/>
    <w:qFormat/>
    <w:uiPriority w:val="0"/>
    <w:pPr>
      <w:spacing w:before="100" w:beforeAutospacing="1" w:after="100" w:afterAutospacing="1"/>
    </w:pPr>
    <w:rPr>
      <w:rFonts w:cs="Times New Roman"/>
    </w:rPr>
  </w:style>
  <w:style w:type="paragraph" w:styleId="19">
    <w:name w:val="Body Text First Indent"/>
    <w:basedOn w:val="7"/>
    <w:next w:val="1"/>
    <w:qFormat/>
    <w:uiPriority w:val="0"/>
    <w:pPr>
      <w:spacing w:line="360" w:lineRule="auto"/>
      <w:ind w:firstLine="420"/>
    </w:pPr>
    <w:rPr>
      <w:rFonts w:ascii="宋体"/>
      <w:sz w:val="24"/>
    </w:rPr>
  </w:style>
  <w:style w:type="paragraph" w:styleId="20">
    <w:name w:val="Body Text First Indent 2"/>
    <w:basedOn w:val="8"/>
    <w:qFormat/>
    <w:uiPriority w:val="0"/>
    <w:pPr>
      <w:ind w:firstLine="420" w:firstLineChars="200"/>
    </w:p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qFormat/>
    <w:uiPriority w:val="0"/>
  </w:style>
  <w:style w:type="character" w:styleId="25">
    <w:name w:val="Emphasis"/>
    <w:basedOn w:val="23"/>
    <w:qFormat/>
    <w:uiPriority w:val="20"/>
    <w:rPr>
      <w:i/>
    </w:rPr>
  </w:style>
  <w:style w:type="character" w:styleId="26">
    <w:name w:val="Hyperlink"/>
    <w:qFormat/>
    <w:uiPriority w:val="99"/>
    <w:rPr>
      <w:color w:val="0000FF"/>
      <w:u w:val="single"/>
    </w:rPr>
  </w:style>
  <w:style w:type="character" w:customStyle="1" w:styleId="27">
    <w:name w:val="页眉 字符"/>
    <w:basedOn w:val="23"/>
    <w:link w:val="15"/>
    <w:qFormat/>
    <w:uiPriority w:val="99"/>
    <w:rPr>
      <w:kern w:val="2"/>
      <w:sz w:val="18"/>
      <w:szCs w:val="18"/>
    </w:rPr>
  </w:style>
  <w:style w:type="character" w:customStyle="1" w:styleId="28">
    <w:name w:val="页脚 字符"/>
    <w:basedOn w:val="23"/>
    <w:link w:val="14"/>
    <w:semiHidden/>
    <w:qFormat/>
    <w:uiPriority w:val="99"/>
    <w:rPr>
      <w:kern w:val="2"/>
      <w:sz w:val="18"/>
      <w:szCs w:val="18"/>
    </w:rPr>
  </w:style>
  <w:style w:type="paragraph" w:customStyle="1" w:styleId="29">
    <w:name w:val="1"/>
    <w:basedOn w:val="1"/>
    <w:next w:val="10"/>
    <w:qFormat/>
    <w:uiPriority w:val="0"/>
    <w:rPr>
      <w:rFonts w:hAnsi="Courier New"/>
    </w:rPr>
  </w:style>
  <w:style w:type="character" w:customStyle="1" w:styleId="30">
    <w:name w:val="font61"/>
    <w:basedOn w:val="23"/>
    <w:qFormat/>
    <w:uiPriority w:val="0"/>
    <w:rPr>
      <w:rFonts w:hint="eastAsia" w:ascii="宋体" w:hAnsi="宋体" w:eastAsia="宋体" w:cs="宋体"/>
      <w:b/>
      <w:bCs/>
      <w:color w:val="000000"/>
      <w:sz w:val="20"/>
      <w:szCs w:val="20"/>
      <w:u w:val="none"/>
    </w:rPr>
  </w:style>
  <w:style w:type="character" w:customStyle="1" w:styleId="31">
    <w:name w:val="font51"/>
    <w:basedOn w:val="23"/>
    <w:qFormat/>
    <w:uiPriority w:val="0"/>
    <w:rPr>
      <w:rFonts w:ascii="Calibri" w:hAnsi="Calibri" w:cs="Calibri"/>
      <w:b/>
      <w:bCs/>
      <w:color w:val="000000"/>
      <w:sz w:val="20"/>
      <w:szCs w:val="20"/>
      <w:u w:val="none"/>
    </w:rPr>
  </w:style>
  <w:style w:type="character" w:customStyle="1" w:styleId="32">
    <w:name w:val="批注框文本 字符"/>
    <w:basedOn w:val="23"/>
    <w:link w:val="13"/>
    <w:semiHidden/>
    <w:qFormat/>
    <w:uiPriority w:val="99"/>
    <w:rPr>
      <w:rFonts w:asciiTheme="minorHAnsi" w:hAnsiTheme="minorHAnsi" w:eastAsiaTheme="minorEastAsia" w:cstheme="minorBidi"/>
      <w:kern w:val="2"/>
      <w:sz w:val="18"/>
      <w:szCs w:val="18"/>
    </w:rPr>
  </w:style>
  <w:style w:type="character" w:customStyle="1" w:styleId="33">
    <w:name w:val="font21"/>
    <w:basedOn w:val="23"/>
    <w:qFormat/>
    <w:uiPriority w:val="0"/>
    <w:rPr>
      <w:rFonts w:hint="eastAsia" w:ascii="宋体" w:hAnsi="宋体" w:eastAsia="宋体" w:cs="宋体"/>
      <w:color w:val="000000"/>
      <w:sz w:val="24"/>
      <w:szCs w:val="24"/>
      <w:u w:val="none"/>
    </w:rPr>
  </w:style>
  <w:style w:type="character" w:customStyle="1" w:styleId="34">
    <w:name w:val="NormalCharacter"/>
    <w:qFormat/>
    <w:uiPriority w:val="0"/>
    <w:rPr>
      <w:rFonts w:ascii="Tahoma" w:hAnsi="Tahoma"/>
      <w:sz w:val="24"/>
      <w:szCs w:val="20"/>
    </w:rPr>
  </w:style>
  <w:style w:type="character" w:customStyle="1" w:styleId="35">
    <w:name w:val="font91"/>
    <w:basedOn w:val="23"/>
    <w:qFormat/>
    <w:uiPriority w:val="0"/>
    <w:rPr>
      <w:rFonts w:hint="default" w:ascii="Calibri" w:hAnsi="Calibri" w:cs="Calibri"/>
      <w:color w:val="000000"/>
      <w:sz w:val="22"/>
      <w:szCs w:val="22"/>
      <w:u w:val="none"/>
    </w:rPr>
  </w:style>
  <w:style w:type="character" w:customStyle="1" w:styleId="36">
    <w:name w:val="font101"/>
    <w:basedOn w:val="23"/>
    <w:qFormat/>
    <w:uiPriority w:val="0"/>
    <w:rPr>
      <w:rFonts w:hint="eastAsia" w:ascii="宋体" w:hAnsi="宋体" w:eastAsia="宋体" w:cs="宋体"/>
      <w:color w:val="000000"/>
      <w:sz w:val="22"/>
      <w:szCs w:val="22"/>
      <w:u w:val="none"/>
    </w:rPr>
  </w:style>
  <w:style w:type="character" w:customStyle="1" w:styleId="37">
    <w:name w:val="font71"/>
    <w:basedOn w:val="23"/>
    <w:qFormat/>
    <w:uiPriority w:val="0"/>
    <w:rPr>
      <w:rFonts w:hint="default" w:ascii="Calibri" w:hAnsi="Calibri" w:cs="Calibri"/>
      <w:color w:val="000000"/>
      <w:sz w:val="28"/>
      <w:szCs w:val="28"/>
      <w:u w:val="none"/>
    </w:rPr>
  </w:style>
  <w:style w:type="character" w:customStyle="1" w:styleId="38">
    <w:name w:val="批注文字 字符"/>
    <w:basedOn w:val="23"/>
    <w:link w:val="6"/>
    <w:qFormat/>
    <w:uiPriority w:val="0"/>
    <w:rPr>
      <w:rFonts w:eastAsia="PMingLiU"/>
      <w:sz w:val="24"/>
      <w:lang w:eastAsia="zh-TW"/>
    </w:rPr>
  </w:style>
  <w:style w:type="paragraph" w:customStyle="1" w:styleId="39">
    <w:name w:val="公文--正文"/>
    <w:qFormat/>
    <w:uiPriority w:val="0"/>
    <w:pPr>
      <w:spacing w:line="579" w:lineRule="exact"/>
      <w:ind w:firstLine="640" w:firstLineChars="200"/>
    </w:pPr>
    <w:rPr>
      <w:rFonts w:hint="eastAsia" w:ascii="方正仿宋_GBK" w:hAnsi="方正仿宋_GBK" w:eastAsia="方正仿宋_GBK" w:cs="Times New Roman"/>
      <w:sz w:val="32"/>
      <w:szCs w:val="32"/>
      <w:lang w:val="en-US" w:eastAsia="zh-CN" w:bidi="ar-SA"/>
    </w:rPr>
  </w:style>
  <w:style w:type="character" w:customStyle="1" w:styleId="40">
    <w:name w:val="font11"/>
    <w:basedOn w:val="23"/>
    <w:qFormat/>
    <w:uiPriority w:val="0"/>
    <w:rPr>
      <w:rFonts w:ascii="Arial" w:hAnsi="Arial" w:cs="Arial"/>
      <w:color w:val="000000"/>
      <w:sz w:val="22"/>
      <w:szCs w:val="22"/>
      <w:u w:val="none"/>
    </w:rPr>
  </w:style>
  <w:style w:type="character" w:customStyle="1" w:styleId="41">
    <w:name w:val="font01"/>
    <w:basedOn w:val="23"/>
    <w:qFormat/>
    <w:uiPriority w:val="0"/>
    <w:rPr>
      <w:rFonts w:hint="eastAsia" w:ascii="等线" w:hAnsi="等线" w:eastAsia="等线" w:cs="等线"/>
      <w:color w:val="000000"/>
      <w:sz w:val="22"/>
      <w:szCs w:val="22"/>
      <w:u w:val="none"/>
    </w:rPr>
  </w:style>
  <w:style w:type="character" w:customStyle="1" w:styleId="42">
    <w:name w:val="未处理的提及1"/>
    <w:basedOn w:val="23"/>
    <w:semiHidden/>
    <w:unhideWhenUsed/>
    <w:qFormat/>
    <w:uiPriority w:val="99"/>
    <w:rPr>
      <w:color w:val="605E5C"/>
      <w:shd w:val="clear" w:color="auto" w:fill="E1DFDD"/>
    </w:rPr>
  </w:style>
  <w:style w:type="paragraph" w:styleId="43">
    <w:name w:val="List Paragraph"/>
    <w:basedOn w:val="1"/>
    <w:unhideWhenUsed/>
    <w:qFormat/>
    <w:uiPriority w:val="99"/>
    <w:pPr>
      <w:ind w:firstLine="420" w:firstLineChars="200"/>
    </w:pPr>
  </w:style>
  <w:style w:type="character" w:customStyle="1" w:styleId="44">
    <w:name w:val="font81"/>
    <w:basedOn w:val="23"/>
    <w:qFormat/>
    <w:uiPriority w:val="0"/>
    <w:rPr>
      <w:rFonts w:ascii="Arial" w:hAnsi="Arial" w:cs="Arial"/>
      <w:color w:val="000000"/>
      <w:sz w:val="12"/>
      <w:szCs w:val="12"/>
      <w:u w:val="none"/>
    </w:rPr>
  </w:style>
  <w:style w:type="character" w:customStyle="1" w:styleId="45">
    <w:name w:val="font31"/>
    <w:basedOn w:val="23"/>
    <w:qFormat/>
    <w:uiPriority w:val="0"/>
    <w:rPr>
      <w:rFonts w:hint="eastAsia" w:ascii="宋体" w:hAnsi="宋体" w:eastAsia="宋体" w:cs="宋体"/>
      <w:color w:val="000000"/>
      <w:sz w:val="12"/>
      <w:szCs w:val="12"/>
      <w:u w:val="none"/>
    </w:rPr>
  </w:style>
  <w:style w:type="paragraph" w:customStyle="1" w:styleId="46">
    <w:name w:val="首行缩进"/>
    <w:basedOn w:val="1"/>
    <w:qFormat/>
    <w:uiPriority w:val="0"/>
    <w:pPr>
      <w:spacing w:line="360" w:lineRule="auto"/>
      <w:ind w:firstLine="480" w:firstLineChars="200"/>
    </w:pPr>
    <w:rPr>
      <w:rFonts w:ascii="宋体" w:hAnsi="宋体" w:cs="宋体"/>
      <w:kern w:val="0"/>
      <w:sz w:val="24"/>
    </w:rPr>
  </w:style>
  <w:style w:type="character" w:customStyle="1" w:styleId="47">
    <w:name w:val="font41"/>
    <w:basedOn w:val="23"/>
    <w:qFormat/>
    <w:uiPriority w:val="0"/>
    <w:rPr>
      <w:rFonts w:hint="eastAsia" w:ascii="宋体" w:hAnsi="宋体" w:eastAsia="宋体" w:cs="宋体"/>
      <w:color w:val="000000"/>
      <w:sz w:val="12"/>
      <w:szCs w:val="12"/>
      <w:u w:val="none"/>
    </w:rPr>
  </w:style>
  <w:style w:type="character" w:customStyle="1" w:styleId="48">
    <w:name w:val="font111"/>
    <w:basedOn w:val="23"/>
    <w:qFormat/>
    <w:uiPriority w:val="0"/>
    <w:rPr>
      <w:rFonts w:ascii="Arial" w:hAnsi="Arial" w:cs="Arial"/>
      <w:color w:val="000000"/>
      <w:sz w:val="12"/>
      <w:szCs w:val="1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55</Pages>
  <Words>1894</Words>
  <Characters>2109</Characters>
  <Lines>675</Lines>
  <Paragraphs>880</Paragraphs>
  <TotalTime>0</TotalTime>
  <ScaleCrop>false</ScaleCrop>
  <LinksUpToDate>false</LinksUpToDate>
  <CharactersWithSpaces>2429</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2025-09-01T01:49:00Z</dcterms:created>
  <dc:creator>asd</dc:creator>
  <cp:lastModifiedBy>涛声依旧</cp:lastModifiedBy>
  <cp:lastPrinted>2024-11-06T01:21:00Z</cp:lastPrinted>
  <dcterms:modified xsi:type="dcterms:W3CDTF">2025-10-30T06:50:04Z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D715CA6ABB4B4FE39545282A02977B58_13</vt:lpwstr>
  </property>
  <property fmtid="{D5CDD505-2E9C-101B-9397-08002B2CF9AE}" pid="4" name="KSOTemplateDocerSaveRecord">
    <vt:lpwstr>eyJoZGlkIjoiN2UyYjU1ZjNiODRmZWMxNTE4NmI0NTIxMTc2NWZmYjAiLCJ1c2VySWQiOiI0MTY1NDYwMjUifQ==</vt:lpwstr>
  </property>
</Properties>
</file>