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1134"/>
          <w:tab w:val="left" w:pos="1418"/>
          <w:tab w:val="left" w:pos="1701"/>
          <w:tab w:val="left" w:pos="1985"/>
          <w:tab w:val="left" w:pos="2835"/>
        </w:tabs>
        <w:ind w:firstLine="0" w:firstLineChars="0"/>
        <w:jc w:val="left"/>
        <w:rPr>
          <w:rFonts w:ascii="Arial" w:hAnsi="Arial" w:eastAsia="黑体" w:cs="Arial"/>
          <w:kern w:val="0"/>
          <w:sz w:val="32"/>
          <w:szCs w:val="32"/>
        </w:rPr>
      </w:pPr>
      <w:r>
        <w:rPr>
          <w:rFonts w:ascii="Arial" w:hAnsi="Arial" w:eastAsia="宋体" w:cs="Times New Roman"/>
          <w:kern w:val="0"/>
          <w:sz w:val="28"/>
          <w:szCs w:val="20"/>
        </w:rPr>
        <w:drawing>
          <wp:inline distT="0" distB="0" distL="0" distR="0">
            <wp:extent cx="679450" cy="65405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2">
                      <a:extLst>
                        <a:ext uri="{28A0092B-C50C-407E-A947-70E740481C1C}">
                          <a14:useLocalDpi xmlns:a14="http://schemas.microsoft.com/office/drawing/2010/main" val="false"/>
                        </a:ext>
                      </a:extLst>
                    </a:blip>
                    <a:srcRect l="31250" r="39236" b="52325"/>
                    <a:stretch>
                      <a:fillRect/>
                    </a:stretch>
                  </pic:blipFill>
                  <pic:spPr>
                    <a:xfrm>
                      <a:off x="0" y="0"/>
                      <a:ext cx="679450" cy="654050"/>
                    </a:xfrm>
                    <a:prstGeom prst="rect">
                      <a:avLst/>
                    </a:prstGeom>
                    <a:noFill/>
                    <a:ln>
                      <a:noFill/>
                    </a:ln>
                  </pic:spPr>
                </pic:pic>
              </a:graphicData>
            </a:graphic>
          </wp:inline>
        </w:drawing>
      </w:r>
    </w:p>
    <w:p>
      <w:pPr>
        <w:tabs>
          <w:tab w:val="left" w:pos="851"/>
          <w:tab w:val="left" w:pos="1134"/>
          <w:tab w:val="left" w:pos="1418"/>
          <w:tab w:val="left" w:pos="1701"/>
          <w:tab w:val="left" w:pos="1985"/>
          <w:tab w:val="left" w:pos="2835"/>
        </w:tabs>
        <w:ind w:firstLine="640" w:firstLineChars="0"/>
        <w:rPr>
          <w:rFonts w:ascii="Arial" w:hAnsi="Arial" w:eastAsia="黑体" w:cs="Arial"/>
          <w:kern w:val="0"/>
          <w:sz w:val="32"/>
          <w:szCs w:val="32"/>
        </w:rPr>
      </w:pPr>
    </w:p>
    <w:p>
      <w:pPr>
        <w:tabs>
          <w:tab w:val="left" w:pos="851"/>
          <w:tab w:val="left" w:pos="1134"/>
          <w:tab w:val="left" w:pos="1418"/>
          <w:tab w:val="left" w:pos="1701"/>
          <w:tab w:val="left" w:pos="1985"/>
          <w:tab w:val="left" w:pos="2835"/>
        </w:tabs>
        <w:ind w:firstLine="0" w:firstLineChars="0"/>
        <w:jc w:val="center"/>
        <w:rPr>
          <w:rFonts w:ascii="楷体" w:hAnsi="楷体" w:eastAsia="楷体" w:cs="Arial"/>
          <w:b/>
          <w:kern w:val="0"/>
          <w:sz w:val="72"/>
          <w:szCs w:val="72"/>
        </w:rPr>
      </w:pPr>
      <w:r>
        <w:rPr>
          <w:rFonts w:ascii="楷体" w:hAnsi="楷体" w:eastAsia="楷体" w:cs="Arial"/>
          <w:b/>
          <w:kern w:val="0"/>
          <w:sz w:val="72"/>
          <w:szCs w:val="72"/>
        </w:rPr>
        <w:t>技</w:t>
      </w:r>
      <w:r>
        <w:rPr>
          <w:rFonts w:hint="eastAsia" w:ascii="楷体" w:hAnsi="楷体" w:eastAsia="楷体" w:cs="Arial"/>
          <w:b/>
          <w:kern w:val="0"/>
          <w:sz w:val="72"/>
          <w:szCs w:val="72"/>
        </w:rPr>
        <w:t xml:space="preserve"> </w:t>
      </w:r>
      <w:r>
        <w:rPr>
          <w:rFonts w:ascii="楷体" w:hAnsi="楷体" w:eastAsia="楷体" w:cs="Arial"/>
          <w:b/>
          <w:kern w:val="0"/>
          <w:sz w:val="72"/>
          <w:szCs w:val="72"/>
        </w:rPr>
        <w:t>术</w:t>
      </w:r>
      <w:r>
        <w:rPr>
          <w:rFonts w:hint="eastAsia" w:ascii="楷体" w:hAnsi="楷体" w:eastAsia="楷体" w:cs="Arial"/>
          <w:b/>
          <w:kern w:val="0"/>
          <w:sz w:val="72"/>
          <w:szCs w:val="72"/>
        </w:rPr>
        <w:t xml:space="preserve"> </w:t>
      </w:r>
      <w:r>
        <w:rPr>
          <w:rFonts w:ascii="楷体" w:hAnsi="楷体" w:eastAsia="楷体" w:cs="Arial"/>
          <w:b/>
          <w:kern w:val="0"/>
          <w:sz w:val="72"/>
          <w:szCs w:val="72"/>
        </w:rPr>
        <w:t>规</w:t>
      </w:r>
      <w:r>
        <w:rPr>
          <w:rFonts w:hint="eastAsia" w:ascii="楷体" w:hAnsi="楷体" w:eastAsia="楷体" w:cs="Arial"/>
          <w:b/>
          <w:kern w:val="0"/>
          <w:sz w:val="72"/>
          <w:szCs w:val="72"/>
        </w:rPr>
        <w:t xml:space="preserve"> </w:t>
      </w:r>
      <w:r>
        <w:rPr>
          <w:rFonts w:ascii="楷体" w:hAnsi="楷体" w:eastAsia="楷体" w:cs="Arial"/>
          <w:b/>
          <w:kern w:val="0"/>
          <w:sz w:val="72"/>
          <w:szCs w:val="72"/>
        </w:rPr>
        <w:t>格</w:t>
      </w:r>
      <w:r>
        <w:rPr>
          <w:rFonts w:hint="eastAsia" w:ascii="楷体" w:hAnsi="楷体" w:eastAsia="楷体" w:cs="Arial"/>
          <w:b/>
          <w:kern w:val="0"/>
          <w:sz w:val="72"/>
          <w:szCs w:val="72"/>
        </w:rPr>
        <w:t xml:space="preserve"> </w:t>
      </w:r>
      <w:r>
        <w:rPr>
          <w:rFonts w:ascii="楷体" w:hAnsi="楷体" w:eastAsia="楷体" w:cs="Arial"/>
          <w:b/>
          <w:kern w:val="0"/>
          <w:sz w:val="72"/>
          <w:szCs w:val="72"/>
        </w:rPr>
        <w:t>书</w:t>
      </w:r>
    </w:p>
    <w:p>
      <w:pPr>
        <w:tabs>
          <w:tab w:val="left" w:pos="851"/>
          <w:tab w:val="left" w:pos="1134"/>
          <w:tab w:val="left" w:pos="1418"/>
          <w:tab w:val="left" w:pos="1701"/>
          <w:tab w:val="left" w:pos="1985"/>
          <w:tab w:val="left" w:pos="2835"/>
        </w:tabs>
        <w:ind w:firstLine="640" w:firstLineChars="0"/>
        <w:rPr>
          <w:rFonts w:ascii="Arial" w:hAnsi="Arial" w:eastAsia="黑体" w:cs="Arial"/>
          <w:kern w:val="0"/>
          <w:sz w:val="32"/>
          <w:szCs w:val="32"/>
        </w:rPr>
      </w:pPr>
    </w:p>
    <w:p>
      <w:pPr>
        <w:tabs>
          <w:tab w:val="left" w:pos="851"/>
          <w:tab w:val="left" w:pos="1134"/>
          <w:tab w:val="left" w:pos="1418"/>
          <w:tab w:val="left" w:pos="1701"/>
          <w:tab w:val="left" w:pos="1985"/>
          <w:tab w:val="left" w:pos="2835"/>
        </w:tabs>
        <w:spacing w:line="720" w:lineRule="auto"/>
        <w:ind w:firstLine="871" w:firstLineChars="310"/>
        <w:jc w:val="left"/>
        <w:rPr>
          <w:rFonts w:ascii="宋体" w:hAnsi="宋体" w:eastAsia="宋体" w:cs="Arial"/>
          <w:b/>
          <w:kern w:val="0"/>
          <w:sz w:val="28"/>
          <w:szCs w:val="28"/>
        </w:rPr>
      </w:pPr>
    </w:p>
    <w:p>
      <w:pPr>
        <w:tabs>
          <w:tab w:val="left" w:pos="851"/>
          <w:tab w:val="left" w:pos="1134"/>
          <w:tab w:val="left" w:pos="1418"/>
          <w:tab w:val="left" w:pos="1701"/>
          <w:tab w:val="left" w:pos="1985"/>
          <w:tab w:val="left" w:pos="2835"/>
        </w:tabs>
        <w:spacing w:line="480" w:lineRule="auto"/>
        <w:ind w:firstLine="1433" w:firstLineChars="510"/>
        <w:jc w:val="left"/>
        <w:rPr>
          <w:rFonts w:hint="eastAsia" w:ascii="宋体" w:hAnsi="宋体" w:eastAsia="宋体" w:cs="Arial"/>
          <w:kern w:val="0"/>
          <w:sz w:val="28"/>
          <w:szCs w:val="28"/>
        </w:rPr>
      </w:pPr>
      <w:r>
        <w:rPr>
          <w:rFonts w:hint="eastAsia" w:ascii="宋体" w:hAnsi="宋体" w:eastAsia="宋体" w:cs="Arial"/>
          <w:b/>
          <w:kern w:val="0"/>
          <w:sz w:val="28"/>
          <w:szCs w:val="28"/>
        </w:rPr>
        <w:t>项目名称：</w:t>
      </w:r>
      <w:r>
        <w:rPr>
          <w:rFonts w:hint="eastAsia" w:ascii="宋体" w:hAnsi="宋体" w:eastAsia="宋体" w:cs="Arial"/>
          <w:kern w:val="0"/>
          <w:sz w:val="28"/>
          <w:szCs w:val="28"/>
        </w:rPr>
        <w:t>垫江县脱硫厂有限责任公司百万方</w:t>
      </w:r>
    </w:p>
    <w:p>
      <w:pPr>
        <w:tabs>
          <w:tab w:val="left" w:pos="851"/>
          <w:tab w:val="left" w:pos="1134"/>
          <w:tab w:val="left" w:pos="1418"/>
          <w:tab w:val="left" w:pos="1701"/>
          <w:tab w:val="left" w:pos="1985"/>
          <w:tab w:val="left" w:pos="2835"/>
        </w:tabs>
        <w:spacing w:line="480" w:lineRule="auto"/>
        <w:ind w:firstLine="2828" w:firstLineChars="1010"/>
        <w:jc w:val="left"/>
        <w:rPr>
          <w:rFonts w:ascii="宋体" w:hAnsi="宋体" w:eastAsia="宋体" w:cs="Arial"/>
          <w:kern w:val="0"/>
          <w:sz w:val="28"/>
          <w:szCs w:val="28"/>
          <w:u w:val="single"/>
        </w:rPr>
      </w:pPr>
      <w:r>
        <w:rPr>
          <w:rFonts w:hint="eastAsia" w:ascii="宋体" w:hAnsi="宋体" w:eastAsia="宋体" w:cs="Arial"/>
          <w:kern w:val="0"/>
          <w:sz w:val="28"/>
          <w:szCs w:val="28"/>
        </w:rPr>
        <w:t>及三期脱硫装置更新改造提升项目</w:t>
      </w:r>
    </w:p>
    <w:p>
      <w:pPr>
        <w:tabs>
          <w:tab w:val="left" w:pos="851"/>
          <w:tab w:val="left" w:pos="1134"/>
          <w:tab w:val="left" w:pos="1418"/>
          <w:tab w:val="left" w:pos="1701"/>
          <w:tab w:val="left" w:pos="1985"/>
          <w:tab w:val="left" w:pos="2835"/>
        </w:tabs>
        <w:spacing w:line="480" w:lineRule="auto"/>
        <w:ind w:firstLine="1433" w:firstLineChars="510"/>
        <w:jc w:val="left"/>
        <w:rPr>
          <w:rFonts w:hint="eastAsia" w:ascii="宋体" w:hAnsi="宋体" w:eastAsia="宋体" w:cs="Arial"/>
          <w:b/>
          <w:kern w:val="0"/>
          <w:sz w:val="28"/>
          <w:szCs w:val="28"/>
          <w:lang w:eastAsia="zh-CN"/>
        </w:rPr>
      </w:pPr>
      <w:r>
        <w:rPr>
          <w:rFonts w:hint="eastAsia" w:ascii="宋体" w:hAnsi="宋体" w:eastAsia="宋体" w:cs="Arial"/>
          <w:b/>
          <w:kern w:val="0"/>
          <w:sz w:val="28"/>
          <w:szCs w:val="28"/>
        </w:rPr>
        <w:t>设备名称：</w:t>
      </w:r>
      <w:r>
        <w:rPr>
          <w:rFonts w:hint="eastAsia" w:ascii="Arial" w:hAnsi="Arial" w:eastAsia="宋体" w:cs="Times New Roman"/>
          <w:kern w:val="0"/>
          <w:sz w:val="28"/>
          <w:szCs w:val="20"/>
        </w:rPr>
        <w:t>硫除雾器鼓风机</w:t>
      </w:r>
      <w:r>
        <w:rPr>
          <w:rFonts w:hint="eastAsia" w:ascii="Arial" w:hAnsi="Arial" w:eastAsia="宋体" w:cs="Times New Roman"/>
          <w:kern w:val="0"/>
          <w:sz w:val="28"/>
          <w:szCs w:val="20"/>
          <w:lang w:eastAsia="zh-CN"/>
        </w:rPr>
        <w:t>（</w:t>
      </w:r>
      <w:r>
        <w:rPr>
          <w:rFonts w:hint="eastAsia" w:ascii="Arial" w:hAnsi="Arial" w:eastAsia="宋体" w:cs="Times New Roman"/>
          <w:kern w:val="0"/>
          <w:sz w:val="28"/>
          <w:szCs w:val="20"/>
          <w:lang w:val="en-US" w:eastAsia="zh-CN"/>
        </w:rPr>
        <w:t>两台</w:t>
      </w:r>
      <w:r>
        <w:rPr>
          <w:rFonts w:hint="eastAsia" w:ascii="Arial" w:hAnsi="Arial" w:eastAsia="宋体" w:cs="Times New Roman"/>
          <w:kern w:val="0"/>
          <w:sz w:val="28"/>
          <w:szCs w:val="20"/>
          <w:lang w:eastAsia="zh-CN"/>
        </w:rPr>
        <w:t>）</w:t>
      </w:r>
    </w:p>
    <w:p>
      <w:pPr>
        <w:tabs>
          <w:tab w:val="left" w:pos="851"/>
          <w:tab w:val="left" w:pos="1134"/>
          <w:tab w:val="left" w:pos="1418"/>
          <w:tab w:val="left" w:pos="1701"/>
          <w:tab w:val="left" w:pos="1985"/>
          <w:tab w:val="left" w:pos="2835"/>
        </w:tabs>
        <w:spacing w:line="480" w:lineRule="auto"/>
        <w:ind w:firstLine="1433" w:firstLineChars="510"/>
        <w:jc w:val="left"/>
        <w:rPr>
          <w:rFonts w:ascii="Arial" w:hAnsi="Arial" w:eastAsia="黑体" w:cs="Arial"/>
          <w:b/>
          <w:kern w:val="0"/>
          <w:sz w:val="30"/>
          <w:szCs w:val="30"/>
        </w:rPr>
      </w:pPr>
      <w:r>
        <w:rPr>
          <w:rFonts w:hint="eastAsia" w:ascii="宋体" w:hAnsi="宋体" w:eastAsia="宋体" w:cs="Arial"/>
          <w:b/>
          <w:kern w:val="0"/>
          <w:sz w:val="28"/>
          <w:szCs w:val="28"/>
        </w:rPr>
        <w:t>业    主：</w:t>
      </w:r>
      <w:r>
        <w:rPr>
          <w:rFonts w:hint="eastAsia" w:ascii="宋体" w:hAnsi="宋体" w:eastAsia="宋体" w:cs="Arial"/>
          <w:kern w:val="0"/>
          <w:sz w:val="28"/>
          <w:szCs w:val="28"/>
        </w:rPr>
        <w:t>垫江县脱硫厂有限责任公司</w:t>
      </w: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left="480" w:leftChars="200" w:firstLine="0" w:firstLineChars="0"/>
        <w:rPr>
          <w:rFonts w:ascii="Arial" w:hAnsi="Arial" w:eastAsia="宋体" w:cs="Arial"/>
          <w:kern w:val="0"/>
          <w:szCs w:val="24"/>
        </w:rPr>
      </w:pPr>
    </w:p>
    <w:p>
      <w:pPr>
        <w:tabs>
          <w:tab w:val="left" w:pos="851"/>
          <w:tab w:val="left" w:pos="1134"/>
          <w:tab w:val="left" w:pos="1418"/>
          <w:tab w:val="left" w:pos="1701"/>
          <w:tab w:val="left" w:pos="1985"/>
          <w:tab w:val="left" w:pos="2835"/>
        </w:tabs>
        <w:ind w:firstLine="0" w:firstLineChars="0"/>
        <w:jc w:val="center"/>
        <w:rPr>
          <w:rFonts w:ascii="黑体" w:hAnsi="黑体" w:eastAsia="黑体" w:cs="Arial"/>
          <w:kern w:val="0"/>
          <w:sz w:val="28"/>
          <w:szCs w:val="28"/>
        </w:rPr>
      </w:pPr>
      <w:r>
        <w:rPr>
          <w:rFonts w:hint="eastAsia" w:ascii="黑体" w:hAnsi="黑体" w:eastAsia="黑体" w:cs="Arial"/>
          <w:kern w:val="0"/>
          <w:sz w:val="28"/>
          <w:szCs w:val="28"/>
        </w:rPr>
        <w:t>四川省化工设计院</w:t>
      </w:r>
    </w:p>
    <w:p>
      <w:pPr>
        <w:tabs>
          <w:tab w:val="left" w:pos="851"/>
          <w:tab w:val="left" w:pos="1134"/>
          <w:tab w:val="left" w:pos="1418"/>
          <w:tab w:val="left" w:pos="1701"/>
          <w:tab w:val="left" w:pos="1985"/>
          <w:tab w:val="left" w:pos="2835"/>
        </w:tabs>
        <w:ind w:firstLine="0" w:firstLineChars="0"/>
        <w:jc w:val="center"/>
        <w:rPr>
          <w:rFonts w:ascii="黑体" w:hAnsi="黑体" w:eastAsia="黑体" w:cs="Arial"/>
          <w:kern w:val="0"/>
          <w:sz w:val="28"/>
          <w:szCs w:val="28"/>
        </w:rPr>
      </w:pPr>
      <w:r>
        <w:rPr>
          <w:rFonts w:hint="eastAsia" w:ascii="黑体" w:hAnsi="黑体" w:eastAsia="黑体" w:cs="Arial"/>
          <w:kern w:val="0"/>
          <w:sz w:val="28"/>
          <w:szCs w:val="28"/>
        </w:rPr>
        <w:t>2025年11月  成都</w:t>
      </w:r>
    </w:p>
    <w:p>
      <w:pPr>
        <w:spacing w:line="240" w:lineRule="auto"/>
        <w:ind w:firstLine="0" w:firstLineChars="0"/>
        <w:jc w:val="center"/>
        <w:rPr>
          <w:rFonts w:cs="Times New Roman" w:hAnsiTheme="minorEastAsia"/>
          <w:b/>
          <w:bCs/>
          <w:kern w:val="0"/>
          <w:sz w:val="32"/>
          <w:szCs w:val="32"/>
        </w:rPr>
      </w:pPr>
      <w:r>
        <w:rPr>
          <w:b/>
          <w:bCs/>
          <w:sz w:val="28"/>
          <w:szCs w:val="28"/>
        </w:rPr>
        <w:br w:type="page"/>
      </w:r>
      <w:r>
        <w:rPr>
          <w:rFonts w:hint="eastAsia" w:cs="Times New Roman" w:hAnsiTheme="minorEastAsia"/>
          <w:b/>
          <w:bCs/>
          <w:kern w:val="0"/>
          <w:sz w:val="32"/>
          <w:szCs w:val="32"/>
        </w:rPr>
        <w:t>目  录</w:t>
      </w:r>
    </w:p>
    <w:p>
      <w:pPr>
        <w:pStyle w:val="9"/>
        <w:rPr>
          <w:rFonts w:asciiTheme="minorHAnsi" w:eastAsiaTheme="minorEastAsia"/>
          <w:sz w:val="21"/>
          <w:szCs w:val="22"/>
        </w:rPr>
      </w:pPr>
      <w:r>
        <w:rPr>
          <w:rFonts w:cs="Times New Roman" w:hAnsiTheme="minorEastAsia"/>
          <w:b/>
          <w:bCs/>
          <w:kern w:val="0"/>
          <w:szCs w:val="24"/>
        </w:rPr>
        <w:fldChar w:fldCharType="begin"/>
      </w:r>
      <w:r>
        <w:rPr>
          <w:rFonts w:cs="Times New Roman" w:hAnsiTheme="minorEastAsia"/>
          <w:b/>
          <w:bCs/>
          <w:kern w:val="0"/>
          <w:szCs w:val="24"/>
        </w:rPr>
        <w:instrText xml:space="preserve"> TOC \o "1-3" \h \z \u </w:instrText>
      </w:r>
      <w:r>
        <w:rPr>
          <w:rFonts w:cs="Times New Roman" w:hAnsiTheme="minorEastAsia"/>
          <w:b/>
          <w:bCs/>
          <w:kern w:val="0"/>
          <w:szCs w:val="24"/>
        </w:rPr>
        <w:fldChar w:fldCharType="separate"/>
      </w:r>
      <w:r>
        <w:fldChar w:fldCharType="begin"/>
      </w:r>
      <w:r>
        <w:instrText xml:space="preserve"> HYPERLINK \l "_Toc61186496" </w:instrText>
      </w:r>
      <w:r>
        <w:fldChar w:fldCharType="separate"/>
      </w:r>
      <w:r>
        <w:rPr>
          <w:rStyle w:val="15"/>
        </w:rPr>
        <w:t xml:space="preserve">1  </w:t>
      </w:r>
      <w:r>
        <w:rPr>
          <w:rStyle w:val="15"/>
          <w:rFonts w:hint="eastAsia"/>
        </w:rPr>
        <w:t>概述</w:t>
      </w:r>
      <w:r>
        <w:tab/>
      </w:r>
      <w:r>
        <w:fldChar w:fldCharType="begin"/>
      </w:r>
      <w:r>
        <w:instrText xml:space="preserve"> PAGEREF _Toc61186496 \h </w:instrText>
      </w:r>
      <w:r>
        <w:fldChar w:fldCharType="separate"/>
      </w:r>
      <w:r>
        <w:t>1</w:t>
      </w:r>
      <w:r>
        <w:fldChar w:fldCharType="end"/>
      </w:r>
      <w:r>
        <w:fldChar w:fldCharType="end"/>
      </w:r>
    </w:p>
    <w:p>
      <w:pPr>
        <w:pStyle w:val="9"/>
        <w:rPr>
          <w:rFonts w:asciiTheme="minorHAnsi" w:eastAsiaTheme="minorEastAsia"/>
          <w:sz w:val="21"/>
          <w:szCs w:val="22"/>
        </w:rPr>
      </w:pPr>
      <w:r>
        <w:fldChar w:fldCharType="begin"/>
      </w:r>
      <w:r>
        <w:instrText xml:space="preserve"> HYPERLINK \l "_Toc61186497" </w:instrText>
      </w:r>
      <w:r>
        <w:fldChar w:fldCharType="separate"/>
      </w:r>
      <w:r>
        <w:rPr>
          <w:rStyle w:val="15"/>
        </w:rPr>
        <w:t xml:space="preserve">2  </w:t>
      </w:r>
      <w:r>
        <w:rPr>
          <w:rStyle w:val="15"/>
          <w:rFonts w:hint="eastAsia" w:cs="Arial Unicode MS"/>
        </w:rPr>
        <w:t>定义</w:t>
      </w:r>
      <w:r>
        <w:tab/>
      </w:r>
      <w:r>
        <w:fldChar w:fldCharType="begin"/>
      </w:r>
      <w:r>
        <w:instrText xml:space="preserve"> PAGEREF _Toc61186497 \h </w:instrText>
      </w:r>
      <w:r>
        <w:fldChar w:fldCharType="separate"/>
      </w:r>
      <w:r>
        <w:t>1</w:t>
      </w:r>
      <w:r>
        <w:fldChar w:fldCharType="end"/>
      </w:r>
      <w:r>
        <w:fldChar w:fldCharType="end"/>
      </w:r>
    </w:p>
    <w:p>
      <w:pPr>
        <w:pStyle w:val="9"/>
        <w:rPr>
          <w:rFonts w:asciiTheme="minorHAnsi" w:eastAsiaTheme="minorEastAsia"/>
          <w:sz w:val="21"/>
          <w:szCs w:val="22"/>
        </w:rPr>
      </w:pPr>
      <w:r>
        <w:fldChar w:fldCharType="begin"/>
      </w:r>
      <w:r>
        <w:instrText xml:space="preserve"> HYPERLINK \l "_Toc61186498" </w:instrText>
      </w:r>
      <w:r>
        <w:fldChar w:fldCharType="separate"/>
      </w:r>
      <w:r>
        <w:rPr>
          <w:rStyle w:val="15"/>
        </w:rPr>
        <w:t xml:space="preserve">3  </w:t>
      </w:r>
      <w:r>
        <w:rPr>
          <w:rStyle w:val="15"/>
          <w:rFonts w:hint="eastAsia"/>
        </w:rPr>
        <w:t>现场条件</w:t>
      </w:r>
      <w:r>
        <w:tab/>
      </w:r>
      <w:r>
        <w:fldChar w:fldCharType="begin"/>
      </w:r>
      <w:r>
        <w:instrText xml:space="preserve"> PAGEREF _Toc61186498 \h </w:instrText>
      </w:r>
      <w:r>
        <w:fldChar w:fldCharType="separate"/>
      </w:r>
      <w:r>
        <w:t>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"_Toc61186499" </w:instrText>
      </w:r>
      <w:r>
        <w:fldChar w:fldCharType="separate"/>
      </w:r>
      <w:r>
        <w:rPr>
          <w:rStyle w:val="15"/>
        </w:rPr>
        <w:t xml:space="preserve">3.1  </w:t>
      </w:r>
      <w:r>
        <w:rPr>
          <w:rStyle w:val="15"/>
          <w:rFonts w:hint="eastAsia"/>
        </w:rPr>
        <w:t>自然条件</w:t>
      </w:r>
      <w:r>
        <w:tab/>
      </w:r>
      <w:r>
        <w:fldChar w:fldCharType="begin"/>
      </w:r>
      <w:r>
        <w:instrText xml:space="preserve"> PAGEREF _Toc61186499 \h </w:instrText>
      </w:r>
      <w:r>
        <w:fldChar w:fldCharType="separate"/>
      </w:r>
      <w:r>
        <w:t>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"_Toc61186500" </w:instrText>
      </w:r>
      <w:r>
        <w:fldChar w:fldCharType="separate"/>
      </w:r>
      <w:r>
        <w:rPr>
          <w:rStyle w:val="15"/>
        </w:rPr>
        <w:t xml:space="preserve">3.2  </w:t>
      </w:r>
      <w:r>
        <w:rPr>
          <w:rStyle w:val="15"/>
          <w:rFonts w:hint="eastAsia"/>
        </w:rPr>
        <w:t>公用工程条件</w:t>
      </w:r>
      <w:r>
        <w:tab/>
      </w:r>
      <w:r>
        <w:fldChar w:fldCharType="begin"/>
      </w:r>
      <w:r>
        <w:instrText xml:space="preserve"> PAGEREF _Toc61186500 \h </w:instrText>
      </w:r>
      <w:r>
        <w:fldChar w:fldCharType="separate"/>
      </w:r>
      <w:r>
        <w:t>2</w:t>
      </w:r>
      <w:r>
        <w:fldChar w:fldCharType="end"/>
      </w:r>
      <w:r>
        <w:fldChar w:fldCharType="end"/>
      </w:r>
    </w:p>
    <w:p>
      <w:pPr>
        <w:pStyle w:val="9"/>
        <w:rPr>
          <w:rFonts w:asciiTheme="minorHAnsi" w:eastAsiaTheme="minorEastAsia"/>
          <w:sz w:val="21"/>
          <w:szCs w:val="22"/>
        </w:rPr>
      </w:pPr>
      <w:r>
        <w:fldChar w:fldCharType="begin"/>
      </w:r>
      <w:r>
        <w:instrText xml:space="preserve"> HYPERLINK \l "_Toc61186501" </w:instrText>
      </w:r>
      <w:r>
        <w:fldChar w:fldCharType="separate"/>
      </w:r>
      <w:r>
        <w:rPr>
          <w:rStyle w:val="15"/>
          <w:rFonts w:cs="Times New Roman"/>
        </w:rPr>
        <w:t xml:space="preserve">4  </w:t>
      </w:r>
      <w:r>
        <w:rPr>
          <w:rStyle w:val="15"/>
          <w:rFonts w:hint="eastAsia"/>
        </w:rPr>
        <w:t>供货范围及界面</w:t>
      </w:r>
      <w:r>
        <w:tab/>
      </w:r>
      <w:r>
        <w:fldChar w:fldCharType="begin"/>
      </w:r>
      <w:r>
        <w:instrText xml:space="preserve"> PAGEREF _Toc61186501 \h </w:instrText>
      </w:r>
      <w:r>
        <w:fldChar w:fldCharType="separate"/>
      </w:r>
      <w:r>
        <w:t>3</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"_Toc61186502" </w:instrText>
      </w:r>
      <w:r>
        <w:fldChar w:fldCharType="separate"/>
      </w:r>
      <w:r>
        <w:rPr>
          <w:rStyle w:val="15"/>
        </w:rPr>
        <w:t xml:space="preserve">4.1  </w:t>
      </w:r>
      <w:r>
        <w:rPr>
          <w:rStyle w:val="15"/>
          <w:rFonts w:hint="eastAsia"/>
        </w:rPr>
        <w:t>供货范围</w:t>
      </w:r>
      <w:r>
        <w:tab/>
      </w:r>
      <w:r>
        <w:fldChar w:fldCharType="begin"/>
      </w:r>
      <w:r>
        <w:instrText xml:space="preserve"> PAGEREF _Toc61186502 \h </w:instrText>
      </w:r>
      <w:r>
        <w:fldChar w:fldCharType="separate"/>
      </w:r>
      <w:r>
        <w:t>3</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"_Toc61186503" </w:instrText>
      </w:r>
      <w:r>
        <w:fldChar w:fldCharType="separate"/>
      </w:r>
      <w:r>
        <w:rPr>
          <w:rStyle w:val="15"/>
        </w:rPr>
        <w:t xml:space="preserve">4.2  </w:t>
      </w:r>
      <w:r>
        <w:rPr>
          <w:rStyle w:val="15"/>
          <w:rFonts w:hint="eastAsia"/>
        </w:rPr>
        <w:t>工作界面</w:t>
      </w:r>
      <w:r>
        <w:tab/>
      </w:r>
      <w:r>
        <w:fldChar w:fldCharType="begin"/>
      </w:r>
      <w:r>
        <w:instrText xml:space="preserve"> PAGEREF _Toc61186503 \h </w:instrText>
      </w:r>
      <w:r>
        <w:fldChar w:fldCharType="separate"/>
      </w:r>
      <w:r>
        <w:t>5</w:t>
      </w:r>
      <w:r>
        <w:fldChar w:fldCharType="end"/>
      </w:r>
      <w:r>
        <w:fldChar w:fldCharType="end"/>
      </w:r>
    </w:p>
    <w:p>
      <w:pPr>
        <w:pStyle w:val="9"/>
        <w:rPr>
          <w:rFonts w:asciiTheme="minorHAnsi" w:eastAsiaTheme="minorEastAsia"/>
          <w:sz w:val="21"/>
          <w:szCs w:val="22"/>
        </w:rPr>
      </w:pPr>
      <w:r>
        <w:fldChar w:fldCharType="begin"/>
      </w:r>
      <w:r>
        <w:instrText xml:space="preserve"> HYPERLINK \l "_Toc61186504" </w:instrText>
      </w:r>
      <w:r>
        <w:fldChar w:fldCharType="separate"/>
      </w:r>
      <w:r>
        <w:rPr>
          <w:rStyle w:val="15"/>
        </w:rPr>
        <w:t xml:space="preserve">5  </w:t>
      </w:r>
      <w:r>
        <w:rPr>
          <w:rStyle w:val="15"/>
          <w:rFonts w:hint="eastAsia"/>
        </w:rPr>
        <w:t>技术要求</w:t>
      </w:r>
      <w:r>
        <w:tab/>
      </w:r>
      <w:r>
        <w:fldChar w:fldCharType="begin"/>
      </w:r>
      <w:r>
        <w:instrText xml:space="preserve"> PAGEREF _Toc61186504 \h </w:instrText>
      </w:r>
      <w:r>
        <w:fldChar w:fldCharType="separate"/>
      </w:r>
      <w:r>
        <w:t>5</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"_Toc61186505" </w:instrText>
      </w:r>
      <w:r>
        <w:fldChar w:fldCharType="separate"/>
      </w:r>
      <w:r>
        <w:rPr>
          <w:rStyle w:val="15"/>
        </w:rPr>
        <w:t xml:space="preserve">5.1  </w:t>
      </w:r>
      <w:r>
        <w:rPr>
          <w:rStyle w:val="15"/>
          <w:rFonts w:hint="eastAsia"/>
        </w:rPr>
        <w:t>硫除雾器鼓风机</w:t>
      </w:r>
      <w:r>
        <w:tab/>
      </w:r>
      <w:r>
        <w:fldChar w:fldCharType="begin"/>
      </w:r>
      <w:r>
        <w:instrText xml:space="preserve"> PAGEREF _Toc61186505 \h </w:instrText>
      </w:r>
      <w:r>
        <w:fldChar w:fldCharType="separate"/>
      </w:r>
      <w:r>
        <w:t>5</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"_Toc61186506" </w:instrText>
      </w:r>
      <w:r>
        <w:fldChar w:fldCharType="separate"/>
      </w:r>
      <w:r>
        <w:rPr>
          <w:rStyle w:val="15"/>
        </w:rPr>
        <w:t xml:space="preserve">5.2  </w:t>
      </w:r>
      <w:r>
        <w:rPr>
          <w:rStyle w:val="15"/>
          <w:rFonts w:hint="eastAsia"/>
        </w:rPr>
        <w:t>电动机</w:t>
      </w:r>
      <w:r>
        <w:tab/>
      </w:r>
      <w:r>
        <w:fldChar w:fldCharType="begin"/>
      </w:r>
      <w:r>
        <w:instrText xml:space="preserve"> PAGEREF _Toc61186506 \h </w:instrText>
      </w:r>
      <w:r>
        <w:fldChar w:fldCharType="separate"/>
      </w:r>
      <w:r>
        <w:t>9</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"_Toc61186507" </w:instrText>
      </w:r>
      <w:r>
        <w:fldChar w:fldCharType="separate"/>
      </w:r>
      <w:r>
        <w:rPr>
          <w:rStyle w:val="15"/>
        </w:rPr>
        <w:t xml:space="preserve">5.3  </w:t>
      </w:r>
      <w:r>
        <w:rPr>
          <w:rStyle w:val="15"/>
          <w:rFonts w:hint="eastAsia"/>
        </w:rPr>
        <w:t>密联轴器和护罩</w:t>
      </w:r>
      <w:r>
        <w:tab/>
      </w:r>
      <w:r>
        <w:fldChar w:fldCharType="begin"/>
      </w:r>
      <w:r>
        <w:instrText xml:space="preserve"> PAGEREF _Toc61186507 \h </w:instrText>
      </w:r>
      <w:r>
        <w:fldChar w:fldCharType="separate"/>
      </w:r>
      <w:r>
        <w:t>10</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"_Toc61186508" </w:instrText>
      </w:r>
      <w:r>
        <w:fldChar w:fldCharType="separate"/>
      </w:r>
      <w:r>
        <w:rPr>
          <w:rStyle w:val="15"/>
        </w:rPr>
        <w:t xml:space="preserve">5.4  </w:t>
      </w:r>
      <w:r>
        <w:rPr>
          <w:rStyle w:val="15"/>
          <w:rFonts w:hint="eastAsia"/>
        </w:rPr>
        <w:t>电气技术要求</w:t>
      </w:r>
      <w:r>
        <w:tab/>
      </w:r>
      <w:r>
        <w:fldChar w:fldCharType="begin"/>
      </w:r>
      <w:r>
        <w:instrText xml:space="preserve"> PAGEREF _Toc61186508 \h </w:instrText>
      </w:r>
      <w:r>
        <w:fldChar w:fldCharType="separate"/>
      </w:r>
      <w:r>
        <w:t>10</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"_Toc61186509" </w:instrText>
      </w:r>
      <w:r>
        <w:fldChar w:fldCharType="separate"/>
      </w:r>
      <w:r>
        <w:rPr>
          <w:rStyle w:val="15"/>
        </w:rPr>
        <w:t xml:space="preserve">5.5  </w:t>
      </w:r>
      <w:r>
        <w:rPr>
          <w:rStyle w:val="15"/>
          <w:rFonts w:hint="eastAsia"/>
        </w:rPr>
        <w:t>仪表与控制系统</w:t>
      </w:r>
      <w:r>
        <w:tab/>
      </w:r>
      <w:r>
        <w:fldChar w:fldCharType="begin"/>
      </w:r>
      <w:r>
        <w:instrText xml:space="preserve"> PAGEREF _Toc61186509 \h </w:instrText>
      </w:r>
      <w:r>
        <w:fldChar w:fldCharType="separate"/>
      </w:r>
      <w:r>
        <w:t>11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"_Toc61186510" </w:instrText>
      </w:r>
      <w:r>
        <w:fldChar w:fldCharType="separate"/>
      </w:r>
      <w:r>
        <w:rPr>
          <w:rStyle w:val="15"/>
        </w:rPr>
        <w:t xml:space="preserve">5.6  </w:t>
      </w:r>
      <w:r>
        <w:rPr>
          <w:rStyle w:val="15"/>
          <w:rFonts w:hint="eastAsia"/>
        </w:rPr>
        <w:t>底橇和地脚螺栓</w:t>
      </w:r>
      <w:r>
        <w:tab/>
      </w:r>
      <w:r>
        <w:fldChar w:fldCharType="begin"/>
      </w:r>
      <w:r>
        <w:instrText xml:space="preserve"> PAGEREF _Toc61186510 \h </w:instrText>
      </w:r>
      <w:r>
        <w:fldChar w:fldCharType="separate"/>
      </w:r>
      <w:r>
        <w:t>11</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"_Toc61186511" </w:instrText>
      </w:r>
      <w:r>
        <w:fldChar w:fldCharType="separate"/>
      </w:r>
      <w:r>
        <w:rPr>
          <w:rStyle w:val="15"/>
        </w:rPr>
        <w:t xml:space="preserve">5.7  </w:t>
      </w:r>
      <w:r>
        <w:rPr>
          <w:rStyle w:val="15"/>
          <w:rFonts w:hint="eastAsia"/>
        </w:rPr>
        <w:t>材料</w:t>
      </w:r>
      <w:r>
        <w:tab/>
      </w:r>
      <w:r>
        <w:fldChar w:fldCharType="begin"/>
      </w:r>
      <w:r>
        <w:instrText xml:space="preserve"> PAGEREF _Toc61186511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"_Toc61186512" </w:instrText>
      </w:r>
      <w:r>
        <w:fldChar w:fldCharType="separate"/>
      </w:r>
      <w:r>
        <w:rPr>
          <w:rStyle w:val="15"/>
        </w:rPr>
        <w:t xml:space="preserve">5.8  </w:t>
      </w:r>
      <w:r>
        <w:rPr>
          <w:rStyle w:val="15"/>
          <w:rFonts w:hint="eastAsia"/>
        </w:rPr>
        <w:t>焊接</w:t>
      </w:r>
      <w:r>
        <w:tab/>
      </w:r>
      <w:r>
        <w:fldChar w:fldCharType="begin"/>
      </w:r>
      <w:r>
        <w:instrText xml:space="preserve"> PAGEREF _Toc61186512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"_Toc61186513" </w:instrText>
      </w:r>
      <w:r>
        <w:fldChar w:fldCharType="separate"/>
      </w:r>
      <w:r>
        <w:rPr>
          <w:rStyle w:val="15"/>
        </w:rPr>
        <w:t xml:space="preserve">5.9  </w:t>
      </w:r>
      <w:r>
        <w:rPr>
          <w:rStyle w:val="15"/>
          <w:rFonts w:hint="eastAsia"/>
        </w:rPr>
        <w:t>无损检测</w:t>
      </w:r>
      <w:r>
        <w:tab/>
      </w:r>
      <w:r>
        <w:fldChar w:fldCharType="begin"/>
      </w:r>
      <w:r>
        <w:instrText xml:space="preserve"> PAGEREF _Toc61186513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"_Toc61186514" </w:instrText>
      </w:r>
      <w:r>
        <w:fldChar w:fldCharType="separate"/>
      </w:r>
      <w:r>
        <w:rPr>
          <w:rStyle w:val="15"/>
        </w:rPr>
        <w:t xml:space="preserve">5.10  </w:t>
      </w:r>
      <w:r>
        <w:rPr>
          <w:rStyle w:val="15"/>
          <w:rFonts w:hint="eastAsia"/>
        </w:rPr>
        <w:t>其他要求</w:t>
      </w:r>
      <w:r>
        <w:tab/>
      </w:r>
      <w:r>
        <w:fldChar w:fldCharType="begin"/>
      </w:r>
      <w:r>
        <w:instrText xml:space="preserve"> PAGEREF _Toc61186514 \h </w:instrText>
      </w:r>
      <w:r>
        <w:fldChar w:fldCharType="separate"/>
      </w:r>
      <w:r>
        <w:t>12</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"_Toc61186515" </w:instrText>
      </w:r>
      <w:r>
        <w:fldChar w:fldCharType="separate"/>
      </w:r>
      <w:r>
        <w:rPr>
          <w:rStyle w:val="15"/>
        </w:rPr>
        <w:t xml:space="preserve">5.11  </w:t>
      </w:r>
      <w:r>
        <w:rPr>
          <w:rStyle w:val="15"/>
          <w:rFonts w:hint="eastAsia"/>
        </w:rPr>
        <w:t>防腐要求</w:t>
      </w:r>
      <w:r>
        <w:tab/>
      </w:r>
      <w:r>
        <w:fldChar w:fldCharType="begin"/>
      </w:r>
      <w:r>
        <w:instrText xml:space="preserve"> PAGEREF _Toc61186515 \h </w:instrText>
      </w:r>
      <w:r>
        <w:fldChar w:fldCharType="separate"/>
      </w:r>
      <w:r>
        <w:t>13</w:t>
      </w:r>
      <w:r>
        <w:fldChar w:fldCharType="end"/>
      </w:r>
      <w:r>
        <w:fldChar w:fldCharType="end"/>
      </w:r>
    </w:p>
    <w:p>
      <w:pPr>
        <w:pStyle w:val="9"/>
        <w:rPr>
          <w:rFonts w:asciiTheme="minorHAnsi" w:eastAsiaTheme="minorEastAsia"/>
          <w:sz w:val="21"/>
          <w:szCs w:val="22"/>
        </w:rPr>
      </w:pPr>
      <w:r>
        <w:fldChar w:fldCharType="begin"/>
      </w:r>
      <w:r>
        <w:instrText xml:space="preserve"> HYPERLINK \l "_Toc61186516" </w:instrText>
      </w:r>
      <w:r>
        <w:fldChar w:fldCharType="separate"/>
      </w:r>
      <w:r>
        <w:rPr>
          <w:rStyle w:val="15"/>
          <w:rFonts w:cs="Times New Roman"/>
        </w:rPr>
        <w:t xml:space="preserve">6  </w:t>
      </w:r>
      <w:r>
        <w:rPr>
          <w:rStyle w:val="15"/>
          <w:rFonts w:hint="eastAsia"/>
        </w:rPr>
        <w:t>业主提供的技术文件</w:t>
      </w:r>
      <w:r>
        <w:tab/>
      </w:r>
      <w:r>
        <w:fldChar w:fldCharType="begin"/>
      </w:r>
      <w:r>
        <w:instrText xml:space="preserve"> PAGEREF _Toc61186516 \h </w:instrText>
      </w:r>
      <w:r>
        <w:fldChar w:fldCharType="separate"/>
      </w:r>
      <w:r>
        <w:t>14</w:t>
      </w:r>
      <w:r>
        <w:fldChar w:fldCharType="end"/>
      </w:r>
      <w:r>
        <w:fldChar w:fldCharType="end"/>
      </w:r>
    </w:p>
    <w:p>
      <w:pPr>
        <w:pStyle w:val="9"/>
        <w:rPr>
          <w:rFonts w:asciiTheme="minorHAnsi" w:eastAsiaTheme="minorEastAsia"/>
          <w:sz w:val="21"/>
          <w:szCs w:val="22"/>
        </w:rPr>
      </w:pPr>
      <w:r>
        <w:fldChar w:fldCharType="begin"/>
      </w:r>
      <w:r>
        <w:instrText xml:space="preserve"> HYPERLINK \l "_Toc61186517" </w:instrText>
      </w:r>
      <w:r>
        <w:fldChar w:fldCharType="separate"/>
      </w:r>
      <w:r>
        <w:rPr>
          <w:rStyle w:val="15"/>
          <w:rFonts w:cs="Times New Roman"/>
        </w:rPr>
        <w:t xml:space="preserve">7  </w:t>
      </w:r>
      <w:r>
        <w:rPr>
          <w:rStyle w:val="15"/>
          <w:rFonts w:hint="eastAsia"/>
        </w:rPr>
        <w:t>供货商提供的文件</w:t>
      </w:r>
      <w:r>
        <w:tab/>
      </w:r>
      <w:r>
        <w:fldChar w:fldCharType="begin"/>
      </w:r>
      <w:r>
        <w:instrText xml:space="preserve"> PAGEREF _Toc61186517 \h </w:instrText>
      </w:r>
      <w:r>
        <w:fldChar w:fldCharType="separate"/>
      </w:r>
      <w:r>
        <w:t>14</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"_Toc61186518" </w:instrText>
      </w:r>
      <w:r>
        <w:fldChar w:fldCharType="separate"/>
      </w:r>
      <w:r>
        <w:rPr>
          <w:rStyle w:val="15"/>
        </w:rPr>
        <w:t xml:space="preserve">7.1  </w:t>
      </w:r>
      <w:r>
        <w:rPr>
          <w:rStyle w:val="15"/>
          <w:rFonts w:hint="eastAsia"/>
        </w:rPr>
        <w:t>一般文件要求</w:t>
      </w:r>
      <w:r>
        <w:tab/>
      </w:r>
      <w:r>
        <w:fldChar w:fldCharType="begin"/>
      </w:r>
      <w:r>
        <w:instrText xml:space="preserve"> PAGEREF _Toc61186518 \h </w:instrText>
      </w:r>
      <w:r>
        <w:fldChar w:fldCharType="separate"/>
      </w:r>
      <w:r>
        <w:t>14</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"_Toc61186519" </w:instrText>
      </w:r>
      <w:r>
        <w:fldChar w:fldCharType="separate"/>
      </w:r>
      <w:r>
        <w:rPr>
          <w:rStyle w:val="15"/>
        </w:rPr>
        <w:t xml:space="preserve">7.2  </w:t>
      </w:r>
      <w:r>
        <w:rPr>
          <w:rStyle w:val="15"/>
          <w:rFonts w:hint="eastAsia"/>
        </w:rPr>
        <w:t>供应商</w:t>
      </w:r>
      <w:r>
        <w:rPr>
          <w:rStyle w:val="15"/>
        </w:rPr>
        <w:t>(</w:t>
      </w:r>
      <w:r>
        <w:rPr>
          <w:rStyle w:val="15"/>
          <w:rFonts w:hint="eastAsia"/>
        </w:rPr>
        <w:t>制造商</w:t>
      </w:r>
      <w:r>
        <w:rPr>
          <w:rStyle w:val="15"/>
        </w:rPr>
        <w:t>)</w:t>
      </w:r>
      <w:r>
        <w:rPr>
          <w:rStyle w:val="15"/>
          <w:rFonts w:hint="eastAsia"/>
        </w:rPr>
        <w:t>提交的技术文件</w:t>
      </w:r>
      <w:r>
        <w:tab/>
      </w:r>
      <w:r>
        <w:fldChar w:fldCharType="begin"/>
      </w:r>
      <w:r>
        <w:instrText xml:space="preserve"> PAGEREF _Toc61186519 \h </w:instrText>
      </w:r>
      <w:r>
        <w:fldChar w:fldCharType="separate"/>
      </w:r>
      <w:r>
        <w:t>14</w:t>
      </w:r>
      <w:r>
        <w:fldChar w:fldCharType="end"/>
      </w:r>
      <w:r>
        <w:fldChar w:fldCharType="end"/>
      </w:r>
    </w:p>
    <w:p>
      <w:pPr>
        <w:pStyle w:val="9"/>
        <w:rPr>
          <w:rFonts w:asciiTheme="minorHAnsi" w:eastAsiaTheme="minorEastAsia"/>
          <w:sz w:val="21"/>
          <w:szCs w:val="22"/>
        </w:rPr>
      </w:pPr>
      <w:r>
        <w:fldChar w:fldCharType="begin"/>
      </w:r>
      <w:r>
        <w:instrText xml:space="preserve"> HYPERLINK \l "_Toc61186520" </w:instrText>
      </w:r>
      <w:r>
        <w:fldChar w:fldCharType="separate"/>
      </w:r>
      <w:r>
        <w:rPr>
          <w:rStyle w:val="15"/>
          <w:rFonts w:cs="Times New Roman"/>
        </w:rPr>
        <w:t xml:space="preserve">8  </w:t>
      </w:r>
      <w:r>
        <w:rPr>
          <w:rStyle w:val="15"/>
          <w:rFonts w:hint="eastAsia"/>
        </w:rPr>
        <w:t>保证和赔偿</w:t>
      </w:r>
      <w:r>
        <w:tab/>
      </w:r>
      <w:r>
        <w:fldChar w:fldCharType="begin"/>
      </w:r>
      <w:r>
        <w:instrText xml:space="preserve"> PAGEREF _Toc61186520 \h </w:instrText>
      </w:r>
      <w:r>
        <w:fldChar w:fldCharType="separate"/>
      </w:r>
      <w:r>
        <w:t>16</w:t>
      </w:r>
      <w:r>
        <w:fldChar w:fldCharType="end"/>
      </w:r>
      <w:r>
        <w:fldChar w:fldCharType="end"/>
      </w:r>
    </w:p>
    <w:p>
      <w:pPr>
        <w:pStyle w:val="9"/>
        <w:rPr>
          <w:rFonts w:asciiTheme="minorHAnsi" w:eastAsiaTheme="minorEastAsia"/>
          <w:sz w:val="21"/>
          <w:szCs w:val="22"/>
        </w:rPr>
      </w:pPr>
      <w:r>
        <w:fldChar w:fldCharType="begin"/>
      </w:r>
      <w:r>
        <w:instrText xml:space="preserve"> HYPERLINK \l "_Toc61186521" </w:instrText>
      </w:r>
      <w:r>
        <w:fldChar w:fldCharType="separate"/>
      </w:r>
      <w:r>
        <w:rPr>
          <w:rStyle w:val="15"/>
          <w:rFonts w:cs="Times New Roman"/>
        </w:rPr>
        <w:t xml:space="preserve">9  </w:t>
      </w:r>
      <w:r>
        <w:rPr>
          <w:rStyle w:val="15"/>
          <w:rFonts w:hint="eastAsia"/>
        </w:rPr>
        <w:t>文件</w:t>
      </w:r>
      <w:r>
        <w:rPr>
          <w:rStyle w:val="15"/>
          <w:rFonts w:cs="Times New Roman"/>
        </w:rPr>
        <w:t>/</w:t>
      </w:r>
      <w:r>
        <w:rPr>
          <w:rStyle w:val="15"/>
          <w:rFonts w:hint="eastAsia"/>
        </w:rPr>
        <w:t>资料批准或审查</w:t>
      </w:r>
      <w:r>
        <w:tab/>
      </w:r>
      <w:r>
        <w:fldChar w:fldCharType="begin"/>
      </w:r>
      <w:r>
        <w:instrText xml:space="preserve"> PAGEREF _Toc61186521 \h </w:instrText>
      </w:r>
      <w:r>
        <w:fldChar w:fldCharType="separate"/>
      </w:r>
      <w:r>
        <w:t>16</w:t>
      </w:r>
      <w:r>
        <w:fldChar w:fldCharType="end"/>
      </w:r>
      <w:r>
        <w:fldChar w:fldCharType="end"/>
      </w:r>
    </w:p>
    <w:p>
      <w:pPr>
        <w:pStyle w:val="9"/>
        <w:rPr>
          <w:rFonts w:asciiTheme="minorHAnsi" w:eastAsiaTheme="minorEastAsia"/>
          <w:sz w:val="21"/>
          <w:szCs w:val="22"/>
        </w:rPr>
      </w:pPr>
      <w:r>
        <w:fldChar w:fldCharType="begin"/>
      </w:r>
      <w:r>
        <w:instrText xml:space="preserve"> HYPERLINK \l "_Toc61186522" </w:instrText>
      </w:r>
      <w:r>
        <w:fldChar w:fldCharType="separate"/>
      </w:r>
      <w:r>
        <w:rPr>
          <w:rStyle w:val="15"/>
        </w:rPr>
        <w:t xml:space="preserve">10  </w:t>
      </w:r>
      <w:r>
        <w:rPr>
          <w:rStyle w:val="15"/>
          <w:rFonts w:hint="eastAsia"/>
        </w:rPr>
        <w:t>检验、试验、记录和拒收</w:t>
      </w:r>
      <w:r>
        <w:tab/>
      </w:r>
      <w:r>
        <w:fldChar w:fldCharType="begin"/>
      </w:r>
      <w:r>
        <w:instrText xml:space="preserve"> PAGEREF _Toc61186522 \h </w:instrText>
      </w:r>
      <w:r>
        <w:fldChar w:fldCharType="separate"/>
      </w:r>
      <w:r>
        <w:t>17</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"_Toc61186523" </w:instrText>
      </w:r>
      <w:r>
        <w:fldChar w:fldCharType="separate"/>
      </w:r>
      <w:r>
        <w:rPr>
          <w:rStyle w:val="15"/>
        </w:rPr>
        <w:t xml:space="preserve">10.1  </w:t>
      </w:r>
      <w:r>
        <w:rPr>
          <w:rStyle w:val="15"/>
          <w:rFonts w:hint="eastAsia"/>
        </w:rPr>
        <w:t>检验与试验</w:t>
      </w:r>
      <w:r>
        <w:tab/>
      </w:r>
      <w:r>
        <w:fldChar w:fldCharType="begin"/>
      </w:r>
      <w:r>
        <w:instrText xml:space="preserve"> PAGEREF _Toc61186523 \h </w:instrText>
      </w:r>
      <w:r>
        <w:fldChar w:fldCharType="separate"/>
      </w:r>
      <w:r>
        <w:t>17</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"_Toc61186524" </w:instrText>
      </w:r>
      <w:r>
        <w:fldChar w:fldCharType="separate"/>
      </w:r>
      <w:r>
        <w:rPr>
          <w:rStyle w:val="15"/>
        </w:rPr>
        <w:t xml:space="preserve">10.2  </w:t>
      </w:r>
      <w:r>
        <w:rPr>
          <w:rStyle w:val="15"/>
          <w:rFonts w:hint="eastAsia"/>
        </w:rPr>
        <w:t>记录</w:t>
      </w:r>
      <w:r>
        <w:tab/>
      </w:r>
      <w:r>
        <w:fldChar w:fldCharType="begin"/>
      </w:r>
      <w:r>
        <w:instrText xml:space="preserve"> PAGEREF _Toc61186524 \h </w:instrText>
      </w:r>
      <w:r>
        <w:fldChar w:fldCharType="separate"/>
      </w:r>
      <w:r>
        <w:t>18</w:t>
      </w:r>
      <w:r>
        <w:fldChar w:fldCharType="end"/>
      </w:r>
      <w:r>
        <w:fldChar w:fldCharType="end"/>
      </w:r>
    </w:p>
    <w:p>
      <w:pPr>
        <w:pStyle w:val="10"/>
        <w:tabs>
          <w:tab w:val="right" w:leader="dot" w:pos="9016"/>
        </w:tabs>
        <w:rPr>
          <w:rFonts w:asciiTheme="minorHAnsi"/>
          <w:sz w:val="21"/>
          <w:szCs w:val="22"/>
        </w:rPr>
      </w:pPr>
      <w:r>
        <w:fldChar w:fldCharType="begin"/>
      </w:r>
      <w:r>
        <w:instrText xml:space="preserve"> HYPERLINK \l "_Toc61186525" </w:instrText>
      </w:r>
      <w:r>
        <w:fldChar w:fldCharType="separate"/>
      </w:r>
      <w:r>
        <w:rPr>
          <w:rStyle w:val="15"/>
        </w:rPr>
        <w:t xml:space="preserve">10.3  </w:t>
      </w:r>
      <w:r>
        <w:rPr>
          <w:rStyle w:val="15"/>
          <w:rFonts w:hint="eastAsia"/>
        </w:rPr>
        <w:t>拒收</w:t>
      </w:r>
      <w:r>
        <w:tab/>
      </w:r>
      <w:r>
        <w:fldChar w:fldCharType="begin"/>
      </w:r>
      <w:r>
        <w:instrText xml:space="preserve"> PAGEREF _Toc61186525 \h </w:instrText>
      </w:r>
      <w:r>
        <w:fldChar w:fldCharType="separate"/>
      </w:r>
      <w:r>
        <w:t>18</w:t>
      </w:r>
      <w:r>
        <w:fldChar w:fldCharType="end"/>
      </w:r>
      <w:r>
        <w:fldChar w:fldCharType="end"/>
      </w:r>
    </w:p>
    <w:p>
      <w:pPr>
        <w:pStyle w:val="9"/>
        <w:rPr>
          <w:rFonts w:asciiTheme="minorHAnsi" w:eastAsiaTheme="minorEastAsia"/>
          <w:sz w:val="21"/>
          <w:szCs w:val="22"/>
        </w:rPr>
      </w:pPr>
      <w:r>
        <w:fldChar w:fldCharType="begin"/>
      </w:r>
      <w:r>
        <w:instrText xml:space="preserve"> HYPERLINK \l "_Toc61186526" </w:instrText>
      </w:r>
      <w:r>
        <w:fldChar w:fldCharType="separate"/>
      </w:r>
      <w:r>
        <w:rPr>
          <w:rStyle w:val="15"/>
        </w:rPr>
        <w:t xml:space="preserve">11  </w:t>
      </w:r>
      <w:r>
        <w:rPr>
          <w:rStyle w:val="15"/>
          <w:rFonts w:hint="eastAsia"/>
        </w:rPr>
        <w:t>技术服务</w:t>
      </w:r>
      <w:r>
        <w:tab/>
      </w:r>
      <w:r>
        <w:fldChar w:fldCharType="begin"/>
      </w:r>
      <w:r>
        <w:instrText xml:space="preserve"> PAGEREF _Toc61186526 \h </w:instrText>
      </w:r>
      <w:r>
        <w:fldChar w:fldCharType="separate"/>
      </w:r>
      <w:r>
        <w:t>18</w:t>
      </w:r>
      <w:r>
        <w:fldChar w:fldCharType="end"/>
      </w:r>
      <w:r>
        <w:fldChar w:fldCharType="end"/>
      </w:r>
    </w:p>
    <w:p>
      <w:pPr>
        <w:pStyle w:val="9"/>
        <w:rPr>
          <w:rFonts w:asciiTheme="minorHAnsi" w:eastAsiaTheme="minorEastAsia"/>
          <w:sz w:val="21"/>
          <w:szCs w:val="22"/>
        </w:rPr>
      </w:pPr>
      <w:r>
        <w:fldChar w:fldCharType="begin"/>
      </w:r>
      <w:r>
        <w:instrText xml:space="preserve"> HYPERLINK \l "_Toc61186527" </w:instrText>
      </w:r>
      <w:r>
        <w:fldChar w:fldCharType="separate"/>
      </w:r>
      <w:r>
        <w:rPr>
          <w:rStyle w:val="15"/>
        </w:rPr>
        <w:t xml:space="preserve">12  </w:t>
      </w:r>
      <w:r>
        <w:rPr>
          <w:rStyle w:val="15"/>
          <w:rFonts w:hint="eastAsia"/>
        </w:rPr>
        <w:t>售后服务</w:t>
      </w:r>
      <w:r>
        <w:tab/>
      </w:r>
      <w:r>
        <w:fldChar w:fldCharType="begin"/>
      </w:r>
      <w:r>
        <w:instrText xml:space="preserve"> PAGEREF _Toc61186527 \h </w:instrText>
      </w:r>
      <w:r>
        <w:fldChar w:fldCharType="separate"/>
      </w:r>
      <w:r>
        <w:t>19</w:t>
      </w:r>
      <w:r>
        <w:fldChar w:fldCharType="end"/>
      </w:r>
      <w:r>
        <w:fldChar w:fldCharType="end"/>
      </w:r>
    </w:p>
    <w:p>
      <w:pPr>
        <w:pStyle w:val="9"/>
        <w:rPr>
          <w:rFonts w:asciiTheme="minorHAnsi" w:eastAsiaTheme="minorEastAsia"/>
          <w:sz w:val="21"/>
          <w:szCs w:val="22"/>
        </w:rPr>
      </w:pPr>
      <w:r>
        <w:fldChar w:fldCharType="begin"/>
      </w:r>
      <w:r>
        <w:instrText xml:space="preserve"> HYPERLINK \l "_Toc61186528" </w:instrText>
      </w:r>
      <w:r>
        <w:fldChar w:fldCharType="separate"/>
      </w:r>
      <w:r>
        <w:rPr>
          <w:rStyle w:val="15"/>
        </w:rPr>
        <w:t xml:space="preserve">13  </w:t>
      </w:r>
      <w:r>
        <w:rPr>
          <w:rStyle w:val="15"/>
          <w:rFonts w:hint="eastAsia"/>
        </w:rPr>
        <w:t>附件：硫除雾器鼓风机数据表</w:t>
      </w:r>
      <w:r>
        <w:tab/>
      </w:r>
      <w:r>
        <w:fldChar w:fldCharType="begin"/>
      </w:r>
      <w:r>
        <w:instrText xml:space="preserve"> PAGEREF _Toc61186528 \h </w:instrText>
      </w:r>
      <w:r>
        <w:fldChar w:fldCharType="separate"/>
      </w:r>
      <w:r>
        <w:t>19</w:t>
      </w:r>
      <w:r>
        <w:fldChar w:fldCharType="end"/>
      </w:r>
      <w:r>
        <w:fldChar w:fldCharType="end"/>
      </w:r>
    </w:p>
    <w:p>
      <w:pPr>
        <w:ind w:firstLine="0" w:firstLineChars="0"/>
        <w:jc w:val="center"/>
        <w:rPr>
          <w:rFonts w:eastAsia="黑体" w:cs="Times New Roman" w:hAnsiTheme="minorEastAsia"/>
          <w:b/>
          <w:bCs/>
          <w:kern w:val="0"/>
          <w:szCs w:val="24"/>
        </w:rPr>
      </w:pPr>
      <w:r>
        <w:rPr>
          <w:rFonts w:eastAsia="黑体" w:cs="Times New Roman" w:hAnsiTheme="minorEastAsia"/>
          <w:b/>
          <w:bCs/>
          <w:kern w:val="0"/>
          <w:szCs w:val="24"/>
        </w:rPr>
        <w:fldChar w:fldCharType="end"/>
      </w:r>
    </w:p>
    <w:p>
      <w:pPr>
        <w:spacing w:line="240" w:lineRule="auto"/>
        <w:ind w:firstLine="0" w:firstLineChars="0"/>
        <w:rPr>
          <w:rFonts w:eastAsia="黑体" w:cs="Times New Roman" w:hAnsiTheme="minorEastAsia"/>
          <w:b/>
          <w:bCs/>
          <w:kern w:val="0"/>
          <w:szCs w:val="24"/>
        </w:rPr>
      </w:pPr>
      <w:r>
        <w:rPr>
          <w:rFonts w:eastAsia="黑体" w:cs="Times New Roman" w:hAnsiTheme="minorEastAsia"/>
          <w:b/>
          <w:bCs/>
          <w:kern w:val="0"/>
          <w:szCs w:val="24"/>
        </w:rPr>
        <w:br w:type="page"/>
      </w:r>
    </w:p>
    <w:p>
      <w:pPr>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pgNumType w:start="1"/>
          <w:cols w:space="425" w:num="1"/>
          <w:docGrid w:type="lines" w:linePitch="312" w:charSpace="0"/>
        </w:sectPr>
      </w:pPr>
    </w:p>
    <w:p>
      <w:pPr>
        <w:pStyle w:val="2"/>
      </w:pPr>
      <w:bookmarkStart w:id="0" w:name="_Toc61186496"/>
      <w:r>
        <w:t>1</w:t>
      </w:r>
      <w:r>
        <w:rPr>
          <w:rFonts w:hint="eastAsia"/>
        </w:rPr>
        <w:t xml:space="preserve">  概述</w:t>
      </w:r>
      <w:bookmarkEnd w:id="0"/>
    </w:p>
    <w:p>
      <w:pPr>
        <w:ind w:firstLine="480"/>
      </w:pPr>
      <w:r>
        <w:rPr>
          <w:rFonts w:hint="eastAsia"/>
        </w:rPr>
        <w:t>垫江县脱硫厂二期脱硫装置技改项目位于重庆市垫江县澄溪镇胜利五社。</w:t>
      </w:r>
    </w:p>
    <w:p>
      <w:pPr>
        <w:ind w:firstLine="480"/>
      </w:pPr>
      <w:r>
        <w:rPr>
          <w:rFonts w:hint="eastAsia"/>
        </w:rPr>
        <w:t>本技术规格书是为垫江县脱硫厂有限责任公司百万方及三期脱硫装置更新改造提升项目采购的2台硫除雾器鼓风机而编制的。是对硫除雾器鼓风机设计、制造、总成、检验、供货及运输保护等方面的最低要求。</w:t>
      </w:r>
    </w:p>
    <w:p>
      <w:pPr>
        <w:ind w:firstLine="480"/>
      </w:pPr>
      <w:r>
        <w:rPr>
          <w:rFonts w:hint="eastAsia"/>
        </w:rPr>
        <w:t>本技术规格书将作为订货合同技术部分的内容，所列要求为基本要求，并不能免除供货商对所提供的硫除雾器鼓风机及其安装附件的完整性、适用性、可靠性以及性能方面所承担</w:t>
      </w:r>
      <w:r>
        <w:rPr>
          <w:spacing w:val="-49"/>
        </w:rPr>
        <w:t xml:space="preserve"> </w:t>
      </w:r>
      <w:r>
        <w:rPr>
          <w:rFonts w:hint="eastAsia"/>
        </w:rPr>
        <w:t>的责任。</w:t>
      </w:r>
    </w:p>
    <w:p>
      <w:pPr>
        <w:pStyle w:val="2"/>
        <w:rPr>
          <w:rFonts w:cs="Arial Unicode MS"/>
        </w:rPr>
      </w:pPr>
      <w:bookmarkStart w:id="1" w:name="_Toc61186497"/>
      <w:r>
        <w:t>2</w:t>
      </w:r>
      <w:r>
        <w:rPr>
          <w:rFonts w:hint="eastAsia"/>
        </w:rPr>
        <w:t xml:space="preserve">  </w:t>
      </w:r>
      <w:r>
        <w:rPr>
          <w:rFonts w:hint="eastAsia" w:cs="Arial Unicode MS"/>
        </w:rPr>
        <w:t>定义</w:t>
      </w:r>
      <w:bookmarkEnd w:id="1"/>
    </w:p>
    <w:p>
      <w:pPr>
        <w:ind w:firstLine="480"/>
      </w:pPr>
      <w:r>
        <w:rPr>
          <w:rFonts w:hint="eastAsia"/>
        </w:rPr>
        <w:t>本技术规格书中使用的术语定义如下：</w:t>
      </w:r>
    </w:p>
    <w:p>
      <w:pPr>
        <w:ind w:firstLine="480"/>
      </w:pPr>
      <w:r>
        <w:rPr>
          <w:rFonts w:hint="eastAsia"/>
        </w:rPr>
        <w:t>工程名称：垫江县脱硫厂有限责任公司百万方及三期脱硫装置更新改造提升项目</w:t>
      </w:r>
    </w:p>
    <w:p>
      <w:pPr>
        <w:ind w:firstLine="480"/>
      </w:pPr>
      <w:r>
        <w:rPr>
          <w:rFonts w:hint="eastAsia"/>
        </w:rPr>
        <w:t>业    主：垫江县脱硫厂有限责任公司</w:t>
      </w:r>
    </w:p>
    <w:p>
      <w:pPr>
        <w:ind w:firstLine="480"/>
      </w:pPr>
      <w:r>
        <w:rPr>
          <w:rFonts w:hint="eastAsia"/>
        </w:rPr>
        <w:t>设计单位：四川省化工设计院</w:t>
      </w:r>
    </w:p>
    <w:p>
      <w:pPr>
        <w:ind w:firstLine="480"/>
      </w:pPr>
      <w:r>
        <w:rPr>
          <w:rFonts w:hint="eastAsia"/>
        </w:rPr>
        <w:t>供应商（制造商）：本项目中为业主提供制造设备的公司或工厂</w:t>
      </w:r>
    </w:p>
    <w:p>
      <w:pPr>
        <w:ind w:firstLine="480"/>
      </w:pPr>
      <w:r>
        <w:rPr>
          <w:rFonts w:hint="eastAsia"/>
        </w:rPr>
        <w:t>子供应商：本项目中按照分包合同要求为供应商提供制造设备的公司或工厂</w:t>
      </w:r>
    </w:p>
    <w:p>
      <w:pPr>
        <w:pStyle w:val="2"/>
      </w:pPr>
      <w:bookmarkStart w:id="2" w:name="_Toc479924473"/>
      <w:bookmarkStart w:id="3" w:name="_Toc476733335"/>
      <w:bookmarkStart w:id="4" w:name="_Toc479925169"/>
      <w:bookmarkStart w:id="5" w:name="_Toc476835621"/>
      <w:bookmarkStart w:id="6" w:name="_Toc59870851"/>
      <w:bookmarkStart w:id="7" w:name="_Toc61186498"/>
      <w:bookmarkStart w:id="8" w:name="_Toc60001645"/>
      <w:r>
        <w:rPr>
          <w:rFonts w:hint="eastAsia"/>
        </w:rPr>
        <w:t xml:space="preserve">3  </w:t>
      </w:r>
      <w:bookmarkEnd w:id="2"/>
      <w:bookmarkEnd w:id="3"/>
      <w:bookmarkEnd w:id="4"/>
      <w:bookmarkEnd w:id="5"/>
      <w:bookmarkEnd w:id="6"/>
      <w:bookmarkStart w:id="9" w:name="_Toc59870852"/>
      <w:bookmarkStart w:id="10" w:name="_Toc59696041"/>
      <w:bookmarkStart w:id="11" w:name="_Toc269205367"/>
      <w:r>
        <w:t>现场条件</w:t>
      </w:r>
      <w:bookmarkEnd w:id="7"/>
      <w:bookmarkEnd w:id="8"/>
      <w:bookmarkEnd w:id="9"/>
      <w:bookmarkEnd w:id="10"/>
      <w:bookmarkEnd w:id="11"/>
    </w:p>
    <w:p>
      <w:pPr>
        <w:pStyle w:val="3"/>
      </w:pPr>
      <w:bookmarkStart w:id="12" w:name="_Toc14342426"/>
      <w:bookmarkStart w:id="13" w:name="_Toc29803220"/>
      <w:bookmarkStart w:id="14" w:name="_Toc60001646"/>
      <w:bookmarkStart w:id="15" w:name="_Toc61186499"/>
      <w:bookmarkStart w:id="16" w:name="_Toc59870854"/>
      <w:bookmarkStart w:id="17" w:name="_Toc59696043"/>
      <w:bookmarkStart w:id="18" w:name="_Toc404685491"/>
      <w:bookmarkStart w:id="19" w:name="_Toc59612209"/>
      <w:r>
        <w:rPr>
          <w:rFonts w:hint="eastAsia"/>
        </w:rPr>
        <w:t xml:space="preserve">3.1  </w:t>
      </w:r>
      <w:r>
        <w:t>自然条件</w:t>
      </w:r>
      <w:bookmarkEnd w:id="12"/>
      <w:bookmarkEnd w:id="13"/>
      <w:bookmarkEnd w:id="14"/>
      <w:bookmarkEnd w:id="15"/>
      <w:bookmarkEnd w:id="16"/>
      <w:bookmarkEnd w:id="17"/>
      <w:bookmarkEnd w:id="18"/>
      <w:bookmarkEnd w:id="19"/>
    </w:p>
    <w:p>
      <w:pPr>
        <w:ind w:firstLine="0" w:firstLineChars="0"/>
        <w:rPr>
          <w:rFonts w:ascii="宋体" w:hAnsi="宋体" w:eastAsia="宋体" w:cs="Times New Roman"/>
          <w:color w:val="000000"/>
          <w:szCs w:val="20"/>
        </w:rPr>
      </w:pPr>
      <w:r>
        <w:rPr>
          <w:rFonts w:hint="eastAsia" w:ascii="宋体" w:hAnsi="宋体" w:eastAsia="宋体" w:cs="Times New Roman"/>
          <w:color w:val="000000"/>
          <w:szCs w:val="20"/>
        </w:rPr>
        <w:t>3.1.1</w:t>
      </w:r>
      <w:r>
        <w:rPr>
          <w:rFonts w:ascii="宋体" w:hAnsi="宋体" w:eastAsia="宋体" w:cs="Times New Roman"/>
          <w:color w:val="000000"/>
          <w:szCs w:val="20"/>
        </w:rPr>
        <w:t>气象</w:t>
      </w:r>
    </w:p>
    <w:p>
      <w:pPr>
        <w:widowControl/>
        <w:adjustRightInd w:val="0"/>
        <w:ind w:firstLine="480"/>
        <w:jc w:val="left"/>
        <w:rPr>
          <w:rFonts w:ascii="宋体" w:hAnsi="宋体" w:eastAsia="宋体" w:cs="Times New Roman"/>
          <w:color w:val="000000"/>
          <w:szCs w:val="20"/>
        </w:rPr>
      </w:pPr>
      <w:r>
        <w:rPr>
          <w:rFonts w:ascii="宋体" w:hAnsi="宋体" w:eastAsia="宋体" w:cs="Times New Roman"/>
          <w:color w:val="000000"/>
          <w:szCs w:val="20"/>
        </w:rPr>
        <w:t>重庆垫江县地属亚热带季风湿润气候区，大陆性季风气候显著，具有气候温和，雨量充沛，无霜期长的特点。由于受太平洋气候影响，春季气</w:t>
      </w:r>
      <w:r>
        <w:rPr>
          <w:rFonts w:hint="eastAsia" w:ascii="宋体" w:hAnsi="宋体" w:eastAsia="宋体" w:cs="Times New Roman"/>
          <w:color w:val="000000"/>
          <w:szCs w:val="20"/>
        </w:rPr>
        <w:t>温</w:t>
      </w:r>
      <w:r>
        <w:rPr>
          <w:rFonts w:ascii="宋体" w:hAnsi="宋体" w:eastAsia="宋体" w:cs="Times New Roman"/>
          <w:color w:val="000000"/>
          <w:szCs w:val="20"/>
        </w:rPr>
        <w:t>回升快，春早冬暖多变，盛夏连睛高温，多伏旱，雨量集中，多暴雨，冬无严寒。主要气象要素见表</w:t>
      </w:r>
      <w:r>
        <w:rPr>
          <w:rFonts w:hint="eastAsia" w:ascii="宋体" w:hAnsi="宋体" w:eastAsia="宋体" w:cs="Times New Roman"/>
          <w:color w:val="000000"/>
          <w:szCs w:val="20"/>
        </w:rPr>
        <w:t>3.1-1。</w:t>
      </w:r>
    </w:p>
    <w:p>
      <w:pPr>
        <w:widowControl/>
        <w:tabs>
          <w:tab w:val="left" w:pos="3080"/>
        </w:tabs>
        <w:ind w:firstLine="0" w:firstLineChars="0"/>
        <w:rPr>
          <w:rFonts w:ascii="黑体" w:hAnsi="黑体" w:eastAsia="黑体" w:cs="Times New Roman"/>
          <w:b/>
          <w:kern w:val="0"/>
          <w:szCs w:val="24"/>
        </w:rPr>
      </w:pPr>
      <w:r>
        <w:rPr>
          <w:rFonts w:hint="eastAsia" w:ascii="宋体" w:hAnsi="宋体" w:eastAsia="宋体" w:cs="Times New Roman"/>
          <w:kern w:val="0"/>
          <w:sz w:val="21"/>
        </w:rPr>
        <w:t>表3.1-1</w:t>
      </w:r>
      <w:r>
        <w:rPr>
          <w:rFonts w:ascii="宋体" w:hAnsi="宋体" w:eastAsia="宋体" w:cs="Times New Roman"/>
          <w:kern w:val="0"/>
          <w:sz w:val="21"/>
        </w:rPr>
        <w:t xml:space="preserve"> </w:t>
      </w:r>
      <w:r>
        <w:rPr>
          <w:rFonts w:ascii="Times New Roman" w:hAnsi="Times New Roman" w:eastAsia="宋体" w:cs="Times New Roman"/>
          <w:b/>
          <w:kern w:val="0"/>
          <w:szCs w:val="24"/>
        </w:rPr>
        <w:t xml:space="preserve"> </w:t>
      </w:r>
      <w:r>
        <w:rPr>
          <w:rFonts w:hint="eastAsia" w:ascii="Times New Roman" w:hAnsi="Times New Roman" w:eastAsia="宋体" w:cs="Times New Roman"/>
          <w:b/>
          <w:kern w:val="0"/>
          <w:szCs w:val="24"/>
        </w:rPr>
        <w:t xml:space="preserve">                       </w:t>
      </w:r>
      <w:r>
        <w:rPr>
          <w:rFonts w:hint="eastAsia" w:ascii="黑体" w:hAnsi="黑体" w:eastAsia="黑体" w:cs="Times New Roman"/>
          <w:b/>
          <w:kern w:val="0"/>
          <w:szCs w:val="24"/>
        </w:rPr>
        <w:t xml:space="preserve"> </w:t>
      </w:r>
      <w:r>
        <w:rPr>
          <w:rFonts w:ascii="黑体" w:hAnsi="黑体" w:eastAsia="黑体" w:cs="Times New Roman"/>
          <w:b/>
          <w:kern w:val="0"/>
          <w:szCs w:val="24"/>
        </w:rPr>
        <w:t>主要气象要素表</w:t>
      </w:r>
    </w:p>
    <w:tbl>
      <w:tblPr>
        <w:tblStyle w:val="12"/>
        <w:tblW w:w="4892" w:type="pct"/>
        <w:tblInd w:w="108" w:type="dxa"/>
        <w:tblLayout w:type="autofit"/>
        <w:tblCellMar>
          <w:top w:w="0" w:type="dxa"/>
          <w:left w:w="108" w:type="dxa"/>
          <w:bottom w:w="0" w:type="dxa"/>
          <w:right w:w="108" w:type="dxa"/>
        </w:tblCellMar>
      </w:tblPr>
      <w:tblGrid>
        <w:gridCol w:w="819"/>
        <w:gridCol w:w="2748"/>
        <w:gridCol w:w="5475"/>
      </w:tblGrid>
      <w:tr>
        <w:tblPrEx>
          <w:tblCellMar>
            <w:top w:w="0" w:type="dxa"/>
            <w:left w:w="108" w:type="dxa"/>
            <w:bottom w:w="0" w:type="dxa"/>
            <w:right w:w="108" w:type="dxa"/>
          </w:tblCellMar>
        </w:tblPrEx>
        <w:trPr>
          <w:trHeight w:val="285" w:hRule="atLeast"/>
        </w:trPr>
        <w:tc>
          <w:tcPr>
            <w:tcW w:w="453" w:type="pct"/>
            <w:tcBorders>
              <w:top w:val="single" w:color="auto" w:sz="4" w:space="0"/>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序号</w:t>
            </w:r>
          </w:p>
        </w:tc>
        <w:tc>
          <w:tcPr>
            <w:tcW w:w="1519"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气象要素</w:t>
            </w:r>
          </w:p>
        </w:tc>
        <w:tc>
          <w:tcPr>
            <w:tcW w:w="3027"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黑体" w:hAnsi="黑体" w:eastAsia="黑体" w:cs="Arial"/>
                <w:kern w:val="0"/>
                <w:sz w:val="21"/>
              </w:rPr>
            </w:pPr>
            <w:r>
              <w:rPr>
                <w:rFonts w:ascii="黑体" w:hAnsi="黑体" w:eastAsia="黑体" w:cs="Arial"/>
                <w:kern w:val="0"/>
                <w:sz w:val="21"/>
              </w:rPr>
              <w:t>数值</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年平均气压kPa</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95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年平均风速m/s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最大风速   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20-25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年平均日照时数（h）</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1271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年平均降水量mm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1154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1509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最小年降雨量mm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865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相对湿度  %</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81%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9</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年平均蒸发量（mm）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678.3</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10</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多年平均地面温度℃</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最热月平均气温℃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27.8（8月份）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最冷月平均气温℃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5.9（1月份）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年均无霜期（d）</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289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极端最高气温℃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40.4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极端最低气温℃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-4.4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17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最大冻深  cm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ascii="宋体" w:hAnsi="宋体" w:eastAsia="宋体" w:cs="Arial"/>
                <w:kern w:val="0"/>
                <w:sz w:val="21"/>
              </w:rPr>
            </w:pPr>
            <w:r>
              <w:rPr>
                <w:rFonts w:ascii="宋体" w:hAnsi="宋体" w:eastAsia="宋体" w:cs="Arial"/>
                <w:kern w:val="0"/>
                <w:sz w:val="21"/>
              </w:rPr>
              <w:t>无冻结土</w:t>
            </w:r>
          </w:p>
        </w:tc>
      </w:tr>
    </w:tbl>
    <w:p>
      <w:pPr>
        <w:ind w:firstLine="0" w:firstLineChars="0"/>
        <w:rPr>
          <w:rFonts w:ascii="宋体" w:hAnsi="宋体" w:eastAsia="宋体" w:cs="Times New Roman"/>
          <w:color w:val="000000"/>
          <w:szCs w:val="20"/>
        </w:rPr>
      </w:pPr>
      <w:r>
        <w:rPr>
          <w:rFonts w:hint="eastAsia" w:ascii="宋体" w:hAnsi="宋体" w:eastAsia="宋体" w:cs="Times New Roman"/>
          <w:color w:val="000000"/>
          <w:szCs w:val="20"/>
        </w:rPr>
        <w:t xml:space="preserve">3.1.2 </w:t>
      </w:r>
      <w:r>
        <w:rPr>
          <w:rFonts w:ascii="宋体" w:hAnsi="宋体" w:eastAsia="宋体" w:cs="Times New Roman"/>
          <w:color w:val="000000"/>
          <w:szCs w:val="20"/>
        </w:rPr>
        <w:t>水文</w:t>
      </w:r>
    </w:p>
    <w:p>
      <w:pPr>
        <w:adjustRightInd w:val="0"/>
        <w:ind w:firstLine="480"/>
        <w:textAlignment w:val="baseline"/>
        <w:rPr>
          <w:rFonts w:ascii="宋体" w:hAnsi="Times New Roman" w:eastAsia="宋体" w:cs="Times New Roman"/>
          <w:kern w:val="0"/>
          <w:szCs w:val="24"/>
        </w:rPr>
      </w:pPr>
      <w:r>
        <w:rPr>
          <w:rFonts w:ascii="宋体" w:hAnsi="宋体" w:eastAsia="宋体" w:cs="Times New Roman"/>
          <w:color w:val="000000"/>
          <w:szCs w:val="20"/>
        </w:rPr>
        <w:t>地构造位置位于扬子准地台（Ⅰ1）、重庆台坳（Ⅱ1）、重庆陷褶束（Ⅲ1）、华蓥山（Ⅳ2），主要是在燕山期及老造山运动形成的构造形态基础上，经过喜马拉雅期造山运动改造而形成的构造面貌。西部为明月峡背斜，东北部为黄泥塘背斜（南段），东南部为箐口背斜（北段），中部有卧龙河短轴背斜，主要向斜有垫江～梁平向斜、高峰向斜和拔山向斜。其中卧龙河短轴背斜是一个封闭较好的储气（油）构造，该区域地震基本烈度为六度。</w:t>
      </w:r>
    </w:p>
    <w:p>
      <w:pPr>
        <w:pStyle w:val="3"/>
      </w:pPr>
      <w:bookmarkStart w:id="20" w:name="_Toc60001647"/>
      <w:bookmarkStart w:id="21" w:name="_Toc59696044"/>
      <w:bookmarkStart w:id="22" w:name="_Toc61186500"/>
      <w:bookmarkStart w:id="23" w:name="_Toc59870855"/>
      <w:bookmarkStart w:id="24" w:name="_Toc59612210"/>
      <w:r>
        <w:rPr>
          <w:rFonts w:hint="eastAsia"/>
        </w:rPr>
        <w:t>3.2  公用工程条件</w:t>
      </w:r>
      <w:bookmarkEnd w:id="20"/>
      <w:bookmarkEnd w:id="21"/>
      <w:bookmarkEnd w:id="22"/>
      <w:bookmarkEnd w:id="23"/>
      <w:bookmarkEnd w:id="24"/>
    </w:p>
    <w:p>
      <w:pPr>
        <w:adjustRightInd w:val="0"/>
        <w:ind w:firstLine="480"/>
        <w:textAlignment w:val="baseline"/>
        <w:rPr>
          <w:rFonts w:ascii="宋体" w:hAnsi="Times New Roman" w:eastAsia="宋体" w:cs="Arial"/>
          <w:kern w:val="0"/>
          <w:szCs w:val="24"/>
        </w:rPr>
      </w:pPr>
      <w:r>
        <w:rPr>
          <w:rFonts w:hint="eastAsia" w:ascii="宋体" w:hAnsi="Times New Roman" w:eastAsia="宋体" w:cs="Arial"/>
          <w:kern w:val="0"/>
          <w:szCs w:val="24"/>
        </w:rPr>
        <w:t>1）</w:t>
      </w:r>
      <w:r>
        <w:rPr>
          <w:rFonts w:ascii="宋体" w:hAnsi="宋体" w:eastAsia="宋体" w:cs="Arial"/>
          <w:kern w:val="0"/>
          <w:szCs w:val="24"/>
        </w:rPr>
        <w:t>新鲜水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r>
        <w:rPr>
          <w:rFonts w:ascii="宋体" w:hAnsi="Times New Roman" w:eastAsia="宋体" w:cs="Arial"/>
          <w:kern w:val="0"/>
          <w:szCs w:val="24"/>
        </w:rPr>
        <w:t xml:space="preserve"> </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2）</w:t>
      </w:r>
      <w:r>
        <w:rPr>
          <w:rFonts w:ascii="宋体" w:hAnsi="宋体" w:eastAsia="宋体" w:cs="Arial"/>
          <w:kern w:val="0"/>
          <w:szCs w:val="24"/>
        </w:rPr>
        <w:t>循环水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）（进界区）；</w:t>
      </w:r>
      <w:r>
        <w:rPr>
          <w:rFonts w:ascii="宋体" w:hAnsi="Times New Roman" w:eastAsia="宋体" w:cs="Arial"/>
          <w:kern w:val="0"/>
          <w:szCs w:val="24"/>
        </w:rPr>
        <w:t>0.25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）（出界区）</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温度：</w:t>
      </w:r>
      <w:r>
        <w:rPr>
          <w:rFonts w:ascii="宋体" w:hAnsi="Times New Roman" w:eastAsia="宋体" w:cs="Arial"/>
          <w:kern w:val="0"/>
          <w:szCs w:val="24"/>
        </w:rPr>
        <w:t>32</w:t>
      </w:r>
      <w:r>
        <w:rPr>
          <w:rFonts w:ascii="宋体" w:hAnsi="宋体" w:eastAsia="宋体" w:cs="Arial"/>
          <w:kern w:val="0"/>
          <w:szCs w:val="24"/>
        </w:rPr>
        <w:t>℃（进界区）；</w:t>
      </w:r>
      <w:r>
        <w:rPr>
          <w:rFonts w:ascii="宋体" w:hAnsi="Times New Roman" w:eastAsia="宋体" w:cs="Arial"/>
          <w:kern w:val="0"/>
          <w:szCs w:val="24"/>
        </w:rPr>
        <w:t>40</w:t>
      </w:r>
      <w:r>
        <w:rPr>
          <w:rFonts w:ascii="宋体" w:hAnsi="宋体" w:eastAsia="宋体" w:cs="Arial"/>
          <w:kern w:val="0"/>
          <w:szCs w:val="24"/>
        </w:rPr>
        <w:t>℃（出界区）</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3）</w:t>
      </w:r>
      <w:r>
        <w:rPr>
          <w:rFonts w:ascii="宋体" w:hAnsi="宋体" w:eastAsia="宋体" w:cs="Arial"/>
          <w:kern w:val="0"/>
          <w:szCs w:val="24"/>
        </w:rPr>
        <w:t>除盐水</w:t>
      </w:r>
    </w:p>
    <w:p>
      <w:pPr>
        <w:adjustRightInd w:val="0"/>
        <w:ind w:firstLine="480"/>
        <w:textAlignment w:val="baseline"/>
        <w:rPr>
          <w:rFonts w:ascii="宋体" w:hAnsi="Times New Roman" w:eastAsia="宋体" w:cs="Arial"/>
          <w:b/>
          <w:kern w:val="0"/>
          <w:szCs w:val="24"/>
        </w:rPr>
      </w:pPr>
      <w:r>
        <w:rPr>
          <w:rFonts w:ascii="宋体" w:hAnsi="宋体" w:eastAsia="宋体" w:cs="Arial"/>
          <w:kern w:val="0"/>
          <w:szCs w:val="24"/>
        </w:rPr>
        <w:t>压力：</w:t>
      </w:r>
      <w:r>
        <w:rPr>
          <w:rFonts w:ascii="宋体" w:hAnsi="Times New Roman" w:eastAsia="宋体" w:cs="Arial"/>
          <w:kern w:val="0"/>
          <w:szCs w:val="24"/>
        </w:rPr>
        <w:t xml:space="preserve"> 0.6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4）</w:t>
      </w:r>
      <w:r>
        <w:rPr>
          <w:rFonts w:ascii="宋体" w:hAnsi="宋体" w:eastAsia="宋体" w:cs="Arial"/>
          <w:kern w:val="0"/>
          <w:szCs w:val="24"/>
        </w:rPr>
        <w:t>消防水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 xml:space="preserve">0.6MPa(g) </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5）</w:t>
      </w:r>
      <w:r>
        <w:rPr>
          <w:rFonts w:ascii="宋体" w:hAnsi="宋体" w:eastAsia="宋体" w:cs="Arial"/>
          <w:kern w:val="0"/>
          <w:szCs w:val="24"/>
        </w:rPr>
        <w:t>燃料气</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压力：</w:t>
      </w:r>
      <w:r>
        <w:rPr>
          <w:rFonts w:ascii="宋体" w:hAnsi="Times New Roman" w:eastAsia="宋体" w:cs="Arial"/>
          <w:kern w:val="0"/>
          <w:szCs w:val="24"/>
        </w:rPr>
        <w:t>0.4MPa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），温度：常温</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6）</w:t>
      </w:r>
      <w:r>
        <w:rPr>
          <w:rFonts w:ascii="宋体" w:hAnsi="宋体" w:eastAsia="宋体" w:cs="Arial"/>
          <w:kern w:val="0"/>
          <w:szCs w:val="24"/>
        </w:rPr>
        <w:t>电</w:t>
      </w:r>
      <w:r>
        <w:rPr>
          <w:rFonts w:hint="eastAsia" w:ascii="宋体" w:hAnsi="宋体" w:eastAsia="宋体" w:cs="Arial"/>
          <w:kern w:val="0"/>
          <w:szCs w:val="24"/>
        </w:rPr>
        <w:t>力</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220V</w:t>
      </w:r>
      <w:r>
        <w:rPr>
          <w:rFonts w:ascii="宋体" w:hAnsi="宋体" w:eastAsia="宋体" w:cs="Arial"/>
          <w:kern w:val="0"/>
          <w:szCs w:val="24"/>
        </w:rPr>
        <w:t>（</w:t>
      </w:r>
      <w:r>
        <w:rPr>
          <w:rFonts w:ascii="宋体" w:hAnsi="Times New Roman" w:eastAsia="宋体" w:cs="Arial"/>
          <w:kern w:val="0"/>
          <w:szCs w:val="24"/>
        </w:rPr>
        <w:t>±10%</w:t>
      </w:r>
      <w:r>
        <w:rPr>
          <w:rFonts w:ascii="宋体" w:hAnsi="宋体" w:eastAsia="宋体" w:cs="Arial"/>
          <w:kern w:val="0"/>
          <w:szCs w:val="24"/>
        </w:rPr>
        <w:t>），</w:t>
      </w:r>
      <w:r>
        <w:rPr>
          <w:rFonts w:ascii="宋体" w:hAnsi="Times New Roman" w:eastAsia="宋体" w:cs="Arial"/>
          <w:kern w:val="0"/>
          <w:szCs w:val="24"/>
        </w:rPr>
        <w:t>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），单相</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380V</w:t>
      </w:r>
      <w:r>
        <w:rPr>
          <w:rFonts w:ascii="宋体" w:hAnsi="宋体" w:eastAsia="宋体" w:cs="Arial"/>
          <w:kern w:val="0"/>
          <w:szCs w:val="24"/>
        </w:rPr>
        <w:t>（</w:t>
      </w:r>
      <w:r>
        <w:rPr>
          <w:rFonts w:ascii="宋体" w:hAnsi="Times New Roman" w:eastAsia="宋体" w:cs="Arial"/>
          <w:kern w:val="0"/>
          <w:szCs w:val="24"/>
        </w:rPr>
        <w:t>±10%</w:t>
      </w:r>
      <w:r>
        <w:rPr>
          <w:rFonts w:ascii="宋体" w:hAnsi="宋体" w:eastAsia="宋体" w:cs="Arial"/>
          <w:kern w:val="0"/>
          <w:szCs w:val="24"/>
        </w:rPr>
        <w:t>），</w:t>
      </w:r>
      <w:r>
        <w:rPr>
          <w:rFonts w:ascii="宋体" w:hAnsi="Times New Roman" w:eastAsia="宋体" w:cs="Arial"/>
          <w:kern w:val="0"/>
          <w:szCs w:val="24"/>
        </w:rPr>
        <w:t>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），三相</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10kV</w:t>
      </w:r>
      <w:r>
        <w:rPr>
          <w:rFonts w:ascii="宋体" w:hAnsi="宋体" w:eastAsia="宋体" w:cs="Arial"/>
          <w:kern w:val="0"/>
          <w:szCs w:val="24"/>
        </w:rPr>
        <w:t>（</w:t>
      </w:r>
      <w:r>
        <w:rPr>
          <w:rFonts w:ascii="宋体" w:hAnsi="Times New Roman" w:eastAsia="宋体" w:cs="Arial"/>
          <w:kern w:val="0"/>
          <w:szCs w:val="24"/>
        </w:rPr>
        <w:t>±7%</w:t>
      </w:r>
      <w:r>
        <w:rPr>
          <w:rFonts w:ascii="宋体" w:hAnsi="宋体" w:eastAsia="宋体" w:cs="Arial"/>
          <w:kern w:val="0"/>
          <w:szCs w:val="24"/>
        </w:rPr>
        <w:t>），</w:t>
      </w:r>
      <w:r>
        <w:rPr>
          <w:rFonts w:ascii="宋体" w:hAnsi="Times New Roman" w:eastAsia="宋体" w:cs="Arial"/>
          <w:kern w:val="0"/>
          <w:szCs w:val="24"/>
        </w:rPr>
        <w:t xml:space="preserve"> 50Hz</w:t>
      </w:r>
      <w:r>
        <w:rPr>
          <w:rFonts w:ascii="宋体" w:hAnsi="宋体" w:eastAsia="宋体" w:cs="Arial"/>
          <w:kern w:val="0"/>
          <w:szCs w:val="24"/>
        </w:rPr>
        <w:t>（</w:t>
      </w:r>
      <w:r>
        <w:rPr>
          <w:rFonts w:ascii="宋体" w:hAnsi="Times New Roman" w:eastAsia="宋体" w:cs="Arial"/>
          <w:kern w:val="0"/>
          <w:szCs w:val="24"/>
        </w:rPr>
        <w:t>±2%</w:t>
      </w:r>
      <w:r>
        <w:rPr>
          <w:rFonts w:ascii="宋体" w:hAnsi="宋体" w:eastAsia="宋体" w:cs="Arial"/>
          <w:kern w:val="0"/>
          <w:szCs w:val="24"/>
        </w:rPr>
        <w:t>），三相</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7）</w:t>
      </w:r>
      <w:r>
        <w:rPr>
          <w:rFonts w:ascii="宋体" w:hAnsi="宋体" w:eastAsia="宋体" w:cs="Arial"/>
          <w:kern w:val="0"/>
          <w:szCs w:val="24"/>
        </w:rPr>
        <w:t>蒸汽与凝结水</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低压饱和蒸汽</w:t>
      </w:r>
      <w:r>
        <w:rPr>
          <w:rFonts w:ascii="宋体" w:hAnsi="Times New Roman" w:eastAsia="宋体" w:cs="Arial"/>
          <w:kern w:val="0"/>
          <w:szCs w:val="24"/>
        </w:rPr>
        <w:t xml:space="preserve"> 0.5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）（至装置区）</w:t>
      </w:r>
    </w:p>
    <w:p>
      <w:pPr>
        <w:adjustRightInd w:val="0"/>
        <w:ind w:firstLine="480"/>
        <w:textAlignment w:val="baseline"/>
        <w:rPr>
          <w:rFonts w:ascii="宋体" w:hAnsi="Times New Roman" w:eastAsia="宋体" w:cs="Arial"/>
          <w:kern w:val="0"/>
          <w:szCs w:val="24"/>
        </w:rPr>
      </w:pPr>
      <w:r>
        <w:rPr>
          <w:rFonts w:ascii="宋体" w:hAnsi="宋体" w:eastAsia="宋体" w:cs="Arial"/>
          <w:kern w:val="0"/>
          <w:szCs w:val="24"/>
        </w:rPr>
        <w:t>凝结水</w:t>
      </w:r>
      <w:r>
        <w:rPr>
          <w:rFonts w:ascii="宋体" w:hAnsi="Times New Roman" w:eastAsia="宋体" w:cs="Arial"/>
          <w:kern w:val="0"/>
          <w:szCs w:val="24"/>
        </w:rPr>
        <w:t xml:space="preserve"> 0.25 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p>
    <w:p>
      <w:pPr>
        <w:adjustRightInd w:val="0"/>
        <w:ind w:firstLine="480"/>
        <w:textAlignment w:val="baseline"/>
        <w:rPr>
          <w:rFonts w:ascii="宋体" w:hAnsi="Times New Roman" w:eastAsia="宋体" w:cs="Arial"/>
          <w:kern w:val="0"/>
          <w:szCs w:val="24"/>
        </w:rPr>
      </w:pPr>
      <w:r>
        <w:rPr>
          <w:rFonts w:hint="eastAsia" w:ascii="宋体" w:hAnsi="宋体" w:eastAsia="宋体" w:cs="Arial"/>
          <w:kern w:val="0"/>
          <w:szCs w:val="24"/>
        </w:rPr>
        <w:t>8）</w:t>
      </w:r>
      <w:r>
        <w:rPr>
          <w:rFonts w:ascii="宋体" w:hAnsi="宋体" w:eastAsia="宋体" w:cs="Arial"/>
          <w:kern w:val="0"/>
          <w:szCs w:val="24"/>
        </w:rPr>
        <w:t>净化空气</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w:t>
      </w:r>
      <w:r>
        <w:rPr>
          <w:rFonts w:ascii="宋体" w:hAnsi="Times New Roman" w:eastAsia="宋体" w:cs="Arial"/>
          <w:kern w:val="0"/>
          <w:szCs w:val="24"/>
        </w:rPr>
        <w:t>40</w:t>
      </w:r>
      <w:r>
        <w:rPr>
          <w:rFonts w:ascii="宋体" w:hAnsi="宋体" w:eastAsia="宋体" w:cs="Arial"/>
          <w:kern w:val="0"/>
          <w:szCs w:val="24"/>
        </w:rPr>
        <w:t>℃，水露点</w:t>
      </w:r>
      <w:r>
        <w:rPr>
          <w:rFonts w:ascii="宋体" w:hAnsi="Times New Roman" w:eastAsia="宋体" w:cs="Arial"/>
          <w:kern w:val="0"/>
          <w:szCs w:val="24"/>
        </w:rPr>
        <w:t>≤-40</w:t>
      </w:r>
      <w:r>
        <w:rPr>
          <w:rFonts w:ascii="宋体" w:hAnsi="宋体" w:eastAsia="宋体" w:cs="Arial"/>
          <w:kern w:val="0"/>
          <w:szCs w:val="24"/>
        </w:rPr>
        <w:t>℃（在</w:t>
      </w: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）压力下）</w:t>
      </w:r>
    </w:p>
    <w:p>
      <w:pPr>
        <w:adjustRightInd w:val="0"/>
        <w:ind w:firstLine="480"/>
        <w:textAlignment w:val="baseline"/>
        <w:rPr>
          <w:rFonts w:ascii="宋体" w:hAnsi="Times New Roman" w:eastAsia="宋体" w:cs="Arial"/>
          <w:kern w:val="0"/>
          <w:szCs w:val="24"/>
        </w:rPr>
      </w:pPr>
      <w:r>
        <w:rPr>
          <w:rFonts w:hint="eastAsia" w:ascii="宋体" w:hAnsi="Times New Roman" w:eastAsia="宋体" w:cs="Arial"/>
          <w:kern w:val="0"/>
          <w:szCs w:val="24"/>
        </w:rPr>
        <w:t>9）</w:t>
      </w:r>
      <w:r>
        <w:rPr>
          <w:rFonts w:ascii="宋体" w:hAnsi="宋体" w:eastAsia="宋体" w:cs="Arial"/>
          <w:kern w:val="0"/>
          <w:szCs w:val="24"/>
        </w:rPr>
        <w:t>非净化空气</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），水露点</w:t>
      </w:r>
      <w:r>
        <w:rPr>
          <w:rFonts w:ascii="宋体" w:hAnsi="Times New Roman" w:eastAsia="宋体" w:cs="Arial"/>
          <w:kern w:val="0"/>
          <w:szCs w:val="24"/>
        </w:rPr>
        <w:t>≤-40</w:t>
      </w:r>
      <w:r>
        <w:rPr>
          <w:rFonts w:ascii="宋体" w:hAnsi="宋体" w:eastAsia="宋体" w:cs="Arial"/>
          <w:kern w:val="0"/>
          <w:szCs w:val="24"/>
        </w:rPr>
        <w:t>℃（在</w:t>
      </w:r>
      <w:r>
        <w:rPr>
          <w:rFonts w:ascii="宋体" w:hAnsi="Times New Roman" w:eastAsia="宋体" w:cs="Arial"/>
          <w:kern w:val="0"/>
          <w:szCs w:val="24"/>
        </w:rPr>
        <w:t>0.7MPa</w:t>
      </w:r>
      <w:r>
        <w:rPr>
          <w:rFonts w:ascii="宋体" w:hAnsi="宋体" w:eastAsia="宋体" w:cs="Arial"/>
          <w:kern w:val="0"/>
          <w:szCs w:val="24"/>
        </w:rPr>
        <w:t>（</w:t>
      </w:r>
      <w:r>
        <w:rPr>
          <w:rFonts w:ascii="宋体" w:hAnsi="Times New Roman" w:eastAsia="宋体" w:cs="Arial"/>
          <w:kern w:val="0"/>
          <w:szCs w:val="24"/>
        </w:rPr>
        <w:t>g</w:t>
      </w:r>
      <w:r>
        <w:rPr>
          <w:rFonts w:ascii="宋体" w:hAnsi="宋体" w:eastAsia="宋体" w:cs="Arial"/>
          <w:kern w:val="0"/>
          <w:szCs w:val="24"/>
        </w:rPr>
        <w:t>）压力下）</w:t>
      </w:r>
    </w:p>
    <w:p>
      <w:pPr>
        <w:adjustRightInd w:val="0"/>
        <w:ind w:firstLine="480"/>
        <w:textAlignment w:val="baseline"/>
        <w:rPr>
          <w:rFonts w:ascii="宋体" w:hAnsi="Times New Roman" w:eastAsia="宋体" w:cs="Arial"/>
          <w:kern w:val="0"/>
          <w:szCs w:val="24"/>
        </w:rPr>
      </w:pPr>
      <w:r>
        <w:rPr>
          <w:rFonts w:ascii="宋体" w:hAnsi="Times New Roman" w:eastAsia="宋体" w:cs="Arial"/>
          <w:kern w:val="0"/>
          <w:szCs w:val="24"/>
        </w:rPr>
        <w:t>1</w:t>
      </w:r>
      <w:r>
        <w:rPr>
          <w:rFonts w:hint="eastAsia" w:ascii="宋体" w:hAnsi="Times New Roman" w:eastAsia="宋体" w:cs="Arial"/>
          <w:kern w:val="0"/>
          <w:szCs w:val="24"/>
        </w:rPr>
        <w:t>0）</w:t>
      </w:r>
      <w:r>
        <w:rPr>
          <w:rFonts w:ascii="宋体" w:hAnsi="宋体" w:eastAsia="宋体" w:cs="Arial"/>
          <w:kern w:val="0"/>
          <w:szCs w:val="24"/>
        </w:rPr>
        <w:t>氮气</w:t>
      </w:r>
    </w:p>
    <w:p>
      <w:pPr>
        <w:ind w:firstLine="480"/>
        <w:rPr>
          <w:rFonts w:ascii="宋体" w:hAnsi="宋体" w:eastAsia="宋体" w:cs="Times New Roman"/>
          <w:kern w:val="0"/>
          <w:szCs w:val="20"/>
        </w:rPr>
      </w:pPr>
      <w:r>
        <w:rPr>
          <w:rFonts w:ascii="宋体" w:hAnsi="宋体" w:eastAsia="宋体" w:cs="Times New Roman"/>
          <w:kern w:val="0"/>
          <w:szCs w:val="20"/>
        </w:rPr>
        <w:t>0.6MPa（g），40℃，纯度≥99%（vol），水露点≤-40℃（在0.6MPa（g）压力下）</w:t>
      </w:r>
    </w:p>
    <w:p>
      <w:pPr>
        <w:pStyle w:val="2"/>
      </w:pPr>
      <w:bookmarkStart w:id="25" w:name="_Toc61186501"/>
      <w:r>
        <w:rPr>
          <w:rFonts w:hint="eastAsia" w:cs="Times New Roman"/>
        </w:rPr>
        <w:t xml:space="preserve">4  </w:t>
      </w:r>
      <w:r>
        <w:rPr>
          <w:rFonts w:hint="eastAsia"/>
        </w:rPr>
        <w:t>供货范围及界面</w:t>
      </w:r>
      <w:bookmarkEnd w:id="25"/>
    </w:p>
    <w:p>
      <w:pPr>
        <w:pStyle w:val="3"/>
      </w:pPr>
      <w:bookmarkStart w:id="26" w:name="_Toc61186502"/>
      <w:r>
        <w:rPr>
          <w:rFonts w:hint="eastAsia"/>
        </w:rPr>
        <w:t>4</w:t>
      </w:r>
      <w:r>
        <w:t xml:space="preserve">.1 </w:t>
      </w:r>
      <w:r>
        <w:rPr>
          <w:rFonts w:hint="eastAsia"/>
        </w:rPr>
        <w:t xml:space="preserve"> 供货范围</w:t>
      </w:r>
      <w:bookmarkEnd w:id="26"/>
    </w:p>
    <w:p>
      <w:pPr>
        <w:ind w:firstLine="480"/>
      </w:pPr>
      <w:r>
        <w:rPr>
          <w:rFonts w:hint="eastAsia"/>
        </w:rPr>
        <w:t>供货商应在合同规定的时间内提供2台硫除雾器鼓风机，每台成套的硫除雾器鼓风机供货范围应包括但不仅限于以下内容：</w:t>
      </w:r>
    </w:p>
    <w:p>
      <w:pPr>
        <w:ind w:firstLine="0" w:firstLineChars="0"/>
      </w:pPr>
      <w:r>
        <w:rPr>
          <w:rFonts w:hint="eastAsia"/>
        </w:rPr>
        <w:t>3.1.1 成套的硫除雾器鼓风机</w:t>
      </w:r>
    </w:p>
    <w:p>
      <w:pPr>
        <w:ind w:firstLine="480"/>
        <w:rPr>
          <w:rFonts w:cs="Arial" w:hAnsiTheme="minorEastAsia"/>
          <w:color w:val="000000" w:themeColor="text1"/>
          <w14:textFill>
            <w14:solidFill>
              <w14:schemeClr w14:val="tx1"/>
            </w14:solidFill>
          </w14:textFill>
        </w:rPr>
      </w:pPr>
      <w:bookmarkStart w:id="27" w:name="_Toc337735771"/>
      <w:bookmarkStart w:id="28" w:name="_Toc337735563"/>
      <w:r>
        <w:rPr>
          <w:rFonts w:cs="Arial" w:hAnsiTheme="minorEastAsia"/>
          <w:color w:val="000000" w:themeColor="text1"/>
          <w14:textFill>
            <w14:solidFill>
              <w14:schemeClr w14:val="tx1"/>
            </w14:solidFill>
          </w14:textFill>
        </w:rPr>
        <w:t>1）</w:t>
      </w:r>
      <w:r>
        <w:rPr>
          <w:rFonts w:hAnsiTheme="minorEastAsia"/>
          <w:color w:val="000000" w:themeColor="text1"/>
          <w14:textFill>
            <w14:solidFill>
              <w14:schemeClr w14:val="tx1"/>
            </w14:solidFill>
          </w14:textFill>
        </w:rPr>
        <w:t>风机本体及驱动电机、驱动电机配套的软启动柜，根据设备数据表的规定。</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2）</w:t>
      </w:r>
      <w:r>
        <w:rPr>
          <w:rFonts w:hAnsiTheme="minorEastAsia"/>
          <w:color w:val="000000" w:themeColor="text1"/>
          <w14:textFill>
            <w14:solidFill>
              <w14:schemeClr w14:val="tx1"/>
            </w14:solidFill>
          </w14:textFill>
        </w:rPr>
        <w:t>风机进出口消音器、放空消音器及进出口膨胀节</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3）</w:t>
      </w:r>
      <w:r>
        <w:rPr>
          <w:rFonts w:hAnsiTheme="minorEastAsia"/>
          <w:color w:val="000000" w:themeColor="text1"/>
          <w14:textFill>
            <w14:solidFill>
              <w14:schemeClr w14:val="tx1"/>
            </w14:solidFill>
          </w14:textFill>
        </w:rPr>
        <w:t>风机进口过滤器（过滤元件需2套</w:t>
      </w:r>
      <w:r>
        <w:rPr>
          <w:rFonts w:hint="eastAsia"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1用1备），其压降不超过0.1kPa</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4）</w:t>
      </w:r>
      <w:r>
        <w:rPr>
          <w:rFonts w:hAnsiTheme="minorEastAsia"/>
          <w:color w:val="000000" w:themeColor="text1"/>
          <w14:textFill>
            <w14:solidFill>
              <w14:schemeClr w14:val="tx1"/>
            </w14:solidFill>
          </w14:textFill>
        </w:rPr>
        <w:t>风机进口提供温度计、流量计和控制阀，风机出口提供止回阀、压力变送器及防喘振控制阀，风机防喘振系统</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5）</w:t>
      </w:r>
      <w:r>
        <w:rPr>
          <w:rFonts w:hint="eastAsia" w:hAnsiTheme="minorEastAsia"/>
          <w:color w:val="000000" w:themeColor="text1"/>
          <w14:textFill>
            <w14:solidFill>
              <w14:schemeClr w14:val="tx1"/>
            </w14:solidFill>
          </w14:textFill>
        </w:rPr>
        <w:t>风机齿轮箱及大、小齿轮</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6）</w:t>
      </w:r>
      <w:r>
        <w:rPr>
          <w:rFonts w:hint="eastAsia" w:hAnsiTheme="minorEastAsia"/>
          <w:color w:val="000000" w:themeColor="text1"/>
          <w14:textFill>
            <w14:solidFill>
              <w14:schemeClr w14:val="tx1"/>
            </w14:solidFill>
          </w14:textFill>
        </w:rPr>
        <w:t>电机轴承、电机定子绕组的</w:t>
      </w:r>
      <w:r>
        <w:rPr>
          <w:rFonts w:hAnsiTheme="minorEastAsia"/>
          <w:color w:val="000000" w:themeColor="text1"/>
          <w14:textFill>
            <w14:solidFill>
              <w14:schemeClr w14:val="tx1"/>
            </w14:solidFill>
          </w14:textFill>
        </w:rPr>
        <w:t>轴承上应设置温度检测</w:t>
      </w:r>
      <w:r>
        <w:rPr>
          <w:rFonts w:hint="eastAsia" w:hAnsiTheme="minorEastAsia"/>
          <w:color w:val="000000" w:themeColor="text1"/>
          <w14:textFill>
            <w14:solidFill>
              <w14:schemeClr w14:val="tx1"/>
            </w14:solidFill>
          </w14:textFill>
        </w:rPr>
        <w:t>探头及温度变送器.</w:t>
      </w:r>
      <w:r>
        <w:rPr>
          <w:rFonts w:hAnsiTheme="minorEastAsia"/>
          <w:color w:val="000000" w:themeColor="text1"/>
          <w14:textFill>
            <w14:solidFill>
              <w14:schemeClr w14:val="tx1"/>
            </w14:solidFill>
          </w14:textFill>
        </w:rPr>
        <w:t xml:space="preserve"> 温度检测仪表应采用双支Pt100的RTD</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7）</w:t>
      </w:r>
      <w:r>
        <w:rPr>
          <w:rFonts w:hAnsiTheme="minorEastAsia"/>
          <w:color w:val="000000" w:themeColor="text1"/>
          <w14:textFill>
            <w14:solidFill>
              <w14:schemeClr w14:val="tx1"/>
            </w14:solidFill>
          </w14:textFill>
        </w:rPr>
        <w:t>风机和驱动装置上应设置相应的振动</w:t>
      </w:r>
      <w:r>
        <w:rPr>
          <w:rFonts w:hint="eastAsia" w:hAnsiTheme="minorEastAsia"/>
          <w:color w:val="000000" w:themeColor="text1"/>
          <w14:textFill>
            <w14:solidFill>
              <w14:schemeClr w14:val="tx1"/>
            </w14:solidFill>
          </w14:textFill>
        </w:rPr>
        <w:t>探头及振动变送器。</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8</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完成本技术规格书所要求功能所需的全部仪表（包括本规格书其他部分提到的仪表）、单元控制盘UCP（含PLC）、电线电缆、不锈钢管阀件及电气安装附件等</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9</w:t>
      </w:r>
      <w:r>
        <w:rPr>
          <w:rFonts w:cs="Arial" w:hAnsiTheme="minorEastAsia"/>
          <w:color w:val="000000" w:themeColor="text1"/>
          <w14:textFill>
            <w14:solidFill>
              <w14:schemeClr w14:val="tx1"/>
            </w14:solidFill>
          </w14:textFill>
        </w:rPr>
        <w:t>）从风机及驱动设备到</w:t>
      </w:r>
      <w:r>
        <w:rPr>
          <w:rFonts w:hint="eastAsia" w:cs="Arial" w:hAnsiTheme="minorEastAsia"/>
          <w:color w:val="000000" w:themeColor="text1"/>
          <w14:textFill>
            <w14:solidFill>
              <w14:schemeClr w14:val="tx1"/>
            </w14:solidFill>
          </w14:textFill>
        </w:rPr>
        <w:t>单元</w:t>
      </w:r>
      <w:r>
        <w:rPr>
          <w:rFonts w:cs="Arial" w:hAnsiTheme="minorEastAsia"/>
          <w:color w:val="000000" w:themeColor="text1"/>
          <w14:textFill>
            <w14:solidFill>
              <w14:schemeClr w14:val="tx1"/>
            </w14:solidFill>
          </w14:textFill>
        </w:rPr>
        <w:t>控制盘之间的连接电缆和安装附件属于供货商范围，业主/买方与供货商的工作界面在现场控制盘的对外接线端子。</w:t>
      </w:r>
    </w:p>
    <w:p>
      <w:pPr>
        <w:ind w:firstLine="480"/>
        <w:rPr>
          <w:rFonts w:cs="Arial" w:hAnsiTheme="minorEastAsia"/>
          <w:color w:val="000000" w:themeColor="text1"/>
          <w14:textFill>
            <w14:solidFill>
              <w14:schemeClr w14:val="tx1"/>
            </w14:solidFill>
          </w14:textFill>
        </w:rPr>
      </w:pPr>
      <w:r>
        <w:rPr>
          <w:rFonts w:hint="eastAsia" w:cs="Arial" w:hAnsiTheme="minorEastAsia"/>
          <w:color w:val="000000" w:themeColor="text1"/>
          <w14:textFill>
            <w14:solidFill>
              <w14:schemeClr w14:val="tx1"/>
            </w14:solidFill>
          </w14:textFill>
        </w:rPr>
        <w:t>10</w:t>
      </w:r>
      <w:r>
        <w:rPr>
          <w:rFonts w:cs="Arial" w:hAnsiTheme="minorEastAsia"/>
          <w:color w:val="000000" w:themeColor="text1"/>
          <w14:textFill>
            <w14:solidFill>
              <w14:schemeClr w14:val="tx1"/>
            </w14:solidFill>
          </w14:textFill>
        </w:rPr>
        <w:t>）电动机空间加热器。</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1</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电动机带电源接线箱和电缆夹紧密封接头</w:t>
      </w:r>
      <w:r>
        <w:rPr>
          <w:rFonts w:hint="eastAsia" w:hAnsiTheme="minorEastAsia"/>
          <w:color w:val="000000" w:themeColor="text1"/>
          <w14:textFill>
            <w14:solidFill>
              <w14:schemeClr w14:val="tx1"/>
            </w14:solidFill>
          </w14:textFill>
        </w:rPr>
        <w:t>，</w:t>
      </w:r>
      <w:r>
        <w:rPr>
          <w:rFonts w:cs="Arial" w:hAnsiTheme="minorEastAsia"/>
          <w:color w:val="000000" w:themeColor="text1"/>
          <w14:textFill>
            <w14:solidFill>
              <w14:schemeClr w14:val="tx1"/>
            </w14:solidFill>
          </w14:textFill>
        </w:rPr>
        <w:t>电动机的二次防爆接线箱</w:t>
      </w:r>
      <w:r>
        <w:rPr>
          <w:rFonts w:hAnsiTheme="minorEastAsia"/>
          <w:color w:val="000000" w:themeColor="text1"/>
          <w14:textFill>
            <w14:solidFill>
              <w14:schemeClr w14:val="tx1"/>
            </w14:solidFill>
          </w14:textFill>
        </w:rPr>
        <w:t>及现场测量仪表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2</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供货商提供的其他仪表详见设计方提供的流程图，虚框内的仪表均由厂家提供。</w:t>
      </w:r>
      <w:r>
        <w:rPr>
          <w:rFonts w:hint="eastAsia" w:hAnsiTheme="minorEastAsia"/>
          <w:color w:val="000000" w:themeColor="text1"/>
          <w14:textFill>
            <w14:solidFill>
              <w14:schemeClr w14:val="tx1"/>
            </w14:solidFill>
          </w14:textFill>
        </w:rPr>
        <w:t>所附的工艺管道仪表流程中图虚线框以内的设备、管线、仪表、阀门等都由供货商提供</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3</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风机机组内所有阀门，均带配对法兰、螺栓、螺母、垫片</w:t>
      </w:r>
      <w:r>
        <w:rPr>
          <w:rFonts w:hint="eastAsia"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与工艺管道相连均为法兰连接</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4</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风机机组的润滑系统及冷却系统</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5</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风机进气口、带有执行机构的入口导叶或风门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6</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风机及驱动设备的运行状态、设备保护的现场</w:t>
      </w:r>
      <w:r>
        <w:rPr>
          <w:rFonts w:hint="eastAsia" w:hAnsiTheme="minorEastAsia"/>
          <w:color w:val="000000" w:themeColor="text1"/>
          <w14:textFill>
            <w14:solidFill>
              <w14:schemeClr w14:val="tx1"/>
            </w14:solidFill>
          </w14:textFill>
        </w:rPr>
        <w:t>测量</w:t>
      </w:r>
      <w:r>
        <w:rPr>
          <w:rFonts w:hAnsiTheme="minorEastAsia"/>
          <w:color w:val="000000" w:themeColor="text1"/>
          <w14:textFill>
            <w14:solidFill>
              <w14:schemeClr w14:val="tx1"/>
            </w14:solidFill>
          </w14:textFill>
        </w:rPr>
        <w:t>仪表、现场仪表控制柜/盘</w:t>
      </w:r>
      <w:r>
        <w:rPr>
          <w:rFonts w:hint="eastAsia" w:hAnsiTheme="minorEastAsia"/>
          <w:color w:val="000000" w:themeColor="text1"/>
          <w14:textFill>
            <w14:solidFill>
              <w14:schemeClr w14:val="tx1"/>
            </w14:solidFill>
          </w14:textFill>
        </w:rPr>
        <w:t>（接线箱）</w:t>
      </w:r>
      <w:r>
        <w:rPr>
          <w:rFonts w:hAnsiTheme="minorEastAsia"/>
          <w:color w:val="000000" w:themeColor="text1"/>
          <w14:textFill>
            <w14:solidFill>
              <w14:schemeClr w14:val="tx1"/>
            </w14:solidFill>
          </w14:textFill>
        </w:rPr>
        <w:t>和控制系统，以及为构成一套完整的风机控制系统所必须的其它仪表和设备也属于供货商的供货范围</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7</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带防护罩（无火花型）的挠性联轴器</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8</w:t>
      </w:r>
      <w:r>
        <w:rPr>
          <w:rFonts w:cs="Arial" w:hAnsiTheme="minorEastAsia"/>
          <w:color w:val="000000" w:themeColor="text1"/>
          <w14:textFill>
            <w14:solidFill>
              <w14:schemeClr w14:val="tx1"/>
            </w14:solidFill>
          </w14:textFill>
        </w:rPr>
        <w:t>）</w:t>
      </w:r>
      <w:r>
        <w:rPr>
          <w:rFonts w:hAnsiTheme="minorEastAsia"/>
          <w:color w:val="000000" w:themeColor="text1"/>
          <w14:textFill>
            <w14:solidFill>
              <w14:schemeClr w14:val="tx1"/>
            </w14:solidFill>
          </w14:textFill>
        </w:rPr>
        <w:t>检验与试验计划中规定的检验与试验</w:t>
      </w:r>
      <w:r>
        <w:rPr>
          <w:rFonts w:cs="Arial" w:hAnsiTheme="minorEastAsia"/>
          <w:color w:val="000000" w:themeColor="text1"/>
          <w14:textFill>
            <w14:solidFill>
              <w14:schemeClr w14:val="tx1"/>
            </w14:solidFill>
          </w14:textFill>
        </w:rPr>
        <w:t>。</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1</w:t>
      </w:r>
      <w:r>
        <w:rPr>
          <w:rFonts w:hint="eastAsia" w:cs="Arial" w:hAnsiTheme="minorEastAsia"/>
          <w:color w:val="000000" w:themeColor="text1"/>
          <w14:textFill>
            <w14:solidFill>
              <w14:schemeClr w14:val="tx1"/>
            </w14:solidFill>
          </w14:textFill>
        </w:rPr>
        <w:t>9</w:t>
      </w:r>
      <w:r>
        <w:rPr>
          <w:rFonts w:cs="Arial" w:hAnsiTheme="minorEastAsia"/>
          <w:color w:val="000000" w:themeColor="text1"/>
          <w14:textFill>
            <w14:solidFill>
              <w14:schemeClr w14:val="tx1"/>
            </w14:solidFill>
          </w14:textFill>
        </w:rPr>
        <w:t>）</w:t>
      </w:r>
      <w:r>
        <w:rPr>
          <w:rFonts w:hint="eastAsia" w:hAnsiTheme="minorEastAsia"/>
          <w:color w:val="000000" w:themeColor="text1"/>
          <w14:textFill>
            <w14:solidFill>
              <w14:schemeClr w14:val="tx1"/>
            </w14:solidFill>
          </w14:textFill>
        </w:rPr>
        <w:t>至少有一台机组在工厂应进行风机</w:t>
      </w:r>
      <w:r>
        <w:rPr>
          <w:rFonts w:hAnsiTheme="minorEastAsia"/>
          <w:color w:val="000000" w:themeColor="text1"/>
          <w14:textFill>
            <w14:solidFill>
              <w14:schemeClr w14:val="tx1"/>
            </w14:solidFill>
          </w14:textFill>
        </w:rPr>
        <w:t>与电机及附属设备进行整机试验</w:t>
      </w:r>
      <w:r>
        <w:rPr>
          <w:rFonts w:cs="Arial"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0）</w:t>
      </w:r>
      <w:r>
        <w:rPr>
          <w:rFonts w:hAnsiTheme="minorEastAsia"/>
          <w:color w:val="000000" w:themeColor="text1"/>
          <w14:textFill>
            <w14:solidFill>
              <w14:schemeClr w14:val="tx1"/>
            </w14:solidFill>
          </w14:textFill>
        </w:rPr>
        <w:t>按照规定的涂漆和涂层</w:t>
      </w:r>
      <w:r>
        <w:rPr>
          <w:rFonts w:hint="eastAsia"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1）</w:t>
      </w:r>
      <w:r>
        <w:rPr>
          <w:rFonts w:hAnsiTheme="minorEastAsia"/>
          <w:color w:val="000000" w:themeColor="text1"/>
          <w14:textFill>
            <w14:solidFill>
              <w14:schemeClr w14:val="tx1"/>
            </w14:solidFill>
          </w14:textFill>
        </w:rPr>
        <w:t>风机及驱动电机的自身监测保护系统。</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2）</w:t>
      </w:r>
      <w:r>
        <w:rPr>
          <w:rFonts w:hAnsiTheme="minorEastAsia"/>
          <w:color w:val="000000" w:themeColor="text1"/>
          <w14:textFill>
            <w14:solidFill>
              <w14:schemeClr w14:val="tx1"/>
            </w14:solidFill>
          </w14:textFill>
        </w:rPr>
        <w:t>吊装所用的吊装环。</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3）</w:t>
      </w:r>
      <w:r>
        <w:rPr>
          <w:rFonts w:hAnsiTheme="minorEastAsia"/>
          <w:color w:val="000000" w:themeColor="text1"/>
          <w14:textFill>
            <w14:solidFill>
              <w14:schemeClr w14:val="tx1"/>
            </w14:solidFill>
          </w14:textFill>
        </w:rPr>
        <w:t>风机机组底板及固定用的地脚螺栓（包括螺母、垫片等）</w:t>
      </w:r>
      <w:r>
        <w:rPr>
          <w:rFonts w:hint="eastAsia"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4）</w:t>
      </w:r>
      <w:r>
        <w:rPr>
          <w:rFonts w:hAnsiTheme="minorEastAsia"/>
          <w:color w:val="000000" w:themeColor="text1"/>
          <w14:textFill>
            <w14:solidFill>
              <w14:schemeClr w14:val="tx1"/>
            </w14:solidFill>
          </w14:textFill>
        </w:rPr>
        <w:t>风机机组首次填充的润滑油等填充物，供货商应提供</w:t>
      </w:r>
      <w:r>
        <w:rPr>
          <w:rFonts w:hint="eastAsia" w:hAnsiTheme="minorEastAsia"/>
          <w:color w:val="000000" w:themeColor="text1"/>
          <w14:textFill>
            <w14:solidFill>
              <w14:schemeClr w14:val="tx1"/>
            </w14:solidFill>
          </w14:textFill>
        </w:rPr>
        <w:t>所用润滑油的牌号、组份、用量</w:t>
      </w:r>
      <w:r>
        <w:rPr>
          <w:rFonts w:hAnsiTheme="minorEastAsia"/>
          <w:color w:val="000000" w:themeColor="text1"/>
          <w14:textFill>
            <w14:solidFill>
              <w14:schemeClr w14:val="tx1"/>
            </w14:solidFill>
          </w14:textFill>
        </w:rPr>
        <w:t>。</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5）</w:t>
      </w:r>
      <w:r>
        <w:rPr>
          <w:rFonts w:hAnsiTheme="minorEastAsia"/>
          <w:color w:val="000000" w:themeColor="text1"/>
          <w14:textFill>
            <w14:solidFill>
              <w14:schemeClr w14:val="tx1"/>
            </w14:solidFill>
          </w14:textFill>
        </w:rPr>
        <w:t>供风机机组预调试和初始启动使用的备件。</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6）</w:t>
      </w:r>
      <w:r>
        <w:rPr>
          <w:rFonts w:hAnsiTheme="minorEastAsia"/>
          <w:color w:val="000000" w:themeColor="text1"/>
          <w14:textFill>
            <w14:solidFill>
              <w14:schemeClr w14:val="tx1"/>
            </w14:solidFill>
          </w14:textFill>
        </w:rPr>
        <w:t>供风机机组两年运行使用的备品备件（供货商应列出详细清单，并分项报价，买方在合同谈判时有权取舍）。</w:t>
      </w:r>
    </w:p>
    <w:p>
      <w:pPr>
        <w:ind w:firstLine="480"/>
        <w:rPr>
          <w:rFonts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2</w:t>
      </w:r>
      <w:r>
        <w:rPr>
          <w:rFonts w:hint="eastAsia" w:hAnsiTheme="minorEastAsia"/>
          <w:color w:val="000000" w:themeColor="text1"/>
          <w14:textFill>
            <w14:solidFill>
              <w14:schemeClr w14:val="tx1"/>
            </w14:solidFill>
          </w14:textFill>
        </w:rPr>
        <w:t>7）</w:t>
      </w:r>
      <w:r>
        <w:rPr>
          <w:rFonts w:hAnsiTheme="minorEastAsia"/>
          <w:color w:val="000000" w:themeColor="text1"/>
          <w14:textFill>
            <w14:solidFill>
              <w14:schemeClr w14:val="tx1"/>
            </w14:solidFill>
          </w14:textFill>
        </w:rPr>
        <w:t>风机和电机机组操作、维修所需的专用工具。</w:t>
      </w:r>
    </w:p>
    <w:p>
      <w:pPr>
        <w:ind w:firstLine="480"/>
        <w:rPr>
          <w:rFonts w:hAnsiTheme="minorEastAsia"/>
          <w:color w:val="000000" w:themeColor="text1"/>
          <w14:textFill>
            <w14:solidFill>
              <w14:schemeClr w14:val="tx1"/>
            </w14:solidFill>
          </w14:textFill>
        </w:rPr>
      </w:pPr>
      <w:r>
        <w:rPr>
          <w:rFonts w:hint="eastAsia" w:hAnsiTheme="minorEastAsia"/>
          <w:color w:val="000000" w:themeColor="text1"/>
          <w14:textFill>
            <w14:solidFill>
              <w14:schemeClr w14:val="tx1"/>
            </w14:solidFill>
          </w14:textFill>
        </w:rPr>
        <w:t>28）</w:t>
      </w:r>
      <w:r>
        <w:rPr>
          <w:rFonts w:hAnsiTheme="minorEastAsia"/>
          <w:color w:val="000000" w:themeColor="text1"/>
          <w14:textFill>
            <w14:solidFill>
              <w14:schemeClr w14:val="tx1"/>
            </w14:solidFill>
          </w14:textFill>
        </w:rPr>
        <w:t>电机电缆压盖。</w:t>
      </w:r>
    </w:p>
    <w:p>
      <w:pPr>
        <w:ind w:firstLine="480"/>
        <w:rPr>
          <w:rFonts w:hAnsiTheme="minorEastAsia"/>
          <w:color w:val="000000" w:themeColor="text1"/>
          <w14:textFill>
            <w14:solidFill>
              <w14:schemeClr w14:val="tx1"/>
            </w14:solidFill>
          </w14:textFill>
        </w:rPr>
      </w:pPr>
      <w:r>
        <w:rPr>
          <w:rFonts w:hint="eastAsia" w:hAnsiTheme="minorEastAsia"/>
          <w:color w:val="000000" w:themeColor="text1"/>
          <w14:textFill>
            <w14:solidFill>
              <w14:schemeClr w14:val="tx1"/>
            </w14:solidFill>
          </w14:textFill>
        </w:rPr>
        <w:t>29）</w:t>
      </w:r>
      <w:r>
        <w:rPr>
          <w:rFonts w:hAnsiTheme="minorEastAsia"/>
          <w:color w:val="000000" w:themeColor="text1"/>
          <w14:textFill>
            <w14:solidFill>
              <w14:schemeClr w14:val="tx1"/>
            </w14:solidFill>
          </w14:textFill>
        </w:rPr>
        <w:t>包装保护、运至现场的准备工作。</w:t>
      </w:r>
    </w:p>
    <w:p>
      <w:pPr>
        <w:ind w:firstLine="480"/>
        <w:rPr>
          <w:rFonts w:cs="Arial" w:hAnsiTheme="minorEastAsia"/>
          <w:color w:val="000000" w:themeColor="text1"/>
          <w14:textFill>
            <w14:solidFill>
              <w14:schemeClr w14:val="tx1"/>
            </w14:solidFill>
          </w14:textFill>
        </w:rPr>
      </w:pPr>
      <w:r>
        <w:rPr>
          <w:rFonts w:hAnsiTheme="minorEastAsia"/>
          <w:color w:val="000000" w:themeColor="text1"/>
          <w14:textFill>
            <w14:solidFill>
              <w14:schemeClr w14:val="tx1"/>
            </w14:solidFill>
          </w14:textFill>
        </w:rPr>
        <w:t>3</w:t>
      </w:r>
      <w:r>
        <w:rPr>
          <w:rFonts w:hint="eastAsia" w:hAnsiTheme="minorEastAsia"/>
          <w:color w:val="000000" w:themeColor="text1"/>
          <w14:textFill>
            <w14:solidFill>
              <w14:schemeClr w14:val="tx1"/>
            </w14:solidFill>
          </w14:textFill>
        </w:rPr>
        <w:t>0）</w:t>
      </w:r>
      <w:r>
        <w:rPr>
          <w:rFonts w:hAnsiTheme="minorEastAsia"/>
          <w:color w:val="000000" w:themeColor="text1"/>
          <w14:textFill>
            <w14:solidFill>
              <w14:schemeClr w14:val="tx1"/>
            </w14:solidFill>
          </w14:textFill>
        </w:rPr>
        <w:t>工厂验收试验。</w:t>
      </w:r>
    </w:p>
    <w:p>
      <w:pPr>
        <w:ind w:firstLine="480"/>
        <w:rPr>
          <w:rFonts w:cs="Arial" w:hAnsiTheme="minorEastAsia"/>
          <w:color w:val="000000" w:themeColor="text1"/>
          <w14:textFill>
            <w14:solidFill>
              <w14:schemeClr w14:val="tx1"/>
            </w14:solidFill>
          </w14:textFill>
        </w:rPr>
      </w:pPr>
      <w:r>
        <w:rPr>
          <w:rFonts w:cs="Arial" w:hAnsiTheme="minorEastAsia"/>
          <w:color w:val="000000" w:themeColor="text1"/>
          <w14:textFill>
            <w14:solidFill>
              <w14:schemeClr w14:val="tx1"/>
            </w14:solidFill>
          </w14:textFill>
        </w:rPr>
        <w:t>供货商认为需要配套提供其他的附属设备和零件，供货商有义务加以说明，以供业主选择。</w:t>
      </w:r>
    </w:p>
    <w:bookmarkEnd w:id="27"/>
    <w:bookmarkEnd w:id="28"/>
    <w:p>
      <w:pPr>
        <w:pStyle w:val="3"/>
      </w:pPr>
      <w:bookmarkStart w:id="29" w:name="_Toc61186503"/>
      <w:r>
        <w:rPr>
          <w:rFonts w:hint="eastAsia"/>
        </w:rPr>
        <w:t>4</w:t>
      </w:r>
      <w:r>
        <w:t>.</w:t>
      </w:r>
      <w:r>
        <w:rPr>
          <w:rFonts w:hint="eastAsia"/>
        </w:rPr>
        <w:t>2</w:t>
      </w:r>
      <w:r>
        <w:t xml:space="preserve"> </w:t>
      </w:r>
      <w:r>
        <w:rPr>
          <w:rFonts w:hint="eastAsia"/>
        </w:rPr>
        <w:t xml:space="preserve"> 工作界面</w:t>
      </w:r>
      <w:bookmarkEnd w:id="29"/>
    </w:p>
    <w:p>
      <w:pPr>
        <w:ind w:firstLine="480"/>
      </w:pPr>
      <w:r>
        <w:rPr>
          <w:rFonts w:hint="eastAsia"/>
        </w:rPr>
        <w:t>业主的工作：</w:t>
      </w:r>
    </w:p>
    <w:p>
      <w:pPr>
        <w:ind w:firstLine="480"/>
      </w:pPr>
      <w:r>
        <w:t>1</w:t>
      </w:r>
      <w:r>
        <w:rPr>
          <w:rFonts w:hint="eastAsia"/>
        </w:rPr>
        <w:t>）在供货商指导下完成成套设备的现场安装；</w:t>
      </w:r>
    </w:p>
    <w:p>
      <w:pPr>
        <w:ind w:firstLine="480"/>
      </w:pPr>
      <w:r>
        <w:t>2</w:t>
      </w:r>
      <w:r>
        <w:rPr>
          <w:rFonts w:hint="eastAsia"/>
        </w:rPr>
        <w:t>）根据供货商提供的资料，完成成套设备与上位计算机控制系统</w:t>
      </w:r>
      <w:r>
        <w:t>I/O</w:t>
      </w:r>
      <w:r>
        <w:rPr>
          <w:rFonts w:hint="eastAsia"/>
        </w:rPr>
        <w:t>接线端子之间电缆的敷设和连接。</w:t>
      </w:r>
    </w:p>
    <w:p>
      <w:pPr>
        <w:ind w:firstLine="480"/>
      </w:pPr>
      <w:r>
        <w:rPr>
          <w:rFonts w:hint="eastAsia"/>
        </w:rPr>
        <w:t>供货商的工作：</w:t>
      </w:r>
    </w:p>
    <w:p>
      <w:pPr>
        <w:ind w:firstLine="480"/>
      </w:pPr>
      <w:r>
        <w:t>1</w:t>
      </w:r>
      <w:r>
        <w:rPr>
          <w:rFonts w:hint="eastAsia"/>
        </w:rPr>
        <w:t>）按照技术规格书的要求提供硫除雾器鼓风机所需的所有附件和材料</w:t>
      </w:r>
      <w:r>
        <w:t>;</w:t>
      </w:r>
    </w:p>
    <w:p>
      <w:pPr>
        <w:ind w:firstLine="480"/>
      </w:pPr>
      <w:r>
        <w:t>2）</w:t>
      </w:r>
      <w:r>
        <w:rPr>
          <w:rFonts w:hint="eastAsia"/>
        </w:rPr>
        <w:t>负责指导硫除雾器鼓风机的安装</w:t>
      </w:r>
      <w:r>
        <w:t>;</w:t>
      </w:r>
    </w:p>
    <w:p>
      <w:pPr>
        <w:ind w:firstLine="480"/>
      </w:pPr>
      <w:r>
        <w:t>3）</w:t>
      </w:r>
      <w:r>
        <w:rPr>
          <w:rFonts w:hint="eastAsia"/>
        </w:rPr>
        <w:t>配合硫除雾器鼓风机与上位计算机控制系统的现场联合调试与验收</w:t>
      </w:r>
      <w:r>
        <w:t>;</w:t>
      </w:r>
    </w:p>
    <w:p>
      <w:pPr>
        <w:ind w:firstLine="480"/>
      </w:pPr>
      <w:r>
        <w:t>4）</w:t>
      </w:r>
      <w:r>
        <w:rPr>
          <w:rFonts w:hint="eastAsia"/>
        </w:rPr>
        <w:t>硫除雾器鼓风机试运和装置投产后合同规定时间内的质保工作。</w:t>
      </w:r>
    </w:p>
    <w:p>
      <w:pPr>
        <w:pStyle w:val="2"/>
      </w:pPr>
      <w:bookmarkStart w:id="30" w:name="_Toc479160039"/>
      <w:bookmarkStart w:id="31" w:name="_Toc61186504"/>
      <w:r>
        <w:rPr>
          <w:rFonts w:hint="eastAsia"/>
        </w:rPr>
        <w:t>5  技术要求</w:t>
      </w:r>
      <w:bookmarkEnd w:id="30"/>
      <w:bookmarkEnd w:id="31"/>
    </w:p>
    <w:p>
      <w:pPr>
        <w:pStyle w:val="3"/>
      </w:pPr>
      <w:bookmarkStart w:id="32" w:name="_Toc61186505"/>
      <w:r>
        <w:rPr>
          <w:rFonts w:hint="eastAsia"/>
        </w:rPr>
        <w:t>5.1  硫除雾器鼓风机</w:t>
      </w:r>
      <w:bookmarkEnd w:id="32"/>
    </w:p>
    <w:p>
      <w:pPr>
        <w:ind w:firstLine="480"/>
        <w:rPr>
          <w:rFonts w:cs="Arial" w:hAnsiTheme="minorEastAsia"/>
          <w:szCs w:val="24"/>
        </w:rPr>
      </w:pPr>
      <w:r>
        <w:rPr>
          <w:rFonts w:hint="eastAsia" w:cs="Arial" w:hAnsiTheme="minorEastAsia"/>
          <w:szCs w:val="24"/>
        </w:rPr>
        <w:t>1）</w:t>
      </w:r>
      <w:r>
        <w:rPr>
          <w:rFonts w:cs="Arial" w:hAnsiTheme="minorEastAsia"/>
          <w:szCs w:val="24"/>
        </w:rPr>
        <w:t>风机类型为离心式。</w:t>
      </w:r>
    </w:p>
    <w:p>
      <w:pPr>
        <w:ind w:firstLine="480"/>
        <w:rPr>
          <w:rFonts w:cs="Arial" w:hAnsiTheme="minorEastAsia"/>
          <w:szCs w:val="24"/>
        </w:rPr>
      </w:pPr>
      <w:r>
        <w:rPr>
          <w:rFonts w:hint="eastAsia" w:cs="Arial" w:hAnsiTheme="minorEastAsia"/>
          <w:szCs w:val="24"/>
        </w:rPr>
        <w:t>2）</w:t>
      </w:r>
      <w:r>
        <w:rPr>
          <w:rFonts w:cs="Arial" w:hAnsiTheme="minorEastAsia"/>
          <w:szCs w:val="24"/>
        </w:rPr>
        <w:t>风机驱动设备类型：电动机。</w:t>
      </w:r>
    </w:p>
    <w:p>
      <w:pPr>
        <w:ind w:firstLine="480"/>
        <w:rPr>
          <w:rFonts w:cs="Arial" w:hAnsiTheme="minorEastAsia"/>
          <w:szCs w:val="24"/>
        </w:rPr>
      </w:pPr>
      <w:r>
        <w:rPr>
          <w:rFonts w:hint="eastAsia" w:cs="Arial" w:hAnsiTheme="minorEastAsia"/>
          <w:szCs w:val="24"/>
        </w:rPr>
        <w:t>3）传动方式：不得采用皮带传动。</w:t>
      </w:r>
    </w:p>
    <w:p>
      <w:pPr>
        <w:ind w:firstLine="480"/>
        <w:rPr>
          <w:rFonts w:cs="Arial" w:hAnsiTheme="minorEastAsia"/>
          <w:bCs/>
          <w:szCs w:val="24"/>
        </w:rPr>
      </w:pPr>
      <w:r>
        <w:rPr>
          <w:rFonts w:hint="eastAsia" w:cs="Arial" w:hAnsiTheme="minorEastAsia"/>
          <w:szCs w:val="24"/>
        </w:rPr>
        <w:t>4）</w:t>
      </w:r>
      <w:r>
        <w:rPr>
          <w:rFonts w:cs="Arial" w:hAnsiTheme="minorEastAsia"/>
          <w:szCs w:val="24"/>
        </w:rPr>
        <w:t>每台风机在设计条件下正常运行时不会发生喘振、电机过载、异常噪音、异常振动、异常温升、跳闸等情况。</w:t>
      </w:r>
    </w:p>
    <w:p>
      <w:pPr>
        <w:ind w:firstLine="480"/>
        <w:rPr>
          <w:rFonts w:cs="Arial" w:hAnsiTheme="minorEastAsia"/>
          <w:bCs/>
          <w:szCs w:val="24"/>
        </w:rPr>
      </w:pPr>
      <w:r>
        <w:rPr>
          <w:rFonts w:hint="eastAsia" w:cs="Arial" w:hAnsiTheme="minorEastAsia"/>
          <w:szCs w:val="24"/>
        </w:rPr>
        <w:t>5）</w:t>
      </w:r>
      <w:r>
        <w:rPr>
          <w:rFonts w:cs="Arial" w:hAnsiTheme="minorEastAsia"/>
          <w:szCs w:val="24"/>
        </w:rPr>
        <w:t>在规定的所有操作条件下，风机应能够全负荷、连续、安全地运行，且风机的各项性能指标在规定的工况下须满足买方要求。</w:t>
      </w:r>
    </w:p>
    <w:p>
      <w:pPr>
        <w:ind w:firstLine="480"/>
        <w:rPr>
          <w:rFonts w:cs="Arial" w:hAnsiTheme="minorEastAsia"/>
          <w:bCs/>
          <w:szCs w:val="24"/>
        </w:rPr>
      </w:pPr>
      <w:r>
        <w:rPr>
          <w:rFonts w:hint="eastAsia" w:cs="Arial" w:hAnsiTheme="minorEastAsia"/>
          <w:szCs w:val="24"/>
        </w:rPr>
        <w:t>6）</w:t>
      </w:r>
      <w:r>
        <w:rPr>
          <w:rFonts w:cs="Arial" w:hAnsiTheme="minorEastAsia"/>
          <w:szCs w:val="24"/>
        </w:rPr>
        <w:t>驱动机的额定功率应大于或等于离心风机额定工况点功率(包括各种机械损失)的110%。</w:t>
      </w:r>
    </w:p>
    <w:p>
      <w:pPr>
        <w:ind w:firstLine="480"/>
        <w:rPr>
          <w:rFonts w:cs="Arial" w:hAnsiTheme="minorEastAsia"/>
          <w:bCs/>
          <w:szCs w:val="24"/>
        </w:rPr>
      </w:pPr>
      <w:r>
        <w:rPr>
          <w:rFonts w:hint="eastAsia" w:cs="Arial" w:hAnsiTheme="minorEastAsia"/>
          <w:szCs w:val="24"/>
        </w:rPr>
        <w:t>7）</w:t>
      </w:r>
      <w:r>
        <w:rPr>
          <w:rFonts w:cs="Arial" w:hAnsiTheme="minorEastAsia"/>
          <w:szCs w:val="24"/>
        </w:rPr>
        <w:t>风机本体及附属设备的设计应保证维修方便，主要部件的设计应保证拆装方便，风机机壳宜采用整体式、水平剖分形式。安装表面的机加工精度应为3~6μm算术平均粗糙度Ra。</w:t>
      </w:r>
    </w:p>
    <w:p>
      <w:pPr>
        <w:ind w:firstLine="480"/>
        <w:rPr>
          <w:rFonts w:cs="Arial" w:hAnsiTheme="minorEastAsia"/>
          <w:bCs/>
          <w:szCs w:val="24"/>
        </w:rPr>
      </w:pPr>
      <w:r>
        <w:rPr>
          <w:rFonts w:hint="eastAsia" w:cs="Arial" w:hAnsiTheme="minorEastAsia"/>
          <w:szCs w:val="24"/>
        </w:rPr>
        <w:t>8）</w:t>
      </w:r>
      <w:r>
        <w:rPr>
          <w:rFonts w:cs="Arial" w:hAnsiTheme="minorEastAsia"/>
          <w:szCs w:val="24"/>
        </w:rPr>
        <w:t>风机应设置监测保护系统：</w:t>
      </w:r>
    </w:p>
    <w:p>
      <w:pPr>
        <w:ind w:firstLine="480"/>
        <w:rPr>
          <w:rFonts w:cs="Arial" w:hAnsiTheme="minorEastAsia"/>
          <w:szCs w:val="24"/>
        </w:rPr>
      </w:pPr>
      <w:r>
        <w:rPr>
          <w:rFonts w:cs="Arial" w:hAnsiTheme="minorEastAsia"/>
          <w:szCs w:val="24"/>
        </w:rPr>
        <w:t>（1）风机电机的振动检测及停机。</w:t>
      </w:r>
    </w:p>
    <w:p>
      <w:pPr>
        <w:ind w:firstLine="480"/>
        <w:rPr>
          <w:rFonts w:cs="Arial" w:hAnsiTheme="minorEastAsia"/>
          <w:bCs/>
          <w:szCs w:val="24"/>
        </w:rPr>
      </w:pPr>
      <w:r>
        <w:rPr>
          <w:rFonts w:cs="Arial" w:hAnsiTheme="minorEastAsia"/>
          <w:szCs w:val="24"/>
        </w:rPr>
        <w:t>（2）电机及轴承温度的检测及停机。轴承温度不能超过API 672的规定值。</w:t>
      </w:r>
    </w:p>
    <w:p>
      <w:pPr>
        <w:ind w:firstLine="480"/>
        <w:rPr>
          <w:rFonts w:cs="Arial" w:hAnsiTheme="minorEastAsia"/>
          <w:bCs/>
          <w:szCs w:val="24"/>
        </w:rPr>
      </w:pPr>
      <w:r>
        <w:rPr>
          <w:rFonts w:hint="eastAsia" w:cs="Arial" w:hAnsiTheme="minorEastAsia"/>
          <w:szCs w:val="24"/>
        </w:rPr>
        <w:t>9）</w:t>
      </w:r>
      <w:r>
        <w:rPr>
          <w:rFonts w:cs="Arial" w:hAnsiTheme="minorEastAsia"/>
          <w:szCs w:val="24"/>
        </w:rPr>
        <w:t>噪音控制：整套风机驱动装置的最大容许声压级应符合买方噪声数据表中的噪音限值。供货商应在报价书中规定为满足噪声限值需采取的方法。《噪声数据表》应由供货商填写，然后随报价书一起提交给买方。</w:t>
      </w:r>
    </w:p>
    <w:p>
      <w:pPr>
        <w:ind w:firstLine="480"/>
        <w:rPr>
          <w:rFonts w:cs="Arial" w:hAnsiTheme="minorEastAsia"/>
          <w:bCs/>
          <w:szCs w:val="24"/>
        </w:rPr>
      </w:pPr>
      <w:r>
        <w:rPr>
          <w:rFonts w:hint="eastAsia" w:cs="Arial" w:hAnsiTheme="minorEastAsia"/>
          <w:szCs w:val="24"/>
        </w:rPr>
        <w:t>10）</w:t>
      </w:r>
      <w:r>
        <w:rPr>
          <w:rFonts w:cs="Arial" w:hAnsiTheme="minorEastAsia"/>
          <w:szCs w:val="24"/>
        </w:rPr>
        <w:t>如果采用AMCA 2404标准的风机布置和轴承支撑，宜采用两端支撑(不得使用悬臂式轴承)，则供货商应纳入维护轴承时所需转子支撑的特殊规定。</w:t>
      </w:r>
    </w:p>
    <w:p>
      <w:pPr>
        <w:ind w:firstLine="480"/>
        <w:rPr>
          <w:rFonts w:cs="Arial" w:hAnsiTheme="minorEastAsia"/>
          <w:bCs/>
          <w:szCs w:val="24"/>
        </w:rPr>
      </w:pPr>
      <w:r>
        <w:rPr>
          <w:rFonts w:hint="eastAsia" w:cs="Arial" w:hAnsiTheme="minorEastAsia"/>
          <w:szCs w:val="24"/>
        </w:rPr>
        <w:t>11）</w:t>
      </w:r>
      <w:r>
        <w:rPr>
          <w:rFonts w:cs="Arial" w:hAnsiTheme="minorEastAsia"/>
          <w:szCs w:val="24"/>
        </w:rPr>
        <w:t>所有电气、仪表部件及装置应适合于规定的环境条件。</w:t>
      </w:r>
    </w:p>
    <w:p>
      <w:pPr>
        <w:ind w:firstLine="480"/>
        <w:rPr>
          <w:rFonts w:cs="Arial" w:hAnsiTheme="minorEastAsia"/>
          <w:bCs/>
          <w:szCs w:val="24"/>
        </w:rPr>
      </w:pPr>
      <w:r>
        <w:rPr>
          <w:rFonts w:hint="eastAsia" w:cs="Arial" w:hAnsiTheme="minorEastAsia"/>
          <w:szCs w:val="24"/>
        </w:rPr>
        <w:t>12）</w:t>
      </w:r>
      <w:r>
        <w:rPr>
          <w:rFonts w:cs="Arial" w:hAnsiTheme="minorEastAsia"/>
          <w:szCs w:val="24"/>
        </w:rPr>
        <w:t>风机进气口</w:t>
      </w:r>
    </w:p>
    <w:p>
      <w:pPr>
        <w:ind w:firstLine="480"/>
        <w:rPr>
          <w:rFonts w:cs="Arial" w:hAnsiTheme="minorEastAsia"/>
          <w:szCs w:val="24"/>
        </w:rPr>
      </w:pPr>
      <w:r>
        <w:rPr>
          <w:rFonts w:cs="Arial" w:hAnsiTheme="minorEastAsia"/>
          <w:szCs w:val="24"/>
        </w:rPr>
        <w:t>风机进气口应包括所必需的入口雨帽、过滤网、导流管及其支撑件、入口导叶、进气室和消声器等，所有单独运输和现场组装的部件应采用法兰连接。过滤网应能方便更换，应设置更换过滤网的操作平台或提出操作要求。</w:t>
      </w:r>
    </w:p>
    <w:p>
      <w:pPr>
        <w:ind w:firstLine="480"/>
        <w:rPr>
          <w:rFonts w:cs="Arial" w:hAnsiTheme="minorEastAsia"/>
          <w:bCs/>
          <w:szCs w:val="24"/>
        </w:rPr>
      </w:pPr>
      <w:r>
        <w:rPr>
          <w:rFonts w:cs="Arial" w:hAnsiTheme="minorEastAsia"/>
          <w:szCs w:val="24"/>
        </w:rPr>
        <w:t>1</w:t>
      </w:r>
      <w:r>
        <w:rPr>
          <w:rFonts w:hint="eastAsia" w:cs="Arial" w:hAnsiTheme="minorEastAsia"/>
          <w:szCs w:val="24"/>
        </w:rPr>
        <w:t>3</w:t>
      </w:r>
      <w:r>
        <w:rPr>
          <w:rFonts w:cs="Arial" w:hAnsiTheme="minorEastAsia"/>
          <w:szCs w:val="24"/>
        </w:rPr>
        <w:t>）风机外罩</w:t>
      </w:r>
    </w:p>
    <w:p>
      <w:pPr>
        <w:ind w:firstLine="480"/>
        <w:rPr>
          <w:rFonts w:cs="Arial" w:hAnsiTheme="minorEastAsia"/>
          <w:szCs w:val="24"/>
        </w:rPr>
      </w:pPr>
      <w:r>
        <w:rPr>
          <w:rFonts w:cs="Arial" w:hAnsiTheme="minorEastAsia"/>
          <w:bCs/>
          <w:szCs w:val="24"/>
        </w:rPr>
        <w:t>（1）</w:t>
      </w:r>
      <w:r>
        <w:rPr>
          <w:rFonts w:cs="Arial" w:hAnsiTheme="minorEastAsia"/>
          <w:szCs w:val="24"/>
        </w:rPr>
        <w:t>风机外罩和入口箱的接头应适当密封。内螺栓应为自锁型，配有止动垫圈。</w:t>
      </w:r>
    </w:p>
    <w:p>
      <w:pPr>
        <w:ind w:firstLine="480"/>
        <w:rPr>
          <w:rFonts w:cs="Arial" w:hAnsiTheme="minorEastAsia"/>
          <w:szCs w:val="24"/>
        </w:rPr>
      </w:pPr>
      <w:r>
        <w:rPr>
          <w:rFonts w:cs="Arial" w:hAnsiTheme="minorEastAsia"/>
          <w:bCs/>
          <w:szCs w:val="24"/>
        </w:rPr>
        <w:t>（2）</w:t>
      </w:r>
      <w:r>
        <w:rPr>
          <w:rFonts w:cs="Arial" w:hAnsiTheme="minorEastAsia"/>
          <w:szCs w:val="24"/>
        </w:rPr>
        <w:t>当气体温度高于177</w:t>
      </w:r>
      <w:r>
        <w:rPr>
          <w:rFonts w:hint="eastAsia" w:cs="宋体" w:hAnsiTheme="minorEastAsia"/>
          <w:szCs w:val="24"/>
        </w:rPr>
        <w:t>℃</w:t>
      </w:r>
      <w:r>
        <w:rPr>
          <w:rFonts w:cs="Arial" w:hAnsiTheme="minorEastAsia"/>
          <w:szCs w:val="24"/>
        </w:rPr>
        <w:t>(350</w:t>
      </w:r>
      <w:r>
        <w:rPr>
          <w:rFonts w:hint="eastAsia" w:cs="宋体" w:hAnsiTheme="minorEastAsia"/>
          <w:szCs w:val="24"/>
        </w:rPr>
        <w:t>℉</w:t>
      </w:r>
      <w:r>
        <w:rPr>
          <w:rFonts w:cs="Arial" w:hAnsiTheme="minorEastAsia"/>
          <w:szCs w:val="24"/>
        </w:rPr>
        <w:t>)时，应在风机外罩中心线位置予以支撑。</w:t>
      </w:r>
    </w:p>
    <w:p>
      <w:pPr>
        <w:ind w:firstLine="480"/>
        <w:rPr>
          <w:rFonts w:cs="Arial" w:hAnsiTheme="minorEastAsia"/>
          <w:szCs w:val="24"/>
        </w:rPr>
      </w:pPr>
      <w:r>
        <w:rPr>
          <w:rFonts w:cs="Arial" w:hAnsiTheme="minorEastAsia"/>
          <w:szCs w:val="24"/>
        </w:rPr>
        <w:t>（3）当外罩和入口箱需要外部绝热层时，应提供焊接好的绝热层保温钉。</w:t>
      </w:r>
    </w:p>
    <w:p>
      <w:pPr>
        <w:ind w:firstLine="480"/>
        <w:rPr>
          <w:rFonts w:cs="Arial" w:hAnsiTheme="minorEastAsia"/>
          <w:szCs w:val="24"/>
        </w:rPr>
      </w:pPr>
      <w:r>
        <w:rPr>
          <w:rFonts w:hint="eastAsia" w:cs="Arial" w:hAnsiTheme="minorEastAsia"/>
          <w:szCs w:val="24"/>
        </w:rPr>
        <w:t>（4）</w:t>
      </w:r>
      <w:r>
        <w:rPr>
          <w:rFonts w:hAnsiTheme="minorEastAsia"/>
          <w:szCs w:val="24"/>
        </w:rPr>
        <w:t>材料应和风机外壳一致，且由供货商提供。</w:t>
      </w:r>
    </w:p>
    <w:p>
      <w:pPr>
        <w:ind w:firstLine="480"/>
        <w:rPr>
          <w:rFonts w:cs="Arial" w:hAnsiTheme="minorEastAsia"/>
          <w:szCs w:val="24"/>
        </w:rPr>
      </w:pPr>
      <w:r>
        <w:rPr>
          <w:rFonts w:cs="Arial" w:hAnsiTheme="minorEastAsia"/>
          <w:bCs/>
          <w:szCs w:val="24"/>
        </w:rPr>
        <w:t>1</w:t>
      </w:r>
      <w:r>
        <w:rPr>
          <w:rFonts w:hint="eastAsia" w:cs="Arial" w:hAnsiTheme="minorEastAsia"/>
          <w:bCs/>
          <w:szCs w:val="24"/>
        </w:rPr>
        <w:t>4</w:t>
      </w:r>
      <w:r>
        <w:rPr>
          <w:rFonts w:cs="Arial" w:hAnsiTheme="minorEastAsia"/>
          <w:bCs/>
          <w:szCs w:val="24"/>
        </w:rPr>
        <w:t>）</w:t>
      </w:r>
      <w:r>
        <w:rPr>
          <w:rFonts w:cs="Arial" w:hAnsiTheme="minorEastAsia"/>
          <w:szCs w:val="24"/>
        </w:rPr>
        <w:t>风机外罩接头</w:t>
      </w:r>
    </w:p>
    <w:p>
      <w:pPr>
        <w:ind w:firstLine="480"/>
        <w:rPr>
          <w:rFonts w:cs="Arial" w:hAnsiTheme="minorEastAsia"/>
          <w:szCs w:val="24"/>
        </w:rPr>
      </w:pPr>
      <w:r>
        <w:rPr>
          <w:rFonts w:cs="Arial" w:hAnsiTheme="minorEastAsia"/>
          <w:szCs w:val="24"/>
        </w:rPr>
        <w:t>供货商应为直径为24英寸(610mm)及以上的接头提供带颈对焊配对法兰，并配备垫圈和螺栓。</w:t>
      </w:r>
    </w:p>
    <w:p>
      <w:pPr>
        <w:ind w:firstLine="480"/>
        <w:rPr>
          <w:rFonts w:cs="Arial" w:hAnsiTheme="minorEastAsia"/>
          <w:bCs/>
          <w:szCs w:val="24"/>
        </w:rPr>
      </w:pPr>
      <w:r>
        <w:rPr>
          <w:rFonts w:hint="eastAsia" w:cs="Arial" w:hAnsiTheme="minorEastAsia"/>
          <w:bCs/>
          <w:szCs w:val="24"/>
        </w:rPr>
        <w:t>（1）</w:t>
      </w:r>
      <w:r>
        <w:rPr>
          <w:rFonts w:cs="Arial" w:hAnsiTheme="minorEastAsia"/>
          <w:bCs/>
          <w:szCs w:val="24"/>
        </w:rPr>
        <w:t>供应ASME标准规定之外的不同尺寸或形状的接头时，配件应由供货商提供。</w:t>
      </w:r>
    </w:p>
    <w:p>
      <w:pPr>
        <w:ind w:firstLine="480"/>
        <w:rPr>
          <w:rFonts w:cs="Arial" w:hAnsiTheme="minorEastAsia"/>
          <w:bCs/>
          <w:szCs w:val="24"/>
        </w:rPr>
      </w:pPr>
      <w:r>
        <w:rPr>
          <w:rFonts w:hint="eastAsia" w:cs="Arial" w:hAnsiTheme="minorEastAsia"/>
          <w:bCs/>
          <w:szCs w:val="24"/>
        </w:rPr>
        <w:t>（2）</w:t>
      </w:r>
      <w:r>
        <w:rPr>
          <w:rFonts w:cs="Arial" w:hAnsiTheme="minorEastAsia"/>
          <w:bCs/>
          <w:szCs w:val="24"/>
        </w:rPr>
        <w:t>应采用符合ASME B16.5/ ASME B16.47标准的法兰。</w:t>
      </w:r>
    </w:p>
    <w:p>
      <w:pPr>
        <w:ind w:firstLine="480"/>
        <w:rPr>
          <w:rFonts w:cs="Arial" w:hAnsiTheme="minorEastAsia"/>
          <w:szCs w:val="24"/>
        </w:rPr>
      </w:pPr>
      <w:r>
        <w:rPr>
          <w:rFonts w:cs="Arial" w:hAnsiTheme="minorEastAsia"/>
          <w:szCs w:val="24"/>
        </w:rPr>
        <w:t>1</w:t>
      </w:r>
      <w:r>
        <w:rPr>
          <w:rFonts w:hint="eastAsia" w:cs="Arial" w:hAnsiTheme="minorEastAsia"/>
          <w:szCs w:val="24"/>
        </w:rPr>
        <w:t>5</w:t>
      </w:r>
      <w:r>
        <w:rPr>
          <w:rFonts w:cs="Arial" w:hAnsiTheme="minorEastAsia"/>
          <w:szCs w:val="24"/>
        </w:rPr>
        <w:t>）外力和力矩</w:t>
      </w:r>
    </w:p>
    <w:p>
      <w:pPr>
        <w:ind w:firstLine="480"/>
        <w:rPr>
          <w:rFonts w:cs="Arial" w:hAnsiTheme="minorEastAsia"/>
          <w:szCs w:val="24"/>
        </w:rPr>
      </w:pPr>
      <w:r>
        <w:rPr>
          <w:rFonts w:cs="Arial" w:hAnsiTheme="minorEastAsia"/>
          <w:szCs w:val="24"/>
        </w:rPr>
        <w:t>接头上不允许施加外力和力矩。风机应配备挠性接头，出入口挠性接头应由供商货提供。在不使用膨胀节的情况下，由买方管线施加在该机组上的最大容许力和力矩，应在报价书中说明，并在外形图纸上标出。</w:t>
      </w:r>
    </w:p>
    <w:p>
      <w:pPr>
        <w:ind w:firstLine="480"/>
        <w:rPr>
          <w:rFonts w:cs="Arial" w:hAnsiTheme="minorEastAsia"/>
          <w:szCs w:val="24"/>
        </w:rPr>
      </w:pPr>
      <w:r>
        <w:rPr>
          <w:rFonts w:cs="Arial" w:hAnsiTheme="minorEastAsia"/>
          <w:szCs w:val="24"/>
        </w:rPr>
        <w:t>1</w:t>
      </w:r>
      <w:r>
        <w:rPr>
          <w:rFonts w:hint="eastAsia" w:cs="Arial" w:hAnsiTheme="minorEastAsia"/>
          <w:szCs w:val="24"/>
        </w:rPr>
        <w:t>6</w:t>
      </w:r>
      <w:r>
        <w:rPr>
          <w:rFonts w:cs="Arial" w:hAnsiTheme="minorEastAsia"/>
          <w:szCs w:val="24"/>
        </w:rPr>
        <w:t>）转动元件</w:t>
      </w:r>
    </w:p>
    <w:p>
      <w:pPr>
        <w:ind w:firstLine="480"/>
        <w:rPr>
          <w:rFonts w:cs="Arial" w:hAnsiTheme="minorEastAsia"/>
          <w:szCs w:val="24"/>
        </w:rPr>
      </w:pPr>
      <w:r>
        <w:rPr>
          <w:rFonts w:cs="Arial" w:hAnsiTheme="minorEastAsia"/>
          <w:szCs w:val="24"/>
        </w:rPr>
        <w:t>风机的叶轮应是使驱动机不过载的后弯叶片，材料为不锈钢。风机叶片的设计结构应符合以下要求：</w:t>
      </w:r>
    </w:p>
    <w:p>
      <w:pPr>
        <w:ind w:firstLine="480"/>
        <w:rPr>
          <w:rFonts w:cs="Arial" w:hAnsiTheme="minorEastAsia"/>
          <w:szCs w:val="24"/>
        </w:rPr>
      </w:pPr>
      <w:r>
        <w:rPr>
          <w:rFonts w:cs="Arial" w:hAnsiTheme="minorEastAsia"/>
          <w:szCs w:val="24"/>
        </w:rPr>
        <w:t>（1）叶片为具有翼面形状的实心叶片。只有经买方书面批准后，才可采用中空形状的翼面结构。</w:t>
      </w:r>
    </w:p>
    <w:p>
      <w:pPr>
        <w:ind w:firstLine="480"/>
        <w:rPr>
          <w:rFonts w:cs="Arial" w:hAnsiTheme="minorEastAsia"/>
          <w:szCs w:val="24"/>
        </w:rPr>
      </w:pPr>
      <w:r>
        <w:rPr>
          <w:rFonts w:cs="Arial" w:hAnsiTheme="minorEastAsia"/>
          <w:szCs w:val="24"/>
        </w:rPr>
        <w:t>（2）可采用单一厚度非翼面形状。</w:t>
      </w:r>
    </w:p>
    <w:p>
      <w:pPr>
        <w:ind w:firstLine="480"/>
        <w:rPr>
          <w:rFonts w:cs="Arial" w:hAnsiTheme="minorEastAsia"/>
          <w:szCs w:val="24"/>
        </w:rPr>
      </w:pPr>
      <w:r>
        <w:rPr>
          <w:rFonts w:cs="Arial" w:hAnsiTheme="minorEastAsia"/>
          <w:szCs w:val="24"/>
        </w:rPr>
        <w:t>（3）所有叶轮都要经过严格的静平衡测试，整组转子都要单独经过动平衡测试。</w:t>
      </w:r>
    </w:p>
    <w:p>
      <w:pPr>
        <w:ind w:firstLine="480"/>
        <w:rPr>
          <w:rFonts w:cs="Arial" w:hAnsiTheme="minorEastAsia"/>
          <w:szCs w:val="24"/>
        </w:rPr>
      </w:pPr>
      <w:r>
        <w:rPr>
          <w:rFonts w:cs="Arial" w:hAnsiTheme="minorEastAsia"/>
          <w:szCs w:val="24"/>
        </w:rPr>
        <w:t>（4）装配时，转动部件都应进行多面动平衡，遵循API 672中2.2.7.4相关规定。</w:t>
      </w:r>
    </w:p>
    <w:p>
      <w:pPr>
        <w:ind w:firstLine="480"/>
        <w:rPr>
          <w:rFonts w:cs="Arial" w:hAnsiTheme="minorEastAsia"/>
          <w:szCs w:val="24"/>
        </w:rPr>
      </w:pPr>
      <w:r>
        <w:rPr>
          <w:rFonts w:cs="Arial" w:hAnsiTheme="minorEastAsia"/>
          <w:szCs w:val="24"/>
        </w:rPr>
        <w:t>（5）风机内部转动部件与风机机体间不允许有任何接触。</w:t>
      </w:r>
    </w:p>
    <w:p>
      <w:pPr>
        <w:ind w:firstLine="480"/>
        <w:rPr>
          <w:rFonts w:cs="Arial" w:hAnsiTheme="minorEastAsia"/>
          <w:szCs w:val="24"/>
        </w:rPr>
      </w:pPr>
      <w:r>
        <w:rPr>
          <w:rFonts w:cs="Arial" w:hAnsiTheme="minorEastAsia"/>
          <w:szCs w:val="24"/>
        </w:rPr>
        <w:t>风机轴套应为防腐、无火花型轴套。轴套应配有过盈配合，且过盈配合和装配时应考虑最高操作温度时的不均匀热膨胀。轴装配完成后，轴套上机械振动量不得超出API相关标准的规定值。</w:t>
      </w:r>
    </w:p>
    <w:p>
      <w:pPr>
        <w:ind w:firstLine="480"/>
        <w:rPr>
          <w:rFonts w:cs="Arial" w:hAnsiTheme="minorEastAsia"/>
          <w:szCs w:val="24"/>
        </w:rPr>
      </w:pPr>
      <w:r>
        <w:rPr>
          <w:rFonts w:cs="Arial" w:hAnsiTheme="minorEastAsia"/>
          <w:szCs w:val="24"/>
        </w:rPr>
        <w:t>17）风机的轴封</w:t>
      </w:r>
    </w:p>
    <w:p>
      <w:pPr>
        <w:ind w:firstLine="480"/>
        <w:rPr>
          <w:rFonts w:cs="Arial" w:hAnsiTheme="minorEastAsia"/>
          <w:szCs w:val="24"/>
        </w:rPr>
      </w:pPr>
      <w:r>
        <w:rPr>
          <w:rFonts w:cs="Arial" w:hAnsiTheme="minorEastAsia"/>
          <w:szCs w:val="24"/>
        </w:rPr>
        <w:t>密封应保证气体无泄漏，且风机出口排出气体中不含油，机封可采用碳环密封，轴封应采用迷宫密封。轴封不得以任何形式使用石棉。</w:t>
      </w:r>
    </w:p>
    <w:p>
      <w:pPr>
        <w:ind w:firstLine="480"/>
        <w:rPr>
          <w:rFonts w:cs="Arial" w:hAnsiTheme="minorEastAsia"/>
          <w:szCs w:val="24"/>
        </w:rPr>
      </w:pPr>
      <w:r>
        <w:rPr>
          <w:rFonts w:cs="Arial" w:hAnsiTheme="minorEastAsia"/>
          <w:szCs w:val="24"/>
        </w:rPr>
        <w:t>18）轴承和轴承箱</w:t>
      </w:r>
    </w:p>
    <w:p>
      <w:pPr>
        <w:ind w:firstLine="480"/>
        <w:rPr>
          <w:rFonts w:cs="Arial" w:hAnsiTheme="minorEastAsia"/>
          <w:szCs w:val="24"/>
        </w:rPr>
      </w:pPr>
      <w:r>
        <w:rPr>
          <w:rFonts w:cs="Arial" w:hAnsiTheme="minorEastAsia"/>
          <w:szCs w:val="24"/>
        </w:rPr>
        <w:t>（1）轴承、径向轴承壳体或衬层在检查或维修时，应可以在无需拆卸管道、叶轮的情况下进行拆卸。</w:t>
      </w:r>
    </w:p>
    <w:p>
      <w:pPr>
        <w:ind w:firstLine="480"/>
        <w:rPr>
          <w:rFonts w:cs="Arial" w:hAnsiTheme="minorEastAsia"/>
          <w:szCs w:val="24"/>
        </w:rPr>
      </w:pPr>
      <w:r>
        <w:rPr>
          <w:rFonts w:cs="Arial" w:hAnsiTheme="minorEastAsia"/>
          <w:szCs w:val="24"/>
        </w:rPr>
        <w:t>（2）推力轴承须承受叶轮方向的轴端推力，其尺寸应能够承受叶轮施加的轴向荷载以及阻尼器和入口导流叶片等所施加的荷载，同时应可承受另一方向的推力。</w:t>
      </w:r>
    </w:p>
    <w:p>
      <w:pPr>
        <w:ind w:firstLine="480"/>
        <w:rPr>
          <w:rFonts w:cs="Arial" w:hAnsiTheme="minorEastAsia"/>
          <w:szCs w:val="24"/>
        </w:rPr>
      </w:pPr>
      <w:r>
        <w:rPr>
          <w:rFonts w:cs="Arial" w:hAnsiTheme="minorEastAsia"/>
          <w:szCs w:val="24"/>
        </w:rPr>
        <w:t>（3）轴承箱应设有油位指示器。非循环油润滑轴承的箱体上应设有至少NPS l/2的配有塞子的注入口和排放口，但开口较小的耐磨轴承箱除外。箱体应配有尺寸至少为0.25 l (8 oz.)的恒定油位可视注油器，注油器装有正油位定位器(而非固定螺钉)。应提供耐高温玻璃容器(不得受到阳光照射、热致不透明或劣化，并用钢丝支架加以保护)。注油器也可由买方进行指定。流动油位指示器应正确固定于轴承箱的外侧，并用固定金属标牌清楚标记，标记应刻在铸件上或其它耐用装置上。</w:t>
      </w:r>
    </w:p>
    <w:p>
      <w:pPr>
        <w:ind w:firstLine="480"/>
        <w:rPr>
          <w:rFonts w:cs="Arial" w:hAnsiTheme="minorEastAsia"/>
          <w:szCs w:val="24"/>
        </w:rPr>
      </w:pPr>
      <w:r>
        <w:rPr>
          <w:rFonts w:cs="Arial" w:hAnsiTheme="minorEastAsia"/>
          <w:szCs w:val="24"/>
        </w:rPr>
        <w:t>（4）在热气体工况下，轴承箱应通过轴封和箱体之间的挡板来屏蔽热气体泄漏。</w:t>
      </w:r>
    </w:p>
    <w:p>
      <w:pPr>
        <w:ind w:firstLine="480"/>
        <w:rPr>
          <w:rFonts w:cs="Arial" w:hAnsiTheme="minorEastAsia"/>
          <w:szCs w:val="24"/>
        </w:rPr>
      </w:pPr>
      <w:r>
        <w:rPr>
          <w:rFonts w:cs="Arial" w:hAnsiTheme="minorEastAsia"/>
          <w:szCs w:val="24"/>
        </w:rPr>
        <w:t>（5）若外置轴承上安装非接触式速度测量探头或机械式速度驱动开关，则应由风机轴承座加以支撑。</w:t>
      </w:r>
    </w:p>
    <w:p>
      <w:pPr>
        <w:ind w:firstLine="480"/>
        <w:rPr>
          <w:rFonts w:cs="Arial" w:hAnsiTheme="minorEastAsia"/>
          <w:szCs w:val="24"/>
        </w:rPr>
      </w:pPr>
      <w:r>
        <w:rPr>
          <w:rFonts w:cs="Arial" w:hAnsiTheme="minorEastAsia"/>
          <w:szCs w:val="24"/>
        </w:rPr>
        <w:t>注：此速度传感器或开关可以用于控制变速传动装置的速度、在双传动应用情况下启动备用传动装置或者在超速情况下停机。</w:t>
      </w:r>
    </w:p>
    <w:p>
      <w:pPr>
        <w:ind w:firstLine="480"/>
        <w:rPr>
          <w:rFonts w:cs="Arial" w:hAnsiTheme="minorEastAsia"/>
          <w:szCs w:val="24"/>
        </w:rPr>
      </w:pPr>
      <w:r>
        <w:rPr>
          <w:rFonts w:cs="Arial" w:hAnsiTheme="minorEastAsia"/>
          <w:szCs w:val="24"/>
        </w:rPr>
        <w:t>（6）风机应配备轴承金属温度传感器，每个轴承至少2只。</w:t>
      </w:r>
    </w:p>
    <w:p>
      <w:pPr>
        <w:ind w:firstLine="480"/>
        <w:rPr>
          <w:rFonts w:cs="Arial" w:hAnsiTheme="minorEastAsia"/>
          <w:szCs w:val="24"/>
        </w:rPr>
      </w:pPr>
      <w:r>
        <w:rPr>
          <w:rFonts w:cs="Arial" w:hAnsiTheme="minorEastAsia"/>
          <w:szCs w:val="24"/>
        </w:rPr>
        <w:t>（7）轴承箱应配备永久性振动传感器。测振探头应安装在接近轴承处，对应的轴颈环面不允许刻画标记，不允许出现油孔等不连续区，该部位不许喷镀，最终表面粗糙度Ra小于0.8μm。该部位还应进行适当的退磁及其他处理，主轴剩磁不超过5Gs。</w:t>
      </w:r>
    </w:p>
    <w:p>
      <w:pPr>
        <w:ind w:firstLine="480"/>
        <w:rPr>
          <w:rFonts w:cs="Arial" w:hAnsiTheme="minorEastAsia"/>
          <w:szCs w:val="24"/>
        </w:rPr>
      </w:pPr>
      <w:r>
        <w:rPr>
          <w:rFonts w:cs="Arial" w:hAnsiTheme="minorEastAsia"/>
          <w:szCs w:val="24"/>
        </w:rPr>
        <w:t>（8）应提供直径至少为25mm(1英寸)的平面用于放置基于磁性的振动测量装置</w:t>
      </w:r>
    </w:p>
    <w:p>
      <w:pPr>
        <w:ind w:firstLine="480"/>
        <w:rPr>
          <w:rFonts w:cs="Arial" w:hAnsiTheme="minorEastAsia"/>
          <w:szCs w:val="24"/>
        </w:rPr>
      </w:pPr>
      <w:r>
        <w:rPr>
          <w:rFonts w:cs="Arial" w:hAnsiTheme="minorEastAsia"/>
          <w:szCs w:val="24"/>
        </w:rPr>
        <w:t>（9）液体动压轴承箱应具备安装两个径向振动探头(每个轴承箱内)和转速探头的条件。探头应按照API 670的要求安装。</w:t>
      </w:r>
    </w:p>
    <w:p>
      <w:pPr>
        <w:ind w:firstLine="480"/>
        <w:rPr>
          <w:rFonts w:cs="Arial" w:hAnsiTheme="minorEastAsia"/>
          <w:szCs w:val="24"/>
        </w:rPr>
      </w:pPr>
      <w:r>
        <w:rPr>
          <w:rFonts w:cs="Arial" w:hAnsiTheme="minorEastAsia"/>
          <w:szCs w:val="24"/>
        </w:rPr>
        <w:t>19）润滑</w:t>
      </w:r>
    </w:p>
    <w:p>
      <w:pPr>
        <w:ind w:firstLine="480"/>
        <w:rPr>
          <w:rFonts w:cs="Arial" w:hAnsiTheme="minorEastAsia"/>
          <w:szCs w:val="24"/>
        </w:rPr>
      </w:pPr>
      <w:r>
        <w:rPr>
          <w:rFonts w:cs="Arial" w:hAnsiTheme="minorEastAsia"/>
          <w:szCs w:val="24"/>
        </w:rPr>
        <w:t>润滑方式可为油脂润滑，应保证转动部件得到充分润滑。如果现场气候条件需要，油加热装置应为恒温控制的浸没式电热器。加热装置的容量应足以在6小时内使油加热。润滑油宜采用标准润滑油，若采用特殊润滑油，供货商应予以说明。</w:t>
      </w:r>
    </w:p>
    <w:p>
      <w:pPr>
        <w:ind w:firstLine="480"/>
        <w:rPr>
          <w:rFonts w:cs="Arial" w:hAnsiTheme="minorEastAsia"/>
          <w:szCs w:val="24"/>
        </w:rPr>
      </w:pPr>
      <w:r>
        <w:rPr>
          <w:rFonts w:cs="Arial" w:hAnsiTheme="minorEastAsia"/>
          <w:szCs w:val="24"/>
        </w:rPr>
        <w:t>20）调节方式</w:t>
      </w:r>
    </w:p>
    <w:p>
      <w:pPr>
        <w:ind w:firstLine="480"/>
        <w:rPr>
          <w:rFonts w:cs="Arial" w:hAnsiTheme="minorEastAsia"/>
          <w:szCs w:val="24"/>
        </w:rPr>
      </w:pPr>
      <w:r>
        <w:rPr>
          <w:rFonts w:cs="Arial" w:hAnsiTheme="minorEastAsia"/>
          <w:szCs w:val="24"/>
        </w:rPr>
        <w:t>风机流量调节方式可采用入口导叶调节或带有执行机构和定位器的风门或入口蝶阀。</w:t>
      </w:r>
    </w:p>
    <w:p>
      <w:pPr>
        <w:ind w:firstLine="480"/>
        <w:rPr>
          <w:rFonts w:cs="Arial" w:hAnsiTheme="minorEastAsia"/>
          <w:szCs w:val="24"/>
        </w:rPr>
      </w:pPr>
      <w:r>
        <w:rPr>
          <w:rFonts w:cs="Arial" w:hAnsiTheme="minorEastAsia"/>
          <w:szCs w:val="24"/>
        </w:rPr>
        <w:t>21）入口过滤器</w:t>
      </w:r>
    </w:p>
    <w:p>
      <w:pPr>
        <w:ind w:firstLine="480"/>
        <w:rPr>
          <w:rFonts w:cs="Arial" w:hAnsiTheme="minorEastAsia"/>
          <w:szCs w:val="24"/>
        </w:rPr>
      </w:pPr>
      <w:r>
        <w:rPr>
          <w:rFonts w:cs="Arial" w:hAnsiTheme="minorEastAsia"/>
          <w:szCs w:val="24"/>
        </w:rPr>
        <w:t>供货商应为风机提供入口过滤器，以防碎屑进入。过滤器的目数由供货商推荐，供买方批准。该过滤器应采用横梁支撑。所有材质均应为耐腐蚀金属。同时至少要满足API 672中3.7的条件。</w:t>
      </w:r>
    </w:p>
    <w:p>
      <w:pPr>
        <w:ind w:firstLine="480"/>
        <w:rPr>
          <w:rFonts w:cs="Arial" w:hAnsiTheme="minorEastAsia"/>
          <w:szCs w:val="24"/>
        </w:rPr>
      </w:pPr>
      <w:r>
        <w:rPr>
          <w:rFonts w:cs="Arial" w:hAnsiTheme="minorEastAsia"/>
          <w:szCs w:val="24"/>
        </w:rPr>
        <w:t>22）消音器</w:t>
      </w:r>
    </w:p>
    <w:p>
      <w:pPr>
        <w:ind w:firstLine="480"/>
        <w:rPr>
          <w:rFonts w:cs="Arial" w:hAnsiTheme="minorEastAsia"/>
          <w:szCs w:val="24"/>
        </w:rPr>
      </w:pPr>
      <w:r>
        <w:rPr>
          <w:rFonts w:cs="Arial" w:hAnsiTheme="minorEastAsia"/>
          <w:szCs w:val="24"/>
        </w:rPr>
        <w:t>（1）风机应配备入口、出口消音器及放空消音器，以满足指定噪声级限制条件。额定条件下，各消音器的压差不得超过25.4 mm(1.0 英寸)水柱。</w:t>
      </w:r>
    </w:p>
    <w:p>
      <w:pPr>
        <w:ind w:firstLine="480"/>
        <w:rPr>
          <w:rFonts w:cs="Arial" w:hAnsiTheme="minorEastAsia"/>
          <w:szCs w:val="24"/>
        </w:rPr>
      </w:pPr>
      <w:r>
        <w:rPr>
          <w:rFonts w:cs="Arial" w:hAnsiTheme="minorEastAsia"/>
          <w:szCs w:val="24"/>
        </w:rPr>
        <w:t>（2）旁通消音器要配有法兰，便于与旁通管相接。</w:t>
      </w:r>
    </w:p>
    <w:p>
      <w:pPr>
        <w:ind w:firstLine="480"/>
        <w:rPr>
          <w:rFonts w:cs="Arial" w:hAnsiTheme="minorEastAsia"/>
          <w:szCs w:val="24"/>
        </w:rPr>
      </w:pPr>
      <w:r>
        <w:rPr>
          <w:rFonts w:cs="Arial" w:hAnsiTheme="minorEastAsia"/>
          <w:szCs w:val="24"/>
        </w:rPr>
        <w:t>（3）风机外壳和进风箱应考虑外部隔热或隔声处理。</w:t>
      </w:r>
    </w:p>
    <w:p>
      <w:pPr>
        <w:ind w:firstLine="480"/>
        <w:rPr>
          <w:rFonts w:cs="Arial" w:hAnsiTheme="minorEastAsia"/>
          <w:szCs w:val="24"/>
        </w:rPr>
      </w:pPr>
      <w:r>
        <w:rPr>
          <w:rFonts w:cs="Arial" w:hAnsiTheme="minorEastAsia"/>
          <w:szCs w:val="24"/>
        </w:rPr>
        <w:t>23）隔音与夹套安装</w:t>
      </w:r>
    </w:p>
    <w:p>
      <w:pPr>
        <w:ind w:firstLine="480"/>
        <w:rPr>
          <w:rFonts w:cs="Arial" w:hAnsiTheme="minorEastAsia"/>
          <w:szCs w:val="24"/>
        </w:rPr>
      </w:pPr>
      <w:r>
        <w:rPr>
          <w:rFonts w:cs="Arial" w:hAnsiTheme="minorEastAsia"/>
          <w:szCs w:val="24"/>
        </w:rPr>
        <w:t>供货商应保证隔音符合噪音相关要求。若需要外部隔音材料，应配备焊接的绝缘隔音材料夹或者螺柱。</w:t>
      </w:r>
    </w:p>
    <w:p>
      <w:pPr>
        <w:ind w:firstLine="480"/>
        <w:rPr>
          <w:rFonts w:cs="Arial" w:hAnsiTheme="minorEastAsia"/>
          <w:szCs w:val="24"/>
        </w:rPr>
      </w:pPr>
      <w:r>
        <w:rPr>
          <w:rFonts w:cs="Arial" w:hAnsiTheme="minorEastAsia"/>
          <w:szCs w:val="24"/>
        </w:rPr>
        <w:t>供货商应将推荐的隔音材料及厚度纳入其报价内。隔音材料不得包括石棉。</w:t>
      </w:r>
    </w:p>
    <w:p>
      <w:pPr>
        <w:ind w:firstLine="480"/>
        <w:rPr>
          <w:rFonts w:cs="Arial" w:hAnsiTheme="minorEastAsia"/>
          <w:szCs w:val="24"/>
        </w:rPr>
      </w:pPr>
      <w:r>
        <w:rPr>
          <w:rFonts w:cs="Arial" w:hAnsiTheme="minorEastAsia"/>
          <w:szCs w:val="24"/>
        </w:rPr>
        <w:t>24）备用风机</w:t>
      </w:r>
    </w:p>
    <w:p>
      <w:pPr>
        <w:ind w:firstLine="480"/>
        <w:rPr>
          <w:rFonts w:cs="Arial" w:hAnsiTheme="minorEastAsia"/>
          <w:szCs w:val="24"/>
        </w:rPr>
      </w:pPr>
      <w:r>
        <w:rPr>
          <w:rFonts w:cs="Arial" w:hAnsiTheme="minorEastAsia"/>
          <w:szCs w:val="24"/>
        </w:rPr>
        <w:t>（1）正常运行的风机与备用风机并联操作，要求风机在切换过程中不会对装置的正常操作产生影响，能平稳地从操作风机切换到备用风机，且不会干扰下游装置平稳、安全运行。</w:t>
      </w:r>
    </w:p>
    <w:p>
      <w:pPr>
        <w:ind w:firstLine="480"/>
        <w:rPr>
          <w:rFonts w:cs="Arial" w:hAnsiTheme="minorEastAsia"/>
          <w:bCs/>
          <w:szCs w:val="24"/>
        </w:rPr>
      </w:pPr>
      <w:r>
        <w:rPr>
          <w:rFonts w:cs="Arial" w:hAnsiTheme="minorEastAsia"/>
          <w:szCs w:val="24"/>
        </w:rPr>
        <w:t>（2）备用风机与运行风机负荷调节方式保持一致。</w:t>
      </w:r>
    </w:p>
    <w:p>
      <w:pPr>
        <w:pStyle w:val="3"/>
      </w:pPr>
      <w:bookmarkStart w:id="33" w:name="_Toc61186506"/>
      <w:r>
        <w:rPr>
          <w:rFonts w:hint="eastAsia"/>
        </w:rPr>
        <w:t>5.2  电动机</w:t>
      </w:r>
      <w:bookmarkEnd w:id="33"/>
    </w:p>
    <w:p>
      <w:pPr>
        <w:ind w:firstLine="480"/>
        <w:rPr>
          <w:rFonts w:cs="Arial" w:hAnsiTheme="minorEastAsia"/>
          <w:szCs w:val="24"/>
        </w:rPr>
      </w:pPr>
      <w:r>
        <w:rPr>
          <w:rFonts w:hint="eastAsia" w:cs="Arial" w:hAnsiTheme="minorEastAsia"/>
          <w:szCs w:val="24"/>
        </w:rPr>
        <w:t>1）机泵为电动机直接或变频驱动，应采用标准型节能电动机，相关组件应选用已批量生产或投放市场几年的标准材料。</w:t>
      </w:r>
    </w:p>
    <w:p>
      <w:pPr>
        <w:ind w:firstLine="480"/>
        <w:rPr>
          <w:rFonts w:cs="Arial" w:hAnsiTheme="minorEastAsia"/>
          <w:szCs w:val="24"/>
        </w:rPr>
      </w:pPr>
      <w:r>
        <w:rPr>
          <w:rFonts w:hint="eastAsia" w:cs="Arial" w:hAnsiTheme="minorEastAsia"/>
          <w:szCs w:val="24"/>
        </w:rPr>
        <w:t>2）电动机应为笼型异步电动机，规格型号符合GB18613《中小型三相异步电动机能效限定值及能效等级》、GB 30254《高压三相笼型异步电动机能效限定值及能效等级》。</w:t>
      </w:r>
    </w:p>
    <w:p>
      <w:pPr>
        <w:ind w:firstLine="480"/>
        <w:rPr>
          <w:rFonts w:cs="Arial" w:hAnsiTheme="minorEastAsia"/>
          <w:szCs w:val="24"/>
        </w:rPr>
      </w:pPr>
      <w:r>
        <w:rPr>
          <w:rFonts w:hint="eastAsia" w:cs="Arial" w:hAnsiTheme="minorEastAsia"/>
          <w:szCs w:val="24"/>
        </w:rPr>
        <w:t>3）爆炸危险环境的电动机应满足GB3836.2《爆炸性环境第2部分：由隔爆外壳“d”保护的设备》的要求，防爆等级ExdⅡBT4 Gc。供货商配套提供电源密封接线盒或电缆夹紧密封接头，采用黄铜镀镍材质的管螺纹，并提供接线盒位置及密封头规格。</w:t>
      </w:r>
    </w:p>
    <w:p>
      <w:pPr>
        <w:ind w:firstLine="480"/>
        <w:rPr>
          <w:rFonts w:cs="Arial" w:hAnsiTheme="minorEastAsia"/>
          <w:szCs w:val="24"/>
        </w:rPr>
      </w:pPr>
      <w:r>
        <w:rPr>
          <w:rFonts w:hint="eastAsia" w:cs="Arial" w:hAnsiTheme="minorEastAsia"/>
          <w:szCs w:val="24"/>
        </w:rPr>
        <w:t>4）电动机的转矩应满足机泵堵转转矩和最大转矩需要，功率特性应与负载特性匹配；并能保证在泵105%额定转速下连续运行。</w:t>
      </w:r>
    </w:p>
    <w:p>
      <w:pPr>
        <w:ind w:firstLine="480"/>
        <w:rPr>
          <w:rFonts w:cs="Arial" w:hAnsiTheme="minorEastAsia"/>
          <w:szCs w:val="24"/>
        </w:rPr>
      </w:pPr>
      <w:r>
        <w:rPr>
          <w:rFonts w:hint="eastAsia" w:cs="Arial" w:hAnsiTheme="minorEastAsia"/>
          <w:szCs w:val="24"/>
        </w:rPr>
        <w:t>5）机泵对启动、制动、调速有特殊要求，需要采用变频调速方式驱动时，电动机制造应符合GB/T21707《变频调速专用三相异步电动机绝缘规范》要求。</w:t>
      </w:r>
    </w:p>
    <w:p>
      <w:pPr>
        <w:ind w:firstLine="480"/>
        <w:rPr>
          <w:rFonts w:cs="Arial" w:hAnsiTheme="minorEastAsia"/>
          <w:szCs w:val="24"/>
        </w:rPr>
      </w:pPr>
      <w:r>
        <w:rPr>
          <w:rFonts w:hint="eastAsia" w:cs="Arial" w:hAnsiTheme="minorEastAsia"/>
          <w:szCs w:val="24"/>
        </w:rPr>
        <w:t>6）电动机防护等级应符合安装场所的环境要求。户外安装时防护等级不得低于IP54，并应采取适当的防潮措施配置空间加热器，电源电压AC220V、50Hz，接线盒上设置标识提示“当电动机停运时加热回路可能带电”。</w:t>
      </w:r>
    </w:p>
    <w:p>
      <w:pPr>
        <w:ind w:firstLine="480"/>
        <w:rPr>
          <w:rFonts w:cs="Arial" w:hAnsiTheme="minorEastAsia"/>
          <w:szCs w:val="24"/>
        </w:rPr>
      </w:pPr>
      <w:r>
        <w:rPr>
          <w:rFonts w:hint="eastAsia" w:cs="Arial" w:hAnsiTheme="minorEastAsia"/>
          <w:szCs w:val="24"/>
        </w:rPr>
        <w:t>7）额定容量大于等于200kW时应采用6kV及以上电压等级的电动机；超过375kW的电动机应配置定子绕组和轴承的温度检测元件、非驱动端与驱动端轴承的振动检测元件，电接点信号容量AC220V/5A。</w:t>
      </w:r>
    </w:p>
    <w:p>
      <w:pPr>
        <w:ind w:firstLine="480"/>
        <w:rPr>
          <w:rFonts w:cs="Arial" w:hAnsiTheme="minorEastAsia"/>
          <w:szCs w:val="24"/>
        </w:rPr>
      </w:pPr>
      <w:r>
        <w:rPr>
          <w:rFonts w:hint="eastAsia" w:cs="Arial" w:hAnsiTheme="minorEastAsia"/>
          <w:szCs w:val="24"/>
        </w:rPr>
        <w:t>8）电动机冷态允许连续起动不少于2次，热态允许连续起动1次；失电时间不超过0.2s时允许满载起动。电动机端最低起动电压为70％～80％额定电压。</w:t>
      </w:r>
    </w:p>
    <w:p>
      <w:pPr>
        <w:ind w:firstLine="480"/>
        <w:rPr>
          <w:rFonts w:cs="Arial" w:hAnsiTheme="minorEastAsia"/>
          <w:szCs w:val="24"/>
        </w:rPr>
      </w:pPr>
      <w:r>
        <w:rPr>
          <w:rFonts w:hint="eastAsia" w:cs="Arial" w:hAnsiTheme="minorEastAsia"/>
          <w:szCs w:val="24"/>
        </w:rPr>
        <w:t>9）电动机为F级绝缘，按B级绝缘温升考核。</w:t>
      </w:r>
    </w:p>
    <w:p>
      <w:pPr>
        <w:ind w:firstLine="480"/>
        <w:rPr>
          <w:rFonts w:cs="Arial" w:hAnsiTheme="minorEastAsia"/>
          <w:szCs w:val="24"/>
        </w:rPr>
      </w:pPr>
      <w:r>
        <w:rPr>
          <w:rFonts w:hint="eastAsia" w:cs="Arial" w:hAnsiTheme="minorEastAsia"/>
          <w:szCs w:val="24"/>
        </w:rPr>
        <w:t>10）三相电源平衡时，电动机三相空载电流中任何一相与三相平均值的偏差不应大于平均值的10%。</w:t>
      </w:r>
    </w:p>
    <w:p>
      <w:pPr>
        <w:ind w:firstLine="480"/>
        <w:rPr>
          <w:rFonts w:cs="Arial" w:hAnsiTheme="minorEastAsia"/>
          <w:szCs w:val="24"/>
        </w:rPr>
      </w:pPr>
      <w:r>
        <w:rPr>
          <w:rFonts w:hint="eastAsia" w:cs="Arial" w:hAnsiTheme="minorEastAsia"/>
          <w:szCs w:val="24"/>
        </w:rPr>
        <w:t>11）电源电压与额定电压的正负偏差绝对值之和不超过10%时，电动机的输出功率能连续保持额定值。</w:t>
      </w:r>
    </w:p>
    <w:p>
      <w:pPr>
        <w:pStyle w:val="3"/>
      </w:pPr>
      <w:bookmarkStart w:id="34" w:name="_Toc61186507"/>
      <w:r>
        <w:rPr>
          <w:rFonts w:hint="eastAsia"/>
        </w:rPr>
        <w:t>5.3  密联轴器和护罩</w:t>
      </w:r>
      <w:bookmarkEnd w:id="34"/>
    </w:p>
    <w:p>
      <w:pPr>
        <w:ind w:firstLine="480"/>
        <w:rPr>
          <w:rFonts w:cs="Arial" w:hAnsiTheme="minorEastAsia"/>
          <w:szCs w:val="24"/>
        </w:rPr>
      </w:pPr>
      <w:r>
        <w:rPr>
          <w:rFonts w:hint="eastAsia" w:cs="Arial" w:hAnsiTheme="minorEastAsia"/>
          <w:szCs w:val="24"/>
        </w:rPr>
        <w:t>1）</w:t>
      </w:r>
      <w:r>
        <w:rPr>
          <w:rFonts w:cs="Arial" w:hAnsiTheme="minorEastAsia"/>
          <w:szCs w:val="24"/>
        </w:rPr>
        <w:t>联轴器应为挠性圆盘自动防故障型。建议采用平行多盘(盘组)式。不得采用齿式联轴器。联轴节护罩应为无火花类型，危险区域的联轴节护罩应由黄铜材料制成。</w:t>
      </w:r>
    </w:p>
    <w:p>
      <w:pPr>
        <w:ind w:firstLine="480"/>
        <w:rPr>
          <w:rFonts w:cs="Arial" w:hAnsiTheme="minorEastAsia"/>
          <w:szCs w:val="24"/>
        </w:rPr>
      </w:pPr>
      <w:r>
        <w:rPr>
          <w:rFonts w:hint="eastAsia" w:cs="Arial" w:hAnsiTheme="minorEastAsia"/>
          <w:szCs w:val="24"/>
        </w:rPr>
        <w:t>2）</w:t>
      </w:r>
      <w:r>
        <w:rPr>
          <w:rFonts w:cs="Arial" w:hAnsiTheme="minorEastAsia"/>
          <w:szCs w:val="24"/>
        </w:rPr>
        <w:t>联轴器能够满足所有工况的传递枢纽，需要经过动平衡试验，设计时要考虑承受力中偏差和允许轴向调整。</w:t>
      </w:r>
    </w:p>
    <w:p>
      <w:pPr>
        <w:ind w:firstLine="480"/>
        <w:rPr>
          <w:rFonts w:cs="Arial" w:hAnsiTheme="minorEastAsia"/>
          <w:szCs w:val="24"/>
        </w:rPr>
      </w:pPr>
      <w:r>
        <w:rPr>
          <w:rFonts w:hint="eastAsia" w:cs="Arial" w:hAnsiTheme="minorEastAsia"/>
          <w:szCs w:val="24"/>
        </w:rPr>
        <w:t>3）</w:t>
      </w:r>
      <w:r>
        <w:rPr>
          <w:rFonts w:cs="Arial" w:hAnsiTheme="minorEastAsia"/>
          <w:szCs w:val="24"/>
        </w:rPr>
        <w:tab/>
      </w:r>
      <w:r>
        <w:rPr>
          <w:rFonts w:cs="Arial" w:hAnsiTheme="minorEastAsia"/>
          <w:szCs w:val="24"/>
        </w:rPr>
        <w:t>护罩建议采用金属的、可拆除的、不会产生火花的联轴器安全罩。护罩应有足够的刚性保证，运转过程中不会与任何转动部件接触，材料为碳钢。</w:t>
      </w:r>
    </w:p>
    <w:p>
      <w:pPr>
        <w:ind w:firstLine="480"/>
        <w:rPr>
          <w:rFonts w:hAnsiTheme="minorEastAsia"/>
          <w:szCs w:val="24"/>
        </w:rPr>
      </w:pPr>
      <w:r>
        <w:rPr>
          <w:rFonts w:hint="eastAsia" w:cs="Arial" w:hAnsiTheme="minorEastAsia"/>
          <w:szCs w:val="24"/>
        </w:rPr>
        <w:t>4）</w:t>
      </w:r>
      <w:r>
        <w:rPr>
          <w:rFonts w:cs="Arial" w:hAnsiTheme="minorEastAsia"/>
          <w:szCs w:val="24"/>
        </w:rPr>
        <w:t>联轴器及护罩应符合API 671标准。</w:t>
      </w:r>
    </w:p>
    <w:p>
      <w:pPr>
        <w:pStyle w:val="3"/>
      </w:pPr>
      <w:bookmarkStart w:id="35" w:name="_Toc61186508"/>
      <w:r>
        <w:rPr>
          <w:rFonts w:hint="eastAsia"/>
        </w:rPr>
        <w:t>5.4  电气技术要求</w:t>
      </w:r>
      <w:bookmarkEnd w:id="35"/>
    </w:p>
    <w:p>
      <w:pPr>
        <w:ind w:firstLine="480"/>
        <w:rPr>
          <w:rFonts w:cs="Arial" w:hAnsiTheme="minorEastAsia"/>
          <w:szCs w:val="24"/>
        </w:rPr>
      </w:pPr>
      <w:r>
        <w:rPr>
          <w:rFonts w:hint="eastAsia" w:cs="Arial" w:hAnsiTheme="minorEastAsia"/>
          <w:szCs w:val="24"/>
        </w:rPr>
        <w:t>1）机组安装场所的爆炸危险区域划分按照GB3836.14《爆炸性环境 第14部分 危险场所分类》进行定义，详见数据单。</w:t>
      </w:r>
    </w:p>
    <w:p>
      <w:pPr>
        <w:ind w:firstLine="480"/>
        <w:rPr>
          <w:rFonts w:cs="Arial" w:hAnsiTheme="minorEastAsia"/>
          <w:szCs w:val="24"/>
        </w:rPr>
      </w:pPr>
      <w:r>
        <w:rPr>
          <w:rFonts w:hint="eastAsia" w:cs="Arial" w:hAnsiTheme="minorEastAsia"/>
          <w:szCs w:val="24"/>
        </w:rPr>
        <w:t>2）电气设备露天安装时，应根据运行条件采取防凝露、防腐蚀措施；现场接线箱防护等级不低于IP65。</w:t>
      </w:r>
    </w:p>
    <w:p>
      <w:pPr>
        <w:ind w:firstLine="480"/>
        <w:rPr>
          <w:rFonts w:cs="Arial" w:hAnsiTheme="minorEastAsia"/>
          <w:szCs w:val="24"/>
        </w:rPr>
      </w:pPr>
      <w:r>
        <w:rPr>
          <w:rFonts w:hint="eastAsia" w:cs="Arial" w:hAnsiTheme="minorEastAsia"/>
          <w:szCs w:val="24"/>
        </w:rPr>
        <w:t>3）机组本体内敷设的电缆采用YJV（交联聚乙烯绝缘聚氯乙烯护套）或橡套软电缆，进出接线箱以及人员活动部位应穿管保护，电缆两端均应有永久性标识。</w:t>
      </w:r>
    </w:p>
    <w:p>
      <w:pPr>
        <w:ind w:firstLine="480"/>
        <w:rPr>
          <w:rFonts w:cs="Arial" w:hAnsiTheme="minorEastAsia"/>
          <w:szCs w:val="24"/>
        </w:rPr>
      </w:pPr>
      <w:r>
        <w:rPr>
          <w:rFonts w:hint="eastAsia" w:cs="Arial" w:hAnsiTheme="minorEastAsia"/>
          <w:szCs w:val="24"/>
        </w:rPr>
        <w:t xml:space="preserve">4）爆炸危险环境内敷设的阻燃电缆最低要求为GB/T12666《单根绝缘电线电缆燃烧试验方法》中C类，电缆敷设时不得有接头。 </w:t>
      </w:r>
    </w:p>
    <w:p>
      <w:pPr>
        <w:ind w:firstLine="480"/>
        <w:rPr>
          <w:rFonts w:cs="Arial" w:hAnsiTheme="minorEastAsia"/>
          <w:szCs w:val="24"/>
        </w:rPr>
      </w:pPr>
      <w:r>
        <w:rPr>
          <w:rFonts w:hint="eastAsia" w:cs="Arial" w:hAnsiTheme="minorEastAsia"/>
          <w:szCs w:val="24"/>
        </w:rPr>
        <w:t>5）机组本体的非电量保护检测信号可接入同一现场接线箱，接线箱应配置多个电缆接口，规格为NPT1/2”(F)、NPT1”(F)及NPT1-1/2”(F)，每个接口均应配置堵头。</w:t>
      </w:r>
    </w:p>
    <w:p>
      <w:pPr>
        <w:ind w:firstLine="480"/>
        <w:rPr>
          <w:rFonts w:cs="Arial" w:hAnsiTheme="minorEastAsia"/>
          <w:szCs w:val="24"/>
        </w:rPr>
      </w:pPr>
      <w:r>
        <w:rPr>
          <w:rFonts w:hint="eastAsia" w:cs="Arial" w:hAnsiTheme="minorEastAsia"/>
          <w:szCs w:val="24"/>
        </w:rPr>
        <w:t>6）机组应配置与设备本体或安装机架焊接相连的专用钢制接地柱，设置至少2 个接地柱，接地柱应镀锌，底座与金属外壳或构架焊接，材质与被接地部位一致，接地柱应成套提供M10不锈钢双头螺栓（带螺母、垫片、弹簧垫圈）并配置接地符号标识。</w:t>
      </w:r>
    </w:p>
    <w:p>
      <w:pPr>
        <w:ind w:firstLine="480"/>
        <w:rPr>
          <w:rFonts w:cs="Arial" w:hAnsiTheme="minorEastAsia"/>
          <w:szCs w:val="24"/>
        </w:rPr>
      </w:pPr>
      <w:r>
        <w:rPr>
          <w:rFonts w:hint="eastAsia" w:cs="Arial" w:hAnsiTheme="minorEastAsia"/>
          <w:szCs w:val="24"/>
        </w:rPr>
        <w:t>7）机组配置的电气仪表接线箱内应设置专用接地端子，并有明确标识。若为金属外壳则应与机组本体做好等电位连接。</w:t>
      </w:r>
    </w:p>
    <w:p>
      <w:pPr>
        <w:pStyle w:val="3"/>
      </w:pPr>
      <w:bookmarkStart w:id="36" w:name="_Toc61186509"/>
      <w:r>
        <w:rPr>
          <w:rFonts w:hint="eastAsia"/>
        </w:rPr>
        <w:t>5.5  仪表与控制系统</w:t>
      </w:r>
      <w:bookmarkEnd w:id="36"/>
    </w:p>
    <w:p>
      <w:pPr>
        <w:ind w:firstLine="480"/>
        <w:rPr>
          <w:rFonts w:cs="Arial" w:hAnsiTheme="minorEastAsia"/>
          <w:szCs w:val="24"/>
        </w:rPr>
      </w:pPr>
      <w:r>
        <w:rPr>
          <w:rFonts w:hint="eastAsia" w:cs="Arial" w:hAnsiTheme="minorEastAsia"/>
          <w:szCs w:val="24"/>
        </w:rPr>
        <w:t>1）风机不带单元控制盘，风机的信号监测、控制和联锁保护由用户DCS或者SIS系统完成。若</w:t>
      </w:r>
      <w:r>
        <w:rPr>
          <w:rFonts w:cs="Arial" w:hAnsiTheme="minorEastAsia"/>
          <w:szCs w:val="24"/>
        </w:rPr>
        <w:t>风机和驱动设备的关键参数如绕组温度、轴承温度、振动以及位移等进行检测</w:t>
      </w:r>
      <w:r>
        <w:rPr>
          <w:rFonts w:hint="eastAsia" w:cs="Arial" w:hAnsiTheme="minorEastAsia"/>
          <w:szCs w:val="24"/>
        </w:rPr>
        <w:t>时，其信号应接入现场接线盒内，现场接线盒由风机配套提供，用户与供货商的界面为接线盒的端子。</w:t>
      </w:r>
    </w:p>
    <w:p>
      <w:pPr>
        <w:ind w:firstLine="480"/>
        <w:rPr>
          <w:rFonts w:cs="Arial" w:hAnsiTheme="minorEastAsia"/>
          <w:szCs w:val="24"/>
        </w:rPr>
      </w:pPr>
      <w:r>
        <w:rPr>
          <w:rFonts w:hint="eastAsia" w:cs="Arial" w:hAnsiTheme="minorEastAsia"/>
          <w:szCs w:val="24"/>
        </w:rPr>
        <w:t>2）供货商提供仪表和设备应满足附件1《成套成橇设备（装置）仪表及控制系统技术规定》通用技术条件。其结构类型满足P2型</w:t>
      </w:r>
      <w:r>
        <w:rPr>
          <w:rFonts w:cs="Arial" w:hAnsiTheme="minorEastAsia"/>
          <w:szCs w:val="24"/>
        </w:rPr>
        <w:t>。</w:t>
      </w:r>
      <w:r>
        <w:rPr>
          <w:rFonts w:hint="eastAsia" w:cs="Arial" w:hAnsiTheme="minorEastAsia"/>
          <w:szCs w:val="24"/>
        </w:rPr>
        <w:tab/>
      </w:r>
    </w:p>
    <w:p>
      <w:pPr>
        <w:ind w:firstLine="480"/>
        <w:rPr>
          <w:rFonts w:cs="Arial" w:hAnsiTheme="minorEastAsia"/>
          <w:szCs w:val="24"/>
        </w:rPr>
      </w:pPr>
      <w:r>
        <w:rPr>
          <w:rFonts w:hint="eastAsia" w:cs="Arial" w:hAnsiTheme="minorEastAsia"/>
          <w:szCs w:val="24"/>
        </w:rPr>
        <w:t>3）</w:t>
      </w:r>
      <w:r>
        <w:rPr>
          <w:rFonts w:cs="Arial" w:hAnsiTheme="minorEastAsia"/>
          <w:szCs w:val="24"/>
        </w:rPr>
        <w:t>供货商应提供完成本技术规格书要求功能所需的全部仪表、单元控制盘(含PLC)、不锈钢管阀件、电线电缆和电气接头等附件，并完成所有仪表、控制系统、电线电缆的安装、敷设、调试、</w:t>
      </w:r>
      <w:r>
        <w:rPr>
          <w:rFonts w:hint="eastAsia" w:cs="Arial" w:hAnsiTheme="minorEastAsia"/>
          <w:szCs w:val="24"/>
        </w:rPr>
        <w:t>配合</w:t>
      </w:r>
      <w:r>
        <w:rPr>
          <w:rFonts w:cs="Arial" w:hAnsiTheme="minorEastAsia"/>
          <w:szCs w:val="24"/>
        </w:rPr>
        <w:t>投运、培训等工作，总装成套供货。</w:t>
      </w:r>
    </w:p>
    <w:p>
      <w:pPr>
        <w:ind w:firstLine="480"/>
        <w:rPr>
          <w:rFonts w:cs="Arial" w:hAnsiTheme="minorEastAsia"/>
          <w:szCs w:val="24"/>
        </w:rPr>
      </w:pPr>
      <w:r>
        <w:rPr>
          <w:rFonts w:hint="eastAsia" w:cs="Arial" w:hAnsiTheme="minorEastAsia"/>
          <w:szCs w:val="24"/>
        </w:rPr>
        <w:t>4）用户为成撬设备提供一回AC380V电源，若需要不间断电源供电时，应在投标文件中提出用电需求。电源进线应配置电涌保护器SPD，电压保护水平不大于2.5kV；SPD应符合GB18802《低压配电系统的电涌保护器(SPD)》的规定。</w:t>
      </w:r>
    </w:p>
    <w:p>
      <w:pPr>
        <w:pStyle w:val="3"/>
      </w:pPr>
      <w:bookmarkStart w:id="37" w:name="_Toc61186510"/>
      <w:r>
        <w:rPr>
          <w:rFonts w:hint="eastAsia"/>
        </w:rPr>
        <w:t>5.6  底橇和地脚螺栓</w:t>
      </w:r>
      <w:bookmarkEnd w:id="37"/>
    </w:p>
    <w:p>
      <w:pPr>
        <w:ind w:firstLine="480"/>
        <w:rPr>
          <w:rFonts w:cs="Arial" w:hAnsiTheme="minorEastAsia"/>
          <w:szCs w:val="24"/>
        </w:rPr>
      </w:pPr>
      <w:r>
        <w:rPr>
          <w:rFonts w:hint="eastAsia" w:cs="Arial" w:hAnsiTheme="minorEastAsia"/>
          <w:szCs w:val="24"/>
        </w:rPr>
        <w:t>1</w:t>
      </w:r>
      <w:r>
        <w:rPr>
          <w:rFonts w:cs="Arial" w:hAnsiTheme="minorEastAsia"/>
          <w:szCs w:val="24"/>
        </w:rPr>
        <w:t>）供货商提供的机组底橇应结构紧凑、牢固，所需安装空间小，易于现场对中和安装。</w:t>
      </w:r>
    </w:p>
    <w:p>
      <w:pPr>
        <w:ind w:firstLine="480"/>
        <w:rPr>
          <w:rFonts w:cs="Arial" w:hAnsiTheme="minorEastAsia"/>
          <w:szCs w:val="24"/>
        </w:rPr>
      </w:pPr>
      <w:r>
        <w:rPr>
          <w:rFonts w:hint="eastAsia" w:cs="Arial" w:hAnsiTheme="minorEastAsia"/>
          <w:szCs w:val="24"/>
        </w:rPr>
        <w:t>2</w:t>
      </w:r>
      <w:r>
        <w:rPr>
          <w:rFonts w:cs="Arial" w:hAnsiTheme="minorEastAsia"/>
          <w:szCs w:val="24"/>
        </w:rPr>
        <w:t>）供货商提供的机组底橇应由结构钢焊接组成，橇座有足够的刚度，以保证在运输、安装和运行过程中机组不会出现错位现象。</w:t>
      </w:r>
    </w:p>
    <w:p>
      <w:pPr>
        <w:ind w:firstLine="480"/>
        <w:rPr>
          <w:rFonts w:cs="Arial" w:hAnsiTheme="minorEastAsia"/>
          <w:szCs w:val="24"/>
        </w:rPr>
      </w:pPr>
      <w:r>
        <w:rPr>
          <w:rFonts w:hint="eastAsia" w:cs="Arial" w:hAnsiTheme="minorEastAsia"/>
          <w:szCs w:val="24"/>
        </w:rPr>
        <w:t>3</w:t>
      </w:r>
      <w:r>
        <w:rPr>
          <w:rFonts w:cs="Arial" w:hAnsiTheme="minorEastAsia"/>
          <w:szCs w:val="24"/>
        </w:rPr>
        <w:t>）底橇上应设有漏水盘。</w:t>
      </w:r>
    </w:p>
    <w:p>
      <w:pPr>
        <w:ind w:firstLine="480"/>
        <w:rPr>
          <w:rFonts w:cs="Arial" w:hAnsiTheme="minorEastAsia"/>
          <w:szCs w:val="24"/>
        </w:rPr>
      </w:pPr>
      <w:r>
        <w:rPr>
          <w:rFonts w:hint="eastAsia" w:cs="Arial" w:hAnsiTheme="minorEastAsia"/>
          <w:szCs w:val="24"/>
        </w:rPr>
        <w:t>4</w:t>
      </w:r>
      <w:r>
        <w:rPr>
          <w:rFonts w:cs="Arial" w:hAnsiTheme="minorEastAsia"/>
          <w:szCs w:val="24"/>
        </w:rPr>
        <w:t>）供货商应提供基础施工时地脚螺栓的要求及规格材质，业主采购。</w:t>
      </w:r>
    </w:p>
    <w:p>
      <w:pPr>
        <w:ind w:firstLine="480"/>
        <w:rPr>
          <w:rFonts w:cs="Arial" w:hAnsiTheme="minorEastAsia"/>
          <w:szCs w:val="24"/>
        </w:rPr>
      </w:pPr>
      <w:r>
        <w:rPr>
          <w:rFonts w:hint="eastAsia" w:cs="Arial" w:hAnsiTheme="minorEastAsia"/>
          <w:szCs w:val="24"/>
        </w:rPr>
        <w:t>5</w:t>
      </w:r>
      <w:r>
        <w:rPr>
          <w:rFonts w:cs="Arial" w:hAnsiTheme="minorEastAsia"/>
          <w:szCs w:val="24"/>
        </w:rPr>
        <w:t>）若辅助系统需要，可设附加橇独立于机组底橇之外。</w:t>
      </w:r>
    </w:p>
    <w:p>
      <w:pPr>
        <w:ind w:firstLine="480"/>
        <w:rPr>
          <w:rFonts w:cs="Arial" w:hAnsiTheme="minorEastAsia"/>
          <w:szCs w:val="24"/>
        </w:rPr>
      </w:pPr>
      <w:r>
        <w:rPr>
          <w:rFonts w:hint="eastAsia" w:cs="Arial" w:hAnsiTheme="minorEastAsia"/>
          <w:szCs w:val="24"/>
        </w:rPr>
        <w:t>6</w:t>
      </w:r>
      <w:r>
        <w:rPr>
          <w:rFonts w:cs="Arial" w:hAnsiTheme="minorEastAsia"/>
          <w:szCs w:val="24"/>
        </w:rPr>
        <w:t>）提供必要的操作、维修平台和支撑。</w:t>
      </w:r>
    </w:p>
    <w:p>
      <w:pPr>
        <w:ind w:firstLine="480"/>
        <w:rPr>
          <w:rFonts w:hAnsiTheme="minorEastAsia"/>
          <w:szCs w:val="24"/>
        </w:rPr>
      </w:pPr>
      <w:r>
        <w:rPr>
          <w:rFonts w:hint="eastAsia" w:cs="Arial" w:hAnsiTheme="minorEastAsia"/>
          <w:szCs w:val="24"/>
        </w:rPr>
        <w:t>7）橇内所有的</w:t>
      </w:r>
      <w:r>
        <w:rPr>
          <w:rFonts w:cs="Arial" w:hAnsiTheme="minorEastAsia"/>
          <w:szCs w:val="24"/>
        </w:rPr>
        <w:t>构架、梯子、平台应具有足够的强度和刚度，结构型式设计合理，维修方便，性能稳定</w:t>
      </w:r>
      <w:r>
        <w:rPr>
          <w:rFonts w:hint="eastAsia" w:hAnsiTheme="minorEastAsia"/>
          <w:szCs w:val="24"/>
        </w:rPr>
        <w:t>。</w:t>
      </w:r>
      <w:r>
        <w:rPr>
          <w:rFonts w:hAnsiTheme="minorEastAsia"/>
          <w:szCs w:val="24"/>
        </w:rPr>
        <w:t xml:space="preserve"> </w:t>
      </w:r>
    </w:p>
    <w:p>
      <w:pPr>
        <w:pStyle w:val="3"/>
      </w:pPr>
      <w:bookmarkStart w:id="38" w:name="_Toc61186511"/>
      <w:r>
        <w:rPr>
          <w:rFonts w:hint="eastAsia"/>
        </w:rPr>
        <w:t>5.7  材料</w:t>
      </w:r>
      <w:bookmarkEnd w:id="38"/>
    </w:p>
    <w:p>
      <w:pPr>
        <w:ind w:firstLine="480"/>
        <w:rPr>
          <w:rFonts w:cs="Arial" w:hAnsiTheme="minorEastAsia"/>
          <w:szCs w:val="24"/>
        </w:rPr>
      </w:pPr>
      <w:r>
        <w:rPr>
          <w:rFonts w:hint="eastAsia" w:cs="Arial" w:hAnsiTheme="minorEastAsia"/>
          <w:szCs w:val="24"/>
        </w:rPr>
        <w:t>1）</w:t>
      </w:r>
      <w:r>
        <w:rPr>
          <w:rFonts w:cs="Arial" w:hAnsiTheme="minorEastAsia"/>
          <w:szCs w:val="24"/>
        </w:rPr>
        <w:t>供货商应对材料的选择负全责，要求所选择的材料必须适用于本项目腐蚀工况和现场气候条件、环境温度、工作介质及操作条件。</w:t>
      </w:r>
    </w:p>
    <w:p>
      <w:pPr>
        <w:ind w:firstLine="480"/>
        <w:rPr>
          <w:rFonts w:cs="Arial" w:hAnsiTheme="minorEastAsia"/>
          <w:szCs w:val="24"/>
        </w:rPr>
      </w:pPr>
      <w:r>
        <w:rPr>
          <w:rFonts w:hint="eastAsia" w:cs="Arial" w:hAnsiTheme="minorEastAsia"/>
          <w:szCs w:val="24"/>
        </w:rPr>
        <w:t>2）</w:t>
      </w:r>
      <w:r>
        <w:rPr>
          <w:rFonts w:cs="Arial" w:hAnsiTheme="minorEastAsia"/>
          <w:szCs w:val="24"/>
        </w:rPr>
        <w:t>主要受压元件用钢应满足</w:t>
      </w:r>
      <w:r>
        <w:rPr>
          <w:rFonts w:hint="eastAsia" w:cs="Arial" w:hAnsiTheme="minorEastAsia"/>
          <w:szCs w:val="24"/>
        </w:rPr>
        <w:t>TSG R0004</w:t>
      </w:r>
      <w:r>
        <w:rPr>
          <w:rFonts w:cs="Arial" w:hAnsiTheme="minorEastAsia"/>
          <w:szCs w:val="24"/>
        </w:rPr>
        <w:t>《固定式压力容器安全技术监察规程》和GB150《压力容器》的规定，并提供材质证明书、合格证和检验报告。</w:t>
      </w:r>
    </w:p>
    <w:p>
      <w:pPr>
        <w:ind w:firstLine="480"/>
        <w:rPr>
          <w:rFonts w:cs="Arial" w:hAnsiTheme="minorEastAsia"/>
          <w:szCs w:val="24"/>
        </w:rPr>
      </w:pPr>
      <w:r>
        <w:rPr>
          <w:rFonts w:hint="eastAsia" w:cs="Arial" w:hAnsiTheme="minorEastAsia"/>
          <w:szCs w:val="24"/>
        </w:rPr>
        <w:t>3）</w:t>
      </w:r>
      <w:r>
        <w:rPr>
          <w:rFonts w:cs="Arial" w:hAnsiTheme="minorEastAsia"/>
          <w:szCs w:val="24"/>
        </w:rPr>
        <w:t>设备材料</w:t>
      </w:r>
      <w:r>
        <w:rPr>
          <w:rFonts w:hint="eastAsia" w:cs="Arial" w:hAnsiTheme="minorEastAsia"/>
          <w:szCs w:val="24"/>
        </w:rPr>
        <w:t>的复验要求应符合</w:t>
      </w:r>
      <w:r>
        <w:rPr>
          <w:rFonts w:cs="Arial" w:hAnsiTheme="minorEastAsia"/>
          <w:szCs w:val="24"/>
        </w:rPr>
        <w:t>TSG R0004《固定式压力容器安全技术监察规程》的</w:t>
      </w:r>
      <w:r>
        <w:rPr>
          <w:rFonts w:hint="eastAsia" w:cs="Arial" w:hAnsiTheme="minorEastAsia"/>
          <w:szCs w:val="24"/>
        </w:rPr>
        <w:t>规定</w:t>
      </w:r>
      <w:r>
        <w:rPr>
          <w:rFonts w:cs="Arial" w:hAnsiTheme="minorEastAsia"/>
          <w:szCs w:val="24"/>
        </w:rPr>
        <w:t>。</w:t>
      </w:r>
    </w:p>
    <w:p>
      <w:pPr>
        <w:ind w:firstLine="480"/>
        <w:rPr>
          <w:rFonts w:cs="Arial" w:hAnsiTheme="minorEastAsia"/>
          <w:szCs w:val="24"/>
        </w:rPr>
      </w:pPr>
      <w:r>
        <w:rPr>
          <w:rFonts w:hint="eastAsia" w:cs="Arial" w:hAnsiTheme="minorEastAsia"/>
          <w:szCs w:val="24"/>
        </w:rPr>
        <w:t>4）</w:t>
      </w:r>
      <w:r>
        <w:rPr>
          <w:rFonts w:cs="Arial" w:hAnsiTheme="minorEastAsia"/>
          <w:szCs w:val="24"/>
        </w:rPr>
        <w:t>材料的具体要求见“数据表”。</w:t>
      </w:r>
    </w:p>
    <w:p>
      <w:pPr>
        <w:pStyle w:val="3"/>
      </w:pPr>
      <w:bookmarkStart w:id="39" w:name="_Toc61186512"/>
      <w:r>
        <w:rPr>
          <w:rFonts w:hint="eastAsia"/>
        </w:rPr>
        <w:t>5.8  焊接</w:t>
      </w:r>
      <w:bookmarkEnd w:id="39"/>
    </w:p>
    <w:p>
      <w:pPr>
        <w:ind w:firstLine="480"/>
        <w:rPr>
          <w:rFonts w:cs="Arial" w:hAnsiTheme="minorEastAsia"/>
          <w:color w:val="000000"/>
          <w:szCs w:val="24"/>
        </w:rPr>
      </w:pPr>
      <w:r>
        <w:rPr>
          <w:rFonts w:hint="eastAsia" w:cs="Arial" w:hAnsiTheme="minorEastAsia"/>
          <w:color w:val="000000"/>
          <w:szCs w:val="24"/>
        </w:rPr>
        <w:t>1</w:t>
      </w:r>
      <w:r>
        <w:rPr>
          <w:rFonts w:cs="Arial" w:hAnsiTheme="minorEastAsia"/>
          <w:color w:val="000000"/>
          <w:szCs w:val="24"/>
        </w:rPr>
        <w:t>）施焊前应将坡口表面的氧化物、油污、熔渣及其它有害杂质清除干净，清除范围（以离坡口边缘的距离计）不得小于50mm。</w:t>
      </w:r>
    </w:p>
    <w:p>
      <w:pPr>
        <w:ind w:firstLine="480"/>
        <w:rPr>
          <w:rFonts w:cs="Arial" w:hAnsiTheme="minorEastAsia"/>
          <w:color w:val="000000"/>
          <w:szCs w:val="24"/>
        </w:rPr>
      </w:pPr>
      <w:r>
        <w:rPr>
          <w:rFonts w:hint="eastAsia" w:cs="Arial" w:hAnsiTheme="minorEastAsia"/>
          <w:color w:val="000000"/>
          <w:szCs w:val="24"/>
        </w:rPr>
        <w:t>2</w:t>
      </w:r>
      <w:r>
        <w:rPr>
          <w:rFonts w:cs="Arial" w:hAnsiTheme="minorEastAsia"/>
          <w:color w:val="000000"/>
          <w:szCs w:val="24"/>
        </w:rPr>
        <w:t>）应保证壳体的焊接接头全焊透，不允许焊缝根部有未熔合或未焊透及裂纹等缺陷存在。供货商应向业主提交焊缝检验标准与验收报告。</w:t>
      </w:r>
    </w:p>
    <w:p>
      <w:pPr>
        <w:ind w:firstLine="480"/>
        <w:rPr>
          <w:rFonts w:cs="Arial" w:hAnsiTheme="minorEastAsia"/>
          <w:color w:val="000000"/>
          <w:szCs w:val="24"/>
        </w:rPr>
      </w:pPr>
      <w:r>
        <w:rPr>
          <w:rFonts w:hint="eastAsia" w:cs="Arial" w:hAnsiTheme="minorEastAsia"/>
          <w:color w:val="000000"/>
          <w:szCs w:val="24"/>
        </w:rPr>
        <w:t>3</w:t>
      </w:r>
      <w:r>
        <w:rPr>
          <w:rFonts w:cs="Arial" w:hAnsiTheme="minorEastAsia"/>
          <w:color w:val="000000"/>
          <w:szCs w:val="24"/>
        </w:rPr>
        <w:t>）所有的焊接坡口应按设计文件的要求机加工成型， 坡口表面不应有裂纹、分层、夹杂等缺陷。</w:t>
      </w:r>
    </w:p>
    <w:p>
      <w:pPr>
        <w:ind w:firstLine="480"/>
        <w:rPr>
          <w:rFonts w:cs="Arial" w:hAnsiTheme="minorEastAsia"/>
          <w:color w:val="000000"/>
          <w:szCs w:val="24"/>
        </w:rPr>
      </w:pPr>
      <w:r>
        <w:rPr>
          <w:rFonts w:hint="eastAsia" w:cs="Arial" w:hAnsiTheme="minorEastAsia"/>
          <w:color w:val="000000"/>
          <w:szCs w:val="24"/>
        </w:rPr>
        <w:t>4</w:t>
      </w:r>
      <w:r>
        <w:rPr>
          <w:rFonts w:cs="Arial" w:hAnsiTheme="minorEastAsia"/>
          <w:color w:val="000000"/>
          <w:szCs w:val="24"/>
        </w:rPr>
        <w:t>）焊接接头表面不得有裂纹、气孔、咬边、弧坑和夹渣等缺陷，并清除熔渣和飞溅物。</w:t>
      </w:r>
    </w:p>
    <w:p>
      <w:pPr>
        <w:ind w:firstLine="480"/>
        <w:rPr>
          <w:rFonts w:cs="Arial" w:hAnsiTheme="minorEastAsia"/>
          <w:color w:val="000000"/>
          <w:szCs w:val="24"/>
        </w:rPr>
      </w:pPr>
      <w:r>
        <w:rPr>
          <w:rFonts w:hint="eastAsia" w:cs="Arial" w:hAnsiTheme="minorEastAsia"/>
          <w:color w:val="000000"/>
          <w:szCs w:val="24"/>
        </w:rPr>
        <w:t>5）风机内部，介质为工艺气的所有焊口均应进行热处理和应力释放。</w:t>
      </w:r>
    </w:p>
    <w:p>
      <w:pPr>
        <w:ind w:firstLine="480"/>
        <w:rPr>
          <w:rFonts w:cs="Arial" w:hAnsiTheme="minorEastAsia"/>
          <w:szCs w:val="24"/>
        </w:rPr>
      </w:pPr>
      <w:r>
        <w:rPr>
          <w:rFonts w:hint="eastAsia" w:cs="Arial" w:hAnsiTheme="minorEastAsia"/>
          <w:color w:val="000000"/>
          <w:szCs w:val="24"/>
        </w:rPr>
        <w:t>6</w:t>
      </w:r>
      <w:r>
        <w:rPr>
          <w:rFonts w:cs="Arial" w:hAnsiTheme="minorEastAsia"/>
          <w:color w:val="000000"/>
          <w:szCs w:val="24"/>
        </w:rPr>
        <w:t>）需要热处理的设备，热处理后不允许再动焊。</w:t>
      </w:r>
    </w:p>
    <w:p>
      <w:pPr>
        <w:pStyle w:val="3"/>
      </w:pPr>
      <w:bookmarkStart w:id="40" w:name="_Toc61186513"/>
      <w:r>
        <w:rPr>
          <w:rFonts w:hint="eastAsia"/>
        </w:rPr>
        <w:t>5.9  无损检测</w:t>
      </w:r>
      <w:bookmarkEnd w:id="40"/>
    </w:p>
    <w:p>
      <w:pPr>
        <w:ind w:firstLine="480"/>
        <w:rPr>
          <w:rFonts w:cs="Arial" w:hAnsiTheme="minorEastAsia"/>
          <w:szCs w:val="24"/>
        </w:rPr>
      </w:pPr>
      <w:r>
        <w:rPr>
          <w:rFonts w:hint="eastAsia" w:cs="Arial" w:hAnsiTheme="minorEastAsia"/>
          <w:szCs w:val="24"/>
        </w:rPr>
        <w:t>1</w:t>
      </w:r>
      <w:r>
        <w:rPr>
          <w:rFonts w:cs="Arial" w:hAnsiTheme="minorEastAsia"/>
          <w:szCs w:val="24"/>
        </w:rPr>
        <w:t>）对接接头应进行100%的射线检测。设计压力≥10.0MPa或壁厚≥30mm时，焊缝还应进行100%的超声波检测。</w:t>
      </w:r>
    </w:p>
    <w:p>
      <w:pPr>
        <w:ind w:firstLine="480"/>
        <w:rPr>
          <w:rFonts w:hAnsiTheme="minorEastAsia"/>
          <w:szCs w:val="24"/>
        </w:rPr>
      </w:pPr>
      <w:r>
        <w:rPr>
          <w:rFonts w:hint="eastAsia" w:cs="Arial" w:hAnsiTheme="minorEastAsia"/>
          <w:szCs w:val="24"/>
        </w:rPr>
        <w:t>2</w:t>
      </w:r>
      <w:r>
        <w:rPr>
          <w:rFonts w:cs="Arial" w:hAnsiTheme="minorEastAsia"/>
          <w:szCs w:val="24"/>
        </w:rPr>
        <w:t>）接管与筒体的角焊缝表面应进行磁粉或渗透检测，壳体直径大于等于800mm，接管尺寸大于等于200mm时，接管角焊缝应进行超声检测</w:t>
      </w:r>
      <w:r>
        <w:rPr>
          <w:rFonts w:hint="eastAsia" w:hAnsiTheme="minorEastAsia"/>
          <w:szCs w:val="24"/>
        </w:rPr>
        <w:t>。</w:t>
      </w:r>
    </w:p>
    <w:p>
      <w:pPr>
        <w:pStyle w:val="3"/>
      </w:pPr>
      <w:bookmarkStart w:id="41" w:name="_Toc61186514"/>
      <w:r>
        <w:rPr>
          <w:rFonts w:hint="eastAsia"/>
        </w:rPr>
        <w:t>5.10  其他要求</w:t>
      </w:r>
      <w:bookmarkEnd w:id="41"/>
    </w:p>
    <w:p>
      <w:pPr>
        <w:ind w:firstLine="480"/>
        <w:rPr>
          <w:rFonts w:cs="Arial" w:hAnsiTheme="minorEastAsia"/>
          <w:szCs w:val="24"/>
        </w:rPr>
      </w:pPr>
      <w:r>
        <w:rPr>
          <w:rFonts w:cs="Arial" w:hAnsiTheme="minorEastAsia"/>
          <w:szCs w:val="24"/>
        </w:rPr>
        <w:t>整个风机机组及附属设施均为室外露天安装。</w:t>
      </w:r>
    </w:p>
    <w:p>
      <w:pPr>
        <w:ind w:firstLine="480"/>
        <w:rPr>
          <w:rFonts w:cs="Arial" w:hAnsiTheme="minorEastAsia"/>
          <w:szCs w:val="24"/>
        </w:rPr>
      </w:pPr>
      <w:r>
        <w:rPr>
          <w:rFonts w:hint="eastAsia" w:cs="Arial" w:hAnsiTheme="minorEastAsia"/>
          <w:szCs w:val="24"/>
        </w:rPr>
        <w:t>1）</w:t>
      </w:r>
      <w:r>
        <w:rPr>
          <w:rFonts w:cs="Arial" w:hAnsiTheme="minorEastAsia"/>
          <w:szCs w:val="24"/>
        </w:rPr>
        <w:t>转速：由制造商确定。</w:t>
      </w:r>
    </w:p>
    <w:p>
      <w:pPr>
        <w:ind w:firstLine="480"/>
        <w:rPr>
          <w:rFonts w:cs="Arial" w:hAnsiTheme="minorEastAsia"/>
          <w:szCs w:val="24"/>
        </w:rPr>
      </w:pPr>
      <w:r>
        <w:rPr>
          <w:rFonts w:hint="eastAsia" w:cs="Arial" w:hAnsiTheme="minorEastAsia"/>
          <w:szCs w:val="24"/>
        </w:rPr>
        <w:t>2）</w:t>
      </w:r>
      <w:r>
        <w:rPr>
          <w:rFonts w:cs="Arial" w:hAnsiTheme="minorEastAsia"/>
          <w:szCs w:val="24"/>
        </w:rPr>
        <w:t xml:space="preserve"> 驱动设备装机容量：由制造商确定。</w:t>
      </w:r>
    </w:p>
    <w:p>
      <w:pPr>
        <w:ind w:firstLine="480"/>
        <w:rPr>
          <w:rFonts w:cs="Arial" w:hAnsiTheme="minorEastAsia"/>
          <w:szCs w:val="24"/>
        </w:rPr>
      </w:pPr>
      <w:r>
        <w:rPr>
          <w:rFonts w:hint="eastAsia" w:cs="Arial" w:hAnsiTheme="minorEastAsia"/>
          <w:szCs w:val="24"/>
        </w:rPr>
        <w:t>3）</w:t>
      </w:r>
      <w:r>
        <w:rPr>
          <w:rFonts w:cs="Arial" w:hAnsiTheme="minorEastAsia"/>
          <w:szCs w:val="24"/>
        </w:rPr>
        <w:t xml:space="preserve">传动方式：由制造商确定。 </w:t>
      </w:r>
    </w:p>
    <w:p>
      <w:pPr>
        <w:ind w:firstLine="480"/>
        <w:rPr>
          <w:rFonts w:cs="Arial" w:hAnsiTheme="minorEastAsia"/>
          <w:szCs w:val="24"/>
        </w:rPr>
      </w:pPr>
      <w:r>
        <w:rPr>
          <w:rFonts w:hint="eastAsia" w:cs="Arial" w:hAnsiTheme="minorEastAsia"/>
          <w:szCs w:val="24"/>
        </w:rPr>
        <w:t>4）</w:t>
      </w:r>
      <w:r>
        <w:rPr>
          <w:rFonts w:cs="Arial" w:hAnsiTheme="minorEastAsia"/>
          <w:szCs w:val="24"/>
        </w:rPr>
        <w:t>电压等级：</w:t>
      </w:r>
      <w:r>
        <w:rPr>
          <w:rFonts w:hint="eastAsia" w:cs="Arial" w:hAnsiTheme="minorEastAsia"/>
          <w:szCs w:val="24"/>
        </w:rPr>
        <w:t>380</w:t>
      </w:r>
      <w:r>
        <w:rPr>
          <w:rFonts w:cs="Arial" w:hAnsiTheme="minorEastAsia"/>
          <w:szCs w:val="24"/>
        </w:rPr>
        <w:t>V/3相/50Hz。</w:t>
      </w:r>
    </w:p>
    <w:p>
      <w:pPr>
        <w:ind w:firstLine="480"/>
        <w:rPr>
          <w:rFonts w:cs="Arial" w:hAnsiTheme="minorEastAsia"/>
          <w:szCs w:val="24"/>
        </w:rPr>
      </w:pPr>
      <w:bookmarkStart w:id="42" w:name="_Toc365462706"/>
      <w:r>
        <w:rPr>
          <w:rFonts w:hint="eastAsia" w:cs="Arial" w:hAnsiTheme="minorEastAsia"/>
          <w:szCs w:val="24"/>
        </w:rPr>
        <w:t>5）</w:t>
      </w:r>
      <w:r>
        <w:rPr>
          <w:rFonts w:cs="Arial" w:hAnsiTheme="minorEastAsia"/>
          <w:szCs w:val="24"/>
        </w:rPr>
        <w:t>仪表及控制系统</w:t>
      </w:r>
      <w:bookmarkEnd w:id="42"/>
    </w:p>
    <w:p>
      <w:pPr>
        <w:ind w:firstLine="480"/>
        <w:rPr>
          <w:rFonts w:cs="Arial" w:hAnsiTheme="minorEastAsia"/>
          <w:szCs w:val="24"/>
        </w:rPr>
      </w:pPr>
      <w:r>
        <w:rPr>
          <w:rFonts w:hint="eastAsia" w:cs="Arial" w:hAnsiTheme="minorEastAsia"/>
          <w:szCs w:val="24"/>
        </w:rPr>
        <w:t>（1）</w:t>
      </w:r>
      <w:r>
        <w:rPr>
          <w:rFonts w:cs="Arial" w:hAnsiTheme="minorEastAsia"/>
          <w:szCs w:val="24"/>
        </w:rPr>
        <w:t>仪表与控制系统类型</w:t>
      </w:r>
    </w:p>
    <w:p>
      <w:pPr>
        <w:ind w:firstLine="480"/>
        <w:rPr>
          <w:rFonts w:cs="Arial" w:hAnsiTheme="minorEastAsia"/>
          <w:szCs w:val="24"/>
        </w:rPr>
      </w:pPr>
      <w:r>
        <w:rPr>
          <w:rFonts w:cs="Arial" w:hAnsiTheme="minorEastAsia"/>
          <w:szCs w:val="24"/>
        </w:rPr>
        <w:t>风机配套的仪表及控制系统类型为P</w:t>
      </w:r>
      <w:r>
        <w:rPr>
          <w:rFonts w:hint="eastAsia" w:cs="Arial" w:hAnsiTheme="minorEastAsia"/>
          <w:szCs w:val="24"/>
        </w:rPr>
        <w:t>3</w:t>
      </w:r>
      <w:r>
        <w:rPr>
          <w:rFonts w:cs="Arial" w:hAnsiTheme="minorEastAsia"/>
          <w:szCs w:val="24"/>
        </w:rPr>
        <w:t>型。</w:t>
      </w:r>
    </w:p>
    <w:p>
      <w:pPr>
        <w:ind w:firstLine="480"/>
        <w:rPr>
          <w:rFonts w:cs="Arial" w:hAnsiTheme="minorEastAsia"/>
          <w:szCs w:val="24"/>
        </w:rPr>
      </w:pPr>
      <w:r>
        <w:rPr>
          <w:rFonts w:hint="eastAsia" w:cs="Arial" w:hAnsiTheme="minorEastAsia"/>
          <w:szCs w:val="24"/>
        </w:rPr>
        <w:t>（2）</w:t>
      </w:r>
      <w:r>
        <w:rPr>
          <w:rFonts w:cs="Arial" w:hAnsiTheme="minorEastAsia"/>
          <w:szCs w:val="24"/>
        </w:rPr>
        <w:t>与业主计算机控制系统的信号交接</w:t>
      </w:r>
      <w:r>
        <w:rPr>
          <w:rFonts w:hint="eastAsia" w:cs="Arial" w:hAnsiTheme="minorEastAsia"/>
          <w:szCs w:val="24"/>
        </w:rPr>
        <w:t>（当带单元控制盘时）</w:t>
      </w:r>
    </w:p>
    <w:p>
      <w:pPr>
        <w:ind w:firstLine="480"/>
        <w:rPr>
          <w:rFonts w:cs="Arial" w:hAnsiTheme="minorEastAsia"/>
          <w:szCs w:val="24"/>
        </w:rPr>
      </w:pPr>
      <w:r>
        <w:rPr>
          <w:rFonts w:hint="eastAsia" w:cs="Arial" w:hAnsiTheme="minorEastAsia"/>
          <w:szCs w:val="24"/>
        </w:rPr>
        <w:t>A.</w:t>
      </w:r>
      <w:r>
        <w:rPr>
          <w:rFonts w:cs="Arial" w:hAnsiTheme="minorEastAsia"/>
          <w:szCs w:val="24"/>
        </w:rPr>
        <w:t>风机的单元控制盘UCP至少应提供如下信号：</w:t>
      </w:r>
    </w:p>
    <w:p>
      <w:pPr>
        <w:ind w:firstLine="480"/>
        <w:rPr>
          <w:rFonts w:cs="Arial" w:hAnsiTheme="minorEastAsia"/>
          <w:szCs w:val="24"/>
        </w:rPr>
      </w:pPr>
      <w:r>
        <w:rPr>
          <w:rFonts w:hint="eastAsia" w:cs="Arial" w:hAnsiTheme="minorEastAsia"/>
          <w:szCs w:val="24"/>
        </w:rPr>
        <w:t>a．</w:t>
      </w:r>
      <w:r>
        <w:rPr>
          <w:rFonts w:cs="Arial" w:hAnsiTheme="minorEastAsia"/>
          <w:szCs w:val="24"/>
        </w:rPr>
        <w:t>运行状态，干触点，触点容量：24VDC 2A；</w:t>
      </w:r>
    </w:p>
    <w:p>
      <w:pPr>
        <w:ind w:firstLine="480"/>
        <w:rPr>
          <w:rFonts w:cs="Arial" w:hAnsiTheme="minorEastAsia"/>
          <w:szCs w:val="24"/>
        </w:rPr>
      </w:pPr>
      <w:r>
        <w:rPr>
          <w:rFonts w:hint="eastAsia" w:cs="Arial" w:hAnsiTheme="minorEastAsia"/>
          <w:szCs w:val="24"/>
        </w:rPr>
        <w:t>b．</w:t>
      </w:r>
      <w:r>
        <w:rPr>
          <w:rFonts w:cs="Arial" w:hAnsiTheme="minorEastAsia"/>
          <w:szCs w:val="24"/>
        </w:rPr>
        <w:t>综合故障，干触点，触点容量：24VDC 2A；</w:t>
      </w:r>
    </w:p>
    <w:p>
      <w:pPr>
        <w:ind w:firstLine="480"/>
        <w:rPr>
          <w:rFonts w:cs="Arial" w:hAnsiTheme="minorEastAsia"/>
          <w:szCs w:val="24"/>
        </w:rPr>
      </w:pPr>
      <w:r>
        <w:rPr>
          <w:rFonts w:hint="eastAsia" w:cs="Arial" w:hAnsiTheme="minorEastAsia"/>
          <w:szCs w:val="24"/>
        </w:rPr>
        <w:t>c．</w:t>
      </w:r>
      <w:r>
        <w:rPr>
          <w:rFonts w:cs="Arial" w:hAnsiTheme="minorEastAsia"/>
          <w:szCs w:val="24"/>
        </w:rPr>
        <w:t>RS485通讯信号，MODBUS协议RTU方式；</w:t>
      </w:r>
    </w:p>
    <w:p>
      <w:pPr>
        <w:ind w:firstLine="480"/>
        <w:rPr>
          <w:rFonts w:cs="Arial" w:hAnsiTheme="minorEastAsia"/>
          <w:szCs w:val="24"/>
        </w:rPr>
      </w:pPr>
      <w:r>
        <w:rPr>
          <w:rFonts w:hint="eastAsia" w:cs="Arial" w:hAnsiTheme="minorEastAsia"/>
          <w:szCs w:val="24"/>
        </w:rPr>
        <w:t>d．</w:t>
      </w:r>
      <w:r>
        <w:rPr>
          <w:rFonts w:cs="Arial" w:hAnsiTheme="minorEastAsia"/>
          <w:szCs w:val="24"/>
        </w:rPr>
        <w:t>本技术规格书其他部分要求的信号；</w:t>
      </w:r>
    </w:p>
    <w:p>
      <w:pPr>
        <w:ind w:firstLine="480"/>
        <w:rPr>
          <w:rFonts w:cs="Arial" w:hAnsiTheme="minorEastAsia"/>
          <w:szCs w:val="24"/>
        </w:rPr>
      </w:pPr>
      <w:r>
        <w:rPr>
          <w:rFonts w:hint="eastAsia" w:cs="Arial" w:hAnsiTheme="minorEastAsia"/>
          <w:szCs w:val="24"/>
        </w:rPr>
        <w:t>B.</w:t>
      </w:r>
      <w:r>
        <w:rPr>
          <w:rFonts w:cs="Arial" w:hAnsiTheme="minorEastAsia"/>
          <w:szCs w:val="24"/>
        </w:rPr>
        <w:t>单元控制盘UCP至少应接收业主计算机控制系统发出的以下信号：</w:t>
      </w:r>
    </w:p>
    <w:p>
      <w:pPr>
        <w:ind w:firstLine="480"/>
        <w:rPr>
          <w:rFonts w:cs="Arial" w:hAnsiTheme="minorEastAsia"/>
          <w:szCs w:val="24"/>
        </w:rPr>
      </w:pPr>
      <w:r>
        <w:rPr>
          <w:rFonts w:hint="eastAsia" w:cs="Arial" w:hAnsiTheme="minorEastAsia"/>
          <w:szCs w:val="24"/>
        </w:rPr>
        <w:t>a．</w:t>
      </w:r>
      <w:r>
        <w:rPr>
          <w:rFonts w:cs="Arial" w:hAnsiTheme="minorEastAsia"/>
          <w:szCs w:val="24"/>
        </w:rPr>
        <w:t>远程停信号，干触点，触点容量：24VDC 2A；</w:t>
      </w:r>
    </w:p>
    <w:p>
      <w:pPr>
        <w:ind w:firstLine="480"/>
        <w:rPr>
          <w:rFonts w:cs="Arial" w:hAnsiTheme="minorEastAsia"/>
          <w:szCs w:val="24"/>
        </w:rPr>
      </w:pPr>
      <w:r>
        <w:rPr>
          <w:rFonts w:hint="eastAsia" w:cs="Arial" w:hAnsiTheme="minorEastAsia"/>
          <w:szCs w:val="24"/>
        </w:rPr>
        <w:t>b.</w:t>
      </w:r>
      <w:r>
        <w:rPr>
          <w:rFonts w:cs="Arial" w:hAnsiTheme="minorEastAsia"/>
          <w:szCs w:val="24"/>
        </w:rPr>
        <w:t>本技术规格书其他部分要求的信号；</w:t>
      </w:r>
    </w:p>
    <w:p>
      <w:pPr>
        <w:ind w:firstLine="480"/>
        <w:rPr>
          <w:rFonts w:cs="Arial" w:hAnsiTheme="minorEastAsia"/>
          <w:szCs w:val="24"/>
        </w:rPr>
      </w:pPr>
      <w:r>
        <w:rPr>
          <w:rFonts w:cs="Arial" w:hAnsiTheme="minorEastAsia"/>
          <w:szCs w:val="24"/>
        </w:rPr>
        <w:t>c</w:t>
      </w:r>
      <w:r>
        <w:rPr>
          <w:rFonts w:hint="eastAsia" w:cs="Arial" w:hAnsiTheme="minorEastAsia"/>
          <w:szCs w:val="24"/>
        </w:rPr>
        <w:t>.</w:t>
      </w:r>
      <w:r>
        <w:rPr>
          <w:rFonts w:cs="Arial" w:hAnsiTheme="minorEastAsia"/>
          <w:szCs w:val="24"/>
        </w:rPr>
        <w:t>供货商必须配合业主完成UCP与业主计算机控制系统的组态工作。</w:t>
      </w:r>
    </w:p>
    <w:p>
      <w:pPr>
        <w:pStyle w:val="3"/>
      </w:pPr>
      <w:bookmarkStart w:id="43" w:name="_Toc29457"/>
      <w:bookmarkStart w:id="44" w:name="_Toc479160041"/>
      <w:bookmarkStart w:id="45" w:name="_Toc61186515"/>
      <w:r>
        <w:rPr>
          <w:rFonts w:hint="eastAsia"/>
        </w:rPr>
        <w:t>5.11  防腐要求</w:t>
      </w:r>
      <w:bookmarkEnd w:id="43"/>
      <w:bookmarkEnd w:id="44"/>
      <w:bookmarkEnd w:id="45"/>
    </w:p>
    <w:p>
      <w:pPr>
        <w:ind w:firstLine="480"/>
        <w:rPr>
          <w:rFonts w:hAnsiTheme="minorEastAsia"/>
          <w:szCs w:val="24"/>
        </w:rPr>
      </w:pPr>
      <w:r>
        <w:rPr>
          <w:rFonts w:hint="eastAsia" w:hAnsiTheme="minorEastAsia"/>
          <w:szCs w:val="24"/>
        </w:rPr>
        <w:t>1）撬上设备、管道（除不锈钢外）应全部除锈、喷漆，表面应平滑、光亮、美观，漆膜经久耐用。</w:t>
      </w:r>
    </w:p>
    <w:p>
      <w:pPr>
        <w:ind w:firstLine="480"/>
        <w:rPr>
          <w:rFonts w:hAnsiTheme="minorEastAsia"/>
          <w:szCs w:val="24"/>
        </w:rPr>
      </w:pPr>
      <w:r>
        <w:rPr>
          <w:rFonts w:hint="eastAsia" w:hAnsiTheme="minorEastAsia"/>
          <w:szCs w:val="24"/>
        </w:rPr>
        <w:t>2）除锈等级至少达到Sa21/2或St21/2为合规。</w:t>
      </w:r>
    </w:p>
    <w:p>
      <w:pPr>
        <w:ind w:firstLine="480"/>
        <w:rPr>
          <w:rFonts w:hAnsiTheme="minorEastAsia"/>
          <w:szCs w:val="24"/>
        </w:rPr>
      </w:pPr>
      <w:r>
        <w:rPr>
          <w:rFonts w:hint="eastAsia" w:hAnsiTheme="minorEastAsia"/>
          <w:szCs w:val="24"/>
        </w:rPr>
        <w:t>3）设备涂层颜色由业主/买方确定，业主/买方提供色标。</w:t>
      </w:r>
    </w:p>
    <w:p>
      <w:pPr>
        <w:ind w:firstLine="480"/>
        <w:rPr>
          <w:rFonts w:hAnsiTheme="minorEastAsia"/>
          <w:szCs w:val="24"/>
        </w:rPr>
      </w:pPr>
      <w:bookmarkStart w:id="46" w:name="_Toc31892"/>
      <w:bookmarkStart w:id="47" w:name="_Toc479160042"/>
      <w:r>
        <w:rPr>
          <w:rFonts w:hint="eastAsia" w:hAnsiTheme="minorEastAsia"/>
          <w:szCs w:val="24"/>
        </w:rPr>
        <w:t>3.2.11法兰技术要求</w:t>
      </w:r>
      <w:bookmarkEnd w:id="46"/>
      <w:bookmarkEnd w:id="47"/>
    </w:p>
    <w:p>
      <w:pPr>
        <w:ind w:firstLine="480"/>
        <w:rPr>
          <w:rFonts w:cs="Arial" w:hAnsiTheme="minorEastAsia"/>
          <w:szCs w:val="24"/>
        </w:rPr>
      </w:pPr>
      <w:r>
        <w:rPr>
          <w:rFonts w:hint="eastAsia" w:cs="Arial" w:hAnsiTheme="minorEastAsia"/>
          <w:szCs w:val="24"/>
        </w:rPr>
        <w:t>1）</w:t>
      </w:r>
      <w:r>
        <w:rPr>
          <w:rFonts w:hint="eastAsia" w:hAnsiTheme="minorEastAsia"/>
          <w:szCs w:val="24"/>
        </w:rPr>
        <w:t>设备</w:t>
      </w:r>
      <w:r>
        <w:rPr>
          <w:rFonts w:hint="eastAsia" w:cs="Arial" w:hAnsiTheme="minorEastAsia"/>
          <w:szCs w:val="24"/>
        </w:rPr>
        <w:t>本体法兰及配对法兰执行标准：HG/T 20592-2009  《钢制管法兰》；</w:t>
      </w:r>
    </w:p>
    <w:p>
      <w:pPr>
        <w:ind w:firstLine="480"/>
        <w:rPr>
          <w:rFonts w:cs="Arial" w:hAnsiTheme="minorEastAsia"/>
          <w:szCs w:val="24"/>
        </w:rPr>
      </w:pPr>
      <w:r>
        <w:rPr>
          <w:rFonts w:hint="eastAsia" w:cs="Arial" w:hAnsiTheme="minorEastAsia"/>
          <w:szCs w:val="24"/>
        </w:rPr>
        <w:t>2）</w:t>
      </w:r>
      <w:r>
        <w:rPr>
          <w:rFonts w:hint="eastAsia" w:hAnsiTheme="minorEastAsia"/>
          <w:szCs w:val="24"/>
        </w:rPr>
        <w:t>紧固件</w:t>
      </w:r>
      <w:r>
        <w:rPr>
          <w:rFonts w:hint="eastAsia" w:cs="Arial" w:hAnsiTheme="minorEastAsia"/>
          <w:szCs w:val="24"/>
        </w:rPr>
        <w:t>执行标准：HG/T 20613-2009   《钢制管法兰用紧固件（PN系列）》；</w:t>
      </w:r>
    </w:p>
    <w:p>
      <w:pPr>
        <w:ind w:firstLine="480"/>
        <w:rPr>
          <w:rFonts w:cs="Arial"/>
        </w:rPr>
      </w:pPr>
      <w:r>
        <w:rPr>
          <w:rFonts w:hint="eastAsia" w:cs="Arial" w:hAnsiTheme="minorEastAsia"/>
          <w:szCs w:val="24"/>
        </w:rPr>
        <w:t>3）垫片</w:t>
      </w:r>
      <w:r>
        <w:rPr>
          <w:rFonts w:hint="eastAsia" w:hAnsiTheme="minorEastAsia"/>
          <w:szCs w:val="24"/>
        </w:rPr>
        <w:t>执行</w:t>
      </w:r>
      <w:r>
        <w:rPr>
          <w:rFonts w:hint="eastAsia" w:cs="Arial" w:hAnsiTheme="minorEastAsia"/>
          <w:szCs w:val="24"/>
        </w:rPr>
        <w:t>标准：HG/</w:t>
      </w:r>
      <w:r>
        <w:rPr>
          <w:rFonts w:cs="Arial" w:hAnsiTheme="minorEastAsia"/>
          <w:szCs w:val="24"/>
        </w:rPr>
        <w:t>T</w:t>
      </w:r>
      <w:r>
        <w:rPr>
          <w:rFonts w:hint="eastAsia" w:cs="Arial" w:hAnsiTheme="minorEastAsia"/>
          <w:szCs w:val="24"/>
        </w:rPr>
        <w:t xml:space="preserve"> 20610-2009</w:t>
      </w:r>
      <w:r>
        <w:rPr>
          <w:rFonts w:cs="Arial" w:hAnsiTheme="minorEastAsia"/>
          <w:szCs w:val="24"/>
        </w:rPr>
        <w:t>《</w:t>
      </w:r>
      <w:r>
        <w:rPr>
          <w:rFonts w:hint="eastAsia" w:cs="Arial" w:hAnsiTheme="minorEastAsia"/>
          <w:szCs w:val="24"/>
        </w:rPr>
        <w:t>钢制</w:t>
      </w:r>
      <w:r>
        <w:rPr>
          <w:rFonts w:cs="Arial" w:hAnsiTheme="minorEastAsia"/>
          <w:szCs w:val="24"/>
        </w:rPr>
        <w:t>管法兰用</w:t>
      </w:r>
      <w:r>
        <w:rPr>
          <w:rFonts w:hint="eastAsia" w:cs="Arial" w:hAnsiTheme="minorEastAsia"/>
          <w:szCs w:val="24"/>
        </w:rPr>
        <w:t>缠绕式垫片（PN系列）</w:t>
      </w:r>
      <w:r>
        <w:rPr>
          <w:rFonts w:cs="Arial" w:hAnsiTheme="minorEastAsia"/>
          <w:szCs w:val="24"/>
        </w:rPr>
        <w:t>》</w:t>
      </w:r>
    </w:p>
    <w:p>
      <w:pPr>
        <w:pStyle w:val="2"/>
      </w:pPr>
      <w:bookmarkStart w:id="48" w:name="_Toc61186516"/>
      <w:r>
        <w:rPr>
          <w:rFonts w:hint="eastAsia" w:cs="Times New Roman"/>
        </w:rPr>
        <w:t xml:space="preserve">6  </w:t>
      </w:r>
      <w:r>
        <w:rPr>
          <w:rFonts w:hint="eastAsia"/>
        </w:rPr>
        <w:t>业主提供的技术文件</w:t>
      </w:r>
      <w:bookmarkEnd w:id="48"/>
    </w:p>
    <w:p>
      <w:pPr>
        <w:ind w:firstLine="480"/>
      </w:pPr>
      <w:r>
        <w:rPr>
          <w:rFonts w:hint="eastAsia"/>
        </w:rPr>
        <w:t>硫除雾器鼓风机技术规格书。</w:t>
      </w:r>
    </w:p>
    <w:p>
      <w:pPr>
        <w:pStyle w:val="2"/>
      </w:pPr>
      <w:bookmarkStart w:id="49" w:name="_Toc61186517"/>
      <w:r>
        <w:rPr>
          <w:rFonts w:hint="eastAsia" w:cs="Times New Roman"/>
        </w:rPr>
        <w:t xml:space="preserve">7  </w:t>
      </w:r>
      <w:r>
        <w:rPr>
          <w:rFonts w:hint="eastAsia"/>
        </w:rPr>
        <w:t>供货商提供的文件</w:t>
      </w:r>
      <w:bookmarkEnd w:id="49"/>
    </w:p>
    <w:p>
      <w:pPr>
        <w:pStyle w:val="3"/>
      </w:pPr>
      <w:bookmarkStart w:id="50" w:name="_Toc61186518"/>
      <w:r>
        <w:rPr>
          <w:rFonts w:hint="eastAsia"/>
        </w:rPr>
        <w:t>7.1  一般文件要求</w:t>
      </w:r>
      <w:bookmarkEnd w:id="50"/>
    </w:p>
    <w:p>
      <w:pPr>
        <w:ind w:firstLine="480"/>
      </w:pPr>
      <w:r>
        <w:rPr>
          <w:rFonts w:hint="eastAsia"/>
        </w:rPr>
        <w:t>应同时以软拷贝和硬拷贝的形式向业主提交终版文件</w:t>
      </w:r>
      <w:r>
        <w:t>/</w:t>
      </w:r>
      <w:r>
        <w:rPr>
          <w:rFonts w:hint="eastAsia"/>
        </w:rPr>
        <w:t>资料；</w:t>
      </w:r>
      <w:r>
        <w:t xml:space="preserve"> </w:t>
      </w:r>
      <w:r>
        <w:rPr>
          <w:rFonts w:hint="eastAsia"/>
        </w:rPr>
        <w:t>目前业主应用的软件如下：</w:t>
      </w:r>
    </w:p>
    <w:p>
      <w:pPr>
        <w:ind w:firstLine="480"/>
      </w:pPr>
      <w:r>
        <w:t xml:space="preserve">(a) Auto CAD </w:t>
      </w:r>
      <w:r>
        <w:rPr>
          <w:rFonts w:hint="eastAsia"/>
        </w:rPr>
        <w:t>（</w:t>
      </w:r>
      <w:r>
        <w:t>200</w:t>
      </w:r>
      <w:r>
        <w:rPr>
          <w:rFonts w:hint="eastAsia"/>
        </w:rPr>
        <w:t>7）</w:t>
      </w:r>
    </w:p>
    <w:p>
      <w:pPr>
        <w:ind w:firstLine="480"/>
      </w:pPr>
      <w:r>
        <w:t>(b)</w:t>
      </w:r>
      <w:r>
        <w:rPr>
          <w:rFonts w:hint="eastAsia"/>
        </w:rPr>
        <w:t>文字处理</w:t>
      </w:r>
    </w:p>
    <w:p>
      <w:pPr>
        <w:ind w:firstLine="480"/>
      </w:pPr>
      <w:r>
        <w:t>Microsoft Office 20</w:t>
      </w:r>
      <w:r>
        <w:rPr>
          <w:rFonts w:hint="eastAsia"/>
        </w:rPr>
        <w:t>13是业主目前的标准文字处理应用程序。以下版本是可以接受</w:t>
      </w:r>
      <w:r>
        <w:t xml:space="preserve"> </w:t>
      </w:r>
      <w:r>
        <w:rPr>
          <w:rFonts w:hint="eastAsia"/>
        </w:rPr>
        <w:t>的：</w:t>
      </w:r>
    </w:p>
    <w:p>
      <w:pPr>
        <w:ind w:firstLine="480"/>
      </w:pPr>
      <w:r>
        <w:t>-Microsoft Word 20</w:t>
      </w:r>
      <w:r>
        <w:rPr>
          <w:rFonts w:hint="eastAsia"/>
        </w:rPr>
        <w:t>13</w:t>
      </w:r>
    </w:p>
    <w:p>
      <w:pPr>
        <w:ind w:firstLine="480"/>
      </w:pPr>
      <w:r>
        <w:t>-Microsoft Excel 20</w:t>
      </w:r>
      <w:r>
        <w:rPr>
          <w:rFonts w:hint="eastAsia"/>
        </w:rPr>
        <w:t>13</w:t>
      </w:r>
      <w:r>
        <w:t xml:space="preserve"> </w:t>
      </w:r>
      <w:r>
        <w:rPr>
          <w:rFonts w:hint="eastAsia"/>
        </w:rPr>
        <w:t>供应商（制造商）有责任向业主提供此处未列出的其他相关标准规范。</w:t>
      </w:r>
      <w:r>
        <w:t xml:space="preserve"> </w:t>
      </w:r>
      <w:r>
        <w:rPr>
          <w:rFonts w:hint="eastAsia"/>
        </w:rPr>
        <w:t>供应商</w:t>
      </w:r>
      <w:r>
        <w:t>(</w:t>
      </w:r>
      <w:r>
        <w:rPr>
          <w:rFonts w:hint="eastAsia"/>
        </w:rPr>
        <w:t>制造商</w:t>
      </w:r>
      <w:r>
        <w:t>)</w:t>
      </w:r>
      <w:r>
        <w:rPr>
          <w:rFonts w:hint="eastAsia"/>
        </w:rPr>
        <w:t>必须提交一份关于供应商（制造商）产品以及子供应商产品的设计、</w:t>
      </w:r>
    </w:p>
    <w:p>
      <w:pPr>
        <w:ind w:firstLine="480"/>
      </w:pPr>
      <w:r>
        <w:rPr>
          <w:rFonts w:hint="eastAsia"/>
        </w:rPr>
        <w:t>制造、供货、售后服务和技术支持的简要说明。</w:t>
      </w:r>
    </w:p>
    <w:p>
      <w:pPr>
        <w:pStyle w:val="3"/>
      </w:pPr>
      <w:bookmarkStart w:id="51" w:name="_Toc61186519"/>
      <w:r>
        <w:rPr>
          <w:rFonts w:hint="eastAsia"/>
        </w:rPr>
        <w:t>7</w:t>
      </w:r>
      <w:r>
        <w:t xml:space="preserve">.2  </w:t>
      </w:r>
      <w:r>
        <w:rPr>
          <w:rFonts w:hint="eastAsia"/>
        </w:rPr>
        <w:t>供应商</w:t>
      </w:r>
      <w:r>
        <w:t>(</w:t>
      </w:r>
      <w:r>
        <w:rPr>
          <w:rFonts w:hint="eastAsia"/>
        </w:rPr>
        <w:t>制造商</w:t>
      </w:r>
      <w:r>
        <w:t>)</w:t>
      </w:r>
      <w:r>
        <w:rPr>
          <w:rFonts w:hint="eastAsia"/>
        </w:rPr>
        <w:t>提交的技术文件</w:t>
      </w:r>
      <w:bookmarkEnd w:id="51"/>
    </w:p>
    <w:p>
      <w:pPr>
        <w:ind w:firstLine="0" w:firstLineChars="0"/>
      </w:pPr>
      <w:r>
        <w:rPr>
          <w:rFonts w:hint="eastAsia"/>
        </w:rPr>
        <w:t>7</w:t>
      </w:r>
      <w:r>
        <w:t>.2.1</w:t>
      </w:r>
      <w:r>
        <w:rPr>
          <w:rFonts w:hint="eastAsia"/>
        </w:rPr>
        <w:t xml:space="preserve"> 需要业主确认的文件</w:t>
      </w:r>
    </w:p>
    <w:p>
      <w:pPr>
        <w:ind w:firstLine="480"/>
      </w:pPr>
      <w:r>
        <w:rPr>
          <w:rFonts w:hint="eastAsia"/>
        </w:rPr>
        <w:t>设备供货商应在设备开工制造之前提交下述文件供业主审查确认，提交文件的时间应在接到中标通知书之日起2周之内，文件数量为中文版2套，用U盘储存的电子版文件中文版2套，文字软件采用</w:t>
      </w:r>
      <w:r>
        <w:t>Microsoft Office20</w:t>
      </w:r>
      <w:r>
        <w:rPr>
          <w:rFonts w:hint="eastAsia"/>
        </w:rPr>
        <w:t>13，制图软件采用</w:t>
      </w:r>
      <w:r>
        <w:t>AutoCAD 200</w:t>
      </w:r>
      <w:r>
        <w:rPr>
          <w:rFonts w:hint="eastAsia"/>
        </w:rPr>
        <w:t>7</w:t>
      </w:r>
      <w:r>
        <w:t>,</w:t>
      </w:r>
      <w:r>
        <w:rPr>
          <w:rFonts w:hint="eastAsia"/>
        </w:rPr>
        <w:t>不接受中文以外的其他语言。</w:t>
      </w:r>
    </w:p>
    <w:p>
      <w:pPr>
        <w:ind w:firstLine="480"/>
      </w:pPr>
      <w:r>
        <w:rPr>
          <w:rFonts w:hint="eastAsia"/>
        </w:rPr>
        <w:t>供货商应对本技术规格书进行逐条应答，并提供详细的设备技术特点描述及选型计算</w:t>
      </w:r>
      <w:r>
        <w:t xml:space="preserve"> </w:t>
      </w:r>
      <w:r>
        <w:rPr>
          <w:rFonts w:hint="eastAsia"/>
        </w:rPr>
        <w:t>数据表，应包括但不限于下列文件：</w:t>
      </w:r>
    </w:p>
    <w:p>
      <w:pPr>
        <w:ind w:firstLine="480"/>
      </w:pPr>
      <w:r>
        <w:t>1</w:t>
      </w:r>
      <w:r>
        <w:rPr>
          <w:rFonts w:hint="eastAsia"/>
        </w:rPr>
        <w:t>）设备有关资料（外形尺寸、接管尺寸、规格、压力等级、自重、吊点、基础图、</w:t>
      </w:r>
      <w:r>
        <w:t xml:space="preserve"> </w:t>
      </w:r>
      <w:r>
        <w:rPr>
          <w:rFonts w:hint="eastAsia"/>
        </w:rPr>
        <w:t>设备最大重量等</w:t>
      </w:r>
      <w:bookmarkStart w:id="61" w:name="_GoBack"/>
      <w:bookmarkEnd w:id="61"/>
      <w:r>
        <w:rPr>
          <w:rFonts w:hint="eastAsia"/>
        </w:rPr>
        <w:t>以及卖方认为应该提供的其它资料）；</w:t>
      </w:r>
    </w:p>
    <w:p>
      <w:pPr>
        <w:ind w:firstLine="480"/>
      </w:pPr>
      <w:r>
        <w:t>2</w:t>
      </w:r>
      <w:r>
        <w:rPr>
          <w:rFonts w:hint="eastAsia"/>
        </w:rPr>
        <w:t>）硫除雾器鼓风机外形及内部结构图</w:t>
      </w:r>
    </w:p>
    <w:p>
      <w:pPr>
        <w:ind w:firstLine="480"/>
      </w:pPr>
      <w:r>
        <w:t>3</w:t>
      </w:r>
      <w:r>
        <w:rPr>
          <w:rFonts w:hint="eastAsia"/>
        </w:rPr>
        <w:t>）对公用工程的要求（供配电、自动控制、给水、蒸汽、供风等），及对外部配套要</w:t>
      </w:r>
      <w:r>
        <w:t xml:space="preserve"> </w:t>
      </w:r>
      <w:r>
        <w:rPr>
          <w:rFonts w:hint="eastAsia"/>
        </w:rPr>
        <w:t>求的内容和详细技术参数；</w:t>
      </w:r>
    </w:p>
    <w:p>
      <w:pPr>
        <w:ind w:firstLine="480"/>
      </w:pPr>
      <w:r>
        <w:t>4</w:t>
      </w:r>
      <w:r>
        <w:rPr>
          <w:rFonts w:hint="eastAsia"/>
        </w:rPr>
        <w:t>）设备、材料性能资料；</w:t>
      </w:r>
    </w:p>
    <w:p>
      <w:pPr>
        <w:ind w:firstLine="480"/>
      </w:pPr>
      <w:r>
        <w:t>5</w:t>
      </w:r>
      <w:r>
        <w:rPr>
          <w:rFonts w:hint="eastAsia"/>
        </w:rPr>
        <w:t>）有关设计、制造、检验标准规范和检测方法；</w:t>
      </w:r>
    </w:p>
    <w:p>
      <w:pPr>
        <w:ind w:firstLine="480"/>
      </w:pPr>
      <w:r>
        <w:t>6</w:t>
      </w:r>
      <w:r>
        <w:rPr>
          <w:rFonts w:hint="eastAsia"/>
        </w:rPr>
        <w:t>）设备性能资料。业主在收到供货商提交供业主审查确认的文件后1周之内，将审查意见以书面形式通知供货商。</w:t>
      </w:r>
    </w:p>
    <w:p>
      <w:pPr>
        <w:ind w:firstLine="480"/>
      </w:pPr>
      <w:r>
        <w:rPr>
          <w:rFonts w:hint="eastAsia"/>
        </w:rPr>
        <w:t>业主对以上文件的审查确认，并不解除供货商对其文件的完整性和正确性应负的任何</w:t>
      </w:r>
      <w:r>
        <w:t xml:space="preserve"> </w:t>
      </w:r>
      <w:r>
        <w:rPr>
          <w:rFonts w:hint="eastAsia"/>
        </w:rPr>
        <w:t>责任和义务。</w:t>
      </w:r>
    </w:p>
    <w:p>
      <w:pPr>
        <w:ind w:firstLine="0" w:firstLineChars="0"/>
      </w:pPr>
      <w:r>
        <w:rPr>
          <w:rFonts w:hint="eastAsia"/>
        </w:rPr>
        <w:t>7</w:t>
      </w:r>
      <w:r>
        <w:t>.2.2</w:t>
      </w:r>
      <w:r>
        <w:rPr>
          <w:rFonts w:hint="eastAsia"/>
        </w:rPr>
        <w:t xml:space="preserve"> 用于业主做安装设计的文件</w:t>
      </w:r>
    </w:p>
    <w:p>
      <w:pPr>
        <w:ind w:firstLine="480"/>
      </w:pPr>
      <w:r>
        <w:rPr>
          <w:rFonts w:hint="eastAsia"/>
        </w:rPr>
        <w:t>在中标之日起</w:t>
      </w:r>
      <w:r>
        <w:t>2</w:t>
      </w:r>
      <w:r>
        <w:rPr>
          <w:rFonts w:hint="eastAsia"/>
        </w:rPr>
        <w:t>周之内，供货商必须向业主提供下列文件中文版1套，用U盘储存的电子版文件中文版1套</w:t>
      </w:r>
      <w:r>
        <w:t>(</w:t>
      </w:r>
      <w:r>
        <w:rPr>
          <w:rFonts w:hint="eastAsia"/>
        </w:rPr>
        <w:t>不接受中文以外的其他语言</w:t>
      </w:r>
      <w:r>
        <w:t>)</w:t>
      </w:r>
      <w:r>
        <w:rPr>
          <w:rFonts w:hint="eastAsia"/>
        </w:rPr>
        <w:t>。</w:t>
      </w:r>
    </w:p>
    <w:p>
      <w:pPr>
        <w:ind w:firstLine="480"/>
      </w:pPr>
      <w:r>
        <w:t>1</w:t>
      </w:r>
      <w:r>
        <w:rPr>
          <w:rFonts w:hint="eastAsia"/>
        </w:rPr>
        <w:t>）硫除雾器鼓风机的选型及其材料说明；</w:t>
      </w:r>
    </w:p>
    <w:p>
      <w:pPr>
        <w:ind w:firstLine="480"/>
      </w:pPr>
      <w:r>
        <w:t>2</w:t>
      </w:r>
      <w:r>
        <w:rPr>
          <w:rFonts w:hint="eastAsia"/>
        </w:rPr>
        <w:t>）硫除雾器鼓风机的性能资料；</w:t>
      </w:r>
    </w:p>
    <w:p>
      <w:pPr>
        <w:ind w:firstLine="480"/>
      </w:pPr>
      <w:r>
        <w:t>3</w:t>
      </w:r>
      <w:r>
        <w:rPr>
          <w:rFonts w:hint="eastAsia"/>
        </w:rPr>
        <w:t>）与设备安装有关的资料：包括准确的设备外形尺寸、安装尺寸、接管位置、公称</w:t>
      </w:r>
      <w:r>
        <w:t xml:space="preserve"> </w:t>
      </w:r>
      <w:r>
        <w:rPr>
          <w:rFonts w:hint="eastAsia"/>
        </w:rPr>
        <w:t>直径、压力等级、密封形式、设备重量等；</w:t>
      </w:r>
    </w:p>
    <w:p>
      <w:pPr>
        <w:ind w:firstLine="480"/>
      </w:pPr>
      <w:r>
        <w:t>4</w:t>
      </w:r>
      <w:r>
        <w:rPr>
          <w:rFonts w:hint="eastAsia"/>
        </w:rPr>
        <w:t>）介质进出口管嘴允许的横断面受力及扭矩；</w:t>
      </w:r>
    </w:p>
    <w:p>
      <w:pPr>
        <w:ind w:firstLine="480"/>
      </w:pPr>
      <w:r>
        <w:t>5</w:t>
      </w:r>
      <w:r>
        <w:rPr>
          <w:rFonts w:hint="eastAsia"/>
        </w:rPr>
        <w:t>）供货商认为应该提供的其他文件。</w:t>
      </w:r>
    </w:p>
    <w:p>
      <w:pPr>
        <w:ind w:firstLine="0" w:firstLineChars="0"/>
      </w:pPr>
      <w:r>
        <w:rPr>
          <w:rFonts w:hint="eastAsia"/>
        </w:rPr>
        <w:t>7</w:t>
      </w:r>
      <w:r>
        <w:t xml:space="preserve">.2.3 </w:t>
      </w:r>
      <w:r>
        <w:rPr>
          <w:rFonts w:hint="eastAsia"/>
        </w:rPr>
        <w:t>最终随设备提交的文件</w:t>
      </w:r>
    </w:p>
    <w:p>
      <w:pPr>
        <w:ind w:firstLine="480"/>
      </w:pPr>
      <w:r>
        <w:rPr>
          <w:rFonts w:hint="eastAsia"/>
        </w:rPr>
        <w:t>供货商提供的最终文件要求提供中文版</w:t>
      </w:r>
      <w:r>
        <w:t>8</w:t>
      </w:r>
      <w:r>
        <w:rPr>
          <w:rFonts w:hint="eastAsia"/>
        </w:rPr>
        <w:t>套，并提供用U盘储存的电子版文件中文版2套。文字软件采用</w:t>
      </w:r>
      <w:r>
        <w:t>Microsoft Office20</w:t>
      </w:r>
      <w:r>
        <w:rPr>
          <w:rFonts w:hint="eastAsia"/>
        </w:rPr>
        <w:t>13，制图软件采用</w:t>
      </w:r>
      <w:r>
        <w:t>AutoCAD 200</w:t>
      </w:r>
      <w:r>
        <w:rPr>
          <w:rFonts w:hint="eastAsia"/>
        </w:rPr>
        <w:t>7。最终提交的文件至少应包括下列内容：</w:t>
      </w:r>
    </w:p>
    <w:p>
      <w:pPr>
        <w:ind w:firstLine="480"/>
      </w:pPr>
      <w:r>
        <w:t>1</w:t>
      </w:r>
      <w:r>
        <w:rPr>
          <w:rFonts w:hint="eastAsia"/>
        </w:rPr>
        <w:t>）安装说明书；</w:t>
      </w:r>
    </w:p>
    <w:p>
      <w:pPr>
        <w:ind w:firstLine="480"/>
      </w:pPr>
      <w:r>
        <w:t>2</w:t>
      </w:r>
      <w:r>
        <w:rPr>
          <w:rFonts w:hint="eastAsia"/>
        </w:rPr>
        <w:t>）使用说明书；</w:t>
      </w:r>
    </w:p>
    <w:p>
      <w:pPr>
        <w:ind w:firstLine="480"/>
      </w:pPr>
      <w:r>
        <w:t>3</w:t>
      </w:r>
      <w:r>
        <w:rPr>
          <w:rFonts w:hint="eastAsia"/>
        </w:rPr>
        <w:t>）装配总图；</w:t>
      </w:r>
    </w:p>
    <w:p>
      <w:pPr>
        <w:ind w:firstLine="480"/>
      </w:pPr>
      <w:r>
        <w:t>4</w:t>
      </w:r>
      <w:r>
        <w:rPr>
          <w:rFonts w:hint="eastAsia"/>
        </w:rPr>
        <w:t>）选型及其材料说明；</w:t>
      </w:r>
    </w:p>
    <w:p>
      <w:pPr>
        <w:ind w:firstLine="480"/>
      </w:pPr>
      <w:r>
        <w:t>5</w:t>
      </w:r>
      <w:r>
        <w:rPr>
          <w:rFonts w:hint="eastAsia"/>
        </w:rPr>
        <w:t>）性能资料；</w:t>
      </w:r>
    </w:p>
    <w:p>
      <w:pPr>
        <w:ind w:firstLine="480"/>
      </w:pPr>
      <w:r>
        <w:rPr>
          <w:rFonts w:hint="eastAsia"/>
        </w:rPr>
        <w:t>6）与设备安装有关的资料：包括准确的设备外形尺寸、安装尺寸、接管位置、公称</w:t>
      </w:r>
      <w:r>
        <w:t xml:space="preserve"> </w:t>
      </w:r>
      <w:r>
        <w:rPr>
          <w:rFonts w:hint="eastAsia"/>
        </w:rPr>
        <w:t>直径、压力等级、密封形式、设备重量等；</w:t>
      </w:r>
    </w:p>
    <w:p>
      <w:pPr>
        <w:ind w:firstLine="480"/>
      </w:pPr>
      <w:r>
        <w:t>7</w:t>
      </w:r>
      <w:r>
        <w:rPr>
          <w:rFonts w:hint="eastAsia"/>
        </w:rPr>
        <w:t>）介质进出口管嘴允许的横断面受力及扭矩；</w:t>
      </w:r>
    </w:p>
    <w:p>
      <w:pPr>
        <w:ind w:firstLine="480"/>
      </w:pPr>
      <w:r>
        <w:t>8</w:t>
      </w:r>
      <w:r>
        <w:rPr>
          <w:rFonts w:hint="eastAsia"/>
        </w:rPr>
        <w:t>）材料质量证书；</w:t>
      </w:r>
    </w:p>
    <w:p>
      <w:pPr>
        <w:ind w:firstLine="480"/>
      </w:pPr>
      <w:r>
        <w:t>9</w:t>
      </w:r>
      <w:r>
        <w:rPr>
          <w:rFonts w:hint="eastAsia"/>
        </w:rPr>
        <w:t>）检验和实验报告；</w:t>
      </w:r>
    </w:p>
    <w:p>
      <w:pPr>
        <w:ind w:firstLine="480"/>
      </w:pPr>
      <w:r>
        <w:t>10</w:t>
      </w:r>
      <w:r>
        <w:rPr>
          <w:rFonts w:hint="eastAsia"/>
        </w:rPr>
        <w:t>）检验证书；</w:t>
      </w:r>
    </w:p>
    <w:p>
      <w:pPr>
        <w:ind w:firstLine="480"/>
      </w:pPr>
      <w:r>
        <w:t>11</w:t>
      </w:r>
      <w:r>
        <w:rPr>
          <w:rFonts w:hint="eastAsia"/>
        </w:rPr>
        <w:t>）产品合格证和质量证明书；</w:t>
      </w:r>
    </w:p>
    <w:p>
      <w:pPr>
        <w:ind w:firstLine="480"/>
      </w:pPr>
      <w:r>
        <w:t>12</w:t>
      </w:r>
      <w:r>
        <w:rPr>
          <w:rFonts w:hint="eastAsia"/>
        </w:rPr>
        <w:t>）与设计、制造、测试和验收相关的技术标准清单；</w:t>
      </w:r>
    </w:p>
    <w:p>
      <w:pPr>
        <w:ind w:firstLine="480"/>
      </w:pPr>
      <w:r>
        <w:t>13</w:t>
      </w:r>
      <w:r>
        <w:rPr>
          <w:rFonts w:hint="eastAsia"/>
        </w:rPr>
        <w:t>）装箱清单；</w:t>
      </w:r>
    </w:p>
    <w:p>
      <w:pPr>
        <w:ind w:firstLine="480"/>
      </w:pPr>
      <w:r>
        <w:t>14</w:t>
      </w:r>
      <w:r>
        <w:rPr>
          <w:rFonts w:hint="eastAsia"/>
        </w:rPr>
        <w:t>）供货商认为应该提供的其他文件。</w:t>
      </w:r>
    </w:p>
    <w:p>
      <w:pPr>
        <w:pStyle w:val="2"/>
      </w:pPr>
      <w:bookmarkStart w:id="52" w:name="_Toc61186520"/>
      <w:r>
        <w:rPr>
          <w:rFonts w:hint="eastAsia" w:cs="Times New Roman"/>
        </w:rPr>
        <w:t xml:space="preserve">8  </w:t>
      </w:r>
      <w:r>
        <w:rPr>
          <w:rFonts w:hint="eastAsia"/>
        </w:rPr>
        <w:t>保证和赔偿</w:t>
      </w:r>
      <w:bookmarkEnd w:id="52"/>
    </w:p>
    <w:p>
      <w:pPr>
        <w:ind w:firstLine="480"/>
      </w:pPr>
      <w:r>
        <w:t>1</w:t>
      </w:r>
      <w:r>
        <w:rPr>
          <w:rFonts w:hint="eastAsia"/>
        </w:rPr>
        <w:t>）供货商应在合同规定的时间内提供设备（产品），并且应对相关配件资料的提供</w:t>
      </w:r>
      <w:r>
        <w:t xml:space="preserve"> </w:t>
      </w:r>
      <w:r>
        <w:rPr>
          <w:rFonts w:hint="eastAsia"/>
        </w:rPr>
        <w:t>以及与各个分包商间的联络、协同、检验和在不同场所进行的试验负有全部责任。保证所</w:t>
      </w:r>
      <w:r>
        <w:t xml:space="preserve"> </w:t>
      </w:r>
      <w:r>
        <w:rPr>
          <w:rFonts w:hint="eastAsia"/>
        </w:rPr>
        <w:t>提供的设备（产品）满足</w:t>
      </w:r>
      <w:r>
        <w:t>MR</w:t>
      </w:r>
      <w:r>
        <w:rPr>
          <w:rFonts w:hint="eastAsia"/>
        </w:rPr>
        <w:t>文件的要求。</w:t>
      </w:r>
    </w:p>
    <w:p>
      <w:pPr>
        <w:ind w:firstLine="480"/>
      </w:pPr>
      <w:r>
        <w:t>2</w:t>
      </w:r>
      <w:r>
        <w:rPr>
          <w:rFonts w:hint="eastAsia"/>
        </w:rPr>
        <w:t>）供货商所提供的设备（产品）应符合合同双方确认的设计和运行条件，在</w:t>
      </w:r>
      <w:r>
        <w:t>MR</w:t>
      </w:r>
      <w:r>
        <w:rPr>
          <w:rFonts w:hint="eastAsia"/>
        </w:rPr>
        <w:t>文</w:t>
      </w:r>
      <w:r>
        <w:t xml:space="preserve"> </w:t>
      </w:r>
      <w:r>
        <w:rPr>
          <w:rFonts w:hint="eastAsia"/>
        </w:rPr>
        <w:t>件规定的工作条件下能够正常可靠的运行，并达到额定的设计参数。供货商应对设备的性</w:t>
      </w:r>
      <w:r>
        <w:t xml:space="preserve"> </w:t>
      </w:r>
      <w:r>
        <w:rPr>
          <w:rFonts w:hint="eastAsia"/>
        </w:rPr>
        <w:t>能、调试负责，供货商提供的设备（产品）安装完成后即可进行调试和投入运行。</w:t>
      </w:r>
    </w:p>
    <w:p>
      <w:pPr>
        <w:ind w:firstLine="480"/>
      </w:pPr>
      <w:r>
        <w:t>3</w:t>
      </w:r>
      <w:r>
        <w:rPr>
          <w:rFonts w:hint="eastAsia"/>
        </w:rPr>
        <w:t>）供货商所提供的设备（产品）所有选用的材料和零件应该是新的未经使用过的高</w:t>
      </w:r>
      <w:r>
        <w:t xml:space="preserve"> </w:t>
      </w:r>
      <w:r>
        <w:rPr>
          <w:rFonts w:hint="eastAsia"/>
        </w:rPr>
        <w:t>质量的，不存在任何影响到性能的缺陷。</w:t>
      </w:r>
    </w:p>
    <w:p>
      <w:pPr>
        <w:ind w:firstLine="480"/>
      </w:pPr>
      <w:r>
        <w:t>4</w:t>
      </w:r>
      <w:r>
        <w:rPr>
          <w:rFonts w:hint="eastAsia"/>
        </w:rPr>
        <w:t>）在保修期内，因设计或设备质量和制造原因引起的缺陷，供应商</w:t>
      </w:r>
      <w:r>
        <w:t>(</w:t>
      </w:r>
      <w:r>
        <w:rPr>
          <w:rFonts w:hint="eastAsia"/>
        </w:rPr>
        <w:t>制造商</w:t>
      </w:r>
      <w:r>
        <w:t>)</w:t>
      </w:r>
      <w:r>
        <w:rPr>
          <w:rFonts w:hint="eastAsia"/>
        </w:rPr>
        <w:t>必须进</w:t>
      </w:r>
      <w:r>
        <w:t xml:space="preserve"> </w:t>
      </w:r>
      <w:r>
        <w:rPr>
          <w:rFonts w:hint="eastAsia"/>
        </w:rPr>
        <w:t>行更换或维修。</w:t>
      </w:r>
    </w:p>
    <w:p>
      <w:pPr>
        <w:ind w:firstLine="480"/>
      </w:pPr>
      <w:r>
        <w:t>5</w:t>
      </w:r>
      <w:r>
        <w:rPr>
          <w:rFonts w:hint="eastAsia"/>
        </w:rPr>
        <w:t>）在业主遵守设备保管及使用规程的条件下，保证设备连续运行</w:t>
      </w:r>
      <w:r>
        <w:t>36</w:t>
      </w:r>
      <w:r>
        <w:rPr>
          <w:rFonts w:hint="eastAsia"/>
        </w:rPr>
        <w:t>个月，设备（产</w:t>
      </w:r>
      <w:r>
        <w:t xml:space="preserve"> </w:t>
      </w:r>
      <w:r>
        <w:rPr>
          <w:rFonts w:hint="eastAsia"/>
        </w:rPr>
        <w:t>品）因设计、制造质量而发生损坏和不能正常工作时，供货商应该免费为业主更换或者修理设备零件，如因此而造成业主人身和财产损失的，供货商应对其予以赔偿。</w:t>
      </w:r>
    </w:p>
    <w:p>
      <w:pPr>
        <w:ind w:firstLine="480"/>
      </w:pPr>
      <w:r>
        <w:t>6</w:t>
      </w:r>
      <w:r>
        <w:rPr>
          <w:rFonts w:hint="eastAsia"/>
        </w:rPr>
        <w:t>）设备设计寿命应不低于</w:t>
      </w:r>
      <w:r>
        <w:t>20</w:t>
      </w:r>
      <w:r>
        <w:rPr>
          <w:rFonts w:hint="eastAsia"/>
        </w:rPr>
        <w:t>年。</w:t>
      </w:r>
    </w:p>
    <w:p>
      <w:pPr>
        <w:pStyle w:val="2"/>
      </w:pPr>
      <w:bookmarkStart w:id="53" w:name="_Toc61186521"/>
      <w:r>
        <w:rPr>
          <w:rFonts w:hint="eastAsia" w:cs="Times New Roman"/>
        </w:rPr>
        <w:t xml:space="preserve">9  </w:t>
      </w:r>
      <w:r>
        <w:rPr>
          <w:rFonts w:hint="eastAsia"/>
        </w:rPr>
        <w:t>文件</w:t>
      </w:r>
      <w:r>
        <w:rPr>
          <w:rFonts w:cs="Times New Roman"/>
        </w:rPr>
        <w:t>/</w:t>
      </w:r>
      <w:r>
        <w:rPr>
          <w:rFonts w:hint="eastAsia"/>
        </w:rPr>
        <w:t>资料批准或审查</w:t>
      </w:r>
      <w:bookmarkEnd w:id="53"/>
    </w:p>
    <w:p>
      <w:pPr>
        <w:ind w:firstLine="480"/>
      </w:pPr>
      <w:r>
        <w:rPr>
          <w:rFonts w:hint="eastAsia"/>
        </w:rPr>
        <w:t>业主</w:t>
      </w:r>
      <w:r>
        <w:t>/</w:t>
      </w:r>
      <w:r>
        <w:rPr>
          <w:rFonts w:hint="eastAsia"/>
        </w:rPr>
        <w:t>设计单位有权审核与设备有关的所有文件</w:t>
      </w:r>
      <w:r>
        <w:t>/</w:t>
      </w:r>
      <w:r>
        <w:rPr>
          <w:rFonts w:hint="eastAsia"/>
        </w:rPr>
        <w:t>资料。供应商</w:t>
      </w:r>
      <w:r>
        <w:t>(</w:t>
      </w:r>
      <w:r>
        <w:rPr>
          <w:rFonts w:hint="eastAsia"/>
        </w:rPr>
        <w:t>制造商</w:t>
      </w:r>
      <w:r>
        <w:t>)</w:t>
      </w:r>
      <w:r>
        <w:rPr>
          <w:rFonts w:hint="eastAsia"/>
        </w:rPr>
        <w:t>应按照进度安排提交请购书中规定的文件</w:t>
      </w:r>
      <w:r>
        <w:t>/</w:t>
      </w:r>
      <w:r>
        <w:rPr>
          <w:rFonts w:hint="eastAsia"/>
        </w:rPr>
        <w:t>资料供业主</w:t>
      </w:r>
      <w:r>
        <w:t>/</w:t>
      </w:r>
      <w:r>
        <w:rPr>
          <w:rFonts w:hint="eastAsia"/>
        </w:rPr>
        <w:t>设计单位进行批准和审核。</w:t>
      </w:r>
    </w:p>
    <w:p>
      <w:pPr>
        <w:ind w:firstLine="480"/>
      </w:pPr>
      <w:r>
        <w:rPr>
          <w:rFonts w:hint="eastAsia"/>
        </w:rPr>
        <w:t>业主对文件</w:t>
      </w:r>
      <w:r>
        <w:t>/</w:t>
      </w:r>
      <w:r>
        <w:rPr>
          <w:rFonts w:hint="eastAsia"/>
        </w:rPr>
        <w:t>资料的审核意见应在</w:t>
      </w:r>
      <w:r>
        <w:t>10</w:t>
      </w:r>
      <w:r>
        <w:rPr>
          <w:rFonts w:hint="eastAsia"/>
        </w:rPr>
        <w:t>个工作日内发出。如果出现与技术文件中的规</w:t>
      </w:r>
      <w:r>
        <w:t xml:space="preserve"> </w:t>
      </w:r>
      <w:r>
        <w:rPr>
          <w:rFonts w:hint="eastAsia"/>
        </w:rPr>
        <w:t>范和标准的情况，供应商</w:t>
      </w:r>
      <w:r>
        <w:t>(</w:t>
      </w:r>
      <w:r>
        <w:rPr>
          <w:rFonts w:hint="eastAsia"/>
        </w:rPr>
        <w:t>制造商</w:t>
      </w:r>
      <w:r>
        <w:t>)</w:t>
      </w:r>
      <w:r>
        <w:rPr>
          <w:rFonts w:hint="eastAsia"/>
        </w:rPr>
        <w:t>应以书面的形式通知业主，那么业主审核时间将延长至</w:t>
      </w:r>
      <w:r>
        <w:t>15</w:t>
      </w:r>
      <w:r>
        <w:rPr>
          <w:rFonts w:hint="eastAsia"/>
        </w:rPr>
        <w:t>个工作日。</w:t>
      </w:r>
    </w:p>
    <w:p>
      <w:pPr>
        <w:ind w:firstLine="480"/>
      </w:pPr>
      <w:r>
        <w:rPr>
          <w:rFonts w:hint="eastAsia"/>
        </w:rPr>
        <w:t>业主和设计单位应以书面形式对文件</w:t>
      </w:r>
      <w:r>
        <w:t>/</w:t>
      </w:r>
      <w:r>
        <w:rPr>
          <w:rFonts w:hint="eastAsia"/>
        </w:rPr>
        <w:t>资料进行审核，并将审核意见返回给供应商</w:t>
      </w:r>
      <w:r>
        <w:t>(</w:t>
      </w:r>
      <w:r>
        <w:rPr>
          <w:rFonts w:hint="eastAsia"/>
        </w:rPr>
        <w:t>制</w:t>
      </w:r>
      <w:r>
        <w:t xml:space="preserve"> </w:t>
      </w:r>
      <w:r>
        <w:rPr>
          <w:rFonts w:hint="eastAsia"/>
        </w:rPr>
        <w:t>造商</w:t>
      </w:r>
      <w:r>
        <w:t>)</w:t>
      </w:r>
      <w:r>
        <w:rPr>
          <w:rFonts w:hint="eastAsia"/>
        </w:rPr>
        <w:t>。供应商</w:t>
      </w:r>
      <w:r>
        <w:t>(</w:t>
      </w:r>
      <w:r>
        <w:rPr>
          <w:rFonts w:hint="eastAsia"/>
        </w:rPr>
        <w:t>制造商</w:t>
      </w:r>
      <w:r>
        <w:t>)</w:t>
      </w:r>
      <w:r>
        <w:rPr>
          <w:rFonts w:hint="eastAsia"/>
        </w:rPr>
        <w:t>收到业主和设计单位审核意见后，应发送传真回执至业主</w:t>
      </w:r>
      <w:r>
        <w:t>/</w:t>
      </w:r>
      <w:r>
        <w:rPr>
          <w:rFonts w:hint="eastAsia"/>
        </w:rPr>
        <w:t>设计单位，以确认收到审核意见。所有不适合传真发送的文件，可通过快递方式进行发送。供应商</w:t>
      </w:r>
      <w:r>
        <w:t>(</w:t>
      </w:r>
      <w:r>
        <w:rPr>
          <w:rFonts w:hint="eastAsia"/>
        </w:rPr>
        <w:t>制造商</w:t>
      </w:r>
      <w:r>
        <w:t>)</w:t>
      </w:r>
      <w:r>
        <w:rPr>
          <w:rFonts w:hint="eastAsia"/>
        </w:rPr>
        <w:t>应通过传真予以确认。</w:t>
      </w:r>
      <w:r>
        <w:t xml:space="preserve"> </w:t>
      </w:r>
      <w:r>
        <w:rPr>
          <w:rFonts w:hint="eastAsia"/>
        </w:rPr>
        <w:t>业主对文件</w:t>
      </w:r>
      <w:r>
        <w:t>/</w:t>
      </w:r>
      <w:r>
        <w:rPr>
          <w:rFonts w:hint="eastAsia"/>
        </w:rPr>
        <w:t>图纸的审核意见不应作为改变供货范围的指令。</w:t>
      </w:r>
      <w:r>
        <w:t xml:space="preserve"> </w:t>
      </w:r>
      <w:r>
        <w:rPr>
          <w:rFonts w:hint="eastAsia"/>
        </w:rPr>
        <w:t>业主和设计单位对供应商</w:t>
      </w:r>
      <w:r>
        <w:t>(</w:t>
      </w:r>
      <w:r>
        <w:rPr>
          <w:rFonts w:hint="eastAsia"/>
        </w:rPr>
        <w:t>制造商</w:t>
      </w:r>
      <w:r>
        <w:t xml:space="preserve">) </w:t>
      </w:r>
      <w:r>
        <w:rPr>
          <w:rFonts w:hint="eastAsia"/>
        </w:rPr>
        <w:t>提交的文件</w:t>
      </w:r>
      <w:r>
        <w:t>/</w:t>
      </w:r>
      <w:r>
        <w:rPr>
          <w:rFonts w:hint="eastAsia"/>
        </w:rPr>
        <w:t>资料的审批状态如下：</w:t>
      </w:r>
    </w:p>
    <w:p>
      <w:pPr>
        <w:ind w:firstLine="480"/>
      </w:pPr>
      <w:r>
        <w:rPr>
          <w:rFonts w:hint="eastAsia"/>
        </w:rPr>
        <w:t>“批准”。对文件和图纸进行了审查</w:t>
      </w:r>
      <w:r>
        <w:t>,</w:t>
      </w:r>
      <w:r>
        <w:rPr>
          <w:rFonts w:hint="eastAsia"/>
        </w:rPr>
        <w:t>但没有提出意见</w:t>
      </w:r>
      <w:r>
        <w:t xml:space="preserve">, </w:t>
      </w:r>
      <w:r>
        <w:rPr>
          <w:rFonts w:hint="eastAsia"/>
        </w:rPr>
        <w:t>供应商</w:t>
      </w:r>
      <w:r>
        <w:t>(</w:t>
      </w:r>
      <w:r>
        <w:rPr>
          <w:rFonts w:hint="eastAsia"/>
        </w:rPr>
        <w:t>制造商</w:t>
      </w:r>
      <w:r>
        <w:t>)</w:t>
      </w:r>
      <w:r>
        <w:rPr>
          <w:rFonts w:hint="eastAsia"/>
        </w:rPr>
        <w:t>可以进行制造并编制提交</w:t>
      </w:r>
      <w:r>
        <w:t xml:space="preserve"> </w:t>
      </w:r>
      <w:r>
        <w:rPr>
          <w:rFonts w:hint="eastAsia"/>
        </w:rPr>
        <w:t>报批的最终文件。</w:t>
      </w:r>
    </w:p>
    <w:p>
      <w:pPr>
        <w:ind w:firstLine="480"/>
      </w:pPr>
      <w:r>
        <w:rPr>
          <w:rFonts w:hint="eastAsia"/>
        </w:rPr>
        <w:t>“提出修改意见”。对文件和图纸进行了审查，并提出意见。供应商</w:t>
      </w:r>
      <w:r>
        <w:t>(</w:t>
      </w:r>
      <w:r>
        <w:rPr>
          <w:rFonts w:hint="eastAsia"/>
        </w:rPr>
        <w:t>制造商</w:t>
      </w:r>
      <w:r>
        <w:t>)</w:t>
      </w:r>
      <w:r>
        <w:rPr>
          <w:rFonts w:hint="eastAsia"/>
        </w:rPr>
        <w:t>按照修改后的图纸和文件进</w:t>
      </w:r>
      <w:r>
        <w:t xml:space="preserve"> </w:t>
      </w:r>
      <w:r>
        <w:rPr>
          <w:rFonts w:hint="eastAsia"/>
        </w:rPr>
        <w:t>行制造。供应商</w:t>
      </w:r>
      <w:r>
        <w:t>(</w:t>
      </w:r>
      <w:r>
        <w:rPr>
          <w:rFonts w:hint="eastAsia"/>
        </w:rPr>
        <w:t>制造商</w:t>
      </w:r>
      <w:r>
        <w:t>)</w:t>
      </w:r>
      <w:r>
        <w:rPr>
          <w:rFonts w:hint="eastAsia"/>
        </w:rPr>
        <w:t>应结合业主意见，提交修改后的图纸和文件进行审查和批准。</w:t>
      </w:r>
    </w:p>
    <w:p>
      <w:pPr>
        <w:ind w:firstLine="480"/>
      </w:pPr>
      <w:r>
        <w:rPr>
          <w:rFonts w:hint="eastAsia"/>
        </w:rPr>
        <w:t>“拒绝”。文件</w:t>
      </w:r>
      <w:r>
        <w:t>/</w:t>
      </w:r>
      <w:r>
        <w:rPr>
          <w:rFonts w:hint="eastAsia"/>
        </w:rPr>
        <w:t>图纸不符合规范要求。供应商（制造商）应修改文件</w:t>
      </w:r>
      <w:r>
        <w:t>/</w:t>
      </w:r>
      <w:r>
        <w:rPr>
          <w:rFonts w:hint="eastAsia"/>
        </w:rPr>
        <w:t>图纸，并提交业主进行审批。</w:t>
      </w:r>
    </w:p>
    <w:p>
      <w:pPr>
        <w:pStyle w:val="2"/>
      </w:pPr>
      <w:bookmarkStart w:id="54" w:name="_Toc61186522"/>
      <w:r>
        <w:rPr>
          <w:rFonts w:hint="eastAsia"/>
        </w:rPr>
        <w:t>10  检验、试验、记录和拒收</w:t>
      </w:r>
      <w:bookmarkEnd w:id="54"/>
    </w:p>
    <w:p>
      <w:pPr>
        <w:pStyle w:val="3"/>
      </w:pPr>
      <w:bookmarkStart w:id="55" w:name="_Toc61186523"/>
      <w:r>
        <w:rPr>
          <w:rFonts w:hint="eastAsia"/>
        </w:rPr>
        <w:t>10</w:t>
      </w:r>
      <w:r>
        <w:t>.1</w:t>
      </w:r>
      <w:r>
        <w:rPr>
          <w:rFonts w:hint="eastAsia"/>
        </w:rPr>
        <w:t xml:space="preserve">  检验与试验</w:t>
      </w:r>
      <w:bookmarkEnd w:id="55"/>
    </w:p>
    <w:p>
      <w:pPr>
        <w:ind w:firstLine="480"/>
      </w:pPr>
      <w:r>
        <w:t>1</w:t>
      </w:r>
      <w:r>
        <w:rPr>
          <w:rFonts w:hint="eastAsia"/>
        </w:rPr>
        <w:t>）供货商应建立一套常规的、有文件记载的质量检查制度，以保证所有影响产品的安全性、可靠性、操作性能以及长期使用性能的各种因素都已经过考虑、试验、鉴定和</w:t>
      </w:r>
      <w:r>
        <w:t xml:space="preserve"> </w:t>
      </w:r>
      <w:r>
        <w:rPr>
          <w:rFonts w:hint="eastAsia"/>
        </w:rPr>
        <w:t>检验。对硫除雾器鼓风机检验应符合下列条款规定：</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1</w:t>
      </w:r>
      <w:r>
        <w:rPr>
          <w:rFonts w:hint="eastAsia" w:cs="Arial Unicode MS" w:hAnsiTheme="minorEastAsia"/>
          <w:spacing w:val="-2"/>
          <w:kern w:val="0"/>
          <w:szCs w:val="24"/>
        </w:rPr>
        <w:t>）出厂前供货商根据相关标准进行检验；</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2</w:t>
      </w:r>
      <w:r>
        <w:rPr>
          <w:rFonts w:hint="eastAsia" w:cs="Arial Unicode MS" w:hAnsiTheme="minorEastAsia"/>
          <w:spacing w:val="-2"/>
          <w:kern w:val="0"/>
          <w:szCs w:val="24"/>
        </w:rPr>
        <w:t>）业主根据相关标准及合同进行检验；</w:t>
      </w:r>
    </w:p>
    <w:p>
      <w:pPr>
        <w:ind w:firstLine="472"/>
        <w:rPr>
          <w:rFonts w:cs="Arial Unicode MS" w:hAnsiTheme="minorEastAsia"/>
          <w:spacing w:val="-2"/>
          <w:kern w:val="0"/>
          <w:szCs w:val="24"/>
        </w:rPr>
      </w:pPr>
      <w:r>
        <w:rPr>
          <w:rFonts w:hint="eastAsia" w:cs="Arial Unicode MS" w:hAnsiTheme="minorEastAsia"/>
          <w:spacing w:val="-2"/>
          <w:kern w:val="0"/>
          <w:szCs w:val="24"/>
        </w:rPr>
        <w:t>（</w:t>
      </w:r>
      <w:r>
        <w:rPr>
          <w:rFonts w:cs="Arial Unicode MS" w:hAnsiTheme="minorEastAsia"/>
          <w:spacing w:val="-2"/>
          <w:kern w:val="0"/>
          <w:szCs w:val="24"/>
        </w:rPr>
        <w:t>3</w:t>
      </w:r>
      <w:r>
        <w:rPr>
          <w:rFonts w:hint="eastAsia" w:cs="Arial Unicode MS" w:hAnsiTheme="minorEastAsia"/>
          <w:spacing w:val="-2"/>
          <w:kern w:val="0"/>
          <w:szCs w:val="24"/>
        </w:rPr>
        <w:t>）有关质检、环保、安全等机构依据相关法律、法规进行检验。</w:t>
      </w:r>
    </w:p>
    <w:p>
      <w:pPr>
        <w:ind w:firstLine="472"/>
        <w:rPr>
          <w:rFonts w:cs="Arial Unicode MS" w:hAnsiTheme="minorEastAsia"/>
          <w:spacing w:val="-2"/>
          <w:kern w:val="0"/>
          <w:szCs w:val="24"/>
        </w:rPr>
      </w:pPr>
      <w:r>
        <w:rPr>
          <w:rFonts w:cs="Arial Unicode MS" w:hAnsiTheme="minorEastAsia"/>
          <w:spacing w:val="-2"/>
          <w:kern w:val="0"/>
          <w:szCs w:val="24"/>
        </w:rPr>
        <w:t>2</w:t>
      </w:r>
      <w:r>
        <w:rPr>
          <w:rFonts w:hint="eastAsia" w:cs="Arial Unicode MS" w:hAnsiTheme="minorEastAsia"/>
          <w:spacing w:val="-2"/>
          <w:kern w:val="0"/>
          <w:szCs w:val="24"/>
        </w:rPr>
        <w:t>）所有部件材料都应是新的，其性能应符合相关标准的规定。</w:t>
      </w:r>
    </w:p>
    <w:p>
      <w:pPr>
        <w:ind w:firstLine="472"/>
        <w:rPr>
          <w:rFonts w:cs="Arial Unicode MS" w:hAnsiTheme="minorEastAsia"/>
          <w:spacing w:val="-2"/>
          <w:kern w:val="0"/>
          <w:szCs w:val="24"/>
        </w:rPr>
      </w:pPr>
      <w:r>
        <w:rPr>
          <w:rFonts w:cs="Arial Unicode MS" w:hAnsiTheme="minorEastAsia"/>
          <w:spacing w:val="-2"/>
          <w:kern w:val="0"/>
          <w:szCs w:val="24"/>
        </w:rPr>
        <w:t>3</w:t>
      </w:r>
      <w:r>
        <w:rPr>
          <w:rFonts w:hint="eastAsia" w:cs="Arial Unicode MS" w:hAnsiTheme="minorEastAsia"/>
          <w:spacing w:val="-2"/>
          <w:kern w:val="0"/>
          <w:szCs w:val="24"/>
        </w:rPr>
        <w:t>）除了业主规定要进行的见证试验项目外，在产品的整个制造过程中的任何时刻，业主可以到制造商工厂对所订购产品的质量、制造过程和包装进行检查。在检查过程中，供货商应负责向业主提供加工和装配用的全部图纸资料，检验工具和装备、产品制造和检验的相关标准规范，以利于进行检查工作。</w:t>
      </w:r>
    </w:p>
    <w:p>
      <w:pPr>
        <w:ind w:firstLine="472"/>
        <w:rPr>
          <w:rFonts w:cs="Arial Unicode MS" w:hAnsiTheme="minorEastAsia"/>
          <w:spacing w:val="-2"/>
          <w:kern w:val="0"/>
          <w:szCs w:val="24"/>
        </w:rPr>
      </w:pPr>
      <w:r>
        <w:rPr>
          <w:rFonts w:cs="Arial Unicode MS" w:hAnsiTheme="minorEastAsia"/>
          <w:spacing w:val="-2"/>
          <w:kern w:val="0"/>
          <w:szCs w:val="24"/>
        </w:rPr>
        <w:t>4</w:t>
      </w:r>
      <w:r>
        <w:rPr>
          <w:rFonts w:hint="eastAsia" w:cs="Arial Unicode MS" w:hAnsiTheme="minorEastAsia"/>
          <w:spacing w:val="-2"/>
          <w:kern w:val="0"/>
          <w:szCs w:val="24"/>
        </w:rPr>
        <w:t>）供货商确定了业主规定要参加的见证试验的日期后，至少应提前</w:t>
      </w:r>
      <w:r>
        <w:rPr>
          <w:rFonts w:cs="Arial Unicode MS" w:hAnsiTheme="minorEastAsia"/>
          <w:spacing w:val="-2"/>
          <w:kern w:val="0"/>
          <w:szCs w:val="24"/>
        </w:rPr>
        <w:t>20</w:t>
      </w:r>
      <w:r>
        <w:rPr>
          <w:rFonts w:hint="eastAsia" w:cs="Arial Unicode MS" w:hAnsiTheme="minorEastAsia"/>
          <w:spacing w:val="-2"/>
          <w:kern w:val="0"/>
          <w:szCs w:val="24"/>
        </w:rPr>
        <w:t>个日历日通知业主，以便业主能及时参加。</w:t>
      </w:r>
    </w:p>
    <w:p>
      <w:pPr>
        <w:ind w:firstLine="472"/>
        <w:rPr>
          <w:rFonts w:cs="Arial Unicode MS" w:hAnsiTheme="minorEastAsia"/>
          <w:spacing w:val="-2"/>
          <w:kern w:val="0"/>
          <w:szCs w:val="24"/>
        </w:rPr>
      </w:pPr>
      <w:r>
        <w:rPr>
          <w:rFonts w:cs="Arial Unicode MS" w:hAnsiTheme="minorEastAsia"/>
          <w:spacing w:val="-2"/>
          <w:kern w:val="0"/>
          <w:szCs w:val="24"/>
        </w:rPr>
        <w:t>5</w:t>
      </w:r>
      <w:r>
        <w:rPr>
          <w:rFonts w:hint="eastAsia" w:cs="Arial Unicode MS" w:hAnsiTheme="minorEastAsia"/>
          <w:spacing w:val="-2"/>
          <w:kern w:val="0"/>
          <w:szCs w:val="24"/>
        </w:rPr>
        <w:t>）检验项目和试验内容</w:t>
      </w:r>
    </w:p>
    <w:p>
      <w:pPr>
        <w:ind w:firstLine="480"/>
      </w:pPr>
      <w:r>
        <w:rPr>
          <w:rFonts w:hint="eastAsia"/>
        </w:rPr>
        <w:t>（1）</w:t>
      </w:r>
      <w:r>
        <w:t>材料的检验和试验。</w:t>
      </w:r>
    </w:p>
    <w:p>
      <w:pPr>
        <w:ind w:firstLine="480"/>
      </w:pPr>
      <w:r>
        <w:rPr>
          <w:rFonts w:hint="eastAsia"/>
        </w:rPr>
        <w:t>（2）</w:t>
      </w:r>
      <w:r>
        <w:t>无损检验。</w:t>
      </w:r>
    </w:p>
    <w:p>
      <w:pPr>
        <w:ind w:firstLine="480"/>
      </w:pPr>
      <w:r>
        <w:rPr>
          <w:rFonts w:hint="eastAsia"/>
        </w:rPr>
        <w:t>（3）</w:t>
      </w:r>
      <w:r>
        <w:t xml:space="preserve">尺寸检验。 </w:t>
      </w:r>
    </w:p>
    <w:p>
      <w:pPr>
        <w:ind w:firstLine="480"/>
      </w:pPr>
      <w:r>
        <w:rPr>
          <w:rFonts w:hint="eastAsia"/>
        </w:rPr>
        <w:t>（4）</w:t>
      </w:r>
      <w:r>
        <w:t>在制造厂按相关的标准测试方法对风机（电机驱动）机组进行性能测试，测试合格后才能出厂。</w:t>
      </w:r>
    </w:p>
    <w:p>
      <w:pPr>
        <w:ind w:firstLine="480"/>
      </w:pPr>
      <w:r>
        <w:rPr>
          <w:rFonts w:hint="eastAsia"/>
        </w:rPr>
        <w:t>（5）</w:t>
      </w:r>
      <w:r>
        <w:t>供货商认为需要进行的其他检验项目和试验内容。</w:t>
      </w:r>
    </w:p>
    <w:p>
      <w:pPr>
        <w:pStyle w:val="3"/>
      </w:pPr>
      <w:bookmarkStart w:id="56" w:name="_Toc61186524"/>
      <w:r>
        <w:rPr>
          <w:rFonts w:hint="eastAsia"/>
        </w:rPr>
        <w:t>10</w:t>
      </w:r>
      <w:r>
        <w:t>.2</w:t>
      </w:r>
      <w:r>
        <w:rPr>
          <w:rFonts w:hint="eastAsia"/>
        </w:rPr>
        <w:t xml:space="preserve">  记录</w:t>
      </w:r>
      <w:bookmarkEnd w:id="56"/>
    </w:p>
    <w:p>
      <w:pPr>
        <w:ind w:firstLine="480"/>
      </w:pPr>
      <w:r>
        <w:rPr>
          <w:rFonts w:hint="eastAsia"/>
        </w:rPr>
        <w:t>记录是指制造商在产品制造过程中所作的各种试验报告、中间制造记录、各种规定的试验纪录、按规范要求进行检验的数据报告以及材料试验报告等，以备业主在验收产品时和所进行的各种检查时使用，这些记录在该产品交货装运后，应保留到规定的时间。</w:t>
      </w:r>
    </w:p>
    <w:p>
      <w:pPr>
        <w:pStyle w:val="3"/>
      </w:pPr>
      <w:bookmarkStart w:id="57" w:name="_Toc61186525"/>
      <w:r>
        <w:rPr>
          <w:rFonts w:hint="eastAsia"/>
        </w:rPr>
        <w:t>10</w:t>
      </w:r>
      <w:r>
        <w:t>.3</w:t>
      </w:r>
      <w:r>
        <w:rPr>
          <w:rFonts w:hint="eastAsia"/>
        </w:rPr>
        <w:t xml:space="preserve">  拒收</w:t>
      </w:r>
      <w:bookmarkEnd w:id="57"/>
    </w:p>
    <w:p>
      <w:pPr>
        <w:ind w:firstLine="480"/>
      </w:pPr>
      <w:r>
        <w:t>1</w:t>
      </w:r>
      <w:r>
        <w:rPr>
          <w:rFonts w:hint="eastAsia"/>
        </w:rPr>
        <w:t>）业主在检验和验收硫除雾器鼓风机及其附件时，如发现该硫除雾器鼓风机及其附件若与合同规定的设计、选材等不一致时，或不符合有关标准和规范要求时，业主有权拒收。</w:t>
      </w:r>
    </w:p>
    <w:p>
      <w:pPr>
        <w:ind w:firstLine="480"/>
      </w:pPr>
      <w:r>
        <w:t>2</w:t>
      </w:r>
      <w:r>
        <w:rPr>
          <w:rFonts w:hint="eastAsia"/>
        </w:rPr>
        <w:t>）硫除雾器鼓风机及其附件经业主检验和接受之后，如发现该硫除雾器鼓风机及其附件若与合同规定的设计、选材等不一致时而出现故障，供货商应承担全部责任，并负责修理或更换产品，以保证提供的产品完全符合订货合同及有关标准和规范所规定的要求。</w:t>
      </w:r>
    </w:p>
    <w:p>
      <w:pPr>
        <w:pStyle w:val="2"/>
      </w:pPr>
      <w:bookmarkStart w:id="58" w:name="_Toc61186526"/>
      <w:r>
        <w:rPr>
          <w:rFonts w:hint="eastAsia"/>
        </w:rPr>
        <w:t>11</w:t>
      </w:r>
      <w:r>
        <w:t xml:space="preserve"> </w:t>
      </w:r>
      <w:r>
        <w:rPr>
          <w:rFonts w:hint="eastAsia"/>
        </w:rPr>
        <w:t xml:space="preserve"> 技术服务</w:t>
      </w:r>
      <w:bookmarkEnd w:id="58"/>
    </w:p>
    <w:p>
      <w:pPr>
        <w:ind w:firstLine="480"/>
      </w:pPr>
      <w:r>
        <w:t>1</w:t>
      </w:r>
      <w:r>
        <w:rPr>
          <w:rFonts w:hint="eastAsia"/>
        </w:rPr>
        <w:t>）供货商应负责所提供设备的现场安装指导、调试及操作人员培训。</w:t>
      </w:r>
    </w:p>
    <w:p>
      <w:pPr>
        <w:ind w:firstLine="480"/>
      </w:pPr>
      <w:r>
        <w:t>2</w:t>
      </w:r>
      <w:r>
        <w:rPr>
          <w:rFonts w:hint="eastAsia"/>
        </w:rPr>
        <w:t>）当业主通知供货商要投产运行时，供货商应派有经验的工程师检查安装，并监督试运和运行工作。</w:t>
      </w:r>
    </w:p>
    <w:p>
      <w:pPr>
        <w:ind w:firstLine="480"/>
      </w:pPr>
      <w:r>
        <w:t>3</w:t>
      </w:r>
      <w:r>
        <w:rPr>
          <w:rFonts w:hint="eastAsia"/>
        </w:rPr>
        <w:t>）当设备出现故障或不能满足业主要求时，供货商应按照业主要求排除故障，直到业主满意为止。</w:t>
      </w:r>
    </w:p>
    <w:p>
      <w:pPr>
        <w:ind w:firstLine="480"/>
      </w:pPr>
      <w:r>
        <w:t>4</w:t>
      </w:r>
      <w:r>
        <w:rPr>
          <w:rFonts w:hint="eastAsia"/>
        </w:rPr>
        <w:t>）当设备需要维修或更换部件时，在业主要求下，供货商应派有经验的工程师到现场进行技术支持。</w:t>
      </w:r>
    </w:p>
    <w:p>
      <w:pPr>
        <w:ind w:firstLine="480"/>
      </w:pPr>
      <w:r>
        <w:t>5</w:t>
      </w:r>
      <w:r>
        <w:rPr>
          <w:rFonts w:hint="eastAsia"/>
        </w:rPr>
        <w:t>）在合同规定保修期的时间范围内，上述技术服务的费用应由供货商承担。</w:t>
      </w:r>
    </w:p>
    <w:p>
      <w:pPr>
        <w:pStyle w:val="2"/>
      </w:pPr>
      <w:bookmarkStart w:id="59" w:name="_Toc61186527"/>
      <w:r>
        <w:t>1</w:t>
      </w:r>
      <w:r>
        <w:rPr>
          <w:rFonts w:hint="eastAsia"/>
        </w:rPr>
        <w:t>2</w:t>
      </w:r>
      <w:r>
        <w:t xml:space="preserve"> </w:t>
      </w:r>
      <w:r>
        <w:rPr>
          <w:rFonts w:hint="eastAsia"/>
        </w:rPr>
        <w:t xml:space="preserve"> 售后服务</w:t>
      </w:r>
      <w:bookmarkEnd w:id="59"/>
    </w:p>
    <w:p>
      <w:pPr>
        <w:ind w:firstLine="480"/>
      </w:pPr>
      <w:r>
        <w:t>1</w:t>
      </w:r>
      <w:r>
        <w:rPr>
          <w:rFonts w:hint="eastAsia"/>
        </w:rPr>
        <w:t>）若设备产地位于境外，供货商在货物清关和商检过程中，依据国家的有关规定</w:t>
      </w:r>
      <w:r>
        <w:t xml:space="preserve"> </w:t>
      </w:r>
      <w:r>
        <w:rPr>
          <w:rFonts w:hint="eastAsia"/>
        </w:rPr>
        <w:t>和业主的要求，提供货物单据、证明材料等文件，配合业主办理通关商检。</w:t>
      </w:r>
    </w:p>
    <w:p>
      <w:pPr>
        <w:ind w:firstLine="480"/>
      </w:pPr>
      <w:r>
        <w:t>2</w:t>
      </w:r>
      <w:r>
        <w:rPr>
          <w:rFonts w:hint="eastAsia"/>
        </w:rPr>
        <w:t>）在质保期内，当设备出现故障或性能不能满足要求时，供货商应按业主要求排除故障，直到业主满意为止。</w:t>
      </w:r>
    </w:p>
    <w:p>
      <w:pPr>
        <w:ind w:firstLine="480"/>
      </w:pPr>
      <w:r>
        <w:t>3</w:t>
      </w:r>
      <w:r>
        <w:rPr>
          <w:rFonts w:hint="eastAsia"/>
        </w:rPr>
        <w:t>）在质保期内，当设备需要维修或更换部件时，在业主的要求下，供货商应派有经验的工程师到现场进行技术支持。</w:t>
      </w:r>
    </w:p>
    <w:p>
      <w:pPr>
        <w:ind w:firstLine="480"/>
      </w:pPr>
      <w:r>
        <w:t>4</w:t>
      </w:r>
      <w:r>
        <w:rPr>
          <w:rFonts w:hint="eastAsia"/>
        </w:rPr>
        <w:t>）当业主需要供货商提供现场服务时，供货商应在8小时内作出答复，（如必要）在24小时内派服务工程师到现场。</w:t>
      </w:r>
    </w:p>
    <w:p>
      <w:pPr>
        <w:ind w:firstLine="480"/>
      </w:pPr>
      <w:r>
        <w:t>5</w:t>
      </w:r>
      <w:r>
        <w:rPr>
          <w:rFonts w:hint="eastAsia"/>
        </w:rPr>
        <w:t>）在质保期内，供货商负责对业主提出的质量异疑做出书面明确答复。确属质量问题时，供货商应及时采取保护措施且负责免费更换。并相应延长其质保期。</w:t>
      </w:r>
    </w:p>
    <w:p>
      <w:pPr>
        <w:ind w:firstLine="480"/>
      </w:pPr>
      <w:r>
        <w:t>6</w:t>
      </w:r>
      <w:r>
        <w:rPr>
          <w:rFonts w:hint="eastAsia"/>
        </w:rPr>
        <w:t>）产品寿命期内，供货商应确保所有零配件的供应。</w:t>
      </w:r>
    </w:p>
    <w:p>
      <w:pPr>
        <w:ind w:firstLine="480"/>
        <w:rPr>
          <w:rFonts w:cs="Times New Roman"/>
        </w:rPr>
      </w:pPr>
      <w:r>
        <w:t>7</w:t>
      </w:r>
      <w:r>
        <w:rPr>
          <w:rFonts w:hint="eastAsia"/>
        </w:rPr>
        <w:t>）</w:t>
      </w:r>
      <w:r>
        <w:rPr>
          <w:rFonts w:hint="eastAsia" w:cs="Times New Roman"/>
        </w:rPr>
        <w:t>供货商对零配件的供应，调配时间不超过</w:t>
      </w:r>
      <w:r>
        <w:rPr>
          <w:rFonts w:hint="eastAsia"/>
        </w:rPr>
        <w:t>24</w:t>
      </w:r>
      <w:r>
        <w:rPr>
          <w:rFonts w:hint="eastAsia" w:cs="Times New Roman"/>
        </w:rPr>
        <w:t>小时。</w:t>
      </w:r>
    </w:p>
    <w:p>
      <w:pPr>
        <w:pStyle w:val="2"/>
      </w:pPr>
      <w:bookmarkStart w:id="60" w:name="_Toc61186528"/>
      <w:r>
        <w:t>1</w:t>
      </w:r>
      <w:r>
        <w:rPr>
          <w:rFonts w:hint="eastAsia"/>
        </w:rPr>
        <w:t>3</w:t>
      </w:r>
      <w:r>
        <w:t xml:space="preserve"> </w:t>
      </w:r>
      <w:r>
        <w:rPr>
          <w:rFonts w:hint="eastAsia"/>
        </w:rPr>
        <w:t xml:space="preserve"> 附件：硫除雾器鼓风机数据表</w:t>
      </w:r>
      <w:bookmarkEnd w:id="60"/>
    </w:p>
    <w:p>
      <w:pPr>
        <w:widowControl/>
        <w:spacing w:line="240" w:lineRule="auto"/>
        <w:ind w:firstLine="0" w:firstLineChars="0"/>
      </w:pPr>
    </w:p>
    <w:sectPr>
      <w:pgSz w:w="11906" w:h="16838"/>
      <w:pgMar w:top="1440" w:right="1440" w:bottom="1440" w:left="144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Arial Unicode MS">
    <w:altName w:val="DejaVu Sans"/>
    <w:panose1 w:val="020B0604020202020204"/>
    <w:charset w:val="86"/>
    <w:family w:val="swiss"/>
    <w:pitch w:val="default"/>
    <w:sig w:usb0="00000000" w:usb1="00000000" w:usb2="0000003F" w:usb3="00000000" w:csb0="003F01F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6409951"/>
      <w:docPartObj>
        <w:docPartGallery w:val="autotext"/>
      </w:docPartObj>
    </w:sdtPr>
    <w:sdtContent>
      <w:p>
        <w:pPr>
          <w:pStyle w:val="7"/>
          <w:ind w:firstLine="360"/>
          <w:jc w:val="center"/>
        </w:pPr>
        <w:r>
          <w:fldChar w:fldCharType="begin"/>
        </w:r>
        <w:r>
          <w:instrText xml:space="preserve">PAGE   \* MERGEFORMAT</w:instrText>
        </w:r>
        <w:r>
          <w:fldChar w:fldCharType="separate"/>
        </w:r>
        <w:r>
          <w:rPr>
            <w:lang w:val="zh-CN"/>
          </w:rPr>
          <w:t>1</w:t>
        </w:r>
        <w: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rFonts w:hint="eastAsia"/>
      </w:rPr>
      <w:t>垫江县脱硫厂有限责任公司百万方及三期脱硫装置更新改造提升项目  硫除雾器引风机技术规格书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82"/>
    <w:rsid w:val="00064E33"/>
    <w:rsid w:val="00094493"/>
    <w:rsid w:val="000B27AA"/>
    <w:rsid w:val="000C2889"/>
    <w:rsid w:val="000C54E1"/>
    <w:rsid w:val="000C7FDB"/>
    <w:rsid w:val="00136D03"/>
    <w:rsid w:val="00145F18"/>
    <w:rsid w:val="00152B45"/>
    <w:rsid w:val="00163393"/>
    <w:rsid w:val="00171BA0"/>
    <w:rsid w:val="001830F4"/>
    <w:rsid w:val="00196C30"/>
    <w:rsid w:val="001973A0"/>
    <w:rsid w:val="001A7440"/>
    <w:rsid w:val="001A7649"/>
    <w:rsid w:val="001D6E9F"/>
    <w:rsid w:val="001D7FC4"/>
    <w:rsid w:val="001F58A3"/>
    <w:rsid w:val="00220F62"/>
    <w:rsid w:val="0022180F"/>
    <w:rsid w:val="00236E06"/>
    <w:rsid w:val="00276A7F"/>
    <w:rsid w:val="00282268"/>
    <w:rsid w:val="00326698"/>
    <w:rsid w:val="003325BF"/>
    <w:rsid w:val="003368AF"/>
    <w:rsid w:val="00356A2B"/>
    <w:rsid w:val="003A6944"/>
    <w:rsid w:val="003B6799"/>
    <w:rsid w:val="00475513"/>
    <w:rsid w:val="0048044B"/>
    <w:rsid w:val="00480948"/>
    <w:rsid w:val="004B22C2"/>
    <w:rsid w:val="004C627F"/>
    <w:rsid w:val="00507059"/>
    <w:rsid w:val="00577FB8"/>
    <w:rsid w:val="00581ED3"/>
    <w:rsid w:val="005C0FAC"/>
    <w:rsid w:val="005C7541"/>
    <w:rsid w:val="00617867"/>
    <w:rsid w:val="0064701F"/>
    <w:rsid w:val="00650B77"/>
    <w:rsid w:val="006926F4"/>
    <w:rsid w:val="006A15C5"/>
    <w:rsid w:val="006A2448"/>
    <w:rsid w:val="006A4928"/>
    <w:rsid w:val="006D036B"/>
    <w:rsid w:val="006D23DA"/>
    <w:rsid w:val="006F5D10"/>
    <w:rsid w:val="00700365"/>
    <w:rsid w:val="00716062"/>
    <w:rsid w:val="00716F9B"/>
    <w:rsid w:val="00736BB0"/>
    <w:rsid w:val="007459A5"/>
    <w:rsid w:val="00746220"/>
    <w:rsid w:val="007510DB"/>
    <w:rsid w:val="00775C7B"/>
    <w:rsid w:val="0078720E"/>
    <w:rsid w:val="0079461F"/>
    <w:rsid w:val="007D155E"/>
    <w:rsid w:val="00825348"/>
    <w:rsid w:val="00896C7A"/>
    <w:rsid w:val="008A1119"/>
    <w:rsid w:val="008F5290"/>
    <w:rsid w:val="008F6498"/>
    <w:rsid w:val="00943D0B"/>
    <w:rsid w:val="009F4B09"/>
    <w:rsid w:val="00A018AB"/>
    <w:rsid w:val="00A02E01"/>
    <w:rsid w:val="00A243CF"/>
    <w:rsid w:val="00A3210E"/>
    <w:rsid w:val="00A434BA"/>
    <w:rsid w:val="00A608C9"/>
    <w:rsid w:val="00B02670"/>
    <w:rsid w:val="00B36082"/>
    <w:rsid w:val="00B65FD7"/>
    <w:rsid w:val="00B7710D"/>
    <w:rsid w:val="00B77CFB"/>
    <w:rsid w:val="00B83896"/>
    <w:rsid w:val="00B97241"/>
    <w:rsid w:val="00BF17BD"/>
    <w:rsid w:val="00C204C1"/>
    <w:rsid w:val="00C22C59"/>
    <w:rsid w:val="00C82B28"/>
    <w:rsid w:val="00C87076"/>
    <w:rsid w:val="00C95369"/>
    <w:rsid w:val="00CB786D"/>
    <w:rsid w:val="00CE7FF9"/>
    <w:rsid w:val="00D47E28"/>
    <w:rsid w:val="00D620FB"/>
    <w:rsid w:val="00D745B9"/>
    <w:rsid w:val="00D84B05"/>
    <w:rsid w:val="00D97416"/>
    <w:rsid w:val="00DE1129"/>
    <w:rsid w:val="00DE5B36"/>
    <w:rsid w:val="00E25326"/>
    <w:rsid w:val="00E36676"/>
    <w:rsid w:val="00E800F8"/>
    <w:rsid w:val="00EC28D0"/>
    <w:rsid w:val="00F6711A"/>
    <w:rsid w:val="00F81370"/>
    <w:rsid w:val="00F84666"/>
    <w:rsid w:val="00F92F7A"/>
    <w:rsid w:val="00FB511A"/>
    <w:rsid w:val="0AA837A4"/>
    <w:rsid w:val="7BFF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link w:val="16"/>
    <w:qFormat/>
    <w:uiPriority w:val="9"/>
    <w:pPr>
      <w:keepNext/>
      <w:keepLines/>
      <w:spacing w:before="120" w:after="120"/>
      <w:ind w:firstLine="0" w:firstLineChars="0"/>
      <w:outlineLvl w:val="0"/>
    </w:pPr>
    <w:rPr>
      <w:rFonts w:ascii="黑体" w:eastAsia="黑体"/>
      <w:bCs/>
      <w:kern w:val="44"/>
      <w:szCs w:val="44"/>
    </w:rPr>
  </w:style>
  <w:style w:type="paragraph" w:styleId="3">
    <w:name w:val="heading 2"/>
    <w:basedOn w:val="1"/>
    <w:next w:val="1"/>
    <w:link w:val="17"/>
    <w:unhideWhenUsed/>
    <w:qFormat/>
    <w:uiPriority w:val="1"/>
    <w:pPr>
      <w:keepNext/>
      <w:keepLines/>
      <w:spacing w:before="120" w:after="120"/>
      <w:ind w:firstLine="0" w:firstLineChars="0"/>
      <w:outlineLvl w:val="1"/>
    </w:pPr>
    <w:rPr>
      <w:rFonts w:ascii="黑体" w:eastAsia="黑体" w:hAnsiTheme="majorHAnsi" w:cstheme="majorBidi"/>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0"/>
    <w:pPr>
      <w:spacing w:line="240" w:lineRule="auto"/>
      <w:ind w:firstLine="0" w:firstLineChars="0"/>
    </w:pPr>
    <w:rPr>
      <w:rFonts w:ascii="Arial" w:hAnsi="Arial" w:eastAsia="宋体" w:cs="Times New Roman"/>
      <w:sz w:val="20"/>
      <w:szCs w:val="20"/>
      <w:lang w:val="zh-CN" w:eastAsia="zh-CN"/>
    </w:rPr>
  </w:style>
  <w:style w:type="paragraph" w:styleId="5">
    <w:name w:val="Body Text"/>
    <w:basedOn w:val="1"/>
    <w:link w:val="18"/>
    <w:qFormat/>
    <w:uiPriority w:val="1"/>
    <w:pPr>
      <w:autoSpaceDE w:val="0"/>
      <w:autoSpaceDN w:val="0"/>
      <w:adjustRightInd w:val="0"/>
      <w:ind w:left="713"/>
      <w:jc w:val="left"/>
    </w:pPr>
    <w:rPr>
      <w:rFonts w:ascii="Arial Unicode MS" w:hAnsi="Times New Roman" w:eastAsia="Arial Unicode MS" w:cs="Arial Unicode MS"/>
      <w:kern w:val="0"/>
      <w:szCs w:val="24"/>
    </w:r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tabs>
        <w:tab w:val="right" w:leader="dot" w:pos="9016"/>
      </w:tabs>
      <w:ind w:firstLine="0" w:firstLineChars="0"/>
    </w:pPr>
    <w:rPr>
      <w:rFonts w:eastAsia="黑体"/>
    </w:rPr>
  </w:style>
  <w:style w:type="paragraph" w:styleId="10">
    <w:name w:val="toc 2"/>
    <w:basedOn w:val="1"/>
    <w:next w:val="1"/>
    <w:unhideWhenUsed/>
    <w:qFormat/>
    <w:uiPriority w:val="39"/>
    <w:pPr>
      <w:ind w:firstLine="0" w:firstLineChars="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1 Char"/>
    <w:basedOn w:val="14"/>
    <w:link w:val="2"/>
    <w:qFormat/>
    <w:uiPriority w:val="9"/>
    <w:rPr>
      <w:rFonts w:ascii="黑体" w:eastAsia="黑体"/>
      <w:bCs/>
      <w:kern w:val="44"/>
      <w:sz w:val="24"/>
      <w:szCs w:val="44"/>
    </w:rPr>
  </w:style>
  <w:style w:type="character" w:customStyle="1" w:styleId="17">
    <w:name w:val="标题 2 Char"/>
    <w:basedOn w:val="14"/>
    <w:link w:val="3"/>
    <w:qFormat/>
    <w:uiPriority w:val="1"/>
    <w:rPr>
      <w:rFonts w:ascii="黑体" w:eastAsia="黑体" w:hAnsiTheme="majorHAnsi" w:cstheme="majorBidi"/>
      <w:bCs/>
      <w:sz w:val="24"/>
      <w:szCs w:val="32"/>
    </w:rPr>
  </w:style>
  <w:style w:type="character" w:customStyle="1" w:styleId="18">
    <w:name w:val="正文文本 Char"/>
    <w:basedOn w:val="14"/>
    <w:link w:val="5"/>
    <w:qFormat/>
    <w:uiPriority w:val="1"/>
    <w:rPr>
      <w:rFonts w:ascii="Arial Unicode MS" w:hAnsi="Times New Roman" w:eastAsia="Arial Unicode MS" w:cs="Arial Unicode MS"/>
      <w:kern w:val="0"/>
      <w:sz w:val="24"/>
      <w:szCs w:val="24"/>
    </w:rPr>
  </w:style>
  <w:style w:type="character" w:customStyle="1" w:styleId="19">
    <w:name w:val="页眉 Char"/>
    <w:basedOn w:val="14"/>
    <w:link w:val="8"/>
    <w:qFormat/>
    <w:uiPriority w:val="99"/>
    <w:rPr>
      <w:rFonts w:asciiTheme="minorEastAsia"/>
      <w:sz w:val="18"/>
      <w:szCs w:val="18"/>
    </w:rPr>
  </w:style>
  <w:style w:type="character" w:customStyle="1" w:styleId="20">
    <w:name w:val="页脚 Char"/>
    <w:basedOn w:val="14"/>
    <w:link w:val="7"/>
    <w:qFormat/>
    <w:uiPriority w:val="99"/>
    <w:rPr>
      <w:rFonts w:asciiTheme="minorEastAsia"/>
      <w:sz w:val="18"/>
      <w:szCs w:val="18"/>
    </w:rPr>
  </w:style>
  <w:style w:type="character" w:customStyle="1" w:styleId="21">
    <w:name w:val="批注框文本 Char"/>
    <w:basedOn w:val="14"/>
    <w:link w:val="6"/>
    <w:semiHidden/>
    <w:qFormat/>
    <w:uiPriority w:val="99"/>
    <w:rPr>
      <w:rFonts w:asciiTheme="minorEastAsia"/>
      <w:sz w:val="18"/>
      <w:szCs w:val="18"/>
    </w:rPr>
  </w:style>
  <w:style w:type="paragraph" w:customStyle="1" w:styleId="22">
    <w:name w:val="Table Paragraph"/>
    <w:basedOn w:val="1"/>
    <w:qFormat/>
    <w:uiPriority w:val="1"/>
    <w:pPr>
      <w:autoSpaceDE w:val="0"/>
      <w:autoSpaceDN w:val="0"/>
      <w:adjustRightInd w:val="0"/>
      <w:spacing w:line="240" w:lineRule="auto"/>
      <w:ind w:firstLine="0" w:firstLineChars="0"/>
      <w:jc w:val="left"/>
    </w:pPr>
    <w:rPr>
      <w:rFonts w:ascii="Times New Roman" w:hAnsi="Times New Roman" w:cs="Times New Roman"/>
      <w:kern w:val="0"/>
      <w:szCs w:val="24"/>
    </w:rPr>
  </w:style>
  <w:style w:type="paragraph" w:customStyle="1" w:styleId="23">
    <w:name w:val="列出段落1"/>
    <w:basedOn w:val="1"/>
    <w:qFormat/>
    <w:uiPriority w:val="0"/>
    <w:pPr>
      <w:spacing w:line="240" w:lineRule="auto"/>
      <w:ind w:firstLine="420"/>
    </w:pPr>
    <w:rPr>
      <w:rFonts w:ascii="Calibri" w:hAnsi="Calibri" w:eastAsia="宋体" w:cs="Times New Roman"/>
      <w:sz w:val="21"/>
      <w:szCs w:val="22"/>
    </w:rPr>
  </w:style>
  <w:style w:type="character" w:customStyle="1" w:styleId="24">
    <w:name w:val="批注文字 Char"/>
    <w:basedOn w:val="14"/>
    <w:link w:val="4"/>
    <w:qFormat/>
    <w:uiPriority w:val="0"/>
    <w:rPr>
      <w:rFonts w:ascii="Arial" w:hAnsi="Arial" w:eastAsia="宋体" w:cs="Times New Roman"/>
      <w:sz w:val="20"/>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11671</Words>
  <Characters>12584</Characters>
  <Lines>110</Lines>
  <Paragraphs>31</Paragraphs>
  <TotalTime>14</TotalTime>
  <ScaleCrop>false</ScaleCrop>
  <LinksUpToDate>false</LinksUpToDate>
  <CharactersWithSpaces>12896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2024-10-26T15:35:00Z</dcterms:created>
  <dc:creator>Windows 用户</dc:creator>
  <cp:lastModifiedBy>user</cp:lastModifiedBy>
  <dcterms:modified xsi:type="dcterms:W3CDTF">2025-12-03T23:16:30Z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eyJoZGlkIjoiMzEwNTM5NzYwMDRjMzkwZTVkZjY2ODkwMGIxNGU0OTUiLCJ1c2VySWQiOiIyODg2ODkzNzgifQ==</vt:lpwstr>
  </property>
  <property fmtid="{D5CDD505-2E9C-101B-9397-08002B2CF9AE}" pid="3" name="KSOProductBuildVer">
    <vt:lpwstr>2052-11.8.2.10251</vt:lpwstr>
  </property>
  <property fmtid="{D5CDD505-2E9C-101B-9397-08002B2CF9AE}" pid="4" name="ICV">
    <vt:lpwstr>D3CAAD87A4B04A58BBEF572F12F34327_12</vt:lpwstr>
  </property>
</Properties>
</file>