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156E7">
      <w:pPr>
        <w:spacing w:line="560" w:lineRule="exact"/>
        <w:ind w:firstLine="482"/>
        <w:jc w:val="center"/>
        <w:rPr>
          <w:rFonts w:hint="eastAsia" w:ascii="仿宋" w:hAnsi="仿宋" w:eastAsia="仿宋" w:cs="仿宋"/>
        </w:rPr>
      </w:pPr>
      <w:r>
        <w:rPr>
          <w:rFonts w:hint="eastAsia" w:ascii="仿宋" w:hAnsi="仿宋" w:eastAsia="仿宋" w:cs="仿宋"/>
          <w:b/>
          <w:kern w:val="0"/>
          <w:sz w:val="24"/>
        </w:rPr>
        <w:t>表1.4-</w:t>
      </w:r>
      <w:r>
        <w:rPr>
          <w:rFonts w:hint="eastAsia" w:ascii="仿宋" w:hAnsi="仿宋" w:eastAsia="仿宋" w:cs="仿宋"/>
          <w:b/>
          <w:kern w:val="0"/>
          <w:sz w:val="24"/>
          <w:lang w:val="en-US" w:eastAsia="zh-CN"/>
        </w:rPr>
        <w:t>2</w:t>
      </w:r>
      <w:r>
        <w:rPr>
          <w:rFonts w:hint="eastAsia" w:ascii="仿宋" w:hAnsi="仿宋" w:eastAsia="仿宋" w:cs="仿宋"/>
          <w:b/>
          <w:kern w:val="0"/>
          <w:sz w:val="24"/>
        </w:rPr>
        <w:t xml:space="preserve">  选址勘察判定</w:t>
      </w:r>
    </w:p>
    <w:tbl>
      <w:tblPr>
        <w:tblStyle w:val="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28" w:type="dxa"/>
          <w:left w:w="28" w:type="dxa"/>
          <w:bottom w:w="28" w:type="dxa"/>
          <w:right w:w="28" w:type="dxa"/>
        </w:tblCellMar>
      </w:tblPr>
      <w:tblGrid>
        <w:gridCol w:w="615"/>
        <w:gridCol w:w="593"/>
        <w:gridCol w:w="5284"/>
        <w:gridCol w:w="2826"/>
        <w:gridCol w:w="1212"/>
      </w:tblGrid>
      <w:tr w14:paraId="677A14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14" w:hRule="atLeast"/>
          <w:jc w:val="center"/>
        </w:trPr>
        <w:tc>
          <w:tcPr>
            <w:tcW w:w="1208" w:type="dxa"/>
            <w:gridSpan w:val="2"/>
            <w:noWrap w:val="0"/>
            <w:vAlign w:val="center"/>
          </w:tcPr>
          <w:p w14:paraId="5C6F89F0">
            <w:pPr>
              <w:pStyle w:val="4"/>
              <w:jc w:val="center"/>
              <w:rPr>
                <w:rFonts w:ascii="仿宋" w:hAnsi="仿宋" w:eastAsia="仿宋" w:cs="仿宋"/>
                <w:szCs w:val="21"/>
              </w:rPr>
            </w:pPr>
            <w:r>
              <w:rPr>
                <w:rFonts w:ascii="仿宋" w:hAnsi="仿宋" w:eastAsia="仿宋" w:cs="仿宋"/>
                <w:szCs w:val="21"/>
              </w:rPr>
              <w:t>判定</w:t>
            </w:r>
          </w:p>
          <w:p w14:paraId="47675560">
            <w:pPr>
              <w:pStyle w:val="4"/>
              <w:jc w:val="center"/>
              <w:rPr>
                <w:rFonts w:ascii="仿宋" w:hAnsi="仿宋" w:eastAsia="仿宋" w:cs="仿宋"/>
                <w:szCs w:val="21"/>
              </w:rPr>
            </w:pPr>
            <w:r>
              <w:rPr>
                <w:rFonts w:ascii="仿宋" w:hAnsi="仿宋" w:eastAsia="仿宋" w:cs="仿宋"/>
                <w:szCs w:val="21"/>
              </w:rPr>
              <w:t>款项</w:t>
            </w:r>
          </w:p>
        </w:tc>
        <w:tc>
          <w:tcPr>
            <w:tcW w:w="5284" w:type="dxa"/>
            <w:noWrap w:val="0"/>
            <w:vAlign w:val="center"/>
          </w:tcPr>
          <w:p w14:paraId="013DD17C">
            <w:pPr>
              <w:pStyle w:val="4"/>
              <w:jc w:val="center"/>
              <w:rPr>
                <w:rFonts w:ascii="仿宋" w:hAnsi="仿宋" w:eastAsia="仿宋" w:cs="仿宋"/>
                <w:szCs w:val="21"/>
              </w:rPr>
            </w:pPr>
            <w:r>
              <w:rPr>
                <w:rFonts w:ascii="仿宋" w:hAnsi="仿宋" w:eastAsia="仿宋" w:cs="仿宋"/>
                <w:szCs w:val="21"/>
              </w:rPr>
              <w:t>判定条件</w:t>
            </w:r>
          </w:p>
        </w:tc>
        <w:tc>
          <w:tcPr>
            <w:tcW w:w="2826" w:type="dxa"/>
            <w:noWrap w:val="0"/>
            <w:vAlign w:val="center"/>
          </w:tcPr>
          <w:p w14:paraId="40026966">
            <w:pPr>
              <w:pStyle w:val="4"/>
              <w:jc w:val="center"/>
              <w:rPr>
                <w:rFonts w:ascii="仿宋" w:hAnsi="仿宋" w:eastAsia="仿宋" w:cs="仿宋"/>
                <w:szCs w:val="21"/>
              </w:rPr>
            </w:pPr>
            <w:r>
              <w:rPr>
                <w:rFonts w:ascii="仿宋" w:hAnsi="仿宋" w:eastAsia="仿宋" w:cs="仿宋"/>
                <w:szCs w:val="21"/>
              </w:rPr>
              <w:t>对应判定条件的场地</w:t>
            </w:r>
          </w:p>
          <w:p w14:paraId="75BB49D7">
            <w:pPr>
              <w:pStyle w:val="4"/>
              <w:jc w:val="center"/>
              <w:rPr>
                <w:rFonts w:ascii="仿宋" w:hAnsi="仿宋" w:eastAsia="仿宋" w:cs="仿宋"/>
                <w:szCs w:val="21"/>
              </w:rPr>
            </w:pPr>
            <w:r>
              <w:rPr>
                <w:rFonts w:ascii="仿宋" w:hAnsi="仿宋" w:eastAsia="仿宋" w:cs="仿宋"/>
                <w:szCs w:val="21"/>
              </w:rPr>
              <w:t>及工程项目</w:t>
            </w:r>
          </w:p>
        </w:tc>
        <w:tc>
          <w:tcPr>
            <w:tcW w:w="1212" w:type="dxa"/>
            <w:noWrap w:val="0"/>
            <w:vAlign w:val="center"/>
          </w:tcPr>
          <w:p w14:paraId="679873C7">
            <w:pPr>
              <w:pStyle w:val="4"/>
              <w:jc w:val="center"/>
              <w:rPr>
                <w:rFonts w:ascii="仿宋" w:hAnsi="仿宋" w:eastAsia="仿宋" w:cs="仿宋"/>
                <w:szCs w:val="21"/>
              </w:rPr>
            </w:pPr>
            <w:r>
              <w:rPr>
                <w:rFonts w:ascii="仿宋" w:hAnsi="仿宋" w:eastAsia="仿宋" w:cs="仿宋"/>
                <w:szCs w:val="21"/>
              </w:rPr>
              <w:t>判定结果</w:t>
            </w:r>
          </w:p>
        </w:tc>
      </w:tr>
      <w:tr w14:paraId="5A4ECC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15" w:type="dxa"/>
            <w:vMerge w:val="restart"/>
            <w:noWrap w:val="0"/>
            <w:vAlign w:val="center"/>
          </w:tcPr>
          <w:p w14:paraId="2FC4D693">
            <w:pPr>
              <w:pStyle w:val="4"/>
              <w:jc w:val="center"/>
              <w:rPr>
                <w:rFonts w:ascii="仿宋" w:hAnsi="仿宋" w:eastAsia="仿宋" w:cs="仿宋"/>
                <w:szCs w:val="21"/>
              </w:rPr>
            </w:pPr>
            <w:r>
              <w:rPr>
                <w:rFonts w:ascii="仿宋" w:hAnsi="仿宋" w:eastAsia="仿宋" w:cs="仿宋"/>
                <w:szCs w:val="21"/>
              </w:rPr>
              <w:t>建设场地</w:t>
            </w:r>
          </w:p>
        </w:tc>
        <w:tc>
          <w:tcPr>
            <w:tcW w:w="593" w:type="dxa"/>
            <w:noWrap w:val="0"/>
            <w:vAlign w:val="center"/>
          </w:tcPr>
          <w:p w14:paraId="7E86D253">
            <w:pPr>
              <w:pStyle w:val="4"/>
              <w:jc w:val="center"/>
              <w:rPr>
                <w:rFonts w:ascii="仿宋" w:hAnsi="仿宋" w:eastAsia="仿宋" w:cs="仿宋"/>
                <w:szCs w:val="21"/>
              </w:rPr>
            </w:pPr>
            <w:r>
              <w:rPr>
                <w:rFonts w:ascii="仿宋" w:hAnsi="仿宋" w:eastAsia="仿宋" w:cs="仿宋"/>
                <w:szCs w:val="21"/>
              </w:rPr>
              <w:t>1</w:t>
            </w:r>
          </w:p>
        </w:tc>
        <w:tc>
          <w:tcPr>
            <w:tcW w:w="5284" w:type="dxa"/>
            <w:noWrap w:val="0"/>
            <w:vAlign w:val="center"/>
          </w:tcPr>
          <w:p w14:paraId="2766FA97">
            <w:pPr>
              <w:pStyle w:val="4"/>
              <w:jc w:val="center"/>
              <w:rPr>
                <w:rFonts w:ascii="仿宋" w:hAnsi="仿宋" w:eastAsia="仿宋" w:cs="仿宋"/>
                <w:szCs w:val="21"/>
              </w:rPr>
            </w:pPr>
            <w:r>
              <w:rPr>
                <w:rFonts w:ascii="仿宋" w:hAnsi="仿宋" w:eastAsia="仿宋" w:cs="仿宋"/>
                <w:szCs w:val="21"/>
              </w:rPr>
              <w:t>滑坡、危岩、崩塌、泥石流、岩溶塌陷等不良地质现象发育，且其影响面积占建设场地50%及以上的建设场地。</w:t>
            </w:r>
          </w:p>
        </w:tc>
        <w:tc>
          <w:tcPr>
            <w:tcW w:w="2826" w:type="dxa"/>
            <w:noWrap w:val="0"/>
            <w:vAlign w:val="center"/>
          </w:tcPr>
          <w:p w14:paraId="755A7F34">
            <w:pPr>
              <w:pStyle w:val="4"/>
              <w:jc w:val="center"/>
              <w:rPr>
                <w:rFonts w:ascii="仿宋" w:hAnsi="仿宋" w:eastAsia="仿宋" w:cs="仿宋"/>
                <w:szCs w:val="21"/>
              </w:rPr>
            </w:pPr>
            <w:r>
              <w:rPr>
                <w:rFonts w:ascii="仿宋" w:hAnsi="仿宋" w:eastAsia="仿宋" w:cs="仿宋"/>
                <w:szCs w:val="21"/>
              </w:rPr>
              <w:t>无滑坡、危岩、崩塌、泥石流、岩溶塌陷等不良地质现象</w:t>
            </w:r>
          </w:p>
        </w:tc>
        <w:tc>
          <w:tcPr>
            <w:tcW w:w="1212" w:type="dxa"/>
            <w:noWrap w:val="0"/>
            <w:vAlign w:val="center"/>
          </w:tcPr>
          <w:p w14:paraId="42BCB913">
            <w:pPr>
              <w:pStyle w:val="4"/>
              <w:jc w:val="center"/>
              <w:rPr>
                <w:rFonts w:ascii="仿宋" w:hAnsi="仿宋" w:eastAsia="仿宋" w:cs="仿宋"/>
                <w:szCs w:val="21"/>
              </w:rPr>
            </w:pPr>
            <w:r>
              <w:rPr>
                <w:rFonts w:ascii="仿宋" w:hAnsi="仿宋" w:eastAsia="仿宋" w:cs="仿宋"/>
                <w:szCs w:val="21"/>
              </w:rPr>
              <w:t>不需进行</w:t>
            </w:r>
          </w:p>
          <w:p w14:paraId="5899E7B2">
            <w:pPr>
              <w:pStyle w:val="4"/>
              <w:jc w:val="center"/>
              <w:rPr>
                <w:rFonts w:ascii="仿宋" w:hAnsi="仿宋" w:eastAsia="仿宋" w:cs="仿宋"/>
                <w:szCs w:val="21"/>
              </w:rPr>
            </w:pPr>
            <w:r>
              <w:rPr>
                <w:rFonts w:ascii="仿宋" w:hAnsi="仿宋" w:eastAsia="仿宋" w:cs="仿宋"/>
                <w:szCs w:val="21"/>
              </w:rPr>
              <w:t>选址勘察</w:t>
            </w:r>
          </w:p>
        </w:tc>
      </w:tr>
      <w:tr w14:paraId="50AFEB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710" w:hRule="atLeast"/>
          <w:jc w:val="center"/>
        </w:trPr>
        <w:tc>
          <w:tcPr>
            <w:tcW w:w="615" w:type="dxa"/>
            <w:vMerge w:val="continue"/>
            <w:noWrap w:val="0"/>
            <w:vAlign w:val="center"/>
          </w:tcPr>
          <w:p w14:paraId="6E0C17BC">
            <w:pPr>
              <w:pStyle w:val="4"/>
              <w:jc w:val="center"/>
              <w:rPr>
                <w:rFonts w:ascii="仿宋" w:hAnsi="仿宋" w:eastAsia="仿宋" w:cs="仿宋"/>
                <w:szCs w:val="21"/>
              </w:rPr>
            </w:pPr>
          </w:p>
        </w:tc>
        <w:tc>
          <w:tcPr>
            <w:tcW w:w="593" w:type="dxa"/>
            <w:noWrap w:val="0"/>
            <w:vAlign w:val="center"/>
          </w:tcPr>
          <w:p w14:paraId="4F244E35">
            <w:pPr>
              <w:pStyle w:val="4"/>
              <w:jc w:val="center"/>
              <w:rPr>
                <w:rFonts w:ascii="仿宋" w:hAnsi="仿宋" w:eastAsia="仿宋" w:cs="仿宋"/>
                <w:szCs w:val="21"/>
              </w:rPr>
            </w:pPr>
            <w:r>
              <w:rPr>
                <w:rFonts w:ascii="仿宋" w:hAnsi="仿宋" w:eastAsia="仿宋" w:cs="仿宋"/>
                <w:szCs w:val="21"/>
              </w:rPr>
              <w:t>2</w:t>
            </w:r>
          </w:p>
        </w:tc>
        <w:tc>
          <w:tcPr>
            <w:tcW w:w="5284" w:type="dxa"/>
            <w:noWrap w:val="0"/>
            <w:vAlign w:val="center"/>
          </w:tcPr>
          <w:p w14:paraId="59EABD6A">
            <w:pPr>
              <w:pStyle w:val="4"/>
              <w:jc w:val="center"/>
              <w:rPr>
                <w:rFonts w:ascii="仿宋" w:hAnsi="仿宋" w:eastAsia="仿宋" w:cs="仿宋"/>
                <w:szCs w:val="21"/>
              </w:rPr>
            </w:pPr>
            <w:r>
              <w:rPr>
                <w:rFonts w:ascii="仿宋" w:hAnsi="仿宋" w:eastAsia="仿宋" w:cs="仿宋"/>
                <w:szCs w:val="21"/>
              </w:rPr>
              <w:t>地震时可能发生滑坡、危岩崩塌、泥石流等抗震危险地段建设场地。</w:t>
            </w:r>
          </w:p>
        </w:tc>
        <w:tc>
          <w:tcPr>
            <w:tcW w:w="2826" w:type="dxa"/>
            <w:noWrap w:val="0"/>
            <w:vAlign w:val="center"/>
          </w:tcPr>
          <w:p w14:paraId="453EE7CA">
            <w:pPr>
              <w:pStyle w:val="4"/>
              <w:jc w:val="center"/>
              <w:rPr>
                <w:rFonts w:ascii="仿宋" w:hAnsi="仿宋" w:eastAsia="仿宋" w:cs="仿宋"/>
                <w:szCs w:val="21"/>
              </w:rPr>
            </w:pPr>
            <w:r>
              <w:rPr>
                <w:rFonts w:ascii="仿宋" w:hAnsi="仿宋" w:eastAsia="仿宋" w:cs="仿宋"/>
                <w:szCs w:val="21"/>
              </w:rPr>
              <w:t>不属于抗震危险地段</w:t>
            </w:r>
          </w:p>
        </w:tc>
        <w:tc>
          <w:tcPr>
            <w:tcW w:w="1212" w:type="dxa"/>
            <w:noWrap w:val="0"/>
            <w:vAlign w:val="center"/>
          </w:tcPr>
          <w:p w14:paraId="0F0318BD">
            <w:pPr>
              <w:pStyle w:val="4"/>
              <w:jc w:val="center"/>
              <w:rPr>
                <w:rFonts w:ascii="仿宋" w:hAnsi="仿宋" w:eastAsia="仿宋" w:cs="仿宋"/>
                <w:szCs w:val="21"/>
              </w:rPr>
            </w:pPr>
            <w:r>
              <w:rPr>
                <w:rFonts w:ascii="仿宋" w:hAnsi="仿宋" w:eastAsia="仿宋" w:cs="仿宋"/>
                <w:szCs w:val="21"/>
              </w:rPr>
              <w:t>不需进行</w:t>
            </w:r>
          </w:p>
          <w:p w14:paraId="1E596DA7">
            <w:pPr>
              <w:pStyle w:val="4"/>
              <w:jc w:val="center"/>
              <w:rPr>
                <w:rFonts w:ascii="仿宋" w:hAnsi="仿宋" w:eastAsia="仿宋" w:cs="仿宋"/>
                <w:szCs w:val="21"/>
              </w:rPr>
            </w:pPr>
            <w:r>
              <w:rPr>
                <w:rFonts w:ascii="仿宋" w:hAnsi="仿宋" w:eastAsia="仿宋" w:cs="仿宋"/>
                <w:szCs w:val="21"/>
              </w:rPr>
              <w:t>选址勘察</w:t>
            </w:r>
          </w:p>
        </w:tc>
      </w:tr>
      <w:tr w14:paraId="2BF957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83" w:hRule="atLeast"/>
          <w:jc w:val="center"/>
        </w:trPr>
        <w:tc>
          <w:tcPr>
            <w:tcW w:w="615" w:type="dxa"/>
            <w:vMerge w:val="restart"/>
            <w:noWrap w:val="0"/>
            <w:vAlign w:val="center"/>
          </w:tcPr>
          <w:p w14:paraId="3136CC06">
            <w:pPr>
              <w:pStyle w:val="4"/>
              <w:jc w:val="center"/>
              <w:rPr>
                <w:rFonts w:ascii="仿宋" w:hAnsi="仿宋" w:eastAsia="仿宋" w:cs="仿宋"/>
                <w:szCs w:val="21"/>
              </w:rPr>
            </w:pPr>
            <w:r>
              <w:rPr>
                <w:rFonts w:ascii="仿宋" w:hAnsi="仿宋" w:eastAsia="仿宋" w:cs="仿宋"/>
                <w:szCs w:val="21"/>
              </w:rPr>
              <w:t>建设项目</w:t>
            </w:r>
          </w:p>
        </w:tc>
        <w:tc>
          <w:tcPr>
            <w:tcW w:w="593" w:type="dxa"/>
            <w:noWrap w:val="0"/>
            <w:vAlign w:val="center"/>
          </w:tcPr>
          <w:p w14:paraId="7E430FC1">
            <w:pPr>
              <w:pStyle w:val="4"/>
              <w:jc w:val="center"/>
              <w:rPr>
                <w:rFonts w:ascii="仿宋" w:hAnsi="仿宋" w:eastAsia="仿宋" w:cs="仿宋"/>
                <w:szCs w:val="21"/>
              </w:rPr>
            </w:pPr>
            <w:r>
              <w:rPr>
                <w:rFonts w:ascii="仿宋" w:hAnsi="仿宋" w:eastAsia="仿宋" w:cs="仿宋"/>
                <w:szCs w:val="21"/>
              </w:rPr>
              <w:t>1</w:t>
            </w:r>
          </w:p>
        </w:tc>
        <w:tc>
          <w:tcPr>
            <w:tcW w:w="5284" w:type="dxa"/>
            <w:noWrap w:val="0"/>
            <w:vAlign w:val="center"/>
          </w:tcPr>
          <w:p w14:paraId="5462227C">
            <w:pPr>
              <w:pStyle w:val="4"/>
              <w:jc w:val="center"/>
              <w:rPr>
                <w:rFonts w:ascii="仿宋" w:hAnsi="仿宋" w:eastAsia="仿宋" w:cs="仿宋"/>
                <w:szCs w:val="21"/>
              </w:rPr>
            </w:pPr>
            <w:r>
              <w:rPr>
                <w:rFonts w:ascii="仿宋" w:hAnsi="仿宋" w:eastAsia="仿宋" w:cs="仿宋"/>
                <w:szCs w:val="21"/>
              </w:rPr>
              <w:t>投资20亿元以上的大型市政基础设施工程。</w:t>
            </w:r>
          </w:p>
        </w:tc>
        <w:tc>
          <w:tcPr>
            <w:tcW w:w="2826" w:type="dxa"/>
            <w:noWrap w:val="0"/>
            <w:vAlign w:val="center"/>
          </w:tcPr>
          <w:p w14:paraId="08C548AB">
            <w:pPr>
              <w:pStyle w:val="4"/>
              <w:jc w:val="center"/>
              <w:rPr>
                <w:rFonts w:ascii="仿宋" w:hAnsi="仿宋" w:eastAsia="仿宋" w:cs="仿宋"/>
                <w:szCs w:val="21"/>
              </w:rPr>
            </w:pPr>
            <w:r>
              <w:rPr>
                <w:rFonts w:ascii="仿宋" w:hAnsi="仿宋" w:eastAsia="仿宋" w:cs="仿宋"/>
                <w:szCs w:val="21"/>
              </w:rPr>
              <w:t>不属于该类工程</w:t>
            </w:r>
          </w:p>
        </w:tc>
        <w:tc>
          <w:tcPr>
            <w:tcW w:w="1212" w:type="dxa"/>
            <w:noWrap w:val="0"/>
            <w:vAlign w:val="center"/>
          </w:tcPr>
          <w:p w14:paraId="24519ECB">
            <w:pPr>
              <w:pStyle w:val="4"/>
              <w:jc w:val="center"/>
              <w:rPr>
                <w:rFonts w:ascii="仿宋" w:hAnsi="仿宋" w:eastAsia="仿宋" w:cs="仿宋"/>
                <w:szCs w:val="21"/>
              </w:rPr>
            </w:pPr>
            <w:r>
              <w:rPr>
                <w:rFonts w:ascii="仿宋" w:hAnsi="仿宋" w:eastAsia="仿宋" w:cs="仿宋"/>
                <w:szCs w:val="21"/>
              </w:rPr>
              <w:t>不需进行</w:t>
            </w:r>
          </w:p>
          <w:p w14:paraId="6C9B6AB4">
            <w:pPr>
              <w:pStyle w:val="4"/>
              <w:jc w:val="center"/>
              <w:rPr>
                <w:rFonts w:ascii="仿宋" w:hAnsi="仿宋" w:eastAsia="仿宋" w:cs="仿宋"/>
                <w:szCs w:val="21"/>
              </w:rPr>
            </w:pPr>
            <w:r>
              <w:rPr>
                <w:rFonts w:ascii="仿宋" w:hAnsi="仿宋" w:eastAsia="仿宋" w:cs="仿宋"/>
                <w:szCs w:val="21"/>
              </w:rPr>
              <w:t>选址勘察</w:t>
            </w:r>
          </w:p>
        </w:tc>
      </w:tr>
      <w:tr w14:paraId="2DD042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510" w:hRule="atLeast"/>
          <w:jc w:val="center"/>
        </w:trPr>
        <w:tc>
          <w:tcPr>
            <w:tcW w:w="615" w:type="dxa"/>
            <w:vMerge w:val="continue"/>
            <w:noWrap w:val="0"/>
            <w:vAlign w:val="center"/>
          </w:tcPr>
          <w:p w14:paraId="61E0BA87">
            <w:pPr>
              <w:pStyle w:val="4"/>
              <w:jc w:val="center"/>
              <w:rPr>
                <w:rFonts w:ascii="仿宋" w:hAnsi="仿宋" w:eastAsia="仿宋" w:cs="仿宋"/>
                <w:szCs w:val="21"/>
              </w:rPr>
            </w:pPr>
          </w:p>
        </w:tc>
        <w:tc>
          <w:tcPr>
            <w:tcW w:w="593" w:type="dxa"/>
            <w:noWrap w:val="0"/>
            <w:vAlign w:val="center"/>
          </w:tcPr>
          <w:p w14:paraId="0416BB14">
            <w:pPr>
              <w:pStyle w:val="4"/>
              <w:jc w:val="center"/>
              <w:rPr>
                <w:rFonts w:ascii="仿宋" w:hAnsi="仿宋" w:eastAsia="仿宋" w:cs="仿宋"/>
                <w:szCs w:val="21"/>
              </w:rPr>
            </w:pPr>
            <w:r>
              <w:rPr>
                <w:rFonts w:ascii="仿宋" w:hAnsi="仿宋" w:eastAsia="仿宋" w:cs="仿宋"/>
                <w:szCs w:val="21"/>
              </w:rPr>
              <w:t>2</w:t>
            </w:r>
          </w:p>
        </w:tc>
        <w:tc>
          <w:tcPr>
            <w:tcW w:w="5284" w:type="dxa"/>
            <w:noWrap w:val="0"/>
            <w:vAlign w:val="center"/>
          </w:tcPr>
          <w:p w14:paraId="4FCC7529">
            <w:pPr>
              <w:pStyle w:val="4"/>
              <w:jc w:val="center"/>
              <w:rPr>
                <w:rFonts w:ascii="仿宋" w:hAnsi="仿宋" w:eastAsia="仿宋" w:cs="仿宋"/>
                <w:szCs w:val="21"/>
              </w:rPr>
            </w:pPr>
            <w:r>
              <w:rPr>
                <w:rFonts w:ascii="仿宋" w:hAnsi="仿宋" w:eastAsia="仿宋" w:cs="仿宋"/>
                <w:szCs w:val="21"/>
              </w:rPr>
              <w:t>大型工矿企业厂区整体迁建。</w:t>
            </w:r>
          </w:p>
        </w:tc>
        <w:tc>
          <w:tcPr>
            <w:tcW w:w="2826" w:type="dxa"/>
            <w:noWrap w:val="0"/>
            <w:vAlign w:val="center"/>
          </w:tcPr>
          <w:p w14:paraId="41CA7D85">
            <w:pPr>
              <w:pStyle w:val="4"/>
              <w:jc w:val="center"/>
              <w:rPr>
                <w:rFonts w:ascii="仿宋" w:hAnsi="仿宋" w:eastAsia="仿宋" w:cs="仿宋"/>
                <w:szCs w:val="21"/>
              </w:rPr>
            </w:pPr>
            <w:r>
              <w:rPr>
                <w:rFonts w:ascii="仿宋" w:hAnsi="仿宋" w:eastAsia="仿宋" w:cs="仿宋"/>
                <w:szCs w:val="21"/>
              </w:rPr>
              <w:t>不属于该类工程</w:t>
            </w:r>
          </w:p>
        </w:tc>
        <w:tc>
          <w:tcPr>
            <w:tcW w:w="1212" w:type="dxa"/>
            <w:noWrap w:val="0"/>
            <w:vAlign w:val="center"/>
          </w:tcPr>
          <w:p w14:paraId="6D70EB95">
            <w:pPr>
              <w:pStyle w:val="4"/>
              <w:jc w:val="center"/>
              <w:rPr>
                <w:rFonts w:ascii="仿宋" w:hAnsi="仿宋" w:eastAsia="仿宋" w:cs="仿宋"/>
                <w:szCs w:val="21"/>
              </w:rPr>
            </w:pPr>
            <w:r>
              <w:rPr>
                <w:rFonts w:ascii="仿宋" w:hAnsi="仿宋" w:eastAsia="仿宋" w:cs="仿宋"/>
                <w:szCs w:val="21"/>
              </w:rPr>
              <w:t>不需进行</w:t>
            </w:r>
          </w:p>
          <w:p w14:paraId="6E7D785A">
            <w:pPr>
              <w:pStyle w:val="4"/>
              <w:jc w:val="center"/>
              <w:rPr>
                <w:rFonts w:ascii="仿宋" w:hAnsi="仿宋" w:eastAsia="仿宋" w:cs="仿宋"/>
                <w:szCs w:val="21"/>
              </w:rPr>
            </w:pPr>
            <w:r>
              <w:rPr>
                <w:rFonts w:ascii="仿宋" w:hAnsi="仿宋" w:eastAsia="仿宋" w:cs="仿宋"/>
                <w:szCs w:val="21"/>
              </w:rPr>
              <w:t>选址勘察</w:t>
            </w:r>
          </w:p>
        </w:tc>
      </w:tr>
      <w:tr w14:paraId="40750F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1035" w:hRule="atLeast"/>
          <w:jc w:val="center"/>
        </w:trPr>
        <w:tc>
          <w:tcPr>
            <w:tcW w:w="615" w:type="dxa"/>
            <w:vMerge w:val="continue"/>
            <w:noWrap w:val="0"/>
            <w:vAlign w:val="center"/>
          </w:tcPr>
          <w:p w14:paraId="424C1DB0">
            <w:pPr>
              <w:pStyle w:val="4"/>
              <w:jc w:val="center"/>
              <w:rPr>
                <w:rFonts w:ascii="仿宋" w:hAnsi="仿宋" w:eastAsia="仿宋" w:cs="仿宋"/>
                <w:szCs w:val="21"/>
              </w:rPr>
            </w:pPr>
          </w:p>
        </w:tc>
        <w:tc>
          <w:tcPr>
            <w:tcW w:w="593" w:type="dxa"/>
            <w:noWrap w:val="0"/>
            <w:vAlign w:val="center"/>
          </w:tcPr>
          <w:p w14:paraId="03263FB9">
            <w:pPr>
              <w:pStyle w:val="4"/>
              <w:jc w:val="center"/>
              <w:rPr>
                <w:rFonts w:ascii="仿宋" w:hAnsi="仿宋" w:eastAsia="仿宋" w:cs="仿宋"/>
                <w:szCs w:val="21"/>
              </w:rPr>
            </w:pPr>
            <w:r>
              <w:rPr>
                <w:rFonts w:ascii="仿宋" w:hAnsi="仿宋" w:eastAsia="仿宋" w:cs="仿宋"/>
                <w:szCs w:val="21"/>
              </w:rPr>
              <w:t>3</w:t>
            </w:r>
          </w:p>
        </w:tc>
        <w:tc>
          <w:tcPr>
            <w:tcW w:w="5284" w:type="dxa"/>
            <w:noWrap w:val="0"/>
            <w:vAlign w:val="center"/>
          </w:tcPr>
          <w:p w14:paraId="30E55E12">
            <w:pPr>
              <w:pStyle w:val="4"/>
              <w:jc w:val="center"/>
              <w:rPr>
                <w:rFonts w:ascii="仿宋" w:hAnsi="仿宋" w:eastAsia="仿宋" w:cs="仿宋"/>
                <w:szCs w:val="21"/>
              </w:rPr>
            </w:pPr>
            <w:r>
              <w:rPr>
                <w:rFonts w:ascii="仿宋" w:hAnsi="仿宋" w:eastAsia="仿宋" w:cs="仿宋"/>
                <w:szCs w:val="21"/>
              </w:rPr>
              <w:t>城市轨道交通线路、长度大于1000m的越岭隧道和跨越长江、嘉陵江、乌江等江底隧道和大型桥梁等需进行多方案比选的大型市政基础设施工程</w:t>
            </w:r>
          </w:p>
        </w:tc>
        <w:tc>
          <w:tcPr>
            <w:tcW w:w="2826" w:type="dxa"/>
            <w:noWrap w:val="0"/>
            <w:vAlign w:val="center"/>
          </w:tcPr>
          <w:p w14:paraId="5F6EC219">
            <w:pPr>
              <w:pStyle w:val="4"/>
              <w:jc w:val="center"/>
              <w:rPr>
                <w:rFonts w:ascii="仿宋" w:hAnsi="仿宋" w:eastAsia="仿宋" w:cs="仿宋"/>
                <w:szCs w:val="21"/>
              </w:rPr>
            </w:pPr>
            <w:r>
              <w:rPr>
                <w:rFonts w:ascii="仿宋" w:hAnsi="仿宋" w:eastAsia="仿宋" w:cs="仿宋"/>
                <w:szCs w:val="21"/>
              </w:rPr>
              <w:t>不属于该类工程</w:t>
            </w:r>
          </w:p>
        </w:tc>
        <w:tc>
          <w:tcPr>
            <w:tcW w:w="1212" w:type="dxa"/>
            <w:noWrap w:val="0"/>
            <w:vAlign w:val="center"/>
          </w:tcPr>
          <w:p w14:paraId="4DB71753">
            <w:pPr>
              <w:pStyle w:val="4"/>
              <w:jc w:val="center"/>
              <w:rPr>
                <w:rFonts w:ascii="仿宋" w:hAnsi="仿宋" w:eastAsia="仿宋" w:cs="仿宋"/>
                <w:szCs w:val="21"/>
              </w:rPr>
            </w:pPr>
            <w:r>
              <w:rPr>
                <w:rFonts w:ascii="仿宋" w:hAnsi="仿宋" w:eastAsia="仿宋" w:cs="仿宋"/>
                <w:szCs w:val="21"/>
              </w:rPr>
              <w:t>不需进行</w:t>
            </w:r>
          </w:p>
          <w:p w14:paraId="5794F8D8">
            <w:pPr>
              <w:pStyle w:val="4"/>
              <w:jc w:val="center"/>
              <w:rPr>
                <w:rFonts w:ascii="仿宋" w:hAnsi="仿宋" w:eastAsia="仿宋" w:cs="仿宋"/>
                <w:szCs w:val="21"/>
              </w:rPr>
            </w:pPr>
            <w:r>
              <w:rPr>
                <w:rFonts w:ascii="仿宋" w:hAnsi="仿宋" w:eastAsia="仿宋" w:cs="仿宋"/>
                <w:szCs w:val="21"/>
              </w:rPr>
              <w:t>选址勘察</w:t>
            </w:r>
          </w:p>
        </w:tc>
      </w:tr>
    </w:tbl>
    <w:p w14:paraId="08960903">
      <w:pPr>
        <w:widowControl/>
        <w:snapToGrid w:val="0"/>
        <w:ind w:firstLine="964" w:firstLineChars="400"/>
        <w:jc w:val="left"/>
        <w:rPr>
          <w:rFonts w:hint="eastAsia" w:ascii="仿宋" w:hAnsi="仿宋" w:eastAsia="仿宋" w:cs="仿宋"/>
          <w:b/>
          <w:kern w:val="0"/>
          <w:sz w:val="24"/>
        </w:rPr>
      </w:pPr>
    </w:p>
    <w:p w14:paraId="12C47048">
      <w:pPr>
        <w:widowControl/>
        <w:snapToGrid w:val="0"/>
        <w:ind w:firstLine="964" w:firstLineChars="400"/>
        <w:jc w:val="left"/>
        <w:rPr>
          <w:rFonts w:hint="eastAsia" w:ascii="仿宋" w:hAnsi="仿宋" w:eastAsia="仿宋" w:cs="仿宋"/>
          <w:b/>
          <w:kern w:val="0"/>
          <w:sz w:val="24"/>
        </w:rPr>
      </w:pPr>
    </w:p>
    <w:p w14:paraId="5C2C47DC">
      <w:pPr>
        <w:widowControl/>
        <w:snapToGrid w:val="0"/>
        <w:ind w:firstLine="964" w:firstLineChars="400"/>
        <w:jc w:val="left"/>
        <w:rPr>
          <w:rFonts w:hint="eastAsia" w:ascii="仿宋" w:hAnsi="仿宋" w:eastAsia="仿宋" w:cs="仿宋"/>
          <w:b/>
          <w:kern w:val="0"/>
          <w:sz w:val="24"/>
        </w:rPr>
      </w:pPr>
    </w:p>
    <w:p w14:paraId="2FD2BB0F">
      <w:pPr>
        <w:widowControl/>
        <w:snapToGrid w:val="0"/>
        <w:ind w:firstLine="964" w:firstLineChars="400"/>
        <w:jc w:val="left"/>
        <w:rPr>
          <w:rFonts w:hint="eastAsia" w:ascii="仿宋" w:hAnsi="仿宋" w:eastAsia="仿宋" w:cs="仿宋"/>
          <w:b/>
          <w:kern w:val="0"/>
          <w:sz w:val="24"/>
          <w:lang w:eastAsia="zh-CN"/>
        </w:rPr>
      </w:pPr>
    </w:p>
    <w:p w14:paraId="1A9F29CB">
      <w:pPr>
        <w:widowControl/>
        <w:snapToGrid w:val="0"/>
        <w:ind w:firstLine="964" w:firstLineChars="400"/>
        <w:jc w:val="left"/>
        <w:rPr>
          <w:rFonts w:hint="eastAsia" w:ascii="仿宋" w:hAnsi="仿宋" w:eastAsia="仿宋" w:cs="仿宋"/>
          <w:b/>
          <w:kern w:val="0"/>
          <w:sz w:val="24"/>
        </w:rPr>
      </w:pPr>
    </w:p>
    <w:p w14:paraId="60ECCB98">
      <w:pPr>
        <w:widowControl/>
        <w:snapToGrid w:val="0"/>
        <w:ind w:firstLine="964" w:firstLineChars="400"/>
        <w:jc w:val="left"/>
        <w:rPr>
          <w:rFonts w:hint="eastAsia" w:ascii="仿宋" w:hAnsi="仿宋" w:eastAsia="仿宋" w:cs="仿宋"/>
          <w:b/>
          <w:kern w:val="0"/>
          <w:sz w:val="24"/>
        </w:rPr>
      </w:pPr>
    </w:p>
    <w:p w14:paraId="5B12A1DC">
      <w:pPr>
        <w:widowControl/>
        <w:snapToGrid w:val="0"/>
        <w:ind w:firstLine="964" w:firstLineChars="400"/>
        <w:jc w:val="left"/>
        <w:rPr>
          <w:rFonts w:hint="eastAsia" w:ascii="仿宋" w:hAnsi="仿宋" w:eastAsia="仿宋" w:cs="仿宋"/>
          <w:b/>
          <w:kern w:val="0"/>
          <w:sz w:val="24"/>
        </w:rPr>
      </w:pPr>
    </w:p>
    <w:p w14:paraId="2AFC87D9">
      <w:pPr>
        <w:widowControl/>
        <w:snapToGrid w:val="0"/>
        <w:ind w:firstLine="964" w:firstLineChars="400"/>
        <w:jc w:val="left"/>
        <w:rPr>
          <w:rFonts w:hint="eastAsia" w:ascii="仿宋" w:hAnsi="仿宋" w:eastAsia="仿宋" w:cs="仿宋"/>
          <w:b/>
          <w:kern w:val="0"/>
          <w:sz w:val="24"/>
        </w:rPr>
      </w:pPr>
    </w:p>
    <w:p w14:paraId="7071E77A">
      <w:pPr>
        <w:widowControl/>
        <w:snapToGrid w:val="0"/>
        <w:ind w:firstLine="964" w:firstLineChars="400"/>
        <w:jc w:val="left"/>
        <w:rPr>
          <w:rFonts w:hint="eastAsia" w:ascii="仿宋" w:hAnsi="仿宋" w:eastAsia="仿宋" w:cs="仿宋"/>
          <w:b/>
          <w:kern w:val="0"/>
          <w:sz w:val="24"/>
        </w:rPr>
      </w:pPr>
    </w:p>
    <w:p w14:paraId="51290848">
      <w:pPr>
        <w:widowControl/>
        <w:snapToGrid w:val="0"/>
        <w:ind w:firstLine="964" w:firstLineChars="400"/>
        <w:jc w:val="left"/>
        <w:rPr>
          <w:rFonts w:hint="eastAsia" w:ascii="仿宋" w:hAnsi="仿宋" w:eastAsia="仿宋" w:cs="仿宋"/>
          <w:b/>
          <w:kern w:val="0"/>
          <w:sz w:val="24"/>
        </w:rPr>
      </w:pPr>
    </w:p>
    <w:p w14:paraId="6E2CFC8F">
      <w:pPr>
        <w:widowControl/>
        <w:snapToGrid w:val="0"/>
        <w:ind w:firstLine="964" w:firstLineChars="400"/>
        <w:jc w:val="left"/>
        <w:rPr>
          <w:rFonts w:hint="eastAsia" w:ascii="仿宋" w:hAnsi="仿宋" w:eastAsia="仿宋" w:cs="仿宋"/>
          <w:b/>
          <w:kern w:val="0"/>
          <w:sz w:val="24"/>
        </w:rPr>
      </w:pPr>
    </w:p>
    <w:p w14:paraId="3ECBF8E9">
      <w:pPr>
        <w:widowControl/>
        <w:snapToGrid w:val="0"/>
        <w:ind w:firstLine="964" w:firstLineChars="400"/>
        <w:jc w:val="left"/>
        <w:rPr>
          <w:rFonts w:hint="eastAsia" w:ascii="仿宋" w:hAnsi="仿宋" w:eastAsia="仿宋" w:cs="仿宋"/>
          <w:b/>
          <w:kern w:val="0"/>
          <w:sz w:val="24"/>
        </w:rPr>
      </w:pPr>
    </w:p>
    <w:p w14:paraId="0F5CDF96">
      <w:pPr>
        <w:widowControl/>
        <w:snapToGrid w:val="0"/>
        <w:ind w:firstLine="964" w:firstLineChars="400"/>
        <w:jc w:val="left"/>
        <w:rPr>
          <w:rFonts w:hint="eastAsia" w:ascii="仿宋" w:hAnsi="仿宋" w:eastAsia="仿宋" w:cs="仿宋"/>
          <w:b/>
          <w:kern w:val="0"/>
          <w:sz w:val="24"/>
        </w:rPr>
      </w:pPr>
    </w:p>
    <w:p w14:paraId="1114A51A">
      <w:pPr>
        <w:widowControl/>
        <w:snapToGrid w:val="0"/>
        <w:ind w:firstLine="964" w:firstLineChars="400"/>
        <w:jc w:val="left"/>
        <w:rPr>
          <w:rFonts w:hint="eastAsia" w:ascii="仿宋" w:hAnsi="仿宋" w:eastAsia="仿宋" w:cs="仿宋"/>
          <w:b/>
          <w:kern w:val="0"/>
          <w:sz w:val="24"/>
        </w:rPr>
      </w:pPr>
    </w:p>
    <w:p w14:paraId="7739AC33">
      <w:pPr>
        <w:widowControl/>
        <w:snapToGrid w:val="0"/>
        <w:ind w:firstLine="964" w:firstLineChars="400"/>
        <w:jc w:val="left"/>
        <w:rPr>
          <w:rFonts w:hint="eastAsia" w:ascii="仿宋" w:hAnsi="仿宋" w:eastAsia="仿宋" w:cs="仿宋"/>
          <w:b/>
          <w:kern w:val="0"/>
          <w:sz w:val="24"/>
        </w:rPr>
      </w:pPr>
    </w:p>
    <w:p w14:paraId="4B76DD9A">
      <w:pPr>
        <w:widowControl/>
        <w:snapToGrid w:val="0"/>
        <w:ind w:firstLine="964" w:firstLineChars="400"/>
        <w:jc w:val="left"/>
        <w:rPr>
          <w:rFonts w:hint="eastAsia" w:ascii="仿宋" w:hAnsi="仿宋" w:eastAsia="仿宋" w:cs="仿宋"/>
          <w:b/>
          <w:kern w:val="0"/>
          <w:sz w:val="24"/>
        </w:rPr>
      </w:pPr>
    </w:p>
    <w:p w14:paraId="604A2F20">
      <w:pPr>
        <w:widowControl/>
        <w:snapToGrid w:val="0"/>
        <w:ind w:firstLine="964" w:firstLineChars="400"/>
        <w:jc w:val="left"/>
        <w:rPr>
          <w:rFonts w:hint="eastAsia" w:ascii="仿宋" w:hAnsi="仿宋" w:eastAsia="仿宋" w:cs="仿宋"/>
          <w:b/>
          <w:kern w:val="0"/>
          <w:sz w:val="24"/>
        </w:rPr>
      </w:pPr>
    </w:p>
    <w:p w14:paraId="14805F15">
      <w:pPr>
        <w:widowControl/>
        <w:snapToGrid w:val="0"/>
        <w:ind w:firstLine="964" w:firstLineChars="400"/>
        <w:jc w:val="left"/>
        <w:rPr>
          <w:rFonts w:hint="eastAsia" w:ascii="仿宋" w:hAnsi="仿宋" w:eastAsia="仿宋" w:cs="仿宋"/>
          <w:b/>
          <w:kern w:val="0"/>
          <w:sz w:val="24"/>
        </w:rPr>
      </w:pPr>
    </w:p>
    <w:p w14:paraId="4A742073">
      <w:pPr>
        <w:widowControl/>
        <w:snapToGrid w:val="0"/>
        <w:ind w:firstLine="964" w:firstLineChars="400"/>
        <w:jc w:val="left"/>
        <w:rPr>
          <w:rFonts w:hint="eastAsia" w:ascii="仿宋" w:hAnsi="仿宋" w:eastAsia="仿宋" w:cs="仿宋"/>
          <w:b/>
          <w:kern w:val="0"/>
          <w:sz w:val="24"/>
        </w:rPr>
      </w:pPr>
    </w:p>
    <w:p w14:paraId="25D3182C">
      <w:pPr>
        <w:widowControl/>
        <w:snapToGrid w:val="0"/>
        <w:ind w:firstLine="964" w:firstLineChars="400"/>
        <w:jc w:val="left"/>
        <w:rPr>
          <w:rFonts w:hint="eastAsia" w:ascii="仿宋" w:hAnsi="仿宋" w:eastAsia="仿宋" w:cs="仿宋"/>
          <w:b/>
          <w:kern w:val="0"/>
          <w:sz w:val="24"/>
        </w:rPr>
      </w:pPr>
    </w:p>
    <w:p w14:paraId="28BF5388">
      <w:pPr>
        <w:widowControl/>
        <w:snapToGrid w:val="0"/>
        <w:ind w:firstLine="964" w:firstLineChars="400"/>
        <w:jc w:val="left"/>
        <w:rPr>
          <w:rFonts w:hint="eastAsia" w:ascii="仿宋" w:hAnsi="仿宋" w:eastAsia="仿宋" w:cs="仿宋"/>
          <w:b/>
          <w:kern w:val="0"/>
          <w:sz w:val="24"/>
        </w:rPr>
      </w:pPr>
    </w:p>
    <w:p w14:paraId="473736EF">
      <w:pPr>
        <w:widowControl/>
        <w:snapToGrid w:val="0"/>
        <w:ind w:firstLine="964" w:firstLineChars="400"/>
        <w:jc w:val="left"/>
        <w:rPr>
          <w:rFonts w:hint="eastAsia" w:ascii="仿宋" w:hAnsi="仿宋" w:eastAsia="仿宋" w:cs="仿宋"/>
          <w:b/>
          <w:kern w:val="0"/>
          <w:sz w:val="24"/>
        </w:rPr>
      </w:pPr>
    </w:p>
    <w:p w14:paraId="2A56565B">
      <w:pPr>
        <w:widowControl/>
        <w:snapToGrid w:val="0"/>
        <w:ind w:firstLine="964" w:firstLineChars="400"/>
        <w:jc w:val="left"/>
        <w:rPr>
          <w:rFonts w:hint="eastAsia" w:ascii="仿宋" w:hAnsi="仿宋" w:eastAsia="仿宋" w:cs="仿宋"/>
          <w:b/>
          <w:kern w:val="0"/>
          <w:sz w:val="24"/>
        </w:rPr>
      </w:pPr>
    </w:p>
    <w:p w14:paraId="427A3965">
      <w:pPr>
        <w:widowControl/>
        <w:snapToGrid w:val="0"/>
        <w:ind w:firstLine="964" w:firstLineChars="400"/>
        <w:jc w:val="left"/>
        <w:rPr>
          <w:rFonts w:hint="eastAsia" w:ascii="仿宋" w:hAnsi="仿宋" w:eastAsia="仿宋" w:cs="仿宋"/>
          <w:b/>
          <w:kern w:val="0"/>
          <w:sz w:val="24"/>
        </w:rPr>
      </w:pPr>
    </w:p>
    <w:p w14:paraId="588C2513">
      <w:pPr>
        <w:widowControl/>
        <w:snapToGrid w:val="0"/>
        <w:ind w:firstLine="964" w:firstLineChars="400"/>
        <w:jc w:val="left"/>
        <w:rPr>
          <w:rFonts w:hint="eastAsia" w:ascii="仿宋" w:hAnsi="仿宋" w:eastAsia="仿宋" w:cs="仿宋"/>
          <w:b/>
          <w:kern w:val="0"/>
          <w:sz w:val="24"/>
        </w:rPr>
      </w:pPr>
    </w:p>
    <w:p w14:paraId="426C20F6">
      <w:pPr>
        <w:widowControl/>
        <w:snapToGrid w:val="0"/>
        <w:ind w:firstLine="964" w:firstLineChars="400"/>
        <w:jc w:val="left"/>
        <w:rPr>
          <w:rFonts w:hint="eastAsia" w:ascii="仿宋" w:hAnsi="仿宋" w:eastAsia="仿宋" w:cs="仿宋"/>
          <w:b/>
          <w:kern w:val="0"/>
          <w:sz w:val="24"/>
        </w:rPr>
      </w:pPr>
    </w:p>
    <w:p w14:paraId="1222D80D">
      <w:pPr>
        <w:widowControl/>
        <w:snapToGrid w:val="0"/>
        <w:ind w:firstLine="964" w:firstLineChars="400"/>
        <w:jc w:val="left"/>
        <w:rPr>
          <w:rFonts w:hint="eastAsia" w:ascii="仿宋" w:hAnsi="仿宋" w:eastAsia="仿宋" w:cs="仿宋"/>
          <w:b/>
          <w:kern w:val="0"/>
          <w:sz w:val="24"/>
        </w:rPr>
      </w:pPr>
    </w:p>
    <w:p w14:paraId="0E519973">
      <w:pPr>
        <w:widowControl/>
        <w:snapToGrid w:val="0"/>
        <w:jc w:val="left"/>
        <w:rPr>
          <w:rFonts w:hint="eastAsia" w:ascii="仿宋" w:hAnsi="仿宋" w:eastAsia="仿宋" w:cs="仿宋"/>
          <w:b/>
          <w:kern w:val="0"/>
          <w:sz w:val="24"/>
        </w:rPr>
      </w:pPr>
    </w:p>
    <w:p w14:paraId="490CFABA">
      <w:pPr>
        <w:widowControl/>
        <w:snapToGrid w:val="0"/>
        <w:jc w:val="left"/>
        <w:rPr>
          <w:rFonts w:hint="eastAsia" w:ascii="仿宋" w:hAnsi="仿宋" w:eastAsia="仿宋" w:cs="仿宋"/>
          <w:b/>
          <w:kern w:val="0"/>
          <w:sz w:val="24"/>
        </w:rPr>
      </w:pPr>
      <w:r>
        <w:rPr>
          <w:rFonts w:hint="eastAsia" w:ascii="仿宋" w:hAnsi="仿宋" w:eastAsia="仿宋" w:cs="仿宋"/>
          <w:b/>
          <w:kern w:val="0"/>
          <w:sz w:val="24"/>
        </w:rPr>
        <w:t>表1.4-</w:t>
      </w:r>
      <w:r>
        <w:rPr>
          <w:rFonts w:hint="eastAsia" w:ascii="仿宋" w:hAnsi="仿宋" w:eastAsia="仿宋" w:cs="仿宋"/>
          <w:b/>
          <w:kern w:val="0"/>
          <w:sz w:val="24"/>
          <w:lang w:val="en-US" w:eastAsia="zh-CN"/>
        </w:rPr>
        <w:t>3</w:t>
      </w:r>
      <w:r>
        <w:rPr>
          <w:rFonts w:hint="eastAsia" w:ascii="仿宋" w:hAnsi="仿宋" w:eastAsia="仿宋" w:cs="仿宋"/>
          <w:b/>
          <w:kern w:val="0"/>
          <w:sz w:val="24"/>
        </w:rPr>
        <w:t xml:space="preserve">  重庆市房屋建筑和市政基础设施工程勘察阶段（初步勘察）定</w:t>
      </w:r>
    </w:p>
    <w:tbl>
      <w:tblPr>
        <w:tblStyle w:val="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28" w:type="dxa"/>
          <w:left w:w="28" w:type="dxa"/>
          <w:bottom w:w="28" w:type="dxa"/>
          <w:right w:w="28" w:type="dxa"/>
        </w:tblCellMar>
      </w:tblPr>
      <w:tblGrid>
        <w:gridCol w:w="609"/>
        <w:gridCol w:w="456"/>
        <w:gridCol w:w="5284"/>
        <w:gridCol w:w="2796"/>
        <w:gridCol w:w="1213"/>
      </w:tblGrid>
      <w:tr w14:paraId="796B8A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314" w:hRule="atLeast"/>
          <w:jc w:val="center"/>
        </w:trPr>
        <w:tc>
          <w:tcPr>
            <w:tcW w:w="1065" w:type="dxa"/>
            <w:gridSpan w:val="2"/>
            <w:noWrap w:val="0"/>
            <w:vAlign w:val="center"/>
          </w:tcPr>
          <w:p w14:paraId="69456743">
            <w:pPr>
              <w:pStyle w:val="4"/>
              <w:jc w:val="center"/>
              <w:rPr>
                <w:rFonts w:ascii="仿宋" w:hAnsi="仿宋" w:eastAsia="仿宋" w:cs="仿宋"/>
                <w:szCs w:val="21"/>
              </w:rPr>
            </w:pPr>
            <w:r>
              <w:rPr>
                <w:rFonts w:ascii="仿宋" w:hAnsi="仿宋" w:eastAsia="仿宋" w:cs="仿宋"/>
                <w:szCs w:val="21"/>
              </w:rPr>
              <w:t>判定</w:t>
            </w:r>
          </w:p>
          <w:p w14:paraId="137DE473">
            <w:pPr>
              <w:pStyle w:val="4"/>
              <w:jc w:val="center"/>
              <w:rPr>
                <w:rFonts w:ascii="仿宋" w:hAnsi="仿宋" w:eastAsia="仿宋" w:cs="仿宋"/>
                <w:szCs w:val="21"/>
              </w:rPr>
            </w:pPr>
            <w:r>
              <w:rPr>
                <w:rFonts w:ascii="仿宋" w:hAnsi="仿宋" w:eastAsia="仿宋" w:cs="仿宋"/>
                <w:szCs w:val="21"/>
              </w:rPr>
              <w:t>款项</w:t>
            </w:r>
          </w:p>
        </w:tc>
        <w:tc>
          <w:tcPr>
            <w:tcW w:w="5284" w:type="dxa"/>
            <w:noWrap w:val="0"/>
            <w:vAlign w:val="center"/>
          </w:tcPr>
          <w:p w14:paraId="70F882EB">
            <w:pPr>
              <w:pStyle w:val="4"/>
              <w:jc w:val="center"/>
              <w:rPr>
                <w:rFonts w:ascii="仿宋" w:hAnsi="仿宋" w:eastAsia="仿宋" w:cs="仿宋"/>
                <w:szCs w:val="21"/>
              </w:rPr>
            </w:pPr>
            <w:r>
              <w:rPr>
                <w:rFonts w:ascii="仿宋" w:hAnsi="仿宋" w:eastAsia="仿宋" w:cs="仿宋"/>
                <w:szCs w:val="21"/>
              </w:rPr>
              <w:t>判定条件</w:t>
            </w:r>
          </w:p>
        </w:tc>
        <w:tc>
          <w:tcPr>
            <w:tcW w:w="2796" w:type="dxa"/>
            <w:noWrap w:val="0"/>
            <w:vAlign w:val="center"/>
          </w:tcPr>
          <w:p w14:paraId="5E8BB556">
            <w:pPr>
              <w:pStyle w:val="4"/>
              <w:jc w:val="center"/>
              <w:rPr>
                <w:rFonts w:ascii="仿宋" w:hAnsi="仿宋" w:eastAsia="仿宋" w:cs="仿宋"/>
                <w:szCs w:val="21"/>
              </w:rPr>
            </w:pPr>
            <w:r>
              <w:rPr>
                <w:rFonts w:ascii="仿宋" w:hAnsi="仿宋" w:eastAsia="仿宋" w:cs="仿宋"/>
                <w:szCs w:val="21"/>
              </w:rPr>
              <w:t>对应判定条件的场地</w:t>
            </w:r>
          </w:p>
          <w:p w14:paraId="5761341A">
            <w:pPr>
              <w:pStyle w:val="4"/>
              <w:jc w:val="center"/>
              <w:rPr>
                <w:rFonts w:ascii="仿宋" w:hAnsi="仿宋" w:eastAsia="仿宋" w:cs="仿宋"/>
                <w:szCs w:val="21"/>
              </w:rPr>
            </w:pPr>
            <w:r>
              <w:rPr>
                <w:rFonts w:ascii="仿宋" w:hAnsi="仿宋" w:eastAsia="仿宋" w:cs="仿宋"/>
                <w:szCs w:val="21"/>
              </w:rPr>
              <w:t>及工程指标</w:t>
            </w:r>
          </w:p>
        </w:tc>
        <w:tc>
          <w:tcPr>
            <w:tcW w:w="1213" w:type="dxa"/>
            <w:noWrap w:val="0"/>
            <w:vAlign w:val="center"/>
          </w:tcPr>
          <w:p w14:paraId="07939A98">
            <w:pPr>
              <w:pStyle w:val="4"/>
              <w:jc w:val="center"/>
              <w:rPr>
                <w:rFonts w:ascii="仿宋" w:hAnsi="仿宋" w:eastAsia="仿宋" w:cs="仿宋"/>
                <w:szCs w:val="21"/>
              </w:rPr>
            </w:pPr>
            <w:r>
              <w:rPr>
                <w:rFonts w:ascii="仿宋" w:hAnsi="仿宋" w:eastAsia="仿宋" w:cs="仿宋"/>
                <w:szCs w:val="21"/>
              </w:rPr>
              <w:t>判定结果</w:t>
            </w:r>
          </w:p>
        </w:tc>
      </w:tr>
      <w:tr w14:paraId="3EB02E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noWrap w:val="0"/>
            <w:vAlign w:val="center"/>
          </w:tcPr>
          <w:p w14:paraId="433474D0">
            <w:pPr>
              <w:pStyle w:val="4"/>
              <w:jc w:val="center"/>
              <w:rPr>
                <w:rFonts w:ascii="仿宋" w:hAnsi="仿宋" w:eastAsia="仿宋" w:cs="仿宋"/>
                <w:szCs w:val="21"/>
              </w:rPr>
            </w:pPr>
            <w:r>
              <w:rPr>
                <w:rFonts w:ascii="仿宋" w:hAnsi="仿宋" w:eastAsia="仿宋" w:cs="仿宋"/>
                <w:szCs w:val="21"/>
              </w:rPr>
              <w:t>场地及项目</w:t>
            </w:r>
          </w:p>
        </w:tc>
        <w:tc>
          <w:tcPr>
            <w:tcW w:w="456" w:type="dxa"/>
            <w:noWrap w:val="0"/>
            <w:vAlign w:val="center"/>
          </w:tcPr>
          <w:p w14:paraId="20B6182C">
            <w:pPr>
              <w:pStyle w:val="4"/>
              <w:jc w:val="center"/>
              <w:rPr>
                <w:rFonts w:ascii="仿宋" w:hAnsi="仿宋" w:eastAsia="仿宋" w:cs="仿宋"/>
                <w:szCs w:val="21"/>
              </w:rPr>
            </w:pPr>
            <w:r>
              <w:rPr>
                <w:rFonts w:ascii="仿宋" w:hAnsi="仿宋" w:eastAsia="仿宋" w:cs="仿宋"/>
                <w:szCs w:val="21"/>
              </w:rPr>
              <w:t>1</w:t>
            </w:r>
          </w:p>
        </w:tc>
        <w:tc>
          <w:tcPr>
            <w:tcW w:w="5284" w:type="dxa"/>
            <w:noWrap w:val="0"/>
            <w:vAlign w:val="center"/>
          </w:tcPr>
          <w:p w14:paraId="1C0E7428">
            <w:pPr>
              <w:pStyle w:val="4"/>
              <w:jc w:val="center"/>
              <w:rPr>
                <w:rFonts w:ascii="仿宋" w:hAnsi="仿宋" w:eastAsia="仿宋" w:cs="仿宋"/>
                <w:szCs w:val="21"/>
              </w:rPr>
            </w:pPr>
            <w:r>
              <w:rPr>
                <w:rFonts w:ascii="仿宋" w:hAnsi="仿宋" w:eastAsia="仿宋" w:cs="仿宋"/>
                <w:szCs w:val="21"/>
              </w:rPr>
              <w:t>在复杂场地上建设工程安全等级为一级的建设项目。</w:t>
            </w:r>
          </w:p>
        </w:tc>
        <w:tc>
          <w:tcPr>
            <w:tcW w:w="2796" w:type="dxa"/>
            <w:noWrap w:val="0"/>
            <w:vAlign w:val="center"/>
          </w:tcPr>
          <w:p w14:paraId="02BE8F2D">
            <w:pPr>
              <w:pStyle w:val="4"/>
              <w:jc w:val="center"/>
              <w:rPr>
                <w:rFonts w:ascii="仿宋" w:hAnsi="仿宋" w:eastAsia="仿宋" w:cs="仿宋"/>
                <w:szCs w:val="21"/>
              </w:rPr>
            </w:pPr>
            <w:r>
              <w:rPr>
                <w:rFonts w:ascii="仿宋" w:hAnsi="仿宋" w:eastAsia="仿宋" w:cs="仿宋"/>
                <w:szCs w:val="21"/>
              </w:rPr>
              <w:t>拟建物安全等级为</w:t>
            </w:r>
            <w:r>
              <w:rPr>
                <w:rFonts w:hint="eastAsia" w:ascii="仿宋" w:hAnsi="仿宋" w:eastAsia="仿宋" w:cs="仿宋"/>
                <w:szCs w:val="21"/>
                <w:lang w:val="en-US" w:eastAsia="zh-CN"/>
              </w:rPr>
              <w:t>一</w:t>
            </w:r>
            <w:r>
              <w:rPr>
                <w:rFonts w:ascii="仿宋" w:hAnsi="仿宋" w:eastAsia="仿宋" w:cs="仿宋"/>
                <w:szCs w:val="21"/>
              </w:rPr>
              <w:t>级，拟建场地复杂程度为中等复杂。</w:t>
            </w:r>
          </w:p>
        </w:tc>
        <w:tc>
          <w:tcPr>
            <w:tcW w:w="1213" w:type="dxa"/>
            <w:noWrap w:val="0"/>
            <w:vAlign w:val="center"/>
          </w:tcPr>
          <w:p w14:paraId="056B05E4">
            <w:pPr>
              <w:pStyle w:val="4"/>
              <w:jc w:val="center"/>
              <w:rPr>
                <w:rFonts w:ascii="仿宋" w:hAnsi="仿宋" w:eastAsia="仿宋" w:cs="仿宋"/>
                <w:szCs w:val="21"/>
              </w:rPr>
            </w:pPr>
            <w:r>
              <w:rPr>
                <w:rFonts w:ascii="仿宋" w:hAnsi="仿宋" w:eastAsia="仿宋" w:cs="仿宋"/>
                <w:szCs w:val="21"/>
              </w:rPr>
              <w:t>不需进行</w:t>
            </w:r>
          </w:p>
          <w:p w14:paraId="21C2065D">
            <w:pPr>
              <w:pStyle w:val="4"/>
              <w:jc w:val="center"/>
              <w:rPr>
                <w:rFonts w:ascii="仿宋" w:hAnsi="仿宋" w:eastAsia="仿宋" w:cs="仿宋"/>
                <w:szCs w:val="21"/>
              </w:rPr>
            </w:pPr>
            <w:r>
              <w:rPr>
                <w:rFonts w:ascii="仿宋" w:hAnsi="仿宋" w:eastAsia="仿宋" w:cs="仿宋"/>
                <w:szCs w:val="21"/>
              </w:rPr>
              <w:t>初步勘察</w:t>
            </w:r>
          </w:p>
        </w:tc>
      </w:tr>
      <w:tr w14:paraId="3D248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restart"/>
            <w:noWrap w:val="0"/>
            <w:vAlign w:val="center"/>
          </w:tcPr>
          <w:p w14:paraId="290AF288">
            <w:pPr>
              <w:pStyle w:val="4"/>
              <w:jc w:val="center"/>
              <w:rPr>
                <w:rFonts w:ascii="仿宋" w:hAnsi="仿宋" w:eastAsia="仿宋" w:cs="仿宋"/>
                <w:szCs w:val="21"/>
              </w:rPr>
            </w:pPr>
            <w:r>
              <w:rPr>
                <w:rFonts w:ascii="仿宋" w:hAnsi="仿宋" w:eastAsia="仿宋" w:cs="仿宋"/>
                <w:szCs w:val="21"/>
              </w:rPr>
              <w:t>其他建设场地</w:t>
            </w:r>
          </w:p>
        </w:tc>
        <w:tc>
          <w:tcPr>
            <w:tcW w:w="456" w:type="dxa"/>
            <w:noWrap w:val="0"/>
            <w:vAlign w:val="center"/>
          </w:tcPr>
          <w:p w14:paraId="0258A320">
            <w:pPr>
              <w:pStyle w:val="4"/>
              <w:jc w:val="center"/>
              <w:rPr>
                <w:rFonts w:ascii="仿宋" w:hAnsi="仿宋" w:eastAsia="仿宋" w:cs="仿宋"/>
                <w:szCs w:val="21"/>
              </w:rPr>
            </w:pPr>
            <w:r>
              <w:rPr>
                <w:rFonts w:ascii="仿宋" w:hAnsi="仿宋" w:eastAsia="仿宋" w:cs="仿宋"/>
                <w:szCs w:val="21"/>
              </w:rPr>
              <w:t>1</w:t>
            </w:r>
          </w:p>
        </w:tc>
        <w:tc>
          <w:tcPr>
            <w:tcW w:w="5284" w:type="dxa"/>
            <w:noWrap w:val="0"/>
            <w:vAlign w:val="center"/>
          </w:tcPr>
          <w:p w14:paraId="65A2C1AC">
            <w:pPr>
              <w:pStyle w:val="4"/>
              <w:jc w:val="center"/>
              <w:rPr>
                <w:rFonts w:ascii="仿宋" w:hAnsi="仿宋" w:eastAsia="仿宋" w:cs="仿宋"/>
                <w:szCs w:val="21"/>
              </w:rPr>
            </w:pPr>
            <w:r>
              <w:rPr>
                <w:rFonts w:ascii="仿宋" w:hAnsi="仿宋" w:eastAsia="仿宋" w:cs="仿宋"/>
                <w:szCs w:val="21"/>
              </w:rPr>
              <w:t>危岩崩塌、滑坡、泥石流、岩溶塌陷等不良地质现象较为发育，且其影响面积占建设场地30%及以上的建设场地。</w:t>
            </w:r>
          </w:p>
        </w:tc>
        <w:tc>
          <w:tcPr>
            <w:tcW w:w="2796" w:type="dxa"/>
            <w:noWrap w:val="0"/>
            <w:vAlign w:val="center"/>
          </w:tcPr>
          <w:p w14:paraId="2120F768">
            <w:pPr>
              <w:pStyle w:val="4"/>
              <w:jc w:val="center"/>
              <w:rPr>
                <w:rFonts w:ascii="仿宋" w:hAnsi="仿宋" w:eastAsia="仿宋" w:cs="仿宋"/>
                <w:szCs w:val="21"/>
              </w:rPr>
            </w:pPr>
            <w:r>
              <w:rPr>
                <w:rFonts w:ascii="仿宋" w:hAnsi="仿宋" w:eastAsia="仿宋" w:cs="仿宋"/>
                <w:szCs w:val="21"/>
              </w:rPr>
              <w:t>无危岩崩塌、滑坡、泥石流、岩溶塌陷等不良地质现象</w:t>
            </w:r>
          </w:p>
        </w:tc>
        <w:tc>
          <w:tcPr>
            <w:tcW w:w="1213" w:type="dxa"/>
            <w:noWrap w:val="0"/>
            <w:vAlign w:val="center"/>
          </w:tcPr>
          <w:p w14:paraId="0D4F5609">
            <w:pPr>
              <w:pStyle w:val="4"/>
              <w:jc w:val="center"/>
              <w:rPr>
                <w:rFonts w:ascii="仿宋" w:hAnsi="仿宋" w:eastAsia="仿宋" w:cs="仿宋"/>
                <w:szCs w:val="21"/>
              </w:rPr>
            </w:pPr>
            <w:r>
              <w:rPr>
                <w:rFonts w:ascii="仿宋" w:hAnsi="仿宋" w:eastAsia="仿宋" w:cs="仿宋"/>
                <w:szCs w:val="21"/>
              </w:rPr>
              <w:t>不需进行</w:t>
            </w:r>
          </w:p>
          <w:p w14:paraId="14108EC1">
            <w:pPr>
              <w:pStyle w:val="4"/>
              <w:jc w:val="center"/>
              <w:rPr>
                <w:rFonts w:ascii="仿宋" w:hAnsi="仿宋" w:eastAsia="仿宋" w:cs="仿宋"/>
                <w:szCs w:val="21"/>
              </w:rPr>
            </w:pPr>
            <w:r>
              <w:rPr>
                <w:rFonts w:ascii="仿宋" w:hAnsi="仿宋" w:eastAsia="仿宋" w:cs="仿宋"/>
                <w:szCs w:val="21"/>
              </w:rPr>
              <w:t>初步勘察</w:t>
            </w:r>
          </w:p>
        </w:tc>
      </w:tr>
      <w:tr w14:paraId="7E928A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1191" w:hRule="atLeast"/>
          <w:jc w:val="center"/>
        </w:trPr>
        <w:tc>
          <w:tcPr>
            <w:tcW w:w="609" w:type="dxa"/>
            <w:vMerge w:val="continue"/>
            <w:noWrap w:val="0"/>
            <w:vAlign w:val="center"/>
          </w:tcPr>
          <w:p w14:paraId="07B53949">
            <w:pPr>
              <w:pStyle w:val="4"/>
              <w:jc w:val="center"/>
              <w:rPr>
                <w:rFonts w:ascii="仿宋" w:hAnsi="仿宋" w:eastAsia="仿宋" w:cs="仿宋"/>
                <w:szCs w:val="21"/>
              </w:rPr>
            </w:pPr>
          </w:p>
        </w:tc>
        <w:tc>
          <w:tcPr>
            <w:tcW w:w="456" w:type="dxa"/>
            <w:noWrap w:val="0"/>
            <w:vAlign w:val="center"/>
          </w:tcPr>
          <w:p w14:paraId="589DC306">
            <w:pPr>
              <w:pStyle w:val="4"/>
              <w:jc w:val="center"/>
              <w:rPr>
                <w:rFonts w:ascii="仿宋" w:hAnsi="仿宋" w:eastAsia="仿宋" w:cs="仿宋"/>
                <w:szCs w:val="21"/>
              </w:rPr>
            </w:pPr>
            <w:r>
              <w:rPr>
                <w:rFonts w:ascii="仿宋" w:hAnsi="仿宋" w:eastAsia="仿宋" w:cs="仿宋"/>
                <w:szCs w:val="21"/>
              </w:rPr>
              <w:t>2</w:t>
            </w:r>
          </w:p>
        </w:tc>
        <w:tc>
          <w:tcPr>
            <w:tcW w:w="5284" w:type="dxa"/>
            <w:noWrap w:val="0"/>
            <w:vAlign w:val="center"/>
          </w:tcPr>
          <w:p w14:paraId="5753AC34">
            <w:pPr>
              <w:pStyle w:val="4"/>
              <w:jc w:val="center"/>
              <w:rPr>
                <w:rFonts w:ascii="仿宋" w:hAnsi="仿宋" w:eastAsia="仿宋" w:cs="仿宋"/>
                <w:szCs w:val="21"/>
              </w:rPr>
            </w:pPr>
            <w:r>
              <w:rPr>
                <w:rFonts w:ascii="仿宋" w:hAnsi="仿宋" w:eastAsia="仿宋" w:cs="仿宋"/>
                <w:szCs w:val="21"/>
              </w:rPr>
              <w:t>场地地形坡角大于30°的自然土坡或地形坡角大于60°的自然岩坡，且其影响面积占建设场地50%及以上的建设场地。</w:t>
            </w:r>
          </w:p>
        </w:tc>
        <w:tc>
          <w:tcPr>
            <w:tcW w:w="2796" w:type="dxa"/>
            <w:noWrap w:val="0"/>
            <w:vAlign w:val="center"/>
          </w:tcPr>
          <w:p w14:paraId="25C9D48C">
            <w:pPr>
              <w:pStyle w:val="4"/>
              <w:jc w:val="center"/>
              <w:rPr>
                <w:rFonts w:ascii="仿宋" w:hAnsi="仿宋" w:eastAsia="仿宋" w:cs="仿宋"/>
                <w:szCs w:val="21"/>
              </w:rPr>
            </w:pPr>
            <w:r>
              <w:rPr>
                <w:rFonts w:ascii="仿宋" w:hAnsi="仿宋" w:eastAsia="仿宋" w:cs="仿宋"/>
                <w:szCs w:val="21"/>
              </w:rPr>
              <w:t>不属于该类工程</w:t>
            </w:r>
          </w:p>
        </w:tc>
        <w:tc>
          <w:tcPr>
            <w:tcW w:w="1213" w:type="dxa"/>
            <w:noWrap w:val="0"/>
            <w:vAlign w:val="center"/>
          </w:tcPr>
          <w:p w14:paraId="00B7C236">
            <w:pPr>
              <w:pStyle w:val="4"/>
              <w:jc w:val="center"/>
              <w:rPr>
                <w:rFonts w:ascii="仿宋" w:hAnsi="仿宋" w:eastAsia="仿宋" w:cs="仿宋"/>
                <w:szCs w:val="21"/>
              </w:rPr>
            </w:pPr>
            <w:r>
              <w:rPr>
                <w:rFonts w:ascii="仿宋" w:hAnsi="仿宋" w:eastAsia="仿宋" w:cs="仿宋"/>
                <w:szCs w:val="21"/>
              </w:rPr>
              <w:t>不需进行</w:t>
            </w:r>
          </w:p>
          <w:p w14:paraId="7422579E">
            <w:pPr>
              <w:pStyle w:val="4"/>
              <w:jc w:val="center"/>
              <w:rPr>
                <w:rFonts w:ascii="仿宋" w:hAnsi="仿宋" w:eastAsia="仿宋" w:cs="仿宋"/>
                <w:szCs w:val="21"/>
              </w:rPr>
            </w:pPr>
            <w:r>
              <w:rPr>
                <w:rFonts w:ascii="仿宋" w:hAnsi="仿宋" w:eastAsia="仿宋" w:cs="仿宋"/>
                <w:szCs w:val="21"/>
              </w:rPr>
              <w:t>初步勘察</w:t>
            </w:r>
          </w:p>
        </w:tc>
      </w:tr>
      <w:tr w14:paraId="6216FA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continue"/>
            <w:noWrap w:val="0"/>
            <w:vAlign w:val="center"/>
          </w:tcPr>
          <w:p w14:paraId="13DB4F63">
            <w:pPr>
              <w:pStyle w:val="4"/>
              <w:jc w:val="center"/>
              <w:rPr>
                <w:rFonts w:ascii="仿宋" w:hAnsi="仿宋" w:eastAsia="仿宋" w:cs="仿宋"/>
                <w:szCs w:val="21"/>
              </w:rPr>
            </w:pPr>
          </w:p>
        </w:tc>
        <w:tc>
          <w:tcPr>
            <w:tcW w:w="456" w:type="dxa"/>
            <w:noWrap w:val="0"/>
            <w:vAlign w:val="center"/>
          </w:tcPr>
          <w:p w14:paraId="2A486C84">
            <w:pPr>
              <w:pStyle w:val="4"/>
              <w:jc w:val="center"/>
              <w:rPr>
                <w:rFonts w:ascii="仿宋" w:hAnsi="仿宋" w:eastAsia="仿宋" w:cs="仿宋"/>
                <w:szCs w:val="21"/>
              </w:rPr>
            </w:pPr>
            <w:r>
              <w:rPr>
                <w:rFonts w:ascii="仿宋" w:hAnsi="仿宋" w:eastAsia="仿宋" w:cs="仿宋"/>
                <w:szCs w:val="21"/>
              </w:rPr>
              <w:t>3</w:t>
            </w:r>
          </w:p>
        </w:tc>
        <w:tc>
          <w:tcPr>
            <w:tcW w:w="5284" w:type="dxa"/>
            <w:noWrap w:val="0"/>
            <w:vAlign w:val="center"/>
          </w:tcPr>
          <w:p w14:paraId="62912E94">
            <w:pPr>
              <w:pStyle w:val="4"/>
              <w:jc w:val="center"/>
              <w:rPr>
                <w:rFonts w:ascii="仿宋" w:hAnsi="仿宋" w:eastAsia="仿宋" w:cs="仿宋"/>
                <w:szCs w:val="21"/>
              </w:rPr>
            </w:pPr>
            <w:r>
              <w:rPr>
                <w:rFonts w:ascii="仿宋" w:hAnsi="仿宋" w:eastAsia="仿宋" w:cs="仿宋"/>
                <w:szCs w:val="21"/>
              </w:rPr>
              <w:t>三峡库区175m蓄水位（吴淞高程）岸线外侧水平距离100米范围内的建设场地。</w:t>
            </w:r>
          </w:p>
        </w:tc>
        <w:tc>
          <w:tcPr>
            <w:tcW w:w="2796" w:type="dxa"/>
            <w:noWrap w:val="0"/>
            <w:vAlign w:val="center"/>
          </w:tcPr>
          <w:p w14:paraId="1BBFDE1D">
            <w:pPr>
              <w:pStyle w:val="4"/>
              <w:jc w:val="center"/>
              <w:rPr>
                <w:rFonts w:ascii="仿宋" w:hAnsi="仿宋" w:eastAsia="仿宋" w:cs="仿宋"/>
                <w:szCs w:val="21"/>
              </w:rPr>
            </w:pPr>
            <w:r>
              <w:rPr>
                <w:rFonts w:ascii="仿宋" w:hAnsi="仿宋" w:eastAsia="仿宋" w:cs="仿宋"/>
                <w:szCs w:val="21"/>
              </w:rPr>
              <w:t>不属于长江三峡库区范围</w:t>
            </w:r>
          </w:p>
        </w:tc>
        <w:tc>
          <w:tcPr>
            <w:tcW w:w="1213" w:type="dxa"/>
            <w:noWrap w:val="0"/>
            <w:vAlign w:val="center"/>
          </w:tcPr>
          <w:p w14:paraId="70B601C5">
            <w:pPr>
              <w:pStyle w:val="4"/>
              <w:jc w:val="center"/>
              <w:rPr>
                <w:rFonts w:ascii="仿宋" w:hAnsi="仿宋" w:eastAsia="仿宋" w:cs="仿宋"/>
                <w:szCs w:val="21"/>
              </w:rPr>
            </w:pPr>
            <w:r>
              <w:rPr>
                <w:rFonts w:ascii="仿宋" w:hAnsi="仿宋" w:eastAsia="仿宋" w:cs="仿宋"/>
                <w:szCs w:val="21"/>
              </w:rPr>
              <w:t>不需进行</w:t>
            </w:r>
          </w:p>
          <w:p w14:paraId="63CA5223">
            <w:pPr>
              <w:pStyle w:val="4"/>
              <w:jc w:val="center"/>
              <w:rPr>
                <w:rFonts w:ascii="仿宋" w:hAnsi="仿宋" w:eastAsia="仿宋" w:cs="仿宋"/>
                <w:szCs w:val="21"/>
              </w:rPr>
            </w:pPr>
            <w:r>
              <w:rPr>
                <w:rFonts w:ascii="仿宋" w:hAnsi="仿宋" w:eastAsia="仿宋" w:cs="仿宋"/>
                <w:szCs w:val="21"/>
              </w:rPr>
              <w:t>初步勘察</w:t>
            </w:r>
          </w:p>
        </w:tc>
      </w:tr>
      <w:tr w14:paraId="15F8C8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continue"/>
            <w:noWrap w:val="0"/>
            <w:vAlign w:val="center"/>
          </w:tcPr>
          <w:p w14:paraId="543DEBCA">
            <w:pPr>
              <w:pStyle w:val="4"/>
              <w:jc w:val="center"/>
              <w:rPr>
                <w:rFonts w:ascii="仿宋" w:hAnsi="仿宋" w:eastAsia="仿宋" w:cs="仿宋"/>
                <w:szCs w:val="21"/>
              </w:rPr>
            </w:pPr>
          </w:p>
        </w:tc>
        <w:tc>
          <w:tcPr>
            <w:tcW w:w="456" w:type="dxa"/>
            <w:noWrap w:val="0"/>
            <w:vAlign w:val="center"/>
          </w:tcPr>
          <w:p w14:paraId="21AAF00E">
            <w:pPr>
              <w:pStyle w:val="4"/>
              <w:jc w:val="center"/>
              <w:rPr>
                <w:rFonts w:ascii="仿宋" w:hAnsi="仿宋" w:eastAsia="仿宋" w:cs="仿宋"/>
                <w:szCs w:val="21"/>
              </w:rPr>
            </w:pPr>
            <w:r>
              <w:rPr>
                <w:rFonts w:ascii="仿宋" w:hAnsi="仿宋" w:eastAsia="仿宋" w:cs="仿宋"/>
                <w:szCs w:val="21"/>
              </w:rPr>
              <w:t>4</w:t>
            </w:r>
          </w:p>
        </w:tc>
        <w:tc>
          <w:tcPr>
            <w:tcW w:w="5284" w:type="dxa"/>
            <w:noWrap w:val="0"/>
            <w:vAlign w:val="center"/>
          </w:tcPr>
          <w:p w14:paraId="58952C8C">
            <w:pPr>
              <w:pStyle w:val="4"/>
              <w:jc w:val="center"/>
              <w:rPr>
                <w:rFonts w:ascii="仿宋" w:hAnsi="仿宋" w:eastAsia="仿宋" w:cs="仿宋"/>
                <w:szCs w:val="21"/>
              </w:rPr>
            </w:pPr>
            <w:r>
              <w:rPr>
                <w:rFonts w:ascii="仿宋" w:hAnsi="仿宋" w:eastAsia="仿宋" w:cs="仿宋"/>
                <w:szCs w:val="21"/>
              </w:rPr>
              <w:t>存在矿产采空区或地下洞室，且采空区或地下洞顶距离拟建工程最底面小于2倍洞跨的建设场地。</w:t>
            </w:r>
          </w:p>
        </w:tc>
        <w:tc>
          <w:tcPr>
            <w:tcW w:w="2796" w:type="dxa"/>
            <w:noWrap w:val="0"/>
            <w:vAlign w:val="center"/>
          </w:tcPr>
          <w:p w14:paraId="77347919">
            <w:pPr>
              <w:pStyle w:val="4"/>
              <w:jc w:val="center"/>
              <w:rPr>
                <w:rFonts w:ascii="仿宋" w:hAnsi="仿宋" w:eastAsia="仿宋" w:cs="仿宋"/>
                <w:szCs w:val="21"/>
              </w:rPr>
            </w:pPr>
            <w:r>
              <w:rPr>
                <w:rFonts w:ascii="仿宋" w:hAnsi="仿宋" w:eastAsia="仿宋" w:cs="仿宋"/>
                <w:szCs w:val="21"/>
              </w:rPr>
              <w:t>不存在矿产采空区</w:t>
            </w:r>
          </w:p>
          <w:p w14:paraId="7E109B78">
            <w:pPr>
              <w:pStyle w:val="4"/>
              <w:jc w:val="center"/>
              <w:rPr>
                <w:rFonts w:ascii="仿宋" w:hAnsi="仿宋" w:eastAsia="仿宋" w:cs="仿宋"/>
                <w:szCs w:val="21"/>
              </w:rPr>
            </w:pPr>
            <w:r>
              <w:rPr>
                <w:rFonts w:ascii="仿宋" w:hAnsi="仿宋" w:eastAsia="仿宋" w:cs="仿宋"/>
                <w:szCs w:val="21"/>
              </w:rPr>
              <w:t>或地下洞室</w:t>
            </w:r>
          </w:p>
        </w:tc>
        <w:tc>
          <w:tcPr>
            <w:tcW w:w="1213" w:type="dxa"/>
            <w:noWrap w:val="0"/>
            <w:vAlign w:val="center"/>
          </w:tcPr>
          <w:p w14:paraId="0A057A20">
            <w:pPr>
              <w:pStyle w:val="4"/>
              <w:jc w:val="center"/>
              <w:rPr>
                <w:rFonts w:ascii="仿宋" w:hAnsi="仿宋" w:eastAsia="仿宋" w:cs="仿宋"/>
                <w:szCs w:val="21"/>
              </w:rPr>
            </w:pPr>
            <w:r>
              <w:rPr>
                <w:rFonts w:ascii="仿宋" w:hAnsi="仿宋" w:eastAsia="仿宋" w:cs="仿宋"/>
                <w:szCs w:val="21"/>
              </w:rPr>
              <w:t>不需进行</w:t>
            </w:r>
          </w:p>
          <w:p w14:paraId="681C4CB2">
            <w:pPr>
              <w:pStyle w:val="4"/>
              <w:jc w:val="center"/>
              <w:rPr>
                <w:rFonts w:ascii="仿宋" w:hAnsi="仿宋" w:eastAsia="仿宋" w:cs="仿宋"/>
                <w:szCs w:val="21"/>
              </w:rPr>
            </w:pPr>
            <w:r>
              <w:rPr>
                <w:rFonts w:ascii="仿宋" w:hAnsi="仿宋" w:eastAsia="仿宋" w:cs="仿宋"/>
                <w:szCs w:val="21"/>
              </w:rPr>
              <w:t>初步勘察</w:t>
            </w:r>
          </w:p>
        </w:tc>
      </w:tr>
      <w:tr w14:paraId="4DADBD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restart"/>
            <w:noWrap w:val="0"/>
            <w:vAlign w:val="center"/>
          </w:tcPr>
          <w:p w14:paraId="06F6F29E">
            <w:pPr>
              <w:pStyle w:val="4"/>
              <w:jc w:val="center"/>
              <w:rPr>
                <w:rFonts w:ascii="仿宋" w:hAnsi="仿宋" w:eastAsia="仿宋" w:cs="仿宋"/>
                <w:szCs w:val="21"/>
              </w:rPr>
            </w:pPr>
            <w:r>
              <w:rPr>
                <w:rFonts w:ascii="仿宋" w:hAnsi="仿宋" w:eastAsia="仿宋" w:cs="仿宋"/>
                <w:szCs w:val="21"/>
              </w:rPr>
              <w:t>其他建设项目</w:t>
            </w:r>
          </w:p>
        </w:tc>
        <w:tc>
          <w:tcPr>
            <w:tcW w:w="456" w:type="dxa"/>
            <w:noWrap w:val="0"/>
            <w:vAlign w:val="center"/>
          </w:tcPr>
          <w:p w14:paraId="2A9BD511">
            <w:pPr>
              <w:pStyle w:val="4"/>
              <w:jc w:val="center"/>
              <w:rPr>
                <w:rFonts w:ascii="仿宋" w:hAnsi="仿宋" w:eastAsia="仿宋" w:cs="仿宋"/>
                <w:szCs w:val="21"/>
              </w:rPr>
            </w:pPr>
            <w:r>
              <w:rPr>
                <w:rFonts w:ascii="仿宋" w:hAnsi="仿宋" w:eastAsia="仿宋" w:cs="仿宋"/>
                <w:szCs w:val="21"/>
              </w:rPr>
              <w:t>1</w:t>
            </w:r>
          </w:p>
        </w:tc>
        <w:tc>
          <w:tcPr>
            <w:tcW w:w="5284" w:type="dxa"/>
            <w:noWrap w:val="0"/>
            <w:vAlign w:val="center"/>
          </w:tcPr>
          <w:p w14:paraId="43A96078">
            <w:pPr>
              <w:pStyle w:val="4"/>
              <w:jc w:val="center"/>
              <w:rPr>
                <w:rFonts w:ascii="仿宋" w:hAnsi="仿宋" w:eastAsia="仿宋" w:cs="仿宋"/>
                <w:szCs w:val="21"/>
              </w:rPr>
            </w:pPr>
            <w:r>
              <w:rPr>
                <w:rFonts w:ascii="仿宋" w:hAnsi="仿宋" w:eastAsia="仿宋" w:cs="仿宋"/>
                <w:szCs w:val="21"/>
              </w:rPr>
              <w:t>总建筑规模大于50万</w:t>
            </w:r>
            <w:r>
              <w:rPr>
                <w:rFonts w:ascii="仿宋" w:hAnsi="仿宋" w:eastAsia="仿宋" w:cs="仿宋"/>
              </w:rPr>
              <w:t>m</w:t>
            </w:r>
            <w:r>
              <w:rPr>
                <w:rFonts w:ascii="仿宋" w:hAnsi="仿宋" w:eastAsia="仿宋" w:cs="仿宋"/>
                <w:vertAlign w:val="superscript"/>
              </w:rPr>
              <w:t>2</w:t>
            </w:r>
            <w:r>
              <w:rPr>
                <w:rFonts w:ascii="仿宋" w:hAnsi="仿宋" w:eastAsia="仿宋" w:cs="仿宋"/>
                <w:szCs w:val="21"/>
              </w:rPr>
              <w:t>且高层建筑规模占总建筑规模的比例超过70%的大型住宅小区。</w:t>
            </w:r>
          </w:p>
        </w:tc>
        <w:tc>
          <w:tcPr>
            <w:tcW w:w="2796" w:type="dxa"/>
            <w:noWrap w:val="0"/>
            <w:vAlign w:val="center"/>
          </w:tcPr>
          <w:p w14:paraId="1B94B6D6">
            <w:pPr>
              <w:pStyle w:val="4"/>
              <w:jc w:val="center"/>
              <w:rPr>
                <w:rFonts w:ascii="仿宋" w:hAnsi="仿宋" w:eastAsia="仿宋" w:cs="仿宋"/>
                <w:szCs w:val="21"/>
              </w:rPr>
            </w:pPr>
            <w:r>
              <w:rPr>
                <w:rFonts w:ascii="仿宋" w:hAnsi="仿宋" w:eastAsia="仿宋" w:cs="仿宋"/>
                <w:szCs w:val="21"/>
              </w:rPr>
              <w:t>不属于该类工程</w:t>
            </w:r>
          </w:p>
        </w:tc>
        <w:tc>
          <w:tcPr>
            <w:tcW w:w="1213" w:type="dxa"/>
            <w:noWrap w:val="0"/>
            <w:vAlign w:val="center"/>
          </w:tcPr>
          <w:p w14:paraId="0659EBE9">
            <w:pPr>
              <w:pStyle w:val="4"/>
              <w:jc w:val="center"/>
              <w:rPr>
                <w:rFonts w:ascii="仿宋" w:hAnsi="仿宋" w:eastAsia="仿宋" w:cs="仿宋"/>
                <w:szCs w:val="21"/>
              </w:rPr>
            </w:pPr>
            <w:r>
              <w:rPr>
                <w:rFonts w:ascii="仿宋" w:hAnsi="仿宋" w:eastAsia="仿宋" w:cs="仿宋"/>
                <w:szCs w:val="21"/>
              </w:rPr>
              <w:t>不需进行</w:t>
            </w:r>
          </w:p>
          <w:p w14:paraId="271A3E27">
            <w:pPr>
              <w:pStyle w:val="4"/>
              <w:jc w:val="center"/>
              <w:rPr>
                <w:rFonts w:ascii="仿宋" w:hAnsi="仿宋" w:eastAsia="仿宋" w:cs="仿宋"/>
                <w:szCs w:val="21"/>
              </w:rPr>
            </w:pPr>
            <w:r>
              <w:rPr>
                <w:rFonts w:ascii="仿宋" w:hAnsi="仿宋" w:eastAsia="仿宋" w:cs="仿宋"/>
                <w:szCs w:val="21"/>
              </w:rPr>
              <w:t>初步勘察</w:t>
            </w:r>
          </w:p>
        </w:tc>
      </w:tr>
      <w:tr w14:paraId="74718D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continue"/>
            <w:noWrap w:val="0"/>
            <w:vAlign w:val="center"/>
          </w:tcPr>
          <w:p w14:paraId="3E65EE2C">
            <w:pPr>
              <w:pStyle w:val="4"/>
              <w:jc w:val="center"/>
              <w:rPr>
                <w:rFonts w:ascii="仿宋" w:hAnsi="仿宋" w:eastAsia="仿宋" w:cs="仿宋"/>
                <w:szCs w:val="21"/>
              </w:rPr>
            </w:pPr>
          </w:p>
        </w:tc>
        <w:tc>
          <w:tcPr>
            <w:tcW w:w="456" w:type="dxa"/>
            <w:noWrap w:val="0"/>
            <w:vAlign w:val="center"/>
          </w:tcPr>
          <w:p w14:paraId="4BBBC9B8">
            <w:pPr>
              <w:pStyle w:val="4"/>
              <w:jc w:val="center"/>
              <w:rPr>
                <w:rFonts w:ascii="仿宋" w:hAnsi="仿宋" w:eastAsia="仿宋" w:cs="仿宋"/>
                <w:szCs w:val="21"/>
              </w:rPr>
            </w:pPr>
            <w:r>
              <w:rPr>
                <w:rFonts w:ascii="仿宋" w:hAnsi="仿宋" w:eastAsia="仿宋" w:cs="仿宋"/>
                <w:szCs w:val="21"/>
              </w:rPr>
              <w:t>2</w:t>
            </w:r>
          </w:p>
        </w:tc>
        <w:tc>
          <w:tcPr>
            <w:tcW w:w="5284" w:type="dxa"/>
            <w:noWrap w:val="0"/>
            <w:vAlign w:val="center"/>
          </w:tcPr>
          <w:p w14:paraId="183B109E">
            <w:pPr>
              <w:pStyle w:val="4"/>
              <w:jc w:val="center"/>
              <w:rPr>
                <w:rFonts w:ascii="仿宋" w:hAnsi="仿宋" w:eastAsia="仿宋" w:cs="仿宋"/>
                <w:szCs w:val="21"/>
              </w:rPr>
            </w:pPr>
            <w:r>
              <w:rPr>
                <w:rFonts w:ascii="仿宋" w:hAnsi="仿宋" w:eastAsia="仿宋" w:cs="仿宋"/>
                <w:szCs w:val="21"/>
              </w:rPr>
              <w:t>建筑高度大于200m的超高层建筑。</w:t>
            </w:r>
          </w:p>
        </w:tc>
        <w:tc>
          <w:tcPr>
            <w:tcW w:w="2796" w:type="dxa"/>
            <w:noWrap w:val="0"/>
            <w:vAlign w:val="center"/>
          </w:tcPr>
          <w:p w14:paraId="2DBEC15D">
            <w:pPr>
              <w:pStyle w:val="4"/>
              <w:jc w:val="center"/>
              <w:rPr>
                <w:rFonts w:ascii="仿宋" w:hAnsi="仿宋" w:eastAsia="仿宋" w:cs="仿宋"/>
                <w:szCs w:val="21"/>
              </w:rPr>
            </w:pPr>
            <w:r>
              <w:rPr>
                <w:rFonts w:ascii="仿宋" w:hAnsi="仿宋" w:eastAsia="仿宋" w:cs="仿宋"/>
                <w:szCs w:val="21"/>
              </w:rPr>
              <w:t>不属于该类工程</w:t>
            </w:r>
          </w:p>
        </w:tc>
        <w:tc>
          <w:tcPr>
            <w:tcW w:w="1213" w:type="dxa"/>
            <w:noWrap w:val="0"/>
            <w:vAlign w:val="center"/>
          </w:tcPr>
          <w:p w14:paraId="7378A5A9">
            <w:pPr>
              <w:pStyle w:val="4"/>
              <w:jc w:val="center"/>
              <w:rPr>
                <w:rFonts w:ascii="仿宋" w:hAnsi="仿宋" w:eastAsia="仿宋" w:cs="仿宋"/>
                <w:szCs w:val="21"/>
              </w:rPr>
            </w:pPr>
            <w:r>
              <w:rPr>
                <w:rFonts w:ascii="仿宋" w:hAnsi="仿宋" w:eastAsia="仿宋" w:cs="仿宋"/>
                <w:szCs w:val="21"/>
              </w:rPr>
              <w:t>不需进行</w:t>
            </w:r>
          </w:p>
          <w:p w14:paraId="6B7EA7BD">
            <w:pPr>
              <w:pStyle w:val="4"/>
              <w:jc w:val="center"/>
              <w:rPr>
                <w:rFonts w:ascii="仿宋" w:hAnsi="仿宋" w:eastAsia="仿宋" w:cs="仿宋"/>
                <w:szCs w:val="21"/>
              </w:rPr>
            </w:pPr>
            <w:r>
              <w:rPr>
                <w:rFonts w:ascii="仿宋" w:hAnsi="仿宋" w:eastAsia="仿宋" w:cs="仿宋"/>
                <w:szCs w:val="21"/>
              </w:rPr>
              <w:t>初步勘察</w:t>
            </w:r>
          </w:p>
        </w:tc>
      </w:tr>
      <w:tr w14:paraId="229959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continue"/>
            <w:noWrap w:val="0"/>
            <w:vAlign w:val="center"/>
          </w:tcPr>
          <w:p w14:paraId="5EC0118A">
            <w:pPr>
              <w:pStyle w:val="4"/>
              <w:jc w:val="center"/>
              <w:rPr>
                <w:rFonts w:ascii="仿宋" w:hAnsi="仿宋" w:eastAsia="仿宋" w:cs="仿宋"/>
                <w:szCs w:val="21"/>
              </w:rPr>
            </w:pPr>
          </w:p>
        </w:tc>
        <w:tc>
          <w:tcPr>
            <w:tcW w:w="456" w:type="dxa"/>
            <w:noWrap w:val="0"/>
            <w:vAlign w:val="center"/>
          </w:tcPr>
          <w:p w14:paraId="6DC409A5">
            <w:pPr>
              <w:pStyle w:val="4"/>
              <w:jc w:val="center"/>
              <w:rPr>
                <w:rFonts w:ascii="仿宋" w:hAnsi="仿宋" w:eastAsia="仿宋" w:cs="仿宋"/>
                <w:szCs w:val="21"/>
              </w:rPr>
            </w:pPr>
            <w:r>
              <w:rPr>
                <w:rFonts w:ascii="仿宋" w:hAnsi="仿宋" w:eastAsia="仿宋" w:cs="仿宋"/>
                <w:szCs w:val="21"/>
              </w:rPr>
              <w:t>3</w:t>
            </w:r>
          </w:p>
        </w:tc>
        <w:tc>
          <w:tcPr>
            <w:tcW w:w="5284" w:type="dxa"/>
            <w:noWrap w:val="0"/>
            <w:vAlign w:val="center"/>
          </w:tcPr>
          <w:p w14:paraId="12CA8755">
            <w:pPr>
              <w:pStyle w:val="4"/>
              <w:jc w:val="center"/>
              <w:rPr>
                <w:rFonts w:ascii="仿宋" w:hAnsi="仿宋" w:eastAsia="仿宋" w:cs="仿宋"/>
                <w:szCs w:val="21"/>
              </w:rPr>
            </w:pPr>
            <w:r>
              <w:rPr>
                <w:rFonts w:ascii="仿宋" w:hAnsi="仿宋" w:eastAsia="仿宋" w:cs="仿宋"/>
                <w:szCs w:val="21"/>
              </w:rPr>
              <w:t>总建筑面积超过10000</w:t>
            </w:r>
            <w:r>
              <w:rPr>
                <w:rFonts w:ascii="仿宋" w:hAnsi="仿宋" w:eastAsia="仿宋" w:cs="仿宋"/>
              </w:rPr>
              <w:t>m</w:t>
            </w:r>
            <w:r>
              <w:rPr>
                <w:rFonts w:ascii="仿宋" w:hAnsi="仿宋" w:eastAsia="仿宋" w:cs="仿宋"/>
                <w:vertAlign w:val="superscript"/>
              </w:rPr>
              <w:t>2</w:t>
            </w:r>
            <w:r>
              <w:rPr>
                <w:rFonts w:ascii="仿宋" w:hAnsi="仿宋" w:eastAsia="仿宋" w:cs="仿宋"/>
                <w:szCs w:val="21"/>
              </w:rPr>
              <w:t>的城市轨道交通地下车站或长度大于500米的隧道。</w:t>
            </w:r>
          </w:p>
        </w:tc>
        <w:tc>
          <w:tcPr>
            <w:tcW w:w="2796" w:type="dxa"/>
            <w:noWrap w:val="0"/>
            <w:vAlign w:val="center"/>
          </w:tcPr>
          <w:p w14:paraId="171718A2">
            <w:pPr>
              <w:pStyle w:val="4"/>
              <w:jc w:val="center"/>
              <w:rPr>
                <w:rFonts w:ascii="仿宋" w:hAnsi="仿宋" w:eastAsia="仿宋" w:cs="仿宋"/>
                <w:szCs w:val="21"/>
              </w:rPr>
            </w:pPr>
            <w:r>
              <w:rPr>
                <w:rFonts w:ascii="仿宋" w:hAnsi="仿宋" w:eastAsia="仿宋" w:cs="仿宋"/>
                <w:szCs w:val="21"/>
              </w:rPr>
              <w:t>不属于该类工程</w:t>
            </w:r>
          </w:p>
        </w:tc>
        <w:tc>
          <w:tcPr>
            <w:tcW w:w="1213" w:type="dxa"/>
            <w:noWrap w:val="0"/>
            <w:vAlign w:val="center"/>
          </w:tcPr>
          <w:p w14:paraId="63FCE3D8">
            <w:pPr>
              <w:pStyle w:val="4"/>
              <w:jc w:val="center"/>
              <w:rPr>
                <w:rFonts w:ascii="仿宋" w:hAnsi="仿宋" w:eastAsia="仿宋" w:cs="仿宋"/>
                <w:szCs w:val="21"/>
              </w:rPr>
            </w:pPr>
            <w:r>
              <w:rPr>
                <w:rFonts w:ascii="仿宋" w:hAnsi="仿宋" w:eastAsia="仿宋" w:cs="仿宋"/>
                <w:szCs w:val="21"/>
              </w:rPr>
              <w:t>不需进行</w:t>
            </w:r>
          </w:p>
          <w:p w14:paraId="15FC84EC">
            <w:pPr>
              <w:pStyle w:val="4"/>
              <w:jc w:val="center"/>
              <w:rPr>
                <w:rFonts w:ascii="仿宋" w:hAnsi="仿宋" w:eastAsia="仿宋" w:cs="仿宋"/>
                <w:szCs w:val="21"/>
              </w:rPr>
            </w:pPr>
            <w:r>
              <w:rPr>
                <w:rFonts w:ascii="仿宋" w:hAnsi="仿宋" w:eastAsia="仿宋" w:cs="仿宋"/>
                <w:szCs w:val="21"/>
              </w:rPr>
              <w:t>初步勘察</w:t>
            </w:r>
          </w:p>
        </w:tc>
      </w:tr>
      <w:tr w14:paraId="483F89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609" w:type="dxa"/>
            <w:vMerge w:val="continue"/>
            <w:noWrap w:val="0"/>
            <w:vAlign w:val="center"/>
          </w:tcPr>
          <w:p w14:paraId="74998976">
            <w:pPr>
              <w:pStyle w:val="4"/>
              <w:jc w:val="center"/>
              <w:rPr>
                <w:rFonts w:ascii="仿宋" w:hAnsi="仿宋" w:eastAsia="仿宋" w:cs="仿宋"/>
                <w:szCs w:val="21"/>
              </w:rPr>
            </w:pPr>
          </w:p>
        </w:tc>
        <w:tc>
          <w:tcPr>
            <w:tcW w:w="456" w:type="dxa"/>
            <w:noWrap w:val="0"/>
            <w:vAlign w:val="center"/>
          </w:tcPr>
          <w:p w14:paraId="3AFC296D">
            <w:pPr>
              <w:pStyle w:val="4"/>
              <w:jc w:val="center"/>
              <w:rPr>
                <w:rFonts w:ascii="仿宋" w:hAnsi="仿宋" w:eastAsia="仿宋" w:cs="仿宋"/>
                <w:szCs w:val="21"/>
              </w:rPr>
            </w:pPr>
            <w:r>
              <w:rPr>
                <w:rFonts w:ascii="仿宋" w:hAnsi="仿宋" w:eastAsia="仿宋" w:cs="仿宋"/>
                <w:szCs w:val="21"/>
              </w:rPr>
              <w:t>4</w:t>
            </w:r>
          </w:p>
        </w:tc>
        <w:tc>
          <w:tcPr>
            <w:tcW w:w="5284" w:type="dxa"/>
            <w:noWrap w:val="0"/>
            <w:vAlign w:val="center"/>
          </w:tcPr>
          <w:p w14:paraId="5052DF38">
            <w:pPr>
              <w:pStyle w:val="4"/>
              <w:jc w:val="center"/>
              <w:rPr>
                <w:rFonts w:ascii="仿宋" w:hAnsi="仿宋" w:eastAsia="仿宋" w:cs="仿宋"/>
                <w:szCs w:val="21"/>
              </w:rPr>
            </w:pPr>
            <w:r>
              <w:rPr>
                <w:rFonts w:ascii="仿宋" w:hAnsi="仿宋" w:eastAsia="仿宋" w:cs="仿宋"/>
                <w:szCs w:val="21"/>
              </w:rPr>
              <w:t>主跨跨径150m及以上的斜拉桥、悬索桥等缆索承重桥梁以及拱桥，立体交叉线路为3层及3层以上（不计地面道路及地道）的大型互通立交桥梁。</w:t>
            </w:r>
          </w:p>
        </w:tc>
        <w:tc>
          <w:tcPr>
            <w:tcW w:w="2796" w:type="dxa"/>
            <w:noWrap w:val="0"/>
            <w:vAlign w:val="center"/>
          </w:tcPr>
          <w:p w14:paraId="3C14F7DF">
            <w:pPr>
              <w:pStyle w:val="4"/>
              <w:jc w:val="center"/>
              <w:rPr>
                <w:rFonts w:ascii="仿宋" w:hAnsi="仿宋" w:eastAsia="仿宋" w:cs="仿宋"/>
                <w:szCs w:val="21"/>
              </w:rPr>
            </w:pPr>
            <w:r>
              <w:rPr>
                <w:rFonts w:ascii="仿宋" w:hAnsi="仿宋" w:eastAsia="仿宋" w:cs="仿宋"/>
                <w:szCs w:val="21"/>
              </w:rPr>
              <w:t>不属于该类工程</w:t>
            </w:r>
          </w:p>
        </w:tc>
        <w:tc>
          <w:tcPr>
            <w:tcW w:w="1213" w:type="dxa"/>
            <w:noWrap w:val="0"/>
            <w:vAlign w:val="center"/>
          </w:tcPr>
          <w:p w14:paraId="4A83FDA7">
            <w:pPr>
              <w:pStyle w:val="4"/>
              <w:jc w:val="center"/>
              <w:rPr>
                <w:rFonts w:ascii="仿宋" w:hAnsi="仿宋" w:eastAsia="仿宋" w:cs="仿宋"/>
                <w:szCs w:val="21"/>
              </w:rPr>
            </w:pPr>
            <w:r>
              <w:rPr>
                <w:rFonts w:ascii="仿宋" w:hAnsi="仿宋" w:eastAsia="仿宋" w:cs="仿宋"/>
                <w:szCs w:val="21"/>
              </w:rPr>
              <w:t>不需进行</w:t>
            </w:r>
          </w:p>
          <w:p w14:paraId="5F243E0D">
            <w:pPr>
              <w:pStyle w:val="4"/>
              <w:jc w:val="center"/>
              <w:rPr>
                <w:rFonts w:ascii="仿宋" w:hAnsi="仿宋" w:eastAsia="仿宋" w:cs="仿宋"/>
                <w:szCs w:val="21"/>
              </w:rPr>
            </w:pPr>
            <w:r>
              <w:rPr>
                <w:rFonts w:ascii="仿宋" w:hAnsi="仿宋" w:eastAsia="仿宋" w:cs="仿宋"/>
                <w:szCs w:val="21"/>
              </w:rPr>
              <w:t>初步勘察</w:t>
            </w:r>
          </w:p>
        </w:tc>
      </w:tr>
    </w:tbl>
    <w:p w14:paraId="24913AE0">
      <w:pPr>
        <w:widowControl/>
        <w:snapToGrid w:val="0"/>
        <w:rPr>
          <w:rFonts w:hint="eastAsia" w:ascii="仿宋" w:hAnsi="仿宋" w:eastAsia="仿宋" w:cs="仿宋"/>
          <w:b/>
          <w:kern w:val="0"/>
          <w:sz w:val="24"/>
        </w:rPr>
      </w:pPr>
    </w:p>
    <w:p w14:paraId="22BB8063">
      <w:pPr>
        <w:widowControl/>
        <w:snapToGrid w:val="0"/>
        <w:rPr>
          <w:rFonts w:hint="eastAsia" w:ascii="仿宋" w:hAnsi="仿宋" w:eastAsia="仿宋" w:cs="仿宋"/>
          <w:b/>
          <w:kern w:val="0"/>
          <w:sz w:val="24"/>
        </w:rPr>
      </w:pPr>
    </w:p>
    <w:p w14:paraId="4FA0B574">
      <w:pPr>
        <w:widowControl/>
        <w:snapToGrid w:val="0"/>
        <w:rPr>
          <w:rFonts w:hint="eastAsia" w:ascii="仿宋" w:hAnsi="仿宋" w:eastAsia="仿宋" w:cs="仿宋"/>
          <w:b/>
          <w:kern w:val="0"/>
          <w:sz w:val="24"/>
        </w:rPr>
      </w:pPr>
    </w:p>
    <w:p w14:paraId="4611BB89">
      <w:pPr>
        <w:widowControl/>
        <w:snapToGrid w:val="0"/>
        <w:rPr>
          <w:rFonts w:hint="eastAsia" w:ascii="仿宋" w:hAnsi="仿宋" w:eastAsia="仿宋" w:cs="仿宋"/>
          <w:b/>
          <w:kern w:val="0"/>
          <w:sz w:val="24"/>
        </w:rPr>
      </w:pPr>
    </w:p>
    <w:p w14:paraId="0EF4A6E4">
      <w:pPr>
        <w:widowControl/>
        <w:snapToGrid w:val="0"/>
        <w:rPr>
          <w:rFonts w:hint="eastAsia" w:ascii="仿宋" w:hAnsi="仿宋" w:eastAsia="仿宋" w:cs="仿宋"/>
          <w:b/>
          <w:kern w:val="0"/>
          <w:sz w:val="24"/>
        </w:rPr>
      </w:pPr>
    </w:p>
    <w:p w14:paraId="0C5E08AB">
      <w:pPr>
        <w:widowControl/>
        <w:snapToGrid w:val="0"/>
        <w:rPr>
          <w:rFonts w:hint="eastAsia" w:ascii="仿宋" w:hAnsi="仿宋" w:eastAsia="仿宋" w:cs="仿宋"/>
          <w:b/>
          <w:kern w:val="0"/>
          <w:sz w:val="24"/>
        </w:rPr>
      </w:pPr>
    </w:p>
    <w:p w14:paraId="510F359A">
      <w:pPr>
        <w:widowControl/>
        <w:snapToGrid w:val="0"/>
        <w:rPr>
          <w:rFonts w:hint="eastAsia" w:ascii="仿宋" w:hAnsi="仿宋" w:eastAsia="仿宋" w:cs="仿宋"/>
          <w:b/>
          <w:kern w:val="0"/>
          <w:sz w:val="24"/>
        </w:rPr>
      </w:pPr>
    </w:p>
    <w:p w14:paraId="4729AAD4">
      <w:pPr>
        <w:widowControl/>
        <w:snapToGrid w:val="0"/>
        <w:rPr>
          <w:rFonts w:hint="eastAsia" w:ascii="仿宋" w:hAnsi="仿宋" w:eastAsia="仿宋" w:cs="仿宋"/>
          <w:b/>
          <w:kern w:val="0"/>
          <w:sz w:val="24"/>
        </w:rPr>
      </w:pPr>
    </w:p>
    <w:p w14:paraId="48B86F1B">
      <w:pPr>
        <w:widowControl/>
        <w:snapToGrid w:val="0"/>
        <w:rPr>
          <w:rFonts w:hint="eastAsia" w:ascii="仿宋" w:hAnsi="仿宋" w:eastAsia="仿宋" w:cs="仿宋"/>
          <w:b/>
          <w:kern w:val="0"/>
          <w:sz w:val="24"/>
        </w:rPr>
      </w:pPr>
    </w:p>
    <w:p w14:paraId="0E5C41CC">
      <w:pPr>
        <w:widowControl/>
        <w:snapToGrid w:val="0"/>
        <w:rPr>
          <w:rFonts w:hint="eastAsia" w:ascii="仿宋" w:hAnsi="仿宋" w:eastAsia="仿宋" w:cs="仿宋"/>
          <w:b/>
          <w:kern w:val="0"/>
          <w:sz w:val="24"/>
        </w:rPr>
      </w:pPr>
    </w:p>
    <w:p w14:paraId="71406BD4">
      <w:pPr>
        <w:widowControl/>
        <w:snapToGrid w:val="0"/>
        <w:rPr>
          <w:rFonts w:hint="eastAsia" w:ascii="仿宋" w:hAnsi="仿宋" w:eastAsia="仿宋" w:cs="仿宋"/>
          <w:b/>
          <w:kern w:val="0"/>
          <w:sz w:val="24"/>
        </w:rPr>
      </w:pPr>
    </w:p>
    <w:p w14:paraId="05F5811D">
      <w:pPr>
        <w:widowControl/>
        <w:snapToGrid w:val="0"/>
        <w:rPr>
          <w:rFonts w:hint="eastAsia" w:ascii="仿宋" w:hAnsi="仿宋" w:eastAsia="仿宋" w:cs="仿宋"/>
          <w:b/>
          <w:kern w:val="0"/>
          <w:sz w:val="24"/>
        </w:rPr>
      </w:pPr>
    </w:p>
    <w:p w14:paraId="508E2EA1">
      <w:pPr>
        <w:widowControl/>
        <w:snapToGrid w:val="0"/>
        <w:rPr>
          <w:rFonts w:hint="eastAsia" w:ascii="仿宋" w:hAnsi="仿宋" w:eastAsia="仿宋" w:cs="仿宋"/>
          <w:b/>
          <w:kern w:val="0"/>
          <w:sz w:val="24"/>
        </w:rPr>
      </w:pPr>
    </w:p>
    <w:p w14:paraId="6710853A">
      <w:pPr>
        <w:widowControl/>
        <w:snapToGrid w:val="0"/>
        <w:rPr>
          <w:rFonts w:hint="eastAsia" w:ascii="仿宋" w:hAnsi="仿宋" w:eastAsia="仿宋" w:cs="仿宋"/>
          <w:b/>
          <w:kern w:val="0"/>
          <w:sz w:val="24"/>
        </w:rPr>
      </w:pPr>
    </w:p>
    <w:p w14:paraId="3631F004">
      <w:pPr>
        <w:widowControl/>
        <w:snapToGrid w:val="0"/>
        <w:rPr>
          <w:rFonts w:hint="eastAsia" w:ascii="仿宋" w:hAnsi="仿宋" w:eastAsia="仿宋" w:cs="仿宋"/>
          <w:b/>
          <w:kern w:val="0"/>
          <w:sz w:val="24"/>
        </w:rPr>
      </w:pPr>
    </w:p>
    <w:p w14:paraId="3C259EB4">
      <w:pPr>
        <w:widowControl/>
        <w:snapToGrid w:val="0"/>
        <w:rPr>
          <w:rFonts w:hint="eastAsia" w:ascii="仿宋" w:hAnsi="仿宋" w:eastAsia="仿宋" w:cs="仿宋"/>
          <w:b/>
          <w:kern w:val="0"/>
          <w:sz w:val="24"/>
        </w:rPr>
      </w:pPr>
    </w:p>
    <w:p w14:paraId="4A2A9306">
      <w:pPr>
        <w:widowControl/>
        <w:snapToGrid w:val="0"/>
        <w:rPr>
          <w:rFonts w:hint="eastAsia" w:ascii="仿宋" w:hAnsi="仿宋" w:eastAsia="仿宋" w:cs="仿宋"/>
          <w:b/>
          <w:kern w:val="0"/>
          <w:sz w:val="24"/>
        </w:rPr>
      </w:pPr>
    </w:p>
    <w:p w14:paraId="051F2BFD">
      <w:pPr>
        <w:widowControl/>
        <w:snapToGrid w:val="0"/>
        <w:rPr>
          <w:rFonts w:hint="eastAsia" w:ascii="仿宋" w:hAnsi="仿宋" w:eastAsia="仿宋" w:cs="仿宋"/>
          <w:b/>
          <w:kern w:val="0"/>
          <w:sz w:val="24"/>
        </w:rPr>
      </w:pPr>
    </w:p>
    <w:p w14:paraId="72D1F1A3">
      <w:pPr>
        <w:widowControl/>
        <w:snapToGrid w:val="0"/>
        <w:ind w:firstLine="723" w:firstLineChars="300"/>
        <w:rPr>
          <w:rFonts w:hint="eastAsia" w:ascii="仿宋" w:hAnsi="仿宋" w:eastAsia="仿宋" w:cs="仿宋"/>
          <w:b/>
          <w:kern w:val="0"/>
          <w:sz w:val="24"/>
        </w:rPr>
      </w:pPr>
      <w:r>
        <w:rPr>
          <w:rFonts w:hint="eastAsia" w:ascii="仿宋" w:hAnsi="仿宋" w:eastAsia="仿宋" w:cs="仿宋"/>
          <w:b/>
          <w:kern w:val="0"/>
          <w:sz w:val="24"/>
        </w:rPr>
        <w:t>表1.4-4  重庆市房屋建筑和市政基础设施工程勘察范围判定</w:t>
      </w:r>
    </w:p>
    <w:tbl>
      <w:tblPr>
        <w:tblStyle w:val="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28" w:type="dxa"/>
          <w:left w:w="28" w:type="dxa"/>
          <w:bottom w:w="28" w:type="dxa"/>
          <w:right w:w="28" w:type="dxa"/>
        </w:tblCellMar>
      </w:tblPr>
      <w:tblGrid>
        <w:gridCol w:w="525"/>
        <w:gridCol w:w="313"/>
        <w:gridCol w:w="5720"/>
        <w:gridCol w:w="1971"/>
        <w:gridCol w:w="1100"/>
      </w:tblGrid>
      <w:tr w14:paraId="05BFC8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292" w:hRule="atLeast"/>
          <w:jc w:val="center"/>
        </w:trPr>
        <w:tc>
          <w:tcPr>
            <w:tcW w:w="838" w:type="dxa"/>
            <w:gridSpan w:val="2"/>
            <w:noWrap w:val="0"/>
            <w:vAlign w:val="center"/>
          </w:tcPr>
          <w:p w14:paraId="2F40F26B">
            <w:pPr>
              <w:pStyle w:val="4"/>
              <w:jc w:val="center"/>
              <w:rPr>
                <w:rFonts w:ascii="仿宋" w:hAnsi="仿宋" w:eastAsia="仿宋" w:cs="仿宋"/>
              </w:rPr>
            </w:pPr>
            <w:r>
              <w:rPr>
                <w:rFonts w:ascii="仿宋" w:hAnsi="仿宋" w:eastAsia="仿宋" w:cs="仿宋"/>
              </w:rPr>
              <w:t>判定</w:t>
            </w:r>
          </w:p>
          <w:p w14:paraId="406246E9">
            <w:pPr>
              <w:pStyle w:val="4"/>
              <w:jc w:val="center"/>
              <w:rPr>
                <w:rFonts w:ascii="仿宋" w:hAnsi="仿宋" w:eastAsia="仿宋" w:cs="仿宋"/>
              </w:rPr>
            </w:pPr>
            <w:r>
              <w:rPr>
                <w:rFonts w:ascii="仿宋" w:hAnsi="仿宋" w:eastAsia="仿宋" w:cs="仿宋"/>
              </w:rPr>
              <w:t>款项</w:t>
            </w:r>
          </w:p>
        </w:tc>
        <w:tc>
          <w:tcPr>
            <w:tcW w:w="5720" w:type="dxa"/>
            <w:noWrap w:val="0"/>
            <w:vAlign w:val="center"/>
          </w:tcPr>
          <w:p w14:paraId="5A0C4964">
            <w:pPr>
              <w:pStyle w:val="4"/>
              <w:jc w:val="center"/>
              <w:rPr>
                <w:rFonts w:ascii="仿宋" w:hAnsi="仿宋" w:eastAsia="仿宋" w:cs="仿宋"/>
              </w:rPr>
            </w:pPr>
            <w:r>
              <w:rPr>
                <w:rFonts w:ascii="仿宋" w:hAnsi="仿宋" w:eastAsia="仿宋" w:cs="仿宋"/>
              </w:rPr>
              <w:t>判定条件</w:t>
            </w:r>
          </w:p>
        </w:tc>
        <w:tc>
          <w:tcPr>
            <w:tcW w:w="1971" w:type="dxa"/>
            <w:noWrap w:val="0"/>
            <w:vAlign w:val="center"/>
          </w:tcPr>
          <w:p w14:paraId="52AF548D">
            <w:pPr>
              <w:pStyle w:val="4"/>
              <w:jc w:val="center"/>
              <w:rPr>
                <w:rFonts w:ascii="仿宋" w:hAnsi="仿宋" w:eastAsia="仿宋" w:cs="仿宋"/>
              </w:rPr>
            </w:pPr>
            <w:r>
              <w:rPr>
                <w:rFonts w:ascii="仿宋" w:hAnsi="仿宋" w:eastAsia="仿宋" w:cs="仿宋"/>
              </w:rPr>
              <w:t>对应判定条件的场地、边坡</w:t>
            </w:r>
          </w:p>
        </w:tc>
        <w:tc>
          <w:tcPr>
            <w:tcW w:w="1100" w:type="dxa"/>
            <w:noWrap w:val="0"/>
            <w:vAlign w:val="center"/>
          </w:tcPr>
          <w:p w14:paraId="0865633F">
            <w:pPr>
              <w:pStyle w:val="4"/>
              <w:jc w:val="center"/>
              <w:rPr>
                <w:rFonts w:ascii="仿宋" w:hAnsi="仿宋" w:eastAsia="仿宋" w:cs="仿宋"/>
              </w:rPr>
            </w:pPr>
            <w:r>
              <w:rPr>
                <w:rFonts w:ascii="仿宋" w:hAnsi="仿宋" w:eastAsia="仿宋" w:cs="仿宋"/>
              </w:rPr>
              <w:t>判定结果</w:t>
            </w:r>
          </w:p>
        </w:tc>
      </w:tr>
      <w:tr w14:paraId="6623E5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restart"/>
            <w:noWrap w:val="0"/>
            <w:vAlign w:val="center"/>
          </w:tcPr>
          <w:p w14:paraId="1980FDAB">
            <w:pPr>
              <w:pStyle w:val="4"/>
              <w:jc w:val="center"/>
              <w:rPr>
                <w:rFonts w:ascii="仿宋" w:hAnsi="仿宋" w:eastAsia="仿宋" w:cs="仿宋"/>
              </w:rPr>
            </w:pPr>
            <w:r>
              <w:rPr>
                <w:rFonts w:ascii="仿宋" w:hAnsi="仿宋" w:eastAsia="仿宋" w:cs="仿宋"/>
              </w:rPr>
              <w:t>环境边坡及其影响区域</w:t>
            </w:r>
          </w:p>
        </w:tc>
        <w:tc>
          <w:tcPr>
            <w:tcW w:w="313" w:type="dxa"/>
            <w:noWrap w:val="0"/>
            <w:vAlign w:val="center"/>
          </w:tcPr>
          <w:p w14:paraId="232414F9">
            <w:pPr>
              <w:pStyle w:val="4"/>
              <w:jc w:val="center"/>
              <w:rPr>
                <w:rFonts w:ascii="仿宋" w:hAnsi="仿宋" w:eastAsia="仿宋" w:cs="仿宋"/>
              </w:rPr>
            </w:pPr>
            <w:r>
              <w:rPr>
                <w:rFonts w:ascii="仿宋" w:hAnsi="仿宋" w:eastAsia="仿宋" w:cs="仿宋"/>
              </w:rPr>
              <w:t>1</w:t>
            </w:r>
          </w:p>
        </w:tc>
        <w:tc>
          <w:tcPr>
            <w:tcW w:w="5720" w:type="dxa"/>
            <w:noWrap w:val="0"/>
            <w:vAlign w:val="center"/>
          </w:tcPr>
          <w:p w14:paraId="1109C577">
            <w:pPr>
              <w:pStyle w:val="4"/>
              <w:jc w:val="center"/>
              <w:rPr>
                <w:rFonts w:ascii="仿宋" w:hAnsi="仿宋" w:eastAsia="仿宋" w:cs="仿宋"/>
              </w:rPr>
            </w:pPr>
            <w:r>
              <w:rPr>
                <w:rFonts w:ascii="仿宋" w:hAnsi="仿宋" w:eastAsia="仿宋" w:cs="仿宋"/>
              </w:rPr>
              <w:t>对于无外倾结构面控制的岩质边坡，勘察范围线到坡顶线外侧的水平距离不应小于1倍边坡高度。</w:t>
            </w:r>
          </w:p>
        </w:tc>
        <w:tc>
          <w:tcPr>
            <w:tcW w:w="1971" w:type="dxa"/>
            <w:noWrap w:val="0"/>
            <w:vAlign w:val="center"/>
          </w:tcPr>
          <w:p w14:paraId="0C624B8C">
            <w:pPr>
              <w:pStyle w:val="4"/>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0B299F88">
            <w:pPr>
              <w:pStyle w:val="4"/>
              <w:jc w:val="center"/>
              <w:rPr>
                <w:rFonts w:hint="eastAsia" w:ascii="仿宋" w:hAnsi="仿宋" w:eastAsia="仿宋" w:cs="仿宋"/>
                <w:lang w:eastAsia="zh-CN"/>
              </w:rPr>
            </w:pPr>
            <w:r>
              <w:rPr>
                <w:rFonts w:hint="eastAsia" w:ascii="仿宋" w:hAnsi="仿宋" w:eastAsia="仿宋" w:cs="仿宋"/>
                <w:lang w:val="en-US" w:eastAsia="zh-CN"/>
              </w:rPr>
              <w:t>/</w:t>
            </w:r>
            <w:bookmarkStart w:id="0" w:name="_GoBack"/>
            <w:bookmarkEnd w:id="0"/>
          </w:p>
        </w:tc>
      </w:tr>
      <w:tr w14:paraId="500EA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continue"/>
            <w:noWrap w:val="0"/>
            <w:vAlign w:val="center"/>
          </w:tcPr>
          <w:p w14:paraId="5996E615">
            <w:pPr>
              <w:pStyle w:val="4"/>
              <w:jc w:val="center"/>
              <w:rPr>
                <w:rFonts w:ascii="仿宋" w:hAnsi="仿宋" w:eastAsia="仿宋" w:cs="仿宋"/>
              </w:rPr>
            </w:pPr>
          </w:p>
        </w:tc>
        <w:tc>
          <w:tcPr>
            <w:tcW w:w="313" w:type="dxa"/>
            <w:noWrap w:val="0"/>
            <w:vAlign w:val="center"/>
          </w:tcPr>
          <w:p w14:paraId="4A25A6C8">
            <w:pPr>
              <w:pStyle w:val="4"/>
              <w:jc w:val="center"/>
              <w:rPr>
                <w:rFonts w:ascii="仿宋" w:hAnsi="仿宋" w:eastAsia="仿宋" w:cs="仿宋"/>
              </w:rPr>
            </w:pPr>
            <w:r>
              <w:rPr>
                <w:rFonts w:ascii="仿宋" w:hAnsi="仿宋" w:eastAsia="仿宋" w:cs="仿宋"/>
              </w:rPr>
              <w:t>2</w:t>
            </w:r>
          </w:p>
        </w:tc>
        <w:tc>
          <w:tcPr>
            <w:tcW w:w="5720" w:type="dxa"/>
            <w:noWrap w:val="0"/>
            <w:vAlign w:val="center"/>
          </w:tcPr>
          <w:p w14:paraId="76AF234D">
            <w:pPr>
              <w:pStyle w:val="4"/>
              <w:jc w:val="center"/>
              <w:rPr>
                <w:rFonts w:ascii="仿宋" w:hAnsi="仿宋" w:eastAsia="仿宋" w:cs="仿宋"/>
              </w:rPr>
            </w:pPr>
            <w:r>
              <w:rPr>
                <w:rFonts w:ascii="仿宋" w:hAnsi="仿宋" w:eastAsia="仿宋" w:cs="仿宋"/>
              </w:rPr>
              <w:t>对于有外倾结构面控制的岩土边坡，勘察范围线应根据组成边坡的岩土性质及可能破坏模式确定，且勘察范围不应小于外倾结构面影响范围。</w:t>
            </w:r>
          </w:p>
        </w:tc>
        <w:tc>
          <w:tcPr>
            <w:tcW w:w="1971" w:type="dxa"/>
            <w:noWrap w:val="0"/>
            <w:vAlign w:val="center"/>
          </w:tcPr>
          <w:p w14:paraId="4F3C3BFE">
            <w:pPr>
              <w:pStyle w:val="4"/>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670DE7B8">
            <w:pPr>
              <w:pStyle w:val="4"/>
              <w:jc w:val="center"/>
              <w:rPr>
                <w:rFonts w:hint="eastAsia" w:ascii="仿宋" w:hAnsi="仿宋" w:eastAsia="仿宋" w:cs="仿宋"/>
                <w:lang w:eastAsia="zh-CN"/>
              </w:rPr>
            </w:pPr>
            <w:r>
              <w:rPr>
                <w:rFonts w:hint="eastAsia" w:ascii="仿宋" w:hAnsi="仿宋" w:eastAsia="仿宋" w:cs="仿宋"/>
                <w:lang w:val="en-US" w:eastAsia="zh-CN"/>
              </w:rPr>
              <w:t>/</w:t>
            </w:r>
          </w:p>
        </w:tc>
      </w:tr>
      <w:tr w14:paraId="204BCE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continue"/>
            <w:noWrap w:val="0"/>
            <w:vAlign w:val="center"/>
          </w:tcPr>
          <w:p w14:paraId="545C7B20">
            <w:pPr>
              <w:pStyle w:val="4"/>
              <w:jc w:val="center"/>
              <w:rPr>
                <w:rFonts w:ascii="仿宋" w:hAnsi="仿宋" w:eastAsia="仿宋" w:cs="仿宋"/>
              </w:rPr>
            </w:pPr>
          </w:p>
        </w:tc>
        <w:tc>
          <w:tcPr>
            <w:tcW w:w="313" w:type="dxa"/>
            <w:noWrap w:val="0"/>
            <w:vAlign w:val="center"/>
          </w:tcPr>
          <w:p w14:paraId="7C40397C">
            <w:pPr>
              <w:pStyle w:val="4"/>
              <w:jc w:val="center"/>
              <w:rPr>
                <w:rFonts w:ascii="仿宋" w:hAnsi="仿宋" w:eastAsia="仿宋" w:cs="仿宋"/>
              </w:rPr>
            </w:pPr>
            <w:r>
              <w:rPr>
                <w:rFonts w:ascii="仿宋" w:hAnsi="仿宋" w:eastAsia="仿宋" w:cs="仿宋"/>
              </w:rPr>
              <w:t>3</w:t>
            </w:r>
          </w:p>
        </w:tc>
        <w:tc>
          <w:tcPr>
            <w:tcW w:w="5720" w:type="dxa"/>
            <w:noWrap w:val="0"/>
            <w:vAlign w:val="center"/>
          </w:tcPr>
          <w:p w14:paraId="1E8AA838">
            <w:pPr>
              <w:pStyle w:val="4"/>
              <w:jc w:val="center"/>
              <w:rPr>
                <w:rFonts w:ascii="仿宋" w:hAnsi="仿宋" w:eastAsia="仿宋" w:cs="仿宋"/>
              </w:rPr>
            </w:pPr>
            <w:r>
              <w:rPr>
                <w:rFonts w:ascii="仿宋" w:hAnsi="仿宋" w:eastAsia="仿宋" w:cs="仿宋"/>
              </w:rPr>
              <w:t>对于可能出现土体内部滑动破坏的土质边坡，勘察范围线到坡顶线外侧的水平距离不应小于1.5倍边坡高度。</w:t>
            </w:r>
          </w:p>
        </w:tc>
        <w:tc>
          <w:tcPr>
            <w:tcW w:w="1971" w:type="dxa"/>
            <w:noWrap w:val="0"/>
            <w:vAlign w:val="center"/>
          </w:tcPr>
          <w:p w14:paraId="2DD45770">
            <w:pPr>
              <w:pStyle w:val="4"/>
              <w:ind w:firstLine="0" w:firstLineChars="0"/>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7898F210">
            <w:pPr>
              <w:pStyle w:val="4"/>
              <w:ind w:firstLine="0" w:firstLineChars="0"/>
              <w:jc w:val="center"/>
              <w:rPr>
                <w:rFonts w:ascii="仿宋" w:hAnsi="仿宋" w:eastAsia="仿宋" w:cs="仿宋"/>
              </w:rPr>
            </w:pPr>
            <w:r>
              <w:rPr>
                <w:rFonts w:hint="eastAsia" w:ascii="仿宋" w:hAnsi="仿宋" w:eastAsia="仿宋" w:cs="仿宋"/>
                <w:lang w:val="en-US" w:eastAsia="zh-CN"/>
              </w:rPr>
              <w:t>/</w:t>
            </w:r>
          </w:p>
        </w:tc>
      </w:tr>
      <w:tr w14:paraId="748ABA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continue"/>
            <w:noWrap w:val="0"/>
            <w:vAlign w:val="center"/>
          </w:tcPr>
          <w:p w14:paraId="40E2C1E8">
            <w:pPr>
              <w:pStyle w:val="4"/>
              <w:jc w:val="center"/>
              <w:rPr>
                <w:rFonts w:ascii="仿宋" w:hAnsi="仿宋" w:eastAsia="仿宋" w:cs="仿宋"/>
              </w:rPr>
            </w:pPr>
          </w:p>
        </w:tc>
        <w:tc>
          <w:tcPr>
            <w:tcW w:w="313" w:type="dxa"/>
            <w:noWrap w:val="0"/>
            <w:vAlign w:val="center"/>
          </w:tcPr>
          <w:p w14:paraId="4D6F39A8">
            <w:pPr>
              <w:pStyle w:val="4"/>
              <w:jc w:val="center"/>
              <w:rPr>
                <w:rFonts w:ascii="仿宋" w:hAnsi="仿宋" w:eastAsia="仿宋" w:cs="仿宋"/>
              </w:rPr>
            </w:pPr>
            <w:r>
              <w:rPr>
                <w:rFonts w:ascii="仿宋" w:hAnsi="仿宋" w:eastAsia="仿宋" w:cs="仿宋"/>
              </w:rPr>
              <w:t>4</w:t>
            </w:r>
          </w:p>
        </w:tc>
        <w:tc>
          <w:tcPr>
            <w:tcW w:w="5720" w:type="dxa"/>
            <w:noWrap w:val="0"/>
            <w:vAlign w:val="center"/>
          </w:tcPr>
          <w:p w14:paraId="7DD90BAD">
            <w:pPr>
              <w:pStyle w:val="4"/>
              <w:jc w:val="center"/>
              <w:rPr>
                <w:rFonts w:ascii="仿宋" w:hAnsi="仿宋" w:eastAsia="仿宋" w:cs="仿宋"/>
              </w:rPr>
            </w:pPr>
            <w:r>
              <w:rPr>
                <w:rFonts w:ascii="仿宋" w:hAnsi="仿宋" w:eastAsia="仿宋" w:cs="仿宋"/>
              </w:rPr>
              <w:t>对可能沿岩土界面滑动的土质边坡，勘察范围线应大于可能沿岩土界面滑动的土质边坡后缘边界，且还应大于可能沿岩土界面滑动的土质边坡前缘边界（即剪出口位置）。</w:t>
            </w:r>
          </w:p>
        </w:tc>
        <w:tc>
          <w:tcPr>
            <w:tcW w:w="1971" w:type="dxa"/>
            <w:noWrap w:val="0"/>
            <w:vAlign w:val="center"/>
          </w:tcPr>
          <w:p w14:paraId="7E5947BC">
            <w:pPr>
              <w:pStyle w:val="4"/>
              <w:ind w:firstLine="0" w:firstLineChars="0"/>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1D2487EC">
            <w:pPr>
              <w:pStyle w:val="4"/>
              <w:ind w:firstLine="0" w:firstLineChars="0"/>
              <w:jc w:val="center"/>
              <w:rPr>
                <w:rFonts w:ascii="仿宋" w:hAnsi="仿宋" w:eastAsia="仿宋" w:cs="仿宋"/>
              </w:rPr>
            </w:pPr>
            <w:r>
              <w:rPr>
                <w:rFonts w:hint="eastAsia" w:ascii="仿宋" w:hAnsi="仿宋" w:eastAsia="仿宋" w:cs="仿宋"/>
                <w:lang w:val="en-US" w:eastAsia="zh-CN"/>
              </w:rPr>
              <w:t>/</w:t>
            </w:r>
          </w:p>
        </w:tc>
      </w:tr>
      <w:tr w14:paraId="6839AF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restart"/>
            <w:noWrap w:val="0"/>
            <w:vAlign w:val="center"/>
          </w:tcPr>
          <w:p w14:paraId="1DDF3A78">
            <w:pPr>
              <w:pStyle w:val="4"/>
              <w:jc w:val="center"/>
              <w:rPr>
                <w:rFonts w:ascii="仿宋" w:hAnsi="仿宋" w:eastAsia="仿宋" w:cs="仿宋"/>
              </w:rPr>
            </w:pPr>
            <w:r>
              <w:rPr>
                <w:rFonts w:ascii="仿宋" w:hAnsi="仿宋" w:eastAsia="仿宋" w:cs="仿宋"/>
              </w:rPr>
              <w:t>基坑边坡及其影响区域</w:t>
            </w:r>
          </w:p>
        </w:tc>
        <w:tc>
          <w:tcPr>
            <w:tcW w:w="313" w:type="dxa"/>
            <w:noWrap w:val="0"/>
            <w:vAlign w:val="center"/>
          </w:tcPr>
          <w:p w14:paraId="6305FF03">
            <w:pPr>
              <w:pStyle w:val="4"/>
              <w:jc w:val="center"/>
              <w:rPr>
                <w:rFonts w:ascii="仿宋" w:hAnsi="仿宋" w:eastAsia="仿宋" w:cs="仿宋"/>
              </w:rPr>
            </w:pPr>
            <w:r>
              <w:rPr>
                <w:rFonts w:ascii="仿宋" w:hAnsi="仿宋" w:eastAsia="仿宋" w:cs="仿宋"/>
              </w:rPr>
              <w:t>1</w:t>
            </w:r>
          </w:p>
        </w:tc>
        <w:tc>
          <w:tcPr>
            <w:tcW w:w="5720" w:type="dxa"/>
            <w:noWrap w:val="0"/>
            <w:vAlign w:val="center"/>
          </w:tcPr>
          <w:p w14:paraId="5C0A6912">
            <w:pPr>
              <w:pStyle w:val="4"/>
              <w:jc w:val="center"/>
              <w:rPr>
                <w:rFonts w:ascii="仿宋" w:hAnsi="仿宋" w:eastAsia="仿宋" w:cs="仿宋"/>
              </w:rPr>
            </w:pPr>
            <w:r>
              <w:rPr>
                <w:rFonts w:ascii="仿宋" w:hAnsi="仿宋" w:eastAsia="仿宋" w:cs="仿宋"/>
              </w:rPr>
              <w:t>岩质基坑边坡勘察范围线到基坑边线外侧的水平距离不应小于其基坑深度的1倍。</w:t>
            </w:r>
          </w:p>
        </w:tc>
        <w:tc>
          <w:tcPr>
            <w:tcW w:w="1971" w:type="dxa"/>
            <w:noWrap w:val="0"/>
            <w:vAlign w:val="center"/>
          </w:tcPr>
          <w:p w14:paraId="47F29B3F">
            <w:pPr>
              <w:pStyle w:val="4"/>
              <w:ind w:firstLine="0" w:firstLineChars="0"/>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2FE250F6">
            <w:pPr>
              <w:pStyle w:val="4"/>
              <w:ind w:firstLine="0" w:firstLineChars="0"/>
              <w:jc w:val="center"/>
              <w:rPr>
                <w:rFonts w:ascii="仿宋" w:hAnsi="仿宋" w:eastAsia="仿宋" w:cs="仿宋"/>
              </w:rPr>
            </w:pPr>
            <w:r>
              <w:rPr>
                <w:rFonts w:hint="eastAsia" w:ascii="仿宋" w:hAnsi="仿宋" w:eastAsia="仿宋" w:cs="仿宋"/>
                <w:lang w:val="en-US" w:eastAsia="zh-CN"/>
              </w:rPr>
              <w:t>/</w:t>
            </w:r>
          </w:p>
        </w:tc>
      </w:tr>
      <w:tr w14:paraId="4E1429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continue"/>
            <w:noWrap w:val="0"/>
            <w:vAlign w:val="center"/>
          </w:tcPr>
          <w:p w14:paraId="39C87C8E">
            <w:pPr>
              <w:pStyle w:val="4"/>
              <w:jc w:val="center"/>
              <w:rPr>
                <w:rFonts w:ascii="仿宋" w:hAnsi="仿宋" w:eastAsia="仿宋" w:cs="仿宋"/>
              </w:rPr>
            </w:pPr>
          </w:p>
        </w:tc>
        <w:tc>
          <w:tcPr>
            <w:tcW w:w="313" w:type="dxa"/>
            <w:noWrap w:val="0"/>
            <w:vAlign w:val="center"/>
          </w:tcPr>
          <w:p w14:paraId="757293AF">
            <w:pPr>
              <w:pStyle w:val="4"/>
              <w:jc w:val="center"/>
              <w:rPr>
                <w:rFonts w:ascii="仿宋" w:hAnsi="仿宋" w:eastAsia="仿宋" w:cs="仿宋"/>
              </w:rPr>
            </w:pPr>
            <w:r>
              <w:rPr>
                <w:rFonts w:ascii="仿宋" w:hAnsi="仿宋" w:eastAsia="仿宋" w:cs="仿宋"/>
              </w:rPr>
              <w:t>2</w:t>
            </w:r>
          </w:p>
        </w:tc>
        <w:tc>
          <w:tcPr>
            <w:tcW w:w="5720" w:type="dxa"/>
            <w:noWrap w:val="0"/>
            <w:vAlign w:val="center"/>
          </w:tcPr>
          <w:p w14:paraId="310A12A0">
            <w:pPr>
              <w:pStyle w:val="4"/>
              <w:jc w:val="center"/>
              <w:rPr>
                <w:rFonts w:ascii="仿宋" w:hAnsi="仿宋" w:eastAsia="仿宋" w:cs="仿宋"/>
              </w:rPr>
            </w:pPr>
            <w:r>
              <w:rPr>
                <w:rFonts w:ascii="仿宋" w:hAnsi="仿宋" w:eastAsia="仿宋" w:cs="仿宋"/>
              </w:rPr>
              <w:t>土质基坑边坡勘察范围线到基坑边线外侧的水平距离不应小于其基坑深度的2倍。</w:t>
            </w:r>
          </w:p>
        </w:tc>
        <w:tc>
          <w:tcPr>
            <w:tcW w:w="1971" w:type="dxa"/>
            <w:noWrap w:val="0"/>
            <w:vAlign w:val="center"/>
          </w:tcPr>
          <w:p w14:paraId="3C31BAEA">
            <w:pPr>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6627DF85">
            <w:pPr>
              <w:jc w:val="center"/>
              <w:rPr>
                <w:rFonts w:ascii="仿宋" w:hAnsi="仿宋" w:eastAsia="仿宋" w:cs="仿宋"/>
              </w:rPr>
            </w:pPr>
            <w:r>
              <w:rPr>
                <w:rFonts w:hint="eastAsia" w:ascii="仿宋" w:hAnsi="仿宋" w:eastAsia="仿宋" w:cs="仿宋"/>
                <w:lang w:val="en-US" w:eastAsia="zh-CN"/>
              </w:rPr>
              <w:t>/</w:t>
            </w:r>
          </w:p>
        </w:tc>
      </w:tr>
      <w:tr w14:paraId="1BC38E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trHeight w:val="69" w:hRule="atLeast"/>
          <w:jc w:val="center"/>
        </w:trPr>
        <w:tc>
          <w:tcPr>
            <w:tcW w:w="525" w:type="dxa"/>
            <w:vMerge w:val="continue"/>
            <w:noWrap w:val="0"/>
            <w:vAlign w:val="center"/>
          </w:tcPr>
          <w:p w14:paraId="7EC9A792">
            <w:pPr>
              <w:pStyle w:val="4"/>
              <w:jc w:val="center"/>
              <w:rPr>
                <w:rFonts w:ascii="仿宋" w:hAnsi="仿宋" w:eastAsia="仿宋" w:cs="仿宋"/>
              </w:rPr>
            </w:pPr>
          </w:p>
        </w:tc>
        <w:tc>
          <w:tcPr>
            <w:tcW w:w="313" w:type="dxa"/>
            <w:noWrap w:val="0"/>
            <w:vAlign w:val="center"/>
          </w:tcPr>
          <w:p w14:paraId="3A063BD6">
            <w:pPr>
              <w:pStyle w:val="4"/>
              <w:jc w:val="center"/>
              <w:rPr>
                <w:rFonts w:ascii="仿宋" w:hAnsi="仿宋" w:eastAsia="仿宋" w:cs="仿宋"/>
              </w:rPr>
            </w:pPr>
            <w:r>
              <w:rPr>
                <w:rFonts w:ascii="仿宋" w:hAnsi="仿宋" w:eastAsia="仿宋" w:cs="仿宋"/>
              </w:rPr>
              <w:t>3</w:t>
            </w:r>
          </w:p>
        </w:tc>
        <w:tc>
          <w:tcPr>
            <w:tcW w:w="5720" w:type="dxa"/>
            <w:noWrap w:val="0"/>
            <w:vAlign w:val="center"/>
          </w:tcPr>
          <w:p w14:paraId="7BD18977">
            <w:pPr>
              <w:pStyle w:val="4"/>
              <w:jc w:val="center"/>
              <w:rPr>
                <w:rFonts w:ascii="仿宋" w:hAnsi="仿宋" w:eastAsia="仿宋" w:cs="仿宋"/>
              </w:rPr>
            </w:pPr>
            <w:r>
              <w:rPr>
                <w:rFonts w:ascii="仿宋" w:hAnsi="仿宋" w:eastAsia="仿宋" w:cs="仿宋"/>
              </w:rPr>
              <w:t>当需要采用锚杆（索）支护时，勘察范围线到基坑边线外侧的水平距离不应小于其基坑深度的2倍。</w:t>
            </w:r>
          </w:p>
        </w:tc>
        <w:tc>
          <w:tcPr>
            <w:tcW w:w="1971" w:type="dxa"/>
            <w:noWrap w:val="0"/>
            <w:vAlign w:val="center"/>
          </w:tcPr>
          <w:p w14:paraId="328E62AE">
            <w:pPr>
              <w:pStyle w:val="4"/>
              <w:ind w:firstLine="0" w:firstLineChars="0"/>
              <w:jc w:val="center"/>
              <w:rPr>
                <w:rFonts w:ascii="仿宋" w:hAnsi="仿宋" w:eastAsia="仿宋" w:cs="仿宋"/>
              </w:rPr>
            </w:pPr>
            <w:r>
              <w:rPr>
                <w:rFonts w:hint="eastAsia" w:ascii="仿宋" w:hAnsi="仿宋" w:eastAsia="仿宋" w:cs="仿宋"/>
                <w:lang w:val="en-US" w:eastAsia="zh-CN"/>
              </w:rPr>
              <w:t>不</w:t>
            </w:r>
            <w:r>
              <w:rPr>
                <w:rFonts w:ascii="仿宋" w:hAnsi="仿宋" w:eastAsia="仿宋" w:cs="仿宋"/>
              </w:rPr>
              <w:t>存在该类环境边坡</w:t>
            </w:r>
          </w:p>
        </w:tc>
        <w:tc>
          <w:tcPr>
            <w:tcW w:w="1100" w:type="dxa"/>
            <w:noWrap w:val="0"/>
            <w:vAlign w:val="center"/>
          </w:tcPr>
          <w:p w14:paraId="37D1B6B7">
            <w:pPr>
              <w:pStyle w:val="4"/>
              <w:ind w:firstLine="0" w:firstLineChars="0"/>
              <w:jc w:val="center"/>
              <w:rPr>
                <w:rFonts w:ascii="仿宋" w:hAnsi="仿宋" w:eastAsia="仿宋" w:cs="仿宋"/>
              </w:rPr>
            </w:pPr>
            <w:r>
              <w:rPr>
                <w:rFonts w:hint="eastAsia" w:ascii="仿宋" w:hAnsi="仿宋" w:eastAsia="仿宋" w:cs="仿宋"/>
                <w:lang w:val="en-US" w:eastAsia="zh-CN"/>
              </w:rPr>
              <w:t>/</w:t>
            </w:r>
          </w:p>
        </w:tc>
      </w:tr>
    </w:tbl>
    <w:p w14:paraId="432B67E2">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95669"/>
    <w:rsid w:val="004A0487"/>
    <w:rsid w:val="0E491E30"/>
    <w:rsid w:val="3F7B0026"/>
    <w:rsid w:val="5F061A0F"/>
    <w:rsid w:val="6CD95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0"/>
    <w:basedOn w:val="1"/>
    <w:uiPriority w:val="0"/>
    <w:pPr>
      <w:spacing w:line="240" w:lineRule="auto"/>
      <w:ind w:firstLine="0" w:firstLineChars="0"/>
    </w:pPr>
    <w:rPr>
      <w:rFonts w:hint="eastAsia" w:ascii="仿宋_GB2312" w:hAnsi="仿宋_GB2312" w:eastAsia="宋体"/>
      <w:sz w:val="21"/>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1463</Characters>
  <Lines>0</Lines>
  <Paragraphs>0</Paragraphs>
  <TotalTime>0</TotalTime>
  <ScaleCrop>false</ScaleCrop>
  <LinksUpToDate>false</LinksUpToDate>
  <CharactersWithSpaces>1477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2025-03-19T04:56:00Z</dcterms:created>
  <dc:creator>answer09</dc:creator>
  <cp:lastModifiedBy>answer09</cp:lastModifiedBy>
  <dcterms:modified xsi:type="dcterms:W3CDTF">2025-11-12T02:35:33Z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3E89FF139DC24751A673641C51D8DC89_11</vt:lpwstr>
  </property>
  <property fmtid="{D5CDD505-2E9C-101B-9397-08002B2CF9AE}" pid="4" name="KSOTemplateDocerSaveRecord">
    <vt:lpwstr>eyJoZGlkIjoiOTlmNGZmNDljNThhNWJiYzg1MTFmODY3ZGMyYzRmNWIiLCJ1c2VySWQiOiI1MTYwNTQyMzIifQ==</vt:lpwstr>
  </property>
</Properties>
</file>