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96DB7E">
      <w:pPr>
        <w:jc w:val="center"/>
        <w:rPr>
          <w:rFonts w:hint="eastAsia" w:ascii="宋体" w:hAnsi="宋体"/>
        </w:rPr>
      </w:pPr>
    </w:p>
    <w:p w14:paraId="276F42E6">
      <w:pPr>
        <w:jc w:val="center"/>
        <w:rPr>
          <w:rFonts w:hint="eastAsia" w:ascii="宋体" w:hAnsi="宋体"/>
        </w:rPr>
      </w:pPr>
    </w:p>
    <w:p w14:paraId="72662806">
      <w:pPr>
        <w:pStyle w:val="2"/>
        <w:rPr>
          <w:rFonts w:hint="eastAsia" w:ascii="宋体" w:hAnsi="宋体" w:eastAsia="宋体"/>
        </w:rPr>
      </w:pPr>
    </w:p>
    <w:p w14:paraId="541A7067">
      <w:pPr>
        <w:rPr>
          <w:rFonts w:hint="eastAsia" w:ascii="宋体" w:hAnsi="宋体"/>
        </w:rPr>
      </w:pPr>
    </w:p>
    <w:p w14:paraId="155713EF">
      <w:pPr>
        <w:spacing w:line="1600" w:lineRule="exact"/>
        <w:jc w:val="center"/>
        <w:outlineLvl w:val="0"/>
        <w:rPr>
          <w:rFonts w:hint="eastAsia" w:ascii="宋体" w:hAnsi="宋体"/>
          <w:sz w:val="84"/>
          <w:szCs w:val="84"/>
        </w:rPr>
      </w:pPr>
      <w:r>
        <w:rPr>
          <w:rFonts w:hint="eastAsia" w:ascii="宋体" w:hAnsi="宋体"/>
          <w:sz w:val="84"/>
          <w:szCs w:val="84"/>
        </w:rPr>
        <w:t>竞争性比选文件</w:t>
      </w:r>
    </w:p>
    <w:p w14:paraId="48A47C9C">
      <w:pPr>
        <w:spacing w:line="700" w:lineRule="exact"/>
        <w:jc w:val="center"/>
        <w:rPr>
          <w:rFonts w:hint="eastAsia" w:ascii="宋体" w:hAnsi="宋体"/>
          <w:sz w:val="72"/>
          <w:szCs w:val="72"/>
        </w:rPr>
      </w:pPr>
    </w:p>
    <w:p w14:paraId="694D3CC5">
      <w:pPr>
        <w:spacing w:line="700" w:lineRule="exact"/>
        <w:jc w:val="center"/>
        <w:rPr>
          <w:rFonts w:hint="eastAsia" w:ascii="宋体" w:hAnsi="宋体"/>
          <w:sz w:val="32"/>
        </w:rPr>
      </w:pPr>
    </w:p>
    <w:p w14:paraId="53213213">
      <w:pPr>
        <w:spacing w:line="700" w:lineRule="exact"/>
        <w:jc w:val="center"/>
        <w:rPr>
          <w:rFonts w:hint="eastAsia" w:ascii="宋体" w:hAnsi="宋体"/>
          <w:sz w:val="32"/>
        </w:rPr>
      </w:pPr>
    </w:p>
    <w:p w14:paraId="3B8ADAF2">
      <w:pPr>
        <w:spacing w:line="500" w:lineRule="exact"/>
        <w:outlineLvl w:val="0"/>
        <w:rPr>
          <w:rFonts w:hint="eastAsia" w:ascii="宋体" w:hAnsi="宋体"/>
          <w:sz w:val="36"/>
          <w:szCs w:val="36"/>
        </w:rPr>
      </w:pPr>
    </w:p>
    <w:p w14:paraId="58FE39CC">
      <w:pPr>
        <w:spacing w:line="500" w:lineRule="exact"/>
        <w:jc w:val="center"/>
        <w:outlineLvl w:val="0"/>
        <w:rPr>
          <w:rFonts w:hint="eastAsia" w:ascii="宋体" w:hAnsi="宋体"/>
          <w:sz w:val="32"/>
          <w:szCs w:val="32"/>
        </w:rPr>
      </w:pPr>
      <w:r>
        <w:rPr>
          <w:rFonts w:hint="eastAsia" w:ascii="宋体" w:hAnsi="宋体"/>
          <w:sz w:val="32"/>
          <w:szCs w:val="32"/>
        </w:rPr>
        <w:t>项目名称：水库监控系统、监控平台安装接入建设项目（第二次）</w:t>
      </w:r>
    </w:p>
    <w:p w14:paraId="2BFC36AE">
      <w:pPr>
        <w:spacing w:line="700" w:lineRule="exact"/>
        <w:jc w:val="center"/>
        <w:rPr>
          <w:rFonts w:hint="eastAsia" w:ascii="宋体" w:hAnsi="宋体"/>
          <w:b/>
          <w:sz w:val="36"/>
          <w:szCs w:val="36"/>
        </w:rPr>
      </w:pPr>
    </w:p>
    <w:p w14:paraId="05CA7673">
      <w:pPr>
        <w:spacing w:line="700" w:lineRule="exact"/>
        <w:rPr>
          <w:rFonts w:hint="eastAsia" w:ascii="宋体" w:hAnsi="宋体"/>
          <w:b/>
          <w:sz w:val="36"/>
          <w:szCs w:val="36"/>
        </w:rPr>
      </w:pPr>
    </w:p>
    <w:p w14:paraId="432EC6F6">
      <w:pPr>
        <w:spacing w:line="700" w:lineRule="exact"/>
        <w:rPr>
          <w:rFonts w:hint="eastAsia" w:ascii="宋体" w:hAnsi="宋体"/>
          <w:b/>
          <w:sz w:val="36"/>
          <w:szCs w:val="36"/>
        </w:rPr>
      </w:pPr>
    </w:p>
    <w:p w14:paraId="74939325">
      <w:pPr>
        <w:spacing w:line="500" w:lineRule="exact"/>
        <w:ind w:firstLine="1440" w:firstLineChars="400"/>
        <w:outlineLvl w:val="0"/>
        <w:rPr>
          <w:rFonts w:hint="eastAsia" w:ascii="宋体" w:hAnsi="宋体"/>
          <w:sz w:val="36"/>
          <w:szCs w:val="36"/>
        </w:rPr>
      </w:pPr>
      <w:r>
        <w:rPr>
          <w:rFonts w:hint="eastAsia" w:ascii="宋体" w:hAnsi="宋体"/>
          <w:sz w:val="36"/>
          <w:szCs w:val="36"/>
        </w:rPr>
        <w:t>招   标   人：重庆兴垫农业发展有限公司</w:t>
      </w:r>
    </w:p>
    <w:p w14:paraId="5C80F318">
      <w:pPr>
        <w:spacing w:line="500" w:lineRule="exact"/>
        <w:ind w:firstLine="1440" w:firstLineChars="400"/>
        <w:outlineLvl w:val="0"/>
        <w:rPr>
          <w:rFonts w:hint="eastAsia" w:ascii="宋体" w:hAnsi="宋体"/>
          <w:sz w:val="36"/>
          <w:szCs w:val="36"/>
        </w:rPr>
      </w:pPr>
      <w:r>
        <w:rPr>
          <w:rFonts w:hint="eastAsia" w:ascii="宋体" w:hAnsi="宋体"/>
          <w:sz w:val="36"/>
          <w:szCs w:val="36"/>
        </w:rPr>
        <w:t>招标代理机构：重庆立生实业有限公司</w:t>
      </w:r>
    </w:p>
    <w:p w14:paraId="59FAB4E9">
      <w:pPr>
        <w:spacing w:line="720" w:lineRule="exact"/>
        <w:jc w:val="center"/>
        <w:outlineLvl w:val="0"/>
        <w:rPr>
          <w:rFonts w:hint="eastAsia" w:ascii="宋体" w:hAnsi="宋体"/>
          <w:sz w:val="48"/>
          <w:szCs w:val="32"/>
        </w:rPr>
      </w:pPr>
      <w:r>
        <w:rPr>
          <w:rFonts w:hint="eastAsia" w:ascii="宋体" w:hAnsi="宋体"/>
          <w:sz w:val="36"/>
          <w:szCs w:val="36"/>
        </w:rPr>
        <w:t>二〇二五年十二月</w:t>
      </w:r>
    </w:p>
    <w:p w14:paraId="01FB3CA5">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14:paraId="1E522BEF">
      <w:pPr>
        <w:spacing w:line="480" w:lineRule="exact"/>
        <w:jc w:val="center"/>
        <w:outlineLvl w:val="0"/>
        <w:rPr>
          <w:rFonts w:hint="eastAsia" w:ascii="宋体" w:hAnsi="宋体"/>
          <w:sz w:val="44"/>
          <w:szCs w:val="28"/>
        </w:rPr>
      </w:pPr>
      <w:r>
        <w:rPr>
          <w:rFonts w:hint="eastAsia" w:ascii="宋体" w:hAnsi="宋体"/>
          <w:sz w:val="44"/>
          <w:szCs w:val="28"/>
        </w:rPr>
        <w:t>目   录</w:t>
      </w:r>
    </w:p>
    <w:p w14:paraId="516C26D3">
      <w:pPr>
        <w:pStyle w:val="45"/>
        <w:tabs>
          <w:tab w:val="right" w:leader="dot" w:pos="9402"/>
        </w:tabs>
        <w:ind w:left="560"/>
        <w:rPr>
          <w:rFonts w:hint="eastAsia" w:asciiTheme="minorHAnsi" w:hAnsiTheme="minorHAnsi" w:eastAsiaTheme="minorEastAsia" w:cstheme="minorBidi"/>
          <w:sz w:val="22"/>
          <w:szCs w:val="24"/>
          <w14:ligatures w14:val="standardContextual"/>
        </w:rPr>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fldChar w:fldCharType="begin"/>
      </w:r>
      <w:r>
        <w:instrText xml:space="preserve"> HYPERLINK \l "_Toc215158829" </w:instrText>
      </w:r>
      <w:r>
        <w:fldChar w:fldCharType="separate"/>
      </w:r>
      <w:r>
        <w:rPr>
          <w:rStyle w:val="64"/>
          <w:rFonts w:hint="eastAsia" w:ascii="宋体" w:hAnsi="宋体"/>
        </w:rPr>
        <w:t xml:space="preserve">第一篇  </w:t>
      </w:r>
      <w:r>
        <w:rPr>
          <w:rStyle w:val="64"/>
          <w:rFonts w:hint="eastAsia" w:ascii="宋体" w:hAnsi="宋体" w:cs="Arial"/>
        </w:rPr>
        <w:t>竞争性比选公告</w:t>
      </w:r>
      <w:r>
        <w:rPr>
          <w:rFonts w:hint="eastAsia"/>
        </w:rPr>
        <w:tab/>
      </w:r>
      <w:r>
        <w:rPr>
          <w:rFonts w:hint="eastAsia"/>
        </w:rPr>
        <w:fldChar w:fldCharType="begin"/>
      </w:r>
      <w:r>
        <w:rPr>
          <w:rFonts w:hint="eastAsia"/>
        </w:rPr>
        <w:instrText xml:space="preserve"> </w:instrText>
      </w:r>
      <w:r>
        <w:instrText xml:space="preserve">PAGEREF _Toc215158829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3D1A4392">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"_Toc215158830" </w:instrText>
      </w:r>
      <w:r>
        <w:fldChar w:fldCharType="separate"/>
      </w:r>
      <w:r>
        <w:rPr>
          <w:rStyle w:val="64"/>
          <w:rFonts w:hint="eastAsia" w:ascii="宋体" w:hAnsi="宋体"/>
        </w:rPr>
        <w:t>一、 比选内容</w:t>
      </w:r>
      <w:r>
        <w:rPr>
          <w:rFonts w:hint="eastAsia"/>
        </w:rPr>
        <w:tab/>
      </w:r>
      <w:r>
        <w:rPr>
          <w:rFonts w:hint="eastAsia"/>
        </w:rPr>
        <w:fldChar w:fldCharType="begin"/>
      </w:r>
      <w:r>
        <w:rPr>
          <w:rFonts w:hint="eastAsia"/>
        </w:rPr>
        <w:instrText xml:space="preserve"> </w:instrText>
      </w:r>
      <w:r>
        <w:instrText xml:space="preserve">PAGEREF _Toc215158830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339F067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"_Toc215158831" </w:instrText>
      </w:r>
      <w:r>
        <w:fldChar w:fldCharType="separate"/>
      </w:r>
      <w:r>
        <w:rPr>
          <w:rStyle w:val="64"/>
          <w:rFonts w:hint="eastAsia" w:ascii="宋体" w:hAnsi="宋体"/>
        </w:rPr>
        <w:t>二、资金来源</w:t>
      </w:r>
      <w:r>
        <w:rPr>
          <w:rFonts w:hint="eastAsia"/>
        </w:rPr>
        <w:tab/>
      </w:r>
      <w:r>
        <w:rPr>
          <w:rFonts w:hint="eastAsia"/>
        </w:rPr>
        <w:fldChar w:fldCharType="begin"/>
      </w:r>
      <w:r>
        <w:rPr>
          <w:rFonts w:hint="eastAsia"/>
        </w:rPr>
        <w:instrText xml:space="preserve"> </w:instrText>
      </w:r>
      <w:r>
        <w:instrText xml:space="preserve">PAGEREF _Toc215158831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76C8CA11">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"_Toc215158832" </w:instrText>
      </w:r>
      <w:r>
        <w:fldChar w:fldCharType="separate"/>
      </w:r>
      <w:r>
        <w:rPr>
          <w:rStyle w:val="64"/>
          <w:rFonts w:hint="eastAsia" w:ascii="宋体" w:hAnsi="宋体"/>
        </w:rPr>
        <w:t>三、投标人资格条件</w:t>
      </w:r>
      <w:r>
        <w:rPr>
          <w:rFonts w:hint="eastAsia"/>
        </w:rPr>
        <w:tab/>
      </w:r>
      <w:r>
        <w:rPr>
          <w:rFonts w:hint="eastAsia"/>
        </w:rPr>
        <w:fldChar w:fldCharType="begin"/>
      </w:r>
      <w:r>
        <w:rPr>
          <w:rFonts w:hint="eastAsia"/>
        </w:rPr>
        <w:instrText xml:space="preserve"> </w:instrText>
      </w:r>
      <w:r>
        <w:instrText xml:space="preserve">PAGEREF _Toc215158832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0FFCD428">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"_Toc215158833" </w:instrText>
      </w:r>
      <w:r>
        <w:fldChar w:fldCharType="separate"/>
      </w:r>
      <w:r>
        <w:rPr>
          <w:rStyle w:val="64"/>
          <w:rFonts w:hint="eastAsia" w:ascii="宋体" w:hAnsi="宋体"/>
        </w:rPr>
        <w:t>四、比选有关说明</w:t>
      </w:r>
      <w:r>
        <w:rPr>
          <w:rFonts w:hint="eastAsia"/>
        </w:rPr>
        <w:tab/>
      </w:r>
      <w:r>
        <w:rPr>
          <w:rFonts w:hint="eastAsia"/>
        </w:rPr>
        <w:fldChar w:fldCharType="begin"/>
      </w:r>
      <w:r>
        <w:rPr>
          <w:rFonts w:hint="eastAsia"/>
        </w:rPr>
        <w:instrText xml:space="preserve"> </w:instrText>
      </w:r>
      <w:r>
        <w:instrText xml:space="preserve">PAGEREF _Toc215158833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7163BE3F">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"_Toc215158834" </w:instrText>
      </w:r>
      <w:r>
        <w:fldChar w:fldCharType="separate"/>
      </w:r>
      <w:r>
        <w:rPr>
          <w:rStyle w:val="64"/>
          <w:rFonts w:hint="eastAsia" w:ascii="宋体" w:hAnsi="宋体"/>
        </w:rPr>
        <w:t>五、投标保证金</w:t>
      </w:r>
      <w:r>
        <w:rPr>
          <w:rFonts w:hint="eastAsia"/>
        </w:rPr>
        <w:tab/>
      </w:r>
      <w:r>
        <w:rPr>
          <w:rFonts w:hint="eastAsia"/>
        </w:rPr>
        <w:fldChar w:fldCharType="begin"/>
      </w:r>
      <w:r>
        <w:rPr>
          <w:rFonts w:hint="eastAsia"/>
        </w:rPr>
        <w:instrText xml:space="preserve"> </w:instrText>
      </w:r>
      <w:r>
        <w:instrText xml:space="preserve">PAGEREF _Toc215158834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14:paraId="1A866E2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"_Toc215158835" </w:instrText>
      </w:r>
      <w:r>
        <w:fldChar w:fldCharType="separate"/>
      </w:r>
      <w:r>
        <w:rPr>
          <w:rStyle w:val="64"/>
          <w:rFonts w:hint="eastAsia" w:ascii="宋体" w:hAnsi="宋体"/>
        </w:rPr>
        <w:t>六、其它有关规定</w:t>
      </w:r>
      <w:r>
        <w:rPr>
          <w:rFonts w:hint="eastAsia"/>
        </w:rPr>
        <w:tab/>
      </w:r>
      <w:r>
        <w:rPr>
          <w:rFonts w:hint="eastAsia"/>
        </w:rPr>
        <w:fldChar w:fldCharType="begin"/>
      </w:r>
      <w:r>
        <w:rPr>
          <w:rFonts w:hint="eastAsia"/>
        </w:rPr>
        <w:instrText xml:space="preserve"> </w:instrText>
      </w:r>
      <w:r>
        <w:instrText xml:space="preserve">PAGEREF _Toc215158835 \h</w:instrText>
      </w:r>
      <w:r>
        <w:rPr>
          <w:rFonts w:hint="eastAsia"/>
        </w:rPr>
        <w:instrText xml:space="preserve"> </w:instrText>
      </w:r>
      <w:r>
        <w:rPr>
          <w:rFonts w:hint="eastAsia"/>
        </w:rPr>
        <w:fldChar w:fldCharType="separate"/>
      </w:r>
      <w:r>
        <w:t>- 4 -</w:t>
      </w:r>
      <w:r>
        <w:rPr>
          <w:rFonts w:hint="eastAsia"/>
        </w:rPr>
        <w:fldChar w:fldCharType="end"/>
      </w:r>
      <w:r>
        <w:rPr>
          <w:rFonts w:hint="eastAsia"/>
        </w:rPr>
        <w:fldChar w:fldCharType="end"/>
      </w:r>
    </w:p>
    <w:p w14:paraId="323D6E6B">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"_Toc215158836" </w:instrText>
      </w:r>
      <w:r>
        <w:fldChar w:fldCharType="separate"/>
      </w:r>
      <w:r>
        <w:rPr>
          <w:rStyle w:val="64"/>
          <w:rFonts w:hint="eastAsia" w:ascii="宋体" w:hAnsi="宋体"/>
        </w:rPr>
        <w:t>七、联系方式</w:t>
      </w:r>
      <w:r>
        <w:rPr>
          <w:rFonts w:hint="eastAsia"/>
        </w:rPr>
        <w:tab/>
      </w:r>
      <w:r>
        <w:rPr>
          <w:rFonts w:hint="eastAsia"/>
        </w:rPr>
        <w:fldChar w:fldCharType="begin"/>
      </w:r>
      <w:r>
        <w:rPr>
          <w:rFonts w:hint="eastAsia"/>
        </w:rPr>
        <w:instrText xml:space="preserve"> </w:instrText>
      </w:r>
      <w:r>
        <w:instrText xml:space="preserve">PAGEREF _Toc215158836 \h</w:instrText>
      </w:r>
      <w:r>
        <w:rPr>
          <w:rFonts w:hint="eastAsia"/>
        </w:rPr>
        <w:instrText xml:space="preserve"> </w:instrText>
      </w:r>
      <w:r>
        <w:rPr>
          <w:rFonts w:hint="eastAsia"/>
        </w:rPr>
        <w:fldChar w:fldCharType="separate"/>
      </w:r>
      <w:r>
        <w:t>- 4 -</w:t>
      </w:r>
      <w:r>
        <w:rPr>
          <w:rFonts w:hint="eastAsia"/>
        </w:rPr>
        <w:fldChar w:fldCharType="end"/>
      </w:r>
      <w:r>
        <w:rPr>
          <w:rFonts w:hint="eastAsia"/>
        </w:rPr>
        <w:fldChar w:fldCharType="end"/>
      </w:r>
    </w:p>
    <w:p w14:paraId="79C1CFF1">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"_Toc215158837" </w:instrText>
      </w:r>
      <w:r>
        <w:fldChar w:fldCharType="separate"/>
      </w:r>
      <w:r>
        <w:rPr>
          <w:rStyle w:val="64"/>
          <w:rFonts w:hint="eastAsia" w:ascii="宋体" w:hAnsi="宋体"/>
        </w:rPr>
        <w:t>第二篇 比选项目技术需求</w:t>
      </w:r>
      <w:r>
        <w:rPr>
          <w:rFonts w:hint="eastAsia"/>
        </w:rPr>
        <w:tab/>
      </w:r>
      <w:r>
        <w:rPr>
          <w:rFonts w:hint="eastAsia"/>
        </w:rPr>
        <w:fldChar w:fldCharType="begin"/>
      </w:r>
      <w:r>
        <w:rPr>
          <w:rFonts w:hint="eastAsia"/>
        </w:rPr>
        <w:instrText xml:space="preserve"> </w:instrText>
      </w:r>
      <w:r>
        <w:instrText xml:space="preserve">PAGEREF _Toc215158837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14:paraId="1B533EEC">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"_Toc215158838" </w:instrText>
      </w:r>
      <w:r>
        <w:fldChar w:fldCharType="separate"/>
      </w:r>
      <w:r>
        <w:rPr>
          <w:rStyle w:val="64"/>
          <w:rFonts w:hint="eastAsia" w:ascii="宋体" w:hAnsi="宋体"/>
        </w:rPr>
        <w:t>一、采购</w:t>
      </w:r>
      <w:r>
        <w:rPr>
          <w:rStyle w:val="64"/>
          <w:rFonts w:hint="eastAsia" w:ascii="宋体" w:hAnsi="宋体" w:cs="宋体"/>
        </w:rPr>
        <w:t>范围及内容</w:t>
      </w:r>
      <w:r>
        <w:rPr>
          <w:rFonts w:hint="eastAsia"/>
        </w:rPr>
        <w:tab/>
      </w:r>
      <w:r>
        <w:rPr>
          <w:rFonts w:hint="eastAsia"/>
        </w:rPr>
        <w:fldChar w:fldCharType="begin"/>
      </w:r>
      <w:r>
        <w:rPr>
          <w:rFonts w:hint="eastAsia"/>
        </w:rPr>
        <w:instrText xml:space="preserve"> </w:instrText>
      </w:r>
      <w:r>
        <w:instrText xml:space="preserve">PAGEREF _Toc215158838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14:paraId="63A1ACA3">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"_Toc215158839" </w:instrText>
      </w:r>
      <w:r>
        <w:fldChar w:fldCharType="separate"/>
      </w:r>
      <w:r>
        <w:rPr>
          <w:rStyle w:val="64"/>
          <w:rFonts w:hint="eastAsia" w:ascii="宋体" w:hAnsi="宋体"/>
        </w:rPr>
        <w:t>二、项目技术要求</w:t>
      </w:r>
      <w:r>
        <w:rPr>
          <w:rFonts w:hint="eastAsia"/>
        </w:rPr>
        <w:tab/>
      </w:r>
      <w:r>
        <w:rPr>
          <w:rFonts w:hint="eastAsia"/>
        </w:rPr>
        <w:fldChar w:fldCharType="begin"/>
      </w:r>
      <w:r>
        <w:rPr>
          <w:rFonts w:hint="eastAsia"/>
        </w:rPr>
        <w:instrText xml:space="preserve"> </w:instrText>
      </w:r>
      <w:r>
        <w:instrText xml:space="preserve">PAGEREF _Toc215158839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14:paraId="4C68DF4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"_Toc215158840" </w:instrText>
      </w:r>
      <w:r>
        <w:fldChar w:fldCharType="separate"/>
      </w:r>
      <w:r>
        <w:rPr>
          <w:rStyle w:val="64"/>
          <w:rFonts w:hint="eastAsia" w:ascii="宋体" w:hAnsi="宋体"/>
        </w:rPr>
        <w:t>三、其他要求</w:t>
      </w:r>
      <w:r>
        <w:rPr>
          <w:rFonts w:hint="eastAsia"/>
        </w:rPr>
        <w:tab/>
      </w:r>
      <w:r>
        <w:rPr>
          <w:rFonts w:hint="eastAsia"/>
        </w:rPr>
        <w:fldChar w:fldCharType="begin"/>
      </w:r>
      <w:r>
        <w:rPr>
          <w:rFonts w:hint="eastAsia"/>
        </w:rPr>
        <w:instrText xml:space="preserve"> </w:instrText>
      </w:r>
      <w:r>
        <w:instrText xml:space="preserve">PAGEREF _Toc215158840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14:paraId="6E4B7100">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"_Toc215158841" </w:instrText>
      </w:r>
      <w:r>
        <w:fldChar w:fldCharType="separate"/>
      </w:r>
      <w:r>
        <w:rPr>
          <w:rStyle w:val="64"/>
          <w:rFonts w:hint="eastAsia" w:ascii="宋体" w:hAnsi="宋体"/>
        </w:rPr>
        <w:t>第三篇  比选项目服务需求</w:t>
      </w:r>
      <w:r>
        <w:rPr>
          <w:rFonts w:hint="eastAsia"/>
        </w:rPr>
        <w:tab/>
      </w:r>
      <w:r>
        <w:rPr>
          <w:rFonts w:hint="eastAsia"/>
        </w:rPr>
        <w:fldChar w:fldCharType="begin"/>
      </w:r>
      <w:r>
        <w:rPr>
          <w:rFonts w:hint="eastAsia"/>
        </w:rPr>
        <w:instrText xml:space="preserve"> </w:instrText>
      </w:r>
      <w:r>
        <w:instrText xml:space="preserve">PAGEREF _Toc215158841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14:paraId="5F3AF9A5">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"_Toc215158842" </w:instrText>
      </w:r>
      <w:r>
        <w:fldChar w:fldCharType="separate"/>
      </w:r>
      <w:r>
        <w:rPr>
          <w:rStyle w:val="64"/>
          <w:rFonts w:hint="eastAsia" w:ascii="宋体" w:hAnsi="宋体"/>
        </w:rPr>
        <w:t>一、工期、地点及验收方式</w:t>
      </w:r>
      <w:r>
        <w:rPr>
          <w:rFonts w:hint="eastAsia"/>
        </w:rPr>
        <w:tab/>
      </w:r>
      <w:r>
        <w:rPr>
          <w:rFonts w:hint="eastAsia"/>
        </w:rPr>
        <w:fldChar w:fldCharType="begin"/>
      </w:r>
      <w:r>
        <w:rPr>
          <w:rFonts w:hint="eastAsia"/>
        </w:rPr>
        <w:instrText xml:space="preserve"> </w:instrText>
      </w:r>
      <w:r>
        <w:instrText xml:space="preserve">PAGEREF _Toc215158842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14:paraId="74881777">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"_Toc215158843" </w:instrText>
      </w:r>
      <w:r>
        <w:fldChar w:fldCharType="separate"/>
      </w:r>
      <w:r>
        <w:rPr>
          <w:rStyle w:val="64"/>
          <w:rFonts w:hint="eastAsia" w:ascii="宋体" w:hAnsi="宋体"/>
        </w:rPr>
        <w:t>二、报价要求</w:t>
      </w:r>
      <w:r>
        <w:rPr>
          <w:rFonts w:hint="eastAsia"/>
        </w:rPr>
        <w:tab/>
      </w:r>
      <w:r>
        <w:rPr>
          <w:rFonts w:hint="eastAsia"/>
        </w:rPr>
        <w:fldChar w:fldCharType="begin"/>
      </w:r>
      <w:r>
        <w:rPr>
          <w:rFonts w:hint="eastAsia"/>
        </w:rPr>
        <w:instrText xml:space="preserve"> </w:instrText>
      </w:r>
      <w:r>
        <w:instrText xml:space="preserve">PAGEREF _Toc215158843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14:paraId="23F918FB">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"_Toc215158844" </w:instrText>
      </w:r>
      <w:r>
        <w:fldChar w:fldCharType="separate"/>
      </w:r>
      <w:r>
        <w:rPr>
          <w:rStyle w:val="64"/>
          <w:rFonts w:hint="eastAsia" w:ascii="宋体" w:hAnsi="宋体"/>
        </w:rPr>
        <w:t>三、结算原则</w:t>
      </w:r>
      <w:r>
        <w:rPr>
          <w:rFonts w:hint="eastAsia"/>
        </w:rPr>
        <w:tab/>
      </w:r>
      <w:r>
        <w:rPr>
          <w:rFonts w:hint="eastAsia"/>
        </w:rPr>
        <w:fldChar w:fldCharType="begin"/>
      </w:r>
      <w:r>
        <w:rPr>
          <w:rFonts w:hint="eastAsia"/>
        </w:rPr>
        <w:instrText xml:space="preserve"> </w:instrText>
      </w:r>
      <w:r>
        <w:instrText xml:space="preserve">PAGEREF _Toc215158844 \h</w:instrText>
      </w:r>
      <w:r>
        <w:rPr>
          <w:rFonts w:hint="eastAsia"/>
        </w:rPr>
        <w:instrText xml:space="preserve"> </w:instrText>
      </w:r>
      <w:r>
        <w:rPr>
          <w:rFonts w:hint="eastAsia"/>
        </w:rPr>
        <w:fldChar w:fldCharType="separate"/>
      </w:r>
      <w:r>
        <w:t>- 9 -</w:t>
      </w:r>
      <w:r>
        <w:rPr>
          <w:rFonts w:hint="eastAsia"/>
        </w:rPr>
        <w:fldChar w:fldCharType="end"/>
      </w:r>
      <w:r>
        <w:rPr>
          <w:rFonts w:hint="eastAsia"/>
        </w:rPr>
        <w:fldChar w:fldCharType="end"/>
      </w:r>
    </w:p>
    <w:p w14:paraId="26402CA0">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"_Toc215158845" </w:instrText>
      </w:r>
      <w:r>
        <w:fldChar w:fldCharType="separate"/>
      </w:r>
      <w:r>
        <w:rPr>
          <w:rStyle w:val="64"/>
          <w:rFonts w:hint="eastAsia" w:ascii="宋体" w:hAnsi="宋体"/>
        </w:rPr>
        <w:t>四、履约担保</w:t>
      </w:r>
      <w:r>
        <w:rPr>
          <w:rFonts w:hint="eastAsia"/>
        </w:rPr>
        <w:tab/>
      </w:r>
      <w:r>
        <w:rPr>
          <w:rFonts w:hint="eastAsia"/>
        </w:rPr>
        <w:fldChar w:fldCharType="begin"/>
      </w:r>
      <w:r>
        <w:rPr>
          <w:rFonts w:hint="eastAsia"/>
        </w:rPr>
        <w:instrText xml:space="preserve"> </w:instrText>
      </w:r>
      <w:r>
        <w:instrText xml:space="preserve">PAGEREF _Toc215158845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14:paraId="06FCCEFE">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"_Toc215158846" </w:instrText>
      </w:r>
      <w:r>
        <w:fldChar w:fldCharType="separate"/>
      </w:r>
      <w:r>
        <w:rPr>
          <w:rStyle w:val="64"/>
          <w:rFonts w:hint="eastAsia" w:ascii="宋体" w:hAnsi="宋体"/>
        </w:rPr>
        <w:t>五、付款方式</w:t>
      </w:r>
      <w:r>
        <w:rPr>
          <w:rFonts w:hint="eastAsia"/>
        </w:rPr>
        <w:tab/>
      </w:r>
      <w:r>
        <w:rPr>
          <w:rFonts w:hint="eastAsia"/>
        </w:rPr>
        <w:fldChar w:fldCharType="begin"/>
      </w:r>
      <w:r>
        <w:rPr>
          <w:rFonts w:hint="eastAsia"/>
        </w:rPr>
        <w:instrText xml:space="preserve"> </w:instrText>
      </w:r>
      <w:r>
        <w:instrText xml:space="preserve">PAGEREF _Toc215158846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14:paraId="2B9DAA16">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"_Toc215158847" </w:instrText>
      </w:r>
      <w:r>
        <w:fldChar w:fldCharType="separate"/>
      </w:r>
      <w:r>
        <w:rPr>
          <w:rStyle w:val="64"/>
          <w:rFonts w:hint="eastAsia" w:ascii="宋体" w:hAnsi="宋体"/>
        </w:rPr>
        <w:t>六、知识产权</w:t>
      </w:r>
      <w:r>
        <w:rPr>
          <w:rFonts w:hint="eastAsia"/>
        </w:rPr>
        <w:tab/>
      </w:r>
      <w:r>
        <w:rPr>
          <w:rFonts w:hint="eastAsia"/>
        </w:rPr>
        <w:fldChar w:fldCharType="begin"/>
      </w:r>
      <w:r>
        <w:rPr>
          <w:rFonts w:hint="eastAsia"/>
        </w:rPr>
        <w:instrText xml:space="preserve"> </w:instrText>
      </w:r>
      <w:r>
        <w:instrText xml:space="preserve">PAGEREF _Toc215158847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14:paraId="5A92D03A">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"_Toc215158848" </w:instrText>
      </w:r>
      <w:r>
        <w:fldChar w:fldCharType="separate"/>
      </w:r>
      <w:r>
        <w:rPr>
          <w:rStyle w:val="64"/>
          <w:rFonts w:hint="eastAsia" w:ascii="宋体" w:hAnsi="宋体"/>
        </w:rPr>
        <w:t>七、培训</w:t>
      </w:r>
      <w:r>
        <w:rPr>
          <w:rFonts w:hint="eastAsia"/>
        </w:rPr>
        <w:tab/>
      </w:r>
      <w:r>
        <w:rPr>
          <w:rFonts w:hint="eastAsia"/>
        </w:rPr>
        <w:fldChar w:fldCharType="begin"/>
      </w:r>
      <w:r>
        <w:rPr>
          <w:rFonts w:hint="eastAsia"/>
        </w:rPr>
        <w:instrText xml:space="preserve"> </w:instrText>
      </w:r>
      <w:r>
        <w:instrText xml:space="preserve">PAGEREF _Toc215158848 \h</w:instrText>
      </w:r>
      <w:r>
        <w:rPr>
          <w:rFonts w:hint="eastAsia"/>
        </w:rPr>
        <w:instrText xml:space="preserve"> </w:instrText>
      </w:r>
      <w:r>
        <w:rPr>
          <w:rFonts w:hint="eastAsia"/>
        </w:rPr>
        <w:fldChar w:fldCharType="separate"/>
      </w:r>
      <w:r>
        <w:t>- 12 -</w:t>
      </w:r>
      <w:r>
        <w:rPr>
          <w:rFonts w:hint="eastAsia"/>
        </w:rPr>
        <w:fldChar w:fldCharType="end"/>
      </w:r>
      <w:r>
        <w:rPr>
          <w:rFonts w:hint="eastAsia"/>
        </w:rPr>
        <w:fldChar w:fldCharType="end"/>
      </w:r>
    </w:p>
    <w:p w14:paraId="4D4B30CA">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"_Toc215158849" </w:instrText>
      </w:r>
      <w:r>
        <w:fldChar w:fldCharType="separate"/>
      </w:r>
      <w:r>
        <w:rPr>
          <w:rStyle w:val="64"/>
          <w:rFonts w:hint="eastAsia" w:ascii="宋体" w:hAnsi="宋体"/>
        </w:rPr>
        <w:t>八、其他</w:t>
      </w:r>
      <w:r>
        <w:rPr>
          <w:rFonts w:hint="eastAsia"/>
        </w:rPr>
        <w:tab/>
      </w:r>
      <w:r>
        <w:rPr>
          <w:rFonts w:hint="eastAsia"/>
        </w:rPr>
        <w:fldChar w:fldCharType="begin"/>
      </w:r>
      <w:r>
        <w:rPr>
          <w:rFonts w:hint="eastAsia"/>
        </w:rPr>
        <w:instrText xml:space="preserve"> </w:instrText>
      </w:r>
      <w:r>
        <w:instrText xml:space="preserve">PAGEREF _Toc215158849 \h</w:instrText>
      </w:r>
      <w:r>
        <w:rPr>
          <w:rFonts w:hint="eastAsia"/>
        </w:rPr>
        <w:instrText xml:space="preserve"> </w:instrText>
      </w:r>
      <w:r>
        <w:rPr>
          <w:rFonts w:hint="eastAsia"/>
        </w:rPr>
        <w:fldChar w:fldCharType="separate"/>
      </w:r>
      <w:r>
        <w:t>- 12 -</w:t>
      </w:r>
      <w:r>
        <w:rPr>
          <w:rFonts w:hint="eastAsia"/>
        </w:rPr>
        <w:fldChar w:fldCharType="end"/>
      </w:r>
      <w:r>
        <w:rPr>
          <w:rFonts w:hint="eastAsia"/>
        </w:rPr>
        <w:fldChar w:fldCharType="end"/>
      </w:r>
    </w:p>
    <w:p w14:paraId="589B888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"_Toc215158850" </w:instrText>
      </w:r>
      <w:r>
        <w:fldChar w:fldCharType="separate"/>
      </w:r>
      <w:r>
        <w:rPr>
          <w:rStyle w:val="64"/>
          <w:rFonts w:hint="eastAsia" w:ascii="宋体" w:hAnsi="宋体"/>
        </w:rPr>
        <w:t>第四篇  采购程序、评定成交的标准、无效报价及采购终止</w:t>
      </w:r>
      <w:r>
        <w:rPr>
          <w:rFonts w:hint="eastAsia"/>
        </w:rPr>
        <w:tab/>
      </w:r>
      <w:r>
        <w:rPr>
          <w:rFonts w:hint="eastAsia"/>
        </w:rPr>
        <w:fldChar w:fldCharType="begin"/>
      </w:r>
      <w:r>
        <w:rPr>
          <w:rFonts w:hint="eastAsia"/>
        </w:rPr>
        <w:instrText xml:space="preserve"> </w:instrText>
      </w:r>
      <w:r>
        <w:instrText xml:space="preserve">PAGEREF _Toc215158850 \h</w:instrText>
      </w:r>
      <w:r>
        <w:rPr>
          <w:rFonts w:hint="eastAsia"/>
        </w:rPr>
        <w:instrText xml:space="preserve"> </w:instrText>
      </w:r>
      <w:r>
        <w:rPr>
          <w:rFonts w:hint="eastAsia"/>
        </w:rPr>
        <w:fldChar w:fldCharType="separate"/>
      </w:r>
      <w:r>
        <w:t>- 13 -</w:t>
      </w:r>
      <w:r>
        <w:rPr>
          <w:rFonts w:hint="eastAsia"/>
        </w:rPr>
        <w:fldChar w:fldCharType="end"/>
      </w:r>
      <w:r>
        <w:rPr>
          <w:rFonts w:hint="eastAsia"/>
        </w:rPr>
        <w:fldChar w:fldCharType="end"/>
      </w:r>
    </w:p>
    <w:p w14:paraId="61D27AE3">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"_Toc215158851" </w:instrText>
      </w:r>
      <w:r>
        <w:fldChar w:fldCharType="separate"/>
      </w:r>
      <w:r>
        <w:rPr>
          <w:rStyle w:val="64"/>
          <w:rFonts w:hint="eastAsia" w:ascii="宋体" w:hAnsi="宋体"/>
        </w:rPr>
        <w:t>一、采购程序</w:t>
      </w:r>
      <w:r>
        <w:rPr>
          <w:rFonts w:hint="eastAsia"/>
        </w:rPr>
        <w:tab/>
      </w:r>
      <w:r>
        <w:rPr>
          <w:rFonts w:hint="eastAsia"/>
        </w:rPr>
        <w:fldChar w:fldCharType="begin"/>
      </w:r>
      <w:r>
        <w:rPr>
          <w:rFonts w:hint="eastAsia"/>
        </w:rPr>
        <w:instrText xml:space="preserve"> </w:instrText>
      </w:r>
      <w:r>
        <w:instrText xml:space="preserve">PAGEREF _Toc215158851 \h</w:instrText>
      </w:r>
      <w:r>
        <w:rPr>
          <w:rFonts w:hint="eastAsia"/>
        </w:rPr>
        <w:instrText xml:space="preserve"> </w:instrText>
      </w:r>
      <w:r>
        <w:rPr>
          <w:rFonts w:hint="eastAsia"/>
        </w:rPr>
        <w:fldChar w:fldCharType="separate"/>
      </w:r>
      <w:r>
        <w:t>- 13 -</w:t>
      </w:r>
      <w:r>
        <w:rPr>
          <w:rFonts w:hint="eastAsia"/>
        </w:rPr>
        <w:fldChar w:fldCharType="end"/>
      </w:r>
      <w:r>
        <w:rPr>
          <w:rFonts w:hint="eastAsia"/>
        </w:rPr>
        <w:fldChar w:fldCharType="end"/>
      </w:r>
    </w:p>
    <w:p w14:paraId="62C1455B">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"_Toc215158852" </w:instrText>
      </w:r>
      <w:r>
        <w:fldChar w:fldCharType="separate"/>
      </w:r>
      <w:r>
        <w:rPr>
          <w:rStyle w:val="64"/>
          <w:rFonts w:hint="eastAsia" w:ascii="宋体" w:hAnsi="宋体"/>
        </w:rPr>
        <w:t>二、评定成交的标准</w:t>
      </w:r>
      <w:r>
        <w:rPr>
          <w:rFonts w:hint="eastAsia"/>
        </w:rPr>
        <w:tab/>
      </w:r>
      <w:r>
        <w:rPr>
          <w:rFonts w:hint="eastAsia"/>
        </w:rPr>
        <w:fldChar w:fldCharType="begin"/>
      </w:r>
      <w:r>
        <w:rPr>
          <w:rFonts w:hint="eastAsia"/>
        </w:rPr>
        <w:instrText xml:space="preserve"> </w:instrText>
      </w:r>
      <w:r>
        <w:instrText xml:space="preserve">PAGEREF _Toc215158852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14:paraId="2B8EADAB">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"_Toc215158853" </w:instrText>
      </w:r>
      <w:r>
        <w:fldChar w:fldCharType="separate"/>
      </w:r>
      <w:r>
        <w:rPr>
          <w:rStyle w:val="64"/>
          <w:rFonts w:hint="eastAsia" w:ascii="宋体" w:hAnsi="宋体"/>
        </w:rPr>
        <w:t>三、无效报价</w:t>
      </w:r>
      <w:r>
        <w:rPr>
          <w:rFonts w:hint="eastAsia"/>
        </w:rPr>
        <w:tab/>
      </w:r>
      <w:r>
        <w:rPr>
          <w:rFonts w:hint="eastAsia"/>
        </w:rPr>
        <w:fldChar w:fldCharType="begin"/>
      </w:r>
      <w:r>
        <w:rPr>
          <w:rFonts w:hint="eastAsia"/>
        </w:rPr>
        <w:instrText xml:space="preserve"> </w:instrText>
      </w:r>
      <w:r>
        <w:instrText xml:space="preserve">PAGEREF _Toc215158853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14:paraId="1BA94B65">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"_Toc215158854" </w:instrText>
      </w:r>
      <w:r>
        <w:fldChar w:fldCharType="separate"/>
      </w:r>
      <w:r>
        <w:rPr>
          <w:rStyle w:val="64"/>
          <w:rFonts w:hint="eastAsia" w:ascii="宋体" w:hAnsi="宋体"/>
        </w:rPr>
        <w:t>四、采购终止</w:t>
      </w:r>
      <w:r>
        <w:rPr>
          <w:rFonts w:hint="eastAsia"/>
        </w:rPr>
        <w:tab/>
      </w:r>
      <w:r>
        <w:rPr>
          <w:rFonts w:hint="eastAsia"/>
        </w:rPr>
        <w:fldChar w:fldCharType="begin"/>
      </w:r>
      <w:r>
        <w:rPr>
          <w:rFonts w:hint="eastAsia"/>
        </w:rPr>
        <w:instrText xml:space="preserve"> </w:instrText>
      </w:r>
      <w:r>
        <w:instrText xml:space="preserve">PAGEREF _Toc215158854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14:paraId="48BE261A">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"_Toc215158855" </w:instrText>
      </w:r>
      <w:r>
        <w:fldChar w:fldCharType="separate"/>
      </w:r>
      <w:r>
        <w:rPr>
          <w:rStyle w:val="64"/>
          <w:rFonts w:hint="eastAsia" w:ascii="宋体" w:hAnsi="宋体"/>
        </w:rPr>
        <w:t>五、重新比选和不再比选</w:t>
      </w:r>
      <w:r>
        <w:rPr>
          <w:rFonts w:hint="eastAsia"/>
        </w:rPr>
        <w:tab/>
      </w:r>
      <w:r>
        <w:rPr>
          <w:rFonts w:hint="eastAsia"/>
        </w:rPr>
        <w:fldChar w:fldCharType="begin"/>
      </w:r>
      <w:r>
        <w:rPr>
          <w:rFonts w:hint="eastAsia"/>
        </w:rPr>
        <w:instrText xml:space="preserve"> </w:instrText>
      </w:r>
      <w:r>
        <w:instrText xml:space="preserve">PAGEREF _Toc215158855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14:paraId="41C88711">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"_Toc215158856" </w:instrText>
      </w:r>
      <w:r>
        <w:fldChar w:fldCharType="separate"/>
      </w:r>
      <w:r>
        <w:rPr>
          <w:rStyle w:val="64"/>
          <w:rFonts w:hint="eastAsia" w:ascii="宋体" w:hAnsi="宋体"/>
        </w:rPr>
        <w:t>第五篇  投标人须知</w:t>
      </w:r>
      <w:r>
        <w:rPr>
          <w:rFonts w:hint="eastAsia"/>
        </w:rPr>
        <w:tab/>
      </w:r>
      <w:r>
        <w:rPr>
          <w:rFonts w:hint="eastAsia"/>
        </w:rPr>
        <w:fldChar w:fldCharType="begin"/>
      </w:r>
      <w:r>
        <w:rPr>
          <w:rFonts w:hint="eastAsia"/>
        </w:rPr>
        <w:instrText xml:space="preserve"> </w:instrText>
      </w:r>
      <w:r>
        <w:instrText xml:space="preserve">PAGEREF _Toc215158856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44F265E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"_Toc215158857" </w:instrText>
      </w:r>
      <w:r>
        <w:fldChar w:fldCharType="separate"/>
      </w:r>
      <w:r>
        <w:rPr>
          <w:rStyle w:val="64"/>
          <w:rFonts w:hint="eastAsia" w:ascii="宋体" w:hAnsi="宋体"/>
        </w:rPr>
        <w:t>一、比选费用</w:t>
      </w:r>
      <w:r>
        <w:rPr>
          <w:rFonts w:hint="eastAsia"/>
        </w:rPr>
        <w:tab/>
      </w:r>
      <w:r>
        <w:rPr>
          <w:rFonts w:hint="eastAsia"/>
        </w:rPr>
        <w:fldChar w:fldCharType="begin"/>
      </w:r>
      <w:r>
        <w:rPr>
          <w:rFonts w:hint="eastAsia"/>
        </w:rPr>
        <w:instrText xml:space="preserve"> </w:instrText>
      </w:r>
      <w:r>
        <w:instrText xml:space="preserve">PAGEREF _Toc215158857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223D0B44">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"_Toc215158858" </w:instrText>
      </w:r>
      <w:r>
        <w:fldChar w:fldCharType="separate"/>
      </w:r>
      <w:r>
        <w:rPr>
          <w:rStyle w:val="64"/>
          <w:rFonts w:hint="eastAsia" w:ascii="宋体" w:hAnsi="宋体"/>
        </w:rPr>
        <w:t>二、竞争性比选文件</w:t>
      </w:r>
      <w:r>
        <w:rPr>
          <w:rFonts w:hint="eastAsia"/>
        </w:rPr>
        <w:tab/>
      </w:r>
      <w:r>
        <w:rPr>
          <w:rFonts w:hint="eastAsia"/>
        </w:rPr>
        <w:fldChar w:fldCharType="begin"/>
      </w:r>
      <w:r>
        <w:rPr>
          <w:rFonts w:hint="eastAsia"/>
        </w:rPr>
        <w:instrText xml:space="preserve"> </w:instrText>
      </w:r>
      <w:r>
        <w:instrText xml:space="preserve">PAGEREF _Toc215158858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1AE60533">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"_Toc215158859" </w:instrText>
      </w:r>
      <w:r>
        <w:fldChar w:fldCharType="separate"/>
      </w:r>
      <w:r>
        <w:rPr>
          <w:rStyle w:val="64"/>
          <w:rFonts w:hint="eastAsia" w:ascii="宋体" w:hAnsi="宋体"/>
        </w:rPr>
        <w:t>三、报价要求</w:t>
      </w:r>
      <w:r>
        <w:rPr>
          <w:rFonts w:hint="eastAsia"/>
        </w:rPr>
        <w:tab/>
      </w:r>
      <w:r>
        <w:rPr>
          <w:rFonts w:hint="eastAsia"/>
        </w:rPr>
        <w:fldChar w:fldCharType="begin"/>
      </w:r>
      <w:r>
        <w:rPr>
          <w:rFonts w:hint="eastAsia"/>
        </w:rPr>
        <w:instrText xml:space="preserve"> </w:instrText>
      </w:r>
      <w:r>
        <w:instrText xml:space="preserve">PAGEREF _Toc215158859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056232AC">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"_Toc215158860" </w:instrText>
      </w:r>
      <w:r>
        <w:fldChar w:fldCharType="separate"/>
      </w:r>
      <w:r>
        <w:rPr>
          <w:rStyle w:val="64"/>
          <w:rFonts w:hint="eastAsia" w:ascii="宋体" w:hAnsi="宋体"/>
        </w:rPr>
        <w:t>四、中标人的确定和变更</w:t>
      </w:r>
      <w:r>
        <w:rPr>
          <w:rFonts w:hint="eastAsia"/>
        </w:rPr>
        <w:tab/>
      </w:r>
      <w:r>
        <w:rPr>
          <w:rFonts w:hint="eastAsia"/>
        </w:rPr>
        <w:fldChar w:fldCharType="begin"/>
      </w:r>
      <w:r>
        <w:rPr>
          <w:rFonts w:hint="eastAsia"/>
        </w:rPr>
        <w:instrText xml:space="preserve"> </w:instrText>
      </w:r>
      <w:r>
        <w:instrText xml:space="preserve">PAGEREF _Toc215158860 \h</w:instrText>
      </w:r>
      <w:r>
        <w:rPr>
          <w:rFonts w:hint="eastAsia"/>
        </w:rPr>
        <w:instrText xml:space="preserve"> </w:instrText>
      </w:r>
      <w:r>
        <w:rPr>
          <w:rFonts w:hint="eastAsia"/>
        </w:rPr>
        <w:fldChar w:fldCharType="separate"/>
      </w:r>
      <w:r>
        <w:t>- 17 -</w:t>
      </w:r>
      <w:r>
        <w:rPr>
          <w:rFonts w:hint="eastAsia"/>
        </w:rPr>
        <w:fldChar w:fldCharType="end"/>
      </w:r>
      <w:r>
        <w:rPr>
          <w:rFonts w:hint="eastAsia"/>
        </w:rPr>
        <w:fldChar w:fldCharType="end"/>
      </w:r>
    </w:p>
    <w:p w14:paraId="233EAC5B">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"_Toc215158861" </w:instrText>
      </w:r>
      <w:r>
        <w:fldChar w:fldCharType="separate"/>
      </w:r>
      <w:r>
        <w:rPr>
          <w:rStyle w:val="64"/>
          <w:rFonts w:hint="eastAsia" w:ascii="宋体" w:hAnsi="宋体"/>
        </w:rPr>
        <w:t>五、成交通知</w:t>
      </w:r>
      <w:r>
        <w:rPr>
          <w:rFonts w:hint="eastAsia"/>
        </w:rPr>
        <w:tab/>
      </w:r>
      <w:r>
        <w:rPr>
          <w:rFonts w:hint="eastAsia"/>
        </w:rPr>
        <w:fldChar w:fldCharType="begin"/>
      </w:r>
      <w:r>
        <w:rPr>
          <w:rFonts w:hint="eastAsia"/>
        </w:rPr>
        <w:instrText xml:space="preserve"> </w:instrText>
      </w:r>
      <w:r>
        <w:instrText xml:space="preserve">PAGEREF _Toc215158861 \h</w:instrText>
      </w:r>
      <w:r>
        <w:rPr>
          <w:rFonts w:hint="eastAsia"/>
        </w:rPr>
        <w:instrText xml:space="preserve"> </w:instrText>
      </w:r>
      <w:r>
        <w:rPr>
          <w:rFonts w:hint="eastAsia"/>
        </w:rPr>
        <w:fldChar w:fldCharType="separate"/>
      </w:r>
      <w:r>
        <w:t>- 17 -</w:t>
      </w:r>
      <w:r>
        <w:rPr>
          <w:rFonts w:hint="eastAsia"/>
        </w:rPr>
        <w:fldChar w:fldCharType="end"/>
      </w:r>
      <w:r>
        <w:rPr>
          <w:rFonts w:hint="eastAsia"/>
        </w:rPr>
        <w:fldChar w:fldCharType="end"/>
      </w:r>
    </w:p>
    <w:p w14:paraId="3666D78E">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"_Toc215158862" </w:instrText>
      </w:r>
      <w:r>
        <w:fldChar w:fldCharType="separate"/>
      </w:r>
      <w:r>
        <w:rPr>
          <w:rStyle w:val="64"/>
          <w:rFonts w:hint="eastAsia" w:ascii="宋体" w:hAnsi="宋体"/>
        </w:rPr>
        <w:t>六、关于质疑</w:t>
      </w:r>
      <w:r>
        <w:rPr>
          <w:rFonts w:hint="eastAsia"/>
        </w:rPr>
        <w:tab/>
      </w:r>
      <w:r>
        <w:rPr>
          <w:rFonts w:hint="eastAsia"/>
        </w:rPr>
        <w:fldChar w:fldCharType="begin"/>
      </w:r>
      <w:r>
        <w:rPr>
          <w:rFonts w:hint="eastAsia"/>
        </w:rPr>
        <w:instrText xml:space="preserve"> </w:instrText>
      </w:r>
      <w:r>
        <w:instrText xml:space="preserve">PAGEREF _Toc215158862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14:paraId="22683AC7">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"_Toc215158863" </w:instrText>
      </w:r>
      <w:r>
        <w:fldChar w:fldCharType="separate"/>
      </w:r>
      <w:r>
        <w:rPr>
          <w:rStyle w:val="64"/>
          <w:rFonts w:hint="eastAsia" w:ascii="宋体" w:hAnsi="宋体"/>
        </w:rPr>
        <w:t>七、签订合同</w:t>
      </w:r>
      <w:r>
        <w:rPr>
          <w:rFonts w:hint="eastAsia"/>
        </w:rPr>
        <w:tab/>
      </w:r>
      <w:r>
        <w:rPr>
          <w:rFonts w:hint="eastAsia"/>
        </w:rPr>
        <w:fldChar w:fldCharType="begin"/>
      </w:r>
      <w:r>
        <w:rPr>
          <w:rFonts w:hint="eastAsia"/>
        </w:rPr>
        <w:instrText xml:space="preserve"> </w:instrText>
      </w:r>
      <w:r>
        <w:instrText xml:space="preserve">PAGEREF _Toc215158863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14:paraId="13A3B61E">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"_Toc215158864" </w:instrText>
      </w:r>
      <w:r>
        <w:fldChar w:fldCharType="separate"/>
      </w:r>
      <w:r>
        <w:rPr>
          <w:rStyle w:val="64"/>
          <w:rFonts w:hint="eastAsia" w:ascii="宋体" w:hAnsi="宋体"/>
        </w:rPr>
        <w:t>八、项目验收</w:t>
      </w:r>
      <w:r>
        <w:rPr>
          <w:rFonts w:hint="eastAsia"/>
        </w:rPr>
        <w:tab/>
      </w:r>
      <w:r>
        <w:rPr>
          <w:rFonts w:hint="eastAsia"/>
        </w:rPr>
        <w:fldChar w:fldCharType="begin"/>
      </w:r>
      <w:r>
        <w:rPr>
          <w:rFonts w:hint="eastAsia"/>
        </w:rPr>
        <w:instrText xml:space="preserve"> </w:instrText>
      </w:r>
      <w:r>
        <w:instrText xml:space="preserve">PAGEREF _Toc215158864 \h</w:instrText>
      </w:r>
      <w:r>
        <w:rPr>
          <w:rFonts w:hint="eastAsia"/>
        </w:rPr>
        <w:instrText xml:space="preserve"> </w:instrText>
      </w:r>
      <w:r>
        <w:rPr>
          <w:rFonts w:hint="eastAsia"/>
        </w:rPr>
        <w:fldChar w:fldCharType="separate"/>
      </w:r>
      <w:r>
        <w:t>- 19 -</w:t>
      </w:r>
      <w:r>
        <w:rPr>
          <w:rFonts w:hint="eastAsia"/>
        </w:rPr>
        <w:fldChar w:fldCharType="end"/>
      </w:r>
      <w:r>
        <w:rPr>
          <w:rFonts w:hint="eastAsia"/>
        </w:rPr>
        <w:fldChar w:fldCharType="end"/>
      </w:r>
    </w:p>
    <w:p w14:paraId="0A8E5DD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"_Toc215158865" </w:instrText>
      </w:r>
      <w:r>
        <w:fldChar w:fldCharType="separate"/>
      </w:r>
      <w:r>
        <w:rPr>
          <w:rStyle w:val="64"/>
          <w:rFonts w:hint="eastAsia" w:ascii="宋体" w:hAnsi="宋体"/>
        </w:rPr>
        <w:t>九、招标代理服务费</w:t>
      </w:r>
      <w:r>
        <w:rPr>
          <w:rFonts w:hint="eastAsia"/>
        </w:rPr>
        <w:tab/>
      </w:r>
      <w:r>
        <w:rPr>
          <w:rFonts w:hint="eastAsia"/>
        </w:rPr>
        <w:fldChar w:fldCharType="begin"/>
      </w:r>
      <w:r>
        <w:rPr>
          <w:rFonts w:hint="eastAsia"/>
        </w:rPr>
        <w:instrText xml:space="preserve"> </w:instrText>
      </w:r>
      <w:r>
        <w:instrText xml:space="preserve">PAGEREF _Toc215158865 \h</w:instrText>
      </w:r>
      <w:r>
        <w:rPr>
          <w:rFonts w:hint="eastAsia"/>
        </w:rPr>
        <w:instrText xml:space="preserve"> </w:instrText>
      </w:r>
      <w:r>
        <w:rPr>
          <w:rFonts w:hint="eastAsia"/>
        </w:rPr>
        <w:fldChar w:fldCharType="separate"/>
      </w:r>
      <w:r>
        <w:t>- 19 -</w:t>
      </w:r>
      <w:r>
        <w:rPr>
          <w:rFonts w:hint="eastAsia"/>
        </w:rPr>
        <w:fldChar w:fldCharType="end"/>
      </w:r>
      <w:r>
        <w:rPr>
          <w:rFonts w:hint="eastAsia"/>
        </w:rPr>
        <w:fldChar w:fldCharType="end"/>
      </w:r>
    </w:p>
    <w:p w14:paraId="12B3AD45">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"_Toc215158866" </w:instrText>
      </w:r>
      <w:r>
        <w:fldChar w:fldCharType="separate"/>
      </w:r>
      <w:r>
        <w:rPr>
          <w:rStyle w:val="64"/>
          <w:rFonts w:hint="eastAsia" w:ascii="宋体" w:hAnsi="宋体"/>
        </w:rPr>
        <w:t>第六篇  合同条款</w:t>
      </w:r>
      <w:r>
        <w:rPr>
          <w:rFonts w:hint="eastAsia"/>
        </w:rPr>
        <w:tab/>
      </w:r>
      <w:r>
        <w:rPr>
          <w:rFonts w:hint="eastAsia"/>
        </w:rPr>
        <w:fldChar w:fldCharType="begin"/>
      </w:r>
      <w:r>
        <w:rPr>
          <w:rFonts w:hint="eastAsia"/>
        </w:rPr>
        <w:instrText xml:space="preserve"> </w:instrText>
      </w:r>
      <w:r>
        <w:instrText xml:space="preserve">PAGEREF _Toc215158866 \h</w:instrText>
      </w:r>
      <w:r>
        <w:rPr>
          <w:rFonts w:hint="eastAsia"/>
        </w:rPr>
        <w:instrText xml:space="preserve"> </w:instrText>
      </w:r>
      <w:r>
        <w:rPr>
          <w:rFonts w:hint="eastAsia"/>
        </w:rPr>
        <w:fldChar w:fldCharType="separate"/>
      </w:r>
      <w:r>
        <w:t>- 20 -</w:t>
      </w:r>
      <w:r>
        <w:rPr>
          <w:rFonts w:hint="eastAsia"/>
        </w:rPr>
        <w:fldChar w:fldCharType="end"/>
      </w:r>
      <w:r>
        <w:rPr>
          <w:rFonts w:hint="eastAsia"/>
        </w:rPr>
        <w:fldChar w:fldCharType="end"/>
      </w:r>
    </w:p>
    <w:p w14:paraId="120AFC92">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"_Toc215158867" </w:instrText>
      </w:r>
      <w:r>
        <w:fldChar w:fldCharType="separate"/>
      </w:r>
      <w:r>
        <w:rPr>
          <w:rStyle w:val="64"/>
          <w:rFonts w:hint="eastAsia" w:ascii="宋体" w:hAnsi="宋体"/>
        </w:rPr>
        <w:t>第七篇  响应文件格式要求</w:t>
      </w:r>
      <w:r>
        <w:rPr>
          <w:rFonts w:hint="eastAsia"/>
        </w:rPr>
        <w:tab/>
      </w:r>
      <w:r>
        <w:rPr>
          <w:rFonts w:hint="eastAsia"/>
        </w:rPr>
        <w:fldChar w:fldCharType="begin"/>
      </w:r>
      <w:r>
        <w:rPr>
          <w:rFonts w:hint="eastAsia"/>
        </w:rPr>
        <w:instrText xml:space="preserve"> </w:instrText>
      </w:r>
      <w:r>
        <w:instrText xml:space="preserve">PAGEREF _Toc215158867 \h</w:instrText>
      </w:r>
      <w:r>
        <w:rPr>
          <w:rFonts w:hint="eastAsia"/>
        </w:rPr>
        <w:instrText xml:space="preserve"> </w:instrText>
      </w:r>
      <w:r>
        <w:rPr>
          <w:rFonts w:hint="eastAsia"/>
        </w:rPr>
        <w:fldChar w:fldCharType="separate"/>
      </w:r>
      <w:r>
        <w:t>- 31 -</w:t>
      </w:r>
      <w:r>
        <w:rPr>
          <w:rFonts w:hint="eastAsia"/>
        </w:rPr>
        <w:fldChar w:fldCharType="end"/>
      </w:r>
      <w:r>
        <w:rPr>
          <w:rFonts w:hint="eastAsia"/>
        </w:rPr>
        <w:fldChar w:fldCharType="end"/>
      </w:r>
    </w:p>
    <w:p w14:paraId="4A8831F9">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"_Toc215158868" </w:instrText>
      </w:r>
      <w:r>
        <w:fldChar w:fldCharType="separate"/>
      </w:r>
      <w:r>
        <w:rPr>
          <w:rStyle w:val="64"/>
          <w:rFonts w:hint="eastAsia" w:ascii="宋体" w:hAnsi="宋体"/>
        </w:rPr>
        <w:t>一、经济部分</w:t>
      </w:r>
      <w:r>
        <w:rPr>
          <w:rFonts w:hint="eastAsia"/>
        </w:rPr>
        <w:tab/>
      </w:r>
      <w:r>
        <w:rPr>
          <w:rFonts w:hint="eastAsia"/>
        </w:rPr>
        <w:fldChar w:fldCharType="begin"/>
      </w:r>
      <w:r>
        <w:rPr>
          <w:rFonts w:hint="eastAsia"/>
        </w:rPr>
        <w:instrText xml:space="preserve"> </w:instrText>
      </w:r>
      <w:r>
        <w:instrText xml:space="preserve">PAGEREF _Toc215158868 \h</w:instrText>
      </w:r>
      <w:r>
        <w:rPr>
          <w:rFonts w:hint="eastAsia"/>
        </w:rPr>
        <w:instrText xml:space="preserve"> </w:instrText>
      </w:r>
      <w:r>
        <w:rPr>
          <w:rFonts w:hint="eastAsia"/>
        </w:rPr>
        <w:fldChar w:fldCharType="separate"/>
      </w:r>
      <w:r>
        <w:t>- 32 -</w:t>
      </w:r>
      <w:r>
        <w:rPr>
          <w:rFonts w:hint="eastAsia"/>
        </w:rPr>
        <w:fldChar w:fldCharType="end"/>
      </w:r>
      <w:r>
        <w:rPr>
          <w:rFonts w:hint="eastAsia"/>
        </w:rPr>
        <w:fldChar w:fldCharType="end"/>
      </w:r>
    </w:p>
    <w:p w14:paraId="65F1FB7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"_Toc215158869" </w:instrText>
      </w:r>
      <w:r>
        <w:fldChar w:fldCharType="separate"/>
      </w:r>
      <w:r>
        <w:rPr>
          <w:rStyle w:val="64"/>
          <w:rFonts w:hint="eastAsia" w:ascii="宋体" w:hAnsi="宋体"/>
        </w:rPr>
        <w:t>二、技术部分</w:t>
      </w:r>
      <w:r>
        <w:rPr>
          <w:rFonts w:hint="eastAsia"/>
        </w:rPr>
        <w:tab/>
      </w:r>
      <w:r>
        <w:rPr>
          <w:rFonts w:hint="eastAsia"/>
        </w:rPr>
        <w:fldChar w:fldCharType="begin"/>
      </w:r>
      <w:r>
        <w:rPr>
          <w:rFonts w:hint="eastAsia"/>
        </w:rPr>
        <w:instrText xml:space="preserve"> </w:instrText>
      </w:r>
      <w:r>
        <w:instrText xml:space="preserve">PAGEREF _Toc215158869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14:paraId="0F49E90B">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"_Toc215158873" </w:instrText>
      </w:r>
      <w:r>
        <w:fldChar w:fldCharType="separate"/>
      </w:r>
      <w:r>
        <w:rPr>
          <w:rStyle w:val="64"/>
          <w:rFonts w:hint="eastAsia" w:ascii="宋体" w:hAnsi="宋体"/>
        </w:rPr>
        <w:t>三、服务部分</w:t>
      </w:r>
      <w:r>
        <w:rPr>
          <w:rFonts w:hint="eastAsia"/>
        </w:rPr>
        <w:tab/>
      </w:r>
      <w:r>
        <w:rPr>
          <w:rFonts w:hint="eastAsia"/>
        </w:rPr>
        <w:fldChar w:fldCharType="begin"/>
      </w:r>
      <w:r>
        <w:rPr>
          <w:rFonts w:hint="eastAsia"/>
        </w:rPr>
        <w:instrText xml:space="preserve"> </w:instrText>
      </w:r>
      <w:r>
        <w:instrText xml:space="preserve">PAGEREF _Toc215158873 \h</w:instrText>
      </w:r>
      <w:r>
        <w:rPr>
          <w:rFonts w:hint="eastAsia"/>
        </w:rPr>
        <w:instrText xml:space="preserve"> </w:instrText>
      </w:r>
      <w:r>
        <w:rPr>
          <w:rFonts w:hint="eastAsia"/>
        </w:rPr>
        <w:fldChar w:fldCharType="separate"/>
      </w:r>
      <w:r>
        <w:t>- 35 -</w:t>
      </w:r>
      <w:r>
        <w:rPr>
          <w:rFonts w:hint="eastAsia"/>
        </w:rPr>
        <w:fldChar w:fldCharType="end"/>
      </w:r>
      <w:r>
        <w:rPr>
          <w:rFonts w:hint="eastAsia"/>
        </w:rPr>
        <w:fldChar w:fldCharType="end"/>
      </w:r>
    </w:p>
    <w:p w14:paraId="217DFD6D">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"_Toc215158882" </w:instrText>
      </w:r>
      <w:r>
        <w:fldChar w:fldCharType="separate"/>
      </w:r>
      <w:r>
        <w:rPr>
          <w:rStyle w:val="64"/>
          <w:rFonts w:hint="eastAsia" w:ascii="宋体" w:hAnsi="宋体"/>
        </w:rPr>
        <w:t>四、资格条件及其他</w:t>
      </w:r>
      <w:r>
        <w:rPr>
          <w:rFonts w:hint="eastAsia"/>
        </w:rPr>
        <w:tab/>
      </w:r>
      <w:r>
        <w:rPr>
          <w:rFonts w:hint="eastAsia"/>
        </w:rPr>
        <w:fldChar w:fldCharType="begin"/>
      </w:r>
      <w:r>
        <w:rPr>
          <w:rFonts w:hint="eastAsia"/>
        </w:rPr>
        <w:instrText xml:space="preserve"> </w:instrText>
      </w:r>
      <w:r>
        <w:instrText xml:space="preserve">PAGEREF _Toc215158882 \h</w:instrText>
      </w:r>
      <w:r>
        <w:rPr>
          <w:rFonts w:hint="eastAsia"/>
        </w:rPr>
        <w:instrText xml:space="preserve"> </w:instrText>
      </w:r>
      <w:r>
        <w:rPr>
          <w:rFonts w:hint="eastAsia"/>
        </w:rPr>
        <w:fldChar w:fldCharType="separate"/>
      </w:r>
      <w:r>
        <w:t>- 43 -</w:t>
      </w:r>
      <w:r>
        <w:rPr>
          <w:rFonts w:hint="eastAsia"/>
        </w:rPr>
        <w:fldChar w:fldCharType="end"/>
      </w:r>
      <w:r>
        <w:rPr>
          <w:rFonts w:hint="eastAsia"/>
        </w:rPr>
        <w:fldChar w:fldCharType="end"/>
      </w:r>
    </w:p>
    <w:p w14:paraId="796FFB70">
      <w:pPr>
        <w:pStyle w:val="45"/>
        <w:tabs>
          <w:tab w:val="right" w:leader="dot" w:pos="9402"/>
        </w:tabs>
        <w:ind w:left="560"/>
        <w:rPr>
          <w:rFonts w:hint="eastAsia" w:asciiTheme="minorHAnsi" w:hAnsiTheme="minorHAnsi" w:eastAsiaTheme="minorEastAsia" w:cstheme="minorBidi"/>
          <w:sz w:val="22"/>
          <w:szCs w:val="24"/>
          <w14:ligatures w14:val="standardContextual"/>
        </w:rPr>
      </w:pPr>
      <w:r>
        <w:fldChar w:fldCharType="begin"/>
      </w:r>
      <w:r>
        <w:instrText xml:space="preserve"> HYPERLINK \l "_Toc215158883" </w:instrText>
      </w:r>
      <w:r>
        <w:fldChar w:fldCharType="separate"/>
      </w:r>
      <w:r>
        <w:rPr>
          <w:rStyle w:val="64"/>
          <w:rFonts w:hint="eastAsia" w:ascii="宋体" w:hAnsi="宋体"/>
        </w:rPr>
        <w:t>五、其他资料</w:t>
      </w:r>
      <w:r>
        <w:rPr>
          <w:rFonts w:hint="eastAsia"/>
        </w:rPr>
        <w:tab/>
      </w:r>
      <w:r>
        <w:rPr>
          <w:rFonts w:hint="eastAsia"/>
        </w:rPr>
        <w:fldChar w:fldCharType="begin"/>
      </w:r>
      <w:r>
        <w:rPr>
          <w:rFonts w:hint="eastAsia"/>
        </w:rPr>
        <w:instrText xml:space="preserve"> </w:instrText>
      </w:r>
      <w:r>
        <w:instrText xml:space="preserve">PAGEREF _Toc215158883 \h</w:instrText>
      </w:r>
      <w:r>
        <w:rPr>
          <w:rFonts w:hint="eastAsia"/>
        </w:rPr>
        <w:instrText xml:space="preserve"> </w:instrText>
      </w:r>
      <w:r>
        <w:rPr>
          <w:rFonts w:hint="eastAsia"/>
        </w:rPr>
        <w:fldChar w:fldCharType="separate"/>
      </w:r>
      <w:r>
        <w:t>- 48 -</w:t>
      </w:r>
      <w:r>
        <w:rPr>
          <w:rFonts w:hint="eastAsia"/>
        </w:rPr>
        <w:fldChar w:fldCharType="end"/>
      </w:r>
      <w:r>
        <w:rPr>
          <w:rFonts w:hint="eastAsia"/>
        </w:rPr>
        <w:fldChar w:fldCharType="end"/>
      </w:r>
    </w:p>
    <w:p w14:paraId="580DE468">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14:paraId="28005934">
      <w:pPr>
        <w:pStyle w:val="4"/>
        <w:spacing w:before="0" w:after="0" w:line="360" w:lineRule="auto"/>
        <w:jc w:val="center"/>
        <w:rPr>
          <w:rFonts w:hint="eastAsia" w:ascii="宋体" w:hAnsi="宋体" w:eastAsia="宋体"/>
          <w:b w:val="0"/>
          <w:sz w:val="36"/>
          <w:szCs w:val="30"/>
        </w:rPr>
      </w:pPr>
      <w:bookmarkStart w:id="0" w:name="_Toc15726"/>
      <w:bookmarkStart w:id="1" w:name="_Toc24817"/>
      <w:bookmarkStart w:id="2" w:name="_Toc11641050"/>
      <w:bookmarkStart w:id="3" w:name="_Toc12789052"/>
      <w:bookmarkStart w:id="4" w:name="_Toc106034769"/>
      <w:bookmarkStart w:id="5" w:name="_Toc24173"/>
      <w:bookmarkStart w:id="6" w:name="_Toc12890"/>
      <w:bookmarkStart w:id="7" w:name="_Toc65660329"/>
      <w:bookmarkStart w:id="8" w:name="_Toc215158829"/>
      <w:r>
        <w:rPr>
          <w:rFonts w:hint="eastAsia" w:ascii="宋体" w:hAnsi="宋体" w:eastAsia="宋体"/>
          <w:b w:val="0"/>
          <w:sz w:val="36"/>
          <w:szCs w:val="30"/>
        </w:rPr>
        <w:t xml:space="preserve">第一篇  </w:t>
      </w:r>
      <w:bookmarkEnd w:id="0"/>
      <w:bookmarkEnd w:id="1"/>
      <w:bookmarkEnd w:id="2"/>
      <w:bookmarkEnd w:id="3"/>
      <w:bookmarkEnd w:id="4"/>
      <w:bookmarkEnd w:id="5"/>
      <w:bookmarkEnd w:id="6"/>
      <w:bookmarkEnd w:id="7"/>
      <w:r>
        <w:rPr>
          <w:rFonts w:hint="eastAsia" w:ascii="宋体" w:hAnsi="宋体" w:eastAsia="宋体" w:cs="Arial"/>
          <w:b w:val="0"/>
          <w:sz w:val="36"/>
        </w:rPr>
        <w:t>竞争性比选公告</w:t>
      </w:r>
      <w:bookmarkEnd w:id="8"/>
    </w:p>
    <w:p w14:paraId="306AD730">
      <w:pPr>
        <w:snapToGrid w:val="0"/>
        <w:spacing w:line="400" w:lineRule="exact"/>
        <w:ind w:firstLine="480" w:firstLineChars="200"/>
        <w:rPr>
          <w:rFonts w:hint="eastAsia" w:ascii="宋体" w:hAnsi="宋体"/>
          <w:sz w:val="24"/>
          <w:szCs w:val="24"/>
        </w:rPr>
      </w:pPr>
      <w:r>
        <w:rPr>
          <w:rFonts w:hint="eastAsia" w:ascii="宋体" w:hAnsi="宋体"/>
          <w:sz w:val="24"/>
          <w:szCs w:val="24"/>
        </w:rPr>
        <w:t>重庆立生实业有限公司接受重庆兴垫农业发展有限公司的委托，对水库监控系统、监控平台安装接入建设项目（第二次）进行竞争性比选。欢迎有资格的投标人前来参加报价。</w:t>
      </w:r>
    </w:p>
    <w:p w14:paraId="0DCE283A">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9" w:name="_Toc7758"/>
      <w:bookmarkStart w:id="10" w:name="_Toc313893526"/>
      <w:bookmarkStart w:id="11" w:name="_Toc106034770"/>
      <w:bookmarkStart w:id="12" w:name="_Toc18246"/>
      <w:bookmarkStart w:id="13" w:name="_Toc65660330"/>
      <w:bookmarkStart w:id="14" w:name="_Toc215158830"/>
      <w:bookmarkStart w:id="15" w:name="_Toc10750"/>
      <w:bookmarkStart w:id="16" w:name="_Toc317775175"/>
      <w:bookmarkStart w:id="17" w:name="_Toc26091"/>
      <w:r>
        <w:rPr>
          <w:rFonts w:hint="eastAsia" w:ascii="宋体" w:hAnsi="宋体" w:eastAsia="宋体"/>
          <w:sz w:val="24"/>
        </w:rPr>
        <w:t>比选内容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14:paraId="17BD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vAlign w:val="center"/>
          </w:tcPr>
          <w:p w14:paraId="38EA001A">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vAlign w:val="center"/>
          </w:tcPr>
          <w:p w14:paraId="0412C6C8">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vAlign w:val="center"/>
          </w:tcPr>
          <w:p w14:paraId="5F609842">
            <w:pPr>
              <w:jc w:val="center"/>
              <w:rPr>
                <w:rFonts w:hint="eastAsia" w:ascii="宋体" w:hAnsi="宋体" w:cs="宋体"/>
                <w:b/>
                <w:bCs/>
                <w:kern w:val="0"/>
                <w:sz w:val="21"/>
                <w:szCs w:val="24"/>
              </w:rPr>
            </w:pPr>
            <w:r>
              <w:rPr>
                <w:rFonts w:hint="eastAsia" w:ascii="宋体" w:hAnsi="宋体" w:cs="宋体"/>
                <w:b/>
                <w:bCs/>
                <w:kern w:val="0"/>
                <w:sz w:val="21"/>
                <w:szCs w:val="24"/>
              </w:rPr>
              <w:t>中标人数量（名）</w:t>
            </w:r>
          </w:p>
        </w:tc>
      </w:tr>
      <w:tr w14:paraId="6E1D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vAlign w:val="center"/>
          </w:tcPr>
          <w:p w14:paraId="6EF6544D">
            <w:pPr>
              <w:widowControl/>
              <w:jc w:val="center"/>
              <w:rPr>
                <w:rFonts w:hint="eastAsia" w:ascii="宋体" w:hAnsi="宋体" w:cs="宋体"/>
                <w:kern w:val="0"/>
                <w:sz w:val="21"/>
                <w:szCs w:val="24"/>
              </w:rPr>
            </w:pPr>
            <w:r>
              <w:rPr>
                <w:rFonts w:hint="eastAsia" w:ascii="宋体" w:hAnsi="宋体" w:cs="宋体"/>
                <w:kern w:val="0"/>
                <w:sz w:val="21"/>
                <w:szCs w:val="24"/>
              </w:rPr>
              <w:t>水库监控系统、监控平台安装接入建设项目（第二次）</w:t>
            </w:r>
          </w:p>
        </w:tc>
        <w:tc>
          <w:tcPr>
            <w:tcW w:w="2409" w:type="dxa"/>
            <w:tcBorders>
              <w:top w:val="single" w:color="auto" w:sz="4" w:space="0"/>
              <w:left w:val="single" w:color="auto" w:sz="4" w:space="0"/>
              <w:bottom w:val="single" w:color="auto" w:sz="4" w:space="0"/>
              <w:right w:val="single" w:color="auto" w:sz="4" w:space="0"/>
            </w:tcBorders>
            <w:vAlign w:val="center"/>
          </w:tcPr>
          <w:p w14:paraId="7B0CF931">
            <w:pPr>
              <w:jc w:val="center"/>
              <w:rPr>
                <w:rFonts w:hint="eastAsia" w:ascii="宋体" w:hAnsi="宋体"/>
                <w:sz w:val="21"/>
                <w:szCs w:val="21"/>
              </w:rPr>
            </w:pPr>
            <w:r>
              <w:rPr>
                <w:rFonts w:ascii="宋体" w:hAnsi="宋体"/>
                <w:sz w:val="21"/>
                <w:szCs w:val="21"/>
              </w:rPr>
              <w:t>291455.81</w:t>
            </w:r>
          </w:p>
        </w:tc>
        <w:tc>
          <w:tcPr>
            <w:tcW w:w="2326" w:type="dxa"/>
            <w:tcBorders>
              <w:top w:val="single" w:color="auto" w:sz="4" w:space="0"/>
              <w:left w:val="single" w:color="auto" w:sz="4" w:space="0"/>
              <w:bottom w:val="single" w:color="auto" w:sz="4" w:space="0"/>
              <w:right w:val="single" w:color="auto" w:sz="4" w:space="0"/>
            </w:tcBorders>
            <w:vAlign w:val="center"/>
          </w:tcPr>
          <w:p w14:paraId="3BC0CA4E">
            <w:pPr>
              <w:jc w:val="center"/>
              <w:rPr>
                <w:rFonts w:hint="eastAsia" w:ascii="宋体" w:hAnsi="宋体"/>
                <w:sz w:val="21"/>
                <w:szCs w:val="21"/>
              </w:rPr>
            </w:pPr>
            <w:r>
              <w:rPr>
                <w:rFonts w:hint="eastAsia" w:ascii="宋体" w:hAnsi="宋体"/>
                <w:sz w:val="21"/>
                <w:szCs w:val="21"/>
              </w:rPr>
              <w:t>1</w:t>
            </w:r>
          </w:p>
        </w:tc>
      </w:tr>
    </w:tbl>
    <w:p w14:paraId="0E6A3B78">
      <w:pPr>
        <w:pStyle w:val="4"/>
        <w:adjustRightInd w:val="0"/>
        <w:snapToGrid w:val="0"/>
        <w:spacing w:before="0" w:after="0" w:line="400" w:lineRule="exact"/>
        <w:ind w:firstLine="482" w:firstLineChars="200"/>
        <w:rPr>
          <w:rFonts w:hint="eastAsia" w:ascii="宋体" w:hAnsi="宋体" w:eastAsia="宋体"/>
          <w:sz w:val="24"/>
        </w:rPr>
      </w:pPr>
      <w:bookmarkStart w:id="18" w:name="_Toc2795"/>
      <w:bookmarkStart w:id="19" w:name="_Toc106034771"/>
      <w:bookmarkStart w:id="20" w:name="_Toc3256"/>
      <w:bookmarkStart w:id="21" w:name="_Toc65660331"/>
      <w:bookmarkStart w:id="22" w:name="_Toc4424"/>
      <w:bookmarkStart w:id="23" w:name="_Toc27028"/>
      <w:bookmarkStart w:id="24" w:name="_Toc215158831"/>
      <w:bookmarkStart w:id="25" w:name="_Toc373860293"/>
      <w:bookmarkStart w:id="26" w:name="_Toc317775178"/>
      <w:r>
        <w:rPr>
          <w:rFonts w:hint="eastAsia" w:ascii="宋体" w:hAnsi="宋体" w:eastAsia="宋体"/>
          <w:sz w:val="24"/>
        </w:rPr>
        <w:t>二、资金来源</w:t>
      </w:r>
      <w:bookmarkEnd w:id="18"/>
      <w:bookmarkEnd w:id="19"/>
      <w:bookmarkEnd w:id="20"/>
      <w:bookmarkEnd w:id="21"/>
      <w:bookmarkEnd w:id="22"/>
      <w:bookmarkEnd w:id="23"/>
      <w:bookmarkEnd w:id="24"/>
    </w:p>
    <w:p w14:paraId="1C78275D">
      <w:pPr>
        <w:spacing w:line="400" w:lineRule="exact"/>
        <w:ind w:firstLine="480" w:firstLineChars="200"/>
        <w:rPr>
          <w:rFonts w:hint="eastAsia" w:ascii="宋体" w:hAnsi="宋体"/>
          <w:sz w:val="24"/>
          <w:szCs w:val="24"/>
        </w:rPr>
      </w:pPr>
      <w:r>
        <w:rPr>
          <w:rFonts w:hint="eastAsia" w:ascii="宋体" w:hAnsi="宋体"/>
          <w:sz w:val="24"/>
          <w:szCs w:val="24"/>
        </w:rPr>
        <w:t>企业自筹资金，总预算</w:t>
      </w:r>
      <w:r>
        <w:rPr>
          <w:rFonts w:ascii="宋体" w:hAnsi="宋体"/>
          <w:sz w:val="24"/>
          <w:szCs w:val="24"/>
        </w:rPr>
        <w:t>291455.81</w:t>
      </w:r>
      <w:r>
        <w:rPr>
          <w:rFonts w:hint="eastAsia" w:ascii="宋体" w:hAnsi="宋体"/>
          <w:sz w:val="24"/>
          <w:szCs w:val="24"/>
        </w:rPr>
        <w:t>元。</w:t>
      </w:r>
    </w:p>
    <w:p w14:paraId="488ADA2D">
      <w:pPr>
        <w:pStyle w:val="4"/>
        <w:adjustRightInd w:val="0"/>
        <w:snapToGrid w:val="0"/>
        <w:spacing w:before="0" w:after="0" w:line="400" w:lineRule="exact"/>
        <w:ind w:firstLine="482" w:firstLineChars="200"/>
        <w:rPr>
          <w:rFonts w:hint="eastAsia" w:ascii="宋体" w:hAnsi="宋体" w:eastAsia="宋体"/>
          <w:sz w:val="24"/>
        </w:rPr>
      </w:pPr>
      <w:bookmarkStart w:id="27" w:name="_Toc18548"/>
      <w:bookmarkStart w:id="28" w:name="_Toc13541"/>
      <w:bookmarkStart w:id="29" w:name="_Toc18124"/>
      <w:bookmarkStart w:id="30" w:name="_Toc106034772"/>
      <w:bookmarkStart w:id="31" w:name="_Toc20867"/>
      <w:bookmarkStart w:id="32" w:name="_Toc65660332"/>
      <w:bookmarkStart w:id="33" w:name="_Toc64731996"/>
      <w:bookmarkStart w:id="34" w:name="_Toc215158832"/>
      <w:r>
        <w:rPr>
          <w:rFonts w:hint="eastAsia" w:ascii="宋体" w:hAnsi="宋体" w:eastAsia="宋体"/>
          <w:sz w:val="24"/>
        </w:rPr>
        <w:t>三、投标人资格条件</w:t>
      </w:r>
      <w:bookmarkEnd w:id="27"/>
      <w:bookmarkEnd w:id="28"/>
      <w:bookmarkEnd w:id="29"/>
      <w:bookmarkEnd w:id="30"/>
      <w:bookmarkEnd w:id="31"/>
      <w:bookmarkEnd w:id="32"/>
      <w:bookmarkEnd w:id="33"/>
      <w:bookmarkEnd w:id="34"/>
    </w:p>
    <w:p w14:paraId="11E0BD74">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14:paraId="75D0BB17">
      <w:pPr>
        <w:spacing w:line="400" w:lineRule="exact"/>
        <w:ind w:firstLine="480" w:firstLineChars="200"/>
        <w:rPr>
          <w:rFonts w:hint="eastAsia" w:ascii="宋体" w:hAnsi="宋体"/>
          <w:sz w:val="24"/>
          <w:szCs w:val="24"/>
        </w:rPr>
      </w:pPr>
      <w:r>
        <w:rPr>
          <w:rFonts w:hint="eastAsia" w:ascii="宋体" w:hAnsi="宋体"/>
          <w:sz w:val="24"/>
          <w:szCs w:val="24"/>
        </w:rPr>
        <w:t>（二）本项目的特定资格要求：具有建设主管部门颁发的电子与智能化工程专业承包二级及以上资质。</w:t>
      </w:r>
    </w:p>
    <w:p w14:paraId="63A66B26">
      <w:pPr>
        <w:pStyle w:val="4"/>
        <w:adjustRightInd w:val="0"/>
        <w:snapToGrid w:val="0"/>
        <w:spacing w:before="0" w:after="0" w:line="400" w:lineRule="exact"/>
        <w:ind w:firstLine="482" w:firstLineChars="200"/>
        <w:rPr>
          <w:rFonts w:hint="eastAsia" w:ascii="宋体" w:hAnsi="宋体" w:eastAsia="宋体"/>
          <w:sz w:val="24"/>
        </w:rPr>
      </w:pPr>
      <w:bookmarkStart w:id="35" w:name="_Toc1386"/>
      <w:bookmarkStart w:id="36" w:name="_Toc13903"/>
      <w:bookmarkStart w:id="37" w:name="_Toc5277"/>
      <w:bookmarkStart w:id="38" w:name="_Toc106034773"/>
      <w:bookmarkStart w:id="39" w:name="_Toc65660333"/>
      <w:bookmarkStart w:id="40" w:name="_Toc11908"/>
      <w:bookmarkStart w:id="41" w:name="_Toc215158833"/>
      <w:r>
        <w:rPr>
          <w:rFonts w:hint="eastAsia" w:ascii="宋体" w:hAnsi="宋体" w:eastAsia="宋体"/>
          <w:sz w:val="24"/>
        </w:rPr>
        <w:t>四、比选有关说明</w:t>
      </w:r>
      <w:bookmarkEnd w:id="25"/>
      <w:bookmarkEnd w:id="35"/>
      <w:bookmarkEnd w:id="36"/>
      <w:bookmarkEnd w:id="37"/>
      <w:bookmarkEnd w:id="38"/>
      <w:bookmarkEnd w:id="39"/>
      <w:bookmarkEnd w:id="40"/>
      <w:bookmarkEnd w:id="41"/>
    </w:p>
    <w:p w14:paraId="02696C25">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（一）凡有意参加比选的投标人，请在垫江县人民政府网上下载本项目竞争性比选文件、澄清等报价前公布的所有项目资料，无论投标人下载与否，均视为已知晓所有实质性要求内容。</w:t>
      </w:r>
    </w:p>
    <w:p w14:paraId="21668B07">
      <w:pPr>
        <w:snapToGrid w:val="0"/>
        <w:spacing w:line="400" w:lineRule="exact"/>
        <w:ind w:firstLine="480" w:firstLineChars="200"/>
        <w:rPr>
          <w:rFonts w:hint="eastAsia" w:ascii="宋体" w:hAnsi="宋体"/>
          <w:sz w:val="24"/>
          <w:szCs w:val="24"/>
        </w:rPr>
      </w:pPr>
      <w:r>
        <w:rPr>
          <w:rFonts w:hint="eastAsia" w:ascii="宋体" w:hAnsi="宋体"/>
          <w:sz w:val="24"/>
          <w:szCs w:val="24"/>
        </w:rPr>
        <w:t>（二）比选公告期限：自采购公告发布之日起三个工作日。</w:t>
      </w:r>
    </w:p>
    <w:p w14:paraId="75F05F3D">
      <w:pPr>
        <w:spacing w:line="400" w:lineRule="exact"/>
        <w:ind w:firstLine="480" w:firstLineChars="200"/>
        <w:rPr>
          <w:rFonts w:hint="eastAsia" w:ascii="宋体" w:hAnsi="宋体"/>
          <w:sz w:val="24"/>
          <w:szCs w:val="24"/>
        </w:rPr>
      </w:pPr>
      <w:r>
        <w:rPr>
          <w:rFonts w:hint="eastAsia" w:ascii="宋体" w:hAnsi="宋体"/>
          <w:sz w:val="24"/>
          <w:szCs w:val="24"/>
        </w:rPr>
        <w:t>（三）获取竞争性比选文件期限：</w:t>
      </w:r>
    </w:p>
    <w:p w14:paraId="218293E2">
      <w:pPr>
        <w:spacing w:line="400" w:lineRule="exact"/>
        <w:ind w:firstLine="480" w:firstLineChars="200"/>
        <w:rPr>
          <w:rFonts w:hint="eastAsia" w:ascii="宋体" w:hAnsi="宋体"/>
          <w:sz w:val="24"/>
          <w:szCs w:val="24"/>
        </w:rPr>
      </w:pPr>
      <w:r>
        <w:rPr>
          <w:rFonts w:hint="eastAsia" w:ascii="宋体" w:hAnsi="宋体"/>
          <w:sz w:val="24"/>
          <w:szCs w:val="24"/>
        </w:rPr>
        <w:t>1.竞争性比选文件提供期限：同比选公告期限。</w:t>
      </w:r>
    </w:p>
    <w:p w14:paraId="29700E29">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14:paraId="4ADBF231">
      <w:pPr>
        <w:spacing w:line="400" w:lineRule="exact"/>
        <w:ind w:firstLine="480" w:firstLineChars="200"/>
        <w:rPr>
          <w:rFonts w:hint="eastAsia" w:ascii="宋体" w:hAnsi="宋体"/>
          <w:sz w:val="24"/>
          <w:szCs w:val="24"/>
        </w:rPr>
      </w:pPr>
      <w:r>
        <w:rPr>
          <w:rFonts w:hint="eastAsia" w:ascii="宋体" w:hAnsi="宋体"/>
          <w:sz w:val="24"/>
          <w:szCs w:val="24"/>
        </w:rPr>
        <w:t>3.竞争性比选文件售价：人民币0元/包。</w:t>
      </w:r>
    </w:p>
    <w:p w14:paraId="72E71D96">
      <w:pPr>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（四）递交响应文件地点：重庆市垫江县桂阳街道明月二路215号11幢（重庆兴垫农业发展有限公司A办公区会议室）   </w:t>
      </w:r>
    </w:p>
    <w:p w14:paraId="2766F0E4">
      <w:pPr>
        <w:snapToGrid w:val="0"/>
        <w:spacing w:line="400" w:lineRule="exact"/>
        <w:ind w:firstLine="480" w:firstLineChars="200"/>
        <w:rPr>
          <w:rFonts w:hint="eastAsia" w:ascii="宋体" w:hAnsi="宋体"/>
          <w:sz w:val="24"/>
          <w:szCs w:val="24"/>
        </w:rPr>
      </w:pPr>
      <w:r>
        <w:rPr>
          <w:rFonts w:hint="eastAsia" w:ascii="宋体" w:hAnsi="宋体"/>
          <w:sz w:val="24"/>
          <w:szCs w:val="24"/>
        </w:rPr>
        <w:t>（五）提交响应文件截止时间：2025年12月15日北京时间</w:t>
      </w:r>
      <w:r>
        <w:rPr>
          <w:rFonts w:hint="eastAsia" w:ascii="宋体" w:hAnsi="宋体"/>
          <w:sz w:val="24"/>
          <w:szCs w:val="24"/>
          <w:lang w:val="en-US" w:eastAsia="zh-CN"/>
        </w:rPr>
        <w:t>15</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0，截止时间前半小时内为递交响应文件时间。</w:t>
      </w:r>
    </w:p>
    <w:p w14:paraId="333415CC">
      <w:pPr>
        <w:spacing w:line="400" w:lineRule="exact"/>
        <w:ind w:firstLine="480" w:firstLineChars="200"/>
        <w:rPr>
          <w:rFonts w:hint="eastAsia" w:ascii="宋体" w:hAnsi="宋体"/>
          <w:sz w:val="24"/>
          <w:szCs w:val="24"/>
        </w:rPr>
      </w:pPr>
      <w:r>
        <w:rPr>
          <w:rFonts w:hint="eastAsia" w:ascii="宋体" w:hAnsi="宋体"/>
          <w:sz w:val="24"/>
          <w:szCs w:val="24"/>
        </w:rPr>
        <w:t>（六）评审开始时间：2025年12月15日北京时间1</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0</w:t>
      </w:r>
      <w:bookmarkStart w:id="349" w:name="_GoBack"/>
      <w:bookmarkEnd w:id="349"/>
      <w:r>
        <w:rPr>
          <w:rFonts w:hint="eastAsia" w:ascii="宋体" w:hAnsi="宋体"/>
          <w:sz w:val="24"/>
          <w:szCs w:val="24"/>
        </w:rPr>
        <w:t>0。</w:t>
      </w:r>
    </w:p>
    <w:bookmarkEnd w:id="26"/>
    <w:p w14:paraId="70350B13">
      <w:pPr>
        <w:pStyle w:val="4"/>
        <w:adjustRightInd w:val="0"/>
        <w:snapToGrid w:val="0"/>
        <w:spacing w:before="0" w:after="0" w:line="400" w:lineRule="exact"/>
        <w:ind w:firstLine="482" w:firstLineChars="200"/>
        <w:rPr>
          <w:rFonts w:hint="eastAsia" w:ascii="宋体" w:hAnsi="宋体" w:eastAsia="宋体"/>
          <w:sz w:val="24"/>
        </w:rPr>
      </w:pPr>
      <w:bookmarkStart w:id="42" w:name="_Toc3704"/>
      <w:bookmarkStart w:id="43" w:name="_Toc11956"/>
      <w:bookmarkStart w:id="44" w:name="_Toc4638"/>
      <w:bookmarkStart w:id="45" w:name="_Toc65660334"/>
      <w:bookmarkStart w:id="46" w:name="_Toc106034774"/>
      <w:bookmarkStart w:id="47" w:name="_Toc525047161"/>
      <w:bookmarkStart w:id="48" w:name="_Toc373860294"/>
      <w:bookmarkStart w:id="49" w:name="_Toc6178"/>
      <w:bookmarkStart w:id="50" w:name="_Toc521053053"/>
      <w:bookmarkStart w:id="51" w:name="_Toc215158834"/>
      <w:r>
        <w:rPr>
          <w:rFonts w:hint="eastAsia" w:ascii="宋体" w:hAnsi="宋体" w:eastAsia="宋体"/>
          <w:sz w:val="24"/>
        </w:rPr>
        <w:t>五、投标保证金</w:t>
      </w:r>
      <w:bookmarkEnd w:id="42"/>
      <w:bookmarkEnd w:id="43"/>
      <w:bookmarkEnd w:id="44"/>
      <w:bookmarkEnd w:id="45"/>
      <w:bookmarkEnd w:id="46"/>
      <w:bookmarkEnd w:id="47"/>
      <w:bookmarkEnd w:id="48"/>
      <w:bookmarkEnd w:id="49"/>
      <w:bookmarkEnd w:id="50"/>
      <w:bookmarkEnd w:id="51"/>
    </w:p>
    <w:p w14:paraId="3DF6BB2F">
      <w:pPr>
        <w:spacing w:line="400" w:lineRule="exact"/>
        <w:ind w:firstLine="482" w:firstLineChars="200"/>
        <w:rPr>
          <w:rFonts w:hint="eastAsia" w:ascii="宋体" w:hAnsi="宋体"/>
          <w:sz w:val="24"/>
          <w:szCs w:val="24"/>
        </w:rPr>
      </w:pPr>
      <w:bookmarkStart w:id="52" w:name="_Toc479668114"/>
      <w:bookmarkStart w:id="53" w:name="_Toc525047162"/>
      <w:bookmarkStart w:id="54" w:name="_Toc12296"/>
      <w:bookmarkStart w:id="55" w:name="_Toc65660335"/>
      <w:bookmarkStart w:id="56" w:name="_Toc106034775"/>
      <w:bookmarkStart w:id="57" w:name="_Toc4355"/>
      <w:bookmarkStart w:id="58" w:name="_Toc2945"/>
      <w:bookmarkStart w:id="59" w:name="_Toc521053054"/>
      <w:bookmarkStart w:id="60" w:name="_Toc32753"/>
      <w:r>
        <w:rPr>
          <w:rFonts w:hint="eastAsia" w:ascii="宋体" w:hAnsi="宋体" w:cs="宋体"/>
          <w:b/>
          <w:bCs/>
          <w:sz w:val="24"/>
          <w:szCs w:val="24"/>
        </w:rPr>
        <w:t>无</w:t>
      </w:r>
    </w:p>
    <w:p w14:paraId="3D77C77A">
      <w:pPr>
        <w:pStyle w:val="4"/>
        <w:adjustRightInd w:val="0"/>
        <w:snapToGrid w:val="0"/>
        <w:spacing w:before="0" w:after="0" w:line="400" w:lineRule="exact"/>
        <w:ind w:firstLine="482" w:firstLineChars="200"/>
        <w:rPr>
          <w:rFonts w:hint="eastAsia" w:ascii="宋体" w:hAnsi="宋体" w:eastAsia="宋体"/>
          <w:sz w:val="24"/>
        </w:rPr>
      </w:pPr>
      <w:bookmarkStart w:id="61" w:name="_Toc215158835"/>
      <w:r>
        <w:rPr>
          <w:rFonts w:hint="eastAsia" w:ascii="宋体" w:hAnsi="宋体" w:eastAsia="宋体"/>
          <w:sz w:val="24"/>
        </w:rPr>
        <w:t>六、</w:t>
      </w:r>
      <w:bookmarkEnd w:id="52"/>
      <w:bookmarkEnd w:id="53"/>
      <w:bookmarkEnd w:id="54"/>
      <w:bookmarkEnd w:id="55"/>
      <w:bookmarkEnd w:id="56"/>
      <w:bookmarkEnd w:id="57"/>
      <w:bookmarkEnd w:id="58"/>
      <w:bookmarkEnd w:id="59"/>
      <w:bookmarkEnd w:id="60"/>
      <w:bookmarkStart w:id="62" w:name="_Toc6563"/>
      <w:bookmarkStart w:id="63" w:name="_Toc16269"/>
      <w:bookmarkStart w:id="64" w:name="_Toc13215"/>
      <w:bookmarkStart w:id="65" w:name="_Toc65660336"/>
      <w:bookmarkStart w:id="66" w:name="_Toc525047163"/>
      <w:bookmarkStart w:id="67" w:name="_Toc521053055"/>
      <w:bookmarkStart w:id="68" w:name="_Toc4728"/>
      <w:bookmarkStart w:id="69" w:name="_Toc106034776"/>
      <w:r>
        <w:rPr>
          <w:rFonts w:hint="eastAsia" w:ascii="宋体" w:hAnsi="宋体" w:eastAsia="宋体"/>
          <w:sz w:val="24"/>
        </w:rPr>
        <w:t>其它有关规定</w:t>
      </w:r>
      <w:bookmarkEnd w:id="61"/>
      <w:bookmarkEnd w:id="62"/>
      <w:bookmarkEnd w:id="63"/>
      <w:bookmarkEnd w:id="64"/>
      <w:bookmarkEnd w:id="65"/>
      <w:bookmarkEnd w:id="66"/>
      <w:bookmarkEnd w:id="67"/>
      <w:bookmarkEnd w:id="68"/>
      <w:bookmarkEnd w:id="69"/>
    </w:p>
    <w:p w14:paraId="372C5F26">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（一）单位负责人为同一人或者存在直接控股、管理关系的不同投标人，</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下的采购活动</w:t>
      </w:r>
      <w:r>
        <w:rPr>
          <w:rFonts w:hint="eastAsia" w:ascii="宋体" w:hAnsi="宋体"/>
          <w:sz w:val="24"/>
          <w:szCs w:val="24"/>
        </w:rPr>
        <w:t>，否则均为无效报价。</w:t>
      </w:r>
    </w:p>
    <w:p w14:paraId="3C4B07C0">
      <w:pPr>
        <w:snapToGrid w:val="0"/>
        <w:spacing w:line="400" w:lineRule="exact"/>
        <w:ind w:firstLine="360" w:firstLineChars="150"/>
        <w:rPr>
          <w:rFonts w:hint="eastAsia" w:ascii="宋体" w:hAnsi="宋体"/>
          <w:sz w:val="24"/>
          <w:szCs w:val="24"/>
        </w:rPr>
      </w:pPr>
      <w:r>
        <w:rPr>
          <w:rFonts w:hint="eastAsia" w:ascii="宋体" w:hAnsi="宋体"/>
          <w:sz w:val="24"/>
          <w:szCs w:val="24"/>
        </w:rPr>
        <w:t>（二）为本项目提供整体设计、规范编制或者项目管理、监理、检测等服务的投标人，不得再</w:t>
      </w:r>
      <w:r>
        <w:rPr>
          <w:rFonts w:ascii="宋体" w:hAnsi="宋体"/>
          <w:sz w:val="24"/>
          <w:szCs w:val="24"/>
        </w:rPr>
        <w:t>参加</w:t>
      </w:r>
      <w:r>
        <w:rPr>
          <w:rFonts w:hint="eastAsia" w:ascii="宋体" w:hAnsi="宋体"/>
          <w:sz w:val="24"/>
          <w:szCs w:val="24"/>
        </w:rPr>
        <w:t>本项目的比选</w:t>
      </w:r>
      <w:r>
        <w:rPr>
          <w:rFonts w:ascii="宋体" w:hAnsi="宋体"/>
          <w:sz w:val="24"/>
          <w:szCs w:val="24"/>
        </w:rPr>
        <w:t>活动</w:t>
      </w:r>
      <w:r>
        <w:rPr>
          <w:rFonts w:hint="eastAsia" w:ascii="宋体" w:hAnsi="宋体"/>
          <w:sz w:val="24"/>
          <w:szCs w:val="24"/>
        </w:rPr>
        <w:t>。</w:t>
      </w:r>
    </w:p>
    <w:p w14:paraId="25752D83">
      <w:pPr>
        <w:snapToGrid w:val="0"/>
        <w:spacing w:line="400" w:lineRule="exact"/>
        <w:ind w:firstLine="360" w:firstLineChars="150"/>
        <w:rPr>
          <w:rFonts w:hint="eastAsia" w:ascii="宋体" w:hAnsi="宋体"/>
          <w:sz w:val="24"/>
          <w:szCs w:val="24"/>
        </w:rPr>
      </w:pPr>
      <w:r>
        <w:rPr>
          <w:rFonts w:hint="eastAsia" w:ascii="宋体" w:hAnsi="宋体"/>
          <w:sz w:val="24"/>
          <w:szCs w:val="24"/>
        </w:rPr>
        <w:t>（三）本项目的澄清文件（如果有）一律在垫江县人民政府网上发布，请各投标人注意下载；无论投标人下载与否，均视同投标人已知晓本项目澄清文件（如果有）的内容。</w:t>
      </w:r>
    </w:p>
    <w:p w14:paraId="1B5FCF7C">
      <w:pPr>
        <w:snapToGrid w:val="0"/>
        <w:spacing w:line="400" w:lineRule="exact"/>
        <w:ind w:firstLine="360" w:firstLineChars="150"/>
        <w:rPr>
          <w:rFonts w:hint="eastAsia" w:ascii="宋体" w:hAnsi="宋体"/>
          <w:sz w:val="24"/>
          <w:szCs w:val="24"/>
        </w:rPr>
      </w:pPr>
      <w:r>
        <w:rPr>
          <w:rFonts w:hint="eastAsia" w:ascii="宋体" w:hAnsi="宋体"/>
          <w:sz w:val="24"/>
          <w:szCs w:val="24"/>
        </w:rPr>
        <w:t>（四）超过响应文件截止时间递交的响应文件，恕不接收。</w:t>
      </w:r>
    </w:p>
    <w:p w14:paraId="45A79A2B">
      <w:pPr>
        <w:snapToGrid w:val="0"/>
        <w:spacing w:line="400" w:lineRule="exact"/>
        <w:ind w:firstLine="360" w:firstLineChars="150"/>
        <w:rPr>
          <w:rFonts w:hint="eastAsia" w:ascii="宋体" w:hAnsi="宋体"/>
          <w:sz w:val="24"/>
          <w:szCs w:val="24"/>
        </w:rPr>
      </w:pPr>
      <w:r>
        <w:rPr>
          <w:rFonts w:hint="eastAsia" w:ascii="宋体" w:hAnsi="宋体"/>
          <w:sz w:val="24"/>
          <w:szCs w:val="24"/>
        </w:rPr>
        <w:t>（五）比选费用：无论比选结果如何，投标人参与本项目比选的所有费用均应由投标人自行承担。</w:t>
      </w:r>
    </w:p>
    <w:p w14:paraId="49D24075">
      <w:pPr>
        <w:snapToGrid w:val="0"/>
        <w:spacing w:line="400" w:lineRule="exact"/>
        <w:ind w:firstLine="361" w:firstLineChars="150"/>
        <w:rPr>
          <w:rFonts w:hint="eastAsia" w:ascii="宋体" w:hAnsi="宋体"/>
          <w:sz w:val="24"/>
          <w:szCs w:val="24"/>
        </w:rPr>
      </w:pPr>
      <w:r>
        <w:rPr>
          <w:rFonts w:hint="eastAsia" w:ascii="宋体" w:hAnsi="宋体"/>
          <w:b/>
          <w:bCs/>
          <w:sz w:val="24"/>
          <w:szCs w:val="24"/>
        </w:rPr>
        <w:t>（六）</w:t>
      </w:r>
      <w:r>
        <w:rPr>
          <w:rFonts w:hint="eastAsia" w:ascii="宋体" w:hAnsi="宋体"/>
          <w:b/>
          <w:sz w:val="24"/>
          <w:szCs w:val="24"/>
        </w:rPr>
        <w:t>本项目不接受联合体参与报价，否则按无效处理。</w:t>
      </w:r>
    </w:p>
    <w:p w14:paraId="21FFA45E">
      <w:pPr>
        <w:snapToGrid w:val="0"/>
        <w:spacing w:line="400" w:lineRule="exact"/>
        <w:ind w:firstLine="361" w:firstLineChars="150"/>
        <w:rPr>
          <w:rFonts w:hint="eastAsia" w:ascii="宋体" w:hAnsi="宋体"/>
          <w:b/>
          <w:sz w:val="24"/>
          <w:szCs w:val="24"/>
        </w:rPr>
      </w:pPr>
      <w:r>
        <w:rPr>
          <w:rFonts w:hint="eastAsia" w:ascii="宋体" w:hAnsi="宋体"/>
          <w:b/>
          <w:sz w:val="24"/>
          <w:szCs w:val="24"/>
        </w:rPr>
        <w:t>（七）本项目不接受合同分包，否则按无效处理。</w:t>
      </w:r>
    </w:p>
    <w:p w14:paraId="67517826">
      <w:pPr>
        <w:snapToGrid w:val="0"/>
        <w:spacing w:line="400" w:lineRule="exact"/>
        <w:ind w:firstLine="360" w:firstLineChars="150"/>
        <w:rPr>
          <w:rFonts w:hint="eastAsia" w:ascii="宋体" w:hAnsi="宋体"/>
          <w:sz w:val="24"/>
          <w:szCs w:val="24"/>
        </w:rPr>
      </w:pPr>
      <w:r>
        <w:rPr>
          <w:rFonts w:hint="eastAsia" w:ascii="宋体" w:hAnsi="宋体"/>
          <w:bCs/>
          <w:sz w:val="24"/>
          <w:szCs w:val="24"/>
        </w:rPr>
        <w:t>（八）</w:t>
      </w:r>
      <w:r>
        <w:rPr>
          <w:rFonts w:hint="eastAsia" w:ascii="宋体" w:hAnsi="宋体"/>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本项目比选活动。</w:t>
      </w:r>
    </w:p>
    <w:p w14:paraId="3B7B2704">
      <w:pPr>
        <w:pStyle w:val="4"/>
        <w:adjustRightInd w:val="0"/>
        <w:snapToGrid w:val="0"/>
        <w:spacing w:before="0" w:after="0" w:line="400" w:lineRule="exact"/>
        <w:ind w:firstLine="482" w:firstLineChars="200"/>
        <w:rPr>
          <w:rFonts w:hint="eastAsia" w:ascii="宋体" w:hAnsi="宋体" w:eastAsia="宋体"/>
          <w:sz w:val="24"/>
        </w:rPr>
      </w:pPr>
      <w:bookmarkStart w:id="70" w:name="_Toc1552"/>
      <w:bookmarkStart w:id="71" w:name="_Toc106034777"/>
      <w:bookmarkStart w:id="72" w:name="_Toc10415"/>
      <w:bookmarkStart w:id="73" w:name="_Toc525047164"/>
      <w:bookmarkStart w:id="74" w:name="_Toc20665"/>
      <w:bookmarkStart w:id="75" w:name="_Toc521053056"/>
      <w:bookmarkStart w:id="76" w:name="_Toc1733"/>
      <w:bookmarkStart w:id="77" w:name="_Toc65660337"/>
      <w:bookmarkStart w:id="78" w:name="_Toc215158836"/>
      <w:r>
        <w:rPr>
          <w:rFonts w:hint="eastAsia" w:ascii="宋体" w:hAnsi="宋体" w:eastAsia="宋体"/>
          <w:sz w:val="24"/>
        </w:rPr>
        <w:t>七、联系方式</w:t>
      </w:r>
      <w:bookmarkEnd w:id="70"/>
      <w:bookmarkEnd w:id="71"/>
      <w:bookmarkEnd w:id="72"/>
      <w:bookmarkEnd w:id="73"/>
      <w:bookmarkEnd w:id="74"/>
      <w:bookmarkEnd w:id="75"/>
      <w:bookmarkEnd w:id="76"/>
      <w:bookmarkEnd w:id="77"/>
      <w:bookmarkEnd w:id="78"/>
    </w:p>
    <w:p w14:paraId="7E949CCA">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（一）招标人：重庆兴垫农业发展有限公司</w:t>
      </w:r>
    </w:p>
    <w:p w14:paraId="264FF782">
      <w:pPr>
        <w:snapToGrid w:val="0"/>
        <w:spacing w:line="240" w:lineRule="auto"/>
        <w:ind w:firstLine="480" w:firstLineChars="200"/>
        <w:rPr>
          <w:rFonts w:hint="eastAsia" w:ascii="宋体" w:hAnsi="宋体"/>
          <w:sz w:val="24"/>
          <w:szCs w:val="24"/>
        </w:rPr>
      </w:pPr>
      <w:r>
        <w:rPr>
          <w:rFonts w:hint="eastAsia" w:ascii="宋体" w:hAnsi="宋体"/>
          <w:sz w:val="24"/>
          <w:szCs w:val="24"/>
        </w:rPr>
        <w:t>联系人：徐老师</w:t>
      </w:r>
    </w:p>
    <w:p w14:paraId="64D6EF18">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023-74526900</w:t>
      </w:r>
    </w:p>
    <w:p w14:paraId="249F66C1">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（二）招标代理机构：重庆立生实业有限公司</w:t>
      </w:r>
    </w:p>
    <w:p w14:paraId="1235B755">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联系人：朱老师 </w:t>
      </w:r>
    </w:p>
    <w:p w14:paraId="31C6FAB7">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023-74686886</w:t>
      </w:r>
      <w:r>
        <w:rPr>
          <w:rFonts w:ascii="宋体" w:hAnsi="宋体"/>
          <w:sz w:val="24"/>
          <w:szCs w:val="24"/>
        </w:rPr>
        <w:br w:type="page"/>
      </w:r>
    </w:p>
    <w:p w14:paraId="398D1938">
      <w:pPr>
        <w:pStyle w:val="4"/>
        <w:numPr>
          <w:ilvl w:val="0"/>
          <w:numId w:val="14"/>
        </w:numPr>
        <w:spacing w:before="0" w:after="0" w:line="360" w:lineRule="auto"/>
        <w:jc w:val="center"/>
        <w:rPr>
          <w:rFonts w:hint="eastAsia" w:ascii="宋体" w:hAnsi="宋体" w:eastAsia="宋体"/>
          <w:b w:val="0"/>
          <w:sz w:val="36"/>
          <w:szCs w:val="30"/>
        </w:rPr>
      </w:pPr>
      <w:bookmarkStart w:id="79" w:name="_Toc106034778"/>
      <w:bookmarkStart w:id="80" w:name="_Toc65660338"/>
      <w:bookmarkStart w:id="81" w:name="_Toc1292"/>
      <w:bookmarkStart w:id="82" w:name="_Toc11327"/>
      <w:bookmarkStart w:id="83" w:name="_Toc14516"/>
      <w:bookmarkStart w:id="84" w:name="_Toc102227313"/>
      <w:r>
        <w:rPr>
          <w:rFonts w:hint="eastAsia" w:ascii="宋体" w:hAnsi="宋体" w:eastAsia="宋体"/>
          <w:b w:val="0"/>
          <w:sz w:val="36"/>
          <w:szCs w:val="30"/>
        </w:rPr>
        <w:t xml:space="preserve"> </w:t>
      </w:r>
      <w:bookmarkStart w:id="85" w:name="_Toc8111"/>
      <w:bookmarkStart w:id="86" w:name="_Toc215158837"/>
      <w:r>
        <w:rPr>
          <w:rFonts w:hint="eastAsia" w:ascii="宋体" w:hAnsi="宋体" w:eastAsia="宋体"/>
          <w:b w:val="0"/>
          <w:sz w:val="36"/>
          <w:szCs w:val="30"/>
        </w:rPr>
        <w:t>比选项目技术需求</w:t>
      </w:r>
      <w:bookmarkEnd w:id="79"/>
      <w:bookmarkEnd w:id="80"/>
      <w:bookmarkEnd w:id="81"/>
      <w:bookmarkEnd w:id="82"/>
      <w:bookmarkEnd w:id="83"/>
      <w:bookmarkEnd w:id="85"/>
      <w:bookmarkEnd w:id="86"/>
    </w:p>
    <w:p w14:paraId="750D51E8">
      <w:pPr>
        <w:pStyle w:val="4"/>
        <w:adjustRightInd w:val="0"/>
        <w:snapToGrid w:val="0"/>
        <w:spacing w:line="400" w:lineRule="exact"/>
        <w:ind w:firstLine="482" w:firstLineChars="200"/>
        <w:rPr>
          <w:rFonts w:hint="eastAsia" w:ascii="宋体" w:hAnsi="宋体" w:eastAsia="宋体" w:cs="宋体"/>
          <w:sz w:val="24"/>
        </w:rPr>
      </w:pPr>
      <w:bookmarkStart w:id="87" w:name="_Toc5103"/>
      <w:bookmarkStart w:id="88" w:name="_Toc194947043"/>
      <w:bookmarkStart w:id="89" w:name="_Toc215158838"/>
      <w:r>
        <w:rPr>
          <w:rFonts w:hint="eastAsia" w:ascii="宋体" w:hAnsi="宋体" w:eastAsia="宋体"/>
          <w:sz w:val="24"/>
        </w:rPr>
        <w:t>一、</w:t>
      </w:r>
      <w:bookmarkEnd w:id="87"/>
      <w:r>
        <w:rPr>
          <w:rFonts w:hint="eastAsia" w:ascii="宋体" w:hAnsi="宋体" w:eastAsia="宋体"/>
          <w:sz w:val="24"/>
        </w:rPr>
        <w:t>采购</w:t>
      </w:r>
      <w:r>
        <w:rPr>
          <w:rFonts w:hint="eastAsia" w:ascii="宋体" w:hAnsi="宋体" w:eastAsia="宋体" w:cs="宋体"/>
          <w:sz w:val="24"/>
        </w:rPr>
        <w:t>范围及内容</w:t>
      </w:r>
      <w:bookmarkEnd w:id="88"/>
      <w:bookmarkEnd w:id="89"/>
    </w:p>
    <w:p w14:paraId="1B0C25F2">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水库监控系统、监控平台安装接入建设项目，包括付家石埂子水库、十路口水库、王家石坎水库室外视频监控及后台监控平台等，具体内容详见招标人提供的施工图纸、工程量清单等相关内容。</w:t>
      </w:r>
    </w:p>
    <w:p w14:paraId="3C1887B6">
      <w:pPr>
        <w:pStyle w:val="4"/>
        <w:adjustRightInd w:val="0"/>
        <w:snapToGrid w:val="0"/>
        <w:spacing w:line="400" w:lineRule="exact"/>
        <w:ind w:firstLine="482" w:firstLineChars="200"/>
        <w:rPr>
          <w:rFonts w:hint="eastAsia" w:ascii="宋体" w:hAnsi="宋体" w:eastAsia="宋体"/>
          <w:sz w:val="24"/>
        </w:rPr>
      </w:pPr>
      <w:bookmarkStart w:id="90" w:name="_Toc14577"/>
      <w:bookmarkStart w:id="91" w:name="_Toc150178526"/>
      <w:bookmarkStart w:id="92" w:name="_Toc194947044"/>
      <w:bookmarkStart w:id="93" w:name="_Toc215158839"/>
      <w:bookmarkStart w:id="94" w:name="_Toc20559"/>
      <w:bookmarkStart w:id="95" w:name="_Toc128731122"/>
      <w:bookmarkStart w:id="96" w:name="_Toc106034780"/>
      <w:bookmarkStart w:id="97" w:name="_Toc22517"/>
      <w:bookmarkStart w:id="98" w:name="_Toc65660340"/>
      <w:bookmarkStart w:id="99" w:name="_Toc11439"/>
      <w:bookmarkStart w:id="100" w:name="_Toc2119"/>
      <w:bookmarkStart w:id="101" w:name="_Toc10723"/>
      <w:r>
        <w:rPr>
          <w:rFonts w:hint="eastAsia" w:ascii="宋体" w:hAnsi="宋体" w:eastAsia="宋体"/>
          <w:sz w:val="24"/>
        </w:rPr>
        <w:t>二、</w:t>
      </w:r>
      <w:bookmarkEnd w:id="90"/>
      <w:r>
        <w:rPr>
          <w:rFonts w:hint="eastAsia" w:ascii="宋体" w:hAnsi="宋体" w:eastAsia="宋体"/>
          <w:sz w:val="24"/>
        </w:rPr>
        <w:t>项目技术要求</w:t>
      </w:r>
      <w:bookmarkEnd w:id="91"/>
      <w:bookmarkEnd w:id="92"/>
      <w:bookmarkEnd w:id="93"/>
    </w:p>
    <w:p w14:paraId="141B1FF2">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1.质量标准: 符合强制性质量标准，满足施工图和工程量清单要求，并达到合格标准。</w:t>
      </w:r>
    </w:p>
    <w:p w14:paraId="6FA53DAF">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2.缺陷责任期：24个月，自通过竣工验收之日起计算。</w:t>
      </w:r>
    </w:p>
    <w:p w14:paraId="313C5A50">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3.建设工程在保修范围和保修期限内发生质量问题的,中标人应当履行保修义务,并对造成的损失承担赔偿责任。</w:t>
      </w:r>
    </w:p>
    <w:p w14:paraId="73616CBA">
      <w:pPr>
        <w:pStyle w:val="4"/>
        <w:adjustRightInd w:val="0"/>
        <w:snapToGrid w:val="0"/>
        <w:spacing w:line="400" w:lineRule="exact"/>
        <w:ind w:firstLine="482" w:firstLineChars="200"/>
        <w:rPr>
          <w:rFonts w:hint="eastAsia" w:ascii="宋体" w:hAnsi="宋体" w:eastAsia="宋体"/>
          <w:sz w:val="24"/>
        </w:rPr>
      </w:pPr>
      <w:bookmarkStart w:id="102" w:name="_Toc150178527"/>
      <w:bookmarkStart w:id="103" w:name="_Toc194947045"/>
      <w:bookmarkStart w:id="104" w:name="_Toc215158840"/>
      <w:r>
        <w:rPr>
          <w:rFonts w:hint="eastAsia" w:ascii="宋体" w:hAnsi="宋体" w:eastAsia="宋体"/>
          <w:sz w:val="24"/>
        </w:rPr>
        <w:t>三、</w:t>
      </w:r>
      <w:bookmarkEnd w:id="94"/>
      <w:bookmarkEnd w:id="95"/>
      <w:bookmarkEnd w:id="102"/>
      <w:bookmarkEnd w:id="103"/>
      <w:bookmarkStart w:id="105" w:name="_Toc150178531"/>
      <w:bookmarkStart w:id="106" w:name="_Toc194947046"/>
      <w:r>
        <w:rPr>
          <w:rFonts w:hint="eastAsia" w:ascii="宋体" w:hAnsi="宋体" w:eastAsia="宋体"/>
          <w:sz w:val="24"/>
        </w:rPr>
        <w:t>其他要求</w:t>
      </w:r>
      <w:bookmarkEnd w:id="104"/>
      <w:bookmarkEnd w:id="105"/>
      <w:bookmarkEnd w:id="106"/>
    </w:p>
    <w:bookmarkEnd w:id="96"/>
    <w:bookmarkEnd w:id="97"/>
    <w:bookmarkEnd w:id="98"/>
    <w:bookmarkEnd w:id="99"/>
    <w:bookmarkEnd w:id="100"/>
    <w:bookmarkEnd w:id="101"/>
    <w:p w14:paraId="7B950837">
      <w:pPr>
        <w:pStyle w:val="33"/>
        <w:tabs>
          <w:tab w:val="left" w:pos="4905"/>
        </w:tabs>
        <w:adjustRightInd w:val="0"/>
        <w:spacing w:line="400" w:lineRule="exact"/>
        <w:ind w:firstLine="480" w:firstLineChars="200"/>
        <w:rPr>
          <w:rFonts w:hint="eastAsia" w:ascii="宋体" w:hAnsi="宋体" w:cs="宋体"/>
          <w:sz w:val="24"/>
          <w:szCs w:val="24"/>
        </w:rPr>
      </w:pPr>
      <w:r>
        <w:rPr>
          <w:rFonts w:hint="eastAsia" w:ascii="宋体" w:hAnsi="宋体" w:cs="宋体"/>
          <w:sz w:val="24"/>
          <w:szCs w:val="24"/>
        </w:rPr>
        <w:t>1.施工图和工程量清单中未明确的要求全部必须满足相应规范要求。</w:t>
      </w:r>
    </w:p>
    <w:p w14:paraId="1F690E82">
      <w:pPr>
        <w:pStyle w:val="33"/>
        <w:tabs>
          <w:tab w:val="left" w:pos="4905"/>
        </w:tabs>
        <w:adjustRightInd w:val="0"/>
        <w:spacing w:line="400" w:lineRule="exact"/>
        <w:ind w:firstLine="480" w:firstLineChars="200"/>
        <w:rPr>
          <w:rFonts w:hint="eastAsia" w:ascii="宋体" w:hAnsi="宋体" w:cs="宋体"/>
          <w:sz w:val="24"/>
          <w:szCs w:val="24"/>
        </w:rPr>
      </w:pPr>
      <w:r>
        <w:rPr>
          <w:rFonts w:hint="eastAsia" w:ascii="宋体" w:hAnsi="宋体" w:cs="宋体"/>
          <w:sz w:val="24"/>
          <w:szCs w:val="24"/>
        </w:rPr>
        <w:t>2.本工程招标将设置全部清单综合单价最高限价，全部清单综合单价最高限价随工程量清单一起发布，投标人的每项清单综合单价报价不得超过每项清单综合单价最高限价。</w:t>
      </w:r>
    </w:p>
    <w:p w14:paraId="1C5E53B1">
      <w:pPr>
        <w:rPr>
          <w:rFonts w:hint="eastAsia" w:ascii="宋体" w:hAnsi="宋体"/>
        </w:rPr>
      </w:pPr>
    </w:p>
    <w:p w14:paraId="69BD6532">
      <w:pPr>
        <w:pStyle w:val="2"/>
        <w:rPr>
          <w:rFonts w:hint="eastAsia" w:ascii="宋体" w:hAnsi="宋体" w:eastAsia="宋体"/>
        </w:rPr>
      </w:pPr>
    </w:p>
    <w:p w14:paraId="21E01C56">
      <w:pPr>
        <w:pStyle w:val="2"/>
        <w:rPr>
          <w:rFonts w:hint="eastAsia" w:ascii="宋体" w:hAnsi="宋体" w:eastAsia="宋体"/>
        </w:rPr>
      </w:pPr>
    </w:p>
    <w:p w14:paraId="2DABDBAC">
      <w:pPr>
        <w:rPr>
          <w:rFonts w:hint="eastAsia" w:ascii="宋体" w:hAnsi="宋体"/>
        </w:rPr>
      </w:pPr>
    </w:p>
    <w:p w14:paraId="35171373">
      <w:pPr>
        <w:pStyle w:val="2"/>
        <w:rPr>
          <w:rFonts w:hint="eastAsia" w:ascii="宋体" w:hAnsi="宋体" w:eastAsia="宋体"/>
        </w:rPr>
      </w:pPr>
    </w:p>
    <w:p w14:paraId="515204EF">
      <w:pPr>
        <w:pStyle w:val="4"/>
        <w:pageBreakBefore/>
        <w:spacing w:before="0" w:after="0" w:line="360" w:lineRule="auto"/>
        <w:jc w:val="center"/>
        <w:rPr>
          <w:rFonts w:hint="eastAsia" w:ascii="宋体" w:hAnsi="宋体" w:eastAsia="宋体"/>
          <w:b w:val="0"/>
          <w:sz w:val="36"/>
          <w:szCs w:val="30"/>
        </w:rPr>
      </w:pPr>
      <w:bookmarkStart w:id="107" w:name="_Toc65660341"/>
      <w:bookmarkStart w:id="108" w:name="_Toc523"/>
      <w:bookmarkStart w:id="109" w:name="_Toc13356"/>
      <w:bookmarkStart w:id="110" w:name="_Toc15492"/>
      <w:bookmarkStart w:id="111" w:name="_Toc3873"/>
      <w:bookmarkStart w:id="112" w:name="_Toc106034781"/>
      <w:bookmarkStart w:id="113" w:name="_Toc215158841"/>
      <w:r>
        <w:rPr>
          <w:rFonts w:hint="eastAsia" w:ascii="宋体" w:hAnsi="宋体" w:eastAsia="宋体"/>
          <w:b w:val="0"/>
          <w:sz w:val="36"/>
          <w:szCs w:val="30"/>
        </w:rPr>
        <w:t xml:space="preserve">第三篇  </w:t>
      </w:r>
      <w:bookmarkEnd w:id="84"/>
      <w:r>
        <w:rPr>
          <w:rFonts w:hint="eastAsia" w:ascii="宋体" w:hAnsi="宋体" w:eastAsia="宋体"/>
          <w:b w:val="0"/>
          <w:sz w:val="36"/>
          <w:szCs w:val="30"/>
        </w:rPr>
        <w:t>比选项目服务</w:t>
      </w:r>
      <w:bookmarkEnd w:id="107"/>
      <w:bookmarkEnd w:id="108"/>
      <w:bookmarkEnd w:id="109"/>
      <w:bookmarkEnd w:id="110"/>
      <w:r>
        <w:rPr>
          <w:rFonts w:hint="eastAsia" w:ascii="宋体" w:hAnsi="宋体" w:eastAsia="宋体"/>
          <w:b w:val="0"/>
          <w:sz w:val="36"/>
          <w:szCs w:val="30"/>
        </w:rPr>
        <w:t>需求</w:t>
      </w:r>
      <w:bookmarkEnd w:id="111"/>
      <w:bookmarkEnd w:id="112"/>
      <w:bookmarkEnd w:id="113"/>
    </w:p>
    <w:p w14:paraId="52941CB7">
      <w:pPr>
        <w:pStyle w:val="4"/>
        <w:adjustRightInd w:val="0"/>
        <w:snapToGrid w:val="0"/>
        <w:spacing w:before="0" w:after="0" w:line="400" w:lineRule="exact"/>
        <w:ind w:firstLine="482" w:firstLineChars="200"/>
        <w:rPr>
          <w:rFonts w:hint="eastAsia" w:ascii="宋体" w:hAnsi="宋体" w:eastAsia="宋体"/>
          <w:sz w:val="24"/>
        </w:rPr>
      </w:pPr>
      <w:bookmarkStart w:id="114" w:name="_Toc17750"/>
      <w:bookmarkStart w:id="115" w:name="_Toc13555"/>
      <w:bookmarkStart w:id="116" w:name="_Toc20818"/>
      <w:bookmarkStart w:id="117" w:name="_Toc215158842"/>
      <w:bookmarkStart w:id="118" w:name="_Toc65660342"/>
      <w:bookmarkStart w:id="119" w:name="_Toc12935"/>
      <w:bookmarkStart w:id="120" w:name="_Toc106034782"/>
      <w:bookmarkStart w:id="121" w:name="OLE_LINK18"/>
      <w:bookmarkStart w:id="122" w:name="_Toc342913389"/>
      <w:r>
        <w:rPr>
          <w:rFonts w:hint="eastAsia" w:ascii="宋体" w:hAnsi="宋体" w:eastAsia="宋体"/>
          <w:sz w:val="24"/>
        </w:rPr>
        <w:t>一、工期、地点及验收方式</w:t>
      </w:r>
      <w:bookmarkEnd w:id="114"/>
      <w:bookmarkEnd w:id="115"/>
      <w:bookmarkEnd w:id="116"/>
      <w:bookmarkEnd w:id="117"/>
      <w:bookmarkEnd w:id="118"/>
      <w:bookmarkEnd w:id="119"/>
      <w:bookmarkEnd w:id="120"/>
    </w:p>
    <w:p w14:paraId="171E74CC">
      <w:pPr>
        <w:pStyle w:val="33"/>
        <w:spacing w:line="400" w:lineRule="exact"/>
        <w:ind w:firstLine="360" w:firstLineChars="150"/>
        <w:outlineLvl w:val="2"/>
        <w:rPr>
          <w:rFonts w:hint="eastAsia" w:ascii="宋体" w:hAnsi="宋体"/>
          <w:sz w:val="24"/>
          <w:szCs w:val="24"/>
        </w:rPr>
      </w:pPr>
      <w:r>
        <w:rPr>
          <w:rFonts w:hint="eastAsia" w:ascii="宋体" w:hAnsi="宋体"/>
          <w:sz w:val="24"/>
          <w:szCs w:val="24"/>
        </w:rPr>
        <w:t>（一）工期</w:t>
      </w:r>
    </w:p>
    <w:p w14:paraId="06736132">
      <w:pPr>
        <w:pStyle w:val="33"/>
        <w:tabs>
          <w:tab w:val="left" w:pos="4905"/>
        </w:tabs>
        <w:spacing w:line="400" w:lineRule="exact"/>
        <w:ind w:firstLineChars="225"/>
        <w:rPr>
          <w:rFonts w:hint="eastAsia" w:ascii="宋体" w:hAnsi="宋体"/>
          <w:sz w:val="24"/>
          <w:szCs w:val="24"/>
        </w:rPr>
      </w:pPr>
      <w:r>
        <w:rPr>
          <w:rFonts w:hint="eastAsia" w:ascii="宋体" w:hAnsi="宋体"/>
          <w:sz w:val="24"/>
          <w:szCs w:val="24"/>
        </w:rPr>
        <w:t>60日历天。</w:t>
      </w:r>
    </w:p>
    <w:p w14:paraId="13647FA7">
      <w:pPr>
        <w:pStyle w:val="33"/>
        <w:spacing w:line="400" w:lineRule="exact"/>
        <w:ind w:firstLine="480" w:firstLineChars="200"/>
        <w:outlineLvl w:val="2"/>
        <w:rPr>
          <w:rFonts w:hint="eastAsia" w:ascii="宋体" w:hAnsi="宋体"/>
          <w:sz w:val="24"/>
          <w:szCs w:val="24"/>
        </w:rPr>
      </w:pPr>
      <w:r>
        <w:rPr>
          <w:rFonts w:hint="eastAsia" w:ascii="宋体" w:hAnsi="宋体"/>
          <w:sz w:val="24"/>
          <w:szCs w:val="24"/>
        </w:rPr>
        <w:t>（二）工程地点</w:t>
      </w:r>
    </w:p>
    <w:p w14:paraId="1181DDE5">
      <w:pPr>
        <w:pStyle w:val="33"/>
        <w:spacing w:line="400" w:lineRule="exact"/>
        <w:ind w:firstLine="480" w:firstLineChars="200"/>
        <w:outlineLvl w:val="2"/>
        <w:rPr>
          <w:rFonts w:hint="eastAsia" w:ascii="宋体" w:hAnsi="宋体"/>
          <w:sz w:val="24"/>
          <w:szCs w:val="28"/>
        </w:rPr>
      </w:pPr>
      <w:r>
        <w:rPr>
          <w:rFonts w:hint="eastAsia" w:ascii="宋体" w:hAnsi="宋体"/>
          <w:sz w:val="24"/>
          <w:szCs w:val="24"/>
        </w:rPr>
        <w:t>招标人指定地点</w:t>
      </w:r>
    </w:p>
    <w:p w14:paraId="3E2A64D2">
      <w:pPr>
        <w:pStyle w:val="33"/>
        <w:spacing w:line="400" w:lineRule="exact"/>
        <w:ind w:firstLine="480" w:firstLineChars="200"/>
        <w:outlineLvl w:val="2"/>
        <w:rPr>
          <w:rFonts w:hint="eastAsia" w:ascii="宋体" w:hAnsi="宋体"/>
          <w:sz w:val="24"/>
          <w:szCs w:val="24"/>
        </w:rPr>
      </w:pPr>
      <w:r>
        <w:rPr>
          <w:rFonts w:hint="eastAsia" w:ascii="宋体" w:hAnsi="宋体"/>
          <w:sz w:val="24"/>
          <w:szCs w:val="24"/>
        </w:rPr>
        <w:t>（三）验收方式</w:t>
      </w:r>
    </w:p>
    <w:p w14:paraId="7B6AA2D4">
      <w:pPr>
        <w:pStyle w:val="33"/>
        <w:spacing w:line="400" w:lineRule="exact"/>
        <w:ind w:firstLine="600" w:firstLineChars="250"/>
        <w:outlineLvl w:val="2"/>
        <w:rPr>
          <w:rFonts w:hint="eastAsia" w:ascii="宋体" w:hAnsi="宋体"/>
          <w:sz w:val="24"/>
          <w:szCs w:val="24"/>
        </w:rPr>
      </w:pPr>
      <w:r>
        <w:rPr>
          <w:rFonts w:hint="eastAsia" w:ascii="宋体" w:hAnsi="宋体"/>
          <w:sz w:val="24"/>
          <w:szCs w:val="28"/>
        </w:rPr>
        <w:t>工程完工后，按国家和招标人相关标准验收程序和规程进行验收。在项目竣工验收时，中标人应提供验收报告。</w:t>
      </w:r>
    </w:p>
    <w:p w14:paraId="44F5975A">
      <w:pPr>
        <w:pStyle w:val="4"/>
        <w:adjustRightInd w:val="0"/>
        <w:snapToGrid w:val="0"/>
        <w:spacing w:before="0" w:after="0" w:line="400" w:lineRule="exact"/>
        <w:ind w:firstLine="482" w:firstLineChars="200"/>
        <w:rPr>
          <w:rFonts w:hint="eastAsia" w:ascii="宋体" w:hAnsi="宋体" w:eastAsia="宋体"/>
          <w:sz w:val="24"/>
        </w:rPr>
      </w:pPr>
      <w:bookmarkStart w:id="123" w:name="_Toc11011"/>
      <w:bookmarkStart w:id="124" w:name="_Toc215158843"/>
      <w:r>
        <w:rPr>
          <w:rFonts w:hint="eastAsia" w:ascii="宋体" w:hAnsi="宋体" w:eastAsia="宋体"/>
          <w:sz w:val="24"/>
        </w:rPr>
        <w:t>二、</w:t>
      </w:r>
      <w:bookmarkEnd w:id="123"/>
      <w:r>
        <w:rPr>
          <w:rFonts w:hint="eastAsia" w:ascii="宋体" w:hAnsi="宋体" w:eastAsia="宋体"/>
          <w:sz w:val="24"/>
        </w:rPr>
        <w:t>报价要求</w:t>
      </w:r>
      <w:bookmarkEnd w:id="124"/>
    </w:p>
    <w:p w14:paraId="1CBC26BF">
      <w:pPr>
        <w:tabs>
          <w:tab w:val="left" w:pos="312"/>
        </w:tabs>
        <w:spacing w:line="380" w:lineRule="exact"/>
        <w:ind w:firstLine="480" w:firstLineChars="200"/>
        <w:rPr>
          <w:rFonts w:hint="eastAsia" w:ascii="宋体" w:hAnsi="宋体" w:cs="仿宋"/>
          <w:sz w:val="24"/>
          <w:szCs w:val="24"/>
        </w:rPr>
      </w:pPr>
      <w:bookmarkStart w:id="125" w:name="OLE_LINK16"/>
      <w:r>
        <w:rPr>
          <w:rFonts w:hint="eastAsia" w:ascii="宋体" w:hAnsi="宋体" w:cs="仿宋"/>
          <w:sz w:val="24"/>
          <w:szCs w:val="24"/>
        </w:rPr>
        <w:t>1.投标人应按附件“工程量清单”的要求填写相应清单表格。投标人的报价应是本工程合同段采购范围内的全部工程的报价，并以投标人在工程量清单中提出的单价或总价为依据。</w:t>
      </w:r>
    </w:p>
    <w:p w14:paraId="79273910">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2报价依据：</w:t>
      </w:r>
    </w:p>
    <w:p w14:paraId="70C5062F">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2.1《建设工程工程量清单计价规范》（GB50500-2013）、《重庆市建设工程工程量清单计价规则》（CQJJGZ-2013）、《重庆市建设工程工程量计算规则》（CQJLGZ-2013）；《重庆市房屋建筑与装饰工程计价定额》（CQJZZSDE-2018）、《重庆市通用安装工程计价定额》（CQAZDE-2018）、《重庆市园林绿化工程计价定额》（CQYLLHDE-2018）、《重庆市建筑工程混凝土及砂浆配合比表定额》（CQPHBB-2018）、《重庆市建设工程施工机械台班定额》（CQJXDE-2018）、《重庆市建设工程费用定额》（CQFYDE-2018）、《重庆市市政工程计价定额》（CQSZDE-2018）、《重庆市绿色建筑工程计价定额》（CQLSJZDE-2018）、《重庆市构筑物工程计价定额》（CQGZWDE-2018）、《重庆市建设工程施工仪器仪表台班定额》（CQYQYBDE-2018）及其他配套文件；由投标人结合自身实力、市场行情自主合理报价。报价应包括完成招标范围内明示或暗示的工程项目的人工费、材料费、机械费、企业管理费、利润、风险费用、措施费（含安全文明施工费）、规费、税金、政策性文件规定等所有费用。投标人应认真填写工程量清单中所列的本合同各工程子项目的单价或总价。投标人没有填入单价或总价的工程子目，招标人将认为该子目的价款已包括在工程量清单其他子目的单价和总价中。投标人在工程量清单中多报的子目和单价或总价招标人将不予接受，并将被视为重大偏差，按响应文件无效处理。各投标人在编制报价时，不得改变招标人发布的工程量清单中的序号、项目编码、项目名称、项目特征、计量单位、工程量，否则视为对竞争性比选文件不作实质性响应，按无效响应处理。</w:t>
      </w:r>
    </w:p>
    <w:p w14:paraId="518B1E27">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2.2本工程人工单价由各投标人参照重庆市建设工程造价总站主办的《重庆工程造价》离本项目最近一期公布的市场人工信息价结合市场行情自主测算计入各分部分项综合单价中，成交后不再调整；</w:t>
      </w:r>
    </w:p>
    <w:p w14:paraId="6110995B">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2.3本工程所需的材料、设备由各投标人参照重庆市建设工程造价总站主办的《重庆工程造价》离本项目最近一期公布的信息价并结合市场行情以及投标人的自身实力自主报价，并承担材料价格涨跌风险。成交后，材料、设备价格均不作调整；</w:t>
      </w:r>
    </w:p>
    <w:p w14:paraId="54D81412">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1）本工程所需材料、设备由中标人采购，但所采购的材料、设备必须符合国家规范标准及设计文件、竞争性比选文件要求，并提供相应合格证明资料、质保书，同时须报监理单位（有监理单位的情况下）和招标人批准同意后方可采购。</w:t>
      </w:r>
    </w:p>
    <w:p w14:paraId="0086D27B">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（2）本工程材料、构件、成品及半成品的运输距离、仓储、保管、库损、二次及多次转运等由投标人根据自身情况及踏勘现场情况自行确定并综合考虑到报价中,不再另行计取。</w:t>
      </w:r>
    </w:p>
    <w:p w14:paraId="4F45674A">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（3）使用缺陷材料引起的返工、报废、工期延误等损失，由中标人自行承担。</w:t>
      </w:r>
    </w:p>
    <w:p w14:paraId="34985AFA">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2.4本工程安全文明施工费由招标人根据《建设工程工程量清单计价规范》（GB50500-2013）、《重庆市建设工程工程量清单计价规则》（CQJJGZ-2013）、《重庆市城乡建设委员会关于印发&lt;重庆市建设工程安全文明施工费计取及使用管理规定&gt;的通知》（渝建管〔2024〕38号）、《重庆市建设工程费用定额》（CQFYDE-2018）、《重庆市住房和城乡建设委员会关于适用增值税新税率调整建设工程计价依据的通知》（渝建〔2019〕143号）的相关规定和费用标准单列计算，安全文明施工费为暂定金额。投标人的报价函和工程量清单报价中的安全文明施工费必须按照招标人给出的暂定金额填报，否则视为对竞争性比选文件不作实质性响应，按无效响应处理。</w:t>
      </w:r>
    </w:p>
    <w:p w14:paraId="53E6E6A3">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2.5本工程采用增值税一般计税方法。</w:t>
      </w:r>
    </w:p>
    <w:p w14:paraId="5C2ACF6F">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3.工程量清单项、量、价</w:t>
      </w:r>
    </w:p>
    <w:p w14:paraId="7164B574">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3.1如果招标人提供的工程量清单中的清单项和工程量与施工图中工程量不一致，投标人应于竞争性比选文件中规定的时间前提出招标人询问，逾期未提出，招标人将视为各投标人对招标人提供的工程量无异议。除招标人对工程量清单主动更正或对投标人质疑作修改外，应以工程量清单中列出的工程量为准。投标人在编制报价时不得擅自变改招标人提供的分部分项工程量清单中的序号、项目编码、项目名称、项目特征、工程内容、工程量及计量单位，否则视为对竞争性比选文件不作实质性响应，其响应文件按无效响应处理。</w:t>
      </w:r>
    </w:p>
    <w:p w14:paraId="3F922511">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3.2工程量清单中给出的工程量是估算量或暂定量，视为竞争性比选文件确定的共同的基础，不能作为最终结算的依据。实际工程量应按《建设工程工程量清单计价规范》（GB50500-2013）、《重庆市建设工程工程量清单计价规则》（CQJJGZ-2013）、《重庆市建设工程工程量计算规则》（CQJLGZ-2013）及其配套的计量规范约定的计量规则计算的实际合格工程量。</w:t>
      </w:r>
    </w:p>
    <w:p w14:paraId="64A4D5D0">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特别说明：招标人有权根据自身的计划安排调整工程量，投标人应无条件接受，工程量变化后按工程变更处理，结算办法详见结算原则，投标人自行考虑招标人可能调整工程量造成的风险并纳入报价中，因工程量增减造成的损失由投标人自行承担。</w:t>
      </w:r>
    </w:p>
    <w:p w14:paraId="22AB8832">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3.3本工程各分部分项工程量清单子项不论其对应的项目特征和工作内容是否描述完整，都将被认为已包括《建设工程工程量清单计价规范》（CQJJGZ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需的各种主要、辅助工作；其综合单价应包括完成该子项所需的人工费、材料费、施工机具使用费、管理费、利润、风险费用等除税金、安全文明施工费、措施费、规费外的所有费用以及合同文件中明示或暗示的应由中标人承担的所有责任、义务、风险及相应的费用。</w:t>
      </w:r>
    </w:p>
    <w:p w14:paraId="2994B4C4">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3.4竞争性比选文件及相关更正文件规定了暂定材料单价或暂列金额项目或专业工程暂定价，投标人必须按规定的暂定价格进行报价，投标人不得修改，否则视为对竞争性比选文件不作实质性响应，其响应文件按无效处理。</w:t>
      </w:r>
    </w:p>
    <w:p w14:paraId="48E78B6F">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3.5投标人必须严格按招标人提供的《工程量清单》格式内所有项目进行报价；不得出现漏项或增项，否则视为对竞争性比选文件不作实质性响应，其响应文件按无效处理。报价空白或报价为零，则视为该子项的价款已包括在工程量清单其他子目的单价和合价中，成交后必须完成该子项工作内容，招标人不对该子项进行结算与支付。施工过程中，因招标人原因需要对报价空白或报价为零的项目减少实施工程量或不予实施，招标人将按报价时计价原则计算出该项的综合单价以及相应的规费、安全文明施工费用、措施费和税金，并据此从结算价中扣除。</w:t>
      </w:r>
    </w:p>
    <w:p w14:paraId="75DCFF0E">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3.6本工程量清单中“项目特征及工作内容”描述不作为报价的唯一依据，投标人应根据分部分项工程量清单计价表中“项目特征和工作内容”的描述结合竞争性比选文件中的投标人须知、通用合同条款、专用合同条款、技术标准和要求、施工设计图纸和对现场的勘察情况等一起阅读和理解并确定报价。</w:t>
      </w:r>
    </w:p>
    <w:p w14:paraId="3A31C535">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4.其他：</w:t>
      </w:r>
    </w:p>
    <w:p w14:paraId="22674551">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4.1本工程项目的报价采用工程量清单报价方式。本次报价是包含施工过程风险的报价，中标人在施工过程所需的施工风险处理费用及不可预见费用报价中已包含；</w:t>
      </w:r>
    </w:p>
    <w:p w14:paraId="6EDAFDB4">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4.2中标人在施工过程造成附近建筑物、构筑物地下管网及现场已完成的构件破坏，需要恢复或赔偿的费用由中标人承担。施工临时用水用电，场内水电安装管理费用及电讯线路费用由投标人自行承担，投标人在报价中考虑；</w:t>
      </w:r>
    </w:p>
    <w:p w14:paraId="6243D4F4">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4.3施工期间要求中标人及时与其他单位做好施工配合工作，配合所需的相关费用需综合考虑在报价中；</w:t>
      </w:r>
    </w:p>
    <w:p w14:paraId="5F4D8A80">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4.4投标人应充分考虑工程现场交通条件、工程量较大变化带来的风险和施工期不连贯等所有不利因素，在报价中综合考虑。</w:t>
      </w:r>
    </w:p>
    <w:bookmarkEnd w:id="125"/>
    <w:p w14:paraId="3CC745FD">
      <w:pPr>
        <w:pStyle w:val="4"/>
        <w:adjustRightInd w:val="0"/>
        <w:snapToGrid w:val="0"/>
        <w:spacing w:before="0" w:after="0" w:line="400" w:lineRule="exact"/>
        <w:ind w:firstLine="482" w:firstLineChars="200"/>
        <w:rPr>
          <w:rFonts w:hint="eastAsia" w:ascii="宋体" w:hAnsi="宋体" w:eastAsia="宋体"/>
          <w:sz w:val="24"/>
        </w:rPr>
      </w:pPr>
      <w:bookmarkStart w:id="126" w:name="_Toc194947050"/>
      <w:bookmarkStart w:id="127" w:name="_Toc215158844"/>
      <w:bookmarkStart w:id="128" w:name="_Toc31232"/>
      <w:bookmarkStart w:id="129" w:name="_Toc150178535"/>
      <w:r>
        <w:rPr>
          <w:rFonts w:hint="eastAsia" w:ascii="宋体" w:hAnsi="宋体" w:eastAsia="宋体"/>
          <w:sz w:val="24"/>
        </w:rPr>
        <w:t>三、结算原则</w:t>
      </w:r>
      <w:bookmarkEnd w:id="126"/>
      <w:bookmarkEnd w:id="127"/>
    </w:p>
    <w:p w14:paraId="43D4CD8E">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特别说明：本工程结算时，凡涉及营改增的，均按《关于适用增值税新税率调整建设工程计价依据的通知》（渝建【2019】143号）。</w:t>
      </w:r>
    </w:p>
    <w:p w14:paraId="55DEA7D6">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1. 结算总价＝分部分项工程量清单综合单价×子项工程量+措施项目费+其他项目费+安全文明施工费+规费+税金+设计变更及新增部分金额+合同约定的其它费用（合同如果没有约定，则取消此项目）。</w:t>
      </w:r>
    </w:p>
    <w:p w14:paraId="59D9A21E">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2.各部分的结算原则如下：</w:t>
      </w:r>
    </w:p>
    <w:p w14:paraId="0D2D4FE3">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（1）分部分项工程量清单结算价：</w:t>
      </w:r>
    </w:p>
    <w:p w14:paraId="1E5E7C07">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分部分项工程量清单项目按成交单价实行综合单价包干。工程结算时，以中标人最后成交单价为结算单价依据，乘以施工图及设计变更按《建设工程工程量清单计价规范》（GB50500-2013）计算且经招标人及监理工程师（有监理单位的情况下）审核的工程量，作为该子项的结算合价。各分部分项工程量清单子项合价累计相加，得分部分项工程量清单结算价。</w:t>
      </w:r>
    </w:p>
    <w:p w14:paraId="29C8D3BD">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（2）措施费</w:t>
      </w:r>
    </w:p>
    <w:p w14:paraId="186FC02C">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施工组织措施费：无论因设计变更或施工工艺变化等任何因素而引起实际措施费的变化，均按投标时施工组织措施项目费（除安全文明施工费外）的报价作为结算价。</w:t>
      </w:r>
    </w:p>
    <w:p w14:paraId="122C088B">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中标人报价的综合单价乘以按《重庆市建设工程工程量计算规则》（CQJLGZ-2013）约定的计量规则计算的实际合格工程量办理结算。</w:t>
      </w:r>
    </w:p>
    <w:p w14:paraId="3E506495">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（3）本工程设计变更、采购工程量清单漏项或新增项目价款结算办法：工程设计变更确定后，设计变更涉及工程价款调整的，或采购工程量清单中有漏项或工程施工中出现新增项目。调整方法如下：</w:t>
      </w:r>
    </w:p>
    <w:p w14:paraId="2D2F88CA">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变更（包括签证）工程与报价的工程量清单中有相同的子项，原则上按投标时的相同子项的综合单价报价执行；如报价中相同子项的综合单价明显高于市场价格，其综合单价需由中标人报送招标人重新审核，以招标人的审定的综合单价执行。</w:t>
      </w:r>
    </w:p>
    <w:p w14:paraId="139F6D00">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变更（包括签证）工程与报价的工程量清单中有类似子项的，原则上按投标时的类似子项的综合单价报价执行；如报价中类似子项的综合单价明显高于市场价格，其综合单价需由中标人报送招标人重新审核，以招标人的审定的综合单价执行。</w:t>
      </w:r>
    </w:p>
    <w:p w14:paraId="662554A4">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变更（包括签证）工程与工程量清单中无相同子项或类似子项的，按照《建设工程工程量清单计价规范》（GB50500-2013）、《重庆市建设工程工程量清单计价规则》（CQJJGZ-2013）、《重庆市建设工程工程量计算规则》（CQJLGZ-2013）；《重庆市房屋建筑与装饰工程计价定额》（CQJZZSDE-2018）、《重庆市通用安装工程计价定额》（CQAZDE-2018）、《重庆市园林绿化工程计价定额》（CQYLLHDE-2018）、《重庆市建筑工程混凝土及砂浆配合比表定额》（CQPHBB-2018）、《重庆市建设工程施工机械台班定额》（CQJXDE-2018）、《重庆市建设工程费用定额》（CQFYDE-2018）、《重庆市市政工程计价定额》（CQSZDE-2018）、《重庆市绿色建筑工程计价定额》（CQLSJZDE-2018）、《重庆市构筑物工程计价定额》（CQGZWDE-2018）、《重庆市建设工程施工仪器仪表台班定额》（CQYQYBDE-2018）及相关配套文件的规定进行组价（其中材料及人工费成交价中有的按成交价计算；成交价中没有的材料单价按施工期间重庆市建设工程造价总站主办的《重庆工程造价》公布的信息价算数平均值执行；《重庆工程造价信息》没有的材料价格由中标人报招标人和监理人（若有）认质核价，组价后按成交价与中标人第一次报价的下浮比例同比例下浮并经招标人审核后作为结算综合单价。</w:t>
      </w:r>
    </w:p>
    <w:p w14:paraId="412D07E5">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 xml:space="preserve">A、材料由中标人进行采购，其中工程的主要材料部分采购前需报监理人（有监理单位的情况下）和招标人核质核价后再行采购，按结算评审部门审定后价格进行结算；如《重庆工程造价》中有的材料，核定价不得高于施工期间《重庆工程造价》信息价的算术平均值。 </w:t>
      </w:r>
    </w:p>
    <w:p w14:paraId="7794C0BE">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B、人工工日单价按报价中的人工工日单价执行，报价中没有的人工工日单价则按施工期间《重庆工程造价》公布的垫江县人工指导价的算术平均值执行。</w:t>
      </w:r>
    </w:p>
    <w:p w14:paraId="20B33016">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（4）其他项目清单结算金额</w:t>
      </w:r>
    </w:p>
    <w:p w14:paraId="15488799">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①材料采用暂估单价的，在施工过程中，使用前由中标人报价，经招标人审核同意后方可采购、施工。结算时只对招标人核定单价与暂估单价的价差部分进行调整（调整的数量根据工程结算数量确定），该价差除税金外不再计取其他任何费用。若中标人在招标人核价后5个工作日内，中标人拒绝签字确认招标人核定的价格或拒绝按招标人核定的价格采购的，则该种材料改为甲方采购供应，其该种材料费用招标人按暂估单价（含应计取的税金）在结算价款中扣除，且招标人还应按规定收取该种材料费用的采保费的1/3。</w:t>
      </w:r>
    </w:p>
    <w:p w14:paraId="1A86B6A0">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注：材料暂估单价仅指此类材料本身运至施工现场的价格，不包括这些材料的安装、安装所必须的辅助材料以及发生在现场内的验收、存储、保管、二次搬运、从存放地点运至安装地点以及其他任何必要的辅助工作所发生的费用，上述费用由投标人自行考虑计入各相应子目的综合单价报价中，成交后不再计取。</w:t>
      </w:r>
    </w:p>
    <w:p w14:paraId="3D18DAE3">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②本工程采用专业工程暂估价或暂列金额采购的，结算时按实结算。其中以暂列金额采购的施工内容实施与否由招标人决定。</w:t>
      </w:r>
    </w:p>
    <w:p w14:paraId="7D920A3B">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（5）安全文明施工费：《重庆城乡建设委员会关于印发&lt;重庆市建设工程安全文明施工费计取及使用管理规定&gt;的通知》（渝建管〔2024〕38号）等相关配套规定标准据实结算。评定不合格不计费。</w:t>
      </w:r>
    </w:p>
    <w:p w14:paraId="669F7C7B">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（6）规费：按投标费率结算，若中标人的报价中规费费率高于规定费率，则以规定费率结算。</w:t>
      </w:r>
    </w:p>
    <w:p w14:paraId="0F776F0D">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（7）税金：增值税计税方法由招标人依据国家税法规定选择一般计税法.</w:t>
      </w:r>
    </w:p>
    <w:p w14:paraId="73EBFC91">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（8）招标人要求中标人完成合同以外施工范围内或施工范围外但与本施工项目有密切关系的零星项目，中标人应接受招标人施工要求，并向招标人提出工程量签证。</w:t>
      </w:r>
    </w:p>
    <w:p w14:paraId="3F454561">
      <w:pPr>
        <w:tabs>
          <w:tab w:val="left" w:pos="312"/>
        </w:tabs>
        <w:spacing w:line="380" w:lineRule="exact"/>
        <w:ind w:firstLine="480" w:firstLineChars="200"/>
        <w:rPr>
          <w:rFonts w:hint="eastAsia" w:ascii="宋体" w:hAnsi="宋体" w:cs="仿宋"/>
          <w:sz w:val="24"/>
          <w:szCs w:val="24"/>
        </w:rPr>
      </w:pPr>
      <w:r>
        <w:rPr>
          <w:rFonts w:hint="eastAsia" w:ascii="宋体" w:hAnsi="宋体" w:cs="仿宋"/>
          <w:sz w:val="24"/>
          <w:szCs w:val="24"/>
        </w:rPr>
        <w:t>3. 本工程所需材料、设备（暂估价、暂列金额除外）由投标人自行承担材料、设备价格涨跌风险，成交后不作调整。</w:t>
      </w:r>
    </w:p>
    <w:p w14:paraId="5F837A12">
      <w:pPr>
        <w:pStyle w:val="4"/>
        <w:adjustRightInd w:val="0"/>
        <w:snapToGrid w:val="0"/>
        <w:spacing w:before="0" w:after="0" w:line="400" w:lineRule="exact"/>
        <w:ind w:firstLine="482" w:firstLineChars="200"/>
        <w:rPr>
          <w:rFonts w:hint="eastAsia" w:ascii="宋体" w:hAnsi="宋体" w:eastAsia="宋体"/>
          <w:sz w:val="24"/>
        </w:rPr>
      </w:pPr>
      <w:bookmarkStart w:id="130" w:name="_Toc215158845"/>
      <w:r>
        <w:rPr>
          <w:rFonts w:hint="eastAsia" w:ascii="宋体" w:hAnsi="宋体" w:eastAsia="宋体"/>
          <w:sz w:val="24"/>
        </w:rPr>
        <w:t>四、</w:t>
      </w:r>
      <w:bookmarkEnd w:id="128"/>
      <w:bookmarkEnd w:id="129"/>
      <w:bookmarkStart w:id="131" w:name="_Toc150178536"/>
      <w:bookmarkStart w:id="132" w:name="_Toc9192"/>
      <w:bookmarkStart w:id="133" w:name="_Toc65660345"/>
      <w:bookmarkStart w:id="134" w:name="_Toc7562"/>
      <w:bookmarkStart w:id="135" w:name="_Toc9202"/>
      <w:r>
        <w:rPr>
          <w:rFonts w:hint="eastAsia" w:ascii="宋体" w:hAnsi="宋体" w:eastAsia="宋体"/>
          <w:sz w:val="24"/>
        </w:rPr>
        <w:t>履约担保</w:t>
      </w:r>
      <w:bookmarkEnd w:id="130"/>
    </w:p>
    <w:p w14:paraId="51EEEA97">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1、担保金额：履约担保金为成交金额的10%。（注明水库监控履约担保金）</w:t>
      </w:r>
    </w:p>
    <w:p w14:paraId="55AA8BD4">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2、担保形式：现金，对公账户转账。</w:t>
      </w:r>
    </w:p>
    <w:p w14:paraId="0AC33037">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3、递交时间：发出中标通知书后10 个工作日内签订合同前。</w:t>
      </w:r>
    </w:p>
    <w:p w14:paraId="7D1D6C8B">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4、退还时间：</w:t>
      </w:r>
      <w:r>
        <w:rPr>
          <w:rFonts w:hint="eastAsia" w:ascii="宋体" w:hAnsi="宋体"/>
          <w:sz w:val="24"/>
          <w:szCs w:val="28"/>
        </w:rPr>
        <w:t>全部供货安装完成并经验收合格后</w:t>
      </w:r>
      <w:r>
        <w:rPr>
          <w:rFonts w:hint="eastAsia" w:ascii="宋体" w:hAnsi="宋体" w:cs="仿宋"/>
          <w:sz w:val="24"/>
          <w:szCs w:val="24"/>
        </w:rPr>
        <w:t>，中标人向招标人提供网上银行回执单及收据、履约担保金退换申请后</w:t>
      </w:r>
      <w:r>
        <w:rPr>
          <w:rFonts w:ascii="宋体" w:hAnsi="宋体" w:cs="仿宋"/>
          <w:sz w:val="24"/>
          <w:szCs w:val="24"/>
        </w:rPr>
        <w:t>,</w:t>
      </w:r>
      <w:r>
        <w:rPr>
          <w:rFonts w:hint="eastAsia" w:ascii="宋体" w:hAnsi="宋体" w:cs="仿宋"/>
          <w:sz w:val="24"/>
          <w:szCs w:val="24"/>
        </w:rPr>
        <w:t>招标人向中标人基本账户一次性无息退还履约担保金。</w:t>
      </w:r>
    </w:p>
    <w:p w14:paraId="6CDA0408">
      <w:pPr>
        <w:pStyle w:val="4"/>
        <w:adjustRightInd w:val="0"/>
        <w:snapToGrid w:val="0"/>
        <w:spacing w:before="0" w:after="0" w:line="400" w:lineRule="exact"/>
        <w:ind w:firstLine="482" w:firstLineChars="200"/>
        <w:rPr>
          <w:rFonts w:hint="eastAsia" w:ascii="宋体" w:hAnsi="宋体" w:eastAsia="宋体"/>
          <w:sz w:val="24"/>
        </w:rPr>
      </w:pPr>
      <w:bookmarkStart w:id="136" w:name="_Toc215158846"/>
      <w:r>
        <w:rPr>
          <w:rFonts w:hint="eastAsia" w:ascii="宋体" w:hAnsi="宋体" w:eastAsia="宋体"/>
          <w:sz w:val="24"/>
        </w:rPr>
        <w:t>五、付款方式</w:t>
      </w:r>
      <w:bookmarkEnd w:id="131"/>
      <w:bookmarkEnd w:id="132"/>
      <w:bookmarkEnd w:id="133"/>
      <w:bookmarkEnd w:id="134"/>
      <w:bookmarkEnd w:id="135"/>
      <w:bookmarkEnd w:id="136"/>
    </w:p>
    <w:p w14:paraId="02D9AAB6">
      <w:pPr>
        <w:snapToGrid w:val="0"/>
        <w:spacing w:line="400" w:lineRule="exact"/>
        <w:ind w:firstLine="480" w:firstLineChars="200"/>
        <w:rPr>
          <w:rFonts w:hint="eastAsia" w:ascii="宋体" w:hAnsi="宋体"/>
          <w:sz w:val="24"/>
          <w:szCs w:val="28"/>
        </w:rPr>
      </w:pPr>
      <w:r>
        <w:rPr>
          <w:rFonts w:hint="eastAsia" w:ascii="宋体" w:hAnsi="宋体"/>
          <w:sz w:val="24"/>
          <w:szCs w:val="28"/>
        </w:rPr>
        <w:t>1、本工程无预付款，成交人设备到场并安装完成并正常试运行1周后支付至合同金额的50%，验收合格后成交人报送结算资料给甲方，由甲方组织审核后，支付至审定金额的97%，剩余价款在二年质保期满无质量问题后一次性无息支付。</w:t>
      </w:r>
    </w:p>
    <w:p w14:paraId="7376A8B5">
      <w:pPr>
        <w:snapToGrid w:val="0"/>
        <w:spacing w:line="400" w:lineRule="exact"/>
        <w:ind w:firstLine="480" w:firstLineChars="200"/>
        <w:rPr>
          <w:rFonts w:hint="eastAsia" w:ascii="宋体" w:hAnsi="宋体"/>
          <w:sz w:val="24"/>
          <w:szCs w:val="28"/>
        </w:rPr>
      </w:pPr>
      <w:r>
        <w:rPr>
          <w:rFonts w:hint="eastAsia" w:ascii="宋体" w:hAnsi="宋体"/>
          <w:sz w:val="24"/>
          <w:szCs w:val="28"/>
        </w:rPr>
        <w:t>2、支付需要的资料（增值税专用发票）。</w:t>
      </w:r>
    </w:p>
    <w:p w14:paraId="2A33287C">
      <w:pPr>
        <w:pStyle w:val="4"/>
        <w:spacing w:line="400" w:lineRule="exact"/>
        <w:ind w:firstLine="482" w:firstLineChars="200"/>
        <w:rPr>
          <w:rFonts w:hint="eastAsia" w:ascii="宋体" w:hAnsi="宋体" w:eastAsia="宋体"/>
          <w:sz w:val="24"/>
        </w:rPr>
      </w:pPr>
      <w:bookmarkStart w:id="137" w:name="_Toc150178537"/>
      <w:bookmarkStart w:id="138" w:name="_Toc65660346"/>
      <w:bookmarkStart w:id="139" w:name="_Toc12946"/>
      <w:bookmarkStart w:id="140" w:name="_Toc24751"/>
      <w:bookmarkStart w:id="141" w:name="_Toc194947052"/>
      <w:bookmarkStart w:id="142" w:name="_Toc215158847"/>
      <w:bookmarkStart w:id="143" w:name="_Toc7228"/>
      <w:r>
        <w:rPr>
          <w:rFonts w:hint="eastAsia" w:ascii="宋体" w:hAnsi="宋体" w:eastAsia="宋体"/>
          <w:sz w:val="24"/>
        </w:rPr>
        <w:t>六、知识产权</w:t>
      </w:r>
      <w:bookmarkEnd w:id="137"/>
      <w:bookmarkEnd w:id="138"/>
      <w:bookmarkEnd w:id="139"/>
      <w:bookmarkEnd w:id="140"/>
      <w:bookmarkEnd w:id="141"/>
      <w:bookmarkEnd w:id="142"/>
      <w:bookmarkEnd w:id="143"/>
    </w:p>
    <w:p w14:paraId="07A4E9DA">
      <w:pPr>
        <w:snapToGrid w:val="0"/>
        <w:spacing w:line="400" w:lineRule="exact"/>
        <w:ind w:firstLine="540"/>
        <w:rPr>
          <w:rFonts w:hint="eastAsia" w:ascii="宋体" w:hAnsi="宋体"/>
          <w:sz w:val="24"/>
          <w:szCs w:val="24"/>
        </w:rPr>
      </w:pPr>
      <w:r>
        <w:rPr>
          <w:rFonts w:hint="eastAsia" w:ascii="宋体" w:hAnsi="宋体"/>
          <w:sz w:val="24"/>
          <w:szCs w:val="24"/>
        </w:rPr>
        <w:t>招标人在中华人民共和国境内使用中标人提供的货物及服务时免受第三方提出的侵犯其专利权或其它知识产权的起诉。如果第三方提出侵权指控，中标人应承担由此而引起的一切法律责任和费用。</w:t>
      </w:r>
    </w:p>
    <w:p w14:paraId="5CAC0AA3">
      <w:pPr>
        <w:pStyle w:val="4"/>
        <w:spacing w:line="400" w:lineRule="exact"/>
        <w:ind w:firstLine="482" w:firstLineChars="200"/>
        <w:rPr>
          <w:rFonts w:hint="eastAsia" w:ascii="宋体" w:hAnsi="宋体" w:eastAsia="宋体"/>
          <w:sz w:val="24"/>
        </w:rPr>
      </w:pPr>
      <w:bookmarkStart w:id="144" w:name="_Toc215158848"/>
      <w:bookmarkStart w:id="145" w:name="_Toc194947053"/>
      <w:bookmarkStart w:id="146" w:name="_Toc5555"/>
      <w:bookmarkStart w:id="147" w:name="_Toc6565"/>
      <w:bookmarkStart w:id="148" w:name="_Toc14013"/>
      <w:bookmarkStart w:id="149" w:name="_Toc150178538"/>
      <w:bookmarkStart w:id="150" w:name="_Toc65660347"/>
      <w:r>
        <w:rPr>
          <w:rFonts w:hint="eastAsia" w:ascii="宋体" w:hAnsi="宋体" w:eastAsia="宋体"/>
          <w:sz w:val="24"/>
        </w:rPr>
        <w:t>七、培训</w:t>
      </w:r>
      <w:bookmarkEnd w:id="144"/>
      <w:bookmarkEnd w:id="145"/>
      <w:bookmarkEnd w:id="146"/>
      <w:bookmarkEnd w:id="147"/>
      <w:bookmarkEnd w:id="148"/>
      <w:bookmarkEnd w:id="149"/>
      <w:bookmarkEnd w:id="150"/>
    </w:p>
    <w:p w14:paraId="4F210321">
      <w:pPr>
        <w:snapToGrid w:val="0"/>
        <w:spacing w:line="400" w:lineRule="exact"/>
        <w:ind w:firstLine="540"/>
        <w:rPr>
          <w:rFonts w:hint="eastAsia" w:ascii="宋体" w:hAnsi="宋体"/>
          <w:sz w:val="24"/>
          <w:szCs w:val="24"/>
        </w:rPr>
      </w:pPr>
      <w:r>
        <w:rPr>
          <w:rFonts w:hint="eastAsia" w:ascii="宋体" w:hAnsi="宋体"/>
          <w:sz w:val="24"/>
          <w:szCs w:val="24"/>
        </w:rPr>
        <w:t>中标人须提供对设备设施的操作培训，使相关使用人员能够正常操作相关设备。</w:t>
      </w:r>
    </w:p>
    <w:p w14:paraId="4081E2C1">
      <w:pPr>
        <w:pStyle w:val="4"/>
        <w:spacing w:line="400" w:lineRule="exact"/>
        <w:ind w:firstLine="482" w:firstLineChars="200"/>
        <w:rPr>
          <w:rFonts w:hint="eastAsia" w:ascii="宋体" w:hAnsi="宋体" w:eastAsia="宋体"/>
          <w:sz w:val="24"/>
        </w:rPr>
      </w:pPr>
      <w:bookmarkStart w:id="151" w:name="_Toc150178539"/>
      <w:bookmarkStart w:id="152" w:name="_Toc65660348"/>
      <w:bookmarkStart w:id="153" w:name="_Toc31659"/>
      <w:bookmarkStart w:id="154" w:name="_Toc194947054"/>
      <w:bookmarkStart w:id="155" w:name="_Toc22983"/>
      <w:bookmarkStart w:id="156" w:name="_Toc215158849"/>
      <w:bookmarkStart w:id="157" w:name="_Toc21248"/>
      <w:r>
        <w:rPr>
          <w:rFonts w:hint="eastAsia" w:ascii="宋体" w:hAnsi="宋体" w:eastAsia="宋体"/>
          <w:sz w:val="24"/>
        </w:rPr>
        <w:t>八、其他</w:t>
      </w:r>
      <w:bookmarkEnd w:id="151"/>
      <w:bookmarkEnd w:id="152"/>
      <w:bookmarkEnd w:id="153"/>
      <w:bookmarkEnd w:id="154"/>
      <w:bookmarkEnd w:id="155"/>
      <w:bookmarkEnd w:id="156"/>
      <w:bookmarkEnd w:id="157"/>
    </w:p>
    <w:p w14:paraId="51E4D0D1">
      <w:pPr>
        <w:snapToGrid w:val="0"/>
        <w:spacing w:line="400" w:lineRule="exact"/>
        <w:ind w:firstLine="540"/>
        <w:rPr>
          <w:rFonts w:hint="eastAsia" w:ascii="宋体" w:hAnsi="宋体"/>
          <w:sz w:val="24"/>
          <w:szCs w:val="24"/>
        </w:rPr>
      </w:pPr>
      <w:r>
        <w:rPr>
          <w:rFonts w:hint="eastAsia" w:ascii="宋体" w:hAnsi="宋体"/>
          <w:sz w:val="24"/>
          <w:szCs w:val="24"/>
        </w:rPr>
        <w:t>其他未尽事宜由供需双方在采购合同中详细约定。</w:t>
      </w:r>
      <w:bookmarkEnd w:id="121"/>
    </w:p>
    <w:p w14:paraId="522BBF6F">
      <w:pPr>
        <w:snapToGrid w:val="0"/>
        <w:spacing w:line="400" w:lineRule="exact"/>
        <w:ind w:firstLine="540"/>
        <w:rPr>
          <w:rFonts w:hint="eastAsia" w:ascii="宋体" w:hAnsi="宋体"/>
          <w:sz w:val="24"/>
          <w:szCs w:val="24"/>
        </w:rPr>
      </w:pPr>
    </w:p>
    <w:p w14:paraId="735BF989">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58" w:name="_Toc106034789"/>
      <w:bookmarkStart w:id="159" w:name="_Toc24195"/>
      <w:bookmarkStart w:id="160" w:name="_Toc16123"/>
      <w:bookmarkStart w:id="161" w:name="_Toc31282"/>
      <w:bookmarkStart w:id="162" w:name="_Toc65660349"/>
      <w:bookmarkStart w:id="163" w:name="_Toc215158850"/>
      <w:bookmarkStart w:id="164" w:name="_Toc6875"/>
      <w:r>
        <w:rPr>
          <w:rFonts w:hint="eastAsia" w:ascii="宋体" w:hAnsi="宋体" w:eastAsia="宋体"/>
          <w:b w:val="0"/>
          <w:sz w:val="36"/>
          <w:szCs w:val="30"/>
        </w:rPr>
        <w:t>第四篇  采购程序、评定成交的标准、无效报价及采购终止</w:t>
      </w:r>
      <w:bookmarkEnd w:id="158"/>
      <w:bookmarkEnd w:id="159"/>
      <w:bookmarkEnd w:id="160"/>
      <w:bookmarkEnd w:id="161"/>
      <w:bookmarkEnd w:id="162"/>
      <w:bookmarkEnd w:id="163"/>
      <w:bookmarkEnd w:id="164"/>
    </w:p>
    <w:p w14:paraId="2A80F269">
      <w:pPr>
        <w:pStyle w:val="4"/>
        <w:adjustRightInd w:val="0"/>
        <w:snapToGrid w:val="0"/>
        <w:spacing w:before="0" w:after="0" w:line="400" w:lineRule="exact"/>
        <w:ind w:firstLine="482" w:firstLineChars="200"/>
        <w:rPr>
          <w:rFonts w:hint="eastAsia" w:ascii="宋体" w:hAnsi="宋体" w:eastAsia="宋体"/>
          <w:sz w:val="24"/>
        </w:rPr>
      </w:pPr>
      <w:bookmarkStart w:id="165" w:name="_Toc215158851"/>
      <w:bookmarkStart w:id="166" w:name="_Toc64732012"/>
      <w:bookmarkStart w:id="167" w:name="_Toc27932"/>
      <w:bookmarkStart w:id="168" w:name="_Toc4007"/>
      <w:bookmarkStart w:id="169" w:name="_Toc65660350"/>
      <w:bookmarkStart w:id="170" w:name="_Toc5167"/>
      <w:bookmarkStart w:id="171" w:name="_Toc9361"/>
      <w:bookmarkStart w:id="172" w:name="_Toc106034790"/>
      <w:r>
        <w:rPr>
          <w:rFonts w:hint="eastAsia" w:ascii="宋体" w:hAnsi="宋体" w:eastAsia="宋体"/>
          <w:sz w:val="24"/>
        </w:rPr>
        <w:t>一、采购程序</w:t>
      </w:r>
      <w:bookmarkEnd w:id="165"/>
      <w:bookmarkEnd w:id="166"/>
      <w:bookmarkEnd w:id="167"/>
      <w:bookmarkEnd w:id="168"/>
      <w:bookmarkEnd w:id="169"/>
      <w:bookmarkEnd w:id="170"/>
      <w:bookmarkEnd w:id="171"/>
      <w:bookmarkEnd w:id="172"/>
    </w:p>
    <w:p w14:paraId="2FE06084">
      <w:pPr>
        <w:pStyle w:val="33"/>
        <w:spacing w:line="400" w:lineRule="exact"/>
        <w:ind w:firstLine="480" w:firstLineChars="200"/>
        <w:rPr>
          <w:rFonts w:hint="eastAsia" w:ascii="宋体" w:hAnsi="宋体"/>
          <w:sz w:val="24"/>
          <w:szCs w:val="24"/>
        </w:rPr>
      </w:pPr>
      <w:r>
        <w:rPr>
          <w:rFonts w:hint="eastAsia" w:ascii="宋体" w:hAnsi="宋体"/>
          <w:sz w:val="24"/>
          <w:szCs w:val="24"/>
        </w:rPr>
        <w:t>（一）比选按竞争性比选文件规定的时间和地点进行。</w:t>
      </w:r>
    </w:p>
    <w:p w14:paraId="4DE36E89">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（二）由本项目评审小组对各投标人的资格条件、实质性响应等进行审查。 </w:t>
      </w:r>
    </w:p>
    <w:p w14:paraId="29145BA8">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1.资格性审查。依据法律法规和竞争性比选文件的规定，对响应文件中的资格证明材料、保证金等进行审查。资格性审查内容如下：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14:paraId="209D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0D0D065D">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47B9D874">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3FB1BC99">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5452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vAlign w:val="center"/>
          </w:tcPr>
          <w:p w14:paraId="4321BD60">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06ADED3">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vAlign w:val="center"/>
          </w:tcPr>
          <w:p w14:paraId="1EF2FB0D">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vAlign w:val="center"/>
          </w:tcPr>
          <w:p w14:paraId="6A95F69E">
            <w:pPr>
              <w:rPr>
                <w:rFonts w:hint="eastAsia" w:ascii="宋体" w:hAnsi="宋体"/>
                <w:sz w:val="21"/>
                <w:szCs w:val="21"/>
              </w:rPr>
            </w:pPr>
            <w:r>
              <w:rPr>
                <w:rFonts w:hint="eastAsia" w:ascii="宋体" w:hAnsi="宋体"/>
                <w:sz w:val="21"/>
                <w:szCs w:val="21"/>
              </w:rPr>
              <w:t xml:space="preserve">1.投标人法人营业执照（副本），提供复印件。 </w:t>
            </w:r>
          </w:p>
          <w:p w14:paraId="1622E906">
            <w:pPr>
              <w:rPr>
                <w:rFonts w:hint="eastAsia" w:ascii="宋体" w:hAnsi="宋体"/>
                <w:sz w:val="21"/>
                <w:szCs w:val="21"/>
              </w:rPr>
            </w:pPr>
            <w:r>
              <w:rPr>
                <w:rFonts w:hint="eastAsia" w:ascii="宋体" w:hAnsi="宋体"/>
                <w:sz w:val="21"/>
                <w:szCs w:val="21"/>
              </w:rPr>
              <w:t>2.投标人法定代表人身份证明和法定代表人授权代表委托书。</w:t>
            </w:r>
          </w:p>
        </w:tc>
      </w:tr>
      <w:tr w14:paraId="0792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vAlign w:val="center"/>
          </w:tcPr>
          <w:p w14:paraId="74DE064F">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4A4FB17">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vAlign w:val="center"/>
          </w:tcPr>
          <w:p w14:paraId="48415488">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vAlign w:val="center"/>
          </w:tcPr>
          <w:p w14:paraId="0D54C192">
            <w:pPr>
              <w:rPr>
                <w:rFonts w:hint="eastAsia" w:ascii="宋体" w:hAnsi="宋体"/>
                <w:b/>
                <w:sz w:val="21"/>
                <w:szCs w:val="21"/>
              </w:rPr>
            </w:pPr>
            <w:r>
              <w:rPr>
                <w:rFonts w:hint="eastAsia" w:ascii="宋体" w:hAnsi="宋体"/>
                <w:sz w:val="21"/>
                <w:szCs w:val="21"/>
              </w:rPr>
              <w:t>投标人提供“基本资格条件承诺函”（格式详见第七篇）</w:t>
            </w:r>
          </w:p>
        </w:tc>
      </w:tr>
      <w:tr w14:paraId="4BBB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vAlign w:val="center"/>
          </w:tcPr>
          <w:p w14:paraId="24180AF4">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968E61E">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vAlign w:val="center"/>
          </w:tcPr>
          <w:p w14:paraId="5850DE92">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vAlign w:val="center"/>
          </w:tcPr>
          <w:p w14:paraId="3177606E">
            <w:pPr>
              <w:rPr>
                <w:rFonts w:hint="eastAsia" w:ascii="宋体" w:hAnsi="宋体"/>
              </w:rPr>
            </w:pPr>
          </w:p>
        </w:tc>
      </w:tr>
      <w:tr w14:paraId="3D9A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vAlign w:val="center"/>
          </w:tcPr>
          <w:p w14:paraId="664E3F30">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2DB06C7">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vAlign w:val="center"/>
          </w:tcPr>
          <w:p w14:paraId="079FE12E">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vAlign w:val="center"/>
          </w:tcPr>
          <w:p w14:paraId="1B8E4FDF">
            <w:pPr>
              <w:rPr>
                <w:rFonts w:hint="eastAsia" w:ascii="宋体" w:hAnsi="宋体"/>
              </w:rPr>
            </w:pPr>
          </w:p>
        </w:tc>
      </w:tr>
      <w:tr w14:paraId="4F65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vAlign w:val="center"/>
          </w:tcPr>
          <w:p w14:paraId="76C28152">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EE82725">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vAlign w:val="center"/>
          </w:tcPr>
          <w:p w14:paraId="4B326FC3">
            <w:pPr>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5267" w:type="dxa"/>
            <w:vMerge w:val="continue"/>
            <w:tcBorders>
              <w:top w:val="single" w:color="auto" w:sz="4" w:space="0"/>
              <w:left w:val="single" w:color="auto" w:sz="4" w:space="0"/>
              <w:bottom w:val="single" w:color="auto" w:sz="4" w:space="0"/>
              <w:right w:val="single" w:color="auto" w:sz="4" w:space="0"/>
            </w:tcBorders>
            <w:vAlign w:val="center"/>
          </w:tcPr>
          <w:p w14:paraId="68F663F4">
            <w:pPr>
              <w:rPr>
                <w:rFonts w:hint="eastAsia" w:ascii="宋体" w:hAnsi="宋体"/>
              </w:rPr>
            </w:pPr>
          </w:p>
        </w:tc>
      </w:tr>
      <w:tr w14:paraId="0E7B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2DA5503">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CFBF357">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vAlign w:val="center"/>
          </w:tcPr>
          <w:p w14:paraId="38B2FA45">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vAlign w:val="center"/>
          </w:tcPr>
          <w:p w14:paraId="4537F33C">
            <w:pPr>
              <w:rPr>
                <w:rFonts w:hint="eastAsia" w:ascii="宋体" w:hAnsi="宋体"/>
                <w:sz w:val="21"/>
                <w:szCs w:val="21"/>
              </w:rPr>
            </w:pPr>
          </w:p>
        </w:tc>
      </w:tr>
      <w:tr w14:paraId="0CB5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6C5C8B2">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CB11E06">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vAlign w:val="center"/>
          </w:tcPr>
          <w:p w14:paraId="01D978FE">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vAlign w:val="center"/>
          </w:tcPr>
          <w:p w14:paraId="0F034D37">
            <w:pPr>
              <w:rPr>
                <w:rFonts w:hint="eastAsia" w:ascii="宋体" w:hAnsi="宋体"/>
                <w:sz w:val="21"/>
                <w:szCs w:val="21"/>
              </w:rPr>
            </w:pPr>
            <w:r>
              <w:rPr>
                <w:rFonts w:hint="eastAsia" w:ascii="宋体" w:hAnsi="宋体"/>
                <w:sz w:val="21"/>
                <w:szCs w:val="21"/>
              </w:rPr>
              <w:t>按“第一篇三、投标人资格要求（三）本项目的特定资格要求”的要求提交（如果有）。</w:t>
            </w:r>
          </w:p>
        </w:tc>
      </w:tr>
    </w:tbl>
    <w:p w14:paraId="3D182ED7">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63C9B74F">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，是指投标人因违法经营受到刑事处罚或者责令停产停业、吊销许可证或者执照、较大数额罚款等行政处罚。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号）”执行。投标人可于响应文件递交截止时间前通过 “信用中国”网站(www.creditchina.gov.cn)、"中国政府采购网"(www.ccgp.gov.cn)等渠道查询信用记录。</w:t>
      </w:r>
    </w:p>
    <w:p w14:paraId="4C8A3D4C">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评审小组应当对响应文件进行评审，并根据竞争性比选文件规定的采购程序、评定成交的标准等事项与实质性响应竞争性比选文件要求的投标人进行评审。未实质性响应竞争性比选文件的响应文件按无效处理，评审小组应当告知有关投标人。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DD3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6E5E6027">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359BA650">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vAlign w:val="center"/>
          </w:tcPr>
          <w:p w14:paraId="2F482581">
            <w:pPr>
              <w:jc w:val="center"/>
              <w:rPr>
                <w:rFonts w:hint="eastAsia" w:ascii="宋体" w:hAnsi="宋体" w:cs="宋体"/>
                <w:b/>
                <w:kern w:val="0"/>
                <w:sz w:val="21"/>
                <w:szCs w:val="21"/>
              </w:rPr>
            </w:pPr>
            <w:r>
              <w:rPr>
                <w:rFonts w:hint="eastAsia" w:ascii="宋体" w:hAnsi="宋体" w:cs="宋体"/>
                <w:b/>
                <w:kern w:val="0"/>
                <w:sz w:val="21"/>
                <w:szCs w:val="21"/>
              </w:rPr>
              <w:t>审查标准</w:t>
            </w:r>
          </w:p>
        </w:tc>
      </w:tr>
      <w:tr w14:paraId="0BBA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644605F">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vAlign w:val="center"/>
          </w:tcPr>
          <w:p w14:paraId="7831EDCE">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vAlign w:val="center"/>
          </w:tcPr>
          <w:p w14:paraId="2E7CFB1D">
            <w:pPr>
              <w:rPr>
                <w:rFonts w:hint="eastAsia" w:ascii="宋体" w:hAnsi="宋体" w:cs="宋体"/>
                <w:kern w:val="0"/>
                <w:sz w:val="21"/>
                <w:szCs w:val="21"/>
              </w:rPr>
            </w:pPr>
            <w:r>
              <w:rPr>
                <w:rFonts w:hint="eastAsia" w:ascii="宋体" w:hAnsi="宋体"/>
                <w:sz w:val="21"/>
                <w:szCs w:val="21"/>
              </w:rPr>
              <w:t>按“第七篇响应文件格式要求”要求签署或盖章</w:t>
            </w:r>
          </w:p>
        </w:tc>
      </w:tr>
      <w:tr w14:paraId="6661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CFA43F">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vAlign w:val="center"/>
          </w:tcPr>
          <w:p w14:paraId="4FDCBC1C">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vAlign w:val="center"/>
          </w:tcPr>
          <w:p w14:paraId="622952FD">
            <w:pPr>
              <w:rPr>
                <w:rFonts w:hint="eastAsia" w:ascii="宋体" w:hAnsi="宋体"/>
                <w:sz w:val="21"/>
                <w:szCs w:val="21"/>
              </w:rPr>
            </w:pPr>
            <w:r>
              <w:rPr>
                <w:rFonts w:hint="eastAsia" w:ascii="宋体" w:hAnsi="宋体"/>
                <w:sz w:val="21"/>
                <w:szCs w:val="21"/>
              </w:rPr>
              <w:t>法定代表人身份证明及授权委托书有效，符合竞争性比选文件规定的格式，签署或盖章齐全。</w:t>
            </w:r>
          </w:p>
        </w:tc>
      </w:tr>
      <w:tr w14:paraId="3C8B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B14278E">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vAlign w:val="center"/>
          </w:tcPr>
          <w:p w14:paraId="5F3E4E12">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vAlign w:val="center"/>
          </w:tcPr>
          <w:p w14:paraId="7446006C">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14:paraId="3EB6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7FC644">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vAlign w:val="center"/>
          </w:tcPr>
          <w:p w14:paraId="00E5F0AE">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vAlign w:val="center"/>
          </w:tcPr>
          <w:p w14:paraId="104EEBC0">
            <w:pPr>
              <w:rPr>
                <w:rFonts w:hint="eastAsia" w:ascii="宋体" w:hAnsi="宋体" w:cs="宋体"/>
                <w:kern w:val="0"/>
                <w:sz w:val="21"/>
                <w:szCs w:val="21"/>
              </w:rPr>
            </w:pPr>
            <w:r>
              <w:rPr>
                <w:rFonts w:hint="eastAsia" w:ascii="宋体" w:hAnsi="宋体"/>
                <w:sz w:val="21"/>
                <w:szCs w:val="21"/>
              </w:rPr>
              <w:t>只能有一个有效报价，不得提交选择性报价。</w:t>
            </w:r>
          </w:p>
        </w:tc>
      </w:tr>
      <w:tr w14:paraId="7652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vAlign w:val="center"/>
          </w:tcPr>
          <w:p w14:paraId="091BD488">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vAlign w:val="center"/>
          </w:tcPr>
          <w:p w14:paraId="0BB50BA0">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vAlign w:val="center"/>
          </w:tcPr>
          <w:p w14:paraId="3B8B9EAA">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正、副本数量符合</w:t>
            </w:r>
            <w:r>
              <w:rPr>
                <w:rFonts w:hint="eastAsia" w:ascii="宋体" w:hAnsi="宋体" w:cs="仿宋_GB2312"/>
                <w:sz w:val="21"/>
                <w:szCs w:val="21"/>
              </w:rPr>
              <w:t>竞争性比选文件</w:t>
            </w:r>
            <w:r>
              <w:rPr>
                <w:rFonts w:hint="eastAsia" w:ascii="宋体" w:hAnsi="宋体" w:cs="仿宋_GB2312"/>
                <w:sz w:val="21"/>
                <w:szCs w:val="21"/>
                <w:lang w:val="zh-CN"/>
              </w:rPr>
              <w:t>要求。</w:t>
            </w:r>
          </w:p>
        </w:tc>
      </w:tr>
      <w:tr w14:paraId="4F1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EA9D41F">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vAlign w:val="center"/>
          </w:tcPr>
          <w:p w14:paraId="343BA4F8">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vAlign w:val="center"/>
          </w:tcPr>
          <w:p w14:paraId="6F3493A9">
            <w:pPr>
              <w:pStyle w:val="32"/>
              <w:rPr>
                <w:rFonts w:hint="eastAsia" w:ascii="宋体" w:hAnsi="宋体" w:cs="宋体"/>
                <w:kern w:val="0"/>
                <w:sz w:val="21"/>
                <w:szCs w:val="21"/>
              </w:rPr>
            </w:pPr>
            <w:r>
              <w:rPr>
                <w:rFonts w:hint="eastAsia" w:ascii="宋体" w:hAnsi="宋体" w:cs="宋体"/>
                <w:kern w:val="0"/>
                <w:sz w:val="21"/>
                <w:szCs w:val="21"/>
              </w:rPr>
              <w:t>对竞争性比选文件第二篇、第三篇规定的比选内容进行实质性响应。</w:t>
            </w:r>
          </w:p>
        </w:tc>
      </w:tr>
      <w:tr w14:paraId="4899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2EEB6D5">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vAlign w:val="center"/>
          </w:tcPr>
          <w:p w14:paraId="4AE8EF95">
            <w:pPr>
              <w:rPr>
                <w:rFonts w:hint="eastAsia" w:ascii="宋体" w:hAnsi="宋体" w:cs="宋体"/>
                <w:kern w:val="0"/>
                <w:sz w:val="21"/>
                <w:szCs w:val="21"/>
              </w:rPr>
            </w:pPr>
            <w:r>
              <w:rPr>
                <w:rFonts w:hint="eastAsia" w:ascii="宋体" w:hAnsi="宋体" w:cs="宋体"/>
                <w:kern w:val="0"/>
                <w:sz w:val="21"/>
                <w:szCs w:val="21"/>
              </w:rPr>
              <w:t>比选有效期</w:t>
            </w:r>
          </w:p>
        </w:tc>
        <w:tc>
          <w:tcPr>
            <w:tcW w:w="6259" w:type="dxa"/>
            <w:tcBorders>
              <w:top w:val="single" w:color="auto" w:sz="4" w:space="0"/>
              <w:left w:val="single" w:color="auto" w:sz="4" w:space="0"/>
              <w:bottom w:val="single" w:color="auto" w:sz="4" w:space="0"/>
              <w:right w:val="single" w:color="auto" w:sz="4" w:space="0"/>
            </w:tcBorders>
            <w:vAlign w:val="center"/>
          </w:tcPr>
          <w:p w14:paraId="653BF7AD">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45951D26">
      <w:pPr>
        <w:pStyle w:val="33"/>
        <w:spacing w:line="400" w:lineRule="exact"/>
        <w:ind w:firstLine="480" w:firstLineChars="200"/>
        <w:rPr>
          <w:rFonts w:hint="eastAsia" w:ascii="宋体" w:hAnsi="宋体"/>
          <w:sz w:val="24"/>
          <w:szCs w:val="24"/>
        </w:rPr>
      </w:pPr>
      <w:r>
        <w:rPr>
          <w:rFonts w:hint="eastAsia" w:ascii="宋体" w:hAnsi="宋体"/>
          <w:sz w:val="24"/>
          <w:szCs w:val="24"/>
        </w:rPr>
        <w:t>（三）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048C274E">
      <w:pPr>
        <w:pStyle w:val="33"/>
        <w:spacing w:line="400" w:lineRule="exact"/>
        <w:ind w:firstLine="480" w:firstLineChars="200"/>
        <w:rPr>
          <w:rFonts w:hint="eastAsia" w:ascii="宋体" w:hAnsi="宋体"/>
          <w:sz w:val="24"/>
          <w:szCs w:val="24"/>
        </w:rPr>
      </w:pPr>
      <w:r>
        <w:rPr>
          <w:rFonts w:hint="eastAsia" w:ascii="宋体" w:hAnsi="宋体"/>
          <w:sz w:val="24"/>
          <w:szCs w:val="24"/>
        </w:rPr>
        <w:t>评审小组要求投标人澄清、说明或者更正响应文件应当以书面形式作出。投标人的澄清、说明或者更正应当由法定代表人（或其授权代表）或者加盖公章。由授权代表签署的，应当附法定代表人授权书。</w:t>
      </w:r>
    </w:p>
    <w:p w14:paraId="0FCC8F6A">
      <w:pPr>
        <w:spacing w:line="400" w:lineRule="exact"/>
        <w:ind w:firstLine="360" w:firstLineChars="150"/>
        <w:rPr>
          <w:rFonts w:hint="eastAsia" w:ascii="宋体" w:hAnsi="宋体"/>
          <w:sz w:val="24"/>
          <w:szCs w:val="24"/>
        </w:rPr>
      </w:pPr>
      <w:r>
        <w:rPr>
          <w:rFonts w:hint="eastAsia" w:ascii="宋体" w:hAnsi="宋体"/>
          <w:sz w:val="24"/>
          <w:szCs w:val="24"/>
        </w:rPr>
        <w:t>（四）评审的依据为竞争性比选文件和响应文件（含有效的补充文件）。评审小组判断响应文件对竞争性比选文件的响应，仅基于响应文件本身而不靠外部证据。</w:t>
      </w:r>
    </w:p>
    <w:p w14:paraId="35A69233">
      <w:pPr>
        <w:pStyle w:val="4"/>
        <w:adjustRightInd w:val="0"/>
        <w:snapToGrid w:val="0"/>
        <w:spacing w:before="0" w:after="0" w:line="400" w:lineRule="exact"/>
        <w:ind w:firstLine="482" w:firstLineChars="200"/>
        <w:rPr>
          <w:rFonts w:hint="eastAsia" w:ascii="宋体" w:hAnsi="宋体" w:eastAsia="宋体"/>
          <w:sz w:val="24"/>
        </w:rPr>
      </w:pPr>
      <w:bookmarkStart w:id="173" w:name="_Toc215158852"/>
      <w:bookmarkStart w:id="174" w:name="_Toc11713"/>
      <w:bookmarkStart w:id="175" w:name="_Toc30639"/>
      <w:bookmarkStart w:id="176" w:name="_Toc106034791"/>
      <w:bookmarkStart w:id="177" w:name="_Toc64732013"/>
      <w:bookmarkStart w:id="178" w:name="_Toc65660351"/>
      <w:bookmarkStart w:id="179" w:name="_Toc5149"/>
      <w:bookmarkStart w:id="180" w:name="_Toc8698"/>
      <w:r>
        <w:rPr>
          <w:rFonts w:hint="eastAsia" w:ascii="宋体" w:hAnsi="宋体" w:eastAsia="宋体"/>
          <w:sz w:val="24"/>
        </w:rPr>
        <w:t>二、评定成交的标准</w:t>
      </w:r>
      <w:bookmarkEnd w:id="173"/>
      <w:bookmarkEnd w:id="174"/>
      <w:bookmarkEnd w:id="175"/>
      <w:bookmarkEnd w:id="176"/>
      <w:bookmarkEnd w:id="177"/>
      <w:bookmarkEnd w:id="178"/>
      <w:bookmarkEnd w:id="179"/>
      <w:bookmarkEnd w:id="180"/>
    </w:p>
    <w:p w14:paraId="52438D50">
      <w:pPr>
        <w:pStyle w:val="33"/>
        <w:spacing w:line="400" w:lineRule="exact"/>
        <w:ind w:firstLine="480" w:firstLineChars="200"/>
        <w:rPr>
          <w:rFonts w:hint="eastAsia" w:ascii="宋体" w:hAnsi="宋体"/>
          <w:sz w:val="24"/>
          <w:szCs w:val="24"/>
        </w:rPr>
      </w:pPr>
      <w:r>
        <w:rPr>
          <w:rFonts w:hint="eastAsia" w:ascii="宋体" w:hAnsi="宋体"/>
          <w:sz w:val="24"/>
          <w:szCs w:val="24"/>
        </w:rPr>
        <w:t>（一）评审小组将依照本竞争性比选文件相关规定对技术（质量）和服务均能满足实质性响应要求的投标人所提交的报价按照由低到高的顺序提出3名以上成交候选人，并编写评审报告。</w:t>
      </w:r>
    </w:p>
    <w:p w14:paraId="0491074A">
      <w:pPr>
        <w:pStyle w:val="33"/>
        <w:spacing w:line="400" w:lineRule="exact"/>
        <w:ind w:firstLine="480" w:firstLineChars="200"/>
        <w:rPr>
          <w:rFonts w:hint="eastAsia" w:ascii="宋体" w:hAnsi="宋体"/>
          <w:sz w:val="24"/>
          <w:szCs w:val="24"/>
        </w:rPr>
      </w:pPr>
      <w:r>
        <w:rPr>
          <w:rFonts w:hint="eastAsia" w:ascii="宋体" w:hAnsi="宋体"/>
          <w:sz w:val="24"/>
          <w:szCs w:val="24"/>
        </w:rPr>
        <w:t>（二）若投标人的报价相同，按技术（质量）的优劣顺序排列；以上都相同的，按服务条款的优劣顺序排列。</w:t>
      </w:r>
    </w:p>
    <w:p w14:paraId="4AD15176">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（三）成交价格=中标人的报价。</w:t>
      </w:r>
    </w:p>
    <w:p w14:paraId="5B2F02D1">
      <w:pPr>
        <w:pStyle w:val="4"/>
        <w:adjustRightInd w:val="0"/>
        <w:snapToGrid w:val="0"/>
        <w:spacing w:before="0" w:after="0" w:line="400" w:lineRule="exact"/>
        <w:ind w:firstLine="482" w:firstLineChars="200"/>
        <w:rPr>
          <w:rFonts w:hint="eastAsia" w:ascii="宋体" w:hAnsi="宋体" w:eastAsia="宋体"/>
          <w:sz w:val="24"/>
        </w:rPr>
      </w:pPr>
      <w:bookmarkStart w:id="181" w:name="_Toc29113"/>
      <w:bookmarkStart w:id="182" w:name="_Toc12644"/>
      <w:bookmarkStart w:id="183" w:name="_Toc65660352"/>
      <w:bookmarkStart w:id="184" w:name="_Toc106034792"/>
      <w:bookmarkStart w:id="185" w:name="_Toc30922"/>
      <w:bookmarkStart w:id="186" w:name="_Toc19473"/>
      <w:bookmarkStart w:id="187" w:name="_Toc215158853"/>
      <w:r>
        <w:rPr>
          <w:rFonts w:hint="eastAsia" w:ascii="宋体" w:hAnsi="宋体" w:eastAsia="宋体"/>
          <w:sz w:val="24"/>
        </w:rPr>
        <w:t>三、无效</w:t>
      </w:r>
      <w:bookmarkEnd w:id="181"/>
      <w:bookmarkEnd w:id="182"/>
      <w:bookmarkEnd w:id="183"/>
      <w:r>
        <w:rPr>
          <w:rFonts w:hint="eastAsia" w:ascii="宋体" w:hAnsi="宋体" w:eastAsia="宋体"/>
          <w:sz w:val="24"/>
        </w:rPr>
        <w:t>报价</w:t>
      </w:r>
      <w:bookmarkEnd w:id="184"/>
      <w:bookmarkEnd w:id="185"/>
      <w:bookmarkEnd w:id="186"/>
      <w:bookmarkEnd w:id="187"/>
    </w:p>
    <w:p w14:paraId="358BFBCB">
      <w:pPr>
        <w:snapToGrid w:val="0"/>
        <w:spacing w:line="400" w:lineRule="exact"/>
        <w:ind w:firstLine="480" w:firstLineChars="200"/>
        <w:rPr>
          <w:rFonts w:hint="eastAsia" w:ascii="宋体" w:hAnsi="宋体"/>
          <w:sz w:val="24"/>
          <w:szCs w:val="24"/>
        </w:rPr>
      </w:pPr>
      <w:r>
        <w:rPr>
          <w:rFonts w:hint="eastAsia" w:ascii="宋体" w:hAnsi="宋体"/>
          <w:sz w:val="24"/>
          <w:szCs w:val="24"/>
        </w:rPr>
        <w:t>投标人发生以下条款情况之一者，视为无效报价：</w:t>
      </w:r>
    </w:p>
    <w:p w14:paraId="56477BDA">
      <w:pPr>
        <w:pStyle w:val="33"/>
        <w:spacing w:line="400" w:lineRule="exact"/>
        <w:ind w:firstLine="480" w:firstLineChars="200"/>
        <w:rPr>
          <w:rFonts w:hint="eastAsia" w:ascii="宋体" w:hAnsi="宋体"/>
          <w:sz w:val="24"/>
          <w:szCs w:val="24"/>
        </w:rPr>
      </w:pPr>
      <w:r>
        <w:rPr>
          <w:rFonts w:hint="eastAsia" w:ascii="宋体" w:hAnsi="宋体"/>
          <w:sz w:val="24"/>
          <w:szCs w:val="24"/>
        </w:rPr>
        <w:t>（一）投标人不符合规定的资格条件的；</w:t>
      </w:r>
    </w:p>
    <w:p w14:paraId="0F67439F">
      <w:pPr>
        <w:pStyle w:val="33"/>
        <w:spacing w:line="400" w:lineRule="exact"/>
        <w:ind w:firstLine="480" w:firstLineChars="200"/>
        <w:rPr>
          <w:rFonts w:hint="eastAsia" w:ascii="宋体" w:hAnsi="宋体"/>
          <w:sz w:val="24"/>
          <w:szCs w:val="24"/>
        </w:rPr>
      </w:pPr>
      <w:r>
        <w:rPr>
          <w:rFonts w:hint="eastAsia" w:ascii="宋体" w:hAnsi="宋体"/>
          <w:sz w:val="24"/>
          <w:szCs w:val="24"/>
        </w:rPr>
        <w:t>（二）投标人未通过实质性响应审查的；</w:t>
      </w:r>
    </w:p>
    <w:p w14:paraId="0799F40C">
      <w:pPr>
        <w:pStyle w:val="33"/>
        <w:spacing w:line="400" w:lineRule="exact"/>
        <w:ind w:firstLine="480" w:firstLineChars="200"/>
        <w:rPr>
          <w:rFonts w:hint="eastAsia" w:ascii="宋体" w:hAnsi="宋体"/>
          <w:sz w:val="24"/>
          <w:szCs w:val="24"/>
        </w:rPr>
      </w:pPr>
      <w:r>
        <w:rPr>
          <w:rFonts w:hint="eastAsia" w:ascii="宋体" w:hAnsi="宋体"/>
          <w:sz w:val="24"/>
          <w:szCs w:val="24"/>
        </w:rPr>
        <w:t>（三）投标人未在保证金到账截止时间前足额交纳所参与包保证金的；</w:t>
      </w:r>
    </w:p>
    <w:p w14:paraId="38341633">
      <w:pPr>
        <w:pStyle w:val="33"/>
        <w:spacing w:line="400" w:lineRule="exact"/>
        <w:ind w:firstLine="480" w:firstLineChars="200"/>
        <w:rPr>
          <w:rFonts w:hint="eastAsia" w:ascii="宋体" w:hAnsi="宋体"/>
          <w:sz w:val="24"/>
          <w:szCs w:val="24"/>
        </w:rPr>
      </w:pPr>
      <w:r>
        <w:rPr>
          <w:rFonts w:hint="eastAsia" w:ascii="宋体" w:hAnsi="宋体"/>
          <w:sz w:val="24"/>
          <w:szCs w:val="24"/>
        </w:rPr>
        <w:t>（四）投标人所提交的响应文件未按“第七篇响应文件格式要求”要求签署或盖章的；</w:t>
      </w:r>
    </w:p>
    <w:p w14:paraId="414471F4">
      <w:pPr>
        <w:pStyle w:val="33"/>
        <w:spacing w:line="400" w:lineRule="exact"/>
        <w:ind w:firstLine="480" w:firstLineChars="200"/>
        <w:rPr>
          <w:rFonts w:hint="eastAsia" w:ascii="宋体" w:hAnsi="宋体"/>
          <w:sz w:val="24"/>
          <w:szCs w:val="24"/>
        </w:rPr>
      </w:pPr>
      <w:r>
        <w:rPr>
          <w:rFonts w:hint="eastAsia" w:ascii="宋体" w:hAnsi="宋体"/>
          <w:sz w:val="24"/>
          <w:szCs w:val="24"/>
        </w:rPr>
        <w:t>（五）投标人的报价超过采购预算或最高限价的；</w:t>
      </w:r>
    </w:p>
    <w:p w14:paraId="79D465CB">
      <w:pPr>
        <w:pStyle w:val="33"/>
        <w:spacing w:line="400" w:lineRule="exact"/>
        <w:ind w:firstLine="480" w:firstLineChars="200"/>
        <w:rPr>
          <w:rFonts w:hint="eastAsia" w:ascii="宋体" w:hAnsi="宋体"/>
          <w:sz w:val="24"/>
          <w:szCs w:val="24"/>
        </w:rPr>
      </w:pPr>
      <w:r>
        <w:rPr>
          <w:rFonts w:hint="eastAsia" w:ascii="宋体" w:hAnsi="宋体"/>
          <w:sz w:val="24"/>
          <w:szCs w:val="24"/>
        </w:rPr>
        <w:t>（六）投标人不接受评审小组修正后的价格的；</w:t>
      </w:r>
    </w:p>
    <w:p w14:paraId="645219E0">
      <w:pPr>
        <w:pStyle w:val="33"/>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（七）单位负责人为同一人或者存在直接控股、管理关系的不同投标人，</w:t>
      </w:r>
      <w:r>
        <w:rPr>
          <w:rFonts w:ascii="宋体" w:hAnsi="宋体"/>
          <w:sz w:val="24"/>
          <w:szCs w:val="24"/>
        </w:rPr>
        <w:t>参加同一合同项</w:t>
      </w:r>
      <w:r>
        <w:rPr>
          <w:rFonts w:hint="eastAsia" w:ascii="宋体" w:hAnsi="宋体"/>
          <w:sz w:val="24"/>
          <w:szCs w:val="24"/>
        </w:rPr>
        <w:t>（包）报价的；</w:t>
      </w:r>
    </w:p>
    <w:p w14:paraId="3CB78D67">
      <w:pPr>
        <w:pStyle w:val="33"/>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（八）为采购项目提供整体设计、规范编制或者项目管理、监理、检测等服务的投标人再参加该采购项目的其他采购活动的；</w:t>
      </w:r>
    </w:p>
    <w:p w14:paraId="68B878E4">
      <w:pPr>
        <w:pStyle w:val="33"/>
        <w:spacing w:line="400" w:lineRule="exact"/>
        <w:ind w:firstLine="480" w:firstLineChars="200"/>
        <w:rPr>
          <w:rFonts w:hint="eastAsia" w:ascii="宋体" w:hAnsi="宋体"/>
          <w:sz w:val="24"/>
          <w:szCs w:val="24"/>
        </w:rPr>
      </w:pPr>
      <w:r>
        <w:rPr>
          <w:rFonts w:hint="eastAsia" w:ascii="宋体" w:hAnsi="宋体"/>
          <w:sz w:val="24"/>
          <w:szCs w:val="24"/>
        </w:rPr>
        <w:t>（九）同一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14:paraId="08029FD1">
      <w:pPr>
        <w:pStyle w:val="33"/>
        <w:spacing w:line="400" w:lineRule="exact"/>
        <w:ind w:firstLine="480" w:firstLineChars="200"/>
        <w:rPr>
          <w:rFonts w:hint="eastAsia" w:ascii="宋体" w:hAnsi="宋体"/>
          <w:sz w:val="24"/>
          <w:szCs w:val="24"/>
        </w:rPr>
      </w:pPr>
      <w:r>
        <w:rPr>
          <w:rFonts w:hint="eastAsia" w:ascii="宋体" w:hAnsi="宋体"/>
          <w:sz w:val="24"/>
          <w:szCs w:val="24"/>
        </w:rPr>
        <w:t>（十）投标人响应文件内容有与国家现行法律法规相违背的内容，或附有招标人无法接受条件的；</w:t>
      </w:r>
    </w:p>
    <w:p w14:paraId="67B9D85C">
      <w:pPr>
        <w:pStyle w:val="33"/>
        <w:spacing w:line="400" w:lineRule="exact"/>
        <w:rPr>
          <w:rFonts w:hint="eastAsia" w:ascii="宋体" w:hAnsi="宋体"/>
          <w:sz w:val="24"/>
          <w:szCs w:val="24"/>
        </w:rPr>
      </w:pPr>
      <w:r>
        <w:rPr>
          <w:rFonts w:hint="eastAsia" w:ascii="宋体" w:hAnsi="宋体"/>
          <w:sz w:val="24"/>
          <w:szCs w:val="24"/>
        </w:rPr>
        <w:t>（十一）法律、法规和竞争性比选文件规定的其他无效情形。</w:t>
      </w:r>
    </w:p>
    <w:p w14:paraId="5FAE2D8B">
      <w:pPr>
        <w:pStyle w:val="4"/>
        <w:adjustRightInd w:val="0"/>
        <w:snapToGrid w:val="0"/>
        <w:spacing w:before="0" w:after="0" w:line="400" w:lineRule="exact"/>
        <w:ind w:firstLine="482" w:firstLineChars="200"/>
        <w:rPr>
          <w:rFonts w:hint="eastAsia" w:ascii="宋体" w:hAnsi="宋体" w:eastAsia="宋体"/>
          <w:sz w:val="24"/>
        </w:rPr>
      </w:pPr>
      <w:bookmarkStart w:id="188" w:name="_Toc28422"/>
      <w:bookmarkStart w:id="189" w:name="_Toc27436"/>
      <w:bookmarkStart w:id="190" w:name="_Toc65660353"/>
      <w:bookmarkStart w:id="191" w:name="_Toc29298"/>
      <w:bookmarkStart w:id="192" w:name="_Toc22716"/>
      <w:bookmarkStart w:id="193" w:name="_Toc106034793"/>
      <w:bookmarkStart w:id="194" w:name="_Toc215158854"/>
      <w:r>
        <w:rPr>
          <w:rFonts w:hint="eastAsia" w:ascii="宋体" w:hAnsi="宋体" w:eastAsia="宋体"/>
          <w:sz w:val="24"/>
        </w:rPr>
        <w:t>四、采购终止</w:t>
      </w:r>
      <w:bookmarkEnd w:id="188"/>
      <w:bookmarkEnd w:id="189"/>
      <w:bookmarkEnd w:id="190"/>
      <w:bookmarkEnd w:id="191"/>
      <w:bookmarkEnd w:id="192"/>
      <w:bookmarkEnd w:id="193"/>
      <w:bookmarkEnd w:id="194"/>
    </w:p>
    <w:p w14:paraId="38160B75">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出现下列情形之一的，招标人或者招标代理机构应当终止比选活动，发布项目终止公告并说明原因，重新开展采购活动：</w:t>
      </w:r>
    </w:p>
    <w:p w14:paraId="40C258CD">
      <w:pPr>
        <w:snapToGrid w:val="0"/>
        <w:spacing w:line="400" w:lineRule="exact"/>
        <w:ind w:firstLine="480" w:firstLineChars="200"/>
        <w:rPr>
          <w:rFonts w:hint="eastAsia" w:ascii="宋体" w:hAnsi="宋体"/>
          <w:sz w:val="24"/>
          <w:szCs w:val="24"/>
        </w:rPr>
      </w:pPr>
      <w:r>
        <w:rPr>
          <w:rFonts w:hint="eastAsia" w:ascii="宋体" w:hAnsi="宋体"/>
          <w:sz w:val="24"/>
          <w:szCs w:val="24"/>
        </w:rPr>
        <w:t>（一）出现影响采购公正的违法、违规行为的；</w:t>
      </w:r>
    </w:p>
    <w:p w14:paraId="7AD58D61">
      <w:pPr>
        <w:snapToGrid w:val="0"/>
        <w:spacing w:line="400" w:lineRule="exact"/>
        <w:ind w:firstLine="480" w:firstLineChars="200"/>
        <w:rPr>
          <w:rFonts w:hint="eastAsia" w:ascii="宋体" w:hAnsi="宋体"/>
          <w:sz w:val="24"/>
          <w:szCs w:val="24"/>
        </w:rPr>
      </w:pPr>
      <w:r>
        <w:rPr>
          <w:rFonts w:hint="eastAsia" w:ascii="宋体" w:hAnsi="宋体"/>
          <w:sz w:val="24"/>
          <w:szCs w:val="24"/>
        </w:rPr>
        <w:t>（二）在比选过程中符合竞争比选文件要求的投标人或者报价未超过采购预算的投标人不足3家的。</w:t>
      </w:r>
    </w:p>
    <w:p w14:paraId="6D9DCB6E">
      <w:pPr>
        <w:pStyle w:val="4"/>
        <w:adjustRightInd w:val="0"/>
        <w:snapToGrid w:val="0"/>
        <w:spacing w:before="0" w:after="0" w:line="400" w:lineRule="exact"/>
        <w:ind w:firstLine="482" w:firstLineChars="200"/>
        <w:rPr>
          <w:rFonts w:hint="eastAsia" w:ascii="宋体" w:hAnsi="宋体" w:eastAsia="宋体"/>
          <w:sz w:val="24"/>
        </w:rPr>
      </w:pPr>
      <w:bookmarkStart w:id="195" w:name="_Toc215158855"/>
      <w:r>
        <w:rPr>
          <w:rFonts w:hint="eastAsia" w:ascii="宋体" w:hAnsi="宋体" w:eastAsia="宋体"/>
          <w:sz w:val="24"/>
        </w:rPr>
        <w:t>五、</w:t>
      </w:r>
      <w:bookmarkStart w:id="196" w:name="_Toc16930431"/>
      <w:bookmarkStart w:id="197" w:name="_Toc509218709"/>
      <w:bookmarkStart w:id="198" w:name="_Toc13210670"/>
      <w:bookmarkStart w:id="199" w:name="_Toc430530434"/>
      <w:bookmarkStart w:id="200" w:name="_Toc536628250"/>
      <w:r>
        <w:rPr>
          <w:rFonts w:hint="eastAsia" w:ascii="宋体" w:hAnsi="宋体" w:eastAsia="宋体"/>
          <w:sz w:val="24"/>
        </w:rPr>
        <w:t>重新比选</w:t>
      </w:r>
      <w:r>
        <w:rPr>
          <w:rFonts w:ascii="宋体" w:hAnsi="宋体" w:eastAsia="宋体"/>
          <w:sz w:val="24"/>
        </w:rPr>
        <w:t>和不再</w:t>
      </w:r>
      <w:bookmarkEnd w:id="196"/>
      <w:bookmarkEnd w:id="197"/>
      <w:bookmarkEnd w:id="198"/>
      <w:bookmarkEnd w:id="199"/>
      <w:bookmarkEnd w:id="200"/>
      <w:r>
        <w:rPr>
          <w:rFonts w:hint="eastAsia" w:ascii="宋体" w:hAnsi="宋体" w:eastAsia="宋体"/>
          <w:sz w:val="24"/>
        </w:rPr>
        <w:t>比选</w:t>
      </w:r>
      <w:bookmarkEnd w:id="195"/>
    </w:p>
    <w:p w14:paraId="59922B47">
      <w:pPr>
        <w:snapToGrid w:val="0"/>
        <w:spacing w:line="400" w:lineRule="exact"/>
        <w:ind w:firstLine="480" w:firstLineChars="200"/>
        <w:rPr>
          <w:rFonts w:hint="eastAsia" w:ascii="宋体" w:hAnsi="宋体"/>
          <w:sz w:val="24"/>
          <w:szCs w:val="24"/>
        </w:rPr>
      </w:pPr>
      <w:r>
        <w:rPr>
          <w:rFonts w:hint="eastAsia" w:ascii="宋体" w:hAnsi="宋体"/>
          <w:sz w:val="24"/>
          <w:szCs w:val="24"/>
        </w:rPr>
        <w:t>重新比选的投标人仍然少于三个的，按照竞争性比选文件规定的程序开标和评标。重新招标经评审有有效投标人的，应当依法确定中标候选人</w:t>
      </w:r>
      <w:r>
        <w:rPr>
          <w:rFonts w:ascii="宋体" w:hAnsi="宋体"/>
          <w:sz w:val="24"/>
          <w:szCs w:val="24"/>
        </w:rPr>
        <w:t>。</w:t>
      </w:r>
    </w:p>
    <w:p w14:paraId="5793276C">
      <w:pPr>
        <w:pStyle w:val="4"/>
        <w:spacing w:before="0" w:after="0" w:line="360" w:lineRule="auto"/>
        <w:jc w:val="center"/>
        <w:rPr>
          <w:rFonts w:hint="eastAsia" w:ascii="宋体" w:hAnsi="宋体" w:eastAsia="宋体"/>
          <w:b w:val="0"/>
          <w:sz w:val="36"/>
          <w:szCs w:val="30"/>
        </w:rPr>
      </w:pPr>
      <w:r>
        <w:rPr>
          <w:rFonts w:ascii="宋体" w:hAnsi="宋体" w:eastAsia="宋体"/>
          <w:sz w:val="24"/>
          <w:szCs w:val="24"/>
        </w:rPr>
        <w:br w:type="page"/>
      </w:r>
      <w:bookmarkStart w:id="201" w:name="_Toc8916"/>
      <w:bookmarkStart w:id="202" w:name="_Toc3844"/>
      <w:bookmarkStart w:id="203" w:name="_Toc10768"/>
      <w:bookmarkStart w:id="204" w:name="_Toc65660354"/>
      <w:bookmarkStart w:id="205" w:name="_Toc106034794"/>
      <w:bookmarkStart w:id="206" w:name="_Toc20055"/>
      <w:bookmarkStart w:id="207" w:name="_Toc215158856"/>
      <w:r>
        <w:rPr>
          <w:rFonts w:hint="eastAsia" w:ascii="宋体" w:hAnsi="宋体" w:eastAsia="宋体"/>
          <w:b w:val="0"/>
          <w:sz w:val="36"/>
          <w:szCs w:val="30"/>
        </w:rPr>
        <w:t>第五篇  投标人须知</w:t>
      </w:r>
      <w:bookmarkEnd w:id="201"/>
      <w:bookmarkEnd w:id="202"/>
      <w:bookmarkEnd w:id="203"/>
      <w:bookmarkEnd w:id="204"/>
      <w:bookmarkEnd w:id="205"/>
      <w:bookmarkEnd w:id="206"/>
      <w:bookmarkEnd w:id="207"/>
    </w:p>
    <w:p w14:paraId="435C31E7">
      <w:pPr>
        <w:pStyle w:val="4"/>
        <w:adjustRightInd w:val="0"/>
        <w:snapToGrid w:val="0"/>
        <w:spacing w:before="0" w:after="0" w:line="400" w:lineRule="exact"/>
        <w:ind w:firstLine="482" w:firstLineChars="200"/>
        <w:rPr>
          <w:rFonts w:hint="eastAsia" w:ascii="宋体" w:hAnsi="宋体" w:eastAsia="宋体"/>
          <w:sz w:val="24"/>
        </w:rPr>
      </w:pPr>
      <w:bookmarkStart w:id="208" w:name="_Toc21557"/>
      <w:bookmarkStart w:id="209" w:name="_Toc2864"/>
      <w:bookmarkStart w:id="210" w:name="_Toc16524"/>
      <w:bookmarkStart w:id="211" w:name="_Toc65660355"/>
      <w:bookmarkStart w:id="212" w:name="_Toc106034795"/>
      <w:bookmarkStart w:id="213" w:name="_Toc5290"/>
      <w:bookmarkStart w:id="214" w:name="_Toc215158857"/>
      <w:r>
        <w:rPr>
          <w:rFonts w:hint="eastAsia" w:ascii="宋体" w:hAnsi="宋体" w:eastAsia="宋体"/>
          <w:sz w:val="24"/>
        </w:rPr>
        <w:t>一、比选费用</w:t>
      </w:r>
      <w:bookmarkEnd w:id="208"/>
      <w:bookmarkEnd w:id="209"/>
      <w:bookmarkEnd w:id="210"/>
      <w:bookmarkEnd w:id="211"/>
      <w:bookmarkEnd w:id="212"/>
      <w:bookmarkEnd w:id="213"/>
      <w:bookmarkEnd w:id="214"/>
    </w:p>
    <w:p w14:paraId="42F33253">
      <w:pPr>
        <w:pStyle w:val="129"/>
        <w:spacing w:line="400" w:lineRule="exact"/>
        <w:ind w:firstLine="480" w:firstLineChars="200"/>
        <w:rPr>
          <w:rFonts w:hint="eastAsia" w:hAnsi="宋体"/>
          <w:sz w:val="24"/>
          <w:szCs w:val="24"/>
        </w:rPr>
      </w:pPr>
      <w:r>
        <w:rPr>
          <w:rFonts w:hint="eastAsia" w:hAnsi="宋体"/>
          <w:sz w:val="24"/>
          <w:szCs w:val="24"/>
        </w:rPr>
        <w:t>参与报价的投标人应承担其编制响应文件与递交响应文件所涉及的一切费用，不论比选结果如何，招标人和招标代理机构在任何情况下无义务也无责任承担这些费用。</w:t>
      </w:r>
    </w:p>
    <w:p w14:paraId="06DE77F7">
      <w:pPr>
        <w:pStyle w:val="4"/>
        <w:adjustRightInd w:val="0"/>
        <w:snapToGrid w:val="0"/>
        <w:spacing w:before="0" w:after="0" w:line="400" w:lineRule="exact"/>
        <w:ind w:firstLine="482" w:firstLineChars="200"/>
        <w:rPr>
          <w:rFonts w:hint="eastAsia" w:ascii="宋体" w:hAnsi="宋体" w:eastAsia="宋体"/>
          <w:sz w:val="24"/>
        </w:rPr>
      </w:pPr>
      <w:bookmarkStart w:id="215" w:name="_Toc31739"/>
      <w:bookmarkStart w:id="216" w:name="_Toc5915"/>
      <w:bookmarkStart w:id="217" w:name="_Toc31070"/>
      <w:bookmarkStart w:id="218" w:name="_Toc65660356"/>
      <w:bookmarkStart w:id="219" w:name="_Toc19814"/>
      <w:bookmarkStart w:id="220" w:name="_Toc106034796"/>
      <w:bookmarkStart w:id="221" w:name="_Toc215158858"/>
      <w:r>
        <w:rPr>
          <w:rFonts w:hint="eastAsia" w:ascii="宋体" w:hAnsi="宋体" w:eastAsia="宋体"/>
          <w:sz w:val="24"/>
        </w:rPr>
        <w:t>二、竞争性比选文件</w:t>
      </w:r>
      <w:bookmarkEnd w:id="215"/>
      <w:bookmarkEnd w:id="216"/>
      <w:bookmarkEnd w:id="217"/>
      <w:bookmarkEnd w:id="218"/>
      <w:bookmarkEnd w:id="219"/>
      <w:bookmarkEnd w:id="220"/>
      <w:bookmarkEnd w:id="221"/>
      <w:r>
        <w:rPr>
          <w:rFonts w:ascii="宋体" w:hAnsi="宋体" w:eastAsia="宋体"/>
          <w:sz w:val="24"/>
        </w:rPr>
        <w:tab/>
      </w:r>
    </w:p>
    <w:p w14:paraId="1FAD0218">
      <w:pPr>
        <w:snapToGrid w:val="0"/>
        <w:spacing w:line="400" w:lineRule="exact"/>
        <w:ind w:firstLine="360" w:firstLineChars="150"/>
        <w:rPr>
          <w:rFonts w:hint="eastAsia" w:ascii="宋体" w:hAnsi="宋体"/>
          <w:sz w:val="24"/>
          <w:szCs w:val="24"/>
        </w:rPr>
      </w:pPr>
      <w:r>
        <w:rPr>
          <w:rFonts w:hint="eastAsia" w:ascii="宋体" w:hAnsi="宋体"/>
          <w:sz w:val="24"/>
          <w:szCs w:val="24"/>
        </w:rPr>
        <w:t>（一）竞争性比选文件由竞争性比选公告、比选项目技术（质量）需求、比选项目服务需求、采购程序、评定成交的标准、无效报价及采购终止、投标人须知、合同草案条款、响应文件格式要求七部分组成。</w:t>
      </w:r>
    </w:p>
    <w:p w14:paraId="4B361182">
      <w:pPr>
        <w:snapToGrid w:val="0"/>
        <w:spacing w:line="400" w:lineRule="exact"/>
        <w:ind w:firstLine="360" w:firstLineChars="150"/>
        <w:rPr>
          <w:rFonts w:hint="eastAsia" w:ascii="宋体" w:hAnsi="宋体"/>
          <w:sz w:val="24"/>
          <w:szCs w:val="24"/>
        </w:rPr>
      </w:pPr>
      <w:r>
        <w:rPr>
          <w:rFonts w:hint="eastAsia" w:ascii="宋体" w:hAnsi="宋体"/>
          <w:sz w:val="24"/>
          <w:szCs w:val="24"/>
        </w:rPr>
        <w:t>（二）招标人（或招标代理机构）所作的一切有效的书面通知、修改及补充，都是竞争性比选文件不可分割的部分。</w:t>
      </w:r>
    </w:p>
    <w:p w14:paraId="744A8A4E">
      <w:pPr>
        <w:pStyle w:val="4"/>
        <w:adjustRightInd w:val="0"/>
        <w:snapToGrid w:val="0"/>
        <w:spacing w:before="0" w:after="0" w:line="400" w:lineRule="exact"/>
        <w:ind w:firstLine="482" w:firstLineChars="200"/>
        <w:rPr>
          <w:rFonts w:hint="eastAsia" w:ascii="宋体" w:hAnsi="宋体" w:eastAsia="宋体"/>
          <w:sz w:val="24"/>
        </w:rPr>
      </w:pPr>
      <w:bookmarkStart w:id="222" w:name="_Toc106034797"/>
      <w:bookmarkStart w:id="223" w:name="_Toc14012"/>
      <w:bookmarkStart w:id="224" w:name="_Toc3061"/>
      <w:bookmarkStart w:id="225" w:name="_Toc9532"/>
      <w:bookmarkStart w:id="226" w:name="_Toc1922"/>
      <w:bookmarkStart w:id="227" w:name="_Toc65660357"/>
      <w:bookmarkStart w:id="228" w:name="_Toc215158859"/>
      <w:r>
        <w:rPr>
          <w:rFonts w:hint="eastAsia" w:ascii="宋体" w:hAnsi="宋体" w:eastAsia="宋体"/>
          <w:sz w:val="24"/>
        </w:rPr>
        <w:t>三、报价要求</w:t>
      </w:r>
      <w:bookmarkEnd w:id="222"/>
      <w:bookmarkEnd w:id="223"/>
      <w:bookmarkEnd w:id="224"/>
      <w:bookmarkEnd w:id="225"/>
      <w:bookmarkEnd w:id="226"/>
      <w:bookmarkEnd w:id="227"/>
      <w:bookmarkEnd w:id="228"/>
    </w:p>
    <w:p w14:paraId="6AA8C99F">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14:paraId="684BB931">
      <w:pPr>
        <w:spacing w:line="400" w:lineRule="exact"/>
        <w:ind w:firstLine="480" w:firstLineChars="200"/>
        <w:rPr>
          <w:rFonts w:hint="eastAsia" w:ascii="宋体" w:hAnsi="宋体"/>
          <w:sz w:val="24"/>
          <w:szCs w:val="24"/>
        </w:rPr>
      </w:pPr>
      <w:r>
        <w:rPr>
          <w:rFonts w:hint="eastAsia" w:ascii="宋体" w:hAnsi="宋体"/>
          <w:sz w:val="24"/>
          <w:szCs w:val="24"/>
        </w:rPr>
        <w:t>投标人应当按照竞争性比选文件的要求编制响应文件，并对竞争性比选文件提出的要求和条件作出实质性响应，响应文件原则上采用软面订本。</w:t>
      </w:r>
    </w:p>
    <w:p w14:paraId="3C0C843D">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14:paraId="4739E02B">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投标人所作的一切有效补充、修改和承诺等文件组成，投标人应按照“第七篇响应文件格式”规定进行编写和装订，也可在基本格式基础上对表格进行扩展，未规定格式的由投标人自定格式。</w:t>
      </w:r>
    </w:p>
    <w:p w14:paraId="12599A74">
      <w:pPr>
        <w:spacing w:line="400" w:lineRule="exact"/>
        <w:ind w:firstLine="480" w:firstLineChars="200"/>
        <w:rPr>
          <w:rFonts w:hint="eastAsia" w:ascii="宋体" w:hAnsi="宋体"/>
          <w:sz w:val="24"/>
          <w:szCs w:val="24"/>
        </w:rPr>
      </w:pPr>
      <w:r>
        <w:rPr>
          <w:rFonts w:hint="eastAsia" w:ascii="宋体" w:hAnsi="宋体"/>
          <w:sz w:val="24"/>
          <w:szCs w:val="24"/>
        </w:rPr>
        <w:t>2.联合体</w:t>
      </w:r>
    </w:p>
    <w:p w14:paraId="12871CE6">
      <w:pPr>
        <w:spacing w:line="400" w:lineRule="exact"/>
        <w:ind w:firstLine="480" w:firstLineChars="200"/>
        <w:rPr>
          <w:rFonts w:hint="eastAsia" w:ascii="宋体" w:hAnsi="宋体"/>
          <w:sz w:val="24"/>
          <w:szCs w:val="24"/>
        </w:rPr>
      </w:pPr>
      <w:r>
        <w:rPr>
          <w:rFonts w:hint="eastAsia" w:ascii="宋体" w:hAnsi="宋体"/>
          <w:sz w:val="24"/>
        </w:rPr>
        <w:t>不允许</w:t>
      </w:r>
    </w:p>
    <w:p w14:paraId="646C6557">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14:paraId="2D78A6E1">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14:paraId="08A6CB47">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14:paraId="01D1057D">
      <w:pPr>
        <w:spacing w:line="400" w:lineRule="exact"/>
        <w:ind w:firstLine="480" w:firstLineChars="200"/>
        <w:rPr>
          <w:rFonts w:hint="eastAsia" w:ascii="宋体" w:hAnsi="宋体"/>
          <w:sz w:val="24"/>
          <w:szCs w:val="24"/>
        </w:rPr>
      </w:pPr>
      <w:r>
        <w:rPr>
          <w:rFonts w:hint="eastAsia" w:ascii="宋体" w:hAnsi="宋体"/>
          <w:sz w:val="24"/>
          <w:szCs w:val="24"/>
        </w:rPr>
        <w:t>若投标人所递交的响应文件或报价中的价格出现大写金额和小写金额不一致的错误，以大写金额修正为准。</w:t>
      </w:r>
    </w:p>
    <w:p w14:paraId="4ACC43B5">
      <w:pPr>
        <w:spacing w:line="400" w:lineRule="exact"/>
        <w:ind w:firstLine="480" w:firstLineChars="200"/>
        <w:rPr>
          <w:rFonts w:hint="eastAsia" w:ascii="宋体" w:hAnsi="宋体"/>
          <w:sz w:val="24"/>
          <w:szCs w:val="24"/>
        </w:rPr>
      </w:pPr>
      <w:r>
        <w:rPr>
          <w:rFonts w:hint="eastAsia" w:ascii="宋体" w:hAnsi="宋体"/>
          <w:sz w:val="24"/>
          <w:szCs w:val="24"/>
        </w:rPr>
        <w:t>评审小组或招标人按上述修正错误的原则及方法修正投标人的报价，投标人同意并签署确认后，修正后的报价对投标人具有约束作用。如果投标人不接受修正后的价格，将视为无效报价。</w:t>
      </w:r>
    </w:p>
    <w:p w14:paraId="194E528C">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14:paraId="6CC17C87">
      <w:pPr>
        <w:snapToGrid w:val="0"/>
        <w:spacing w:line="400" w:lineRule="exact"/>
        <w:ind w:firstLine="480" w:firstLineChars="200"/>
        <w:rPr>
          <w:rFonts w:hint="eastAsia" w:ascii="宋体" w:hAnsi="宋体"/>
          <w:sz w:val="24"/>
          <w:szCs w:val="24"/>
        </w:rPr>
      </w:pPr>
      <w:r>
        <w:rPr>
          <w:rFonts w:hint="eastAsia" w:ascii="宋体" w:hAnsi="宋体"/>
          <w:sz w:val="24"/>
          <w:szCs w:val="24"/>
        </w:rPr>
        <w:t>1.响应文件一式贰份，其中正本一份，副本一份；副本可为正本的复印件，应与正本一致，如出现不一致情况以正本为准。</w:t>
      </w:r>
    </w:p>
    <w:p w14:paraId="55D345AC">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在响应文件正本中，竞争性比选文件第七篇响应文件格式中规定签署、盖章的地方必须按其规定签署、盖章。</w:t>
      </w:r>
    </w:p>
    <w:p w14:paraId="2524B06D">
      <w:pPr>
        <w:snapToGrid w:val="0"/>
        <w:spacing w:line="400" w:lineRule="exact"/>
        <w:ind w:firstLine="480" w:firstLineChars="200"/>
        <w:rPr>
          <w:rFonts w:hint="eastAsia" w:ascii="宋体" w:hAnsi="宋体"/>
          <w:sz w:val="24"/>
        </w:rPr>
      </w:pPr>
      <w:r>
        <w:rPr>
          <w:rFonts w:hint="eastAsia" w:ascii="宋体" w:hAnsi="宋体"/>
          <w:sz w:val="24"/>
        </w:rPr>
        <w:t>3.若投标人对响应文件的错处作必要修改，则应在修改处加盖投标人公章或由法定代表人（或其授权代表）</w:t>
      </w:r>
      <w:r>
        <w:rPr>
          <w:rFonts w:hint="eastAsia" w:ascii="宋体" w:hAnsi="宋体"/>
          <w:sz w:val="24"/>
          <w:szCs w:val="24"/>
        </w:rPr>
        <w:t>签署</w:t>
      </w:r>
      <w:r>
        <w:rPr>
          <w:rFonts w:hint="eastAsia" w:ascii="宋体" w:hAnsi="宋体"/>
          <w:sz w:val="24"/>
        </w:rPr>
        <w:t>确认。</w:t>
      </w:r>
    </w:p>
    <w:p w14:paraId="0B911061">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14:paraId="572E175A">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（五）响应文件的递交</w:t>
      </w:r>
    </w:p>
    <w:p w14:paraId="1E42C7CA">
      <w:pPr>
        <w:pStyle w:val="30"/>
        <w:spacing w:line="400" w:lineRule="exact"/>
        <w:ind w:firstLine="480" w:firstLineChars="200"/>
        <w:rPr>
          <w:rFonts w:hint="eastAsia" w:hAnsi="宋体"/>
          <w:sz w:val="24"/>
        </w:rPr>
      </w:pPr>
      <w:r>
        <w:rPr>
          <w:rFonts w:hint="eastAsia" w:hAnsi="宋体"/>
          <w:sz w:val="24"/>
          <w:szCs w:val="24"/>
        </w:rPr>
        <w:t>响应文件的正本、副本均应密封送达报价地点，应在封套上注明比选项目名称、投标人名称。若正本、副本分别进行密封的，还应在封套上注明“正本”、“副本”字样。</w:t>
      </w:r>
    </w:p>
    <w:p w14:paraId="02F76009">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14:paraId="672BEFF7">
      <w:pPr>
        <w:pStyle w:val="4"/>
        <w:adjustRightInd w:val="0"/>
        <w:snapToGrid w:val="0"/>
        <w:spacing w:before="0" w:after="0" w:line="400" w:lineRule="exact"/>
        <w:ind w:firstLine="482" w:firstLineChars="200"/>
        <w:rPr>
          <w:rFonts w:hint="eastAsia" w:ascii="宋体" w:hAnsi="宋体" w:eastAsia="宋体"/>
          <w:sz w:val="24"/>
        </w:rPr>
      </w:pPr>
      <w:bookmarkStart w:id="229" w:name="_Toc6242"/>
      <w:bookmarkStart w:id="230" w:name="_Toc65660358"/>
      <w:bookmarkStart w:id="231" w:name="_Toc14702"/>
      <w:bookmarkStart w:id="232" w:name="_Toc10172"/>
      <w:bookmarkStart w:id="233" w:name="_Toc106034798"/>
      <w:bookmarkStart w:id="234" w:name="_Toc11883"/>
      <w:bookmarkStart w:id="235" w:name="_Toc215158860"/>
      <w:r>
        <w:rPr>
          <w:rFonts w:hint="eastAsia" w:ascii="宋体" w:hAnsi="宋体" w:eastAsia="宋体"/>
          <w:sz w:val="24"/>
        </w:rPr>
        <w:t>四、中标人的确定和变更</w:t>
      </w:r>
      <w:bookmarkEnd w:id="229"/>
      <w:bookmarkEnd w:id="230"/>
      <w:bookmarkEnd w:id="231"/>
      <w:bookmarkEnd w:id="232"/>
      <w:bookmarkEnd w:id="233"/>
      <w:bookmarkEnd w:id="234"/>
      <w:bookmarkEnd w:id="235"/>
    </w:p>
    <w:p w14:paraId="1BA1C781">
      <w:pPr>
        <w:snapToGrid w:val="0"/>
        <w:spacing w:line="400" w:lineRule="exact"/>
        <w:ind w:firstLine="480" w:firstLineChars="200"/>
        <w:rPr>
          <w:rFonts w:hint="eastAsia" w:ascii="宋体" w:hAnsi="宋体"/>
          <w:sz w:val="24"/>
          <w:szCs w:val="24"/>
        </w:rPr>
      </w:pPr>
      <w:r>
        <w:rPr>
          <w:rFonts w:hint="eastAsia" w:ascii="宋体" w:hAnsi="宋体"/>
          <w:sz w:val="24"/>
          <w:szCs w:val="24"/>
        </w:rPr>
        <w:t>（一）招标代理机构应当在评审结束后2个工作日内将评审报告送招标人确认。招标人应当在收到评审报告后5个工作日内，从评审报告提出的成交候选人中，根据质量和服务均能满足竞争性比选文件实质性响应要求且报价最低的原则确定中标人，也可以书面授权评审小组直接确定中标人。招标人逾期未确定中标人且不提出异议的，视为确定评审报告提出的报价最低的投标人为中标人。</w:t>
      </w:r>
    </w:p>
    <w:p w14:paraId="286F5224">
      <w:pPr>
        <w:snapToGrid w:val="0"/>
        <w:spacing w:line="400" w:lineRule="exact"/>
        <w:ind w:firstLine="480" w:firstLineChars="200"/>
        <w:rPr>
          <w:rFonts w:hint="eastAsia" w:ascii="宋体" w:hAnsi="宋体"/>
          <w:sz w:val="24"/>
          <w:szCs w:val="24"/>
        </w:rPr>
      </w:pPr>
      <w:r>
        <w:rPr>
          <w:rFonts w:hint="eastAsia" w:ascii="宋体" w:hAnsi="宋体"/>
          <w:sz w:val="24"/>
          <w:szCs w:val="24"/>
        </w:rPr>
        <w:t>（二）中标人的变更</w:t>
      </w:r>
    </w:p>
    <w:p w14:paraId="51AF0459">
      <w:pPr>
        <w:snapToGrid w:val="0"/>
        <w:spacing w:line="400" w:lineRule="exact"/>
        <w:ind w:firstLine="480" w:firstLineChars="200"/>
        <w:rPr>
          <w:rFonts w:hint="eastAsia" w:ascii="宋体" w:hAnsi="宋体"/>
          <w:sz w:val="24"/>
          <w:szCs w:val="24"/>
        </w:rPr>
      </w:pPr>
      <w:r>
        <w:rPr>
          <w:rFonts w:hint="eastAsia" w:ascii="宋体" w:hAnsi="宋体"/>
          <w:sz w:val="24"/>
          <w:szCs w:val="24"/>
        </w:rPr>
        <w:t>1.中标人拒绝签订采购合同的，招标人可以按照评审报告推荐的成交候选人顺序，确定排名下一位的候选人为中标人，也可以重新开展采购活动。拒绝签订采购合同的中标人不得参加对该项目重新开展的采购活动。</w:t>
      </w:r>
    </w:p>
    <w:p w14:paraId="424698EF">
      <w:pPr>
        <w:snapToGrid w:val="0"/>
        <w:spacing w:line="400" w:lineRule="exact"/>
        <w:ind w:firstLine="480" w:firstLineChars="200"/>
        <w:rPr>
          <w:rFonts w:hint="eastAsia" w:ascii="宋体" w:hAnsi="宋体"/>
          <w:sz w:val="24"/>
          <w:szCs w:val="24"/>
        </w:rPr>
      </w:pPr>
      <w:r>
        <w:rPr>
          <w:rFonts w:hint="eastAsia" w:ascii="宋体" w:hAnsi="宋体"/>
          <w:sz w:val="24"/>
          <w:szCs w:val="24"/>
        </w:rPr>
        <w:t>2.中标人无充分理由放弃成交的，招标人将向相关职能部门报告，相关职能部门将根据相关法律法规的规定进行处理。</w:t>
      </w:r>
    </w:p>
    <w:p w14:paraId="2965D10F">
      <w:pPr>
        <w:pStyle w:val="4"/>
        <w:adjustRightInd w:val="0"/>
        <w:snapToGrid w:val="0"/>
        <w:spacing w:before="0" w:after="0" w:line="400" w:lineRule="exact"/>
        <w:ind w:firstLine="482" w:firstLineChars="200"/>
        <w:rPr>
          <w:rFonts w:hint="eastAsia" w:ascii="宋体" w:hAnsi="宋体" w:eastAsia="宋体"/>
          <w:sz w:val="24"/>
        </w:rPr>
      </w:pPr>
      <w:bookmarkStart w:id="236" w:name="_Toc1092"/>
      <w:bookmarkStart w:id="237" w:name="_Toc29821"/>
      <w:bookmarkStart w:id="238" w:name="_Toc65660359"/>
      <w:bookmarkStart w:id="239" w:name="_Toc106034799"/>
      <w:bookmarkStart w:id="240" w:name="_Toc10504"/>
      <w:bookmarkStart w:id="241" w:name="_Toc21752"/>
      <w:bookmarkStart w:id="242" w:name="_Toc215158861"/>
      <w:r>
        <w:rPr>
          <w:rFonts w:hint="eastAsia" w:ascii="宋体" w:hAnsi="宋体" w:eastAsia="宋体"/>
          <w:sz w:val="24"/>
        </w:rPr>
        <w:t>五、成交通知</w:t>
      </w:r>
      <w:bookmarkEnd w:id="236"/>
      <w:bookmarkEnd w:id="237"/>
      <w:bookmarkEnd w:id="238"/>
      <w:bookmarkEnd w:id="239"/>
      <w:bookmarkEnd w:id="240"/>
      <w:bookmarkEnd w:id="241"/>
      <w:bookmarkEnd w:id="242"/>
    </w:p>
    <w:p w14:paraId="4211E3D2">
      <w:pPr>
        <w:spacing w:line="400" w:lineRule="exact"/>
        <w:ind w:firstLine="360" w:firstLineChars="150"/>
        <w:rPr>
          <w:rFonts w:hint="eastAsia" w:ascii="宋体" w:hAnsi="宋体"/>
          <w:sz w:val="24"/>
          <w:szCs w:val="24"/>
        </w:rPr>
      </w:pPr>
      <w:r>
        <w:rPr>
          <w:rFonts w:hint="eastAsia" w:ascii="宋体" w:hAnsi="宋体"/>
          <w:sz w:val="24"/>
          <w:szCs w:val="24"/>
        </w:rPr>
        <w:t>（一）中标人确定后，招标代理机构将在垫江县人民政府网上发布成交结果公告。</w:t>
      </w:r>
    </w:p>
    <w:p w14:paraId="435DD20B">
      <w:pPr>
        <w:spacing w:line="400" w:lineRule="exact"/>
        <w:ind w:firstLine="360" w:firstLineChars="150"/>
        <w:rPr>
          <w:rFonts w:hint="eastAsia" w:ascii="宋体" w:hAnsi="宋体"/>
          <w:sz w:val="24"/>
          <w:szCs w:val="24"/>
        </w:rPr>
      </w:pPr>
      <w:r>
        <w:rPr>
          <w:rFonts w:hint="eastAsia" w:ascii="宋体" w:hAnsi="宋体"/>
          <w:sz w:val="24"/>
          <w:szCs w:val="24"/>
        </w:rPr>
        <w:t>（二）结果公告发出同时，招标代理机构将以书面形式发出《中标通知书》。《中标通知书》一经发出即发生法律效力。</w:t>
      </w:r>
    </w:p>
    <w:p w14:paraId="014FD946">
      <w:pPr>
        <w:spacing w:line="400" w:lineRule="exact"/>
        <w:ind w:firstLine="360" w:firstLineChars="150"/>
        <w:rPr>
          <w:rFonts w:hint="eastAsia" w:ascii="宋体" w:hAnsi="宋体"/>
          <w:sz w:val="24"/>
          <w:szCs w:val="24"/>
        </w:rPr>
      </w:pPr>
      <w:r>
        <w:rPr>
          <w:rFonts w:hint="eastAsia" w:ascii="宋体" w:hAnsi="宋体"/>
          <w:sz w:val="24"/>
          <w:szCs w:val="24"/>
        </w:rPr>
        <w:t>（三）《中标通知书》将作为签订合同的依据。</w:t>
      </w:r>
    </w:p>
    <w:p w14:paraId="6F4F0DC5">
      <w:pPr>
        <w:pStyle w:val="4"/>
        <w:adjustRightInd w:val="0"/>
        <w:snapToGrid w:val="0"/>
        <w:spacing w:before="0" w:after="0" w:line="400" w:lineRule="exact"/>
        <w:ind w:firstLine="482" w:firstLineChars="200"/>
        <w:rPr>
          <w:rFonts w:hint="eastAsia" w:ascii="宋体" w:hAnsi="宋体" w:eastAsia="宋体"/>
          <w:sz w:val="24"/>
        </w:rPr>
      </w:pPr>
      <w:bookmarkStart w:id="243" w:name="_Toc32376"/>
      <w:bookmarkStart w:id="244" w:name="_Toc30909"/>
      <w:bookmarkStart w:id="245" w:name="_Toc31082"/>
      <w:bookmarkStart w:id="246" w:name="_Toc106034800"/>
      <w:bookmarkStart w:id="247" w:name="_Toc65660360"/>
      <w:bookmarkStart w:id="248" w:name="_Toc1010"/>
      <w:bookmarkStart w:id="249" w:name="_Toc215158862"/>
      <w:r>
        <w:rPr>
          <w:rFonts w:hint="eastAsia" w:ascii="宋体" w:hAnsi="宋体" w:eastAsia="宋体"/>
          <w:sz w:val="24"/>
        </w:rPr>
        <w:t>六、关于质疑</w:t>
      </w:r>
      <w:bookmarkEnd w:id="243"/>
      <w:bookmarkEnd w:id="244"/>
      <w:bookmarkEnd w:id="245"/>
      <w:bookmarkEnd w:id="246"/>
      <w:bookmarkEnd w:id="247"/>
      <w:bookmarkEnd w:id="248"/>
      <w:bookmarkEnd w:id="249"/>
    </w:p>
    <w:p w14:paraId="46D03960">
      <w:pPr>
        <w:spacing w:line="400" w:lineRule="exact"/>
        <w:ind w:firstLine="360" w:firstLineChars="150"/>
        <w:outlineLvl w:val="2"/>
        <w:rPr>
          <w:rFonts w:hint="eastAsia" w:ascii="宋体" w:hAnsi="宋体" w:cs="仿宋"/>
          <w:sz w:val="24"/>
        </w:rPr>
      </w:pPr>
      <w:r>
        <w:rPr>
          <w:rFonts w:hint="eastAsia" w:ascii="宋体" w:hAnsi="宋体"/>
          <w:sz w:val="24"/>
          <w:szCs w:val="24"/>
        </w:rPr>
        <w:t xml:space="preserve"> </w:t>
      </w:r>
      <w:r>
        <w:rPr>
          <w:rFonts w:hint="eastAsia" w:ascii="宋体" w:hAnsi="宋体" w:cs="仿宋"/>
          <w:sz w:val="24"/>
        </w:rPr>
        <w:t>投标人认为竞争性比选文件、比选过程和成交结果使自己的权益收到伤害的，可向招标人或招标代理机构以书面形式提出质疑。</w:t>
      </w:r>
    </w:p>
    <w:p w14:paraId="3D35F22A">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提出质疑的应当是参与所质疑项目采购活动的投标人。 </w:t>
      </w:r>
    </w:p>
    <w:p w14:paraId="59980A60">
      <w:pPr>
        <w:spacing w:line="400" w:lineRule="exact"/>
        <w:ind w:right="12" w:firstLine="480"/>
        <w:rPr>
          <w:rFonts w:hint="eastAsia" w:ascii="宋体" w:hAnsi="宋体" w:cs="仿宋"/>
          <w:sz w:val="24"/>
        </w:rPr>
      </w:pPr>
      <w:r>
        <w:rPr>
          <w:rFonts w:hint="eastAsia" w:ascii="宋体" w:hAnsi="宋体" w:cs="仿宋"/>
          <w:sz w:val="24"/>
        </w:rPr>
        <w:t>1.质疑时限、内容</w:t>
      </w:r>
    </w:p>
    <w:p w14:paraId="38D2EBE7">
      <w:pPr>
        <w:spacing w:line="400" w:lineRule="exact"/>
        <w:ind w:right="12" w:firstLine="480"/>
        <w:rPr>
          <w:rFonts w:hint="eastAsia" w:ascii="宋体" w:hAnsi="宋体" w:cs="仿宋"/>
          <w:sz w:val="24"/>
        </w:rPr>
      </w:pPr>
      <w:r>
        <w:rPr>
          <w:rFonts w:hint="eastAsia" w:ascii="宋体" w:hAnsi="宋体" w:cs="仿宋"/>
          <w:sz w:val="24"/>
        </w:rPr>
        <w:t>1.1投标人认为竞争性比选文件、比选过程、成交结果使自己的权益受到损害的，可以在知道或者应知其权益受到损害之日起7个工作日内，以书面形式向招标人、招标代理机构提出质疑。</w:t>
      </w:r>
    </w:p>
    <w:p w14:paraId="0EB0CD65">
      <w:pPr>
        <w:spacing w:line="400" w:lineRule="exact"/>
        <w:ind w:right="12" w:firstLine="480"/>
        <w:rPr>
          <w:rFonts w:hint="eastAsia" w:ascii="宋体" w:hAnsi="宋体" w:cs="仿宋"/>
          <w:sz w:val="24"/>
        </w:rPr>
      </w:pPr>
      <w:r>
        <w:rPr>
          <w:rFonts w:hint="eastAsia" w:ascii="宋体" w:hAnsi="宋体" w:cs="仿宋"/>
          <w:sz w:val="24"/>
        </w:rPr>
        <w:t>1.2投标人提出质疑应当提交质疑函和必要的证明材料，质疑函应当包括下列内容：</w:t>
      </w:r>
    </w:p>
    <w:p w14:paraId="2FC45251">
      <w:pPr>
        <w:spacing w:line="400" w:lineRule="exact"/>
        <w:ind w:right="12" w:firstLine="480"/>
        <w:rPr>
          <w:rFonts w:hint="eastAsia" w:ascii="宋体" w:hAnsi="宋体" w:cs="仿宋"/>
          <w:sz w:val="24"/>
        </w:rPr>
      </w:pPr>
      <w:r>
        <w:rPr>
          <w:rFonts w:hint="eastAsia" w:ascii="宋体" w:hAnsi="宋体" w:cs="仿宋"/>
          <w:sz w:val="24"/>
        </w:rPr>
        <w:t>1.2.1投标人的姓名或者名称、地址、邮编、联系人及联系电话；</w:t>
      </w:r>
    </w:p>
    <w:p w14:paraId="1996B0DD">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14:paraId="450BD40B">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14:paraId="71D287F4">
      <w:pPr>
        <w:spacing w:line="400" w:lineRule="exact"/>
        <w:ind w:right="12" w:firstLine="480"/>
        <w:rPr>
          <w:rFonts w:hint="eastAsia" w:ascii="宋体" w:hAnsi="宋体" w:cs="仿宋"/>
          <w:sz w:val="24"/>
        </w:rPr>
      </w:pPr>
      <w:r>
        <w:rPr>
          <w:rFonts w:hint="eastAsia" w:ascii="宋体" w:hAnsi="宋体" w:cs="仿宋"/>
          <w:sz w:val="24"/>
        </w:rPr>
        <w:t>1.2.4事实依据；</w:t>
      </w:r>
    </w:p>
    <w:p w14:paraId="34B6934D">
      <w:pPr>
        <w:spacing w:line="400" w:lineRule="exact"/>
        <w:ind w:right="12" w:firstLine="480"/>
        <w:rPr>
          <w:rFonts w:hint="eastAsia" w:ascii="宋体" w:hAnsi="宋体" w:cs="仿宋"/>
          <w:sz w:val="24"/>
        </w:rPr>
      </w:pPr>
      <w:r>
        <w:rPr>
          <w:rFonts w:hint="eastAsia" w:ascii="宋体" w:hAnsi="宋体" w:cs="仿宋"/>
          <w:sz w:val="24"/>
        </w:rPr>
        <w:t>1.2.5必要的法律依据；</w:t>
      </w:r>
    </w:p>
    <w:p w14:paraId="5B3DCDF5">
      <w:pPr>
        <w:spacing w:line="400" w:lineRule="exact"/>
        <w:ind w:right="12" w:firstLine="480"/>
        <w:rPr>
          <w:rFonts w:hint="eastAsia" w:ascii="宋体" w:hAnsi="宋体" w:cs="仿宋"/>
          <w:sz w:val="24"/>
        </w:rPr>
      </w:pPr>
      <w:r>
        <w:rPr>
          <w:rFonts w:hint="eastAsia" w:ascii="宋体" w:hAnsi="宋体" w:cs="仿宋"/>
          <w:sz w:val="24"/>
        </w:rPr>
        <w:t>1.2.6提出质疑的日期；</w:t>
      </w:r>
    </w:p>
    <w:p w14:paraId="6D1319CD">
      <w:pPr>
        <w:spacing w:line="400" w:lineRule="exact"/>
        <w:ind w:right="12" w:firstLine="480"/>
        <w:rPr>
          <w:rFonts w:hint="eastAsia" w:ascii="宋体" w:hAnsi="宋体" w:cs="仿宋"/>
          <w:sz w:val="24"/>
        </w:rPr>
      </w:pPr>
      <w:r>
        <w:rPr>
          <w:rFonts w:hint="eastAsia" w:ascii="宋体" w:hAnsi="宋体" w:cs="仿宋"/>
          <w:sz w:val="24"/>
        </w:rPr>
        <w:t>1.2.7营业执照复印件；</w:t>
      </w:r>
    </w:p>
    <w:p w14:paraId="10D1B999">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w:t>
      </w:r>
    </w:p>
    <w:p w14:paraId="58C9DA41">
      <w:pPr>
        <w:spacing w:line="400" w:lineRule="exact"/>
        <w:ind w:right="12" w:firstLine="480"/>
        <w:rPr>
          <w:rFonts w:hint="eastAsia" w:ascii="宋体" w:hAnsi="宋体" w:cs="仿宋"/>
          <w:sz w:val="24"/>
        </w:rPr>
      </w:pPr>
      <w:r>
        <w:rPr>
          <w:rFonts w:hint="eastAsia" w:ascii="宋体" w:hAnsi="宋体" w:cs="仿宋"/>
          <w:sz w:val="24"/>
        </w:rPr>
        <w:t>2.质疑答复</w:t>
      </w:r>
    </w:p>
    <w:p w14:paraId="52C6C7E1">
      <w:pPr>
        <w:spacing w:line="400" w:lineRule="exact"/>
        <w:ind w:right="12" w:firstLine="480"/>
        <w:rPr>
          <w:rFonts w:hint="eastAsia" w:ascii="宋体" w:hAnsi="宋体" w:cs="仿宋"/>
          <w:sz w:val="24"/>
        </w:rPr>
      </w:pPr>
      <w:r>
        <w:rPr>
          <w:rFonts w:hint="eastAsia" w:ascii="宋体" w:hAnsi="宋体" w:cs="仿宋"/>
          <w:sz w:val="24"/>
        </w:rPr>
        <w:t>招标人、招标代理机构应当在收到投标人的书面质疑后七个工作日内作出答复，并以书面形式通知质疑投标人和其他有关投标人。</w:t>
      </w:r>
    </w:p>
    <w:p w14:paraId="2EEEDB88">
      <w:pPr>
        <w:spacing w:line="400" w:lineRule="exact"/>
        <w:ind w:right="12" w:firstLine="480"/>
        <w:rPr>
          <w:rFonts w:hint="eastAsia" w:ascii="宋体" w:hAnsi="宋体" w:cs="仿宋"/>
          <w:sz w:val="24"/>
        </w:rPr>
      </w:pPr>
      <w:r>
        <w:rPr>
          <w:rFonts w:hint="eastAsia" w:ascii="宋体" w:hAnsi="宋体" w:cs="仿宋"/>
          <w:sz w:val="24"/>
        </w:rPr>
        <w:t>3.其他</w:t>
      </w:r>
    </w:p>
    <w:p w14:paraId="1C68AD40">
      <w:pPr>
        <w:spacing w:line="400" w:lineRule="exact"/>
        <w:ind w:right="12" w:firstLine="480"/>
        <w:rPr>
          <w:rFonts w:hint="eastAsia" w:ascii="宋体" w:hAnsi="宋体" w:cs="仿宋"/>
          <w:sz w:val="24"/>
        </w:rPr>
      </w:pPr>
      <w:r>
        <w:rPr>
          <w:rFonts w:hint="eastAsia" w:ascii="宋体" w:hAnsi="宋体" w:cs="仿宋"/>
          <w:sz w:val="24"/>
        </w:rPr>
        <w:t>3.1投标人应在法定质疑期内一次性提出针对同一采购程序环节的质疑。</w:t>
      </w:r>
    </w:p>
    <w:p w14:paraId="76CB369B">
      <w:pPr>
        <w:pStyle w:val="4"/>
        <w:adjustRightInd w:val="0"/>
        <w:snapToGrid w:val="0"/>
        <w:spacing w:before="0" w:after="0" w:line="400" w:lineRule="exact"/>
        <w:ind w:firstLine="482" w:firstLineChars="200"/>
        <w:rPr>
          <w:rFonts w:hint="eastAsia" w:ascii="宋体" w:hAnsi="宋体" w:eastAsia="宋体"/>
          <w:sz w:val="24"/>
        </w:rPr>
      </w:pPr>
      <w:bookmarkStart w:id="250" w:name="_Toc16648"/>
      <w:bookmarkStart w:id="251" w:name="_Toc3127"/>
      <w:bookmarkStart w:id="252" w:name="_Toc106034801"/>
      <w:bookmarkStart w:id="253" w:name="_Toc65660361"/>
      <w:bookmarkStart w:id="254" w:name="_Toc23778"/>
      <w:bookmarkStart w:id="255" w:name="_Toc6326"/>
      <w:bookmarkStart w:id="256" w:name="_Toc215158863"/>
      <w:r>
        <w:rPr>
          <w:rFonts w:hint="eastAsia" w:ascii="宋体" w:hAnsi="宋体" w:eastAsia="宋体"/>
          <w:sz w:val="24"/>
        </w:rPr>
        <w:t>七、签订合同</w:t>
      </w:r>
      <w:bookmarkEnd w:id="250"/>
      <w:bookmarkEnd w:id="251"/>
      <w:bookmarkEnd w:id="252"/>
      <w:bookmarkEnd w:id="253"/>
      <w:bookmarkEnd w:id="254"/>
      <w:bookmarkEnd w:id="255"/>
      <w:bookmarkEnd w:id="256"/>
    </w:p>
    <w:p w14:paraId="6CFAC7A6">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招标人原则上应在中标通知书发出之日起五个工作日内和中标人签订采购合同，无正当理由不得拒绝或拖延合同签订</w:t>
      </w:r>
      <w:r>
        <w:rPr>
          <w:rFonts w:hint="eastAsia" w:ascii="宋体" w:hAnsi="宋体"/>
          <w:sz w:val="24"/>
          <w:szCs w:val="24"/>
        </w:rPr>
        <w:t>。所签订的合同不得对竞争性比选文件和投标人的响应文件作实质性修改。其他未尽事宜由招标人和中标人在采购合同中详细约定。</w:t>
      </w:r>
    </w:p>
    <w:p w14:paraId="6BCA2882">
      <w:pPr>
        <w:spacing w:line="400" w:lineRule="exact"/>
        <w:ind w:firstLine="360" w:firstLineChars="150"/>
        <w:rPr>
          <w:rFonts w:hint="eastAsia" w:ascii="宋体" w:hAnsi="宋体"/>
          <w:sz w:val="24"/>
          <w:szCs w:val="24"/>
        </w:rPr>
      </w:pPr>
      <w:r>
        <w:rPr>
          <w:rFonts w:hint="eastAsia" w:ascii="宋体" w:hAnsi="宋体"/>
          <w:sz w:val="24"/>
          <w:szCs w:val="24"/>
        </w:rPr>
        <w:t>（二）竞争性比选文件、投标人的响应文件及澄清文件等，均为签订采购合同的依据。</w:t>
      </w:r>
    </w:p>
    <w:p w14:paraId="4580F125">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14:paraId="7EB00442">
      <w:pPr>
        <w:spacing w:line="400" w:lineRule="exact"/>
        <w:ind w:firstLine="360" w:firstLineChars="150"/>
        <w:rPr>
          <w:rFonts w:hint="eastAsia" w:ascii="宋体" w:hAnsi="宋体"/>
          <w:sz w:val="24"/>
          <w:szCs w:val="24"/>
        </w:rPr>
      </w:pPr>
      <w:r>
        <w:rPr>
          <w:rFonts w:hint="eastAsia" w:ascii="宋体" w:hAnsi="宋体"/>
          <w:sz w:val="24"/>
          <w:szCs w:val="24"/>
        </w:rPr>
        <w:t>（四）招标人要求中标人提供履约保证金的，应当在竞争性比选文件中予以约定。中标人履约完毕后，招标人根据竞争性比选文件规定无息退还其履约保证金。</w:t>
      </w:r>
    </w:p>
    <w:p w14:paraId="41A066CA">
      <w:pPr>
        <w:pStyle w:val="4"/>
        <w:adjustRightInd w:val="0"/>
        <w:snapToGrid w:val="0"/>
        <w:spacing w:before="0" w:after="0" w:line="400" w:lineRule="exact"/>
        <w:ind w:firstLine="482" w:firstLineChars="200"/>
        <w:rPr>
          <w:rFonts w:hint="eastAsia" w:ascii="宋体" w:hAnsi="宋体" w:eastAsia="宋体"/>
          <w:sz w:val="24"/>
        </w:rPr>
      </w:pPr>
      <w:bookmarkStart w:id="257" w:name="_Toc31535"/>
      <w:bookmarkStart w:id="258" w:name="_Toc77"/>
      <w:bookmarkStart w:id="259" w:name="_Toc106034802"/>
      <w:bookmarkStart w:id="260" w:name="_Toc215158864"/>
      <w:r>
        <w:rPr>
          <w:rFonts w:hint="eastAsia" w:ascii="宋体" w:hAnsi="宋体" w:eastAsia="宋体"/>
          <w:sz w:val="24"/>
        </w:rPr>
        <w:t>八、项目验收</w:t>
      </w:r>
      <w:bookmarkEnd w:id="257"/>
      <w:bookmarkEnd w:id="258"/>
      <w:bookmarkEnd w:id="259"/>
      <w:bookmarkEnd w:id="260"/>
    </w:p>
    <w:p w14:paraId="41943550">
      <w:pPr>
        <w:spacing w:line="400" w:lineRule="exact"/>
        <w:ind w:firstLine="480" w:firstLineChars="200"/>
        <w:rPr>
          <w:rFonts w:hint="eastAsia" w:ascii="宋体" w:hAnsi="宋体"/>
          <w:sz w:val="24"/>
          <w:szCs w:val="24"/>
        </w:rPr>
      </w:pPr>
      <w:r>
        <w:rPr>
          <w:rFonts w:hint="eastAsia" w:ascii="宋体" w:hAnsi="宋体"/>
          <w:sz w:val="24"/>
        </w:rPr>
        <w:t>合同执行完毕，招标人原则上应在7个工作日内组织履约情况验收，不得无故拖延或附加额外条件。</w:t>
      </w:r>
    </w:p>
    <w:p w14:paraId="6DCE2769">
      <w:pPr>
        <w:pStyle w:val="4"/>
        <w:adjustRightInd w:val="0"/>
        <w:snapToGrid w:val="0"/>
        <w:spacing w:before="0" w:after="0" w:line="400" w:lineRule="exact"/>
        <w:ind w:firstLine="482" w:firstLineChars="200"/>
        <w:rPr>
          <w:rFonts w:hint="eastAsia" w:ascii="宋体" w:hAnsi="宋体" w:eastAsia="宋体"/>
          <w:sz w:val="24"/>
        </w:rPr>
      </w:pPr>
      <w:bookmarkStart w:id="261" w:name="_Toc29513"/>
      <w:bookmarkStart w:id="262" w:name="_Toc65660362"/>
      <w:bookmarkStart w:id="263" w:name="_Toc2438"/>
      <w:bookmarkStart w:id="264" w:name="_Toc32594"/>
      <w:bookmarkStart w:id="265" w:name="_Toc106034803"/>
      <w:bookmarkStart w:id="266" w:name="_Toc8152"/>
      <w:bookmarkStart w:id="267" w:name="_Toc215158865"/>
      <w:r>
        <w:rPr>
          <w:rFonts w:hint="eastAsia" w:ascii="宋体" w:hAnsi="宋体" w:eastAsia="宋体"/>
          <w:sz w:val="24"/>
        </w:rPr>
        <w:t>九、</w:t>
      </w:r>
      <w:bookmarkEnd w:id="261"/>
      <w:bookmarkEnd w:id="262"/>
      <w:bookmarkEnd w:id="263"/>
      <w:bookmarkEnd w:id="264"/>
      <w:bookmarkEnd w:id="265"/>
      <w:bookmarkStart w:id="268" w:name="_Toc9730"/>
      <w:bookmarkStart w:id="269" w:name="_Toc4867"/>
      <w:bookmarkStart w:id="270" w:name="_Toc15521"/>
      <w:bookmarkStart w:id="271" w:name="_Toc65660363"/>
      <w:bookmarkStart w:id="272" w:name="_Toc106034804"/>
      <w:r>
        <w:rPr>
          <w:rFonts w:hint="eastAsia" w:ascii="宋体" w:hAnsi="宋体" w:eastAsia="宋体"/>
          <w:sz w:val="24"/>
        </w:rPr>
        <w:t>招标代理服务费</w:t>
      </w:r>
      <w:bookmarkEnd w:id="266"/>
      <w:bookmarkEnd w:id="267"/>
      <w:bookmarkEnd w:id="268"/>
      <w:bookmarkEnd w:id="269"/>
      <w:bookmarkEnd w:id="270"/>
      <w:bookmarkEnd w:id="271"/>
      <w:bookmarkEnd w:id="272"/>
    </w:p>
    <w:p w14:paraId="18CACFD2">
      <w:pPr>
        <w:spacing w:line="400" w:lineRule="exact"/>
        <w:ind w:firstLine="480" w:firstLineChars="200"/>
        <w:rPr>
          <w:rFonts w:hint="eastAsia" w:ascii="宋体" w:hAnsi="宋体"/>
          <w:sz w:val="24"/>
          <w:szCs w:val="24"/>
        </w:rPr>
      </w:pPr>
      <w:bookmarkStart w:id="273" w:name="_Toc11756"/>
      <w:r>
        <w:rPr>
          <w:rFonts w:hint="eastAsia" w:ascii="宋体" w:hAnsi="宋体"/>
          <w:sz w:val="24"/>
          <w:szCs w:val="24"/>
        </w:rPr>
        <w:t>投标人在领取中标通知书前须向重庆立生实业有限公司缴纳</w:t>
      </w:r>
      <w:r>
        <w:rPr>
          <w:rFonts w:hint="eastAsia" w:ascii="宋体" w:hAnsi="宋体"/>
          <w:sz w:val="24"/>
        </w:rPr>
        <w:t>招标代理服务费</w:t>
      </w:r>
      <w:r>
        <w:rPr>
          <w:rFonts w:hint="eastAsia" w:ascii="宋体" w:hAnsi="宋体"/>
          <w:sz w:val="24"/>
          <w:szCs w:val="24"/>
        </w:rPr>
        <w:t>，招标代理服务费5000元。</w:t>
      </w:r>
      <w:bookmarkEnd w:id="273"/>
    </w:p>
    <w:p w14:paraId="37937BB0">
      <w:pPr>
        <w:spacing w:line="360" w:lineRule="auto"/>
        <w:ind w:firstLine="480" w:firstLineChars="200"/>
        <w:rPr>
          <w:rFonts w:hint="eastAsia"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122"/>
    <w:p w14:paraId="2FFCE4F5">
      <w:pPr>
        <w:pStyle w:val="4"/>
        <w:spacing w:before="0" w:after="0" w:line="360" w:lineRule="auto"/>
        <w:jc w:val="center"/>
        <w:rPr>
          <w:rFonts w:hint="eastAsia" w:ascii="宋体" w:hAnsi="宋体" w:eastAsia="宋体"/>
          <w:b w:val="0"/>
          <w:sz w:val="36"/>
          <w:szCs w:val="30"/>
        </w:rPr>
      </w:pPr>
      <w:bookmarkStart w:id="274" w:name="_Toc12789059"/>
      <w:bookmarkStart w:id="275" w:name="_Toc11641055"/>
      <w:bookmarkStart w:id="276" w:name="_Toc10599"/>
      <w:bookmarkStart w:id="277" w:name="_Toc14861"/>
      <w:bookmarkStart w:id="278" w:name="_Toc28162"/>
      <w:bookmarkStart w:id="279" w:name="_Toc10615"/>
      <w:bookmarkStart w:id="280" w:name="_Toc106034806"/>
      <w:bookmarkStart w:id="281" w:name="_Toc65660365"/>
      <w:bookmarkStart w:id="282" w:name="_Toc215158866"/>
      <w:r>
        <w:rPr>
          <w:rFonts w:hint="eastAsia" w:ascii="宋体" w:hAnsi="宋体" w:eastAsia="宋体"/>
          <w:b w:val="0"/>
          <w:sz w:val="36"/>
          <w:szCs w:val="30"/>
        </w:rPr>
        <w:t xml:space="preserve">第六篇  </w:t>
      </w:r>
      <w:bookmarkEnd w:id="274"/>
      <w:bookmarkEnd w:id="275"/>
      <w:r>
        <w:rPr>
          <w:rFonts w:hint="eastAsia" w:ascii="宋体" w:hAnsi="宋体" w:eastAsia="宋体"/>
          <w:b w:val="0"/>
          <w:sz w:val="36"/>
          <w:szCs w:val="30"/>
        </w:rPr>
        <w:t>合同条款</w:t>
      </w:r>
      <w:bookmarkEnd w:id="276"/>
      <w:bookmarkEnd w:id="277"/>
      <w:bookmarkEnd w:id="278"/>
      <w:bookmarkEnd w:id="279"/>
      <w:bookmarkEnd w:id="280"/>
      <w:bookmarkEnd w:id="281"/>
      <w:bookmarkEnd w:id="282"/>
    </w:p>
    <w:p w14:paraId="13E85290">
      <w:pPr>
        <w:spacing w:line="594" w:lineRule="exact"/>
        <w:jc w:val="center"/>
        <w:rPr>
          <w:rFonts w:hint="eastAsia" w:ascii="宋体" w:hAnsi="宋体" w:cs="方正小标宋_GBK"/>
          <w:sz w:val="44"/>
          <w:szCs w:val="44"/>
        </w:rPr>
      </w:pPr>
      <w:bookmarkStart w:id="283" w:name="_Hlt41879464"/>
      <w:bookmarkEnd w:id="283"/>
      <w:bookmarkStart w:id="284" w:name="_Toc11270"/>
      <w:bookmarkStart w:id="285" w:name="_Toc18521"/>
      <w:bookmarkStart w:id="286" w:name="_Toc12789072"/>
      <w:bookmarkStart w:id="287" w:name="_Toc9538"/>
      <w:bookmarkStart w:id="288" w:name="_Toc106034807"/>
      <w:bookmarkStart w:id="289" w:name="_Toc6968"/>
      <w:bookmarkStart w:id="290" w:name="_Toc65660378"/>
      <w:r>
        <w:rPr>
          <w:rFonts w:hint="eastAsia" w:ascii="宋体" w:hAnsi="宋体" w:cs="方正小标宋_GBK"/>
          <w:b/>
          <w:bCs/>
          <w:snapToGrid w:val="0"/>
          <w:kern w:val="0"/>
          <w:sz w:val="44"/>
          <w:szCs w:val="44"/>
        </w:rPr>
        <w:t>水库监控系统、监控平台安装接入建设项目</w:t>
      </w:r>
      <w:r>
        <w:rPr>
          <w:rFonts w:hint="eastAsia" w:ascii="宋体" w:hAnsi="宋体" w:cs="方正小标宋_GBK"/>
          <w:sz w:val="44"/>
          <w:szCs w:val="44"/>
        </w:rPr>
        <w:t>工程合同</w:t>
      </w:r>
    </w:p>
    <w:p w14:paraId="52B423B2">
      <w:pPr>
        <w:spacing w:line="360" w:lineRule="auto"/>
        <w:rPr>
          <w:rFonts w:hint="eastAsia" w:ascii="宋体" w:hAnsi="宋体" w:cs="仿宋"/>
          <w:b/>
          <w:sz w:val="32"/>
          <w:szCs w:val="32"/>
        </w:rPr>
      </w:pPr>
    </w:p>
    <w:p w14:paraId="63CA4525">
      <w:pPr>
        <w:spacing w:line="360" w:lineRule="auto"/>
        <w:rPr>
          <w:rFonts w:hint="eastAsia" w:ascii="宋体" w:hAnsi="宋体" w:cs="方正仿宋_GBK"/>
          <w:b/>
          <w:sz w:val="32"/>
          <w:szCs w:val="32"/>
          <w:u w:val="single"/>
        </w:rPr>
      </w:pPr>
      <w:r>
        <w:rPr>
          <w:rFonts w:hint="eastAsia" w:ascii="宋体" w:hAnsi="宋体" w:cs="方正仿宋_GBK"/>
          <w:b/>
          <w:sz w:val="32"/>
          <w:szCs w:val="32"/>
        </w:rPr>
        <w:t>甲方（甲方）：</w:t>
      </w:r>
      <w:r>
        <w:rPr>
          <w:rFonts w:hint="eastAsia" w:ascii="宋体" w:hAnsi="宋体" w:cs="方正仿宋_GBK"/>
          <w:b/>
          <w:sz w:val="32"/>
          <w:szCs w:val="32"/>
          <w:u w:val="thick"/>
        </w:rPr>
        <w:t>重庆兴垫农业发展有限公司</w:t>
      </w:r>
    </w:p>
    <w:p w14:paraId="61CB8258">
      <w:pPr>
        <w:spacing w:line="360" w:lineRule="auto"/>
        <w:rPr>
          <w:rFonts w:hint="eastAsia" w:ascii="宋体" w:hAnsi="宋体" w:cs="方正仿宋_GBK"/>
          <w:b/>
          <w:sz w:val="32"/>
          <w:szCs w:val="32"/>
          <w:u w:val="single"/>
        </w:rPr>
      </w:pPr>
      <w:r>
        <w:rPr>
          <w:rFonts w:hint="eastAsia" w:ascii="宋体" w:hAnsi="宋体" w:cs="方正仿宋_GBK"/>
          <w:b/>
          <w:sz w:val="32"/>
          <w:szCs w:val="32"/>
        </w:rPr>
        <w:t>乙方（乙方）：</w:t>
      </w:r>
      <w:r>
        <w:rPr>
          <w:rFonts w:hint="eastAsia" w:ascii="宋体" w:hAnsi="宋体" w:cs="方正仿宋_GBK"/>
          <w:b/>
          <w:sz w:val="32"/>
          <w:szCs w:val="32"/>
          <w:u w:val="single"/>
        </w:rPr>
        <w:t xml:space="preserve">                         </w:t>
      </w:r>
    </w:p>
    <w:p w14:paraId="57544501">
      <w:pPr>
        <w:spacing w:line="360" w:lineRule="auto"/>
        <w:rPr>
          <w:rFonts w:hint="eastAsia" w:ascii="宋体" w:hAnsi="宋体" w:cs="方正仿宋_GBK"/>
          <w:b/>
          <w:sz w:val="32"/>
          <w:szCs w:val="32"/>
        </w:rPr>
      </w:pPr>
      <w:r>
        <w:rPr>
          <w:rFonts w:hint="eastAsia" w:ascii="宋体" w:hAnsi="宋体" w:cs="方正仿宋_GBK"/>
          <w:b/>
          <w:sz w:val="32"/>
          <w:szCs w:val="32"/>
        </w:rPr>
        <w:t>法定代表人：</w:t>
      </w:r>
      <w:r>
        <w:rPr>
          <w:rFonts w:hint="eastAsia" w:ascii="宋体" w:hAnsi="宋体" w:cs="方正仿宋_GBK"/>
          <w:b/>
          <w:sz w:val="32"/>
          <w:szCs w:val="32"/>
          <w:u w:val="single"/>
        </w:rPr>
        <w:t xml:space="preserve">                          </w:t>
      </w:r>
      <w:r>
        <w:rPr>
          <w:rFonts w:hint="eastAsia" w:ascii="宋体" w:hAnsi="宋体" w:cs="方正仿宋_GBK"/>
          <w:b/>
          <w:sz w:val="32"/>
          <w:szCs w:val="32"/>
        </w:rPr>
        <w:t xml:space="preserve">               </w:t>
      </w:r>
    </w:p>
    <w:p w14:paraId="56E82BCD">
      <w:pPr>
        <w:spacing w:line="360" w:lineRule="auto"/>
        <w:rPr>
          <w:rFonts w:hint="eastAsia" w:ascii="宋体" w:hAnsi="宋体" w:cs="方正仿宋_GBK"/>
          <w:b/>
          <w:sz w:val="32"/>
          <w:szCs w:val="32"/>
          <w:u w:val="single"/>
        </w:rPr>
      </w:pPr>
      <w:r>
        <w:rPr>
          <w:rFonts w:hint="eastAsia" w:ascii="宋体" w:hAnsi="宋体" w:cs="方正仿宋_GBK"/>
          <w:b/>
          <w:sz w:val="32"/>
          <w:szCs w:val="32"/>
        </w:rPr>
        <w:t>公司地址：</w:t>
      </w:r>
      <w:r>
        <w:rPr>
          <w:rFonts w:hint="eastAsia" w:ascii="宋体" w:hAnsi="宋体" w:cs="方正仿宋_GBK"/>
          <w:b/>
          <w:sz w:val="32"/>
          <w:szCs w:val="32"/>
          <w:u w:val="single"/>
        </w:rPr>
        <w:t xml:space="preserve">                            </w:t>
      </w:r>
    </w:p>
    <w:p w14:paraId="23E53BA7">
      <w:pPr>
        <w:spacing w:line="360" w:lineRule="auto"/>
        <w:rPr>
          <w:rFonts w:hint="eastAsia" w:ascii="宋体" w:hAnsi="宋体" w:cs="方正仿宋_GBK"/>
          <w:b/>
          <w:sz w:val="32"/>
          <w:szCs w:val="32"/>
        </w:rPr>
      </w:pPr>
      <w:r>
        <w:rPr>
          <w:rFonts w:hint="eastAsia" w:ascii="宋体" w:hAnsi="宋体" w:cs="方正仿宋_GBK"/>
          <w:b/>
          <w:sz w:val="32"/>
          <w:szCs w:val="32"/>
        </w:rPr>
        <w:t>统一社会信用代码：</w:t>
      </w:r>
      <w:r>
        <w:rPr>
          <w:rFonts w:hint="eastAsia" w:ascii="宋体" w:hAnsi="宋体" w:cs="方正仿宋_GBK"/>
          <w:b/>
          <w:sz w:val="32"/>
          <w:szCs w:val="32"/>
          <w:u w:val="single"/>
        </w:rPr>
        <w:t xml:space="preserve">                    </w:t>
      </w:r>
    </w:p>
    <w:p w14:paraId="2C2E49E4">
      <w:pPr>
        <w:spacing w:line="360" w:lineRule="auto"/>
        <w:rPr>
          <w:rFonts w:hint="eastAsia" w:ascii="宋体" w:hAnsi="宋体" w:cs="方正仿宋_GBK"/>
          <w:b/>
          <w:sz w:val="32"/>
          <w:szCs w:val="32"/>
          <w:u w:val="single"/>
        </w:rPr>
      </w:pPr>
      <w:r>
        <w:rPr>
          <w:rFonts w:hint="eastAsia" w:ascii="宋体" w:hAnsi="宋体" w:cs="方正仿宋_GBK"/>
          <w:b/>
          <w:sz w:val="32"/>
          <w:szCs w:val="32"/>
        </w:rPr>
        <w:t>联系电话：</w:t>
      </w:r>
      <w:r>
        <w:rPr>
          <w:rFonts w:hint="eastAsia" w:ascii="宋体" w:hAnsi="宋体" w:cs="方正仿宋_GBK"/>
          <w:b/>
          <w:sz w:val="32"/>
          <w:szCs w:val="32"/>
          <w:u w:val="single"/>
        </w:rPr>
        <w:t xml:space="preserve">                            </w:t>
      </w:r>
    </w:p>
    <w:p w14:paraId="06D5699A">
      <w:pPr>
        <w:pStyle w:val="30"/>
        <w:ind w:firstLine="640" w:firstLineChars="200"/>
        <w:rPr>
          <w:rFonts w:hint="eastAsia" w:hAnsi="宋体" w:cs="方正仿宋_GBK"/>
          <w:sz w:val="32"/>
          <w:szCs w:val="32"/>
        </w:rPr>
      </w:pPr>
      <w:r>
        <w:rPr>
          <w:rFonts w:hint="eastAsia" w:hAnsi="宋体" w:cs="方正仿宋_GBK"/>
          <w:snapToGrid w:val="0"/>
          <w:kern w:val="0"/>
          <w:sz w:val="32"/>
          <w:szCs w:val="32"/>
        </w:rPr>
        <w:t>甲方为实施</w:t>
      </w:r>
      <w:r>
        <w:rPr>
          <w:rFonts w:hint="eastAsia" w:hAnsi="宋体" w:cs="方正仿宋_GBK"/>
          <w:snapToGrid w:val="0"/>
          <w:kern w:val="0"/>
          <w:sz w:val="32"/>
          <w:szCs w:val="32"/>
          <w:u w:val="single"/>
        </w:rPr>
        <w:t>水库监控系统、监控平台安装接入建设项目</w:t>
      </w:r>
      <w:r>
        <w:rPr>
          <w:rFonts w:hint="eastAsia" w:hAnsi="宋体" w:cs="方正仿宋_GBK"/>
          <w:snapToGrid w:val="0"/>
          <w:kern w:val="0"/>
          <w:sz w:val="32"/>
          <w:szCs w:val="32"/>
        </w:rPr>
        <w:t>，已接受乙方对该项目的投标。</w:t>
      </w:r>
      <w:r>
        <w:rPr>
          <w:rFonts w:hint="eastAsia" w:hAnsi="宋体" w:cs="方正仿宋_GBK"/>
          <w:sz w:val="32"/>
          <w:szCs w:val="32"/>
        </w:rPr>
        <w:t>双方依照《中华人民共和国民法典》、《</w:t>
      </w:r>
      <w:r>
        <w:rPr>
          <w:rFonts w:hint="eastAsia" w:hAnsi="宋体" w:cs="方正仿宋_GBK"/>
          <w:sz w:val="32"/>
          <w:szCs w:val="32"/>
          <w:u w:val="single"/>
        </w:rPr>
        <w:t>水库监控系统、监控平台安装接入建设项目竞争性比选文件</w:t>
      </w:r>
      <w:r>
        <w:rPr>
          <w:rFonts w:hint="eastAsia" w:hAnsi="宋体" w:cs="方正仿宋_GBK"/>
          <w:sz w:val="32"/>
          <w:szCs w:val="32"/>
        </w:rPr>
        <w:t>》（以下简称“《竞争性比选文件》”）及其他有关法律法规的规定，遵循平等、自愿、公平和诚实守信的原则，双方经协商一致，订立本合同。</w:t>
      </w:r>
    </w:p>
    <w:p w14:paraId="4440EE25">
      <w:pPr>
        <w:spacing w:line="560" w:lineRule="exact"/>
        <w:rPr>
          <w:rFonts w:hint="eastAsia" w:ascii="宋体" w:hAnsi="宋体" w:cs="方正仿宋_GBK"/>
          <w:bCs/>
          <w:sz w:val="32"/>
          <w:szCs w:val="32"/>
        </w:rPr>
      </w:pPr>
      <w:r>
        <w:rPr>
          <w:rFonts w:hint="eastAsia" w:ascii="宋体" w:hAnsi="宋体" w:cs="方正仿宋_GBK"/>
          <w:bCs/>
          <w:sz w:val="32"/>
          <w:szCs w:val="32"/>
        </w:rPr>
        <w:t xml:space="preserve">   </w:t>
      </w:r>
      <w:r>
        <w:rPr>
          <w:rFonts w:hint="eastAsia" w:ascii="宋体" w:hAnsi="宋体" w:cs="方正仿宋_GBK"/>
          <w:b/>
          <w:bCs/>
          <w:sz w:val="32"/>
          <w:szCs w:val="32"/>
        </w:rPr>
        <w:t xml:space="preserve"> </w:t>
      </w:r>
      <w:bookmarkStart w:id="291" w:name="_Toc351203481"/>
      <w:r>
        <w:rPr>
          <w:rFonts w:hint="eastAsia" w:ascii="宋体" w:hAnsi="宋体" w:cs="方正仿宋_GBK"/>
          <w:b/>
          <w:bCs/>
          <w:sz w:val="32"/>
          <w:szCs w:val="32"/>
        </w:rPr>
        <w:t>一、工程</w:t>
      </w:r>
      <w:bookmarkEnd w:id="291"/>
      <w:r>
        <w:rPr>
          <w:rFonts w:hint="eastAsia" w:ascii="宋体" w:hAnsi="宋体" w:cs="方正仿宋_GBK"/>
          <w:b/>
          <w:bCs/>
          <w:sz w:val="32"/>
          <w:szCs w:val="32"/>
        </w:rPr>
        <w:t>范围及内容</w:t>
      </w:r>
    </w:p>
    <w:p w14:paraId="09FCD9EF">
      <w:pPr>
        <w:spacing w:line="560" w:lineRule="exact"/>
        <w:ind w:firstLine="630" w:firstLineChars="196"/>
        <w:rPr>
          <w:rFonts w:hint="eastAsia" w:ascii="宋体" w:hAnsi="宋体" w:cs="方正仿宋_GBK"/>
          <w:sz w:val="32"/>
          <w:szCs w:val="32"/>
        </w:rPr>
      </w:pPr>
      <w:r>
        <w:rPr>
          <w:rFonts w:hint="eastAsia" w:ascii="宋体" w:hAnsi="宋体" w:cs="方正仿宋_GBK"/>
          <w:b/>
          <w:sz w:val="32"/>
          <w:szCs w:val="32"/>
        </w:rPr>
        <w:t>1.工程名称：</w:t>
      </w:r>
      <w:r>
        <w:rPr>
          <w:rFonts w:hint="eastAsia" w:ascii="宋体" w:hAnsi="宋体" w:cs="方正仿宋_GBK"/>
          <w:sz w:val="32"/>
          <w:szCs w:val="32"/>
          <w:u w:val="single"/>
        </w:rPr>
        <w:t>水库监控系统、监控平台安装接入建设项目</w:t>
      </w:r>
    </w:p>
    <w:p w14:paraId="44416D28">
      <w:pPr>
        <w:spacing w:line="560" w:lineRule="exact"/>
        <w:ind w:firstLine="643" w:firstLineChars="200"/>
        <w:rPr>
          <w:rFonts w:hint="eastAsia" w:ascii="宋体" w:hAnsi="宋体" w:cs="方正仿宋_GBK"/>
          <w:sz w:val="32"/>
          <w:szCs w:val="32"/>
        </w:rPr>
      </w:pPr>
      <w:r>
        <w:rPr>
          <w:rFonts w:hint="eastAsia" w:ascii="宋体" w:hAnsi="宋体" w:cs="方正仿宋_GBK"/>
          <w:b/>
          <w:sz w:val="32"/>
          <w:szCs w:val="32"/>
        </w:rPr>
        <w:t>2.工程地点：</w:t>
      </w:r>
      <w:r>
        <w:rPr>
          <w:rFonts w:hint="eastAsia" w:ascii="宋体" w:hAnsi="宋体" w:cs="方正仿宋_GBK"/>
          <w:sz w:val="32"/>
          <w:szCs w:val="32"/>
          <w:u w:val="single"/>
        </w:rPr>
        <w:t>甲方指定地点</w:t>
      </w:r>
    </w:p>
    <w:p w14:paraId="1D056E60">
      <w:pPr>
        <w:widowControl/>
        <w:spacing w:line="560" w:lineRule="exact"/>
        <w:ind w:firstLine="643" w:firstLineChars="200"/>
        <w:rPr>
          <w:rFonts w:hint="eastAsia" w:ascii="宋体" w:hAnsi="宋体" w:cs="方正仿宋_GBK"/>
          <w:sz w:val="32"/>
          <w:szCs w:val="32"/>
        </w:rPr>
      </w:pPr>
      <w:r>
        <w:rPr>
          <w:rFonts w:hint="eastAsia" w:ascii="宋体" w:hAnsi="宋体" w:cs="方正仿宋_GBK"/>
          <w:b/>
          <w:sz w:val="32"/>
          <w:szCs w:val="32"/>
        </w:rPr>
        <w:t>3.工程内容：</w:t>
      </w:r>
      <w:r>
        <w:rPr>
          <w:rFonts w:hint="eastAsia" w:ascii="宋体" w:hAnsi="宋体" w:cs="方正仿宋_GBK"/>
          <w:sz w:val="32"/>
          <w:szCs w:val="32"/>
          <w:u w:val="single"/>
        </w:rPr>
        <w:t>水库监控系统、监控平台安装接入建设项目，包括付家石埂子水库、十路口水库、王家石坎水库室外视频监控及后台监控平台等，具体内容详见甲方提供的施工图纸、工程量清单等相关内容。</w:t>
      </w:r>
    </w:p>
    <w:p w14:paraId="7468205B">
      <w:pPr>
        <w:pStyle w:val="213"/>
        <w:spacing w:line="560" w:lineRule="exact"/>
        <w:jc w:val="both"/>
        <w:rPr>
          <w:rFonts w:hint="eastAsia" w:hAnsi="宋体" w:cs="方正仿宋_GBK"/>
          <w:color w:val="auto"/>
          <w:kern w:val="2"/>
          <w:sz w:val="32"/>
          <w:szCs w:val="32"/>
        </w:rPr>
      </w:pPr>
      <w:r>
        <w:rPr>
          <w:rFonts w:hint="eastAsia" w:hAnsi="宋体" w:cs="方正仿宋_GBK"/>
          <w:color w:val="auto"/>
          <w:kern w:val="2"/>
          <w:sz w:val="32"/>
          <w:szCs w:val="32"/>
        </w:rPr>
        <w:t xml:space="preserve">    4.乙方应该严格按照《竞争性比选文件》及本合同要求施工，乙方不得将本工程分包、转包。</w:t>
      </w:r>
    </w:p>
    <w:p w14:paraId="59AE27D6">
      <w:pPr>
        <w:spacing w:line="560" w:lineRule="exact"/>
        <w:rPr>
          <w:rFonts w:hint="eastAsia" w:ascii="宋体" w:hAnsi="宋体" w:cs="方正仿宋_GBK"/>
          <w:sz w:val="32"/>
          <w:szCs w:val="32"/>
        </w:rPr>
      </w:pPr>
      <w:r>
        <w:rPr>
          <w:rFonts w:hint="eastAsia" w:ascii="宋体" w:hAnsi="宋体" w:cs="方正仿宋_GBK"/>
          <w:sz w:val="32"/>
          <w:szCs w:val="32"/>
        </w:rPr>
        <w:t xml:space="preserve"> </w:t>
      </w:r>
      <w:bookmarkStart w:id="292" w:name="_Toc351203482"/>
      <w:r>
        <w:rPr>
          <w:rFonts w:hint="eastAsia" w:ascii="宋体" w:hAnsi="宋体" w:cs="方正仿宋_GBK"/>
          <w:sz w:val="32"/>
          <w:szCs w:val="32"/>
        </w:rPr>
        <w:t xml:space="preserve">   </w:t>
      </w:r>
      <w:r>
        <w:rPr>
          <w:rFonts w:hint="eastAsia" w:ascii="宋体" w:hAnsi="宋体" w:cs="方正仿宋_GBK"/>
          <w:b/>
          <w:bCs/>
          <w:sz w:val="32"/>
          <w:szCs w:val="32"/>
        </w:rPr>
        <w:t>二、工程工期</w:t>
      </w:r>
      <w:bookmarkEnd w:id="292"/>
      <w:r>
        <w:rPr>
          <w:rFonts w:hint="eastAsia" w:ascii="宋体" w:hAnsi="宋体" w:cs="方正仿宋_GBK"/>
          <w:b/>
          <w:bCs/>
          <w:sz w:val="32"/>
          <w:szCs w:val="32"/>
        </w:rPr>
        <w:t>要求</w:t>
      </w:r>
    </w:p>
    <w:p w14:paraId="093B226C">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1.计划开工日期：</w:t>
      </w: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3CA44F5E">
      <w:pPr>
        <w:spacing w:line="560" w:lineRule="exact"/>
        <w:ind w:firstLine="960" w:firstLineChars="300"/>
        <w:rPr>
          <w:rFonts w:hint="eastAsia" w:ascii="宋体" w:hAnsi="宋体" w:cs="方正仿宋_GBK"/>
          <w:sz w:val="32"/>
          <w:szCs w:val="32"/>
        </w:rPr>
      </w:pPr>
      <w:r>
        <w:rPr>
          <w:rFonts w:hint="eastAsia" w:ascii="宋体" w:hAnsi="宋体" w:cs="方正仿宋_GBK"/>
          <w:sz w:val="32"/>
          <w:szCs w:val="32"/>
        </w:rPr>
        <w:t>计划竣工日期：</w:t>
      </w: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0685A397">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2.工期总天数：</w:t>
      </w:r>
      <w:r>
        <w:rPr>
          <w:rFonts w:hint="eastAsia" w:ascii="宋体" w:hAnsi="宋体" w:cs="方正仿宋_GBK"/>
          <w:sz w:val="32"/>
          <w:szCs w:val="32"/>
          <w:u w:val="single"/>
        </w:rPr>
        <w:t xml:space="preserve">   </w:t>
      </w:r>
      <w:r>
        <w:rPr>
          <w:rFonts w:hint="eastAsia" w:ascii="宋体" w:hAnsi="宋体" w:cs="方正仿宋_GBK"/>
          <w:sz w:val="32"/>
          <w:szCs w:val="32"/>
        </w:rPr>
        <w:t>日历天。工期总日历天数与根据前述计划开竣工日期计算的工期天数不一致的，以工期总日历天数为准。</w:t>
      </w:r>
    </w:p>
    <w:p w14:paraId="4FE1948C">
      <w:pPr>
        <w:spacing w:line="560" w:lineRule="exact"/>
        <w:rPr>
          <w:rFonts w:hint="eastAsia" w:ascii="宋体" w:hAnsi="宋体" w:cs="方正仿宋_GBK"/>
          <w:bCs/>
          <w:sz w:val="32"/>
          <w:szCs w:val="32"/>
        </w:rPr>
      </w:pPr>
      <w:r>
        <w:rPr>
          <w:rFonts w:hint="eastAsia" w:ascii="宋体" w:hAnsi="宋体" w:cs="方正仿宋_GBK"/>
          <w:bCs/>
          <w:sz w:val="32"/>
          <w:szCs w:val="32"/>
        </w:rPr>
        <w:t xml:space="preserve"> </w:t>
      </w:r>
      <w:bookmarkStart w:id="293" w:name="_Toc351203483"/>
      <w:r>
        <w:rPr>
          <w:rFonts w:hint="eastAsia" w:ascii="宋体" w:hAnsi="宋体" w:cs="方正仿宋_GBK"/>
          <w:bCs/>
          <w:sz w:val="32"/>
          <w:szCs w:val="32"/>
        </w:rPr>
        <w:t xml:space="preserve">   </w:t>
      </w:r>
      <w:r>
        <w:rPr>
          <w:rFonts w:hint="eastAsia" w:ascii="宋体" w:hAnsi="宋体" w:cs="方正仿宋_GBK"/>
          <w:b/>
          <w:sz w:val="32"/>
          <w:szCs w:val="32"/>
        </w:rPr>
        <w:t>三、质量标准</w:t>
      </w:r>
      <w:bookmarkEnd w:id="293"/>
    </w:p>
    <w:p w14:paraId="1C0C9DA5">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符合强制性质量标准，满足施工图和工程量清单要求，并达到合格标准。</w:t>
      </w:r>
    </w:p>
    <w:p w14:paraId="2B08942A">
      <w:pPr>
        <w:pStyle w:val="30"/>
        <w:spacing w:line="560" w:lineRule="exact"/>
        <w:ind w:firstLine="643" w:firstLineChars="200"/>
        <w:rPr>
          <w:rFonts w:hint="eastAsia" w:hAnsi="宋体" w:cs="方正仿宋_GBK"/>
          <w:b/>
          <w:sz w:val="32"/>
          <w:szCs w:val="32"/>
        </w:rPr>
      </w:pPr>
      <w:r>
        <w:rPr>
          <w:rFonts w:hint="eastAsia" w:hAnsi="宋体" w:cs="方正仿宋_GBK"/>
          <w:b/>
          <w:sz w:val="32"/>
          <w:szCs w:val="32"/>
        </w:rPr>
        <w:t>四、</w:t>
      </w:r>
      <w:r>
        <w:rPr>
          <w:rFonts w:hint="eastAsia" w:hAnsi="宋体" w:cs="方正仿宋_GBK"/>
          <w:b/>
          <w:bCs/>
          <w:sz w:val="32"/>
          <w:szCs w:val="32"/>
        </w:rPr>
        <w:t>工程保修期</w:t>
      </w:r>
    </w:p>
    <w:p w14:paraId="0328E534">
      <w:pPr>
        <w:snapToGrid w:val="0"/>
        <w:spacing w:line="560" w:lineRule="exact"/>
        <w:ind w:firstLine="626" w:firstLineChars="195"/>
        <w:rPr>
          <w:rFonts w:hint="eastAsia" w:ascii="宋体" w:hAnsi="宋体" w:cs="方正仿宋_GBK"/>
          <w:sz w:val="32"/>
          <w:szCs w:val="32"/>
        </w:rPr>
      </w:pPr>
      <w:r>
        <w:rPr>
          <w:rFonts w:hint="eastAsia" w:ascii="宋体" w:hAnsi="宋体" w:cs="方正仿宋_GBK"/>
          <w:b/>
          <w:bCs/>
          <w:sz w:val="32"/>
          <w:szCs w:val="32"/>
        </w:rPr>
        <w:t>1.工程保修期为：</w:t>
      </w:r>
      <w:r>
        <w:rPr>
          <w:rFonts w:hint="eastAsia" w:ascii="宋体" w:hAnsi="宋体" w:cs="方正仿宋_GBK"/>
          <w:sz w:val="32"/>
          <w:szCs w:val="32"/>
        </w:rPr>
        <w:t xml:space="preserve">保修期自本工程竣工验收合格之日起计算24个月。本工程的质量保修范围和责任及保修期限按照《建设工程质量管理条例》的规定执行。在保修期内承包人应对由于施工质量原因造成的损害进行自费修复。若承包人不履行义务和责任，发包人自行修复的，发包人有权直接从质保金中抵扣，同时承包人应当在发包人抵扣后十日内补足质保金，否则承包人应承担由于违约造成的法律后果。 </w:t>
      </w:r>
    </w:p>
    <w:p w14:paraId="52EDBC7A">
      <w:pPr>
        <w:snapToGrid w:val="0"/>
        <w:spacing w:line="560" w:lineRule="exact"/>
        <w:ind w:firstLine="626" w:firstLineChars="195"/>
        <w:rPr>
          <w:rFonts w:hint="eastAsia" w:ascii="宋体" w:hAnsi="宋体" w:cs="方正仿宋_GBK"/>
          <w:kern w:val="1"/>
          <w:sz w:val="32"/>
          <w:szCs w:val="32"/>
        </w:rPr>
      </w:pPr>
      <w:r>
        <w:rPr>
          <w:rFonts w:hint="eastAsia" w:ascii="宋体" w:hAnsi="宋体" w:cs="方正仿宋_GBK"/>
          <w:b/>
          <w:bCs/>
          <w:sz w:val="32"/>
          <w:szCs w:val="32"/>
        </w:rPr>
        <w:t>2.修复通知：</w:t>
      </w:r>
      <w:r>
        <w:rPr>
          <w:rFonts w:hint="eastAsia" w:ascii="宋体" w:hAnsi="宋体" w:cs="方正仿宋_GBK"/>
          <w:kern w:val="0"/>
          <w:sz w:val="32"/>
          <w:szCs w:val="32"/>
        </w:rPr>
        <w:t>承包人收到保修通知并到达工程现场的合理时间：</w:t>
      </w:r>
      <w:r>
        <w:rPr>
          <w:rFonts w:hint="eastAsia" w:ascii="宋体" w:hAnsi="宋体" w:cs="方正仿宋_GBK"/>
          <w:kern w:val="0"/>
          <w:sz w:val="32"/>
          <w:szCs w:val="32"/>
          <w:u w:val="single"/>
        </w:rPr>
        <w:t xml:space="preserve"> 24小时内 </w:t>
      </w:r>
      <w:r>
        <w:rPr>
          <w:rFonts w:hint="eastAsia" w:ascii="宋体" w:hAnsi="宋体" w:cs="方正仿宋_GBK"/>
          <w:kern w:val="0"/>
          <w:sz w:val="32"/>
          <w:szCs w:val="32"/>
        </w:rPr>
        <w:t>。</w:t>
      </w:r>
    </w:p>
    <w:p w14:paraId="05648432">
      <w:pPr>
        <w:spacing w:line="560" w:lineRule="exact"/>
        <w:rPr>
          <w:rFonts w:hint="eastAsia" w:ascii="宋体" w:hAnsi="宋体" w:cs="方正仿宋_GBK"/>
          <w:bCs/>
          <w:sz w:val="32"/>
          <w:szCs w:val="32"/>
        </w:rPr>
      </w:pPr>
      <w:r>
        <w:rPr>
          <w:rFonts w:hint="eastAsia" w:ascii="宋体" w:hAnsi="宋体" w:cs="方正仿宋_GBK"/>
          <w:bCs/>
          <w:sz w:val="32"/>
          <w:szCs w:val="32"/>
        </w:rPr>
        <w:t xml:space="preserve"> </w:t>
      </w:r>
      <w:bookmarkStart w:id="294" w:name="_Toc351203484"/>
      <w:r>
        <w:rPr>
          <w:rFonts w:hint="eastAsia" w:ascii="宋体" w:hAnsi="宋体" w:cs="方正仿宋_GBK"/>
          <w:bCs/>
          <w:sz w:val="32"/>
          <w:szCs w:val="32"/>
        </w:rPr>
        <w:t xml:space="preserve">   </w:t>
      </w:r>
      <w:r>
        <w:rPr>
          <w:rFonts w:hint="eastAsia" w:ascii="宋体" w:hAnsi="宋体" w:cs="方正仿宋_GBK"/>
          <w:b/>
          <w:sz w:val="32"/>
          <w:szCs w:val="32"/>
        </w:rPr>
        <w:t>五、签约合同价与合同价格形式</w:t>
      </w:r>
      <w:bookmarkEnd w:id="294"/>
      <w:r>
        <w:rPr>
          <w:rFonts w:hint="eastAsia" w:ascii="宋体" w:hAnsi="宋体" w:cs="方正仿宋_GBK"/>
          <w:b/>
          <w:sz w:val="32"/>
          <w:szCs w:val="32"/>
        </w:rPr>
        <w:tab/>
      </w:r>
    </w:p>
    <w:p w14:paraId="7C301D8B">
      <w:pPr>
        <w:spacing w:line="440" w:lineRule="exact"/>
        <w:ind w:firstLine="321" w:firstLineChars="100"/>
        <w:rPr>
          <w:rFonts w:hint="eastAsia" w:ascii="宋体" w:hAnsi="宋体" w:cs="方正仿宋_GBK"/>
          <w:sz w:val="32"/>
          <w:szCs w:val="32"/>
        </w:rPr>
      </w:pPr>
      <w:r>
        <w:rPr>
          <w:rFonts w:hint="eastAsia" w:ascii="宋体" w:hAnsi="宋体" w:cs="方正仿宋_GBK"/>
          <w:b/>
          <w:bCs/>
          <w:sz w:val="32"/>
          <w:szCs w:val="32"/>
        </w:rPr>
        <w:t>1.签约合同价为：</w:t>
      </w:r>
      <w:r>
        <w:rPr>
          <w:rFonts w:hint="eastAsia" w:ascii="宋体" w:hAnsi="宋体" w:cs="方正仿宋_GBK"/>
          <w:sz w:val="32"/>
          <w:szCs w:val="32"/>
        </w:rPr>
        <w:t>人民币（大写）</w:t>
      </w:r>
      <w:r>
        <w:rPr>
          <w:rFonts w:hint="eastAsia" w:ascii="宋体" w:hAnsi="宋体" w:cs="方正仿宋_GBK"/>
          <w:sz w:val="32"/>
          <w:szCs w:val="32"/>
          <w:u w:val="single"/>
        </w:rPr>
        <w:t xml:space="preserve">           </w:t>
      </w:r>
      <w:r>
        <w:rPr>
          <w:rFonts w:hint="eastAsia" w:ascii="宋体" w:hAnsi="宋体" w:cs="方正仿宋_GBK"/>
          <w:sz w:val="32"/>
          <w:szCs w:val="32"/>
        </w:rPr>
        <w:t>(￥</w:t>
      </w:r>
      <w:r>
        <w:rPr>
          <w:rFonts w:hint="eastAsia" w:ascii="宋体" w:hAnsi="宋体" w:cs="方正仿宋_GBK"/>
          <w:sz w:val="32"/>
          <w:szCs w:val="32"/>
          <w:u w:val="single"/>
        </w:rPr>
        <w:t xml:space="preserve">       </w:t>
      </w:r>
      <w:r>
        <w:rPr>
          <w:rFonts w:hint="eastAsia" w:ascii="宋体" w:hAnsi="宋体" w:cs="方正仿宋_GBK"/>
          <w:sz w:val="32"/>
          <w:szCs w:val="32"/>
        </w:rPr>
        <w:t>)；[其中：安全文明施工费：人民币（大写）</w:t>
      </w:r>
      <w:r>
        <w:rPr>
          <w:rFonts w:hint="eastAsia" w:ascii="宋体" w:hAnsi="宋体" w:cs="方正仿宋_GBK"/>
          <w:sz w:val="32"/>
          <w:szCs w:val="32"/>
          <w:u w:val="single"/>
        </w:rPr>
        <w:t xml:space="preserve">      </w:t>
      </w:r>
      <w:r>
        <w:rPr>
          <w:rFonts w:hint="eastAsia" w:ascii="宋体" w:hAnsi="宋体" w:cs="方正仿宋_GBK"/>
          <w:sz w:val="32"/>
          <w:szCs w:val="32"/>
        </w:rPr>
        <w:t xml:space="preserve"> (￥</w:t>
      </w:r>
      <w:r>
        <w:rPr>
          <w:rFonts w:hint="eastAsia" w:ascii="宋体" w:hAnsi="宋体" w:cs="方正仿宋_GBK"/>
          <w:sz w:val="32"/>
          <w:szCs w:val="32"/>
          <w:u w:val="single"/>
        </w:rPr>
        <w:t xml:space="preserve">                 </w:t>
      </w:r>
      <w:r>
        <w:rPr>
          <w:rFonts w:hint="eastAsia" w:ascii="宋体" w:hAnsi="宋体" w:cs="方正仿宋_GBK"/>
          <w:sz w:val="32"/>
          <w:szCs w:val="32"/>
        </w:rPr>
        <w:t xml:space="preserve">  分 )]；</w:t>
      </w:r>
    </w:p>
    <w:p w14:paraId="5CEA6437">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2.合同价格形式：</w:t>
      </w:r>
      <w:r>
        <w:rPr>
          <w:rFonts w:hint="eastAsia" w:ascii="宋体" w:hAnsi="宋体" w:cs="方正仿宋_GBK"/>
          <w:sz w:val="32"/>
          <w:szCs w:val="32"/>
          <w:u w:val="single"/>
        </w:rPr>
        <w:t xml:space="preserve">  单价合同   </w:t>
      </w:r>
      <w:r>
        <w:rPr>
          <w:rFonts w:hint="eastAsia" w:ascii="宋体" w:hAnsi="宋体" w:cs="方正仿宋_GBK"/>
          <w:sz w:val="32"/>
          <w:szCs w:val="32"/>
        </w:rPr>
        <w:t>。</w:t>
      </w:r>
    </w:p>
    <w:p w14:paraId="27138299">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3.本合同使用货币币制均为人民币。</w:t>
      </w:r>
    </w:p>
    <w:p w14:paraId="328601A6">
      <w:pPr>
        <w:spacing w:line="560" w:lineRule="exact"/>
        <w:rPr>
          <w:rFonts w:hint="eastAsia" w:ascii="宋体" w:hAnsi="宋体" w:cs="方正仿宋_GBK"/>
          <w:sz w:val="32"/>
          <w:szCs w:val="32"/>
        </w:rPr>
      </w:pPr>
      <w:r>
        <w:rPr>
          <w:rFonts w:hint="eastAsia" w:ascii="宋体" w:hAnsi="宋体" w:cs="方正仿宋_GBK"/>
          <w:bCs/>
          <w:sz w:val="32"/>
          <w:szCs w:val="32"/>
        </w:rPr>
        <w:t xml:space="preserve"> </w:t>
      </w:r>
      <w:bookmarkStart w:id="295" w:name="_Toc18968"/>
      <w:r>
        <w:rPr>
          <w:rFonts w:hint="eastAsia" w:ascii="宋体" w:hAnsi="宋体" w:cs="方正仿宋_GBK"/>
          <w:bCs/>
          <w:sz w:val="32"/>
          <w:szCs w:val="32"/>
        </w:rPr>
        <w:t xml:space="preserve">   </w:t>
      </w:r>
      <w:r>
        <w:rPr>
          <w:rFonts w:hint="eastAsia" w:ascii="宋体" w:hAnsi="宋体" w:cs="方正仿宋_GBK"/>
          <w:b/>
          <w:sz w:val="32"/>
          <w:szCs w:val="32"/>
        </w:rPr>
        <w:t>六、工程结算</w:t>
      </w:r>
    </w:p>
    <w:p w14:paraId="59F9FD84">
      <w:pPr>
        <w:spacing w:line="560" w:lineRule="exact"/>
        <w:ind w:firstLine="643" w:firstLineChars="200"/>
        <w:rPr>
          <w:rFonts w:hint="eastAsia" w:ascii="宋体" w:hAnsi="宋体" w:cs="方正仿宋_GBK"/>
          <w:sz w:val="32"/>
          <w:szCs w:val="32"/>
        </w:rPr>
      </w:pPr>
      <w:r>
        <w:rPr>
          <w:rFonts w:hint="eastAsia" w:ascii="宋体" w:hAnsi="宋体" w:cs="方正仿宋_GBK"/>
          <w:b/>
          <w:bCs/>
          <w:sz w:val="32"/>
          <w:szCs w:val="32"/>
        </w:rPr>
        <w:t>1.结算原则：</w:t>
      </w:r>
      <w:r>
        <w:rPr>
          <w:rFonts w:hint="eastAsia" w:ascii="宋体" w:hAnsi="宋体" w:cs="方正仿宋_GBK"/>
          <w:sz w:val="32"/>
          <w:szCs w:val="32"/>
        </w:rPr>
        <w:t>本工程执行固定单价合同，如有设计范围内工程量增减，以签证为准。</w:t>
      </w:r>
    </w:p>
    <w:p w14:paraId="667FA457">
      <w:pPr>
        <w:spacing w:line="560" w:lineRule="exact"/>
        <w:ind w:firstLine="643" w:firstLineChars="200"/>
        <w:rPr>
          <w:rFonts w:hint="eastAsia" w:ascii="宋体" w:hAnsi="宋体" w:cs="方正仿宋_GBK"/>
          <w:sz w:val="32"/>
          <w:szCs w:val="32"/>
        </w:rPr>
      </w:pPr>
      <w:r>
        <w:rPr>
          <w:rFonts w:hint="eastAsia" w:ascii="宋体" w:hAnsi="宋体" w:cs="方正仿宋_GBK"/>
          <w:b/>
          <w:bCs/>
          <w:sz w:val="32"/>
          <w:szCs w:val="32"/>
        </w:rPr>
        <w:t>2.</w:t>
      </w:r>
      <w:r>
        <w:rPr>
          <w:rFonts w:hint="eastAsia" w:ascii="宋体" w:hAnsi="宋体"/>
        </w:rPr>
        <w:t xml:space="preserve"> </w:t>
      </w:r>
      <w:r>
        <w:rPr>
          <w:rFonts w:hint="eastAsia" w:ascii="宋体" w:hAnsi="宋体" w:cs="方正仿宋_GBK"/>
          <w:b/>
          <w:bCs/>
          <w:sz w:val="32"/>
          <w:szCs w:val="32"/>
        </w:rPr>
        <w:t>结算总价＝分部分项工程量清单综合单价×子项工程量+措施项目费+其他项目费+安全文明施工费+规费+税金+设计变更及新增部分金额+合同约定的其它费用</w:t>
      </w:r>
    </w:p>
    <w:p w14:paraId="49D09351">
      <w:pPr>
        <w:spacing w:line="560" w:lineRule="exact"/>
        <w:ind w:firstLine="643" w:firstLineChars="200"/>
        <w:rPr>
          <w:rFonts w:hint="eastAsia" w:ascii="宋体" w:hAnsi="宋体" w:cs="方正仿宋_GBK"/>
          <w:b/>
          <w:bCs/>
          <w:sz w:val="32"/>
          <w:szCs w:val="32"/>
        </w:rPr>
      </w:pPr>
      <w:r>
        <w:rPr>
          <w:rFonts w:hint="eastAsia" w:ascii="宋体" w:hAnsi="宋体" w:cs="方正仿宋_GBK"/>
          <w:b/>
          <w:bCs/>
          <w:sz w:val="32"/>
          <w:szCs w:val="32"/>
        </w:rPr>
        <w:t>3.</w:t>
      </w:r>
      <w:r>
        <w:rPr>
          <w:rFonts w:hint="eastAsia" w:ascii="宋体" w:hAnsi="宋体"/>
          <w:b/>
          <w:bCs/>
        </w:rPr>
        <w:t xml:space="preserve"> </w:t>
      </w:r>
      <w:r>
        <w:rPr>
          <w:rFonts w:hint="eastAsia" w:ascii="宋体" w:hAnsi="宋体" w:cs="方正仿宋_GBK"/>
          <w:b/>
          <w:bCs/>
          <w:sz w:val="32"/>
          <w:szCs w:val="32"/>
        </w:rPr>
        <w:t>各部分的结算原则如下：</w:t>
      </w:r>
    </w:p>
    <w:p w14:paraId="61B071FA">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（1）分部分项工程量清单结算价：</w:t>
      </w:r>
    </w:p>
    <w:p w14:paraId="49115EB5">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分部分项工程量清单项目按成交单价实行综合单价包干。工程结算时，以乙方最后成交单价为结算单价依据，乘以施工图及设计变更按《建设工程工程量清单计价规范》（GB50500-2013）计算且经甲方及监理工程师（有监理单位的情况下）审核的工程量，作为该子项的结算合价。各分部分项工程量清单子项合价累计相加，得分部分项工程量清单结算价。</w:t>
      </w:r>
    </w:p>
    <w:p w14:paraId="3A6B2C42">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（2）措施费</w:t>
      </w:r>
    </w:p>
    <w:p w14:paraId="3C8DA609">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施工组织措施费：无论因设计变更或施工工艺变化等任何因素而引起实际措施费的变化，均按投标时施工组织措施项目费（除安全文明施工费外）的报价作为结算价。</w:t>
      </w:r>
    </w:p>
    <w:p w14:paraId="21277ABE">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乙方报价的综合单价乘以按《重庆市建设工程工程量计算规则》（CQJLGZ-2013）约定的计量规则计算的实际合格工程量办理结算。</w:t>
      </w:r>
    </w:p>
    <w:p w14:paraId="029C8BD7">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（3）本工程设计变更、采购工程量清单漏项或新增项目价款结算办法：工程设计变更确定后，设计变更涉及工程价款调整的，或采购工程量清单中有漏项或工程施工中出现新增项目。调整方法如下：</w:t>
      </w:r>
    </w:p>
    <w:p w14:paraId="4AAD6F27">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变更（包括签证）工程与报价的工程量清单中有相同的子项，原则上按投标时的相同子项的综合单价报价执行；如报价中相同子项的综合单价明显高于市场价格，其综合单价需由乙方报送甲方重新审核，以甲方的审定的综合单价执行。</w:t>
      </w:r>
    </w:p>
    <w:p w14:paraId="7A8DFFE9">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变更（包括签证）工程与报价的工程量清单中有类似子项的，原则上按投标时的类似子项的综合单价报价执行；如报价中类似子项的综合单价明显高于市场价格，其综合单价需由乙方报送甲方重新审核，以甲方的审定的综合单价执行。</w:t>
      </w:r>
    </w:p>
    <w:p w14:paraId="349F8F32">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变更（包括签证）工程与工程量清单中无相同子项或类似子项的，按照《建设工程工程量清单计价规范》（GB50500-2013）、《重庆市建设工程工程量清单计价规则》（CQJJGZ-2013）、《重庆市建设工程工程量计算规则》（CQJLGZ-2013）；《重庆市房屋建筑与装饰工程计价定额》（CQJZZSDE-2018）、《重庆市通用安装工程计价定额》（CQAZDE-2018）、《重庆市园林绿化工程计价定额》（CQYLLHDE-2018）、《重庆市建筑工程混凝土及砂浆配合比表定额》（CQPHBB-2018）、《重庆市建设工程施工机械台班定额》（CQJXDE-2018）、《重庆市建设工程费用定额》（CQFYDE-2018）、《重庆市市政工程计价定额》（CQSZDE-2018）、《重庆市绿色建筑工程计价定额》（CQLSJZDE-2018）、《重庆市构筑物工程计价定额》（CQGZWDE-2018）、《重庆市建设工程施工仪器仪表台班定额》（CQYQYBDE-2018）及相关配套文件的规定进行组价（其中材料及人工费成交价中有的按成交价计算；成交价中没有的材料单价按施工期间重庆市建设工程造价总站主办的《重庆工程造价》公布的信息价算数平均值执行；《重庆工程造价信息》没有的材料价格由乙方报甲方和监理人（若有）认质核价，组价后按成交价与乙方第一次报价的下浮比例同比例下浮并经甲方审核后作为结算综合单价。</w:t>
      </w:r>
    </w:p>
    <w:p w14:paraId="68454D40">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 xml:space="preserve">A、材料由乙方进行采购，其中工程的主要材料部分采购前需报监理人（有监理单位的情况下）和甲方核质核价后再行采购，按结算评审部门审定后价格进行结算；如《重庆工程造价》中有的材料，核定价不得高于施工期间《重庆工程造价》信息价的算术平均值。 </w:t>
      </w:r>
    </w:p>
    <w:p w14:paraId="45B17328">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B、人工工日单价按报价中的人工工日单价执行，报价中没有的人工工日单价则按施工期间《重庆工程造价》公布的垫江县人工指导价的算术平均值执行。</w:t>
      </w:r>
    </w:p>
    <w:p w14:paraId="439B9661">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（4）其他项目清单结算金额</w:t>
      </w:r>
    </w:p>
    <w:p w14:paraId="42E4E0B4">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①材料采用暂估单价的，在施工过程中，使用前由乙方报价，经甲方审核同意后方可采购、施工。结算时只对甲方核定单价与暂估单价的价差部分进行调整（调整的数量根据工程结算数量确定），该价差除税金外不再计取其他任何费用。若乙方在甲方核价后5个工作日内，乙方拒绝签字确认甲方核定的价格或拒绝按甲方核定的价格采购的，则该种材料改为甲方采购供应，其该种材料费用甲方按暂估单价（含应计取的税金）在结算价款中扣除，且甲方还应按规定收取该种材料费用的采保费的1/3。</w:t>
      </w:r>
    </w:p>
    <w:p w14:paraId="618D2E95">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注：材料暂估单价仅指此类材料本身运至施工现场的价格，不包括这些材料的安装、安装所必须的辅助材料以及发生在现场内的验收、存储、保管、二次搬运、从存放地点运至安装地点以及其他任何必要的辅助工作所发生的费用，上述费用由投标人自行考虑计入各相应子目的综合单价报价中，成交后不再计取。</w:t>
      </w:r>
    </w:p>
    <w:p w14:paraId="0040F821">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②本工程采用专业工程暂估价或暂列金额采购的，结算时按实结算。其中以暂列金额采购的施工内容实施与否由甲方决定。</w:t>
      </w:r>
    </w:p>
    <w:p w14:paraId="577BAFFA">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（5）安全文明施工费：《重庆城乡建设委员会关于印发&lt;重庆市建设工程安全文明施工费计取及使用管理规定&gt;的通知》（渝建管〔2024〕38号）等相关配套规定标准据实结算。评定不合格不计费。</w:t>
      </w:r>
    </w:p>
    <w:p w14:paraId="3F1AE72F">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（6）规费：按投标费率结算，若乙方的报价中规费费率高于规定费率，则以规定费率结算。</w:t>
      </w:r>
    </w:p>
    <w:p w14:paraId="0623C461">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（7）税金：增值税计税方法由甲方依据国家税法规定选择一般计税法.</w:t>
      </w:r>
    </w:p>
    <w:p w14:paraId="25316999">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（8）甲方要求乙方完成合同以外施工范围内或施工范围外但与本施工项目有密切关系的零星项目，乙方应接受甲方施工要求，并向甲方提出工程量签证。</w:t>
      </w:r>
    </w:p>
    <w:p w14:paraId="73ACDA6F">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4. 本工程所需材料、设备（暂估价、暂列金额除外）由投标人自行承担材料、设备价格涨跌风险，成交后不作调整。</w:t>
      </w:r>
    </w:p>
    <w:p w14:paraId="4944DBF2">
      <w:pPr>
        <w:spacing w:line="560" w:lineRule="exact"/>
        <w:ind w:firstLine="643" w:firstLineChars="200"/>
        <w:rPr>
          <w:rFonts w:hint="eastAsia" w:ascii="宋体" w:hAnsi="宋体" w:cs="方正仿宋_GBK"/>
          <w:sz w:val="32"/>
          <w:szCs w:val="32"/>
        </w:rPr>
      </w:pPr>
      <w:r>
        <w:rPr>
          <w:rFonts w:hint="eastAsia" w:ascii="宋体" w:hAnsi="宋体" w:cs="方正仿宋_GBK"/>
          <w:b/>
          <w:sz w:val="32"/>
          <w:szCs w:val="32"/>
        </w:rPr>
        <w:t>七、工程款支付</w:t>
      </w:r>
      <w:bookmarkEnd w:id="295"/>
    </w:p>
    <w:p w14:paraId="71B6A40F">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1、本工程无预付款，成交人设备到场并安装完成并正常试运行1周后支付至合同金额的50%，验收合格后成交人报送结算资料给甲方，由甲方组织审核后，支付至审定金额的97%，剩余价款在二年质保期满无质量问题后一次性无息支付。</w:t>
      </w:r>
    </w:p>
    <w:p w14:paraId="06C0C8CA">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2、支付需要的资料（增值税专用发票）。</w:t>
      </w:r>
    </w:p>
    <w:p w14:paraId="2CE3B23E">
      <w:pPr>
        <w:spacing w:line="560" w:lineRule="exact"/>
        <w:ind w:firstLine="643" w:firstLineChars="200"/>
        <w:rPr>
          <w:rFonts w:hint="eastAsia" w:ascii="宋体" w:hAnsi="宋体" w:cs="方正仿宋_GBK"/>
          <w:b/>
          <w:sz w:val="32"/>
          <w:szCs w:val="32"/>
        </w:rPr>
      </w:pPr>
      <w:bookmarkStart w:id="296" w:name="_Toc351203485"/>
      <w:r>
        <w:rPr>
          <w:rFonts w:hint="eastAsia" w:ascii="宋体" w:hAnsi="宋体" w:cs="方正仿宋_GBK"/>
          <w:b/>
          <w:sz w:val="32"/>
          <w:szCs w:val="32"/>
        </w:rPr>
        <w:t>八、</w:t>
      </w:r>
      <w:bookmarkEnd w:id="296"/>
      <w:r>
        <w:rPr>
          <w:rFonts w:hint="eastAsia" w:ascii="宋体" w:hAnsi="宋体" w:cs="方正仿宋_GBK"/>
          <w:b/>
          <w:sz w:val="32"/>
          <w:szCs w:val="32"/>
        </w:rPr>
        <w:t>项目经理</w:t>
      </w:r>
    </w:p>
    <w:p w14:paraId="3639CB97">
      <w:pPr>
        <w:spacing w:line="560" w:lineRule="exact"/>
        <w:ind w:firstLine="640" w:firstLineChars="200"/>
        <w:rPr>
          <w:rFonts w:hint="eastAsia" w:ascii="宋体" w:hAnsi="宋体" w:cs="方正仿宋_GBK"/>
          <w:sz w:val="32"/>
          <w:szCs w:val="32"/>
          <w:u w:val="single"/>
        </w:rPr>
      </w:pPr>
      <w:r>
        <w:rPr>
          <w:rFonts w:hint="eastAsia" w:ascii="宋体" w:hAnsi="宋体" w:cs="方正仿宋_GBK"/>
          <w:sz w:val="32"/>
          <w:szCs w:val="32"/>
        </w:rPr>
        <w:t>承包人项目经理：</w:t>
      </w:r>
      <w:r>
        <w:rPr>
          <w:rFonts w:hint="eastAsia" w:ascii="宋体" w:hAnsi="宋体" w:cs="方正仿宋_GBK"/>
          <w:sz w:val="32"/>
          <w:szCs w:val="32"/>
          <w:u w:val="single"/>
        </w:rPr>
        <w:t xml:space="preserve">     </w:t>
      </w:r>
      <w:r>
        <w:rPr>
          <w:rFonts w:hint="eastAsia" w:ascii="宋体" w:hAnsi="宋体" w:cs="方正仿宋_GBK"/>
          <w:sz w:val="32"/>
          <w:szCs w:val="32"/>
        </w:rPr>
        <w:t>。公民身份号码</w:t>
      </w:r>
      <w:r>
        <w:rPr>
          <w:rFonts w:hint="eastAsia" w:ascii="宋体" w:hAnsi="宋体" w:cs="方正仿宋_GBK"/>
          <w:sz w:val="32"/>
          <w:szCs w:val="32"/>
          <w:u w:val="single"/>
        </w:rPr>
        <w:t xml:space="preserve">                </w:t>
      </w:r>
      <w:r>
        <w:rPr>
          <w:rFonts w:hint="eastAsia" w:ascii="宋体" w:hAnsi="宋体" w:cs="方正仿宋_GBK"/>
          <w:sz w:val="32"/>
          <w:szCs w:val="32"/>
        </w:rPr>
        <w:t>。联系电话</w:t>
      </w:r>
      <w:r>
        <w:rPr>
          <w:rFonts w:hint="eastAsia" w:ascii="宋体" w:hAnsi="宋体" w:cs="方正仿宋_GBK"/>
          <w:sz w:val="32"/>
          <w:szCs w:val="32"/>
          <w:u w:val="single"/>
        </w:rPr>
        <w:t xml:space="preserve">        </w:t>
      </w:r>
      <w:r>
        <w:rPr>
          <w:rFonts w:hint="eastAsia" w:ascii="宋体" w:hAnsi="宋体" w:cs="方正仿宋_GBK"/>
          <w:sz w:val="32"/>
          <w:szCs w:val="32"/>
        </w:rPr>
        <w:t>。</w:t>
      </w:r>
    </w:p>
    <w:p w14:paraId="62443C3E">
      <w:pPr>
        <w:spacing w:line="560" w:lineRule="exact"/>
        <w:ind w:firstLine="643" w:firstLineChars="200"/>
        <w:rPr>
          <w:rFonts w:hint="eastAsia" w:ascii="宋体" w:hAnsi="宋体" w:cs="方正仿宋_GBK"/>
          <w:b/>
          <w:bCs/>
          <w:sz w:val="32"/>
          <w:szCs w:val="32"/>
        </w:rPr>
      </w:pPr>
      <w:r>
        <w:rPr>
          <w:rFonts w:hint="eastAsia" w:ascii="宋体" w:hAnsi="宋体" w:cs="方正仿宋_GBK"/>
          <w:b/>
          <w:bCs/>
          <w:sz w:val="32"/>
          <w:szCs w:val="32"/>
        </w:rPr>
        <w:t>九、履约担保</w:t>
      </w:r>
    </w:p>
    <w:p w14:paraId="6EC7EEF0">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1.履约担保金金额应为：中标价的10%。</w:t>
      </w:r>
    </w:p>
    <w:p w14:paraId="072653EB">
      <w:pPr>
        <w:spacing w:line="560" w:lineRule="exact"/>
        <w:ind w:firstLine="640" w:firstLineChars="200"/>
        <w:rPr>
          <w:rFonts w:hint="eastAsia" w:ascii="宋体" w:hAnsi="宋体" w:cs="方正仿宋_GBK"/>
          <w:sz w:val="32"/>
          <w:szCs w:val="32"/>
        </w:rPr>
      </w:pPr>
      <w:r>
        <w:rPr>
          <w:rFonts w:ascii="宋体" w:hAnsi="宋体"/>
          <w:sz w:val="32"/>
          <w:szCs w:val="32"/>
        </w:rPr>
        <w:t>2</w:t>
      </w:r>
      <w:r>
        <w:rPr>
          <w:rFonts w:hint="eastAsia" w:ascii="宋体" w:hAnsi="宋体" w:cs="方正仿宋_GBK"/>
          <w:sz w:val="32"/>
          <w:szCs w:val="32"/>
        </w:rPr>
        <w:t>.递交银行及账户信息：</w:t>
      </w:r>
      <w:r>
        <w:rPr>
          <w:rFonts w:hint="eastAsia" w:ascii="宋体" w:hAnsi="宋体" w:cs="方正仿宋_GBK"/>
          <w:kern w:val="0"/>
          <w:sz w:val="32"/>
          <w:szCs w:val="32"/>
        </w:rPr>
        <w:t xml:space="preserve">            </w:t>
      </w:r>
    </w:p>
    <w:p w14:paraId="646E130B">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3.提交时间：乙方在收到中标通知书后签订合同前按竞争性比选文件约定的方式提交履约担保，如果乙方未能按规定要求提交履约担保金，则发包人有权取消其中标资格，并有权在评审委员会推荐的中标候选人中依次重新确定乙方。</w:t>
      </w:r>
    </w:p>
    <w:p w14:paraId="6DDD816F">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4.退还时间：全部供货安装完成并经验收合格后，乙方向甲方提供网上银行回执单及收据、履约担保金退换申请后，甲方向乙方基本账户一次性无息退还履约担保金。</w:t>
      </w:r>
    </w:p>
    <w:p w14:paraId="65BB6380">
      <w:pPr>
        <w:pStyle w:val="30"/>
        <w:spacing w:line="560" w:lineRule="exact"/>
        <w:ind w:firstLine="643" w:firstLineChars="200"/>
        <w:rPr>
          <w:rFonts w:hint="eastAsia" w:hAnsi="宋体" w:cs="方正仿宋_GBK"/>
          <w:sz w:val="32"/>
          <w:szCs w:val="32"/>
        </w:rPr>
      </w:pPr>
      <w:r>
        <w:rPr>
          <w:rFonts w:hint="eastAsia" w:hAnsi="宋体" w:cs="方正仿宋_GBK"/>
          <w:b/>
          <w:sz w:val="32"/>
          <w:szCs w:val="32"/>
        </w:rPr>
        <w:t>十、甲方责任</w:t>
      </w:r>
    </w:p>
    <w:p w14:paraId="60E52028">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1.在施工过程中，对乙方全程监督。</w:t>
      </w:r>
    </w:p>
    <w:p w14:paraId="510F85A2">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2.按照合同约定支付款项。</w:t>
      </w:r>
    </w:p>
    <w:p w14:paraId="5B866F4B">
      <w:pPr>
        <w:pStyle w:val="30"/>
        <w:spacing w:line="560" w:lineRule="exact"/>
        <w:ind w:firstLine="643" w:firstLineChars="200"/>
        <w:rPr>
          <w:rFonts w:hint="eastAsia" w:hAnsi="宋体" w:cs="方正仿宋_GBK"/>
          <w:sz w:val="32"/>
          <w:szCs w:val="32"/>
        </w:rPr>
      </w:pPr>
      <w:r>
        <w:rPr>
          <w:rFonts w:hint="eastAsia" w:hAnsi="宋体" w:cs="方正仿宋_GBK"/>
          <w:b/>
          <w:sz w:val="32"/>
          <w:szCs w:val="32"/>
        </w:rPr>
        <w:t>十一、乙方责任</w:t>
      </w:r>
    </w:p>
    <w:p w14:paraId="4F68691C">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１.严格按照《竞争性比选文件》及本合同的要求进行施工，施工实施中不得损坏公共设施并接受甲方的监督，保证在合同约定的工期内完成所有工作。</w:t>
      </w:r>
    </w:p>
    <w:p w14:paraId="73954158">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2.乙方提供的产品必须标识清楚，产品出厂检测报告、质量合格证明齐全，因质量不合格造成的一切损失由乙方承担；本工程必须严格按照甲方的要求进行施工，在甲方所规定的工期内完工并达标，因施工质量不达标或延误工期而造成的一切损失由乙方承担。</w:t>
      </w:r>
    </w:p>
    <w:p w14:paraId="3FF8B592">
      <w:pPr>
        <w:pStyle w:val="30"/>
        <w:spacing w:line="560" w:lineRule="exact"/>
        <w:ind w:firstLine="643" w:firstLineChars="200"/>
        <w:rPr>
          <w:rFonts w:hint="eastAsia" w:hAnsi="宋体" w:cs="方正仿宋_GBK"/>
          <w:sz w:val="32"/>
          <w:szCs w:val="32"/>
        </w:rPr>
      </w:pPr>
      <w:r>
        <w:rPr>
          <w:rFonts w:hint="eastAsia" w:hAnsi="宋体" w:cs="方正仿宋_GBK"/>
          <w:b/>
          <w:sz w:val="32"/>
          <w:szCs w:val="32"/>
        </w:rPr>
        <w:t>十二、安全责任</w:t>
      </w:r>
    </w:p>
    <w:p w14:paraId="435A6B65">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1.乙方必须严格按照现行的施工管理规范及有关规定进行施工。</w:t>
      </w:r>
    </w:p>
    <w:p w14:paraId="7ED6D4DC">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2.施工期间的安全问题等均由乙方自行负责。</w:t>
      </w:r>
    </w:p>
    <w:p w14:paraId="12B0ED97">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3.乙方必须在施工完毕及时恢复公共设施及清洁卫生。</w:t>
      </w:r>
    </w:p>
    <w:p w14:paraId="28978276">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4.乙方的施工作业人员必须具备相应的施工</w:t>
      </w:r>
      <w:r>
        <w:rPr>
          <w:rFonts w:hint="eastAsia" w:hAnsi="宋体" w:cs="方正仿宋_GBK"/>
          <w:kern w:val="0"/>
          <w:sz w:val="32"/>
          <w:szCs w:val="32"/>
        </w:rPr>
        <w:t>证件。</w:t>
      </w:r>
    </w:p>
    <w:p w14:paraId="5774C314">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5.乙方在施工过程中，必须严格遵守建筑施工操作规范，做好文明施工、安全施工，施工现场必须设置安全警示标志、标牌，添置必要的安全防护用品。乙方在施工过程中发生的包括不限于侵权、工伤、雇佣、安全等责任造成的任何人身伤亡或财产损失，均由乙方自行承担，与甲方无关，给甲方造成损失的，甲方有权向乙方进行追偿。</w:t>
      </w:r>
    </w:p>
    <w:p w14:paraId="356CCAC8">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6.甲方在乙方进行施工时，有权对乙方进行监督、检查。若乙方违反相关安全规定、违章施工，有权停止乙方施工，并对其进行相应惩处。</w:t>
      </w:r>
    </w:p>
    <w:p w14:paraId="29AC1F71">
      <w:pPr>
        <w:pStyle w:val="30"/>
        <w:spacing w:line="560" w:lineRule="exact"/>
        <w:ind w:firstLine="643" w:firstLineChars="200"/>
        <w:rPr>
          <w:rFonts w:hint="eastAsia" w:hAnsi="宋体" w:cs="方正仿宋_GBK"/>
          <w:sz w:val="32"/>
          <w:szCs w:val="32"/>
        </w:rPr>
      </w:pPr>
      <w:r>
        <w:rPr>
          <w:rFonts w:hint="eastAsia" w:hAnsi="宋体" w:cs="方正仿宋_GBK"/>
          <w:b/>
          <w:sz w:val="32"/>
          <w:szCs w:val="32"/>
        </w:rPr>
        <w:t>十三、违约责任</w:t>
      </w:r>
    </w:p>
    <w:p w14:paraId="4B3F0226">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1.本工程必须严格按照甲方的要求进行施工，在甲方所规定的工期内完工并达标，因乙方施工质量不达标或延误工期而造成的一切损失由乙方承担。除因甲方原因、经审批同意的工程变更或不可抗力致工期顺延外，工期每延误一天扣乙方合同金额的0.1%，累计递减工程款，逾期竣工违约金的上限为签约合同价的10%。</w:t>
      </w:r>
    </w:p>
    <w:p w14:paraId="4B424C50">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2.如乙方有转包或未经甲方同意的分包行为，甲方有权解除合同，没收履约保证金并追究乙方的违约责任。</w:t>
      </w:r>
    </w:p>
    <w:p w14:paraId="4976711A">
      <w:pPr>
        <w:pStyle w:val="30"/>
        <w:spacing w:line="560" w:lineRule="exact"/>
        <w:ind w:firstLine="643" w:firstLineChars="200"/>
        <w:rPr>
          <w:rFonts w:hint="eastAsia" w:hAnsi="宋体" w:cs="方正仿宋_GBK"/>
          <w:b/>
          <w:sz w:val="32"/>
          <w:szCs w:val="32"/>
        </w:rPr>
      </w:pPr>
      <w:r>
        <w:rPr>
          <w:rFonts w:hint="eastAsia" w:hAnsi="宋体" w:cs="方正仿宋_GBK"/>
          <w:b/>
          <w:sz w:val="32"/>
          <w:szCs w:val="32"/>
        </w:rPr>
        <w:t>十四、双方特别约定事项</w:t>
      </w:r>
    </w:p>
    <w:p w14:paraId="5FDDDCB1">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1.乙方更换项目经理、技术负责人需征得甲方同意，否则甲方可单方面解除合同，同时乙方须赔偿由此给甲方带来的一切经济损失。</w:t>
      </w:r>
    </w:p>
    <w:p w14:paraId="5D6861DE">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2.本工程施工过程中，由甲方对施工质量进行全面把关，若发现质量问题，甲方有权提出整改意见并责令乙方限期整改，乙方未按时整改或整改后仍不达标的，累计三次以上（含三次），甲方有权单方面终止合同。</w:t>
      </w:r>
    </w:p>
    <w:p w14:paraId="087F6D40">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3.因乙方原因，造成工程不符合设计要求、质量不合格，甲方可要求乙方停工或返工，返工费用由乙方自行承担。由此造成的材料浪费由乙方负责，并且工期不予顺延。</w:t>
      </w:r>
    </w:p>
    <w:p w14:paraId="1B8EDD6F">
      <w:pPr>
        <w:pStyle w:val="30"/>
        <w:spacing w:line="560" w:lineRule="exact"/>
        <w:ind w:firstLine="640" w:firstLineChars="200"/>
        <w:rPr>
          <w:rFonts w:hint="eastAsia" w:hAnsi="宋体" w:cs="方正仿宋_GBK"/>
          <w:sz w:val="32"/>
          <w:szCs w:val="32"/>
        </w:rPr>
      </w:pPr>
      <w:r>
        <w:rPr>
          <w:rFonts w:hint="eastAsia" w:hAnsi="宋体" w:cs="方正仿宋_GBK"/>
          <w:sz w:val="32"/>
          <w:szCs w:val="32"/>
        </w:rPr>
        <w:t>4.如乙方违反《竞争性比选文件》、本合同及其他相关协议的约定，不按期竣工、质量未达到设计规范或要求，存在较大安全隐患或发生安全事故或发生其他导致本合同无法履行的行为，甲方有权单方解除本合同并要求乙方清场。</w:t>
      </w:r>
      <w:r>
        <w:rPr>
          <w:rFonts w:hint="eastAsia" w:hAnsi="宋体" w:cs="方正仿宋_GBK"/>
          <w:kern w:val="0"/>
          <w:sz w:val="32"/>
          <w:szCs w:val="32"/>
          <w:lang w:bidi="ar"/>
        </w:rPr>
        <w:t>履约保证金不予退还，给甲方造成的损失超过履约保证金数额的，乙方还应当对超过部分予以赔偿。</w:t>
      </w:r>
    </w:p>
    <w:p w14:paraId="52D1B31B">
      <w:pPr>
        <w:widowControl/>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5.该工程完工并移交甲方前（包括质保期限内），乙方应保证甲方不承担因任何人身伤亡或财产损失所发生的一切责任，保证甲方不承担任何属于乙方及其施工人员引起的诉讼、索赔等责任及可能发生的相关费用。如因乙方原因造成甲方承担责任后，</w:t>
      </w:r>
      <w:r>
        <w:rPr>
          <w:rFonts w:hint="eastAsia" w:ascii="宋体" w:hAnsi="宋体" w:cs="方正仿宋_GBK"/>
          <w:kern w:val="0"/>
          <w:sz w:val="32"/>
          <w:szCs w:val="32"/>
          <w:lang w:bidi="ar"/>
        </w:rPr>
        <w:t>履约保证金不予退还，给甲方造成的损失超过履约保证金数额的，乙方还应当对超过部分予以赔偿。</w:t>
      </w:r>
    </w:p>
    <w:p w14:paraId="51D0ED19">
      <w:pPr>
        <w:spacing w:line="560" w:lineRule="exact"/>
        <w:ind w:firstLine="643" w:firstLineChars="200"/>
        <w:rPr>
          <w:rFonts w:hint="eastAsia" w:ascii="宋体" w:hAnsi="宋体" w:cs="方正仿宋_GBK"/>
          <w:bCs/>
          <w:sz w:val="32"/>
          <w:szCs w:val="32"/>
        </w:rPr>
      </w:pPr>
      <w:bookmarkStart w:id="297" w:name="_Toc351203486"/>
      <w:r>
        <w:rPr>
          <w:rFonts w:hint="eastAsia" w:ascii="宋体" w:hAnsi="宋体" w:cs="方正仿宋_GBK"/>
          <w:b/>
          <w:sz w:val="32"/>
          <w:szCs w:val="32"/>
        </w:rPr>
        <w:t>十五、合同文件构成</w:t>
      </w:r>
      <w:bookmarkEnd w:id="297"/>
    </w:p>
    <w:p w14:paraId="5724AD33">
      <w:pPr>
        <w:spacing w:line="560" w:lineRule="exact"/>
        <w:ind w:firstLine="640" w:firstLineChars="200"/>
        <w:rPr>
          <w:rFonts w:hint="eastAsia" w:ascii="宋体" w:hAnsi="宋体" w:cs="方正仿宋_GBK"/>
          <w:bCs/>
          <w:sz w:val="32"/>
          <w:szCs w:val="32"/>
        </w:rPr>
      </w:pPr>
      <w:r>
        <w:rPr>
          <w:rFonts w:hint="eastAsia" w:ascii="宋体" w:hAnsi="宋体" w:cs="方正仿宋_GBK"/>
          <w:bCs/>
          <w:sz w:val="32"/>
          <w:szCs w:val="32"/>
        </w:rPr>
        <w:t>1.本合同与下列文件一起构成合同文件：</w:t>
      </w:r>
    </w:p>
    <w:p w14:paraId="3515648E">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（1）本项目竞争性比选文件；</w:t>
      </w:r>
    </w:p>
    <w:p w14:paraId="10BF6C10">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（2）成交通知书；</w:t>
      </w:r>
    </w:p>
    <w:p w14:paraId="1AA15870">
      <w:pPr>
        <w:spacing w:line="560" w:lineRule="exact"/>
        <w:ind w:firstLine="640" w:firstLineChars="200"/>
        <w:rPr>
          <w:rFonts w:hint="eastAsia" w:ascii="宋体" w:hAnsi="宋体" w:cs="方正仿宋_GBK"/>
          <w:sz w:val="32"/>
          <w:szCs w:val="32"/>
        </w:rPr>
      </w:pPr>
      <w:r>
        <w:rPr>
          <w:rFonts w:hint="eastAsia" w:ascii="宋体" w:hAnsi="宋体" w:cs="方正仿宋_GBK"/>
          <w:sz w:val="32"/>
          <w:szCs w:val="32"/>
        </w:rPr>
        <w:t xml:space="preserve">（3）乙方的响应文件。 </w:t>
      </w:r>
    </w:p>
    <w:p w14:paraId="3ACA8420">
      <w:pPr>
        <w:spacing w:line="560" w:lineRule="exact"/>
        <w:ind w:firstLine="640" w:firstLineChars="200"/>
        <w:rPr>
          <w:rFonts w:hint="eastAsia" w:ascii="宋体" w:hAnsi="宋体" w:cs="方正仿宋_GBK"/>
          <w:bCs/>
          <w:sz w:val="32"/>
          <w:szCs w:val="32"/>
        </w:rPr>
      </w:pPr>
      <w:r>
        <w:rPr>
          <w:rFonts w:hint="eastAsia" w:ascii="宋体" w:hAnsi="宋体" w:cs="方正仿宋_GBK"/>
          <w:sz w:val="32"/>
          <w:szCs w:val="32"/>
        </w:rPr>
        <w:t>2.在合同订立及履行过程中形成的与合同有关的文件均构成合同文件组成部分。若本合同、其他协议与本工程项目竞争性比选文件有冲突之处，以竞争性比选文件为准。</w:t>
      </w:r>
    </w:p>
    <w:p w14:paraId="063B8563">
      <w:pPr>
        <w:spacing w:line="560" w:lineRule="exact"/>
        <w:ind w:firstLine="641"/>
        <w:rPr>
          <w:rFonts w:hint="eastAsia" w:ascii="宋体" w:hAnsi="宋体" w:cs="方正仿宋_GBK"/>
          <w:b/>
          <w:sz w:val="32"/>
          <w:szCs w:val="32"/>
        </w:rPr>
      </w:pPr>
      <w:bookmarkStart w:id="298" w:name="_Toc351203489"/>
      <w:r>
        <w:rPr>
          <w:rFonts w:hint="eastAsia" w:ascii="宋体" w:hAnsi="宋体" w:cs="方正仿宋_GBK"/>
          <w:b/>
          <w:sz w:val="32"/>
          <w:szCs w:val="32"/>
        </w:rPr>
        <w:t>十六、</w:t>
      </w:r>
      <w:bookmarkEnd w:id="298"/>
      <w:r>
        <w:rPr>
          <w:rFonts w:hint="eastAsia" w:ascii="宋体" w:hAnsi="宋体" w:cs="方正仿宋_GBK"/>
          <w:b/>
          <w:sz w:val="32"/>
          <w:szCs w:val="32"/>
        </w:rPr>
        <w:t>其他</w:t>
      </w:r>
    </w:p>
    <w:p w14:paraId="3478DE90">
      <w:pPr>
        <w:spacing w:line="560" w:lineRule="exact"/>
        <w:rPr>
          <w:rFonts w:hint="eastAsia" w:ascii="宋体" w:hAnsi="宋体" w:cs="方正仿宋_GBK"/>
          <w:bCs/>
          <w:sz w:val="32"/>
          <w:szCs w:val="32"/>
        </w:rPr>
      </w:pPr>
      <w:r>
        <w:rPr>
          <w:rFonts w:hint="eastAsia" w:ascii="宋体" w:hAnsi="宋体" w:cs="方正仿宋_GBK"/>
          <w:bCs/>
          <w:sz w:val="32"/>
          <w:szCs w:val="32"/>
        </w:rPr>
        <w:t xml:space="preserve">    1.本合同未尽事宜，合同当事人另行签订补充协议，补充协议是合同的组成部分。</w:t>
      </w:r>
    </w:p>
    <w:p w14:paraId="1BFF0B9D">
      <w:pPr>
        <w:spacing w:line="560" w:lineRule="exact"/>
        <w:ind w:firstLine="640" w:firstLineChars="200"/>
        <w:rPr>
          <w:rFonts w:hint="eastAsia" w:ascii="宋体" w:hAnsi="宋体" w:cs="方正仿宋_GBK"/>
          <w:bCs/>
          <w:sz w:val="32"/>
          <w:szCs w:val="32"/>
        </w:rPr>
      </w:pPr>
      <w:r>
        <w:rPr>
          <w:rFonts w:hint="eastAsia" w:ascii="宋体" w:hAnsi="宋体" w:cs="方正仿宋_GBK"/>
          <w:bCs/>
          <w:sz w:val="32"/>
          <w:szCs w:val="32"/>
        </w:rPr>
        <w:t>2.本合同自双方签订之日起成立并生效。</w:t>
      </w:r>
    </w:p>
    <w:p w14:paraId="226D3C96">
      <w:pPr>
        <w:spacing w:line="560" w:lineRule="exact"/>
        <w:ind w:firstLine="640" w:firstLineChars="200"/>
        <w:rPr>
          <w:rFonts w:hint="eastAsia" w:ascii="宋体" w:hAnsi="宋体" w:cs="方正仿宋_GBK"/>
          <w:bCs/>
          <w:sz w:val="32"/>
          <w:szCs w:val="32"/>
        </w:rPr>
      </w:pPr>
      <w:r>
        <w:rPr>
          <w:rFonts w:hint="eastAsia" w:ascii="宋体" w:hAnsi="宋体" w:cs="方正仿宋_GBK"/>
          <w:bCs/>
          <w:sz w:val="32"/>
          <w:szCs w:val="32"/>
        </w:rPr>
        <w:t>3.本合同一式</w:t>
      </w:r>
      <w:r>
        <w:rPr>
          <w:rFonts w:hint="eastAsia" w:ascii="宋体" w:hAnsi="宋体" w:cs="方正仿宋_GBK"/>
          <w:bCs/>
          <w:sz w:val="32"/>
          <w:szCs w:val="32"/>
          <w:u w:val="single"/>
        </w:rPr>
        <w:t xml:space="preserve"> 4 </w:t>
      </w:r>
      <w:r>
        <w:rPr>
          <w:rFonts w:hint="eastAsia" w:ascii="宋体" w:hAnsi="宋体" w:cs="方正仿宋_GBK"/>
          <w:bCs/>
          <w:sz w:val="32"/>
          <w:szCs w:val="32"/>
        </w:rPr>
        <w:t>份，均具有同等法律效力，甲方执</w:t>
      </w:r>
      <w:r>
        <w:rPr>
          <w:rFonts w:hint="eastAsia" w:ascii="宋体" w:hAnsi="宋体" w:cs="方正仿宋_GBK"/>
          <w:bCs/>
          <w:sz w:val="32"/>
          <w:szCs w:val="32"/>
          <w:u w:val="single"/>
        </w:rPr>
        <w:t xml:space="preserve"> 2 </w:t>
      </w:r>
      <w:r>
        <w:rPr>
          <w:rFonts w:hint="eastAsia" w:ascii="宋体" w:hAnsi="宋体" w:cs="方正仿宋_GBK"/>
          <w:bCs/>
          <w:sz w:val="32"/>
          <w:szCs w:val="32"/>
        </w:rPr>
        <w:t>份，乙方执</w:t>
      </w:r>
      <w:r>
        <w:rPr>
          <w:rFonts w:hint="eastAsia" w:ascii="宋体" w:hAnsi="宋体" w:cs="方正仿宋_GBK"/>
          <w:bCs/>
          <w:sz w:val="32"/>
          <w:szCs w:val="32"/>
          <w:u w:val="single"/>
        </w:rPr>
        <w:t xml:space="preserve"> 2 </w:t>
      </w:r>
      <w:r>
        <w:rPr>
          <w:rFonts w:hint="eastAsia" w:ascii="宋体" w:hAnsi="宋体" w:cs="方正仿宋_GBK"/>
          <w:bCs/>
          <w:sz w:val="32"/>
          <w:szCs w:val="32"/>
        </w:rPr>
        <w:t>份。</w:t>
      </w:r>
    </w:p>
    <w:p w14:paraId="53BA02F5">
      <w:pPr>
        <w:spacing w:line="560" w:lineRule="exact"/>
        <w:rPr>
          <w:rFonts w:hint="eastAsia" w:ascii="宋体" w:hAnsi="宋体" w:cs="方正仿宋_GBK"/>
          <w:b/>
          <w:sz w:val="32"/>
          <w:szCs w:val="32"/>
        </w:rPr>
      </w:pPr>
      <w:r>
        <w:rPr>
          <w:rFonts w:hint="eastAsia" w:ascii="宋体" w:hAnsi="宋体" w:cs="方正仿宋_GBK"/>
          <w:b/>
          <w:sz w:val="32"/>
          <w:szCs w:val="32"/>
        </w:rPr>
        <w:t>（以下无正文）</w:t>
      </w:r>
    </w:p>
    <w:p w14:paraId="22106140">
      <w:pPr>
        <w:spacing w:line="560" w:lineRule="exact"/>
        <w:rPr>
          <w:rFonts w:hint="eastAsia" w:ascii="宋体" w:hAnsi="宋体" w:cs="方正仿宋_GBK"/>
          <w:sz w:val="32"/>
          <w:szCs w:val="32"/>
        </w:rPr>
      </w:pPr>
    </w:p>
    <w:p w14:paraId="696F8B78">
      <w:pPr>
        <w:spacing w:line="660" w:lineRule="exact"/>
        <w:rPr>
          <w:rFonts w:hint="eastAsia" w:ascii="宋体" w:hAnsi="宋体" w:cs="方正仿宋_GBK"/>
          <w:sz w:val="32"/>
          <w:szCs w:val="32"/>
          <w:u w:val="single"/>
        </w:rPr>
      </w:pPr>
      <w:r>
        <w:rPr>
          <w:rFonts w:hint="eastAsia" w:ascii="宋体" w:hAnsi="宋体" w:cs="方正仿宋_GBK"/>
          <w:sz w:val="32"/>
          <w:szCs w:val="32"/>
        </w:rPr>
        <w:t>甲      方：</w:t>
      </w:r>
      <w:r>
        <w:rPr>
          <w:rFonts w:hint="eastAsia" w:ascii="宋体" w:hAnsi="宋体" w:cs="方正仿宋_GBK"/>
          <w:sz w:val="32"/>
          <w:szCs w:val="32"/>
          <w:u w:val="single"/>
        </w:rPr>
        <w:t xml:space="preserve">              </w:t>
      </w:r>
      <w:r>
        <w:rPr>
          <w:rFonts w:hint="eastAsia" w:ascii="宋体" w:hAnsi="宋体" w:cs="方正仿宋_GBK"/>
          <w:sz w:val="32"/>
          <w:szCs w:val="32"/>
        </w:rPr>
        <w:t xml:space="preserve">    乙      方：</w:t>
      </w:r>
      <w:r>
        <w:rPr>
          <w:rFonts w:hint="eastAsia" w:ascii="宋体" w:hAnsi="宋体" w:cs="方正仿宋_GBK"/>
          <w:sz w:val="32"/>
          <w:szCs w:val="32"/>
          <w:u w:val="single"/>
        </w:rPr>
        <w:t xml:space="preserve">                  </w:t>
      </w:r>
      <w:r>
        <w:rPr>
          <w:rFonts w:hint="eastAsia" w:ascii="宋体" w:hAnsi="宋体" w:cs="方正仿宋_GBK"/>
          <w:sz w:val="32"/>
          <w:szCs w:val="32"/>
        </w:rPr>
        <w:t xml:space="preserve">                               </w:t>
      </w:r>
    </w:p>
    <w:p w14:paraId="774675C6">
      <w:pPr>
        <w:spacing w:line="660" w:lineRule="exact"/>
        <w:rPr>
          <w:rFonts w:hint="eastAsia" w:ascii="宋体" w:hAnsi="宋体" w:cs="方正仿宋_GBK"/>
          <w:sz w:val="32"/>
          <w:szCs w:val="32"/>
        </w:rPr>
      </w:pPr>
      <w:r>
        <w:rPr>
          <w:rFonts w:hint="eastAsia" w:ascii="宋体" w:hAnsi="宋体" w:cs="方正仿宋_GBK"/>
          <w:sz w:val="32"/>
          <w:szCs w:val="32"/>
        </w:rPr>
        <w:t>法定代表人：</w:t>
      </w:r>
      <w:r>
        <w:rPr>
          <w:rFonts w:hint="eastAsia" w:ascii="宋体" w:hAnsi="宋体" w:cs="方正仿宋_GBK"/>
          <w:sz w:val="32"/>
          <w:szCs w:val="32"/>
          <w:u w:val="single"/>
        </w:rPr>
        <w:t xml:space="preserve">              </w:t>
      </w:r>
      <w:r>
        <w:rPr>
          <w:rFonts w:hint="eastAsia" w:ascii="宋体" w:hAnsi="宋体" w:cs="方正仿宋_GBK"/>
          <w:sz w:val="32"/>
          <w:szCs w:val="32"/>
        </w:rPr>
        <w:t xml:space="preserve">    法定代表人：</w:t>
      </w:r>
      <w:r>
        <w:rPr>
          <w:rFonts w:hint="eastAsia" w:ascii="宋体" w:hAnsi="宋体" w:cs="方正仿宋_GBK"/>
          <w:sz w:val="32"/>
          <w:szCs w:val="32"/>
          <w:u w:val="single"/>
        </w:rPr>
        <w:t xml:space="preserve">              </w:t>
      </w:r>
    </w:p>
    <w:p w14:paraId="65211E72">
      <w:pPr>
        <w:spacing w:line="660" w:lineRule="exact"/>
        <w:rPr>
          <w:rFonts w:hint="eastAsia" w:ascii="宋体" w:hAnsi="宋体" w:cs="方正仿宋_GBK"/>
          <w:sz w:val="32"/>
          <w:szCs w:val="32"/>
        </w:rPr>
      </w:pPr>
      <w:r>
        <w:rPr>
          <w:rFonts w:hint="eastAsia" w:ascii="宋体" w:hAnsi="宋体" w:cs="方正仿宋_GBK"/>
          <w:sz w:val="32"/>
          <w:szCs w:val="32"/>
        </w:rPr>
        <w:t>委托代理人：</w:t>
      </w:r>
      <w:r>
        <w:rPr>
          <w:rFonts w:hint="eastAsia" w:ascii="宋体" w:hAnsi="宋体" w:cs="方正仿宋_GBK"/>
          <w:sz w:val="32"/>
          <w:szCs w:val="32"/>
          <w:u w:val="single"/>
        </w:rPr>
        <w:t xml:space="preserve">              </w:t>
      </w:r>
      <w:r>
        <w:rPr>
          <w:rFonts w:hint="eastAsia" w:ascii="宋体" w:hAnsi="宋体" w:cs="方正仿宋_GBK"/>
          <w:sz w:val="32"/>
          <w:szCs w:val="32"/>
        </w:rPr>
        <w:t xml:space="preserve">    委托代理人：</w:t>
      </w:r>
      <w:r>
        <w:rPr>
          <w:rFonts w:hint="eastAsia" w:ascii="宋体" w:hAnsi="宋体" w:cs="方正仿宋_GBK"/>
          <w:sz w:val="32"/>
          <w:szCs w:val="32"/>
          <w:u w:val="single"/>
        </w:rPr>
        <w:t xml:space="preserve">                  </w:t>
      </w:r>
    </w:p>
    <w:p w14:paraId="4299DC72">
      <w:pPr>
        <w:spacing w:line="560" w:lineRule="exact"/>
        <w:rPr>
          <w:rFonts w:hint="eastAsia" w:ascii="宋体" w:hAnsi="宋体" w:cs="方正仿宋_GBK"/>
          <w:bCs/>
          <w:sz w:val="32"/>
          <w:szCs w:val="32"/>
        </w:rPr>
      </w:pPr>
      <w:r>
        <w:rPr>
          <w:rFonts w:hint="eastAsia" w:ascii="宋体" w:hAnsi="宋体" w:cs="方正仿宋_GBK"/>
          <w:bCs/>
          <w:sz w:val="32"/>
          <w:szCs w:val="32"/>
        </w:rPr>
        <w:t>电      话：</w:t>
      </w:r>
      <w:r>
        <w:rPr>
          <w:rFonts w:hint="eastAsia" w:ascii="宋体" w:hAnsi="宋体" w:cs="方正仿宋_GBK"/>
          <w:bCs/>
          <w:sz w:val="32"/>
          <w:szCs w:val="32"/>
          <w:u w:val="single"/>
        </w:rPr>
        <w:t xml:space="preserve">              </w:t>
      </w:r>
      <w:r>
        <w:rPr>
          <w:rFonts w:hint="eastAsia" w:ascii="宋体" w:hAnsi="宋体" w:cs="方正仿宋_GBK"/>
          <w:bCs/>
          <w:sz w:val="32"/>
          <w:szCs w:val="32"/>
        </w:rPr>
        <w:t xml:space="preserve">    电      话：</w:t>
      </w:r>
      <w:r>
        <w:rPr>
          <w:rFonts w:hint="eastAsia" w:ascii="宋体" w:hAnsi="宋体" w:cs="方正仿宋_GBK"/>
          <w:bCs/>
          <w:sz w:val="32"/>
          <w:szCs w:val="32"/>
          <w:u w:val="single"/>
        </w:rPr>
        <w:t xml:space="preserve">               </w:t>
      </w:r>
    </w:p>
    <w:p w14:paraId="23AAE3DF">
      <w:pPr>
        <w:spacing w:line="560" w:lineRule="exact"/>
        <w:rPr>
          <w:rFonts w:hint="eastAsia" w:ascii="宋体" w:hAnsi="宋体" w:cs="方正仿宋_GBK"/>
          <w:bCs/>
          <w:sz w:val="32"/>
          <w:szCs w:val="32"/>
        </w:rPr>
      </w:pPr>
    </w:p>
    <w:p w14:paraId="6DF4AF69">
      <w:pPr>
        <w:spacing w:line="560" w:lineRule="exact"/>
        <w:rPr>
          <w:rFonts w:hint="eastAsia" w:ascii="宋体" w:hAnsi="宋体" w:cs="方正仿宋_GBK"/>
          <w:bCs/>
          <w:sz w:val="32"/>
          <w:szCs w:val="32"/>
        </w:rPr>
      </w:pPr>
      <w:r>
        <w:rPr>
          <w:rFonts w:hint="eastAsia" w:ascii="宋体" w:hAnsi="宋体" w:cs="方正仿宋_GBK"/>
          <w:bCs/>
          <w:sz w:val="32"/>
          <w:szCs w:val="32"/>
        </w:rPr>
        <w:t>本合同签订时间：</w:t>
      </w:r>
      <w:r>
        <w:rPr>
          <w:rFonts w:hint="eastAsia" w:ascii="宋体" w:hAnsi="宋体" w:cs="方正仿宋_GBK"/>
          <w:bCs/>
          <w:sz w:val="32"/>
          <w:szCs w:val="32"/>
          <w:u w:val="single"/>
        </w:rPr>
        <w:t xml:space="preserve"> 2025 </w:t>
      </w:r>
      <w:r>
        <w:rPr>
          <w:rFonts w:hint="eastAsia" w:ascii="宋体" w:hAnsi="宋体" w:cs="方正仿宋_GBK"/>
          <w:bCs/>
          <w:sz w:val="32"/>
          <w:szCs w:val="32"/>
        </w:rPr>
        <w:t>年</w:t>
      </w:r>
      <w:r>
        <w:rPr>
          <w:rFonts w:hint="eastAsia" w:ascii="宋体" w:hAnsi="宋体" w:cs="方正仿宋_GBK"/>
          <w:bCs/>
          <w:sz w:val="32"/>
          <w:szCs w:val="32"/>
          <w:u w:val="single"/>
        </w:rPr>
        <w:t xml:space="preserve">     </w:t>
      </w:r>
      <w:r>
        <w:rPr>
          <w:rFonts w:hint="eastAsia" w:ascii="宋体" w:hAnsi="宋体" w:cs="方正仿宋_GBK"/>
          <w:bCs/>
          <w:sz w:val="32"/>
          <w:szCs w:val="32"/>
        </w:rPr>
        <w:t>月</w:t>
      </w:r>
      <w:r>
        <w:rPr>
          <w:rFonts w:hint="eastAsia" w:ascii="宋体" w:hAnsi="宋体" w:cs="方正仿宋_GBK"/>
          <w:bCs/>
          <w:sz w:val="32"/>
          <w:szCs w:val="32"/>
          <w:u w:val="single"/>
        </w:rPr>
        <w:t xml:space="preserve"> </w:t>
      </w:r>
      <w:r>
        <w:rPr>
          <w:rFonts w:hint="eastAsia" w:ascii="宋体" w:hAnsi="宋体" w:cs="方正仿宋_GBK"/>
          <w:bCs/>
          <w:sz w:val="32"/>
          <w:szCs w:val="32"/>
        </w:rPr>
        <w:t>日签订。</w:t>
      </w:r>
    </w:p>
    <w:p w14:paraId="5EFA4155">
      <w:pPr>
        <w:spacing w:line="560" w:lineRule="exact"/>
        <w:rPr>
          <w:rFonts w:hint="eastAsia" w:ascii="宋体" w:hAnsi="宋体" w:cs="仿宋"/>
          <w:sz w:val="32"/>
          <w:szCs w:val="32"/>
        </w:rPr>
      </w:pPr>
      <w:r>
        <w:rPr>
          <w:rFonts w:hint="eastAsia" w:ascii="宋体" w:hAnsi="宋体" w:cs="方正仿宋_GBK"/>
          <w:bCs/>
          <w:sz w:val="32"/>
          <w:szCs w:val="32"/>
        </w:rPr>
        <w:t xml:space="preserve">本合同签订地点：         </w:t>
      </w:r>
    </w:p>
    <w:p w14:paraId="41A95330">
      <w:pPr>
        <w:rPr>
          <w:rFonts w:hint="eastAsia" w:ascii="宋体" w:hAnsi="宋体"/>
        </w:rPr>
      </w:pPr>
    </w:p>
    <w:p w14:paraId="17E93534">
      <w:pPr>
        <w:pStyle w:val="2"/>
      </w:pPr>
    </w:p>
    <w:p w14:paraId="68AABA6B"/>
    <w:p w14:paraId="78BE935A">
      <w:pPr>
        <w:pStyle w:val="2"/>
      </w:pPr>
    </w:p>
    <w:p w14:paraId="4227E6E5"/>
    <w:p w14:paraId="0FD1BB22">
      <w:pPr>
        <w:pStyle w:val="2"/>
      </w:pPr>
    </w:p>
    <w:p w14:paraId="7C04B5F4">
      <w:pPr>
        <w:rPr>
          <w:rFonts w:hint="eastAsia" w:ascii="宋体" w:hAnsi="宋体"/>
        </w:rPr>
      </w:pPr>
    </w:p>
    <w:p w14:paraId="5BC55118">
      <w:pPr>
        <w:pStyle w:val="4"/>
        <w:spacing w:before="0" w:after="0" w:line="360" w:lineRule="auto"/>
        <w:jc w:val="center"/>
        <w:rPr>
          <w:rFonts w:hint="eastAsia" w:ascii="宋体" w:hAnsi="宋体" w:eastAsia="宋体"/>
          <w:b w:val="0"/>
          <w:sz w:val="36"/>
          <w:szCs w:val="30"/>
        </w:rPr>
      </w:pPr>
      <w:bookmarkStart w:id="299" w:name="_Toc215158867"/>
      <w:r>
        <w:rPr>
          <w:rFonts w:hint="eastAsia" w:ascii="宋体" w:hAnsi="宋体" w:eastAsia="宋体"/>
          <w:b w:val="0"/>
          <w:sz w:val="36"/>
          <w:szCs w:val="30"/>
        </w:rPr>
        <w:t>第七篇  响应文件格式要求</w:t>
      </w:r>
      <w:bookmarkEnd w:id="284"/>
      <w:bookmarkEnd w:id="285"/>
      <w:bookmarkEnd w:id="286"/>
      <w:bookmarkEnd w:id="287"/>
      <w:bookmarkEnd w:id="288"/>
      <w:bookmarkEnd w:id="289"/>
      <w:bookmarkEnd w:id="290"/>
      <w:bookmarkEnd w:id="299"/>
    </w:p>
    <w:p w14:paraId="3BC4DE82">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14:paraId="0A99046F">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2B4BDCAF">
      <w:pPr>
        <w:spacing w:line="400" w:lineRule="exact"/>
        <w:ind w:firstLine="482" w:firstLineChars="200"/>
        <w:rPr>
          <w:rFonts w:hint="eastAsia" w:ascii="宋体" w:hAnsi="宋体"/>
          <w:b/>
          <w:sz w:val="24"/>
          <w:szCs w:val="24"/>
        </w:rPr>
      </w:pPr>
      <w:r>
        <w:rPr>
          <w:rFonts w:hint="eastAsia" w:ascii="宋体" w:hAnsi="宋体"/>
          <w:b/>
          <w:sz w:val="24"/>
          <w:szCs w:val="24"/>
        </w:rPr>
        <w:t>二、技术（质量）部分</w:t>
      </w:r>
    </w:p>
    <w:p w14:paraId="185DEE8F">
      <w:pPr>
        <w:spacing w:line="400" w:lineRule="exact"/>
        <w:ind w:firstLine="480" w:firstLineChars="200"/>
        <w:rPr>
          <w:rFonts w:hint="eastAsia" w:ascii="宋体" w:hAnsi="宋体"/>
          <w:sz w:val="24"/>
          <w:szCs w:val="24"/>
        </w:rPr>
      </w:pPr>
      <w:r>
        <w:rPr>
          <w:rFonts w:hint="eastAsia" w:ascii="宋体" w:hAnsi="宋体"/>
          <w:sz w:val="24"/>
          <w:szCs w:val="24"/>
        </w:rPr>
        <w:t>（一）技术响应承诺</w:t>
      </w:r>
    </w:p>
    <w:p w14:paraId="66959447">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14:paraId="136647B4">
      <w:pPr>
        <w:spacing w:line="400" w:lineRule="exact"/>
        <w:ind w:firstLine="482" w:firstLineChars="200"/>
        <w:rPr>
          <w:rFonts w:hint="eastAsia" w:ascii="宋体" w:hAnsi="宋体"/>
          <w:b/>
          <w:sz w:val="24"/>
          <w:szCs w:val="24"/>
        </w:rPr>
      </w:pPr>
      <w:r>
        <w:rPr>
          <w:rFonts w:hint="eastAsia" w:ascii="宋体" w:hAnsi="宋体"/>
          <w:b/>
          <w:sz w:val="24"/>
          <w:szCs w:val="24"/>
        </w:rPr>
        <w:t>三、服务部分</w:t>
      </w:r>
    </w:p>
    <w:p w14:paraId="55D98B0C">
      <w:pPr>
        <w:spacing w:line="400" w:lineRule="exact"/>
        <w:ind w:firstLine="480" w:firstLineChars="200"/>
        <w:rPr>
          <w:rFonts w:hint="eastAsia" w:ascii="宋体" w:hAnsi="宋体"/>
          <w:sz w:val="24"/>
          <w:szCs w:val="24"/>
        </w:rPr>
      </w:pPr>
      <w:r>
        <w:rPr>
          <w:rFonts w:hint="eastAsia" w:ascii="宋体" w:hAnsi="宋体"/>
          <w:sz w:val="24"/>
          <w:szCs w:val="24"/>
        </w:rPr>
        <w:t>（一）服务响应承诺</w:t>
      </w:r>
    </w:p>
    <w:p w14:paraId="15B83037">
      <w:pPr>
        <w:spacing w:line="400" w:lineRule="exact"/>
        <w:ind w:firstLine="480" w:firstLineChars="200"/>
        <w:rPr>
          <w:rFonts w:hint="eastAsia" w:ascii="宋体" w:hAnsi="宋体"/>
          <w:sz w:val="24"/>
          <w:szCs w:val="24"/>
        </w:rPr>
      </w:pPr>
      <w:r>
        <w:rPr>
          <w:rFonts w:hint="eastAsia" w:ascii="宋体" w:hAnsi="宋体"/>
          <w:sz w:val="24"/>
          <w:szCs w:val="24"/>
        </w:rPr>
        <w:t>（二）其它优惠服务承诺（格式自定）</w:t>
      </w:r>
    </w:p>
    <w:p w14:paraId="561E7430">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14:paraId="695C36D8">
      <w:pPr>
        <w:snapToGrid w:val="0"/>
        <w:spacing w:line="400" w:lineRule="exact"/>
        <w:ind w:firstLine="480" w:firstLineChars="200"/>
        <w:rPr>
          <w:rFonts w:hint="eastAsia" w:ascii="宋体" w:hAnsi="宋体"/>
          <w:sz w:val="24"/>
          <w:szCs w:val="24"/>
        </w:rPr>
      </w:pPr>
      <w:r>
        <w:rPr>
          <w:rFonts w:hint="eastAsia" w:ascii="宋体" w:hAnsi="宋体"/>
          <w:sz w:val="24"/>
          <w:szCs w:val="24"/>
        </w:rPr>
        <w:t>（一）法人营业执照（副本）复印件</w:t>
      </w:r>
    </w:p>
    <w:p w14:paraId="11B0DB68">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14:paraId="48DDDD94">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14:paraId="028A4478">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14:paraId="0D7170EF">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14:paraId="54064349">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14:paraId="0F503CC9">
      <w:pPr>
        <w:spacing w:line="400" w:lineRule="exact"/>
        <w:ind w:firstLine="480" w:firstLineChars="200"/>
        <w:rPr>
          <w:rFonts w:hint="eastAsia" w:ascii="宋体" w:hAnsi="宋体"/>
          <w:sz w:val="24"/>
          <w:szCs w:val="24"/>
        </w:rPr>
      </w:pPr>
      <w:r>
        <w:rPr>
          <w:rFonts w:hint="eastAsia" w:ascii="宋体" w:hAnsi="宋体"/>
          <w:sz w:val="24"/>
          <w:szCs w:val="24"/>
        </w:rPr>
        <w:t>（一）其他与项目有关的资料（自附）</w:t>
      </w:r>
    </w:p>
    <w:p w14:paraId="1438A8C3">
      <w:pPr>
        <w:rPr>
          <w:rFonts w:hint="eastAsia" w:ascii="宋体" w:hAnsi="宋体"/>
          <w:sz w:val="24"/>
        </w:rPr>
      </w:pPr>
      <w:bookmarkStart w:id="300" w:name="_Toc26343"/>
      <w:bookmarkStart w:id="301" w:name="_Toc65660379"/>
      <w:bookmarkStart w:id="302" w:name="_Toc14244"/>
      <w:bookmarkStart w:id="303" w:name="_Toc313008356"/>
      <w:bookmarkStart w:id="304" w:name="_Toc20802"/>
      <w:bookmarkStart w:id="305" w:name="_Toc313888360"/>
      <w:bookmarkStart w:id="306" w:name="_Toc30982"/>
      <w:bookmarkStart w:id="307" w:name="_Toc342913419"/>
      <w:bookmarkStart w:id="308" w:name="_Toc106034808"/>
      <w:bookmarkStart w:id="309" w:name="_Toc283382454"/>
      <w:bookmarkStart w:id="310" w:name="_Toc12789073"/>
      <w:r>
        <w:rPr>
          <w:rFonts w:hint="eastAsia" w:ascii="宋体" w:hAnsi="宋体"/>
          <w:sz w:val="24"/>
        </w:rPr>
        <w:br w:type="page"/>
      </w:r>
    </w:p>
    <w:p w14:paraId="5CAF0E17">
      <w:pPr>
        <w:pStyle w:val="4"/>
        <w:adjustRightInd w:val="0"/>
        <w:snapToGrid w:val="0"/>
        <w:spacing w:before="0" w:after="0" w:line="400" w:lineRule="exact"/>
        <w:ind w:firstLine="482" w:firstLineChars="200"/>
        <w:rPr>
          <w:rFonts w:hint="eastAsia" w:ascii="宋体" w:hAnsi="宋体" w:eastAsia="宋体"/>
          <w:sz w:val="24"/>
        </w:rPr>
      </w:pPr>
      <w:bookmarkStart w:id="311" w:name="_Toc215158868"/>
      <w:r>
        <w:rPr>
          <w:rFonts w:hint="eastAsia" w:ascii="宋体" w:hAnsi="宋体" w:eastAsia="宋体"/>
          <w:sz w:val="24"/>
        </w:rPr>
        <w:t>一、经济部分</w:t>
      </w:r>
      <w:bookmarkEnd w:id="300"/>
      <w:bookmarkEnd w:id="301"/>
      <w:bookmarkEnd w:id="302"/>
      <w:bookmarkEnd w:id="303"/>
      <w:bookmarkEnd w:id="304"/>
      <w:bookmarkEnd w:id="305"/>
      <w:bookmarkEnd w:id="306"/>
      <w:bookmarkEnd w:id="307"/>
      <w:bookmarkEnd w:id="308"/>
      <w:bookmarkEnd w:id="311"/>
    </w:p>
    <w:bookmarkEnd w:id="309"/>
    <w:bookmarkEnd w:id="310"/>
    <w:p w14:paraId="42BC6C9C">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519F77DC">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14:paraId="6DC60EEE">
      <w:pPr>
        <w:tabs>
          <w:tab w:val="left" w:pos="6300"/>
        </w:tabs>
        <w:snapToGrid w:val="0"/>
        <w:spacing w:line="312" w:lineRule="auto"/>
        <w:rPr>
          <w:rFonts w:hint="eastAsia" w:ascii="宋体" w:hAnsi="宋体"/>
          <w:sz w:val="24"/>
          <w:szCs w:val="24"/>
        </w:rPr>
      </w:pPr>
      <w:r>
        <w:rPr>
          <w:rFonts w:hint="eastAsia" w:ascii="宋体" w:hAnsi="宋体"/>
          <w:sz w:val="24"/>
          <w:szCs w:val="24"/>
          <w:u w:val="single"/>
        </w:rPr>
        <w:t>（招标代理机构名称）</w:t>
      </w:r>
      <w:r>
        <w:rPr>
          <w:rFonts w:hint="eastAsia" w:ascii="宋体" w:hAnsi="宋体"/>
          <w:sz w:val="24"/>
          <w:szCs w:val="24"/>
        </w:rPr>
        <w:t>：</w:t>
      </w:r>
    </w:p>
    <w:p w14:paraId="6237C2C2">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我方收到____________________________（比选项目名称）的竞争性比选文件，经详细研究，决定参加该比选项目的报价。</w:t>
      </w:r>
    </w:p>
    <w:p w14:paraId="103787E3">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1.愿意按照竞争性比选文件中的一切要求，提供本项目的技术服务，项目最终报价（总价）为人民币大写：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w:t>
      </w:r>
    </w:p>
    <w:p w14:paraId="3D64C929">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w:t>
      </w:r>
    </w:p>
    <w:p w14:paraId="5E85FE7D">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14:paraId="5580DE05">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4.我方完全理解和接受贵方竞争性比选文件的一切规定和要求及评审办法。</w:t>
      </w:r>
    </w:p>
    <w:p w14:paraId="4BD25323">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5.在整个比选过程中，我方若有违规行为，接受按照《中华人民共和国政府采购法》和《竞争性比选文件》之规定给予惩罚。</w:t>
      </w:r>
    </w:p>
    <w:p w14:paraId="5ECC4014">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6.我方若成为中标人，将按照最终报价结果签订合同，并且严格履行合同义务。本承诺函将成为合同不可分割的一部分，与合同具有同等的法律效力。</w:t>
      </w:r>
    </w:p>
    <w:p w14:paraId="5CC31B5A">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7.我方同意按竞争性比选文件规定，交纳竞争性比选文件要求的保证金。如果我方成为中标人，保证在接到中标通知书后，向招标代理机构和交易中心缴纳竞争性比选文件规定的采购代理服务费和交易服务费。</w:t>
      </w:r>
    </w:p>
    <w:p w14:paraId="43FD2E9A">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14:paraId="62F19ACB">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投标人（公章）：</w:t>
      </w:r>
    </w:p>
    <w:p w14:paraId="69CC3735">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14:paraId="5A6EE7CF">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14:paraId="6BBFDE31">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14:paraId="3ABBF084">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14:paraId="5706D563">
      <w:pPr>
        <w:pStyle w:val="2"/>
        <w:rPr>
          <w:rFonts w:hint="eastAsia" w:ascii="宋体" w:hAnsi="宋体" w:eastAsia="宋体"/>
        </w:rPr>
      </w:pPr>
    </w:p>
    <w:p w14:paraId="3C352436">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14:paraId="5DBAFF03">
      <w:pPr>
        <w:pStyle w:val="4"/>
        <w:adjustRightInd w:val="0"/>
        <w:snapToGrid w:val="0"/>
        <w:spacing w:before="0" w:after="0" w:line="400" w:lineRule="exact"/>
        <w:ind w:firstLine="482" w:firstLineChars="200"/>
        <w:rPr>
          <w:rFonts w:hint="eastAsia" w:ascii="宋体" w:hAnsi="宋体" w:eastAsia="宋体"/>
          <w:sz w:val="24"/>
        </w:rPr>
      </w:pPr>
      <w:bookmarkStart w:id="312" w:name="_Toc18111"/>
      <w:bookmarkStart w:id="313" w:name="_Toc26085"/>
      <w:bookmarkStart w:id="314" w:name="_Toc22655"/>
      <w:bookmarkStart w:id="315" w:name="_Toc342913420"/>
      <w:bookmarkStart w:id="316" w:name="_Toc313008357"/>
      <w:bookmarkStart w:id="317" w:name="_Toc14073"/>
      <w:bookmarkStart w:id="318" w:name="_Toc313888361"/>
      <w:bookmarkStart w:id="319" w:name="_Toc65660380"/>
      <w:bookmarkStart w:id="320" w:name="_Toc106034809"/>
      <w:bookmarkStart w:id="321" w:name="_Toc215158869"/>
      <w:r>
        <w:rPr>
          <w:rFonts w:hint="eastAsia" w:ascii="宋体" w:hAnsi="宋体" w:eastAsia="宋体"/>
          <w:sz w:val="24"/>
        </w:rPr>
        <w:t>二、技术部分</w:t>
      </w:r>
      <w:bookmarkEnd w:id="312"/>
      <w:bookmarkEnd w:id="313"/>
      <w:bookmarkEnd w:id="314"/>
      <w:bookmarkEnd w:id="315"/>
      <w:bookmarkEnd w:id="316"/>
      <w:bookmarkEnd w:id="317"/>
      <w:bookmarkEnd w:id="318"/>
      <w:bookmarkEnd w:id="319"/>
      <w:bookmarkEnd w:id="320"/>
      <w:bookmarkEnd w:id="321"/>
    </w:p>
    <w:p w14:paraId="69D5F64C">
      <w:pPr>
        <w:spacing w:line="400" w:lineRule="exact"/>
        <w:ind w:firstLine="480" w:firstLineChars="200"/>
        <w:rPr>
          <w:rFonts w:hint="eastAsia" w:ascii="宋体" w:hAnsi="宋体"/>
          <w:sz w:val="24"/>
          <w:szCs w:val="24"/>
        </w:rPr>
      </w:pPr>
      <w:r>
        <w:rPr>
          <w:rFonts w:hint="eastAsia" w:ascii="宋体" w:hAnsi="宋体"/>
          <w:sz w:val="24"/>
          <w:szCs w:val="24"/>
        </w:rPr>
        <w:t>（一）技术响应承诺</w:t>
      </w:r>
    </w:p>
    <w:p w14:paraId="5056A424">
      <w:pPr>
        <w:spacing w:line="500" w:lineRule="exact"/>
        <w:ind w:firstLine="703" w:firstLineChars="250"/>
        <w:jc w:val="center"/>
        <w:rPr>
          <w:rFonts w:hint="eastAsia" w:ascii="宋体" w:hAnsi="宋体"/>
          <w:sz w:val="24"/>
          <w:szCs w:val="24"/>
        </w:rPr>
      </w:pPr>
      <w:r>
        <w:rPr>
          <w:rFonts w:hint="eastAsia" w:ascii="宋体" w:hAnsi="宋体"/>
          <w:b/>
          <w:bCs/>
        </w:rPr>
        <w:t>技术响应承诺</w:t>
      </w:r>
    </w:p>
    <w:p w14:paraId="26E3CD73">
      <w:pPr>
        <w:spacing w:line="500" w:lineRule="exact"/>
        <w:rPr>
          <w:rFonts w:hint="eastAsia" w:ascii="宋体" w:hAnsi="宋体"/>
          <w:sz w:val="24"/>
          <w:szCs w:val="24"/>
        </w:rPr>
      </w:pPr>
      <w:r>
        <w:rPr>
          <w:rFonts w:hint="eastAsia" w:ascii="宋体" w:hAnsi="宋体"/>
          <w:sz w:val="24"/>
          <w:szCs w:val="24"/>
        </w:rPr>
        <w:t xml:space="preserve">致 </w:t>
      </w:r>
      <w:r>
        <w:rPr>
          <w:rFonts w:hint="eastAsia" w:ascii="宋体" w:hAnsi="宋体"/>
          <w:sz w:val="24"/>
          <w:szCs w:val="24"/>
          <w:u w:val="single"/>
        </w:rPr>
        <w:t xml:space="preserve">                  </w:t>
      </w:r>
      <w:r>
        <w:rPr>
          <w:rFonts w:hint="eastAsia" w:ascii="宋体" w:hAnsi="宋体"/>
          <w:sz w:val="24"/>
          <w:szCs w:val="24"/>
        </w:rPr>
        <w:t>（招标人名称）：</w:t>
      </w:r>
    </w:p>
    <w:p w14:paraId="0C4D7C7D">
      <w:pPr>
        <w:spacing w:line="500" w:lineRule="exact"/>
        <w:ind w:firstLine="600" w:firstLineChars="250"/>
        <w:rPr>
          <w:rFonts w:hint="eastAsia" w:ascii="宋体" w:hAnsi="宋体"/>
          <w:sz w:val="24"/>
          <w:szCs w:val="28"/>
        </w:rPr>
      </w:pPr>
      <w:r>
        <w:rPr>
          <w:rFonts w:hint="eastAsia" w:ascii="宋体" w:hAnsi="宋体"/>
          <w:sz w:val="24"/>
          <w:szCs w:val="24"/>
          <w:u w:val="single"/>
        </w:rPr>
        <w:t xml:space="preserve">                  </w:t>
      </w:r>
      <w:r>
        <w:rPr>
          <w:rFonts w:hint="eastAsia" w:ascii="宋体" w:hAnsi="宋体"/>
          <w:sz w:val="24"/>
          <w:szCs w:val="24"/>
        </w:rPr>
        <w:t>（投标人名称）郑重承诺完全响应“第二篇 比选项目技术需求”规定全部内容，具体如下：</w:t>
      </w:r>
    </w:p>
    <w:p w14:paraId="13AD745F">
      <w:pPr>
        <w:pStyle w:val="4"/>
        <w:adjustRightInd w:val="0"/>
        <w:snapToGrid w:val="0"/>
        <w:spacing w:line="400" w:lineRule="exact"/>
        <w:ind w:firstLine="482" w:firstLineChars="200"/>
        <w:rPr>
          <w:rFonts w:hint="eastAsia" w:ascii="宋体" w:hAnsi="宋体" w:eastAsia="宋体" w:cs="宋体"/>
          <w:sz w:val="24"/>
        </w:rPr>
      </w:pPr>
      <w:r>
        <w:rPr>
          <w:rFonts w:hint="eastAsia" w:ascii="宋体" w:hAnsi="宋体" w:eastAsia="宋体"/>
          <w:sz w:val="24"/>
        </w:rPr>
        <w:t>一、采购</w:t>
      </w:r>
      <w:r>
        <w:rPr>
          <w:rFonts w:hint="eastAsia" w:ascii="宋体" w:hAnsi="宋体" w:eastAsia="宋体" w:cs="宋体"/>
          <w:sz w:val="24"/>
        </w:rPr>
        <w:t>范围及内容</w:t>
      </w:r>
    </w:p>
    <w:p w14:paraId="00561364">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水库监控系统、监控平台安装接入建设项目，包括付家石埂子水库、十路口水库、王家石坎水库室外视频监控及后台监控平台等，具体内容详见招标人提供的施工图纸、工程量清单等相关内容。</w:t>
      </w:r>
    </w:p>
    <w:p w14:paraId="0132A39F">
      <w:pPr>
        <w:pStyle w:val="4"/>
        <w:adjustRightInd w:val="0"/>
        <w:snapToGrid w:val="0"/>
        <w:spacing w:line="400" w:lineRule="exact"/>
        <w:ind w:firstLine="482" w:firstLineChars="200"/>
        <w:rPr>
          <w:rFonts w:hint="eastAsia" w:ascii="宋体" w:hAnsi="宋体" w:eastAsia="宋体"/>
          <w:sz w:val="24"/>
        </w:rPr>
      </w:pPr>
      <w:r>
        <w:rPr>
          <w:rFonts w:hint="eastAsia" w:ascii="宋体" w:hAnsi="宋体" w:eastAsia="宋体"/>
          <w:sz w:val="24"/>
        </w:rPr>
        <w:t>二、项目技术要求</w:t>
      </w:r>
    </w:p>
    <w:p w14:paraId="0EBBB866">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1.质量标准: 符合强制性质量标准，满足施工图和工程量清单要求，并达到合格标准。</w:t>
      </w:r>
    </w:p>
    <w:p w14:paraId="529DD44B">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2.缺陷责任期：24个月，自通过竣工验收之日起计算。</w:t>
      </w:r>
    </w:p>
    <w:p w14:paraId="0BE618FE">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3.建设工程在保修范围和保修期限内发生质量问题的,中标人应当履行保修义务,并对造成的损失承担赔偿责任。</w:t>
      </w:r>
    </w:p>
    <w:p w14:paraId="1559704A">
      <w:pPr>
        <w:pStyle w:val="4"/>
        <w:adjustRightInd w:val="0"/>
        <w:snapToGrid w:val="0"/>
        <w:spacing w:line="400" w:lineRule="exact"/>
        <w:ind w:firstLine="482" w:firstLineChars="200"/>
        <w:rPr>
          <w:rFonts w:hint="eastAsia" w:ascii="宋体" w:hAnsi="宋体" w:eastAsia="宋体"/>
          <w:sz w:val="24"/>
        </w:rPr>
      </w:pPr>
      <w:r>
        <w:rPr>
          <w:rFonts w:hint="eastAsia" w:ascii="宋体" w:hAnsi="宋体" w:eastAsia="宋体"/>
          <w:sz w:val="24"/>
        </w:rPr>
        <w:t>三、其他要求</w:t>
      </w:r>
    </w:p>
    <w:p w14:paraId="23357A36">
      <w:pPr>
        <w:pStyle w:val="33"/>
        <w:tabs>
          <w:tab w:val="left" w:pos="4905"/>
        </w:tabs>
        <w:adjustRightInd w:val="0"/>
        <w:spacing w:line="400" w:lineRule="exact"/>
        <w:ind w:firstLine="480" w:firstLineChars="200"/>
        <w:rPr>
          <w:rFonts w:hint="eastAsia" w:ascii="宋体" w:hAnsi="宋体" w:cs="宋体"/>
          <w:sz w:val="24"/>
          <w:szCs w:val="24"/>
        </w:rPr>
      </w:pPr>
      <w:r>
        <w:rPr>
          <w:rFonts w:hint="eastAsia" w:ascii="宋体" w:hAnsi="宋体" w:cs="宋体"/>
          <w:sz w:val="24"/>
          <w:szCs w:val="24"/>
        </w:rPr>
        <w:t>1.施工图和工程量清单中未明确的要求全部必须满足相应规范要求。</w:t>
      </w:r>
    </w:p>
    <w:p w14:paraId="559E2D5A">
      <w:pPr>
        <w:pStyle w:val="33"/>
        <w:tabs>
          <w:tab w:val="left" w:pos="4905"/>
        </w:tabs>
        <w:adjustRightInd w:val="0"/>
        <w:spacing w:line="400" w:lineRule="exact"/>
        <w:ind w:firstLine="480" w:firstLineChars="200"/>
        <w:rPr>
          <w:rFonts w:hint="eastAsia" w:ascii="宋体" w:hAnsi="宋体" w:cs="宋体"/>
          <w:sz w:val="24"/>
          <w:szCs w:val="24"/>
        </w:rPr>
      </w:pPr>
      <w:r>
        <w:rPr>
          <w:rFonts w:hint="eastAsia" w:ascii="宋体" w:hAnsi="宋体" w:cs="宋体"/>
          <w:sz w:val="24"/>
          <w:szCs w:val="24"/>
        </w:rPr>
        <w:t>2.本工程招标将设置全部清单综合单价最高限价，全部清单综合单价最高限价随工程量清单一起发布，投标人的每项清单综合单价报价不得超过每项清单综合单价最高限价。</w:t>
      </w:r>
    </w:p>
    <w:p w14:paraId="303EB754">
      <w:pPr>
        <w:pStyle w:val="33"/>
        <w:tabs>
          <w:tab w:val="left" w:pos="4905"/>
        </w:tabs>
        <w:adjustRightInd w:val="0"/>
        <w:spacing w:line="400" w:lineRule="exact"/>
        <w:ind w:firstLine="480" w:firstLineChars="200"/>
        <w:rPr>
          <w:rFonts w:hint="eastAsia" w:ascii="宋体" w:hAnsi="宋体"/>
          <w:sz w:val="24"/>
          <w:szCs w:val="28"/>
        </w:rPr>
      </w:pPr>
    </w:p>
    <w:p w14:paraId="710BDEFD">
      <w:pPr>
        <w:spacing w:line="500" w:lineRule="exact"/>
        <w:ind w:firstLine="600" w:firstLineChars="250"/>
        <w:rPr>
          <w:rFonts w:hint="eastAsia" w:ascii="宋体" w:hAnsi="宋体"/>
          <w:sz w:val="24"/>
          <w:szCs w:val="28"/>
        </w:rPr>
      </w:pPr>
      <w:r>
        <w:rPr>
          <w:rFonts w:hint="eastAsia" w:ascii="宋体" w:hAnsi="宋体"/>
          <w:sz w:val="24"/>
          <w:szCs w:val="28"/>
        </w:rPr>
        <w:t xml:space="preserve">投标人：                         </w:t>
      </w:r>
      <w:r>
        <w:rPr>
          <w:rFonts w:hint="eastAsia" w:ascii="宋体" w:hAnsi="宋体"/>
          <w:sz w:val="24"/>
          <w:szCs w:val="24"/>
        </w:rPr>
        <w:t>法定代表人（或其授权代表）</w:t>
      </w:r>
      <w:r>
        <w:rPr>
          <w:rFonts w:hint="eastAsia" w:ascii="宋体" w:hAnsi="宋体"/>
          <w:sz w:val="24"/>
          <w:szCs w:val="28"/>
        </w:rPr>
        <w:t>：</w:t>
      </w:r>
    </w:p>
    <w:p w14:paraId="6F768911">
      <w:pPr>
        <w:spacing w:line="500" w:lineRule="exact"/>
        <w:rPr>
          <w:rFonts w:hint="eastAsia" w:ascii="宋体" w:hAnsi="宋体"/>
          <w:sz w:val="24"/>
          <w:szCs w:val="28"/>
        </w:rPr>
      </w:pPr>
      <w:r>
        <w:rPr>
          <w:rFonts w:hint="eastAsia" w:ascii="宋体" w:hAnsi="宋体"/>
          <w:sz w:val="24"/>
          <w:szCs w:val="28"/>
        </w:rPr>
        <w:t xml:space="preserve">    </w:t>
      </w:r>
    </w:p>
    <w:p w14:paraId="31754671">
      <w:pPr>
        <w:spacing w:line="500" w:lineRule="exact"/>
        <w:ind w:firstLine="720" w:firstLineChars="300"/>
        <w:rPr>
          <w:rFonts w:hint="eastAsia" w:ascii="宋体" w:hAnsi="宋体"/>
          <w:sz w:val="24"/>
          <w:szCs w:val="28"/>
        </w:rPr>
      </w:pPr>
      <w:r>
        <w:rPr>
          <w:rFonts w:hint="eastAsia" w:ascii="宋体" w:hAnsi="宋体"/>
          <w:sz w:val="24"/>
          <w:szCs w:val="28"/>
        </w:rPr>
        <w:t>（投标人公章）                               （</w:t>
      </w:r>
      <w:r>
        <w:rPr>
          <w:rFonts w:hint="eastAsia" w:ascii="宋体" w:hAnsi="宋体"/>
          <w:sz w:val="24"/>
          <w:szCs w:val="24"/>
        </w:rPr>
        <w:t>签署</w:t>
      </w:r>
      <w:r>
        <w:rPr>
          <w:rFonts w:hint="eastAsia" w:ascii="宋体" w:hAnsi="宋体"/>
          <w:sz w:val="24"/>
          <w:szCs w:val="28"/>
        </w:rPr>
        <w:t>或盖章）</w:t>
      </w:r>
    </w:p>
    <w:p w14:paraId="7B1C1ADD">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003F8ADF">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14:paraId="20BF46C9">
      <w:pPr>
        <w:tabs>
          <w:tab w:val="left" w:pos="6300"/>
        </w:tabs>
        <w:snapToGrid w:val="0"/>
        <w:spacing w:line="500" w:lineRule="exact"/>
        <w:ind w:firstLine="480" w:firstLineChars="200"/>
        <w:rPr>
          <w:rFonts w:hint="eastAsia" w:ascii="宋体" w:hAnsi="宋体"/>
          <w:sz w:val="24"/>
          <w:szCs w:val="24"/>
        </w:rPr>
      </w:pPr>
    </w:p>
    <w:p w14:paraId="650B4238">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322" w:name="_Toc65660381"/>
      <w:bookmarkStart w:id="323" w:name="_Toc13029"/>
      <w:bookmarkStart w:id="324" w:name="_Toc32158"/>
      <w:bookmarkStart w:id="325" w:name="_Toc32339"/>
      <w:bookmarkStart w:id="326" w:name="_Toc106034810"/>
      <w:bookmarkStart w:id="327" w:name="_Toc27717"/>
      <w:bookmarkStart w:id="328" w:name="_Toc215158873"/>
      <w:bookmarkStart w:id="329" w:name="_Toc313008358"/>
      <w:bookmarkStart w:id="330" w:name="_Toc313888362"/>
      <w:bookmarkStart w:id="331" w:name="_Toc342913421"/>
      <w:r>
        <w:rPr>
          <w:rFonts w:hint="eastAsia" w:ascii="宋体" w:hAnsi="宋体" w:eastAsia="宋体"/>
          <w:sz w:val="24"/>
        </w:rPr>
        <w:t>三、服务部分</w:t>
      </w:r>
      <w:bookmarkEnd w:id="322"/>
      <w:bookmarkEnd w:id="323"/>
      <w:bookmarkEnd w:id="324"/>
      <w:bookmarkEnd w:id="325"/>
      <w:bookmarkEnd w:id="326"/>
      <w:bookmarkEnd w:id="327"/>
      <w:bookmarkEnd w:id="328"/>
    </w:p>
    <w:p w14:paraId="7BF84538">
      <w:pPr>
        <w:spacing w:line="400" w:lineRule="exact"/>
        <w:ind w:firstLine="480" w:firstLineChars="200"/>
        <w:rPr>
          <w:rFonts w:hint="eastAsia" w:ascii="宋体" w:hAnsi="宋体"/>
          <w:sz w:val="24"/>
          <w:szCs w:val="24"/>
        </w:rPr>
      </w:pPr>
      <w:r>
        <w:rPr>
          <w:rFonts w:hint="eastAsia" w:ascii="宋体" w:hAnsi="宋体"/>
          <w:sz w:val="24"/>
          <w:szCs w:val="24"/>
        </w:rPr>
        <w:t>（一）服务响应承诺</w:t>
      </w:r>
    </w:p>
    <w:p w14:paraId="7E845E3D">
      <w:pPr>
        <w:spacing w:line="400" w:lineRule="exact"/>
        <w:jc w:val="center"/>
        <w:rPr>
          <w:rFonts w:hint="eastAsia" w:ascii="宋体" w:hAnsi="宋体"/>
          <w:b/>
          <w:bCs/>
        </w:rPr>
      </w:pPr>
      <w:r>
        <w:rPr>
          <w:rFonts w:hint="eastAsia" w:ascii="宋体" w:hAnsi="宋体"/>
          <w:b/>
          <w:bCs/>
        </w:rPr>
        <w:t>服务响应承诺</w:t>
      </w:r>
    </w:p>
    <w:p w14:paraId="372055C1">
      <w:pPr>
        <w:tabs>
          <w:tab w:val="left" w:pos="6300"/>
        </w:tabs>
        <w:snapToGrid w:val="0"/>
        <w:spacing w:line="500" w:lineRule="exact"/>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（招标人名称）：</w:t>
      </w:r>
    </w:p>
    <w:p w14:paraId="6E868FDF">
      <w:pPr>
        <w:snapToGrid w:val="0"/>
        <w:spacing w:line="360" w:lineRule="auto"/>
        <w:ind w:firstLine="465"/>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（投标人名称）郑重承诺完全响应“第三篇  比选项目服务需求”规定全部内容，具体如下：</w:t>
      </w:r>
    </w:p>
    <w:p w14:paraId="3B4A5825">
      <w:pPr>
        <w:snapToGrid w:val="0"/>
        <w:spacing w:line="400" w:lineRule="exact"/>
        <w:ind w:firstLine="361" w:firstLineChars="150"/>
        <w:rPr>
          <w:rFonts w:hint="eastAsia" w:ascii="宋体" w:hAnsi="宋体"/>
          <w:b/>
          <w:sz w:val="24"/>
        </w:rPr>
      </w:pPr>
      <w:r>
        <w:rPr>
          <w:rFonts w:hint="eastAsia" w:ascii="宋体" w:hAnsi="宋体"/>
          <w:b/>
          <w:sz w:val="24"/>
        </w:rPr>
        <w:t>一、工期、地点及验收方式</w:t>
      </w:r>
    </w:p>
    <w:p w14:paraId="2E246047">
      <w:pPr>
        <w:snapToGrid w:val="0"/>
        <w:spacing w:line="400" w:lineRule="exact"/>
        <w:ind w:firstLine="360" w:firstLineChars="150"/>
        <w:rPr>
          <w:rFonts w:hint="eastAsia" w:ascii="宋体" w:hAnsi="宋体"/>
          <w:bCs/>
          <w:sz w:val="24"/>
        </w:rPr>
      </w:pPr>
      <w:r>
        <w:rPr>
          <w:rFonts w:hint="eastAsia" w:ascii="宋体" w:hAnsi="宋体"/>
          <w:bCs/>
          <w:sz w:val="24"/>
        </w:rPr>
        <w:t>（一）工期</w:t>
      </w:r>
    </w:p>
    <w:p w14:paraId="448E5FA8">
      <w:pPr>
        <w:snapToGrid w:val="0"/>
        <w:spacing w:line="400" w:lineRule="exact"/>
        <w:ind w:firstLine="360" w:firstLineChars="150"/>
        <w:rPr>
          <w:rFonts w:hint="eastAsia" w:ascii="宋体" w:hAnsi="宋体"/>
          <w:bCs/>
          <w:sz w:val="24"/>
        </w:rPr>
      </w:pPr>
      <w:r>
        <w:rPr>
          <w:rFonts w:hint="eastAsia" w:ascii="宋体" w:hAnsi="宋体"/>
          <w:bCs/>
          <w:sz w:val="24"/>
        </w:rPr>
        <w:t>60日历天。</w:t>
      </w:r>
    </w:p>
    <w:p w14:paraId="24F87E09">
      <w:pPr>
        <w:snapToGrid w:val="0"/>
        <w:spacing w:line="400" w:lineRule="exact"/>
        <w:ind w:firstLine="360" w:firstLineChars="150"/>
        <w:rPr>
          <w:rFonts w:hint="eastAsia" w:ascii="宋体" w:hAnsi="宋体"/>
          <w:bCs/>
          <w:sz w:val="24"/>
        </w:rPr>
      </w:pPr>
      <w:r>
        <w:rPr>
          <w:rFonts w:hint="eastAsia" w:ascii="宋体" w:hAnsi="宋体"/>
          <w:bCs/>
          <w:sz w:val="24"/>
        </w:rPr>
        <w:t>（二）工程地点</w:t>
      </w:r>
    </w:p>
    <w:p w14:paraId="6C07D61D">
      <w:pPr>
        <w:snapToGrid w:val="0"/>
        <w:spacing w:line="400" w:lineRule="exact"/>
        <w:ind w:firstLine="360" w:firstLineChars="150"/>
        <w:rPr>
          <w:rFonts w:hint="eastAsia" w:ascii="宋体" w:hAnsi="宋体"/>
          <w:bCs/>
          <w:sz w:val="24"/>
        </w:rPr>
      </w:pPr>
      <w:r>
        <w:rPr>
          <w:rFonts w:hint="eastAsia" w:ascii="宋体" w:hAnsi="宋体"/>
          <w:bCs/>
          <w:sz w:val="24"/>
        </w:rPr>
        <w:t>招标人指定地点</w:t>
      </w:r>
    </w:p>
    <w:p w14:paraId="03AE153E">
      <w:pPr>
        <w:snapToGrid w:val="0"/>
        <w:spacing w:line="400" w:lineRule="exact"/>
        <w:ind w:firstLine="360" w:firstLineChars="150"/>
        <w:rPr>
          <w:rFonts w:hint="eastAsia" w:ascii="宋体" w:hAnsi="宋体"/>
          <w:bCs/>
          <w:sz w:val="24"/>
        </w:rPr>
      </w:pPr>
      <w:r>
        <w:rPr>
          <w:rFonts w:hint="eastAsia" w:ascii="宋体" w:hAnsi="宋体"/>
          <w:bCs/>
          <w:sz w:val="24"/>
        </w:rPr>
        <w:t>（三）验收方式</w:t>
      </w:r>
    </w:p>
    <w:p w14:paraId="4871A4FE">
      <w:pPr>
        <w:snapToGrid w:val="0"/>
        <w:spacing w:line="400" w:lineRule="exact"/>
        <w:ind w:firstLine="360" w:firstLineChars="150"/>
        <w:rPr>
          <w:rFonts w:hint="eastAsia" w:ascii="宋体" w:hAnsi="宋体"/>
          <w:bCs/>
          <w:sz w:val="24"/>
        </w:rPr>
      </w:pPr>
      <w:r>
        <w:rPr>
          <w:rFonts w:hint="eastAsia" w:ascii="宋体" w:hAnsi="宋体"/>
          <w:bCs/>
          <w:sz w:val="24"/>
        </w:rPr>
        <w:t>工程完工后，按国家和招标人相关标准验收程序和规程进行验收。在项目竣工验收时，中标人应提供验收报告。</w:t>
      </w:r>
    </w:p>
    <w:p w14:paraId="4AD38A53">
      <w:pPr>
        <w:snapToGrid w:val="0"/>
        <w:spacing w:line="400" w:lineRule="exact"/>
        <w:ind w:firstLine="540"/>
        <w:rPr>
          <w:rFonts w:hint="eastAsia" w:ascii="宋体" w:hAnsi="宋体"/>
          <w:b/>
          <w:sz w:val="24"/>
        </w:rPr>
      </w:pPr>
      <w:r>
        <w:rPr>
          <w:rFonts w:hint="eastAsia" w:ascii="宋体" w:hAnsi="宋体"/>
          <w:b/>
          <w:sz w:val="24"/>
        </w:rPr>
        <w:t>二、报价要求</w:t>
      </w:r>
    </w:p>
    <w:p w14:paraId="306E7B21">
      <w:pPr>
        <w:snapToGrid w:val="0"/>
        <w:spacing w:line="400" w:lineRule="exact"/>
        <w:ind w:firstLine="540"/>
        <w:rPr>
          <w:rFonts w:hint="eastAsia" w:ascii="宋体" w:hAnsi="宋体"/>
          <w:bCs/>
          <w:sz w:val="24"/>
        </w:rPr>
      </w:pPr>
      <w:r>
        <w:rPr>
          <w:rFonts w:hint="eastAsia" w:ascii="宋体" w:hAnsi="宋体"/>
          <w:bCs/>
          <w:sz w:val="24"/>
        </w:rPr>
        <w:t>1.投标人应按附件“工程量清单”的要求填写相应清单表格。投标人的报价应是本工程合同段采购范围内的全部工程的报价，并以投标人在工程量清单中提出的单价或总价为依据。</w:t>
      </w:r>
    </w:p>
    <w:p w14:paraId="197666D3">
      <w:pPr>
        <w:snapToGrid w:val="0"/>
        <w:spacing w:line="400" w:lineRule="exact"/>
        <w:ind w:firstLine="540"/>
        <w:rPr>
          <w:rFonts w:hint="eastAsia" w:ascii="宋体" w:hAnsi="宋体"/>
          <w:bCs/>
          <w:sz w:val="24"/>
        </w:rPr>
      </w:pPr>
      <w:r>
        <w:rPr>
          <w:rFonts w:hint="eastAsia" w:ascii="宋体" w:hAnsi="宋体"/>
          <w:bCs/>
          <w:sz w:val="24"/>
        </w:rPr>
        <w:t>2报价依据：</w:t>
      </w:r>
    </w:p>
    <w:p w14:paraId="6E536B37">
      <w:pPr>
        <w:snapToGrid w:val="0"/>
        <w:spacing w:line="400" w:lineRule="exact"/>
        <w:ind w:firstLine="540"/>
        <w:rPr>
          <w:rFonts w:hint="eastAsia" w:ascii="宋体" w:hAnsi="宋体"/>
          <w:bCs/>
          <w:sz w:val="24"/>
        </w:rPr>
      </w:pPr>
      <w:r>
        <w:rPr>
          <w:rFonts w:hint="eastAsia" w:ascii="宋体" w:hAnsi="宋体"/>
          <w:bCs/>
          <w:sz w:val="24"/>
        </w:rPr>
        <w:t>2.1《建设工程工程量清单计价规范》（GB50500-2013）、《重庆市建设工程工程量清单计价规则》（CQJJGZ-2013）、《重庆市建设工程工程量计算规则》（CQJLGZ-2013）；《重庆市房屋建筑与装饰工程计价定额》（CQJZZSDE-2018）、《重庆市通用安装工程计价定额》（CQAZDE-2018）、《重庆市园林绿化工程计价定额》（CQYLLHDE-2018）、《重庆市建筑工程混凝土及砂浆配合比表定额》（CQPHBB-2018）、《重庆市建设工程施工机械台班定额》（CQJXDE-2018）、《重庆市建设工程费用定额》（CQFYDE-2018）、《重庆市市政工程计价定额》（CQSZDE-2018）、《重庆市绿色建筑工程计价定额》（CQLSJZDE-2018）、《重庆市构筑物工程计价定额》（CQGZWDE-2018）、《重庆市建设工程施工仪器仪表台班定额》（CQYQYBDE-2018）及其他配套文件；由投标人结合自身实力、市场行情自主合理报价。报价应包括完成招标范围内明示或暗示的工程项目的人工费、材料费、机械费、企业管理费、利润、风险费用、措施费（含安全文明施工费）、规费、税金、政策性文件规定等所有费用。投标人应认真填写工程量清单中所列的本合同各工程子项目的单价或总价。投标人没有填入单价或总价的工程子目，招标人将认为该子目的价款已包括在工程量清单其他子目的单价和总价中。投标人在工程量清单中多报的子目和单价或总价招标人将不予接受，并将被视为重大偏差，按响应文件无效处理。各投标人在编制报价时，不得改变招标人发布的工程量清单中的序号、项目编码、项目名称、项目特征、计量单位、工程量，否则视为对竞争性比选文件不作实质性响应，按无效响应处理。</w:t>
      </w:r>
    </w:p>
    <w:p w14:paraId="11451086">
      <w:pPr>
        <w:snapToGrid w:val="0"/>
        <w:spacing w:line="400" w:lineRule="exact"/>
        <w:ind w:firstLine="540"/>
        <w:rPr>
          <w:rFonts w:hint="eastAsia" w:ascii="宋体" w:hAnsi="宋体"/>
          <w:bCs/>
          <w:sz w:val="24"/>
        </w:rPr>
      </w:pPr>
      <w:r>
        <w:rPr>
          <w:rFonts w:hint="eastAsia" w:ascii="宋体" w:hAnsi="宋体"/>
          <w:bCs/>
          <w:sz w:val="24"/>
        </w:rPr>
        <w:t>2.2本工程人工单价由各投标人参照重庆市建设工程造价总站主办的《重庆工程造价》离本项目最近一期公布的市场人工信息价结合市场行情自主测算计入各分部分项综合单价中，成交后不再调整；</w:t>
      </w:r>
    </w:p>
    <w:p w14:paraId="21979BC1">
      <w:pPr>
        <w:snapToGrid w:val="0"/>
        <w:spacing w:line="400" w:lineRule="exact"/>
        <w:ind w:firstLine="540"/>
        <w:rPr>
          <w:rFonts w:hint="eastAsia" w:ascii="宋体" w:hAnsi="宋体"/>
          <w:bCs/>
          <w:sz w:val="24"/>
        </w:rPr>
      </w:pPr>
      <w:r>
        <w:rPr>
          <w:rFonts w:hint="eastAsia" w:ascii="宋体" w:hAnsi="宋体"/>
          <w:bCs/>
          <w:sz w:val="24"/>
        </w:rPr>
        <w:t>2.3本工程所需的材料、设备由各投标人参照重庆市建设工程造价总站主办的《重庆工程造价》离本项目最近一期公布的信息价并结合市场行情以及投标人的自身实力自主报价，并承担材料价格涨跌风险。成交后，材料、设备价格均不作调整；</w:t>
      </w:r>
    </w:p>
    <w:p w14:paraId="503F01FF">
      <w:pPr>
        <w:snapToGrid w:val="0"/>
        <w:spacing w:line="400" w:lineRule="exact"/>
        <w:ind w:firstLine="540"/>
        <w:rPr>
          <w:rFonts w:hint="eastAsia" w:ascii="宋体" w:hAnsi="宋体"/>
          <w:bCs/>
          <w:sz w:val="24"/>
        </w:rPr>
      </w:pPr>
      <w:r>
        <w:rPr>
          <w:rFonts w:hint="eastAsia" w:ascii="宋体" w:hAnsi="宋体"/>
          <w:bCs/>
          <w:sz w:val="24"/>
        </w:rPr>
        <w:t>（1）本工程所需材料、设备由中标人采购，但所采购的材料、设备必须符合国家规范标准及设计文件、竞争性比选文件要求，并提供相应合格证明资料、质保书，同时须报监理单位（有监理单位的情况下）和招标人批准同意后方可采购。</w:t>
      </w:r>
    </w:p>
    <w:p w14:paraId="1C3C6709">
      <w:pPr>
        <w:snapToGrid w:val="0"/>
        <w:spacing w:line="400" w:lineRule="exact"/>
        <w:ind w:firstLine="540"/>
        <w:rPr>
          <w:rFonts w:hint="eastAsia" w:ascii="宋体" w:hAnsi="宋体"/>
          <w:bCs/>
          <w:sz w:val="24"/>
        </w:rPr>
      </w:pPr>
      <w:r>
        <w:rPr>
          <w:rFonts w:hint="eastAsia" w:ascii="宋体" w:hAnsi="宋体"/>
          <w:bCs/>
          <w:sz w:val="24"/>
        </w:rPr>
        <w:t>（2）本工程材料、构件、成品及半成品的运输距离、仓储、保管、库损、二次及多次转运等由投标人根据自身情况及踏勘现场情况自行确定并综合考虑到报价中,不再另行计取。</w:t>
      </w:r>
    </w:p>
    <w:p w14:paraId="54497E1D">
      <w:pPr>
        <w:snapToGrid w:val="0"/>
        <w:spacing w:line="400" w:lineRule="exact"/>
        <w:ind w:firstLine="540"/>
        <w:rPr>
          <w:rFonts w:hint="eastAsia" w:ascii="宋体" w:hAnsi="宋体"/>
          <w:bCs/>
          <w:sz w:val="24"/>
        </w:rPr>
      </w:pPr>
      <w:r>
        <w:rPr>
          <w:rFonts w:hint="eastAsia" w:ascii="宋体" w:hAnsi="宋体"/>
          <w:bCs/>
          <w:sz w:val="24"/>
        </w:rPr>
        <w:t>（3）使用缺陷材料引起的返工、报废、工期延误等损失，由中标人自行承担。</w:t>
      </w:r>
    </w:p>
    <w:p w14:paraId="22780111">
      <w:pPr>
        <w:snapToGrid w:val="0"/>
        <w:spacing w:line="400" w:lineRule="exact"/>
        <w:ind w:firstLine="540"/>
        <w:rPr>
          <w:rFonts w:hint="eastAsia" w:ascii="宋体" w:hAnsi="宋体"/>
          <w:bCs/>
          <w:sz w:val="24"/>
        </w:rPr>
      </w:pPr>
      <w:r>
        <w:rPr>
          <w:rFonts w:hint="eastAsia" w:ascii="宋体" w:hAnsi="宋体"/>
          <w:bCs/>
          <w:sz w:val="24"/>
        </w:rPr>
        <w:t>2.4本工程安全文明施工费由招标人根据《建设工程工程量清单计价规范》（GB50500-2013）、《重庆市建设工程工程量清单计价规则》（CQJJGZ-2013）、《重庆市城乡建设委员会关于印发&lt;重庆市建设工程安全文明施工费计取及使用管理规定&gt;的通知》（渝建管〔2024〕38号）、《重庆市建设工程费用定额》（CQFYDE-2018）、《重庆市住房和城乡建设委员会关于适用增值税新税率调整建设工程计价依据的通知》（渝建〔2019〕143号）的相关规定和费用标准单列计算，安全文明施工费为暂定金额。投标人的报价函和工程量清单报价中的安全文明施工费必须按照招标人给出的暂定金额填报，否则视为对竞争性比选文件不作实质性响应，按无效响应处理。</w:t>
      </w:r>
    </w:p>
    <w:p w14:paraId="70CDBD8B">
      <w:pPr>
        <w:snapToGrid w:val="0"/>
        <w:spacing w:line="400" w:lineRule="exact"/>
        <w:ind w:firstLine="540"/>
        <w:rPr>
          <w:rFonts w:hint="eastAsia" w:ascii="宋体" w:hAnsi="宋体"/>
          <w:bCs/>
          <w:sz w:val="24"/>
        </w:rPr>
      </w:pPr>
      <w:r>
        <w:rPr>
          <w:rFonts w:hint="eastAsia" w:ascii="宋体" w:hAnsi="宋体"/>
          <w:bCs/>
          <w:sz w:val="24"/>
        </w:rPr>
        <w:t>2.5本工程采用增值税一般计税方法。</w:t>
      </w:r>
    </w:p>
    <w:p w14:paraId="1FED6B91">
      <w:pPr>
        <w:snapToGrid w:val="0"/>
        <w:spacing w:line="400" w:lineRule="exact"/>
        <w:ind w:firstLine="540"/>
        <w:rPr>
          <w:rFonts w:hint="eastAsia" w:ascii="宋体" w:hAnsi="宋体"/>
          <w:bCs/>
          <w:sz w:val="24"/>
        </w:rPr>
      </w:pPr>
      <w:r>
        <w:rPr>
          <w:rFonts w:hint="eastAsia" w:ascii="宋体" w:hAnsi="宋体"/>
          <w:bCs/>
          <w:sz w:val="24"/>
        </w:rPr>
        <w:t>3.工程量清单项、量、价</w:t>
      </w:r>
    </w:p>
    <w:p w14:paraId="72446D11">
      <w:pPr>
        <w:snapToGrid w:val="0"/>
        <w:spacing w:line="400" w:lineRule="exact"/>
        <w:ind w:firstLine="540"/>
        <w:rPr>
          <w:rFonts w:hint="eastAsia" w:ascii="宋体" w:hAnsi="宋体"/>
          <w:bCs/>
          <w:sz w:val="24"/>
        </w:rPr>
      </w:pPr>
      <w:r>
        <w:rPr>
          <w:rFonts w:hint="eastAsia" w:ascii="宋体" w:hAnsi="宋体"/>
          <w:bCs/>
          <w:sz w:val="24"/>
        </w:rPr>
        <w:t>3.1如果招标人提供的工程量清单中的清单项和工程量与施工图中工程量不一致，投标人应于竞争性比选文件中规定的时间前提出招标人询问，逾期未提出，招标人将视为各投标人对招标人提供的工程量无异议。除招标人对工程量清单主动更正或对投标人质疑作修改外，应以工程量清单中列出的工程量为准。投标人在编制报价时不得擅自变改招标人提供的分部分项工程量清单中的序号、项目编码、项目名称、项目特征、工程内容、工程量及计量单位，否则视为对竞争性比选文件不作实质性响应，其响应文件按无效响应处理。</w:t>
      </w:r>
    </w:p>
    <w:p w14:paraId="46192BBF">
      <w:pPr>
        <w:snapToGrid w:val="0"/>
        <w:spacing w:line="400" w:lineRule="exact"/>
        <w:ind w:firstLine="540"/>
        <w:rPr>
          <w:rFonts w:hint="eastAsia" w:ascii="宋体" w:hAnsi="宋体"/>
          <w:bCs/>
          <w:sz w:val="24"/>
        </w:rPr>
      </w:pPr>
      <w:r>
        <w:rPr>
          <w:rFonts w:hint="eastAsia" w:ascii="宋体" w:hAnsi="宋体"/>
          <w:bCs/>
          <w:sz w:val="24"/>
        </w:rPr>
        <w:t>3.2工程量清单中给出的工程量是估算量或暂定量，视为竞争性比选文件确定的共同的基础，不能作为最终结算的依据。实际工程量应按《建设工程工程量清单计价规范》（GB50500-2013）、《重庆市建设工程工程量清单计价规则》（CQJJGZ-2013）、《重庆市建设工程工程量计算规则》（CQJLGZ-2013）及其配套的计量规范约定的计量规则计算的实际合格工程量。</w:t>
      </w:r>
    </w:p>
    <w:p w14:paraId="4EB020EB">
      <w:pPr>
        <w:snapToGrid w:val="0"/>
        <w:spacing w:line="400" w:lineRule="exact"/>
        <w:ind w:firstLine="540"/>
        <w:rPr>
          <w:rFonts w:hint="eastAsia" w:ascii="宋体" w:hAnsi="宋体"/>
          <w:bCs/>
          <w:sz w:val="24"/>
        </w:rPr>
      </w:pPr>
      <w:r>
        <w:rPr>
          <w:rFonts w:hint="eastAsia" w:ascii="宋体" w:hAnsi="宋体"/>
          <w:bCs/>
          <w:sz w:val="24"/>
        </w:rPr>
        <w:t>特别说明：招标人有权根据自身的计划安排调整工程量，投标人应无条件接受，工程量变化后按工程变更处理，结算办法详见结算原则，投标人自行考虑招标人可能调整工程量造成的风险并纳入报价中，因工程量增减造成的损失由投标人自行承担。</w:t>
      </w:r>
    </w:p>
    <w:p w14:paraId="55EBABBD">
      <w:pPr>
        <w:snapToGrid w:val="0"/>
        <w:spacing w:line="400" w:lineRule="exact"/>
        <w:ind w:firstLine="540"/>
        <w:rPr>
          <w:rFonts w:hint="eastAsia" w:ascii="宋体" w:hAnsi="宋体"/>
          <w:bCs/>
          <w:sz w:val="24"/>
        </w:rPr>
      </w:pPr>
      <w:r>
        <w:rPr>
          <w:rFonts w:hint="eastAsia" w:ascii="宋体" w:hAnsi="宋体"/>
          <w:bCs/>
          <w:sz w:val="24"/>
        </w:rPr>
        <w:t>3.3本工程各分部分项工程量清单子项不论其对应的项目特征和工作内容是否描述完整，都将被认为已包括《建设工程工程量清单计价规范》（CQJJGZ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需的各种主要、辅助工作；其综合单价应包括完成该子项所需的人工费、材料费、施工机具使用费、管理费、利润、风险费用等除税金、安全文明施工费、措施费、规费外的所有费用以及合同文件中明示或暗示的应由中标人承担的所有责任、义务、风险及相应的费用。</w:t>
      </w:r>
    </w:p>
    <w:p w14:paraId="4D285FBB">
      <w:pPr>
        <w:snapToGrid w:val="0"/>
        <w:spacing w:line="400" w:lineRule="exact"/>
        <w:ind w:firstLine="540"/>
        <w:rPr>
          <w:rFonts w:hint="eastAsia" w:ascii="宋体" w:hAnsi="宋体"/>
          <w:bCs/>
          <w:sz w:val="24"/>
        </w:rPr>
      </w:pPr>
      <w:r>
        <w:rPr>
          <w:rFonts w:hint="eastAsia" w:ascii="宋体" w:hAnsi="宋体"/>
          <w:bCs/>
          <w:sz w:val="24"/>
        </w:rPr>
        <w:t>3.4竞争性比选文件及相关更正文件规定了暂定材料单价或暂列金额项目或专业工程暂定价，投标人必须按规定的暂定价格进行报价，投标人不得修改，否则视为对竞争性比选文件不作实质性响应，其响应文件按无效处理。</w:t>
      </w:r>
    </w:p>
    <w:p w14:paraId="20ED5C42">
      <w:pPr>
        <w:snapToGrid w:val="0"/>
        <w:spacing w:line="400" w:lineRule="exact"/>
        <w:ind w:firstLine="540"/>
        <w:rPr>
          <w:rFonts w:hint="eastAsia" w:ascii="宋体" w:hAnsi="宋体"/>
          <w:bCs/>
          <w:sz w:val="24"/>
        </w:rPr>
      </w:pPr>
      <w:r>
        <w:rPr>
          <w:rFonts w:hint="eastAsia" w:ascii="宋体" w:hAnsi="宋体"/>
          <w:bCs/>
          <w:sz w:val="24"/>
        </w:rPr>
        <w:t>3.5投标人必须严格按招标人提供的《工程量清单》格式内所有项目进行报价；不得出现漏项或增项，否则视为对竞争性比选文件不作实质性响应，其响应文件按无效处理。报价空白或报价为零，则视为该子项的价款已包括在工程量清单其他子目的单价和合价中，成交后必须完成该子项工作内容，招标人不对该子项进行结算与支付。施工过程中，因招标人原因需要对报价空白或报价为零的项目减少实施工程量或不予实施，招标人将按报价时计价原则计算出该项的综合单价以及相应的规费、安全文明施工费用、措施费和税金，并据此从结算价中扣除。</w:t>
      </w:r>
    </w:p>
    <w:p w14:paraId="4CF902DA">
      <w:pPr>
        <w:snapToGrid w:val="0"/>
        <w:spacing w:line="400" w:lineRule="exact"/>
        <w:ind w:firstLine="540"/>
        <w:rPr>
          <w:rFonts w:hint="eastAsia" w:ascii="宋体" w:hAnsi="宋体"/>
          <w:bCs/>
          <w:sz w:val="24"/>
        </w:rPr>
      </w:pPr>
      <w:r>
        <w:rPr>
          <w:rFonts w:hint="eastAsia" w:ascii="宋体" w:hAnsi="宋体"/>
          <w:bCs/>
          <w:sz w:val="24"/>
        </w:rPr>
        <w:t>3.6本工程量清单中“项目特征及工作内容”描述不作为报价的唯一依据，投标人应根据分部分项工程量清单计价表中“项目特征和工作内容”的描述结合竞争性比选文件中的投标人须知、通用合同条款、专用合同条款、技术标准和要求、施工设计图纸和对现场的勘察情况等一起阅读和理解并确定报价。</w:t>
      </w:r>
    </w:p>
    <w:p w14:paraId="07EF4BDA">
      <w:pPr>
        <w:snapToGrid w:val="0"/>
        <w:spacing w:line="400" w:lineRule="exact"/>
        <w:ind w:firstLine="540"/>
        <w:rPr>
          <w:rFonts w:hint="eastAsia" w:ascii="宋体" w:hAnsi="宋体"/>
          <w:bCs/>
          <w:sz w:val="24"/>
        </w:rPr>
      </w:pPr>
      <w:r>
        <w:rPr>
          <w:rFonts w:hint="eastAsia" w:ascii="宋体" w:hAnsi="宋体"/>
          <w:bCs/>
          <w:sz w:val="24"/>
        </w:rPr>
        <w:t>4.其他：</w:t>
      </w:r>
    </w:p>
    <w:p w14:paraId="023D97D5">
      <w:pPr>
        <w:snapToGrid w:val="0"/>
        <w:spacing w:line="400" w:lineRule="exact"/>
        <w:ind w:firstLine="540"/>
        <w:rPr>
          <w:rFonts w:hint="eastAsia" w:ascii="宋体" w:hAnsi="宋体"/>
          <w:bCs/>
          <w:sz w:val="24"/>
        </w:rPr>
      </w:pPr>
      <w:r>
        <w:rPr>
          <w:rFonts w:hint="eastAsia" w:ascii="宋体" w:hAnsi="宋体"/>
          <w:bCs/>
          <w:sz w:val="24"/>
        </w:rPr>
        <w:t>4.1本工程项目的报价采用工程量清单报价方式。本次报价是包含施工过程风险的报价，中标人在施工过程所需的施工风险处理费用及不可预见费用报价中已包含；</w:t>
      </w:r>
    </w:p>
    <w:p w14:paraId="0FF66B3F">
      <w:pPr>
        <w:snapToGrid w:val="0"/>
        <w:spacing w:line="400" w:lineRule="exact"/>
        <w:ind w:firstLine="540"/>
        <w:rPr>
          <w:rFonts w:hint="eastAsia" w:ascii="宋体" w:hAnsi="宋体"/>
          <w:bCs/>
          <w:sz w:val="24"/>
        </w:rPr>
      </w:pPr>
      <w:r>
        <w:rPr>
          <w:rFonts w:hint="eastAsia" w:ascii="宋体" w:hAnsi="宋体"/>
          <w:bCs/>
          <w:sz w:val="24"/>
        </w:rPr>
        <w:t>4.2中标人在施工过程造成附近建筑物、构筑物地下管网及现场已完成的构件破坏，需要恢复或赔偿的费用由中标人承担。施工临时用水用电，场内水电安装管理费用及电讯线路费用由投标人自行承担，投标人在报价中考虑；</w:t>
      </w:r>
    </w:p>
    <w:p w14:paraId="7B7D1173">
      <w:pPr>
        <w:snapToGrid w:val="0"/>
        <w:spacing w:line="400" w:lineRule="exact"/>
        <w:ind w:firstLine="480" w:firstLineChars="200"/>
        <w:rPr>
          <w:rFonts w:hint="eastAsia" w:ascii="宋体" w:hAnsi="宋体"/>
          <w:bCs/>
          <w:sz w:val="24"/>
        </w:rPr>
      </w:pPr>
      <w:r>
        <w:rPr>
          <w:rFonts w:hint="eastAsia" w:ascii="宋体" w:hAnsi="宋体"/>
          <w:bCs/>
          <w:sz w:val="24"/>
        </w:rPr>
        <w:t>4.3施工期间要求中标人及时与其他单位做好施工配合工作，配合所需的相关费用需综合考虑在报价中；</w:t>
      </w:r>
    </w:p>
    <w:p w14:paraId="08135727">
      <w:pPr>
        <w:snapToGrid w:val="0"/>
        <w:spacing w:line="400" w:lineRule="exact"/>
        <w:ind w:firstLine="480" w:firstLineChars="200"/>
        <w:rPr>
          <w:rFonts w:hint="eastAsia" w:ascii="宋体" w:hAnsi="宋体"/>
          <w:bCs/>
          <w:sz w:val="24"/>
        </w:rPr>
      </w:pPr>
      <w:r>
        <w:rPr>
          <w:rFonts w:hint="eastAsia" w:ascii="宋体" w:hAnsi="宋体"/>
          <w:bCs/>
          <w:sz w:val="24"/>
        </w:rPr>
        <w:t>4.4投标人应充分考虑工程现场交通条件、工程量较大变化带来的风险和施工期不连贯等所有不利因素，在报价中综合考虑。</w:t>
      </w:r>
    </w:p>
    <w:p w14:paraId="690315B5">
      <w:pPr>
        <w:snapToGrid w:val="0"/>
        <w:spacing w:line="400" w:lineRule="exact"/>
        <w:ind w:firstLine="540"/>
        <w:rPr>
          <w:rFonts w:hint="eastAsia" w:ascii="宋体" w:hAnsi="宋体"/>
          <w:b/>
          <w:sz w:val="24"/>
        </w:rPr>
      </w:pPr>
      <w:r>
        <w:rPr>
          <w:rFonts w:hint="eastAsia" w:ascii="宋体" w:hAnsi="宋体"/>
          <w:b/>
          <w:sz w:val="24"/>
        </w:rPr>
        <w:t>三、结算原则</w:t>
      </w:r>
    </w:p>
    <w:p w14:paraId="3664B6D8">
      <w:pPr>
        <w:snapToGrid w:val="0"/>
        <w:spacing w:line="400" w:lineRule="exact"/>
        <w:ind w:firstLine="540"/>
        <w:rPr>
          <w:rFonts w:hint="eastAsia" w:ascii="宋体" w:hAnsi="宋体"/>
          <w:bCs/>
          <w:sz w:val="24"/>
        </w:rPr>
      </w:pPr>
      <w:r>
        <w:rPr>
          <w:rFonts w:hint="eastAsia" w:ascii="宋体" w:hAnsi="宋体"/>
          <w:bCs/>
          <w:sz w:val="24"/>
        </w:rPr>
        <w:t>特别说明：本工程结算时，凡涉及营改增的，均按《关于适用增值税新税率调整建设工程计价依据的通知》（渝建【2019】143号）。</w:t>
      </w:r>
    </w:p>
    <w:p w14:paraId="50C73A22">
      <w:pPr>
        <w:snapToGrid w:val="0"/>
        <w:spacing w:line="400" w:lineRule="exact"/>
        <w:ind w:firstLine="540"/>
        <w:rPr>
          <w:rFonts w:hint="eastAsia" w:ascii="宋体" w:hAnsi="宋体"/>
          <w:bCs/>
          <w:sz w:val="24"/>
        </w:rPr>
      </w:pPr>
      <w:r>
        <w:rPr>
          <w:rFonts w:hint="eastAsia" w:ascii="宋体" w:hAnsi="宋体"/>
          <w:bCs/>
          <w:sz w:val="24"/>
        </w:rPr>
        <w:t>1. 结算总价＝分部分项工程量清单综合单价×子项工程量+措施项目费+其他项目费+安全文明施工费+规费+税金+设计变更及新增部分金额+合同约定的其它费用（合同如果没有约定，则取消此项目）。</w:t>
      </w:r>
    </w:p>
    <w:p w14:paraId="060E1700">
      <w:pPr>
        <w:snapToGrid w:val="0"/>
        <w:spacing w:line="400" w:lineRule="exact"/>
        <w:ind w:firstLine="540"/>
        <w:rPr>
          <w:rFonts w:hint="eastAsia" w:ascii="宋体" w:hAnsi="宋体"/>
          <w:bCs/>
          <w:sz w:val="24"/>
        </w:rPr>
      </w:pPr>
      <w:r>
        <w:rPr>
          <w:rFonts w:hint="eastAsia" w:ascii="宋体" w:hAnsi="宋体"/>
          <w:bCs/>
          <w:sz w:val="24"/>
        </w:rPr>
        <w:t>2.各部分的结算原则如下：</w:t>
      </w:r>
    </w:p>
    <w:p w14:paraId="65951D03">
      <w:pPr>
        <w:snapToGrid w:val="0"/>
        <w:spacing w:line="400" w:lineRule="exact"/>
        <w:ind w:firstLine="540"/>
        <w:rPr>
          <w:rFonts w:hint="eastAsia" w:ascii="宋体" w:hAnsi="宋体"/>
          <w:bCs/>
          <w:sz w:val="24"/>
        </w:rPr>
      </w:pPr>
      <w:r>
        <w:rPr>
          <w:rFonts w:hint="eastAsia" w:ascii="宋体" w:hAnsi="宋体"/>
          <w:bCs/>
          <w:sz w:val="24"/>
        </w:rPr>
        <w:t>（1）分部分项工程量清单结算价：</w:t>
      </w:r>
    </w:p>
    <w:p w14:paraId="2486D6E8">
      <w:pPr>
        <w:snapToGrid w:val="0"/>
        <w:spacing w:line="400" w:lineRule="exact"/>
        <w:ind w:firstLine="540"/>
        <w:rPr>
          <w:rFonts w:hint="eastAsia" w:ascii="宋体" w:hAnsi="宋体"/>
          <w:bCs/>
          <w:sz w:val="24"/>
        </w:rPr>
      </w:pPr>
      <w:r>
        <w:rPr>
          <w:rFonts w:hint="eastAsia" w:ascii="宋体" w:hAnsi="宋体"/>
          <w:bCs/>
          <w:sz w:val="24"/>
        </w:rPr>
        <w:t>分部分项工程量清单项目按成交单价实行综合单价包干。工程结算时，以中标人最后成交单价为结算单价依据，乘以施工图及设计变更按《建设工程工程量清单计价规范》（GB50500-2013）计算且经招标人及监理工程师（有监理单位的情况下）审核的工程量，作为该子项的结算合价。各分部分项工程量清单子项合价累计相加，得分部分项工程量清单结算价。</w:t>
      </w:r>
    </w:p>
    <w:p w14:paraId="63EF3B73">
      <w:pPr>
        <w:snapToGrid w:val="0"/>
        <w:spacing w:line="400" w:lineRule="exact"/>
        <w:ind w:firstLine="540"/>
        <w:rPr>
          <w:rFonts w:hint="eastAsia" w:ascii="宋体" w:hAnsi="宋体"/>
          <w:bCs/>
          <w:sz w:val="24"/>
        </w:rPr>
      </w:pPr>
      <w:r>
        <w:rPr>
          <w:rFonts w:hint="eastAsia" w:ascii="宋体" w:hAnsi="宋体"/>
          <w:bCs/>
          <w:sz w:val="24"/>
        </w:rPr>
        <w:t>（2）措施费</w:t>
      </w:r>
    </w:p>
    <w:p w14:paraId="6BC89B51">
      <w:pPr>
        <w:snapToGrid w:val="0"/>
        <w:spacing w:line="400" w:lineRule="exact"/>
        <w:ind w:firstLine="540"/>
        <w:rPr>
          <w:rFonts w:hint="eastAsia" w:ascii="宋体" w:hAnsi="宋体"/>
          <w:bCs/>
          <w:sz w:val="24"/>
        </w:rPr>
      </w:pPr>
      <w:r>
        <w:rPr>
          <w:rFonts w:hint="eastAsia" w:ascii="宋体" w:hAnsi="宋体"/>
          <w:bCs/>
          <w:sz w:val="24"/>
        </w:rPr>
        <w:t>施工组织措施费：无论因设计变更或施工工艺变化等任何因素而引起实际措施费的变化，均按投标时施工组织措施项目费（除安全文明施工费外）的报价作为结算价。</w:t>
      </w:r>
    </w:p>
    <w:p w14:paraId="09FB6BE3">
      <w:pPr>
        <w:snapToGrid w:val="0"/>
        <w:spacing w:line="400" w:lineRule="exact"/>
        <w:ind w:firstLine="540"/>
        <w:rPr>
          <w:rFonts w:hint="eastAsia" w:ascii="宋体" w:hAnsi="宋体"/>
          <w:bCs/>
          <w:sz w:val="24"/>
        </w:rPr>
      </w:pPr>
      <w:r>
        <w:rPr>
          <w:rFonts w:hint="eastAsia" w:ascii="宋体" w:hAnsi="宋体"/>
          <w:bCs/>
          <w:sz w:val="24"/>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中标人报价的综合单价乘以按《重庆市建设工程工程量计算规则》（CQJLGZ-2013）约定的计量规则计算的实际合格工程量办理结算。</w:t>
      </w:r>
    </w:p>
    <w:p w14:paraId="0D66A7E1">
      <w:pPr>
        <w:snapToGrid w:val="0"/>
        <w:spacing w:line="400" w:lineRule="exact"/>
        <w:ind w:firstLine="540"/>
        <w:rPr>
          <w:rFonts w:hint="eastAsia" w:ascii="宋体" w:hAnsi="宋体"/>
          <w:bCs/>
          <w:sz w:val="24"/>
        </w:rPr>
      </w:pPr>
      <w:r>
        <w:rPr>
          <w:rFonts w:hint="eastAsia" w:ascii="宋体" w:hAnsi="宋体"/>
          <w:bCs/>
          <w:sz w:val="24"/>
        </w:rPr>
        <w:t>（3）本工程设计变更、采购工程量清单漏项或新增项目价款结算办法：工程设计变更确定后，设计变更涉及工程价款调整的，或采购工程量清单中有漏项或工程施工中出现新增项目。调整方法如下：</w:t>
      </w:r>
    </w:p>
    <w:p w14:paraId="36430FFF">
      <w:pPr>
        <w:snapToGrid w:val="0"/>
        <w:spacing w:line="400" w:lineRule="exact"/>
        <w:ind w:firstLine="540"/>
        <w:rPr>
          <w:rFonts w:hint="eastAsia" w:ascii="宋体" w:hAnsi="宋体"/>
          <w:bCs/>
          <w:sz w:val="24"/>
        </w:rPr>
      </w:pPr>
      <w:r>
        <w:rPr>
          <w:rFonts w:hint="eastAsia" w:ascii="宋体" w:hAnsi="宋体"/>
          <w:bCs/>
          <w:sz w:val="24"/>
        </w:rPr>
        <w:t>变更（包括签证）工程与报价的工程量清单中有相同的子项，原则上按投标时的相同子项的综合单价报价执行；如报价中相同子项的综合单价明显高于市场价格，其综合单价需由中标人报送招标人重新审核，以招标人的审定的综合单价执行。</w:t>
      </w:r>
    </w:p>
    <w:p w14:paraId="45C97863">
      <w:pPr>
        <w:snapToGrid w:val="0"/>
        <w:spacing w:line="400" w:lineRule="exact"/>
        <w:ind w:firstLine="540"/>
        <w:rPr>
          <w:rFonts w:hint="eastAsia" w:ascii="宋体" w:hAnsi="宋体"/>
          <w:bCs/>
          <w:sz w:val="24"/>
        </w:rPr>
      </w:pPr>
      <w:r>
        <w:rPr>
          <w:rFonts w:hint="eastAsia" w:ascii="宋体" w:hAnsi="宋体"/>
          <w:bCs/>
          <w:sz w:val="24"/>
        </w:rPr>
        <w:t>变更（包括签证）工程与报价的工程量清单中有类似子项的，原则上按投标时的类似子项的综合单价报价执行；如报价中类似子项的综合单价明显高于市场价格，其综合单价需由中标人报送招标人重新审核，以招标人的审定的综合单价执行。</w:t>
      </w:r>
    </w:p>
    <w:p w14:paraId="5D1C4422">
      <w:pPr>
        <w:snapToGrid w:val="0"/>
        <w:spacing w:line="400" w:lineRule="exact"/>
        <w:ind w:firstLine="540"/>
        <w:rPr>
          <w:rFonts w:hint="eastAsia" w:ascii="宋体" w:hAnsi="宋体"/>
          <w:bCs/>
          <w:sz w:val="24"/>
        </w:rPr>
      </w:pPr>
      <w:r>
        <w:rPr>
          <w:rFonts w:hint="eastAsia" w:ascii="宋体" w:hAnsi="宋体"/>
          <w:bCs/>
          <w:sz w:val="24"/>
        </w:rPr>
        <w:t>变更（包括签证）工程与工程量清单中无相同子项或类似子项的，按照《建设工程工程量清单计价规范》（GB50500-2013）、《重庆市建设工程工程量清单计价规则》（CQJJGZ-2013）、《重庆市建设工程工程量计算规则》（CQJLGZ-2013）；《重庆市房屋建筑与装饰工程计价定额》（CQJZZSDE-2018）、《重庆市通用安装工程计价定额》（CQAZDE-2018）、《重庆市园林绿化工程计价定额》（CQYLLHDE-2018）、《重庆市建筑工程混凝土及砂浆配合比表定额》（CQPHBB-2018）、《重庆市建设工程施工机械台班定额》（CQJXDE-2018）、《重庆市建设工程费用定额》（CQFYDE-2018）、《重庆市市政工程计价定额》（CQSZDE-2018）、《重庆市绿色建筑工程计价定额》（CQLSJZDE-2018）、《重庆市构筑物工程计价定额》（CQGZWDE-2018）、《重庆市建设工程施工仪器仪表台班定额》（CQYQYBDE-2018）及相关配套文件的规定进行组价（其中材料及人工费成交价中有的按成交价计算；成交价中没有的材料单价按施工期间重庆市建设工程造价总站主办的《重庆工程造价》公布的信息价算数平均值执行；《重庆工程造价信息》没有的材料价格由中标人报招标人和监理人（若有）认质核价，组价后按成交价与中标人第一次报价的下浮比例同比例下浮并经招标人审核后作为结算综合单价。</w:t>
      </w:r>
    </w:p>
    <w:p w14:paraId="206EA1D9">
      <w:pPr>
        <w:snapToGrid w:val="0"/>
        <w:spacing w:line="400" w:lineRule="exact"/>
        <w:ind w:firstLine="540"/>
        <w:rPr>
          <w:rFonts w:hint="eastAsia" w:ascii="宋体" w:hAnsi="宋体"/>
          <w:bCs/>
          <w:sz w:val="24"/>
        </w:rPr>
      </w:pPr>
      <w:r>
        <w:rPr>
          <w:rFonts w:hint="eastAsia" w:ascii="宋体" w:hAnsi="宋体"/>
          <w:bCs/>
          <w:sz w:val="24"/>
        </w:rPr>
        <w:t xml:space="preserve">A、材料由中标人进行采购，其中工程的主要材料部分采购前需报监理人（有监理单位的情况下）和招标人核质核价后再行采购，按结算评审部门审定后价格进行结算；如《重庆工程造价》中有的材料，核定价不得高于施工期间《重庆工程造价》信息价的算术平均值。 </w:t>
      </w:r>
    </w:p>
    <w:p w14:paraId="4F43BEF9">
      <w:pPr>
        <w:snapToGrid w:val="0"/>
        <w:spacing w:line="400" w:lineRule="exact"/>
        <w:ind w:firstLine="540"/>
        <w:rPr>
          <w:rFonts w:hint="eastAsia" w:ascii="宋体" w:hAnsi="宋体"/>
          <w:bCs/>
          <w:sz w:val="24"/>
        </w:rPr>
      </w:pPr>
      <w:r>
        <w:rPr>
          <w:rFonts w:hint="eastAsia" w:ascii="宋体" w:hAnsi="宋体"/>
          <w:bCs/>
          <w:sz w:val="24"/>
        </w:rPr>
        <w:t>B、人工工日单价按报价中的人工工日单价执行，报价中没有的人工工日单价则按施工期间《重庆工程造价》公布的垫江县人工指导价的算术平均值执行。</w:t>
      </w:r>
    </w:p>
    <w:p w14:paraId="750238AF">
      <w:pPr>
        <w:snapToGrid w:val="0"/>
        <w:spacing w:line="400" w:lineRule="exact"/>
        <w:ind w:firstLine="540"/>
        <w:rPr>
          <w:rFonts w:hint="eastAsia" w:ascii="宋体" w:hAnsi="宋体"/>
          <w:bCs/>
          <w:sz w:val="24"/>
        </w:rPr>
      </w:pPr>
      <w:r>
        <w:rPr>
          <w:rFonts w:hint="eastAsia" w:ascii="宋体" w:hAnsi="宋体"/>
          <w:bCs/>
          <w:sz w:val="24"/>
        </w:rPr>
        <w:t>（4）其他项目清单结算金额</w:t>
      </w:r>
    </w:p>
    <w:p w14:paraId="714596CB">
      <w:pPr>
        <w:snapToGrid w:val="0"/>
        <w:spacing w:line="400" w:lineRule="exact"/>
        <w:ind w:firstLine="540"/>
        <w:rPr>
          <w:rFonts w:hint="eastAsia" w:ascii="宋体" w:hAnsi="宋体"/>
          <w:bCs/>
          <w:sz w:val="24"/>
        </w:rPr>
      </w:pPr>
      <w:r>
        <w:rPr>
          <w:rFonts w:hint="eastAsia" w:ascii="宋体" w:hAnsi="宋体"/>
          <w:bCs/>
          <w:sz w:val="24"/>
        </w:rPr>
        <w:t>①材料采用暂估单价的，在施工过程中，使用前由中标人报价，经招标人审核同意后方可采购、施工。结算时只对招标人核定单价与暂估单价的价差部分进行调整（调整的数量根据工程结算数量确定），该价差除税金外不再计取其他任何费用。若中标人在招标人核价后5个工作日内，中标人拒绝签字确认招标人核定的价格或拒绝按招标人核定的价格采购的，则该种材料改为甲方采购供应，其该种材料费用招标人按暂估单价（含应计取的税金）在结算价款中扣除，且招标人还应按规定收取该种材料费用的采保费的1/3。</w:t>
      </w:r>
    </w:p>
    <w:p w14:paraId="15B6E874">
      <w:pPr>
        <w:snapToGrid w:val="0"/>
        <w:spacing w:line="400" w:lineRule="exact"/>
        <w:ind w:firstLine="540"/>
        <w:rPr>
          <w:rFonts w:hint="eastAsia" w:ascii="宋体" w:hAnsi="宋体"/>
          <w:bCs/>
          <w:sz w:val="24"/>
        </w:rPr>
      </w:pPr>
      <w:r>
        <w:rPr>
          <w:rFonts w:hint="eastAsia" w:ascii="宋体" w:hAnsi="宋体"/>
          <w:bCs/>
          <w:sz w:val="24"/>
        </w:rPr>
        <w:t>注：材料暂估单价仅指此类材料本身运至施工现场的价格，不包括这些材料的安装、安装所必须的辅助材料以及发生在现场内的验收、存储、保管、二次搬运、从存放地点运至安装地点以及其他任何必要的辅助工作所发生的费用，上述费用由投标人自行考虑计入各相应子目的综合单价报价中，成交后不再计取。</w:t>
      </w:r>
    </w:p>
    <w:p w14:paraId="2500639D">
      <w:pPr>
        <w:snapToGrid w:val="0"/>
        <w:spacing w:line="400" w:lineRule="exact"/>
        <w:ind w:firstLine="540"/>
        <w:rPr>
          <w:rFonts w:hint="eastAsia" w:ascii="宋体" w:hAnsi="宋体"/>
          <w:bCs/>
          <w:sz w:val="24"/>
        </w:rPr>
      </w:pPr>
      <w:r>
        <w:rPr>
          <w:rFonts w:hint="eastAsia" w:ascii="宋体" w:hAnsi="宋体"/>
          <w:bCs/>
          <w:sz w:val="24"/>
        </w:rPr>
        <w:t>②本工程采用专业工程暂估价或暂列金额采购的，结算时按实结算。其中以暂列金额采购的施工内容实施与否由招标人决定。</w:t>
      </w:r>
    </w:p>
    <w:p w14:paraId="1AFA3DBA">
      <w:pPr>
        <w:snapToGrid w:val="0"/>
        <w:spacing w:line="400" w:lineRule="exact"/>
        <w:ind w:firstLine="540"/>
        <w:rPr>
          <w:rFonts w:hint="eastAsia" w:ascii="宋体" w:hAnsi="宋体"/>
          <w:bCs/>
          <w:sz w:val="24"/>
        </w:rPr>
      </w:pPr>
      <w:r>
        <w:rPr>
          <w:rFonts w:hint="eastAsia" w:ascii="宋体" w:hAnsi="宋体"/>
          <w:bCs/>
          <w:sz w:val="24"/>
        </w:rPr>
        <w:t>（5）安全文明施工费：《重庆城乡建设委员会关于印发&lt;重庆市建设工程安全文明施工费计取及使用管理规定&gt;的通知》（渝建管〔2024〕38号）等相关配套规定标准据实结算。评定不合格不计费。</w:t>
      </w:r>
    </w:p>
    <w:p w14:paraId="0D1ECB2F">
      <w:pPr>
        <w:snapToGrid w:val="0"/>
        <w:spacing w:line="400" w:lineRule="exact"/>
        <w:ind w:firstLine="540"/>
        <w:rPr>
          <w:rFonts w:hint="eastAsia" w:ascii="宋体" w:hAnsi="宋体"/>
          <w:bCs/>
          <w:sz w:val="24"/>
        </w:rPr>
      </w:pPr>
      <w:r>
        <w:rPr>
          <w:rFonts w:hint="eastAsia" w:ascii="宋体" w:hAnsi="宋体"/>
          <w:bCs/>
          <w:sz w:val="24"/>
        </w:rPr>
        <w:t>（6）规费：按投标费率结算，若中标人的报价中规费费率高于规定费率，则以规定费率结算。</w:t>
      </w:r>
    </w:p>
    <w:p w14:paraId="71658FE8">
      <w:pPr>
        <w:snapToGrid w:val="0"/>
        <w:spacing w:line="400" w:lineRule="exact"/>
        <w:ind w:firstLine="540"/>
        <w:rPr>
          <w:rFonts w:hint="eastAsia" w:ascii="宋体" w:hAnsi="宋体"/>
          <w:bCs/>
          <w:sz w:val="24"/>
        </w:rPr>
      </w:pPr>
      <w:r>
        <w:rPr>
          <w:rFonts w:hint="eastAsia" w:ascii="宋体" w:hAnsi="宋体"/>
          <w:bCs/>
          <w:sz w:val="24"/>
        </w:rPr>
        <w:t>（7）税金：增值税计税方法由招标人依据国家税法规定选择一般计税法.</w:t>
      </w:r>
    </w:p>
    <w:p w14:paraId="604E9C35">
      <w:pPr>
        <w:snapToGrid w:val="0"/>
        <w:spacing w:line="400" w:lineRule="exact"/>
        <w:ind w:firstLine="540"/>
        <w:rPr>
          <w:rFonts w:hint="eastAsia" w:ascii="宋体" w:hAnsi="宋体"/>
          <w:bCs/>
          <w:sz w:val="24"/>
        </w:rPr>
      </w:pPr>
      <w:r>
        <w:rPr>
          <w:rFonts w:hint="eastAsia" w:ascii="宋体" w:hAnsi="宋体"/>
          <w:bCs/>
          <w:sz w:val="24"/>
        </w:rPr>
        <w:t>（8）招标人要求中标人完成合同以外施工范围内或施工范围外但与本施工项目有密切关系的零星项目，中标人应接受招标人施工要求，并向招标人提出工程量签证。</w:t>
      </w:r>
    </w:p>
    <w:p w14:paraId="42CB90DE">
      <w:pPr>
        <w:snapToGrid w:val="0"/>
        <w:spacing w:line="400" w:lineRule="exact"/>
        <w:ind w:firstLine="540"/>
        <w:rPr>
          <w:rFonts w:hint="eastAsia" w:ascii="宋体" w:hAnsi="宋体"/>
          <w:bCs/>
          <w:sz w:val="24"/>
        </w:rPr>
      </w:pPr>
      <w:r>
        <w:rPr>
          <w:rFonts w:hint="eastAsia" w:ascii="宋体" w:hAnsi="宋体"/>
          <w:bCs/>
          <w:sz w:val="24"/>
        </w:rPr>
        <w:t>3. 本工程所需材料、设备（暂估价、暂列金额除外）由投标人自行承担材料、设备价格涨跌风险，成交后不作调整。</w:t>
      </w:r>
    </w:p>
    <w:p w14:paraId="168178E8">
      <w:pPr>
        <w:snapToGrid w:val="0"/>
        <w:spacing w:line="400" w:lineRule="exact"/>
        <w:ind w:firstLine="540"/>
        <w:rPr>
          <w:rFonts w:hint="eastAsia" w:ascii="宋体" w:hAnsi="宋体"/>
          <w:b/>
          <w:sz w:val="24"/>
        </w:rPr>
      </w:pPr>
      <w:r>
        <w:rPr>
          <w:rFonts w:hint="eastAsia" w:ascii="宋体" w:hAnsi="宋体"/>
          <w:b/>
          <w:sz w:val="24"/>
        </w:rPr>
        <w:t>四、履约担保</w:t>
      </w:r>
    </w:p>
    <w:p w14:paraId="0008111C">
      <w:pPr>
        <w:snapToGrid w:val="0"/>
        <w:spacing w:line="400" w:lineRule="exact"/>
        <w:ind w:firstLine="480" w:firstLineChars="200"/>
        <w:rPr>
          <w:rFonts w:hint="eastAsia" w:ascii="宋体" w:hAnsi="宋体"/>
          <w:bCs/>
          <w:sz w:val="24"/>
        </w:rPr>
      </w:pPr>
      <w:r>
        <w:rPr>
          <w:rFonts w:hint="eastAsia" w:ascii="宋体" w:hAnsi="宋体"/>
          <w:bCs/>
          <w:sz w:val="24"/>
        </w:rPr>
        <w:t>1、担保金额：履约担保金为成交金额的10%。（注明水库监控履约担保金）</w:t>
      </w:r>
    </w:p>
    <w:p w14:paraId="508514D2">
      <w:pPr>
        <w:snapToGrid w:val="0"/>
        <w:spacing w:line="400" w:lineRule="exact"/>
        <w:ind w:firstLine="480" w:firstLineChars="200"/>
        <w:rPr>
          <w:rFonts w:hint="eastAsia" w:ascii="宋体" w:hAnsi="宋体"/>
          <w:bCs/>
          <w:sz w:val="24"/>
        </w:rPr>
      </w:pPr>
      <w:r>
        <w:rPr>
          <w:rFonts w:hint="eastAsia" w:ascii="宋体" w:hAnsi="宋体"/>
          <w:bCs/>
          <w:sz w:val="24"/>
        </w:rPr>
        <w:t>2、担保形式：现金，对公账户转账。</w:t>
      </w:r>
    </w:p>
    <w:p w14:paraId="1C7C983B">
      <w:pPr>
        <w:snapToGrid w:val="0"/>
        <w:spacing w:line="400" w:lineRule="exact"/>
        <w:ind w:firstLine="480" w:firstLineChars="200"/>
        <w:rPr>
          <w:rFonts w:hint="eastAsia" w:ascii="宋体" w:hAnsi="宋体"/>
          <w:bCs/>
          <w:sz w:val="24"/>
        </w:rPr>
      </w:pPr>
      <w:r>
        <w:rPr>
          <w:rFonts w:hint="eastAsia" w:ascii="宋体" w:hAnsi="宋体"/>
          <w:bCs/>
          <w:sz w:val="24"/>
        </w:rPr>
        <w:t>3、递交时间：签订合同前。</w:t>
      </w:r>
    </w:p>
    <w:p w14:paraId="72E8CBAC">
      <w:pPr>
        <w:snapToGrid w:val="0"/>
        <w:spacing w:line="400" w:lineRule="exact"/>
        <w:ind w:firstLine="480" w:firstLineChars="200"/>
        <w:rPr>
          <w:rFonts w:hint="eastAsia" w:ascii="宋体" w:hAnsi="宋体"/>
          <w:bCs/>
          <w:sz w:val="24"/>
        </w:rPr>
      </w:pPr>
      <w:r>
        <w:rPr>
          <w:rFonts w:hint="eastAsia" w:ascii="宋体" w:hAnsi="宋体"/>
          <w:bCs/>
          <w:sz w:val="24"/>
        </w:rPr>
        <w:t>4、退还时间：全部供货安装完成并经验收合格后，中标人向招标人提供网上银行回执单及收据、履约担保金退换申请后,招标人向中标人基本账户一次性无息退还履约担保金。</w:t>
      </w:r>
    </w:p>
    <w:p w14:paraId="67DA872F">
      <w:pPr>
        <w:snapToGrid w:val="0"/>
        <w:spacing w:line="400" w:lineRule="exact"/>
        <w:ind w:firstLine="540"/>
        <w:rPr>
          <w:rFonts w:hint="eastAsia" w:ascii="宋体" w:hAnsi="宋体"/>
          <w:b/>
          <w:sz w:val="24"/>
        </w:rPr>
      </w:pPr>
      <w:r>
        <w:rPr>
          <w:rFonts w:hint="eastAsia" w:ascii="宋体" w:hAnsi="宋体"/>
          <w:b/>
          <w:sz w:val="24"/>
        </w:rPr>
        <w:t>五、付款方式</w:t>
      </w:r>
    </w:p>
    <w:p w14:paraId="45810019">
      <w:pPr>
        <w:snapToGrid w:val="0"/>
        <w:spacing w:line="400" w:lineRule="exact"/>
        <w:ind w:firstLine="540"/>
        <w:rPr>
          <w:rFonts w:hint="eastAsia" w:ascii="宋体" w:hAnsi="宋体"/>
          <w:bCs/>
          <w:sz w:val="24"/>
        </w:rPr>
      </w:pPr>
      <w:r>
        <w:rPr>
          <w:rFonts w:hint="eastAsia" w:ascii="宋体" w:hAnsi="宋体"/>
          <w:bCs/>
          <w:sz w:val="24"/>
        </w:rPr>
        <w:t>1、本工程无预付款，成交人设备到场并安装完成并正常试运行1周后支付至合同金额的50%，验收合格后成交人报送结算资料给甲方，由甲方组织审核后，支付至审定金额的97%，剩余价款在二年质保期满无质量问题后一次性无息支付。</w:t>
      </w:r>
    </w:p>
    <w:p w14:paraId="00ED99C0">
      <w:pPr>
        <w:snapToGrid w:val="0"/>
        <w:spacing w:line="400" w:lineRule="exact"/>
        <w:ind w:firstLine="540"/>
        <w:rPr>
          <w:rFonts w:hint="eastAsia" w:ascii="宋体" w:hAnsi="宋体"/>
          <w:bCs/>
          <w:sz w:val="24"/>
        </w:rPr>
      </w:pPr>
      <w:r>
        <w:rPr>
          <w:rFonts w:hint="eastAsia" w:ascii="宋体" w:hAnsi="宋体"/>
          <w:bCs/>
          <w:sz w:val="24"/>
        </w:rPr>
        <w:t>2、支付需要的资料（增值税专用发票）。</w:t>
      </w:r>
    </w:p>
    <w:p w14:paraId="363005FC">
      <w:pPr>
        <w:snapToGrid w:val="0"/>
        <w:spacing w:line="400" w:lineRule="exact"/>
        <w:ind w:firstLine="540"/>
        <w:rPr>
          <w:rFonts w:hint="eastAsia" w:ascii="宋体" w:hAnsi="宋体"/>
          <w:b/>
          <w:sz w:val="24"/>
        </w:rPr>
      </w:pPr>
      <w:r>
        <w:rPr>
          <w:rFonts w:hint="eastAsia" w:ascii="宋体" w:hAnsi="宋体"/>
          <w:b/>
          <w:sz w:val="24"/>
        </w:rPr>
        <w:t>六、知识产权</w:t>
      </w:r>
    </w:p>
    <w:p w14:paraId="6B6266F8">
      <w:pPr>
        <w:snapToGrid w:val="0"/>
        <w:spacing w:line="400" w:lineRule="exact"/>
        <w:ind w:firstLine="540"/>
        <w:rPr>
          <w:rFonts w:hint="eastAsia" w:ascii="宋体" w:hAnsi="宋体"/>
          <w:bCs/>
          <w:sz w:val="24"/>
        </w:rPr>
      </w:pPr>
      <w:r>
        <w:rPr>
          <w:rFonts w:hint="eastAsia" w:ascii="宋体" w:hAnsi="宋体"/>
          <w:bCs/>
          <w:sz w:val="24"/>
        </w:rPr>
        <w:t>招标人在中华人民共和国境内使用中标人提供的货物及服务时免受第三方提出的侵犯其专利权或其它知识产权的起诉。如果第三方提出侵权指控，中标人应承担由此而引起的一切法律责任和费用。</w:t>
      </w:r>
    </w:p>
    <w:p w14:paraId="391515E8">
      <w:pPr>
        <w:snapToGrid w:val="0"/>
        <w:spacing w:line="400" w:lineRule="exact"/>
        <w:ind w:firstLine="540"/>
        <w:rPr>
          <w:rFonts w:hint="eastAsia" w:ascii="宋体" w:hAnsi="宋体"/>
          <w:b/>
          <w:sz w:val="24"/>
        </w:rPr>
      </w:pPr>
      <w:r>
        <w:rPr>
          <w:rFonts w:hint="eastAsia" w:ascii="宋体" w:hAnsi="宋体"/>
          <w:b/>
          <w:sz w:val="24"/>
        </w:rPr>
        <w:t>七、培训</w:t>
      </w:r>
    </w:p>
    <w:p w14:paraId="78F628A3">
      <w:pPr>
        <w:snapToGrid w:val="0"/>
        <w:spacing w:line="400" w:lineRule="exact"/>
        <w:ind w:firstLine="540"/>
        <w:rPr>
          <w:rFonts w:hint="eastAsia" w:ascii="宋体" w:hAnsi="宋体"/>
          <w:bCs/>
          <w:sz w:val="24"/>
        </w:rPr>
      </w:pPr>
      <w:r>
        <w:rPr>
          <w:rFonts w:hint="eastAsia" w:ascii="宋体" w:hAnsi="宋体"/>
          <w:bCs/>
          <w:sz w:val="24"/>
        </w:rPr>
        <w:t>中标人须提供对设备设施的操作培训，使相关使用人员能够正常操作相关设备。</w:t>
      </w:r>
    </w:p>
    <w:p w14:paraId="168200BC">
      <w:pPr>
        <w:snapToGrid w:val="0"/>
        <w:spacing w:line="400" w:lineRule="exact"/>
        <w:ind w:firstLine="540"/>
        <w:rPr>
          <w:rFonts w:hint="eastAsia" w:ascii="宋体" w:hAnsi="宋体"/>
          <w:b/>
          <w:sz w:val="24"/>
        </w:rPr>
      </w:pPr>
      <w:r>
        <w:rPr>
          <w:rFonts w:hint="eastAsia" w:ascii="宋体" w:hAnsi="宋体"/>
          <w:b/>
          <w:sz w:val="24"/>
        </w:rPr>
        <w:t>八、其他</w:t>
      </w:r>
    </w:p>
    <w:p w14:paraId="1462E82B">
      <w:pPr>
        <w:snapToGrid w:val="0"/>
        <w:spacing w:line="400" w:lineRule="exact"/>
        <w:ind w:firstLine="540"/>
        <w:rPr>
          <w:rFonts w:hint="eastAsia" w:ascii="宋体" w:hAnsi="宋体"/>
          <w:bCs/>
          <w:sz w:val="24"/>
          <w:szCs w:val="24"/>
        </w:rPr>
      </w:pPr>
      <w:r>
        <w:rPr>
          <w:rFonts w:hint="eastAsia" w:ascii="宋体" w:hAnsi="宋体"/>
          <w:bCs/>
          <w:sz w:val="24"/>
        </w:rPr>
        <w:t>其他未尽事宜由供需双方在采购合同中详细约定。</w:t>
      </w:r>
    </w:p>
    <w:p w14:paraId="3171721E">
      <w:pPr>
        <w:spacing w:line="500" w:lineRule="exact"/>
        <w:ind w:firstLine="600" w:firstLineChars="250"/>
        <w:rPr>
          <w:rFonts w:hint="eastAsia" w:ascii="宋体" w:hAnsi="宋体"/>
          <w:sz w:val="24"/>
          <w:szCs w:val="28"/>
        </w:rPr>
      </w:pPr>
    </w:p>
    <w:p w14:paraId="6833C116">
      <w:pPr>
        <w:spacing w:line="500" w:lineRule="exact"/>
        <w:ind w:firstLine="600" w:firstLineChars="250"/>
        <w:rPr>
          <w:rFonts w:hint="eastAsia" w:ascii="宋体" w:hAnsi="宋体"/>
          <w:sz w:val="24"/>
          <w:szCs w:val="28"/>
        </w:rPr>
      </w:pPr>
      <w:r>
        <w:rPr>
          <w:rFonts w:hint="eastAsia" w:ascii="宋体" w:hAnsi="宋体"/>
          <w:sz w:val="24"/>
          <w:szCs w:val="28"/>
        </w:rPr>
        <w:t xml:space="preserve">投标人：                          </w:t>
      </w:r>
      <w:r>
        <w:rPr>
          <w:rFonts w:hint="eastAsia" w:ascii="宋体" w:hAnsi="宋体"/>
          <w:sz w:val="24"/>
          <w:szCs w:val="24"/>
        </w:rPr>
        <w:t>法定代表人（或其授权代表）</w:t>
      </w:r>
      <w:r>
        <w:rPr>
          <w:rFonts w:hint="eastAsia" w:ascii="宋体" w:hAnsi="宋体"/>
          <w:sz w:val="24"/>
          <w:szCs w:val="28"/>
        </w:rPr>
        <w:t>：</w:t>
      </w:r>
    </w:p>
    <w:p w14:paraId="2483612E">
      <w:pPr>
        <w:spacing w:line="500" w:lineRule="exact"/>
        <w:rPr>
          <w:rFonts w:hint="eastAsia" w:ascii="宋体" w:hAnsi="宋体"/>
          <w:sz w:val="24"/>
          <w:szCs w:val="28"/>
        </w:rPr>
      </w:pPr>
      <w:r>
        <w:rPr>
          <w:rFonts w:hint="eastAsia" w:ascii="宋体" w:hAnsi="宋体"/>
          <w:sz w:val="24"/>
          <w:szCs w:val="28"/>
        </w:rPr>
        <w:t xml:space="preserve">    </w:t>
      </w:r>
    </w:p>
    <w:p w14:paraId="5F33E2AC">
      <w:pPr>
        <w:spacing w:line="500" w:lineRule="exact"/>
        <w:ind w:firstLine="360" w:firstLineChars="150"/>
        <w:rPr>
          <w:rFonts w:hint="eastAsia" w:ascii="宋体" w:hAnsi="宋体"/>
          <w:sz w:val="24"/>
          <w:szCs w:val="28"/>
        </w:rPr>
      </w:pPr>
      <w:r>
        <w:rPr>
          <w:rFonts w:hint="eastAsia" w:ascii="宋体" w:hAnsi="宋体"/>
          <w:sz w:val="24"/>
          <w:szCs w:val="28"/>
        </w:rPr>
        <w:t>（投标人公章）                                     （签署或盖章）</w:t>
      </w:r>
    </w:p>
    <w:p w14:paraId="648BCCD4">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623DD3E1">
      <w:pPr>
        <w:tabs>
          <w:tab w:val="left" w:pos="6300"/>
        </w:tabs>
        <w:snapToGrid w:val="0"/>
        <w:spacing w:line="480" w:lineRule="exact"/>
        <w:ind w:firstLine="480" w:firstLineChars="200"/>
        <w:rPr>
          <w:rFonts w:hint="eastAsia" w:ascii="宋体" w:hAnsi="宋体"/>
          <w:sz w:val="24"/>
          <w:szCs w:val="24"/>
        </w:rPr>
      </w:pPr>
    </w:p>
    <w:p w14:paraId="78F64A08">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（二）其它优惠服务承诺（格式自定）</w:t>
      </w:r>
    </w:p>
    <w:p w14:paraId="1B83194F">
      <w:pPr>
        <w:tabs>
          <w:tab w:val="left" w:pos="6300"/>
        </w:tabs>
        <w:snapToGrid w:val="0"/>
        <w:spacing w:line="480" w:lineRule="exact"/>
        <w:ind w:firstLine="480" w:firstLineChars="200"/>
        <w:rPr>
          <w:rFonts w:hint="eastAsia" w:ascii="宋体" w:hAnsi="宋体"/>
          <w:sz w:val="24"/>
          <w:szCs w:val="24"/>
        </w:rPr>
      </w:pPr>
    </w:p>
    <w:p w14:paraId="0F6E9DAE">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332" w:name="_Toc21793"/>
      <w:bookmarkStart w:id="333" w:name="_Toc2082"/>
      <w:bookmarkStart w:id="334" w:name="_Toc21520"/>
      <w:bookmarkStart w:id="335" w:name="_Toc106034811"/>
      <w:bookmarkStart w:id="336" w:name="_Toc20162"/>
      <w:bookmarkStart w:id="337" w:name="_Toc65660382"/>
      <w:bookmarkStart w:id="338" w:name="_Toc215158882"/>
      <w:r>
        <w:rPr>
          <w:rFonts w:hint="eastAsia" w:ascii="宋体" w:hAnsi="宋体" w:eastAsia="宋体"/>
          <w:sz w:val="24"/>
        </w:rPr>
        <w:t>四、</w:t>
      </w:r>
      <w:bookmarkEnd w:id="329"/>
      <w:bookmarkEnd w:id="330"/>
      <w:bookmarkEnd w:id="331"/>
      <w:r>
        <w:rPr>
          <w:rFonts w:hint="eastAsia" w:ascii="宋体" w:hAnsi="宋体" w:eastAsia="宋体"/>
          <w:sz w:val="24"/>
        </w:rPr>
        <w:t>资格条件及其他</w:t>
      </w:r>
      <w:bookmarkEnd w:id="332"/>
      <w:bookmarkEnd w:id="333"/>
      <w:bookmarkEnd w:id="334"/>
      <w:bookmarkEnd w:id="335"/>
      <w:bookmarkEnd w:id="336"/>
      <w:bookmarkEnd w:id="337"/>
      <w:bookmarkEnd w:id="338"/>
      <w:bookmarkStart w:id="339" w:name="_Toc313888363"/>
      <w:bookmarkStart w:id="340" w:name="_Toc342913422"/>
      <w:bookmarkStart w:id="341" w:name="_Toc313008359"/>
    </w:p>
    <w:p w14:paraId="21A3D59C">
      <w:pPr>
        <w:spacing w:line="400" w:lineRule="exact"/>
        <w:ind w:firstLine="480" w:firstLineChars="200"/>
        <w:rPr>
          <w:rFonts w:hint="eastAsia" w:ascii="宋体" w:hAnsi="宋体"/>
          <w:sz w:val="24"/>
          <w:szCs w:val="24"/>
        </w:rPr>
      </w:pPr>
      <w:r>
        <w:rPr>
          <w:rFonts w:hint="eastAsia" w:ascii="宋体" w:hAnsi="宋体"/>
          <w:sz w:val="24"/>
          <w:szCs w:val="24"/>
        </w:rPr>
        <w:t>（一）法人营业执照（副本）复印件</w:t>
      </w:r>
    </w:p>
    <w:p w14:paraId="25467A65">
      <w:pPr>
        <w:tabs>
          <w:tab w:val="left" w:pos="6300"/>
        </w:tabs>
        <w:snapToGrid w:val="0"/>
        <w:spacing w:line="500" w:lineRule="exact"/>
        <w:ind w:firstLine="570"/>
        <w:rPr>
          <w:rFonts w:hint="eastAsia" w:ascii="宋体" w:hAnsi="宋体"/>
          <w:sz w:val="24"/>
          <w:szCs w:val="24"/>
        </w:rPr>
      </w:pPr>
    </w:p>
    <w:p w14:paraId="1BD23B6D">
      <w:pPr>
        <w:tabs>
          <w:tab w:val="left" w:pos="6300"/>
        </w:tabs>
        <w:snapToGrid w:val="0"/>
        <w:spacing w:line="500" w:lineRule="exact"/>
        <w:ind w:firstLine="570"/>
        <w:rPr>
          <w:rFonts w:hint="eastAsia" w:ascii="宋体" w:hAnsi="宋体"/>
        </w:rPr>
      </w:pPr>
    </w:p>
    <w:p w14:paraId="6B3E8A0E">
      <w:pPr>
        <w:tabs>
          <w:tab w:val="left" w:pos="6300"/>
        </w:tabs>
        <w:snapToGrid w:val="0"/>
        <w:spacing w:line="500" w:lineRule="exact"/>
        <w:ind w:firstLine="570"/>
        <w:rPr>
          <w:rFonts w:hint="eastAsia" w:ascii="宋体" w:hAnsi="宋体"/>
        </w:rPr>
      </w:pPr>
    </w:p>
    <w:p w14:paraId="59432389">
      <w:pPr>
        <w:tabs>
          <w:tab w:val="left" w:pos="6300"/>
        </w:tabs>
        <w:snapToGrid w:val="0"/>
        <w:spacing w:line="500" w:lineRule="exact"/>
        <w:ind w:firstLine="570"/>
        <w:rPr>
          <w:rFonts w:hint="eastAsia" w:ascii="宋体" w:hAnsi="宋体"/>
        </w:rPr>
      </w:pPr>
    </w:p>
    <w:p w14:paraId="7FB720B2">
      <w:pPr>
        <w:tabs>
          <w:tab w:val="left" w:pos="6300"/>
        </w:tabs>
        <w:snapToGrid w:val="0"/>
        <w:spacing w:line="500" w:lineRule="exact"/>
        <w:ind w:firstLine="570"/>
        <w:rPr>
          <w:rFonts w:hint="eastAsia" w:ascii="宋体" w:hAnsi="宋体"/>
        </w:rPr>
      </w:pPr>
    </w:p>
    <w:p w14:paraId="2F6E5C61">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14:paraId="37DAB7B3">
      <w:pPr>
        <w:tabs>
          <w:tab w:val="left" w:pos="6300"/>
        </w:tabs>
        <w:snapToGrid w:val="0"/>
        <w:spacing w:line="500" w:lineRule="exact"/>
        <w:ind w:firstLine="570"/>
        <w:rPr>
          <w:rFonts w:hint="eastAsia" w:ascii="宋体" w:hAnsi="宋体"/>
          <w:sz w:val="24"/>
        </w:rPr>
      </w:pPr>
    </w:p>
    <w:p w14:paraId="5CC62C49">
      <w:pPr>
        <w:tabs>
          <w:tab w:val="left" w:pos="6300"/>
        </w:tabs>
        <w:snapToGrid w:val="0"/>
        <w:spacing w:line="500" w:lineRule="exact"/>
        <w:ind w:firstLine="570"/>
        <w:rPr>
          <w:rFonts w:hint="eastAsia" w:ascii="宋体" w:hAnsi="宋体"/>
          <w:sz w:val="24"/>
        </w:rPr>
      </w:pPr>
      <w:r>
        <w:rPr>
          <w:rFonts w:hint="eastAsia" w:ascii="宋体" w:hAnsi="宋体"/>
          <w:sz w:val="24"/>
        </w:rPr>
        <w:t>比选项目名称：</w:t>
      </w:r>
      <w:r>
        <w:rPr>
          <w:rFonts w:hint="eastAsia" w:ascii="宋体" w:hAnsi="宋体"/>
          <w:sz w:val="24"/>
          <w:u w:val="single"/>
        </w:rPr>
        <w:t xml:space="preserve">                                                </w:t>
      </w:r>
    </w:p>
    <w:p w14:paraId="399DD9B1">
      <w:pPr>
        <w:tabs>
          <w:tab w:val="left" w:pos="6300"/>
        </w:tabs>
        <w:snapToGrid w:val="0"/>
        <w:spacing w:line="500" w:lineRule="exact"/>
        <w:ind w:firstLine="570"/>
        <w:rPr>
          <w:rFonts w:hint="eastAsia" w:ascii="宋体" w:hAnsi="宋体"/>
          <w:sz w:val="24"/>
        </w:rPr>
      </w:pPr>
    </w:p>
    <w:p w14:paraId="77B527B9">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（招标代理机构名称）：</w:t>
      </w:r>
    </w:p>
    <w:p w14:paraId="7BC1EEE5">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（投标人名称）任</w:t>
      </w:r>
      <w:r>
        <w:rPr>
          <w:rFonts w:hint="eastAsia" w:ascii="宋体" w:hAnsi="宋体"/>
          <w:sz w:val="24"/>
          <w:u w:val="single"/>
        </w:rPr>
        <w:t xml:space="preserve">    </w:t>
      </w:r>
      <w:r>
        <w:rPr>
          <w:rFonts w:hint="eastAsia" w:ascii="宋体" w:hAnsi="宋体"/>
          <w:sz w:val="24"/>
        </w:rPr>
        <w:t>（职务名称）职务，是（投标人名称）</w:t>
      </w:r>
      <w:r>
        <w:rPr>
          <w:rFonts w:hint="eastAsia" w:ascii="宋体" w:hAnsi="宋体"/>
          <w:sz w:val="24"/>
          <w:u w:val="single"/>
        </w:rPr>
        <w:t xml:space="preserve">              </w:t>
      </w:r>
      <w:r>
        <w:rPr>
          <w:rFonts w:hint="eastAsia" w:ascii="宋体" w:hAnsi="宋体"/>
          <w:sz w:val="24"/>
        </w:rPr>
        <w:t>的法定代表人。</w:t>
      </w:r>
    </w:p>
    <w:p w14:paraId="59F6CFC9">
      <w:pPr>
        <w:tabs>
          <w:tab w:val="left" w:pos="6300"/>
        </w:tabs>
        <w:snapToGrid w:val="0"/>
        <w:spacing w:line="500" w:lineRule="exact"/>
        <w:ind w:firstLine="570"/>
        <w:rPr>
          <w:rFonts w:hint="eastAsia" w:ascii="宋体" w:hAnsi="宋体"/>
          <w:sz w:val="24"/>
        </w:rPr>
      </w:pPr>
    </w:p>
    <w:p w14:paraId="6C8E30F4">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14:paraId="25F8DFCD">
      <w:pPr>
        <w:tabs>
          <w:tab w:val="left" w:pos="6300"/>
        </w:tabs>
        <w:snapToGrid w:val="0"/>
        <w:spacing w:line="500" w:lineRule="exact"/>
        <w:ind w:firstLine="570"/>
        <w:rPr>
          <w:rFonts w:hint="eastAsia" w:ascii="宋体" w:hAnsi="宋体"/>
          <w:sz w:val="24"/>
        </w:rPr>
      </w:pPr>
    </w:p>
    <w:p w14:paraId="57AE8952">
      <w:pPr>
        <w:tabs>
          <w:tab w:val="left" w:pos="6300"/>
        </w:tabs>
        <w:snapToGrid w:val="0"/>
        <w:spacing w:line="500" w:lineRule="exact"/>
        <w:ind w:firstLine="570"/>
        <w:rPr>
          <w:rFonts w:hint="eastAsia" w:ascii="宋体" w:hAnsi="宋体"/>
          <w:sz w:val="24"/>
        </w:rPr>
      </w:pPr>
    </w:p>
    <w:p w14:paraId="5DD7046D">
      <w:pPr>
        <w:tabs>
          <w:tab w:val="left" w:pos="6300"/>
        </w:tabs>
        <w:snapToGrid w:val="0"/>
        <w:spacing w:line="500" w:lineRule="exact"/>
        <w:ind w:firstLine="570"/>
        <w:rPr>
          <w:rFonts w:hint="eastAsia" w:ascii="宋体" w:hAnsi="宋体"/>
          <w:sz w:val="24"/>
        </w:rPr>
      </w:pPr>
    </w:p>
    <w:p w14:paraId="1CD1AA2F">
      <w:pPr>
        <w:tabs>
          <w:tab w:val="left" w:pos="6300"/>
        </w:tabs>
        <w:snapToGrid w:val="0"/>
        <w:spacing w:line="500" w:lineRule="exact"/>
        <w:ind w:firstLine="570"/>
        <w:rPr>
          <w:rFonts w:hint="eastAsia" w:ascii="宋体" w:hAnsi="宋体"/>
          <w:sz w:val="24"/>
        </w:rPr>
      </w:pPr>
      <w:r>
        <w:rPr>
          <w:rFonts w:hint="eastAsia" w:ascii="宋体" w:hAnsi="宋体"/>
          <w:sz w:val="24"/>
        </w:rPr>
        <w:t xml:space="preserve">                                             （投标人公章）</w:t>
      </w:r>
    </w:p>
    <w:p w14:paraId="327A85B9">
      <w:pPr>
        <w:tabs>
          <w:tab w:val="left" w:pos="6300"/>
        </w:tabs>
        <w:snapToGrid w:val="0"/>
        <w:spacing w:line="500" w:lineRule="exact"/>
        <w:ind w:firstLine="570"/>
        <w:rPr>
          <w:rFonts w:hint="eastAsia" w:ascii="宋体" w:hAnsi="宋体"/>
          <w:sz w:val="24"/>
        </w:rPr>
      </w:pPr>
    </w:p>
    <w:p w14:paraId="2168C9F9">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14:paraId="4C191F09">
      <w:pPr>
        <w:tabs>
          <w:tab w:val="left" w:pos="6300"/>
        </w:tabs>
        <w:snapToGrid w:val="0"/>
        <w:spacing w:line="500" w:lineRule="exact"/>
        <w:ind w:firstLine="570"/>
        <w:rPr>
          <w:rFonts w:hint="eastAsia" w:ascii="宋体" w:hAnsi="宋体"/>
          <w:sz w:val="24"/>
        </w:rPr>
      </w:pPr>
    </w:p>
    <w:p w14:paraId="7AC88457">
      <w:pPr>
        <w:tabs>
          <w:tab w:val="left" w:pos="6300"/>
        </w:tabs>
        <w:snapToGrid w:val="0"/>
        <w:spacing w:line="500" w:lineRule="exact"/>
        <w:ind w:firstLine="570"/>
        <w:rPr>
          <w:rFonts w:hint="eastAsia" w:ascii="宋体" w:hAnsi="宋体"/>
          <w:sz w:val="24"/>
        </w:rPr>
      </w:pPr>
    </w:p>
    <w:p w14:paraId="798A0945">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3F928C16">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14:paraId="7414F0BF">
      <w:pPr>
        <w:tabs>
          <w:tab w:val="left" w:pos="6300"/>
        </w:tabs>
        <w:snapToGrid w:val="0"/>
        <w:spacing w:line="500" w:lineRule="exact"/>
        <w:ind w:firstLine="570"/>
        <w:rPr>
          <w:rFonts w:hint="eastAsia" w:ascii="宋体" w:hAnsi="宋体"/>
          <w:sz w:val="24"/>
        </w:rPr>
      </w:pPr>
    </w:p>
    <w:p w14:paraId="6264B789">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14:paraId="4CE1EF31">
      <w:pPr>
        <w:tabs>
          <w:tab w:val="left" w:pos="6300"/>
        </w:tabs>
        <w:snapToGrid w:val="0"/>
        <w:spacing w:line="500" w:lineRule="exact"/>
        <w:rPr>
          <w:rFonts w:hint="eastAsia" w:ascii="宋体" w:hAnsi="宋体"/>
          <w:sz w:val="24"/>
        </w:rPr>
      </w:pPr>
      <w:r>
        <w:rPr>
          <w:rFonts w:hint="eastAsia" w:ascii="宋体" w:hAnsi="宋体"/>
          <w:sz w:val="24"/>
          <w:szCs w:val="28"/>
        </w:rPr>
        <w:t>比选项目名称</w:t>
      </w:r>
      <w:r>
        <w:rPr>
          <w:rFonts w:hint="eastAsia" w:ascii="宋体" w:hAnsi="宋体"/>
          <w:sz w:val="24"/>
        </w:rPr>
        <w:t>：</w:t>
      </w:r>
      <w:r>
        <w:rPr>
          <w:rFonts w:hint="eastAsia" w:ascii="宋体" w:hAnsi="宋体"/>
          <w:sz w:val="24"/>
          <w:u w:val="single"/>
        </w:rPr>
        <w:t xml:space="preserve">                                                </w:t>
      </w:r>
    </w:p>
    <w:p w14:paraId="12A1FE46">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（招标代理机构名称）：</w:t>
      </w:r>
    </w:p>
    <w:p w14:paraId="6BA4843E">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（投标人法定代表人名称）是</w:t>
      </w:r>
      <w:r>
        <w:rPr>
          <w:rFonts w:hint="eastAsia" w:ascii="宋体" w:hAnsi="宋体"/>
          <w:sz w:val="24"/>
          <w:u w:val="single"/>
        </w:rPr>
        <w:t xml:space="preserve">                    </w:t>
      </w:r>
      <w:r>
        <w:rPr>
          <w:rFonts w:hint="eastAsia" w:ascii="宋体" w:hAnsi="宋体"/>
          <w:sz w:val="24"/>
        </w:rPr>
        <w:t>（投标人名称）的法定代表人，特授权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14:paraId="21721CEF">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31CCD192">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1990923A">
      <w:pPr>
        <w:tabs>
          <w:tab w:val="left" w:pos="6300"/>
        </w:tabs>
        <w:snapToGrid w:val="0"/>
        <w:spacing w:line="500" w:lineRule="exact"/>
        <w:ind w:firstLine="570"/>
        <w:rPr>
          <w:rFonts w:hint="eastAsia" w:ascii="宋体" w:hAnsi="宋体"/>
          <w:sz w:val="24"/>
        </w:rPr>
      </w:pPr>
    </w:p>
    <w:p w14:paraId="5A4679C9">
      <w:pPr>
        <w:tabs>
          <w:tab w:val="left" w:pos="6300"/>
        </w:tabs>
        <w:snapToGrid w:val="0"/>
        <w:spacing w:line="500" w:lineRule="exact"/>
        <w:ind w:firstLine="570"/>
        <w:rPr>
          <w:rFonts w:hint="eastAsia" w:ascii="宋体" w:hAnsi="宋体"/>
          <w:sz w:val="24"/>
        </w:rPr>
      </w:pPr>
      <w:r>
        <w:rPr>
          <w:rFonts w:hint="eastAsia" w:ascii="宋体" w:hAnsi="宋体"/>
          <w:sz w:val="24"/>
        </w:rPr>
        <w:t>被授权人：                                 投标人法定代表人：</w:t>
      </w:r>
    </w:p>
    <w:p w14:paraId="5CBAEF22">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14:paraId="0A74C066">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14:paraId="3C05C2C0">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440D1458">
      <w:pPr>
        <w:tabs>
          <w:tab w:val="left" w:pos="6300"/>
        </w:tabs>
        <w:snapToGrid w:val="0"/>
        <w:spacing w:line="500" w:lineRule="exact"/>
        <w:ind w:firstLine="570"/>
        <w:rPr>
          <w:rFonts w:hint="eastAsia" w:ascii="宋体" w:hAnsi="宋体"/>
          <w:sz w:val="24"/>
        </w:rPr>
      </w:pPr>
    </w:p>
    <w:p w14:paraId="44D25095">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（投标人公章）</w:t>
      </w:r>
    </w:p>
    <w:p w14:paraId="536A2B16">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14:paraId="2B03C55B">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4AB71025">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14:paraId="6BF33E58">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6DABAD2D">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14:paraId="6E1F973F">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14:paraId="4CFA4E7C">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14:paraId="39A1DBF7">
      <w:pPr>
        <w:tabs>
          <w:tab w:val="left" w:pos="6300"/>
        </w:tabs>
        <w:snapToGrid w:val="0"/>
        <w:spacing w:line="530" w:lineRule="exact"/>
        <w:rPr>
          <w:rFonts w:hint="eastAsia" w:ascii="宋体" w:hAnsi="宋体"/>
          <w:sz w:val="24"/>
        </w:rPr>
      </w:pPr>
    </w:p>
    <w:p w14:paraId="1180624F">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（招标代理机构名称）：</w:t>
      </w:r>
    </w:p>
    <w:p w14:paraId="0548206F">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（投标人名称）郑重承诺：</w:t>
      </w:r>
    </w:p>
    <w:p w14:paraId="3B10EA7D">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13007EAD">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2.我方未列入在信用中国网站（www.creditchina.gov.cn）“失信被执行人”、“重大税收违法案件当事人名单”中，也未列入中国政府采购网（www.ccgp.gov.cn）“政府采购严重违法失信行为记录名单”中。</w:t>
      </w:r>
    </w:p>
    <w:p w14:paraId="15086E58">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3.我方在采购项目评审（评标）环节结束后，随时接受招标人、招标代理机构的检查验证，配合提供相关证明材料，证明符合《中华人民共和国政府采购法》规定的投标人基本资格条件。</w:t>
      </w:r>
    </w:p>
    <w:p w14:paraId="7F7DE1FC">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14:paraId="1B536D58">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14:paraId="6A9698EA">
      <w:pPr>
        <w:tabs>
          <w:tab w:val="left" w:pos="6300"/>
        </w:tabs>
        <w:snapToGrid w:val="0"/>
        <w:spacing w:line="500" w:lineRule="exact"/>
        <w:ind w:firstLine="480" w:firstLineChars="200"/>
        <w:rPr>
          <w:rFonts w:hint="eastAsia" w:ascii="宋体" w:hAnsi="宋体"/>
          <w:sz w:val="24"/>
        </w:rPr>
      </w:pPr>
    </w:p>
    <w:p w14:paraId="2E7541F2">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（投标人公章）</w:t>
      </w:r>
    </w:p>
    <w:p w14:paraId="636F9AD5">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14:paraId="4B93C6E1">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14:paraId="7F4175FC">
      <w:pPr>
        <w:widowControl/>
        <w:spacing w:line="400" w:lineRule="exact"/>
        <w:ind w:firstLine="480" w:firstLineChars="200"/>
        <w:jc w:val="left"/>
        <w:rPr>
          <w:rFonts w:hint="eastAsia" w:ascii="宋体" w:hAnsi="宋体"/>
          <w:sz w:val="24"/>
          <w:szCs w:val="24"/>
        </w:rPr>
      </w:pPr>
    </w:p>
    <w:p w14:paraId="0D5832FF">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342" w:name="_Toc2080"/>
      <w:bookmarkStart w:id="343" w:name="_Toc17010"/>
      <w:bookmarkStart w:id="344" w:name="_Toc106034812"/>
      <w:bookmarkStart w:id="345" w:name="_Toc15815"/>
      <w:bookmarkStart w:id="346" w:name="_Toc65660383"/>
      <w:bookmarkStart w:id="347" w:name="_Toc7531"/>
      <w:bookmarkStart w:id="348" w:name="_Toc215158883"/>
      <w:r>
        <w:rPr>
          <w:rFonts w:hint="eastAsia" w:ascii="宋体" w:hAnsi="宋体" w:eastAsia="宋体"/>
          <w:sz w:val="24"/>
        </w:rPr>
        <w:t>五、</w:t>
      </w:r>
      <w:bookmarkEnd w:id="339"/>
      <w:bookmarkEnd w:id="340"/>
      <w:bookmarkEnd w:id="341"/>
      <w:r>
        <w:rPr>
          <w:rFonts w:hint="eastAsia" w:ascii="宋体" w:hAnsi="宋体" w:eastAsia="宋体"/>
          <w:sz w:val="24"/>
        </w:rPr>
        <w:t>其他资料</w:t>
      </w:r>
      <w:bookmarkEnd w:id="342"/>
      <w:bookmarkEnd w:id="343"/>
      <w:bookmarkEnd w:id="344"/>
      <w:bookmarkEnd w:id="345"/>
      <w:bookmarkEnd w:id="346"/>
      <w:bookmarkEnd w:id="347"/>
      <w:bookmarkEnd w:id="348"/>
    </w:p>
    <w:p w14:paraId="0BA90A3A">
      <w:pPr>
        <w:widowControl/>
        <w:spacing w:line="400" w:lineRule="exact"/>
        <w:ind w:firstLine="720" w:firstLineChars="300"/>
        <w:jc w:val="left"/>
        <w:rPr>
          <w:rFonts w:hint="eastAsia" w:ascii="宋体" w:hAnsi="宋体"/>
          <w:sz w:val="24"/>
          <w:szCs w:val="24"/>
        </w:rPr>
      </w:pPr>
      <w:r>
        <w:rPr>
          <w:rFonts w:hint="eastAsia" w:ascii="宋体" w:hAnsi="宋体"/>
          <w:sz w:val="24"/>
          <w:szCs w:val="24"/>
        </w:rPr>
        <w:t>其他与项目有关的资料（自附）</w:t>
      </w:r>
    </w:p>
    <w:p w14:paraId="6EF9FF47">
      <w:pPr>
        <w:widowControl/>
        <w:spacing w:line="400" w:lineRule="exact"/>
        <w:ind w:firstLine="720" w:firstLineChars="300"/>
        <w:jc w:val="left"/>
        <w:rPr>
          <w:rFonts w:hint="eastAsia" w:ascii="宋体" w:hAnsi="宋体"/>
          <w:sz w:val="24"/>
          <w:szCs w:val="24"/>
        </w:rPr>
      </w:pPr>
    </w:p>
    <w:p w14:paraId="07C32714">
      <w:pPr>
        <w:spacing w:line="360" w:lineRule="auto"/>
        <w:ind w:firstLine="480" w:firstLineChars="200"/>
        <w:rPr>
          <w:rFonts w:hint="eastAsia" w:ascii="宋体" w:hAnsi="宋体"/>
          <w:sz w:val="24"/>
          <w:szCs w:val="24"/>
        </w:rPr>
      </w:pPr>
    </w:p>
    <w:p w14:paraId="64BEED79">
      <w:pPr>
        <w:spacing w:line="360" w:lineRule="auto"/>
        <w:ind w:firstLine="480" w:firstLineChars="200"/>
        <w:jc w:val="center"/>
        <w:rPr>
          <w:rFonts w:hint="eastAsia" w:ascii="宋体" w:hAnsi="宋体"/>
          <w:sz w:val="24"/>
          <w:szCs w:val="24"/>
        </w:rPr>
      </w:pPr>
    </w:p>
    <w:p w14:paraId="0BA9388A">
      <w:pPr>
        <w:spacing w:line="360" w:lineRule="auto"/>
        <w:ind w:firstLine="480" w:firstLineChars="200"/>
        <w:jc w:val="center"/>
        <w:rPr>
          <w:rFonts w:hint="eastAsia" w:ascii="宋体" w:hAnsi="宋体"/>
          <w:sz w:val="24"/>
          <w:szCs w:val="24"/>
        </w:rPr>
      </w:pPr>
    </w:p>
    <w:p w14:paraId="75EACA17">
      <w:pPr>
        <w:spacing w:line="360" w:lineRule="auto"/>
        <w:ind w:firstLine="480" w:firstLineChars="200"/>
        <w:jc w:val="center"/>
        <w:rPr>
          <w:rFonts w:hint="eastAsia" w:ascii="宋体" w:hAnsi="宋体"/>
          <w:sz w:val="24"/>
          <w:szCs w:val="24"/>
        </w:rPr>
      </w:pPr>
    </w:p>
    <w:p w14:paraId="4B57CAE4">
      <w:pPr>
        <w:spacing w:line="360" w:lineRule="auto"/>
        <w:ind w:firstLine="480" w:firstLineChars="200"/>
        <w:jc w:val="center"/>
        <w:rPr>
          <w:rFonts w:hint="eastAsia" w:ascii="宋体" w:hAnsi="宋体"/>
          <w:sz w:val="24"/>
          <w:szCs w:val="24"/>
        </w:rPr>
      </w:pPr>
    </w:p>
    <w:p w14:paraId="020F7475">
      <w:pPr>
        <w:spacing w:line="360" w:lineRule="auto"/>
        <w:ind w:firstLine="480" w:firstLineChars="200"/>
        <w:jc w:val="center"/>
        <w:rPr>
          <w:rFonts w:hint="eastAsia" w:ascii="宋体" w:hAnsi="宋体"/>
          <w:sz w:val="24"/>
          <w:szCs w:val="24"/>
        </w:rPr>
      </w:pPr>
    </w:p>
    <w:p w14:paraId="25F36800">
      <w:pPr>
        <w:spacing w:line="360" w:lineRule="auto"/>
        <w:ind w:firstLine="480" w:firstLineChars="200"/>
        <w:jc w:val="center"/>
        <w:rPr>
          <w:rFonts w:hint="eastAsia" w:ascii="宋体" w:hAnsi="宋体"/>
          <w:sz w:val="24"/>
          <w:szCs w:val="24"/>
        </w:rPr>
      </w:pPr>
    </w:p>
    <w:p w14:paraId="05E98406">
      <w:pPr>
        <w:spacing w:line="360" w:lineRule="auto"/>
        <w:ind w:firstLine="480" w:firstLineChars="200"/>
        <w:jc w:val="center"/>
        <w:rPr>
          <w:rFonts w:hint="eastAsia" w:ascii="宋体" w:hAnsi="宋体"/>
          <w:sz w:val="24"/>
          <w:szCs w:val="24"/>
        </w:rPr>
      </w:pPr>
    </w:p>
    <w:p w14:paraId="6A7A9140">
      <w:pPr>
        <w:spacing w:line="360" w:lineRule="auto"/>
        <w:ind w:firstLine="560" w:firstLineChars="200"/>
        <w:jc w:val="center"/>
        <w:rPr>
          <w:rFonts w:hint="eastAsia" w:ascii="宋体" w:hAnsi="宋体"/>
          <w:sz w:val="24"/>
          <w:szCs w:val="24"/>
        </w:rPr>
      </w:pPr>
      <w:r>
        <w:rPr>
          <w:rFonts w:hint="eastAsia" w:ascii="宋体" w:hAnsi="宋体"/>
        </w:rPr>
        <w:t>（结束）</w:t>
      </w:r>
    </w:p>
    <w:sectPr>
      <w:footerReference r:id="rId10" w:type="default"/>
      <w:footerReference r:id="rId11" w:type="even"/>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5E6B">
    <w:pPr>
      <w:pStyle w:val="35"/>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- 17 -</w:t>
    </w:r>
    <w:r>
      <w:rPr>
        <w:rFonts w:ascii="宋体"/>
        <w:sz w:val="21"/>
        <w:szCs w:val="21"/>
      </w:rPr>
      <w:fldChar w:fldCharType="end"/>
    </w:r>
  </w:p>
  <w:p w14:paraId="56D22B4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4352">
    <w:pPr>
      <w:pStyle w:val="35"/>
      <w:framePr w:wrap="around" w:vAnchor="text" w:hAnchor="margin" w:xAlign="center" w:y="1"/>
      <w:rPr>
        <w:rStyle w:val="61"/>
      </w:rPr>
    </w:pPr>
    <w:r>
      <w:rPr>
        <w:rStyle w:val="61"/>
      </w:rPr>
      <w:fldChar w:fldCharType="begin"/>
    </w:r>
    <w:r>
      <w:rPr>
        <w:rStyle w:val="61"/>
      </w:rPr>
      <w:instrText xml:space="preserve">PAGE  </w:instrText>
    </w:r>
    <w:r>
      <w:fldChar w:fldCharType="separate"/>
    </w:r>
    <w:r>
      <w:t xml:space="preserve"> </w:t>
    </w:r>
    <w:r>
      <w:fldChar w:fldCharType="end"/>
    </w:r>
  </w:p>
  <w:p w14:paraId="1CDF933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7A63">
    <w:pPr>
      <w:pStyle w:val="35"/>
      <w:framePr w:wrap="around" w:vAnchor="text" w:hAnchor="margin" w:xAlign="center" w:y="1"/>
      <w:rPr>
        <w:rStyle w:val="61"/>
      </w:rPr>
    </w:pPr>
  </w:p>
  <w:p w14:paraId="7E0E295D">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F60F">
    <w:pPr>
      <w:pStyle w:val="35"/>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53D4">
    <w:pPr>
      <w:pStyle w:val="35"/>
      <w:framePr w:wrap="around" w:vAnchor="text" w:hAnchor="margin" w:xAlign="center" w:y="1"/>
      <w:rPr>
        <w:rStyle w:val="61"/>
      </w:rPr>
    </w:pPr>
    <w:r>
      <w:rPr>
        <w:rStyle w:val="61"/>
      </w:rPr>
      <w:fldChar w:fldCharType="begin"/>
    </w:r>
    <w:r>
      <w:rPr>
        <w:rStyle w:val="61"/>
      </w:rPr>
      <w:instrText xml:space="preserve">PAGE  </w:instrText>
    </w:r>
    <w:r>
      <w:fldChar w:fldCharType="separate"/>
    </w:r>
    <w:r>
      <w:t xml:space="preserve"> </w:t>
    </w:r>
    <w:r>
      <w:fldChar w:fldCharType="end"/>
    </w:r>
  </w:p>
  <w:p w14:paraId="1E54E973">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39F6">
    <w:pPr>
      <w:pStyle w:val="36"/>
      <w:jc w:val="both"/>
      <w:rPr>
        <w:rFonts w:ascii="方正仿宋_GBK" w:eastAsia="方正仿宋_GBK"/>
        <w:sz w:val="21"/>
        <w:szCs w:val="21"/>
      </w:rPr>
    </w:pPr>
    <w:r>
      <w:rPr>
        <w:rFonts w:hint="eastAsia" w:ascii="方正仿宋_GBK" w:eastAsia="方正仿宋_GBK"/>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715E">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0D23F"/>
    <w:multiLevelType w:val="singleLevel"/>
    <w:tmpl w:val="FDC0D23F"/>
    <w:lvl w:ilvl="0" w:tentative="0">
      <w:start w:val="2"/>
      <w:numFmt w:val="chineseCounting"/>
      <w:suff w:val="space"/>
      <w:lvlText w:val="第%1篇"/>
      <w:lvlJc w:val="left"/>
      <w:pPr>
        <w:ind w:left="0" w:firstLine="0"/>
      </w:pPr>
      <w:rPr>
        <w:rFonts w:hint="eastAsia"/>
      </w:rPr>
    </w:lvl>
  </w:abstractNum>
  <w:abstractNum w:abstractNumId="1">
    <w:nsid w:val="00000009"/>
    <w:multiLevelType w:val="multilevel"/>
    <w:tmpl w:val="00000009"/>
    <w:lvl w:ilvl="0" w:tentative="0">
      <w:start w:val="1"/>
      <w:numFmt w:val="upperLetter"/>
      <w:pStyle w:val="131"/>
      <w:suff w:val="nothing"/>
      <w:lvlText w:val="附　录　%1"/>
      <w:lvlJc w:val="left"/>
      <w:pPr>
        <w:ind w:left="0" w:firstLine="0"/>
      </w:pPr>
      <w:rPr>
        <w:rFonts w:hint="eastAsia" w:ascii="黑体" w:hAnsi="黑体" w:eastAsia="黑体"/>
        <w:b w:val="0"/>
        <w:i w:val="0"/>
        <w:sz w:val="21"/>
      </w:rPr>
    </w:lvl>
    <w:lvl w:ilvl="1" w:tentative="0">
      <w:start w:val="1"/>
      <w:numFmt w:val="decimal"/>
      <w:pStyle w:val="137"/>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80"/>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69"/>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2"/>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91"/>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multilevel"/>
    <w:tmpl w:val="00000012"/>
    <w:lvl w:ilvl="0" w:tentative="0">
      <w:start w:val="1"/>
      <w:numFmt w:val="bullet"/>
      <w:pStyle w:val="204"/>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88"/>
      <w:lvlText w:val="%1)"/>
      <w:lvlJc w:val="left"/>
      <w:pPr>
        <w:ind w:left="425" w:hanging="425"/>
      </w:pPr>
      <w:rPr>
        <w:rFonts w:hint="eastAsia"/>
      </w:rPr>
    </w:lvl>
  </w:abstractNum>
  <w:abstractNum w:abstractNumId="11">
    <w:nsid w:val="00000017"/>
    <w:multiLevelType w:val="multilevel"/>
    <w:tmpl w:val="00000017"/>
    <w:lvl w:ilvl="0" w:tentative="0">
      <w:start w:val="1"/>
      <w:numFmt w:val="chineseCountingThousand"/>
      <w:pStyle w:val="14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F60B46"/>
    <w:multiLevelType w:val="singleLevel"/>
    <w:tmpl w:val="00F60B46"/>
    <w:lvl w:ilvl="0" w:tentative="0">
      <w:start w:val="1"/>
      <w:numFmt w:val="bullet"/>
      <w:lvlText w:val=""/>
      <w:lvlJc w:val="left"/>
      <w:pPr>
        <w:ind w:left="1620" w:hanging="360"/>
      </w:pPr>
      <w:rPr>
        <w:rFonts w:hint="default" w:ascii="Wingdings" w:hAnsi="Wingdings"/>
      </w:rPr>
    </w:lvl>
  </w:abstractNum>
  <w:abstractNum w:abstractNumId="13">
    <w:nsid w:val="5E316D82"/>
    <w:multiLevelType w:val="singleLevel"/>
    <w:tmpl w:val="5E316D82"/>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OTYxMzI0OTQzMTJmZGM2MWQ4Y2ZlNjc3NTZjMzcifQ=="/>
    <w:docVar w:name="KSO_WPS_MARK_KEY" w:val="b87d3f52-8629-4757-b96f-997898499f3d"/>
  </w:docVars>
  <w:rsids>
    <w:rsidRoot w:val="00620000"/>
    <w:rsid w:val="00000610"/>
    <w:rsid w:val="00090081"/>
    <w:rsid w:val="00092008"/>
    <w:rsid w:val="00093402"/>
    <w:rsid w:val="000C1028"/>
    <w:rsid w:val="000E2DA7"/>
    <w:rsid w:val="000E3334"/>
    <w:rsid w:val="000E5F85"/>
    <w:rsid w:val="00155542"/>
    <w:rsid w:val="0018740A"/>
    <w:rsid w:val="001C21F0"/>
    <w:rsid w:val="001E07A3"/>
    <w:rsid w:val="001E350D"/>
    <w:rsid w:val="001F5B91"/>
    <w:rsid w:val="0021726F"/>
    <w:rsid w:val="002737F5"/>
    <w:rsid w:val="00280855"/>
    <w:rsid w:val="00291154"/>
    <w:rsid w:val="002914E9"/>
    <w:rsid w:val="002A3117"/>
    <w:rsid w:val="002A6904"/>
    <w:rsid w:val="002F3B8E"/>
    <w:rsid w:val="00307974"/>
    <w:rsid w:val="0035165F"/>
    <w:rsid w:val="00366A5C"/>
    <w:rsid w:val="00377F19"/>
    <w:rsid w:val="003C4B67"/>
    <w:rsid w:val="003D2CB7"/>
    <w:rsid w:val="003D2DE7"/>
    <w:rsid w:val="003E7805"/>
    <w:rsid w:val="003F2D84"/>
    <w:rsid w:val="00411BE3"/>
    <w:rsid w:val="00413EC8"/>
    <w:rsid w:val="00422446"/>
    <w:rsid w:val="004240E5"/>
    <w:rsid w:val="004645C2"/>
    <w:rsid w:val="00466146"/>
    <w:rsid w:val="004931F7"/>
    <w:rsid w:val="004C3EAF"/>
    <w:rsid w:val="004C7749"/>
    <w:rsid w:val="004E55C3"/>
    <w:rsid w:val="004E7B0C"/>
    <w:rsid w:val="00502E20"/>
    <w:rsid w:val="00514D54"/>
    <w:rsid w:val="00530CE6"/>
    <w:rsid w:val="005473F4"/>
    <w:rsid w:val="005930ED"/>
    <w:rsid w:val="00603684"/>
    <w:rsid w:val="006069BA"/>
    <w:rsid w:val="00615C4B"/>
    <w:rsid w:val="00620000"/>
    <w:rsid w:val="0064616F"/>
    <w:rsid w:val="0067203B"/>
    <w:rsid w:val="00693528"/>
    <w:rsid w:val="006A60A3"/>
    <w:rsid w:val="006B2B2F"/>
    <w:rsid w:val="006E2F10"/>
    <w:rsid w:val="006F591F"/>
    <w:rsid w:val="007010FA"/>
    <w:rsid w:val="00705D1C"/>
    <w:rsid w:val="007B2276"/>
    <w:rsid w:val="007F60EF"/>
    <w:rsid w:val="00810A0A"/>
    <w:rsid w:val="00816347"/>
    <w:rsid w:val="00833586"/>
    <w:rsid w:val="00854FBE"/>
    <w:rsid w:val="00897613"/>
    <w:rsid w:val="008C1C3A"/>
    <w:rsid w:val="008D1539"/>
    <w:rsid w:val="00903F29"/>
    <w:rsid w:val="00914EE8"/>
    <w:rsid w:val="009660EF"/>
    <w:rsid w:val="00984CC5"/>
    <w:rsid w:val="009A1E41"/>
    <w:rsid w:val="009A6EDC"/>
    <w:rsid w:val="009B7733"/>
    <w:rsid w:val="009D3946"/>
    <w:rsid w:val="009F3819"/>
    <w:rsid w:val="00A21D91"/>
    <w:rsid w:val="00A22355"/>
    <w:rsid w:val="00A372F9"/>
    <w:rsid w:val="00A55B01"/>
    <w:rsid w:val="00AA323E"/>
    <w:rsid w:val="00AE4B87"/>
    <w:rsid w:val="00AF1750"/>
    <w:rsid w:val="00AF3CBB"/>
    <w:rsid w:val="00B052EE"/>
    <w:rsid w:val="00B31AD6"/>
    <w:rsid w:val="00BC7023"/>
    <w:rsid w:val="00BE7E26"/>
    <w:rsid w:val="00C14ABA"/>
    <w:rsid w:val="00C41B9A"/>
    <w:rsid w:val="00C43FB3"/>
    <w:rsid w:val="00C7170B"/>
    <w:rsid w:val="00C94D0C"/>
    <w:rsid w:val="00CA7402"/>
    <w:rsid w:val="00D0608B"/>
    <w:rsid w:val="00D062BD"/>
    <w:rsid w:val="00D30EA1"/>
    <w:rsid w:val="00D60F8E"/>
    <w:rsid w:val="00DC5D4B"/>
    <w:rsid w:val="00DE1338"/>
    <w:rsid w:val="00DE7489"/>
    <w:rsid w:val="00DF6293"/>
    <w:rsid w:val="00E07F5B"/>
    <w:rsid w:val="00E36E26"/>
    <w:rsid w:val="00E970EA"/>
    <w:rsid w:val="00EB45CA"/>
    <w:rsid w:val="00EE75ED"/>
    <w:rsid w:val="00EF262C"/>
    <w:rsid w:val="00EF759A"/>
    <w:rsid w:val="00F1223D"/>
    <w:rsid w:val="00F84B4D"/>
    <w:rsid w:val="00F8743B"/>
    <w:rsid w:val="00F97ED4"/>
    <w:rsid w:val="00FA09F5"/>
    <w:rsid w:val="00FA6655"/>
    <w:rsid w:val="00FC6005"/>
    <w:rsid w:val="00FE2680"/>
    <w:rsid w:val="076630B5"/>
    <w:rsid w:val="08A26CE4"/>
    <w:rsid w:val="0EAC0AC2"/>
    <w:rsid w:val="11164C3E"/>
    <w:rsid w:val="266E3807"/>
    <w:rsid w:val="2A016554"/>
    <w:rsid w:val="309C6DA2"/>
    <w:rsid w:val="32EA5C40"/>
    <w:rsid w:val="35EA0FD5"/>
    <w:rsid w:val="39685584"/>
    <w:rsid w:val="3D844A13"/>
    <w:rsid w:val="4C7577B8"/>
    <w:rsid w:val="50F73FD8"/>
    <w:rsid w:val="60D56ADF"/>
    <w:rsid w:val="65FD004D"/>
    <w:rsid w:val="686952C0"/>
    <w:rsid w:val="687A566B"/>
    <w:rsid w:val="69AA33B8"/>
    <w:rsid w:val="69B22BE7"/>
    <w:rsid w:val="6C741EA3"/>
    <w:rsid w:val="6C88087C"/>
    <w:rsid w:val="73520AC2"/>
    <w:rsid w:val="75B1385B"/>
    <w:rsid w:val="7A47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7"/>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b/>
    </w:rPr>
  </w:style>
  <w:style w:type="paragraph" w:styleId="7">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99"/>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link w:val="238"/>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table" w:styleId="58">
    <w:name w:val="Table Grid"/>
    <w:basedOn w:val="5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ontent-white1"/>
    <w:qFormat/>
    <w:uiPriority w:val="0"/>
    <w:rPr>
      <w:rFonts w:ascii="_x000B__x000C_" w:hAnsi="_x000B__x000C_"/>
      <w:color w:val="auto"/>
      <w:sz w:val="18"/>
      <w:u w:val="none"/>
    </w:rPr>
  </w:style>
  <w:style w:type="character" w:customStyle="1" w:styleId="68">
    <w:name w:val="Char Char3"/>
    <w:qFormat/>
    <w:uiPriority w:val="0"/>
    <w:rPr>
      <w:rFonts w:eastAsia="宋体"/>
      <w:kern w:val="2"/>
      <w:sz w:val="18"/>
      <w:lang w:val="en-US" w:eastAsia="zh-CN"/>
    </w:rPr>
  </w:style>
  <w:style w:type="paragraph" w:customStyle="1" w:styleId="69">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0">
    <w:name w:val="Char Char7"/>
    <w:qFormat/>
    <w:uiPriority w:val="0"/>
    <w:rPr>
      <w:rFonts w:ascii="宋体" w:eastAsia="宋体"/>
      <w:kern w:val="2"/>
      <w:sz w:val="28"/>
    </w:rPr>
  </w:style>
  <w:style w:type="character" w:customStyle="1" w:styleId="71">
    <w:name w:val="未命名11"/>
    <w:qFormat/>
    <w:uiPriority w:val="0"/>
    <w:rPr>
      <w:color w:val="77FFFF"/>
      <w:sz w:val="24"/>
    </w:rPr>
  </w:style>
  <w:style w:type="character" w:customStyle="1" w:styleId="72">
    <w:name w:val="小 Char"/>
    <w:qFormat/>
    <w:uiPriority w:val="0"/>
    <w:rPr>
      <w:rFonts w:ascii="宋体" w:eastAsia="宋体"/>
      <w:kern w:val="2"/>
      <w:sz w:val="21"/>
      <w:lang w:val="en-US" w:eastAsia="zh-CN" w:bidi="ar-SA"/>
    </w:rPr>
  </w:style>
  <w:style w:type="paragraph" w:customStyle="1" w:styleId="73">
    <w:name w:val="文字"/>
    <w:basedOn w:val="1"/>
    <w:qFormat/>
    <w:uiPriority w:val="0"/>
    <w:pPr>
      <w:tabs>
        <w:tab w:val="left" w:pos="8520"/>
      </w:tabs>
      <w:spacing w:line="312" w:lineRule="auto"/>
      <w:ind w:right="-210" w:firstLine="556"/>
    </w:pPr>
    <w:rPr>
      <w:rFonts w:ascii="宋体"/>
    </w:rPr>
  </w:style>
  <w:style w:type="character" w:customStyle="1" w:styleId="74">
    <w:name w:val="v151"/>
    <w:qFormat/>
    <w:uiPriority w:val="0"/>
    <w:rPr>
      <w:sz w:val="18"/>
    </w:rPr>
  </w:style>
  <w:style w:type="character" w:customStyle="1" w:styleId="75">
    <w:name w:val="Char Char2"/>
    <w:qFormat/>
    <w:uiPriority w:val="0"/>
    <w:rPr>
      <w:rFonts w:eastAsia="宋体"/>
      <w:kern w:val="2"/>
      <w:sz w:val="18"/>
      <w:lang w:val="en-US" w:eastAsia="zh-CN"/>
    </w:rPr>
  </w:style>
  <w:style w:type="paragraph" w:customStyle="1" w:styleId="76">
    <w:name w:val="Table Text"/>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7">
    <w:name w:val="Table Heading Char Char"/>
    <w:qFormat/>
    <w:uiPriority w:val="0"/>
    <w:rPr>
      <w:rFonts w:ascii="Arial" w:hAnsi="Arial" w:eastAsia="黑体"/>
      <w:kern w:val="2"/>
      <w:sz w:val="18"/>
      <w:lang w:val="en-US" w:eastAsia="zh-CN"/>
    </w:rPr>
  </w:style>
  <w:style w:type="character" w:customStyle="1" w:styleId="78">
    <w:name w:val="Char Char11"/>
    <w:qFormat/>
    <w:uiPriority w:val="0"/>
    <w:rPr>
      <w:rFonts w:ascii="宋体"/>
      <w:kern w:val="2"/>
      <w:sz w:val="28"/>
    </w:rPr>
  </w:style>
  <w:style w:type="character" w:customStyle="1" w:styleId="79">
    <w:name w:val="样式 宋体"/>
    <w:qFormat/>
    <w:uiPriority w:val="0"/>
    <w:rPr>
      <w:rFonts w:ascii="宋体" w:eastAsia="宋体"/>
      <w:sz w:val="28"/>
    </w:rPr>
  </w:style>
  <w:style w:type="character" w:customStyle="1" w:styleId="80">
    <w:name w:val="正文 + 三号 Char"/>
    <w:qFormat/>
    <w:uiPriority w:val="0"/>
    <w:rPr>
      <w:rFonts w:eastAsia="宋体"/>
      <w:kern w:val="2"/>
      <w:sz w:val="21"/>
      <w:lang w:val="en-US" w:eastAsia="zh-CN"/>
    </w:rPr>
  </w:style>
  <w:style w:type="character" w:customStyle="1" w:styleId="81">
    <w:name w:val="crowed11"/>
    <w:qFormat/>
    <w:uiPriority w:val="0"/>
    <w:rPr>
      <w:rFonts w:ascii="_x000B__x000C_" w:hAnsi="_x000B__x000C_"/>
      <w:sz w:val="24"/>
    </w:rPr>
  </w:style>
  <w:style w:type="character" w:customStyle="1" w:styleId="82">
    <w:name w:val="font1"/>
    <w:qFormat/>
    <w:uiPriority w:val="0"/>
    <w:rPr>
      <w:color w:val="000000"/>
      <w:sz w:val="18"/>
    </w:rPr>
  </w:style>
  <w:style w:type="character" w:customStyle="1" w:styleId="83">
    <w:name w:val="H2 Char"/>
    <w:qFormat/>
    <w:uiPriority w:val="0"/>
    <w:rPr>
      <w:rFonts w:ascii="Arial" w:hAnsi="Arial" w:eastAsia="宋体"/>
      <w:kern w:val="2"/>
      <w:sz w:val="28"/>
      <w:lang w:val="en-US" w:eastAsia="zh-CN"/>
    </w:rPr>
  </w:style>
  <w:style w:type="character" w:customStyle="1" w:styleId="84">
    <w:name w:val="Char Char4"/>
    <w:qFormat/>
    <w:uiPriority w:val="0"/>
    <w:rPr>
      <w:rFonts w:eastAsia="宋体"/>
      <w:b/>
      <w:kern w:val="2"/>
      <w:sz w:val="21"/>
      <w:lang w:val="en-US" w:eastAsia="zh-CN"/>
    </w:rPr>
  </w:style>
  <w:style w:type="character" w:customStyle="1" w:styleId="85">
    <w:name w:val="title_emph1"/>
    <w:qFormat/>
    <w:uiPriority w:val="0"/>
    <w:rPr>
      <w:rFonts w:ascii="Arial" w:hAnsi="Arial"/>
      <w:b/>
      <w:sz w:val="20"/>
    </w:rPr>
  </w:style>
  <w:style w:type="character" w:customStyle="1" w:styleId="86">
    <w:name w:val="Char Char6"/>
    <w:qFormat/>
    <w:uiPriority w:val="0"/>
    <w:rPr>
      <w:rFonts w:ascii="仿宋_GB2312" w:eastAsia="仿宋_GB2312"/>
      <w:kern w:val="2"/>
      <w:sz w:val="32"/>
    </w:rPr>
  </w:style>
  <w:style w:type="character" w:customStyle="1" w:styleId="87">
    <w:name w:val="top-det1"/>
    <w:qFormat/>
    <w:uiPriority w:val="0"/>
    <w:rPr>
      <w:b/>
      <w:color w:val="000000"/>
    </w:rPr>
  </w:style>
  <w:style w:type="character" w:customStyle="1" w:styleId="88">
    <w:name w:val="Char Char5"/>
    <w:qFormat/>
    <w:uiPriority w:val="0"/>
    <w:rPr>
      <w:rFonts w:ascii="Arial" w:hAnsi="Arial" w:eastAsia="宋体"/>
      <w:b/>
      <w:smallCaps/>
      <w:kern w:val="28"/>
      <w:sz w:val="36"/>
      <w:lang w:val="en-US"/>
    </w:rPr>
  </w:style>
  <w:style w:type="character" w:customStyle="1" w:styleId="89">
    <w:name w:val="标书正文:  0.74 厘米 Char1"/>
    <w:qFormat/>
    <w:uiPriority w:val="0"/>
    <w:rPr>
      <w:rFonts w:eastAsia="宋体"/>
      <w:kern w:val="2"/>
      <w:sz w:val="24"/>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Char Char"/>
    <w:qFormat/>
    <w:uiPriority w:val="0"/>
    <w:rPr>
      <w:rFonts w:ascii="宋体" w:eastAsia="宋体"/>
      <w:kern w:val="2"/>
      <w:sz w:val="24"/>
      <w:lang w:val="en-US" w:eastAsia="zh-CN" w:bidi="ar-SA"/>
    </w:rPr>
  </w:style>
  <w:style w:type="paragraph" w:customStyle="1" w:styleId="92">
    <w:name w:val="IN Feature"/>
    <w:next w:val="93"/>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4">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6">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7">
    <w:name w:val="Char1 Char Char Char"/>
    <w:basedOn w:val="1"/>
    <w:qFormat/>
    <w:uiPriority w:val="0"/>
    <w:rPr>
      <w:rFonts w:ascii="Tahoma" w:hAnsi="Tahoma"/>
      <w:sz w:val="30"/>
    </w:rPr>
  </w:style>
  <w:style w:type="paragraph" w:customStyle="1" w:styleId="98">
    <w:name w:val="段落正文"/>
    <w:basedOn w:val="1"/>
    <w:qFormat/>
    <w:uiPriority w:val="0"/>
    <w:pPr>
      <w:spacing w:before="50" w:beforeLines="50" w:line="360" w:lineRule="auto"/>
      <w:ind w:firstLine="200" w:firstLineChars="200"/>
    </w:pPr>
    <w:rPr>
      <w:spacing w:val="2"/>
      <w:sz w:val="24"/>
    </w:rPr>
  </w:style>
  <w:style w:type="paragraph" w:customStyle="1" w:styleId="99">
    <w:name w:val="二级列表"/>
    <w:basedOn w:val="98"/>
    <w:next w:val="98"/>
    <w:qFormat/>
    <w:uiPriority w:val="0"/>
    <w:pPr>
      <w:tabs>
        <w:tab w:val="left" w:pos="2120"/>
      </w:tabs>
      <w:ind w:firstLine="0" w:firstLineChars="0"/>
    </w:pPr>
    <w:rPr>
      <w:b/>
    </w:rPr>
  </w:style>
  <w:style w:type="paragraph" w:customStyle="1" w:styleId="100">
    <w:name w:val="00"/>
    <w:basedOn w:val="1"/>
    <w:qFormat/>
    <w:uiPriority w:val="0"/>
    <w:pPr>
      <w:autoSpaceDE w:val="0"/>
      <w:autoSpaceDN w:val="0"/>
      <w:adjustRightInd w:val="0"/>
      <w:jc w:val="left"/>
    </w:pPr>
    <w:rPr>
      <w:rFonts w:ascii="黑体" w:eastAsia="黑体"/>
      <w:b/>
      <w:kern w:val="0"/>
      <w:sz w:val="20"/>
    </w:rPr>
  </w:style>
  <w:style w:type="paragraph" w:customStyle="1" w:styleId="101">
    <w:name w:val="1.正文"/>
    <w:basedOn w:val="1"/>
    <w:qFormat/>
    <w:uiPriority w:val="0"/>
    <w:pPr>
      <w:spacing w:line="360" w:lineRule="auto"/>
      <w:ind w:left="225" w:leftChars="225" w:firstLine="225" w:firstLineChars="225"/>
    </w:pPr>
    <w:rPr>
      <w:sz w:val="24"/>
    </w:rPr>
  </w:style>
  <w:style w:type="paragraph" w:customStyle="1" w:styleId="102">
    <w:name w:val="内容标题"/>
    <w:basedOn w:val="18"/>
    <w:qFormat/>
    <w:uiPriority w:val="0"/>
    <w:rPr>
      <w:rFonts w:ascii="Tahoma" w:hAnsi="Tahoma"/>
      <w:sz w:val="24"/>
    </w:rPr>
  </w:style>
  <w:style w:type="paragraph" w:customStyle="1" w:styleId="103">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4">
    <w:name w:val="表格正文"/>
    <w:basedOn w:val="1"/>
    <w:qFormat/>
    <w:uiPriority w:val="0"/>
    <w:rPr>
      <w:rFonts w:ascii="Calibri" w:hAnsi="Calibri" w:eastAsia="仿宋" w:cs="宋体"/>
      <w:sz w:val="24"/>
    </w:rPr>
  </w:style>
  <w:style w:type="paragraph" w:customStyle="1" w:styleId="105">
    <w:name w:val="表头"/>
    <w:basedOn w:val="104"/>
    <w:qFormat/>
    <w:uiPriority w:val="0"/>
    <w:pPr>
      <w:jc w:val="center"/>
    </w:pPr>
    <w:rPr>
      <w:b/>
      <w:bCs/>
    </w:rPr>
  </w:style>
  <w:style w:type="paragraph" w:customStyle="1" w:styleId="106">
    <w:name w:val="正文1"/>
    <w:basedOn w:val="1"/>
    <w:qFormat/>
    <w:uiPriority w:val="0"/>
    <w:pPr>
      <w:spacing w:line="300" w:lineRule="auto"/>
      <w:ind w:firstLine="200" w:firstLineChars="200"/>
    </w:pPr>
    <w:rPr>
      <w:sz w:val="24"/>
    </w:rPr>
  </w:style>
  <w:style w:type="paragraph" w:customStyle="1" w:styleId="107">
    <w:name w:val="附录1"/>
    <w:basedOn w:val="1"/>
    <w:next w:val="1"/>
    <w:qFormat/>
    <w:uiPriority w:val="0"/>
    <w:pPr>
      <w:tabs>
        <w:tab w:val="left" w:pos="1304"/>
      </w:tabs>
      <w:ind w:left="425" w:hanging="425"/>
      <w:outlineLvl w:val="0"/>
    </w:pPr>
    <w:rPr>
      <w:rFonts w:ascii="黑体" w:eastAsia="黑体"/>
      <w:b/>
      <w:sz w:val="44"/>
    </w:rPr>
  </w:style>
  <w:style w:type="paragraph" w:customStyle="1" w:styleId="10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9">
    <w:name w:val="正文字缩2字"/>
    <w:basedOn w:val="1"/>
    <w:qFormat/>
    <w:uiPriority w:val="0"/>
    <w:pPr>
      <w:spacing w:before="60" w:after="60" w:line="360" w:lineRule="auto"/>
      <w:ind w:left="200" w:leftChars="200" w:firstLine="200" w:firstLineChars="200"/>
    </w:pPr>
    <w:rPr>
      <w:sz w:val="24"/>
    </w:rPr>
  </w:style>
  <w:style w:type="paragraph" w:customStyle="1" w:styleId="11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1">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2">
    <w:name w:val="Title - Date"/>
    <w:basedOn w:val="53"/>
    <w:next w:val="1"/>
    <w:qFormat/>
    <w:uiPriority w:val="0"/>
    <w:pPr>
      <w:spacing w:before="240" w:after="720"/>
    </w:pPr>
    <w:rPr>
      <w:sz w:val="28"/>
    </w:rPr>
  </w:style>
  <w:style w:type="paragraph" w:customStyle="1" w:styleId="11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4">
    <w:name w:val="没有缩进（为图形使用）"/>
    <w:basedOn w:val="1"/>
    <w:qFormat/>
    <w:uiPriority w:val="0"/>
    <w:pPr>
      <w:spacing w:before="120" w:after="120" w:line="360" w:lineRule="auto"/>
    </w:pPr>
    <w:rPr>
      <w:sz w:val="24"/>
    </w:rPr>
  </w:style>
  <w:style w:type="paragraph" w:customStyle="1" w:styleId="115">
    <w:name w:val="Char1 Char Char Char1"/>
    <w:basedOn w:val="1"/>
    <w:qFormat/>
    <w:uiPriority w:val="0"/>
    <w:rPr>
      <w:rFonts w:ascii="Tahoma" w:hAnsi="Tahoma"/>
      <w:sz w:val="24"/>
    </w:rPr>
  </w:style>
  <w:style w:type="paragraph" w:customStyle="1" w:styleId="116">
    <w:name w:val="Char1"/>
    <w:basedOn w:val="1"/>
    <w:qFormat/>
    <w:uiPriority w:val="0"/>
    <w:rPr>
      <w:sz w:val="21"/>
    </w:rPr>
  </w:style>
  <w:style w:type="paragraph" w:customStyle="1" w:styleId="117">
    <w:name w:val="表头样式"/>
    <w:basedOn w:val="1"/>
    <w:qFormat/>
    <w:uiPriority w:val="0"/>
    <w:pPr>
      <w:autoSpaceDE w:val="0"/>
      <w:autoSpaceDN w:val="0"/>
      <w:adjustRightInd w:val="0"/>
      <w:spacing w:line="360" w:lineRule="auto"/>
      <w:jc w:val="left"/>
    </w:pPr>
    <w:rPr>
      <w:b/>
      <w:kern w:val="0"/>
      <w:sz w:val="21"/>
    </w:rPr>
  </w:style>
  <w:style w:type="paragraph" w:customStyle="1" w:styleId="118">
    <w:name w:val="样式 正文缩进正文（首行缩进两字）表正文正文非缩进特点标题4段1 + 首行缩进:  2 字符"/>
    <w:basedOn w:val="16"/>
    <w:qFormat/>
    <w:uiPriority w:val="0"/>
    <w:pPr>
      <w:ind w:firstLine="200" w:firstLineChars="200"/>
    </w:pPr>
  </w:style>
  <w:style w:type="paragraph" w:customStyle="1" w:styleId="119">
    <w:name w:val="样式4"/>
    <w:basedOn w:val="6"/>
    <w:qFormat/>
    <w:uiPriority w:val="0"/>
    <w:pPr>
      <w:adjustRightInd w:val="0"/>
      <w:snapToGrid w:val="0"/>
    </w:pPr>
  </w:style>
  <w:style w:type="paragraph" w:customStyle="1" w:styleId="120">
    <w:name w:val="正文文本缩进 21"/>
    <w:basedOn w:val="1"/>
    <w:qFormat/>
    <w:uiPriority w:val="0"/>
    <w:pPr>
      <w:adjustRightInd w:val="0"/>
      <w:spacing w:before="120"/>
      <w:ind w:firstLine="420"/>
      <w:textAlignment w:val="baseline"/>
    </w:pPr>
    <w:rPr>
      <w:sz w:val="24"/>
    </w:rPr>
  </w:style>
  <w:style w:type="paragraph" w:customStyle="1" w:styleId="121">
    <w:name w:val="首行缩进 1"/>
    <w:basedOn w:val="1"/>
    <w:qFormat/>
    <w:uiPriority w:val="0"/>
    <w:pPr>
      <w:spacing w:after="120" w:line="360" w:lineRule="auto"/>
      <w:ind w:firstLine="200" w:firstLineChars="200"/>
    </w:pPr>
    <w:rPr>
      <w:sz w:val="24"/>
    </w:rPr>
  </w:style>
  <w:style w:type="paragraph" w:customStyle="1" w:styleId="122">
    <w:name w:val="样式 首行缩进:  0.74 厘米"/>
    <w:basedOn w:val="1"/>
    <w:qFormat/>
    <w:uiPriority w:val="0"/>
    <w:pPr>
      <w:spacing w:line="360" w:lineRule="auto"/>
      <w:ind w:firstLine="420"/>
    </w:pPr>
    <w:rPr>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5">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6">
    <w:name w:val="Title - Revision"/>
    <w:basedOn w:val="53"/>
    <w:qFormat/>
    <w:uiPriority w:val="0"/>
    <w:pPr>
      <w:spacing w:before="720"/>
    </w:pPr>
  </w:style>
  <w:style w:type="paragraph" w:customStyle="1" w:styleId="127">
    <w:name w:val="文本框样式1"/>
    <w:basedOn w:val="1"/>
    <w:qFormat/>
    <w:uiPriority w:val="0"/>
    <w:pPr>
      <w:adjustRightInd w:val="0"/>
      <w:snapToGrid w:val="0"/>
      <w:spacing w:before="60" w:line="180" w:lineRule="exact"/>
      <w:jc w:val="center"/>
    </w:pPr>
    <w:rPr>
      <w:sz w:val="21"/>
    </w:rPr>
  </w:style>
  <w:style w:type="paragraph" w:customStyle="1" w:styleId="128">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9">
    <w:name w:val="1"/>
    <w:basedOn w:val="1"/>
    <w:next w:val="30"/>
    <w:qFormat/>
    <w:uiPriority w:val="0"/>
    <w:rPr>
      <w:rFonts w:ascii="宋体"/>
      <w:sz w:val="21"/>
    </w:rPr>
  </w:style>
  <w:style w:type="paragraph" w:customStyle="1" w:styleId="130">
    <w:name w:val="Table Contents"/>
    <w:basedOn w:val="2"/>
    <w:qFormat/>
    <w:uiPriority w:val="0"/>
    <w:pPr>
      <w:suppressAutoHyphens/>
      <w:jc w:val="left"/>
    </w:pPr>
    <w:rPr>
      <w:rFonts w:ascii="Times New Roman" w:eastAsia="Times New Roman"/>
      <w:kern w:val="0"/>
      <w:sz w:val="24"/>
    </w:rPr>
  </w:style>
  <w:style w:type="paragraph" w:customStyle="1" w:styleId="131">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2">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3">
    <w:name w:val="Char Char Char Char Char Char Char"/>
    <w:basedOn w:val="18"/>
    <w:qFormat/>
    <w:uiPriority w:val="0"/>
    <w:rPr>
      <w:rFonts w:ascii="宋体"/>
    </w:rPr>
  </w:style>
  <w:style w:type="paragraph" w:customStyle="1" w:styleId="134">
    <w:name w:val="默认段落字体 Para Char Char Char Char Char Char Char Char Char1 Char Char Char Char"/>
    <w:basedOn w:val="1"/>
    <w:qFormat/>
    <w:uiPriority w:val="0"/>
    <w:rPr>
      <w:rFonts w:ascii="Tahoma" w:hAnsi="Tahoma"/>
      <w:sz w:val="24"/>
    </w:rPr>
  </w:style>
  <w:style w:type="paragraph" w:customStyle="1" w:styleId="135">
    <w:name w:val="标题无"/>
    <w:basedOn w:val="1"/>
    <w:qFormat/>
    <w:uiPriority w:val="0"/>
    <w:pPr>
      <w:spacing w:line="360" w:lineRule="auto"/>
    </w:pPr>
    <w:rPr>
      <w:sz w:val="24"/>
    </w:rPr>
  </w:style>
  <w:style w:type="paragraph" w:customStyle="1" w:styleId="136">
    <w:name w:val="样式1"/>
    <w:basedOn w:val="6"/>
    <w:qFormat/>
    <w:uiPriority w:val="0"/>
    <w:pPr>
      <w:tabs>
        <w:tab w:val="left" w:pos="720"/>
      </w:tabs>
      <w:spacing w:before="500" w:after="260" w:line="560" w:lineRule="atLeast"/>
      <w:ind w:left="420" w:hanging="420"/>
    </w:pPr>
  </w:style>
  <w:style w:type="paragraph" w:customStyle="1" w:styleId="137">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39"/>
    <w:qFormat/>
    <w:uiPriority w:val="0"/>
    <w:pPr>
      <w:numPr>
        <w:ilvl w:val="0"/>
        <w:numId w:val="0"/>
      </w:numPr>
      <w:spacing w:before="0" w:beforeLines="0" w:after="0" w:afterLines="0"/>
      <w:ind w:left="525"/>
      <w:outlineLvl w:val="2"/>
    </w:pPr>
    <w:rPr>
      <w:sz w:val="21"/>
    </w:rPr>
  </w:style>
  <w:style w:type="paragraph" w:customStyle="1" w:styleId="139">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40">
    <w:name w:val="二级条标题"/>
    <w:basedOn w:val="138"/>
    <w:next w:val="139"/>
    <w:qFormat/>
    <w:uiPriority w:val="0"/>
    <w:pPr>
      <w:ind w:left="840"/>
      <w:outlineLvl w:val="3"/>
    </w:pPr>
  </w:style>
  <w:style w:type="paragraph" w:customStyle="1" w:styleId="14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2">
    <w:name w:val="关键词"/>
    <w:basedOn w:val="1"/>
    <w:next w:val="1"/>
    <w:qFormat/>
    <w:uiPriority w:val="0"/>
    <w:pPr>
      <w:spacing w:line="360" w:lineRule="auto"/>
    </w:pPr>
    <w:rPr>
      <w:rFonts w:eastAsia="黑体"/>
      <w:sz w:val="20"/>
    </w:rPr>
  </w:style>
  <w:style w:type="paragraph" w:customStyle="1" w:styleId="143">
    <w:name w:val="样式2"/>
    <w:basedOn w:val="6"/>
    <w:qFormat/>
    <w:uiPriority w:val="0"/>
    <w:pPr>
      <w:numPr>
        <w:ilvl w:val="0"/>
        <w:numId w:val="5"/>
      </w:numPr>
      <w:spacing w:before="560" w:line="400" w:lineRule="exact"/>
      <w:jc w:val="center"/>
      <w:outlineLvl w:val="0"/>
    </w:pPr>
    <w:rPr>
      <w:b w:val="0"/>
      <w:sz w:val="44"/>
    </w:rPr>
  </w:style>
  <w:style w:type="paragraph" w:customStyle="1" w:styleId="144">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5">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7">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0">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1">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2">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3">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4">
    <w:name w:val="样式1xz"/>
    <w:basedOn w:val="1"/>
    <w:qFormat/>
    <w:uiPriority w:val="0"/>
    <w:pPr>
      <w:tabs>
        <w:tab w:val="left" w:pos="1050"/>
        <w:tab w:val="right" w:leader="dot" w:pos="8296"/>
      </w:tabs>
    </w:pPr>
    <w:rPr>
      <w:caps/>
      <w:spacing w:val="20"/>
      <w:sz w:val="24"/>
    </w:rPr>
  </w:style>
  <w:style w:type="paragraph" w:customStyle="1" w:styleId="155">
    <w:name w:val="样式 宋体 五号 行距: 单倍行距"/>
    <w:basedOn w:val="1"/>
    <w:qFormat/>
    <w:uiPriority w:val="0"/>
    <w:pPr>
      <w:adjustRightInd w:val="0"/>
      <w:jc w:val="left"/>
    </w:pPr>
    <w:rPr>
      <w:rFonts w:ascii="宋体"/>
      <w:kern w:val="0"/>
      <w:sz w:val="21"/>
    </w:rPr>
  </w:style>
  <w:style w:type="paragraph" w:customStyle="1" w:styleId="156">
    <w:name w:val="图片文字"/>
    <w:basedOn w:val="1"/>
    <w:qFormat/>
    <w:uiPriority w:val="0"/>
    <w:pPr>
      <w:spacing w:line="240" w:lineRule="atLeast"/>
      <w:jc w:val="center"/>
    </w:pPr>
    <w:rPr>
      <w:sz w:val="21"/>
    </w:rPr>
  </w:style>
  <w:style w:type="paragraph" w:customStyle="1" w:styleId="157">
    <w:name w:val="Char"/>
    <w:basedOn w:val="1"/>
    <w:qFormat/>
    <w:uiPriority w:val="0"/>
    <w:pPr>
      <w:spacing w:line="240" w:lineRule="atLeast"/>
      <w:ind w:left="420" w:firstLine="420"/>
    </w:pPr>
    <w:rPr>
      <w:kern w:val="0"/>
      <w:sz w:val="21"/>
    </w:rPr>
  </w:style>
  <w:style w:type="paragraph" w:customStyle="1" w:styleId="158">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9">
    <w:name w:val="Note"/>
    <w:basedOn w:val="1"/>
    <w:qFormat/>
    <w:uiPriority w:val="0"/>
    <w:pPr>
      <w:pBdr>
        <w:top w:val="single" w:color="auto" w:sz="12" w:space="3"/>
        <w:bottom w:val="single" w:color="auto" w:sz="12" w:space="3"/>
      </w:pBdr>
      <w:spacing w:line="360" w:lineRule="auto"/>
    </w:pPr>
    <w:rPr>
      <w:sz w:val="24"/>
    </w:rPr>
  </w:style>
  <w:style w:type="paragraph" w:customStyle="1" w:styleId="160">
    <w:name w:val="Char2"/>
    <w:basedOn w:val="1"/>
    <w:qFormat/>
    <w:uiPriority w:val="0"/>
    <w:pPr>
      <w:spacing w:line="240" w:lineRule="atLeast"/>
      <w:ind w:left="420" w:firstLine="420"/>
    </w:pPr>
    <w:rPr>
      <w:kern w:val="0"/>
      <w:sz w:val="21"/>
    </w:rPr>
  </w:style>
  <w:style w:type="paragraph" w:customStyle="1" w:styleId="161">
    <w:name w:val="Char Char Char"/>
    <w:basedOn w:val="1"/>
    <w:qFormat/>
    <w:uiPriority w:val="0"/>
    <w:rPr>
      <w:rFonts w:ascii="Tahoma" w:hAnsi="Tahoma"/>
      <w:sz w:val="24"/>
    </w:rPr>
  </w:style>
  <w:style w:type="paragraph" w:customStyle="1" w:styleId="162">
    <w:name w:val="Char Char1"/>
    <w:basedOn w:val="1"/>
    <w:qFormat/>
    <w:uiPriority w:val="0"/>
    <w:pPr>
      <w:widowControl/>
      <w:spacing w:line="240" w:lineRule="exact"/>
      <w:jc w:val="left"/>
    </w:pPr>
    <w:rPr>
      <w:rFonts w:ascii="Verdana" w:hAnsi="Verdana"/>
      <w:kern w:val="0"/>
      <w:sz w:val="20"/>
    </w:rPr>
  </w:style>
  <w:style w:type="paragraph" w:customStyle="1" w:styleId="163">
    <w:name w:val="标书正文:  0.74 厘米"/>
    <w:basedOn w:val="1"/>
    <w:qFormat/>
    <w:uiPriority w:val="0"/>
    <w:pPr>
      <w:snapToGrid w:val="0"/>
      <w:spacing w:line="360" w:lineRule="auto"/>
      <w:ind w:firstLine="420"/>
    </w:pPr>
    <w:rPr>
      <w:sz w:val="24"/>
    </w:rPr>
  </w:style>
  <w:style w:type="paragraph" w:customStyle="1" w:styleId="164">
    <w:name w:val="Char Char 字元 字元 字元 Char Char Char Char"/>
    <w:basedOn w:val="1"/>
    <w:qFormat/>
    <w:uiPriority w:val="0"/>
    <w:pPr>
      <w:adjustRightInd w:val="0"/>
      <w:spacing w:line="360" w:lineRule="auto"/>
    </w:pPr>
    <w:rPr>
      <w:kern w:val="0"/>
      <w:sz w:val="24"/>
    </w:rPr>
  </w:style>
  <w:style w:type="paragraph" w:customStyle="1" w:styleId="165">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6">
    <w:name w:val="列表项目"/>
    <w:basedOn w:val="1"/>
    <w:qFormat/>
    <w:uiPriority w:val="0"/>
    <w:pPr>
      <w:tabs>
        <w:tab w:val="left" w:pos="420"/>
      </w:tabs>
      <w:spacing w:line="288" w:lineRule="auto"/>
      <w:ind w:left="400" w:leftChars="200" w:hanging="200" w:hangingChars="200"/>
    </w:pPr>
    <w:rPr>
      <w:sz w:val="21"/>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8">
    <w:name w:val="Char Char14 Char Char"/>
    <w:basedOn w:val="1"/>
    <w:qFormat/>
    <w:uiPriority w:val="0"/>
    <w:rPr>
      <w:sz w:val="21"/>
      <w:szCs w:val="24"/>
    </w:rPr>
  </w:style>
  <w:style w:type="paragraph" w:customStyle="1" w:styleId="169">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70">
    <w:name w:val="可研正文"/>
    <w:basedOn w:val="2"/>
    <w:qFormat/>
    <w:uiPriority w:val="0"/>
    <w:pPr>
      <w:adjustRightInd w:val="0"/>
      <w:snapToGrid w:val="0"/>
      <w:spacing w:line="440" w:lineRule="exact"/>
      <w:ind w:firstLine="567"/>
    </w:pPr>
    <w:rPr>
      <w:sz w:val="28"/>
    </w:rPr>
  </w:style>
  <w:style w:type="paragraph" w:customStyle="1" w:styleId="171">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2">
    <w:name w:val="首行缩进"/>
    <w:basedOn w:val="1"/>
    <w:qFormat/>
    <w:uiPriority w:val="0"/>
    <w:pPr>
      <w:numPr>
        <w:ilvl w:val="0"/>
        <w:numId w:val="7"/>
      </w:numPr>
      <w:spacing w:line="360" w:lineRule="auto"/>
    </w:pPr>
    <w:rPr>
      <w:rFonts w:eastAsia="仿宋_GB2312"/>
    </w:rPr>
  </w:style>
  <w:style w:type="paragraph" w:customStyle="1" w:styleId="173">
    <w:name w:val="样式 宋体 五号 两端对齐 行距: 单倍行距"/>
    <w:basedOn w:val="1"/>
    <w:qFormat/>
    <w:uiPriority w:val="0"/>
    <w:pPr>
      <w:adjustRightInd w:val="0"/>
      <w:textAlignment w:val="baseline"/>
    </w:pPr>
    <w:rPr>
      <w:rFonts w:ascii="宋体"/>
      <w:kern w:val="0"/>
      <w:sz w:val="21"/>
    </w:rPr>
  </w:style>
  <w:style w:type="paragraph" w:customStyle="1" w:styleId="174">
    <w:name w:val="正文 + 三号"/>
    <w:basedOn w:val="1"/>
    <w:qFormat/>
    <w:uiPriority w:val="0"/>
    <w:rPr>
      <w:sz w:val="21"/>
    </w:rPr>
  </w:style>
  <w:style w:type="paragraph" w:customStyle="1" w:styleId="175">
    <w:name w:val="Char Char1 Char"/>
    <w:basedOn w:val="1"/>
    <w:qFormat/>
    <w:uiPriority w:val="0"/>
    <w:rPr>
      <w:rFonts w:ascii="Tahoma" w:hAnsi="Tahoma"/>
      <w:sz w:val="24"/>
      <w:szCs w:val="24"/>
    </w:rPr>
  </w:style>
  <w:style w:type="paragraph" w:customStyle="1" w:styleId="176">
    <w:name w:val="style1"/>
    <w:basedOn w:val="1"/>
    <w:qFormat/>
    <w:uiPriority w:val="0"/>
    <w:pPr>
      <w:widowControl/>
      <w:spacing w:before="100" w:beforeAutospacing="1" w:after="100" w:afterAutospacing="1"/>
      <w:jc w:val="left"/>
    </w:pPr>
    <w:rPr>
      <w:rFonts w:ascii="宋体"/>
      <w:kern w:val="0"/>
      <w:sz w:val="21"/>
    </w:rPr>
  </w:style>
  <w:style w:type="paragraph" w:customStyle="1" w:styleId="17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8">
    <w:name w:val="正文文本 21"/>
    <w:basedOn w:val="1"/>
    <w:qFormat/>
    <w:uiPriority w:val="0"/>
    <w:pPr>
      <w:adjustRightInd w:val="0"/>
      <w:spacing w:before="120" w:line="360" w:lineRule="auto"/>
      <w:ind w:firstLine="480"/>
      <w:textAlignment w:val="baseline"/>
    </w:pPr>
    <w:rPr>
      <w:sz w:val="24"/>
    </w:rPr>
  </w:style>
  <w:style w:type="paragraph" w:customStyle="1" w:styleId="179">
    <w:name w:val="bt"/>
    <w:basedOn w:val="1"/>
    <w:next w:val="2"/>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1">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2">
    <w:name w:val="摘要"/>
    <w:basedOn w:val="1"/>
    <w:next w:val="4"/>
    <w:qFormat/>
    <w:uiPriority w:val="0"/>
    <w:pPr>
      <w:spacing w:line="360" w:lineRule="auto"/>
    </w:pPr>
    <w:rPr>
      <w:rFonts w:eastAsia="黑体"/>
      <w:sz w:val="20"/>
    </w:rPr>
  </w:style>
  <w:style w:type="paragraph" w:customStyle="1" w:styleId="18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4">
    <w:name w:val="正文（首行不缩进）"/>
    <w:basedOn w:val="1"/>
    <w:qFormat/>
    <w:uiPriority w:val="0"/>
    <w:pPr>
      <w:autoSpaceDE w:val="0"/>
      <w:autoSpaceDN w:val="0"/>
      <w:adjustRightInd w:val="0"/>
      <w:spacing w:line="360" w:lineRule="auto"/>
      <w:jc w:val="left"/>
    </w:pPr>
    <w:rPr>
      <w:kern w:val="0"/>
      <w:sz w:val="21"/>
    </w:rPr>
  </w:style>
  <w:style w:type="paragraph" w:customStyle="1" w:styleId="18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87">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8">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9">
    <w:name w:val="Char2 Char Char Char Char Char Char"/>
    <w:basedOn w:val="1"/>
    <w:qFormat/>
    <w:uiPriority w:val="0"/>
    <w:rPr>
      <w:rFonts w:ascii="仿宋_GB2312" w:hAnsi="仿宋_GB2312"/>
      <w:b/>
      <w:sz w:val="30"/>
    </w:rPr>
  </w:style>
  <w:style w:type="paragraph" w:customStyle="1" w:styleId="190">
    <w:name w:val="简单回函地址"/>
    <w:basedOn w:val="1"/>
    <w:qFormat/>
    <w:uiPriority w:val="0"/>
    <w:pPr>
      <w:adjustRightInd w:val="0"/>
      <w:snapToGrid w:val="0"/>
      <w:spacing w:line="360" w:lineRule="auto"/>
    </w:pPr>
    <w:rPr>
      <w:sz w:val="24"/>
    </w:rPr>
  </w:style>
  <w:style w:type="paragraph" w:customStyle="1" w:styleId="191">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5">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6">
    <w:name w:val="Style Heading 3h3Heading 3 - oldLevel 3 HeadH3level_3PIM 3se..."/>
    <w:basedOn w:val="5"/>
    <w:qFormat/>
    <w:uiPriority w:val="0"/>
    <w:pPr>
      <w:numPr>
        <w:ilvl w:val="2"/>
        <w:numId w:val="11"/>
      </w:numPr>
      <w:tabs>
        <w:tab w:val="left" w:pos="709"/>
        <w:tab w:val="left" w:pos="1620"/>
      </w:tabs>
    </w:p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9">
    <w:name w:val="样式3"/>
    <w:basedOn w:val="3"/>
    <w:next w:val="3"/>
    <w:uiPriority w:val="0"/>
    <w:pPr>
      <w:keepLines/>
      <w:adjustRightInd w:val="0"/>
      <w:spacing w:before="340" w:after="330" w:line="576" w:lineRule="auto"/>
    </w:pPr>
    <w:rPr>
      <w:rFonts w:ascii="Times New Roman" w:eastAsia="黑体"/>
      <w:b/>
      <w:kern w:val="44"/>
      <w:sz w:val="44"/>
    </w:rPr>
  </w:style>
  <w:style w:type="paragraph" w:customStyle="1" w:styleId="20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1">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2">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3">
    <w:name w:val="附录3"/>
    <w:basedOn w:val="1"/>
    <w:next w:val="1"/>
    <w:qFormat/>
    <w:uiPriority w:val="0"/>
    <w:pPr>
      <w:tabs>
        <w:tab w:val="left" w:pos="851"/>
      </w:tabs>
      <w:ind w:left="425" w:hanging="425"/>
      <w:outlineLvl w:val="2"/>
    </w:pPr>
    <w:rPr>
      <w:rFonts w:eastAsia="黑体"/>
      <w:b/>
      <w:sz w:val="32"/>
    </w:rPr>
  </w:style>
  <w:style w:type="paragraph" w:customStyle="1" w:styleId="204">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5">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6">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7">
    <w:name w:val="af"/>
    <w:basedOn w:val="1"/>
    <w:qFormat/>
    <w:uiPriority w:val="0"/>
    <w:pPr>
      <w:widowControl/>
      <w:spacing w:line="300" w:lineRule="atLeast"/>
      <w:jc w:val="left"/>
    </w:pPr>
    <w:rPr>
      <w:rFonts w:ascii="宋体"/>
      <w:kern w:val="0"/>
      <w:sz w:val="18"/>
    </w:rPr>
  </w:style>
  <w:style w:type="paragraph" w:customStyle="1" w:styleId="208">
    <w:name w:val="文章正文"/>
    <w:basedOn w:val="1"/>
    <w:qFormat/>
    <w:uiPriority w:val="0"/>
    <w:pPr>
      <w:ind w:firstLine="200" w:firstLineChars="200"/>
    </w:pPr>
    <w:rPr>
      <w:rFonts w:ascii="仿宋_GB2312" w:eastAsia="仿宋_GB2312"/>
      <w:color w:val="000000"/>
    </w:rPr>
  </w:style>
  <w:style w:type="paragraph" w:customStyle="1" w:styleId="209">
    <w:name w:val="图例"/>
    <w:basedOn w:val="1"/>
    <w:qFormat/>
    <w:uiPriority w:val="0"/>
    <w:pPr>
      <w:spacing w:before="120" w:after="120" w:line="360" w:lineRule="auto"/>
      <w:jc w:val="center"/>
    </w:pPr>
    <w:rPr>
      <w:rFonts w:eastAsia="仿宋_GB2312"/>
      <w:b/>
      <w:sz w:val="24"/>
    </w:rPr>
  </w:style>
  <w:style w:type="paragraph" w:customStyle="1" w:styleId="210">
    <w:name w:val="Table Description"/>
    <w:next w:val="1"/>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1">
    <w:name w:val="Char Char Char Char Char"/>
    <w:basedOn w:val="1"/>
    <w:qFormat/>
    <w:uiPriority w:val="0"/>
    <w:pPr>
      <w:tabs>
        <w:tab w:val="left" w:pos="425"/>
      </w:tabs>
      <w:ind w:left="1620" w:hanging="360"/>
    </w:pPr>
    <w:rPr>
      <w:rFonts w:ascii="Tahoma" w:hAnsi="Tahoma"/>
      <w:sz w:val="24"/>
    </w:rPr>
  </w:style>
  <w:style w:type="paragraph" w:customStyle="1" w:styleId="212">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3">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4">
    <w:name w:val="正文4"/>
    <w:basedOn w:val="1"/>
    <w:qFormat/>
    <w:uiPriority w:val="0"/>
    <w:pPr>
      <w:tabs>
        <w:tab w:val="left" w:pos="1275"/>
      </w:tabs>
      <w:spacing w:before="60" w:after="60" w:line="360" w:lineRule="auto"/>
      <w:ind w:left="1105" w:leftChars="400" w:hanging="705"/>
    </w:pPr>
    <w:rPr>
      <w:sz w:val="24"/>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编号正文"/>
    <w:basedOn w:val="185"/>
    <w:qFormat/>
    <w:uiPriority w:val="0"/>
    <w:pPr>
      <w:snapToGrid/>
      <w:spacing w:line="360" w:lineRule="auto"/>
      <w:ind w:left="1407" w:hanging="1047"/>
      <w:jc w:val="left"/>
    </w:pPr>
    <w:rPr>
      <w:rFonts w:eastAsia="仿宋_GB2312"/>
    </w:rPr>
  </w:style>
  <w:style w:type="paragraph" w:customStyle="1" w:styleId="217">
    <w:name w:val="表格内文字"/>
    <w:basedOn w:val="30"/>
    <w:qFormat/>
    <w:uiPriority w:val="0"/>
    <w:pPr>
      <w:adjustRightInd w:val="0"/>
    </w:pPr>
    <w:rPr>
      <w:color w:val="000000"/>
      <w:lang w:val="en-GB"/>
    </w:rPr>
  </w:style>
  <w:style w:type="paragraph" w:customStyle="1" w:styleId="218">
    <w:name w:val="样式 行距: 1.5 倍行距1"/>
    <w:basedOn w:val="1"/>
    <w:qFormat/>
    <w:uiPriority w:val="0"/>
    <w:pPr>
      <w:snapToGrid w:val="0"/>
    </w:pPr>
    <w:rPr>
      <w:sz w:val="21"/>
    </w:rPr>
  </w:style>
  <w:style w:type="paragraph" w:customStyle="1" w:styleId="219">
    <w:name w:val="Char Char Char Char Char Char Char1"/>
    <w:basedOn w:val="1"/>
    <w:qFormat/>
    <w:uiPriority w:val="0"/>
    <w:rPr>
      <w:rFonts w:ascii="Tahoma" w:hAnsi="Tahoma"/>
      <w:sz w:val="24"/>
    </w:rPr>
  </w:style>
  <w:style w:type="paragraph" w:customStyle="1" w:styleId="220">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1">
    <w:name w:val="正文表格"/>
    <w:basedOn w:val="1"/>
    <w:qFormat/>
    <w:uiPriority w:val="0"/>
    <w:pPr>
      <w:adjustRightInd w:val="0"/>
      <w:spacing w:before="40" w:after="40"/>
    </w:pPr>
    <w:rPr>
      <w:sz w:val="24"/>
    </w:rPr>
  </w:style>
  <w:style w:type="paragraph" w:customStyle="1" w:styleId="22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3">
    <w:name w:val="Char Char Char Char Char Char Char Char Char Char Char Char Char Char Char Char"/>
    <w:basedOn w:val="1"/>
    <w:qFormat/>
    <w:uiPriority w:val="0"/>
    <w:pPr>
      <w:tabs>
        <w:tab w:val="left" w:pos="360"/>
      </w:tabs>
    </w:pPr>
    <w:rPr>
      <w:sz w:val="24"/>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标准正文"/>
    <w:basedOn w:val="23"/>
    <w:qFormat/>
    <w:uiPriority w:val="0"/>
    <w:pPr>
      <w:spacing w:before="60" w:after="60" w:line="360" w:lineRule="auto"/>
      <w:ind w:left="0" w:firstLine="482"/>
    </w:pPr>
    <w:rPr>
      <w:rFonts w:ascii="Arial" w:hAnsi="Arial"/>
      <w:sz w:val="24"/>
    </w:rPr>
  </w:style>
  <w:style w:type="paragraph" w:customStyle="1" w:styleId="226">
    <w:name w:val="TOC1"/>
    <w:basedOn w:val="1"/>
    <w:next w:val="1"/>
    <w:qFormat/>
    <w:uiPriority w:val="0"/>
    <w:pPr>
      <w:spacing w:line="180" w:lineRule="auto"/>
      <w:jc w:val="center"/>
    </w:pPr>
    <w:rPr>
      <w:sz w:val="30"/>
    </w:rPr>
  </w:style>
  <w:style w:type="character" w:customStyle="1" w:styleId="227">
    <w:name w:val="font51"/>
    <w:basedOn w:val="59"/>
    <w:qFormat/>
    <w:uiPriority w:val="0"/>
    <w:rPr>
      <w:rFonts w:ascii="宋体" w:eastAsia="宋体" w:cs="宋体"/>
      <w:color w:val="000000"/>
      <w:sz w:val="20"/>
      <w:szCs w:val="20"/>
      <w:u w:val="none"/>
    </w:rPr>
  </w:style>
  <w:style w:type="character" w:customStyle="1" w:styleId="228">
    <w:name w:val="font101"/>
    <w:basedOn w:val="59"/>
    <w:qFormat/>
    <w:uiPriority w:val="0"/>
    <w:rPr>
      <w:rFonts w:ascii="Arial" w:hAnsi="Arial" w:cs="Arial"/>
      <w:color w:val="000000"/>
      <w:sz w:val="20"/>
      <w:szCs w:val="20"/>
      <w:u w:val="none"/>
    </w:rPr>
  </w:style>
  <w:style w:type="character" w:customStyle="1" w:styleId="229">
    <w:name w:val="font21"/>
    <w:basedOn w:val="59"/>
    <w:qFormat/>
    <w:uiPriority w:val="0"/>
    <w:rPr>
      <w:rFonts w:ascii="宋体" w:eastAsia="宋体" w:cs="宋体"/>
      <w:color w:val="000000"/>
      <w:sz w:val="20"/>
      <w:szCs w:val="20"/>
      <w:u w:val="none"/>
    </w:rPr>
  </w:style>
  <w:style w:type="character" w:customStyle="1" w:styleId="230">
    <w:name w:val="font91"/>
    <w:basedOn w:val="59"/>
    <w:qFormat/>
    <w:uiPriority w:val="0"/>
    <w:rPr>
      <w:rFonts w:ascii="宋体" w:eastAsia="宋体" w:cs="宋体"/>
      <w:color w:val="000000"/>
      <w:sz w:val="20"/>
      <w:szCs w:val="20"/>
      <w:u w:val="none"/>
    </w:rPr>
  </w:style>
  <w:style w:type="character" w:customStyle="1" w:styleId="231">
    <w:name w:val="font121"/>
    <w:basedOn w:val="59"/>
    <w:qFormat/>
    <w:uiPriority w:val="0"/>
    <w:rPr>
      <w:rFonts w:ascii="Arial" w:hAnsi="Arial" w:cs="Arial"/>
      <w:color w:val="000000"/>
      <w:sz w:val="20"/>
      <w:szCs w:val="20"/>
      <w:u w:val="none"/>
    </w:rPr>
  </w:style>
  <w:style w:type="character" w:customStyle="1" w:styleId="232">
    <w:name w:val="font71"/>
    <w:basedOn w:val="59"/>
    <w:qFormat/>
    <w:uiPriority w:val="0"/>
    <w:rPr>
      <w:rFonts w:ascii="宋体" w:eastAsia="宋体" w:cs="宋体"/>
      <w:color w:val="000000"/>
      <w:sz w:val="20"/>
      <w:szCs w:val="20"/>
      <w:u w:val="none"/>
    </w:rPr>
  </w:style>
  <w:style w:type="character" w:customStyle="1" w:styleId="233">
    <w:name w:val="font131"/>
    <w:basedOn w:val="59"/>
    <w:qFormat/>
    <w:uiPriority w:val="0"/>
    <w:rPr>
      <w:rFonts w:ascii="宋体" w:eastAsia="宋体" w:cs="宋体"/>
      <w:color w:val="FF0000"/>
      <w:sz w:val="20"/>
      <w:szCs w:val="20"/>
      <w:u w:val="none"/>
    </w:rPr>
  </w:style>
  <w:style w:type="character" w:customStyle="1" w:styleId="234">
    <w:name w:val="font41"/>
    <w:basedOn w:val="59"/>
    <w:qFormat/>
    <w:uiPriority w:val="0"/>
    <w:rPr>
      <w:rFonts w:ascii="微软雅黑" w:eastAsia="微软雅黑" w:cs="微软雅黑"/>
      <w:color w:val="000000"/>
      <w:sz w:val="24"/>
      <w:szCs w:val="24"/>
      <w:u w:val="none"/>
    </w:rPr>
  </w:style>
  <w:style w:type="character" w:customStyle="1" w:styleId="235">
    <w:name w:val="font11"/>
    <w:basedOn w:val="59"/>
    <w:qFormat/>
    <w:uiPriority w:val="0"/>
    <w:rPr>
      <w:rFonts w:ascii="宋体" w:eastAsia="宋体" w:cs="宋体"/>
      <w:color w:val="000000"/>
      <w:sz w:val="24"/>
      <w:szCs w:val="24"/>
      <w:u w:val="none"/>
    </w:rPr>
  </w:style>
  <w:style w:type="character" w:customStyle="1" w:styleId="236">
    <w:name w:val="font31"/>
    <w:qFormat/>
    <w:uiPriority w:val="0"/>
    <w:rPr>
      <w:rFonts w:ascii="Calibri" w:hAnsi="Calibri" w:cs="Calibri"/>
      <w:color w:val="000000"/>
      <w:sz w:val="18"/>
      <w:szCs w:val="18"/>
      <w:u w:val="none"/>
    </w:rPr>
  </w:style>
  <w:style w:type="character" w:customStyle="1" w:styleId="237">
    <w:name w:val="标题 2 字符"/>
    <w:link w:val="4"/>
    <w:qFormat/>
    <w:uiPriority w:val="0"/>
    <w:rPr>
      <w:rFonts w:ascii="Arial" w:hAnsi="Arial" w:eastAsia="黑体" w:cs="Times New Roman"/>
      <w:b/>
      <w:kern w:val="2"/>
      <w:sz w:val="32"/>
    </w:rPr>
  </w:style>
  <w:style w:type="character" w:customStyle="1" w:styleId="238">
    <w:name w:val="纯文本 字符"/>
    <w:basedOn w:val="59"/>
    <w:link w:val="30"/>
    <w:qFormat/>
    <w:uiPriority w:val="0"/>
    <w:rPr>
      <w:rFonts w:ascii="宋体"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49</Pages>
  <Words>640</Words>
  <Characters>668</Characters>
  <Lines>220</Lines>
  <Paragraphs>62</Paragraphs>
  <TotalTime>17</TotalTime>
  <ScaleCrop>false</ScaleCrop>
  <LinksUpToDate>false</LinksUpToDate>
  <CharactersWithSpaces>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2025-11-17T02:15:00Z</dcterms:created>
  <dc:creator>罗成</dc:creator>
  <cp:lastModifiedBy>涛声依旧</cp:lastModifiedBy>
  <cp:lastPrinted>2024-05-22T08:05:00Z</cp:lastPrinted>
  <dcterms:modified xsi:type="dcterms:W3CDTF">2025-12-09T02:28:11Z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9BFC5BE627C9420580BAAB2245AC88A9</vt:lpwstr>
  </property>
  <property fmtid="{D5CDD505-2E9C-101B-9397-08002B2CF9AE}" pid="4" name="KSOTemplateDocerSaveRecord">
    <vt:lpwstr>eyJoZGlkIjoiN2UyYjU1ZjNiODRmZWMxNTE4NmI0NTIxMTc2NWZmYjAiLCJ1c2VySWQiOiI0MTY1NDYwMjUifQ==</vt:lpwstr>
  </property>
</Properties>
</file>