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rPr>
        <w:t>垫江县交通运输综合行政执法支队</w:t>
      </w:r>
    </w:p>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rPr>
      </w:pPr>
      <w:r>
        <w:rPr>
          <w:rFonts w:hint="eastAsia" w:ascii="方正小标宋_GBK" w:hAnsi="方正小标宋_GBK" w:eastAsia="方正小标宋_GBK" w:cs="方正小标宋_GBK"/>
          <w:kern w:val="0"/>
          <w:sz w:val="36"/>
          <w:szCs w:val="36"/>
          <w:lang w:val="en-US" w:eastAsia="zh-CN"/>
        </w:rPr>
        <w:t>2025年</w:t>
      </w:r>
      <w:r>
        <w:rPr>
          <w:rFonts w:hint="eastAsia" w:ascii="方正小标宋_GBK" w:hAnsi="方正小标宋_GBK" w:eastAsia="方正小标宋_GBK" w:cs="方正小标宋_GBK"/>
          <w:kern w:val="0"/>
          <w:sz w:val="36"/>
          <w:szCs w:val="36"/>
        </w:rPr>
        <w:t>废弃石岭治超站设备出让项目</w:t>
      </w:r>
      <w:r>
        <w:rPr>
          <w:rFonts w:hint="eastAsia" w:ascii="方正小标宋_GBK" w:hAnsi="方正小标宋_GBK" w:eastAsia="方正小标宋_GBK" w:cs="方正小标宋_GBK"/>
          <w:kern w:val="0"/>
          <w:sz w:val="36"/>
          <w:szCs w:val="36"/>
          <w:lang w:eastAsia="zh-CN"/>
        </w:rPr>
        <w:t>第二次</w:t>
      </w:r>
      <w:r>
        <w:rPr>
          <w:rFonts w:hint="eastAsia" w:ascii="方正小标宋_GBK" w:hAnsi="方正小标宋_GBK" w:eastAsia="方正小标宋_GBK" w:cs="方正小标宋_GBK"/>
          <w:kern w:val="0"/>
          <w:sz w:val="36"/>
          <w:szCs w:val="36"/>
          <w:lang w:val="en-US" w:eastAsia="zh-CN"/>
        </w:rPr>
        <w:t>发包</w:t>
      </w:r>
      <w:r>
        <w:rPr>
          <w:rFonts w:hint="eastAsia" w:ascii="方正小标宋_GBK" w:hAnsi="方正小标宋_GBK" w:eastAsia="方正小标宋_GBK" w:cs="方正小标宋_GBK"/>
          <w:kern w:val="0"/>
          <w:sz w:val="36"/>
          <w:szCs w:val="36"/>
        </w:rPr>
        <w:t>公告</w:t>
      </w:r>
    </w:p>
    <w:p>
      <w:pPr>
        <w:tabs>
          <w:tab w:val="left" w:pos="546"/>
          <w:tab w:val="left" w:pos="711"/>
        </w:tabs>
        <w:snapToGrid w:val="0"/>
        <w:spacing w:line="600" w:lineRule="exact"/>
        <w:jc w:val="center"/>
        <w:rPr>
          <w:rFonts w:hint="eastAsia" w:ascii="方正小标宋_GBK" w:hAnsi="方正小标宋_GBK" w:eastAsia="方正小标宋_GBK" w:cs="方正小标宋_GBK"/>
          <w:kern w:val="0"/>
          <w:sz w:val="36"/>
          <w:szCs w:val="36"/>
          <w:lang w:eastAsia="zh-CN"/>
        </w:rPr>
      </w:pPr>
    </w:p>
    <w:p>
      <w:pPr>
        <w:pStyle w:val="2"/>
      </w:pPr>
    </w:p>
    <w:tbl>
      <w:tblPr>
        <w:tblStyle w:val="15"/>
        <w:tblW w:w="10680" w:type="dxa"/>
        <w:tblInd w:w="-11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5"/>
        <w:gridCol w:w="7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方正仿宋_GBK" w:hAnsi="方正仿宋_GBK" w:eastAsia="方正仿宋_GBK" w:cs="方正仿宋_GBK"/>
                <w:color w:val="auto"/>
                <w:kern w:val="0"/>
                <w:sz w:val="32"/>
                <w:szCs w:val="32"/>
              </w:rPr>
              <w:t>发布日期</w:t>
            </w:r>
          </w:p>
        </w:tc>
        <w:tc>
          <w:tcPr>
            <w:tcW w:w="7875" w:type="dxa"/>
            <w:vAlign w:val="center"/>
          </w:tcPr>
          <w:p>
            <w:pPr>
              <w:tabs>
                <w:tab w:val="left" w:pos="546"/>
                <w:tab w:val="left" w:pos="711"/>
              </w:tabs>
              <w:snapToGrid w:val="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val="en-US" w:eastAsia="zh-CN"/>
              </w:rPr>
              <w:t>2025</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月</w:t>
            </w:r>
            <w:r>
              <w:rPr>
                <w:rFonts w:hint="default" w:ascii="仿宋" w:hAnsi="仿宋" w:eastAsia="仿宋" w:cs="仿宋"/>
                <w:color w:val="auto"/>
                <w:kern w:val="0"/>
                <w:sz w:val="30"/>
                <w:szCs w:val="30"/>
              </w:rPr>
              <w:t>15</w:t>
            </w:r>
            <w:r>
              <w:rPr>
                <w:rFonts w:hint="eastAsia" w:ascii="仿宋" w:hAnsi="仿宋" w:eastAsia="仿宋" w:cs="仿宋"/>
                <w:color w:val="auto"/>
                <w:kern w:val="0"/>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rPr>
              <w:t>所属地区</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80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Arial Unicode MS" w:hAnsi="Arial Unicode MS" w:eastAsia="Arial Unicode MS" w:cs="Arial Unicode MS"/>
                <w:color w:val="auto"/>
                <w:kern w:val="0"/>
                <w:sz w:val="30"/>
                <w:szCs w:val="30"/>
                <w:lang w:eastAsia="zh-CN"/>
              </w:rPr>
              <w:t>发包</w:t>
            </w:r>
            <w:r>
              <w:rPr>
                <w:rFonts w:hint="eastAsia" w:ascii="Arial Unicode MS" w:hAnsi="Arial Unicode MS" w:eastAsia="Arial Unicode MS" w:cs="Arial Unicode MS"/>
                <w:color w:val="auto"/>
                <w:kern w:val="0"/>
                <w:sz w:val="30"/>
                <w:szCs w:val="30"/>
              </w:rPr>
              <w:t>单位</w:t>
            </w:r>
          </w:p>
        </w:tc>
        <w:tc>
          <w:tcPr>
            <w:tcW w:w="7875" w:type="dxa"/>
            <w:vAlign w:val="center"/>
          </w:tcPr>
          <w:p>
            <w:pPr>
              <w:tabs>
                <w:tab w:val="left" w:pos="546"/>
                <w:tab w:val="left" w:pos="711"/>
              </w:tabs>
              <w:snapToGrid w:val="0"/>
              <w:rPr>
                <w:rFonts w:ascii="Arial Unicode MS" w:hAnsi="Arial Unicode MS" w:eastAsia="Arial Unicode MS" w:cs="Arial Unicode MS"/>
                <w:color w:val="auto"/>
                <w:kern w:val="0"/>
                <w:sz w:val="30"/>
                <w:szCs w:val="30"/>
              </w:rPr>
            </w:pPr>
            <w:r>
              <w:rPr>
                <w:rFonts w:hint="eastAsia" w:ascii="仿宋" w:hAnsi="仿宋" w:eastAsia="仿宋" w:cs="仿宋"/>
                <w:color w:val="auto"/>
                <w:kern w:val="0"/>
                <w:sz w:val="30"/>
                <w:szCs w:val="30"/>
              </w:rPr>
              <w:t>垫江县交通运输综合行政执法支队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80" w:type="dxa"/>
            <w:gridSpan w:val="2"/>
          </w:tcPr>
          <w:p>
            <w:pPr>
              <w:numPr>
                <w:ilvl w:val="0"/>
                <w:numId w:val="2"/>
              </w:numPr>
              <w:tabs>
                <w:tab w:val="left" w:pos="546"/>
                <w:tab w:val="left" w:pos="711"/>
              </w:tabs>
              <w:snapToGrid w:val="0"/>
              <w:rPr>
                <w:rFonts w:ascii="黑体" w:hAnsi="黑体" w:eastAsia="黑体" w:cs="黑体"/>
                <w:color w:val="auto"/>
                <w:kern w:val="0"/>
                <w:sz w:val="32"/>
                <w:szCs w:val="32"/>
              </w:rPr>
            </w:pPr>
            <w:r>
              <w:rPr>
                <w:rFonts w:hint="eastAsia" w:ascii="黑体" w:hAnsi="黑体" w:eastAsia="黑体" w:cs="黑体"/>
                <w:color w:val="auto"/>
                <w:kern w:val="0"/>
                <w:sz w:val="32"/>
                <w:szCs w:val="32"/>
              </w:rPr>
              <w:t>基本情况：</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根据国家和重庆市相关规定，经垫江县财政局</w:t>
            </w:r>
            <w:r>
              <w:rPr>
                <w:rFonts w:hint="eastAsia" w:ascii="仿宋" w:hAnsi="仿宋" w:eastAsia="仿宋" w:cs="仿宋"/>
                <w:color w:val="auto"/>
                <w:kern w:val="0"/>
                <w:sz w:val="30"/>
                <w:szCs w:val="30"/>
                <w:lang w:eastAsia="zh-CN"/>
              </w:rPr>
              <w:t>和主管部门</w:t>
            </w:r>
            <w:r>
              <w:rPr>
                <w:rFonts w:hint="eastAsia" w:ascii="仿宋" w:hAnsi="仿宋" w:eastAsia="仿宋" w:cs="仿宋"/>
                <w:color w:val="auto"/>
                <w:kern w:val="0"/>
                <w:sz w:val="30"/>
                <w:szCs w:val="30"/>
              </w:rPr>
              <w:t>批准，垫江县交通运输综合行政执法支队决定公开</w:t>
            </w:r>
            <w:r>
              <w:rPr>
                <w:rFonts w:hint="eastAsia" w:ascii="仿宋" w:hAnsi="仿宋" w:eastAsia="仿宋" w:cs="仿宋"/>
                <w:color w:val="auto"/>
                <w:kern w:val="0"/>
                <w:sz w:val="30"/>
                <w:szCs w:val="30"/>
                <w:lang w:eastAsia="zh-CN"/>
              </w:rPr>
              <w:t>出让</w:t>
            </w:r>
            <w:r>
              <w:rPr>
                <w:rFonts w:hint="eastAsia" w:ascii="仿宋" w:hAnsi="仿宋" w:eastAsia="仿宋" w:cs="仿宋"/>
                <w:color w:val="auto"/>
                <w:kern w:val="0"/>
                <w:sz w:val="30"/>
                <w:szCs w:val="30"/>
              </w:rPr>
              <w:t>以下国有资产：</w:t>
            </w:r>
          </w:p>
          <w:tbl>
            <w:tblPr>
              <w:tblStyle w:val="14"/>
              <w:tblW w:w="10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9"/>
              <w:gridCol w:w="2147"/>
              <w:gridCol w:w="1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559"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line="240" w:lineRule="atLeast"/>
                    <w:jc w:val="center"/>
                    <w:textAlignment w:val="auto"/>
                    <w:rPr>
                      <w:rFonts w:hint="default" w:ascii="宋体" w:hAnsi="宋体" w:eastAsia="宋体" w:cs="宋体"/>
                      <w:b/>
                      <w:bCs/>
                      <w:color w:val="auto"/>
                      <w:kern w:val="0"/>
                      <w:sz w:val="21"/>
                      <w:szCs w:val="24"/>
                      <w:highlight w:val="none"/>
                      <w:lang w:val="en-US" w:eastAsia="zh-CN"/>
                    </w:rPr>
                  </w:pPr>
                  <w:r>
                    <w:rPr>
                      <w:rFonts w:hint="eastAsia" w:ascii="宋体" w:hAnsi="宋体" w:eastAsia="宋体" w:cs="宋体"/>
                      <w:b/>
                      <w:bCs/>
                      <w:color w:val="auto"/>
                      <w:kern w:val="0"/>
                      <w:sz w:val="21"/>
                      <w:szCs w:val="24"/>
                      <w:highlight w:val="none"/>
                      <w:lang w:val="en-US" w:eastAsia="zh-CN"/>
                    </w:rPr>
                    <w:t>项目名称</w:t>
                  </w:r>
                </w:p>
              </w:tc>
              <w:tc>
                <w:tcPr>
                  <w:tcW w:w="2147"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最</w:t>
                  </w:r>
                  <w:r>
                    <w:rPr>
                      <w:rFonts w:hint="eastAsia" w:ascii="宋体" w:hAnsi="宋体" w:cs="宋体"/>
                      <w:b/>
                      <w:bCs/>
                      <w:color w:val="auto"/>
                      <w:kern w:val="0"/>
                      <w:sz w:val="21"/>
                      <w:szCs w:val="24"/>
                      <w:highlight w:val="none"/>
                      <w:lang w:eastAsia="zh-CN"/>
                    </w:rPr>
                    <w:t>低</w:t>
                  </w:r>
                  <w:r>
                    <w:rPr>
                      <w:rFonts w:hint="eastAsia" w:ascii="宋体" w:hAnsi="宋体" w:eastAsia="宋体" w:cs="宋体"/>
                      <w:b/>
                      <w:bCs/>
                      <w:color w:val="auto"/>
                      <w:kern w:val="0"/>
                      <w:sz w:val="21"/>
                      <w:szCs w:val="24"/>
                      <w:highlight w:val="none"/>
                    </w:rPr>
                    <w:t>限价</w:t>
                  </w:r>
                </w:p>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（元）</w:t>
                  </w:r>
                </w:p>
              </w:tc>
              <w:tc>
                <w:tcPr>
                  <w:tcW w:w="1814" w:type="dxa"/>
                  <w:tcBorders>
                    <w:top w:val="single" w:color="auto" w:sz="4" w:space="0"/>
                    <w:left w:val="single" w:color="auto" w:sz="4" w:space="0"/>
                    <w:right w:val="single" w:color="auto" w:sz="4" w:space="0"/>
                  </w:tcBorders>
                  <w:noWrap w:val="0"/>
                  <w:vAlign w:val="center"/>
                </w:tcPr>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成交供应商数量</w:t>
                  </w:r>
                </w:p>
                <w:p>
                  <w:pPr>
                    <w:pageBreakBefore w:val="0"/>
                    <w:kinsoku/>
                    <w:wordWrap/>
                    <w:overflowPunct/>
                    <w:topLinePunct w:val="0"/>
                    <w:autoSpaceDE/>
                    <w:autoSpaceDN/>
                    <w:bidi w:val="0"/>
                    <w:adjustRightInd/>
                    <w:spacing w:line="240" w:lineRule="atLeast"/>
                    <w:jc w:val="center"/>
                    <w:textAlignment w:val="auto"/>
                    <w:rPr>
                      <w:rFonts w:hint="eastAsia" w:ascii="宋体" w:hAnsi="宋体" w:eastAsia="宋体" w:cs="宋体"/>
                      <w:b/>
                      <w:bCs/>
                      <w:color w:val="auto"/>
                      <w:kern w:val="0"/>
                      <w:sz w:val="21"/>
                      <w:szCs w:val="24"/>
                      <w:highlight w:val="none"/>
                    </w:rPr>
                  </w:pPr>
                  <w:r>
                    <w:rPr>
                      <w:rFonts w:hint="eastAsia" w:ascii="宋体" w:hAnsi="宋体" w:eastAsia="宋体" w:cs="宋体"/>
                      <w:b/>
                      <w:bCs/>
                      <w:color w:val="auto"/>
                      <w:kern w:val="0"/>
                      <w:sz w:val="21"/>
                      <w:szCs w:val="24"/>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559" w:type="dxa"/>
                  <w:tcBorders>
                    <w:top w:val="single" w:color="auto" w:sz="4" w:space="0"/>
                    <w:left w:val="single" w:color="auto" w:sz="4" w:space="0"/>
                    <w:right w:val="single" w:color="auto" w:sz="4" w:space="0"/>
                  </w:tcBorders>
                  <w:noWrap w:val="0"/>
                  <w:vAlign w:val="center"/>
                </w:tcPr>
                <w:p>
                  <w:pPr>
                    <w:pageBreakBefore w:val="0"/>
                    <w:tabs>
                      <w:tab w:val="left" w:pos="546"/>
                      <w:tab w:val="left" w:pos="711"/>
                    </w:tabs>
                    <w:kinsoku/>
                    <w:wordWrap/>
                    <w:overflowPunct/>
                    <w:topLinePunct w:val="0"/>
                    <w:autoSpaceDE/>
                    <w:autoSpaceDN/>
                    <w:bidi w:val="0"/>
                    <w:adjustRightInd/>
                    <w:snapToGrid w:val="0"/>
                    <w:spacing w:line="240" w:lineRule="atLeast"/>
                    <w:textAlignment w:val="auto"/>
                    <w:rPr>
                      <w:rFonts w:hint="eastAsia" w:ascii="宋体" w:hAnsi="宋体" w:eastAsia="宋体" w:cs="宋体"/>
                      <w:color w:val="auto"/>
                      <w:kern w:val="0"/>
                      <w:sz w:val="21"/>
                      <w:szCs w:val="24"/>
                      <w:highlight w:val="none"/>
                    </w:rPr>
                  </w:pPr>
                  <w:r>
                    <w:rPr>
                      <w:rFonts w:hint="eastAsia" w:ascii="仿宋" w:hAnsi="仿宋" w:eastAsia="仿宋" w:cs="仿宋"/>
                      <w:color w:val="auto"/>
                      <w:kern w:val="0"/>
                      <w:sz w:val="30"/>
                      <w:szCs w:val="30"/>
                      <w:lang w:eastAsia="zh-CN"/>
                    </w:rPr>
                    <w:t>垫江县交通运输综合行政执法支队</w:t>
                  </w:r>
                  <w:r>
                    <w:rPr>
                      <w:rFonts w:hint="eastAsia" w:ascii="仿宋" w:hAnsi="仿宋" w:eastAsia="仿宋" w:cs="仿宋"/>
                      <w:color w:val="auto"/>
                      <w:kern w:val="0"/>
                      <w:sz w:val="30"/>
                      <w:szCs w:val="30"/>
                      <w:lang w:val="en-US" w:eastAsia="zh-CN"/>
                    </w:rPr>
                    <w:t>2025年</w:t>
                  </w:r>
                  <w:r>
                    <w:rPr>
                      <w:rFonts w:hint="eastAsia" w:ascii="仿宋" w:hAnsi="仿宋" w:eastAsia="仿宋" w:cs="仿宋"/>
                      <w:color w:val="auto"/>
                      <w:kern w:val="0"/>
                      <w:sz w:val="30"/>
                      <w:szCs w:val="30"/>
                      <w:lang w:eastAsia="zh-CN"/>
                    </w:rPr>
                    <w:t>废弃石岭</w:t>
                  </w:r>
                  <w:r>
                    <w:rPr>
                      <w:rFonts w:hint="eastAsia" w:ascii="仿宋" w:hAnsi="仿宋" w:eastAsia="仿宋" w:cs="仿宋"/>
                      <w:color w:val="auto"/>
                      <w:kern w:val="0"/>
                      <w:sz w:val="30"/>
                      <w:szCs w:val="30"/>
                      <w:lang w:val="en-US" w:eastAsia="zh-CN"/>
                    </w:rPr>
                    <w:t>治超站</w:t>
                  </w:r>
                  <w:r>
                    <w:rPr>
                      <w:rFonts w:hint="eastAsia" w:ascii="仿宋" w:hAnsi="仿宋" w:eastAsia="仿宋" w:cs="仿宋"/>
                      <w:color w:val="auto"/>
                      <w:kern w:val="0"/>
                      <w:sz w:val="30"/>
                      <w:szCs w:val="30"/>
                      <w:lang w:eastAsia="zh-CN"/>
                    </w:rPr>
                    <w:t>设备</w:t>
                  </w:r>
                  <w:r>
                    <w:rPr>
                      <w:rFonts w:hint="eastAsia" w:ascii="仿宋" w:hAnsi="仿宋" w:eastAsia="仿宋" w:cs="仿宋"/>
                      <w:color w:val="auto"/>
                      <w:kern w:val="0"/>
                      <w:sz w:val="30"/>
                      <w:szCs w:val="30"/>
                      <w:lang w:val="en-US" w:eastAsia="zh-CN"/>
                    </w:rPr>
                    <w:t>出让项目</w:t>
                  </w:r>
                </w:p>
              </w:tc>
              <w:tc>
                <w:tcPr>
                  <w:tcW w:w="2147"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line="240" w:lineRule="atLeast"/>
                    <w:jc w:val="center"/>
                    <w:textAlignment w:val="auto"/>
                    <w:rPr>
                      <w:rFonts w:hint="default" w:ascii="宋体" w:hAnsi="宋体" w:eastAsia="宋体" w:cs="宋体"/>
                      <w:color w:val="auto"/>
                      <w:kern w:val="0"/>
                      <w:sz w:val="21"/>
                      <w:szCs w:val="24"/>
                      <w:highlight w:val="none"/>
                      <w:lang w:val="en-US" w:eastAsia="zh-CN"/>
                    </w:rPr>
                  </w:pPr>
                  <w:r>
                    <w:rPr>
                      <w:rFonts w:hint="eastAsia" w:asciiTheme="minorEastAsia" w:hAnsiTheme="minorEastAsia" w:eastAsiaTheme="minorEastAsia" w:cstheme="minorEastAsia"/>
                      <w:i w:val="0"/>
                      <w:iCs w:val="0"/>
                      <w:caps w:val="0"/>
                      <w:color w:val="0F1115"/>
                      <w:spacing w:val="0"/>
                      <w:sz w:val="21"/>
                      <w:szCs w:val="21"/>
                      <w:shd w:val="clear" w:fill="FFFFFF"/>
                      <w:lang w:val="en-US" w:eastAsia="zh-CN"/>
                    </w:rPr>
                    <w:t>3</w:t>
                  </w:r>
                  <w:r>
                    <w:rPr>
                      <w:rFonts w:hint="default" w:asciiTheme="minorEastAsia" w:hAnsiTheme="minorEastAsia" w:eastAsiaTheme="minorEastAsia" w:cstheme="minorEastAsia"/>
                      <w:i w:val="0"/>
                      <w:iCs w:val="0"/>
                      <w:caps w:val="0"/>
                      <w:color w:val="0F1115"/>
                      <w:spacing w:val="0"/>
                      <w:sz w:val="21"/>
                      <w:szCs w:val="21"/>
                      <w:shd w:val="clear" w:fill="FFFFFF"/>
                      <w:lang w:eastAsia="zh-CN"/>
                    </w:rPr>
                    <w:t>0</w:t>
                  </w:r>
                  <w:r>
                    <w:rPr>
                      <w:rFonts w:hint="eastAsia" w:asciiTheme="minorEastAsia" w:hAnsiTheme="minorEastAsia" w:eastAsiaTheme="minorEastAsia" w:cstheme="minorEastAsia"/>
                      <w:i w:val="0"/>
                      <w:iCs w:val="0"/>
                      <w:caps w:val="0"/>
                      <w:color w:val="0F1115"/>
                      <w:spacing w:val="0"/>
                      <w:sz w:val="21"/>
                      <w:szCs w:val="21"/>
                      <w:shd w:val="clear" w:fill="FFFFFF"/>
                      <w:lang w:val="en-US" w:eastAsia="zh-CN"/>
                    </w:rPr>
                    <w:t>00</w:t>
                  </w:r>
                </w:p>
              </w:tc>
              <w:tc>
                <w:tcPr>
                  <w:tcW w:w="1814" w:type="dxa"/>
                  <w:tcBorders>
                    <w:top w:val="single" w:color="auto" w:sz="4" w:space="0"/>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pacing w:line="240" w:lineRule="atLeast"/>
                    <w:jc w:val="center"/>
                    <w:textAlignment w:val="auto"/>
                    <w:rPr>
                      <w:rFonts w:hint="eastAsia" w:ascii="宋体" w:hAnsi="宋体" w:eastAsia="宋体" w:cs="宋体"/>
                      <w:color w:val="auto"/>
                      <w:kern w:val="0"/>
                      <w:sz w:val="21"/>
                      <w:szCs w:val="24"/>
                      <w:highlight w:val="none"/>
                      <w:lang w:val="en-US" w:eastAsia="zh-CN"/>
                    </w:rPr>
                  </w:pPr>
                  <w:r>
                    <w:rPr>
                      <w:rFonts w:hint="eastAsia" w:ascii="宋体" w:hAnsi="宋体" w:eastAsia="宋体" w:cs="宋体"/>
                      <w:color w:val="auto"/>
                      <w:kern w:val="0"/>
                      <w:sz w:val="21"/>
                      <w:szCs w:val="24"/>
                      <w:highlight w:val="none"/>
                      <w:lang w:val="en-US" w:eastAsia="zh-CN"/>
                    </w:rPr>
                    <w:t>1</w:t>
                  </w:r>
                </w:p>
              </w:tc>
            </w:tr>
          </w:tbl>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本项目处置的最终财政收益（净值）将严格遵循以下公式进行核算：资产实际变现价值-拆除费用-恢复路面费用=上缴财政净值（即本项目成交总价）。</w:t>
            </w:r>
          </w:p>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b/>
                <w:bCs/>
                <w:color w:val="auto"/>
                <w:kern w:val="0"/>
                <w:sz w:val="30"/>
                <w:szCs w:val="30"/>
                <w:lang w:val="en-US" w:eastAsia="zh-CN"/>
              </w:rPr>
            </w:pPr>
            <w:r>
              <w:rPr>
                <w:rFonts w:hint="eastAsia" w:ascii="仿宋" w:hAnsi="仿宋" w:eastAsia="仿宋" w:cs="仿宋"/>
                <w:color w:val="auto"/>
                <w:kern w:val="0"/>
                <w:sz w:val="30"/>
                <w:szCs w:val="30"/>
              </w:rPr>
              <w:t>本次出让的报价包含拆除及恢复路面等全部费用，其成交价即为公式中的“上缴财政净值”。</w:t>
            </w:r>
          </w:p>
          <w:p>
            <w:pPr>
              <w:pageBreakBefore w:val="0"/>
              <w:tabs>
                <w:tab w:val="left" w:pos="546"/>
                <w:tab w:val="left" w:pos="711"/>
              </w:tabs>
              <w:kinsoku/>
              <w:wordWrap/>
              <w:overflowPunct/>
              <w:topLinePunct w:val="0"/>
              <w:autoSpaceDE/>
              <w:autoSpaceDN/>
              <w:bidi w:val="0"/>
              <w:adjustRightInd/>
              <w:snapToGrid w:val="0"/>
              <w:spacing w:line="240" w:lineRule="atLeast"/>
              <w:ind w:firstLine="602" w:firstLineChars="200"/>
              <w:rPr>
                <w:rFonts w:hint="eastAsia" w:ascii="仿宋" w:hAnsi="仿宋" w:eastAsia="仿宋" w:cs="仿宋"/>
                <w:color w:val="auto"/>
                <w:kern w:val="0"/>
                <w:sz w:val="30"/>
                <w:szCs w:val="30"/>
              </w:rPr>
            </w:pPr>
            <w:r>
              <w:rPr>
                <w:rFonts w:hint="eastAsia" w:ascii="仿宋" w:hAnsi="仿宋" w:eastAsia="仿宋" w:cs="仿宋"/>
                <w:b/>
                <w:bCs/>
                <w:color w:val="auto"/>
                <w:kern w:val="0"/>
                <w:sz w:val="30"/>
                <w:szCs w:val="30"/>
                <w:lang w:val="en-US" w:eastAsia="zh-CN"/>
              </w:rPr>
              <w:t>资产基本概况</w:t>
            </w:r>
            <w:r>
              <w:rPr>
                <w:rFonts w:hint="eastAsia" w:ascii="仿宋" w:hAnsi="仿宋" w:eastAsia="仿宋" w:cs="仿宋"/>
                <w:color w:val="auto"/>
                <w:kern w:val="0"/>
                <w:sz w:val="30"/>
                <w:szCs w:val="30"/>
                <w:lang w:val="en-US" w:eastAsia="zh-CN"/>
              </w:rPr>
              <w:t>如下：</w:t>
            </w:r>
          </w:p>
          <w:tbl>
            <w:tblPr>
              <w:tblStyle w:val="14"/>
              <w:tblW w:w="20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6"/>
              <w:gridCol w:w="1260"/>
              <w:gridCol w:w="690"/>
              <w:gridCol w:w="1007"/>
              <w:gridCol w:w="1267"/>
              <w:gridCol w:w="877"/>
              <w:gridCol w:w="3520"/>
              <w:gridCol w:w="1996"/>
              <w:gridCol w:w="1097"/>
              <w:gridCol w:w="1683"/>
              <w:gridCol w:w="1463"/>
              <w:gridCol w:w="4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名称</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color w:val="auto"/>
                      <w:kern w:val="0"/>
                      <w:sz w:val="22"/>
                      <w:szCs w:val="22"/>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数量</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color w:val="auto"/>
                      <w:kern w:val="2"/>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单位</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2"/>
                      <w:szCs w:val="22"/>
                      <w:u w:val="none"/>
                      <w:lang w:val="en-US" w:eastAsia="zh-CN" w:bidi="ar"/>
                    </w:rPr>
                    <w:t>评估单价（元）</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评估总重量（暂估）以实际重量为准</w:t>
                  </w:r>
                </w:p>
              </w:tc>
              <w:tc>
                <w:tcPr>
                  <w:tcW w:w="352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color w:val="auto"/>
                      <w:kern w:val="2"/>
                      <w:sz w:val="28"/>
                      <w:szCs w:val="28"/>
                      <w:lang w:val="en-US" w:eastAsia="zh-CN" w:bidi="ar-SA"/>
                    </w:rPr>
                  </w:pPr>
                  <w:r>
                    <w:rPr>
                      <w:rFonts w:hint="eastAsia" w:ascii="方正仿宋_GBK" w:hAnsi="方正仿宋_GBK" w:eastAsia="方正仿宋_GBK" w:cs="方正仿宋_GBK"/>
                      <w:color w:val="auto"/>
                      <w:sz w:val="24"/>
                    </w:rPr>
                    <w:t>备    注</w:t>
                  </w:r>
                </w:p>
              </w:tc>
              <w:tc>
                <w:tcPr>
                  <w:tcW w:w="199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品名</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2"/>
                      <w:szCs w:val="22"/>
                      <w:lang w:bidi="ar"/>
                    </w:rPr>
                  </w:pPr>
                  <w:r>
                    <w:rPr>
                      <w:rFonts w:hint="eastAsia" w:ascii="方正仿宋_GBK" w:hAnsi="方正仿宋_GBK" w:eastAsia="方正仿宋_GBK" w:cs="方正仿宋_GBK"/>
                      <w:color w:val="auto"/>
                      <w:sz w:val="24"/>
                    </w:rPr>
                    <w:t>类别</w:t>
                  </w:r>
                </w:p>
              </w:tc>
              <w:tc>
                <w:tcPr>
                  <w:tcW w:w="168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数量约（吨）</w:t>
                  </w:r>
                  <w:r>
                    <w:rPr>
                      <w:rFonts w:ascii="方正仿宋_GBK" w:hAnsi="方正仿宋_GBK" w:eastAsia="方正仿宋_GBK" w:cs="方正仿宋_GBK"/>
                      <w:color w:val="auto"/>
                      <w:sz w:val="24"/>
                    </w:rPr>
                    <w:t> </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spacing w:line="440" w:lineRule="exact"/>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color w:val="auto"/>
                      <w:sz w:val="24"/>
                    </w:rPr>
                    <w:t>最低限价（元/吨）</w:t>
                  </w:r>
                  <w:r>
                    <w:rPr>
                      <w:rFonts w:ascii="方正仿宋_GBK" w:hAnsi="方正仿宋_GBK" w:eastAsia="方正仿宋_GBK" w:cs="方正仿宋_GBK"/>
                      <w:color w:val="auto"/>
                      <w:sz w:val="24"/>
                    </w:rPr>
                    <w:t> </w:t>
                  </w:r>
                </w:p>
              </w:tc>
              <w:tc>
                <w:tcPr>
                  <w:tcW w:w="417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准点超限车辆检测系统</w:t>
                  </w:r>
                </w:p>
              </w:tc>
              <w:tc>
                <w:tcPr>
                  <w:tcW w:w="1260" w:type="dxa"/>
                  <w:tcBorders>
                    <w:top w:val="single" w:color="auto" w:sz="4" w:space="0"/>
                    <w:left w:val="single" w:color="auto" w:sz="4" w:space="0"/>
                    <w:bottom w:val="single" w:color="auto" w:sz="4" w:space="0"/>
                    <w:right w:val="single" w:color="auto" w:sz="4" w:space="0"/>
                  </w:tcBorders>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color w:val="auto"/>
                      <w:kern w:val="0"/>
                      <w:sz w:val="22"/>
                      <w:szCs w:val="22"/>
                      <w:lang w:val="en-US" w:eastAsia="zh-CN" w:bidi="ar"/>
                    </w:rPr>
                  </w:pPr>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9000</w:t>
                  </w:r>
                </w:p>
              </w:tc>
              <w:tc>
                <w:tcPr>
                  <w:tcW w:w="3520" w:type="dxa"/>
                  <w:vMerge w:val="restart"/>
                  <w:tcBorders>
                    <w:top w:val="single" w:color="auto" w:sz="4" w:space="0"/>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方正仿宋_GBK" w:hAnsi="方正仿宋_GBK" w:eastAsia="方正仿宋_GBK" w:cs="方正仿宋_GBK"/>
                      <w:color w:val="auto"/>
                      <w:kern w:val="2"/>
                      <w:sz w:val="28"/>
                      <w:szCs w:val="28"/>
                      <w:lang w:val="en-US" w:eastAsia="zh-CN" w:bidi="ar-SA"/>
                    </w:rPr>
                  </w:pPr>
                  <w:r>
                    <w:rPr>
                      <w:rFonts w:hint="eastAsia" w:ascii="仿宋" w:hAnsi="仿宋" w:eastAsia="仿宋" w:cs="仿宋"/>
                      <w:color w:val="auto"/>
                      <w:sz w:val="24"/>
                      <w:lang w:eastAsia="zh-CN"/>
                    </w:rPr>
                    <w:t>出让</w:t>
                  </w:r>
                  <w:r>
                    <w:rPr>
                      <w:rFonts w:hint="eastAsia" w:ascii="仿宋" w:hAnsi="仿宋" w:eastAsia="仿宋" w:cs="仿宋"/>
                      <w:color w:val="auto"/>
                      <w:sz w:val="24"/>
                    </w:rPr>
                    <w:t>数量为暂</w:t>
                  </w:r>
                  <w:r>
                    <w:rPr>
                      <w:rFonts w:hint="eastAsia" w:ascii="仿宋" w:hAnsi="仿宋" w:eastAsia="仿宋" w:cs="仿宋"/>
                      <w:color w:val="auto"/>
                      <w:sz w:val="24"/>
                      <w:lang w:eastAsia="zh-CN"/>
                    </w:rPr>
                    <w:t>估</w:t>
                  </w:r>
                  <w:r>
                    <w:rPr>
                      <w:rFonts w:hint="eastAsia" w:ascii="仿宋" w:hAnsi="仿宋" w:eastAsia="仿宋" w:cs="仿宋"/>
                      <w:color w:val="auto"/>
                      <w:sz w:val="24"/>
                    </w:rPr>
                    <w:t>数量，具体以实际库存量为准</w:t>
                  </w:r>
                  <w:r>
                    <w:rPr>
                      <w:rFonts w:hint="eastAsia" w:ascii="仿宋" w:hAnsi="仿宋" w:eastAsia="仿宋" w:cs="仿宋"/>
                      <w:color w:val="auto"/>
                      <w:sz w:val="24"/>
                      <w:lang w:eastAsia="zh-CN"/>
                    </w:rPr>
                    <w:t>，</w:t>
                  </w:r>
                  <w:r>
                    <w:rPr>
                      <w:rFonts w:hint="eastAsia" w:ascii="仿宋" w:hAnsi="仿宋" w:eastAsia="仿宋" w:cs="仿宋"/>
                      <w:color w:val="auto"/>
                      <w:sz w:val="24"/>
                    </w:rPr>
                    <w:t>并根据实际成交量进行结算，中标人不得以最终实际成交数量未达</w:t>
                  </w:r>
                  <w:r>
                    <w:rPr>
                      <w:rFonts w:hint="eastAsia" w:ascii="仿宋" w:hAnsi="仿宋" w:eastAsia="仿宋" w:cs="仿宋"/>
                      <w:color w:val="auto"/>
                      <w:sz w:val="24"/>
                      <w:lang w:eastAsia="zh-CN"/>
                    </w:rPr>
                    <w:t>或超过</w:t>
                  </w:r>
                  <w:r>
                    <w:rPr>
                      <w:rFonts w:hint="eastAsia" w:ascii="仿宋" w:hAnsi="仿宋" w:eastAsia="仿宋" w:cs="仿宋"/>
                      <w:color w:val="auto"/>
                      <w:sz w:val="24"/>
                    </w:rPr>
                    <w:t>暂定数量为由提出索赔。</w:t>
                  </w:r>
                </w:p>
              </w:tc>
              <w:tc>
                <w:tcPr>
                  <w:tcW w:w="19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r>
                    <w:rPr>
                      <w:rFonts w:hint="eastAsia" w:ascii="仿宋" w:hAnsi="仿宋" w:eastAsia="仿宋" w:cs="仿宋"/>
                      <w:color w:val="auto"/>
                      <w:kern w:val="0"/>
                      <w:sz w:val="30"/>
                      <w:szCs w:val="30"/>
                      <w:lang w:val="en-US" w:eastAsia="zh-CN"/>
                    </w:rPr>
                    <w:t>废弃公路安防材料（波形护栏板、道口桩、标志牌）</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cs="宋体"/>
                      <w:color w:val="auto"/>
                      <w:kern w:val="0"/>
                      <w:sz w:val="22"/>
                      <w:szCs w:val="22"/>
                      <w:lang w:bidi="ar"/>
                    </w:rPr>
                  </w:pPr>
                  <w:r>
                    <w:rPr>
                      <w:rFonts w:hint="eastAsia" w:ascii="仿宋" w:hAnsi="仿宋" w:eastAsia="仿宋" w:cs="仿宋"/>
                      <w:color w:val="auto"/>
                      <w:kern w:val="0"/>
                      <w:sz w:val="30"/>
                      <w:szCs w:val="30"/>
                      <w:lang w:val="en-US" w:eastAsia="zh-CN"/>
                    </w:rPr>
                    <w:t>钢材</w:t>
                  </w:r>
                </w:p>
              </w:tc>
              <w:tc>
                <w:tcPr>
                  <w:tcW w:w="168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4"/>
                      <w:lang w:val="en-US" w:eastAsia="zh-CN"/>
                    </w:rPr>
                    <w:t>10</w:t>
                  </w:r>
                  <w:r>
                    <w:rPr>
                      <w:rFonts w:hint="eastAsia" w:ascii="仿宋" w:hAnsi="仿宋" w:eastAsia="仿宋" w:cs="仿宋"/>
                      <w:color w:val="auto"/>
                      <w:kern w:val="0"/>
                      <w:sz w:val="30"/>
                      <w:szCs w:val="30"/>
                      <w:lang w:val="en-US" w:eastAsia="zh-CN"/>
                    </w:rPr>
                    <w:t>（暂估）</w:t>
                  </w:r>
                </w:p>
              </w:tc>
              <w:tc>
                <w:tcPr>
                  <w:tcW w:w="146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1600</w:t>
                  </w:r>
                </w:p>
              </w:tc>
              <w:tc>
                <w:tcPr>
                  <w:tcW w:w="4171" w:type="dxa"/>
                  <w:tcBorders>
                    <w:top w:val="single" w:color="auto" w:sz="4" w:space="0"/>
                    <w:left w:val="single" w:color="auto" w:sz="4" w:space="0"/>
                    <w:bottom w:val="single" w:color="auto" w:sz="4" w:space="0"/>
                    <w:right w:val="single" w:color="auto" w:sz="4" w:space="0"/>
                  </w:tcBorders>
                  <w:vAlign w:val="center"/>
                </w:tcPr>
                <w:p>
                  <w:pPr>
                    <w:widowControl/>
                    <w:spacing w:line="480" w:lineRule="exact"/>
                    <w:ind w:firstLine="480" w:firstLineChars="200"/>
                    <w:jc w:val="left"/>
                    <w:textAlignment w:val="center"/>
                    <w:rPr>
                      <w:rFonts w:ascii="方正仿宋_GBK" w:hAnsi="方正仿宋_GBK" w:eastAsia="方正仿宋_GBK" w:cs="方正仿宋_GBK"/>
                      <w:color w:val="auto"/>
                      <w:sz w:val="28"/>
                      <w:szCs w:val="28"/>
                    </w:rPr>
                  </w:pPr>
                  <w:r>
                    <w:rPr>
                      <w:rFonts w:hint="eastAsia" w:ascii="仿宋" w:hAnsi="仿宋" w:eastAsia="仿宋" w:cs="仿宋"/>
                      <w:color w:val="auto"/>
                      <w:sz w:val="24"/>
                      <w:lang w:eastAsia="zh-CN"/>
                    </w:rPr>
                    <w:t>出让</w:t>
                  </w:r>
                  <w:r>
                    <w:rPr>
                      <w:rFonts w:hint="eastAsia" w:ascii="仿宋" w:hAnsi="仿宋" w:eastAsia="仿宋" w:cs="仿宋"/>
                      <w:color w:val="auto"/>
                      <w:sz w:val="24"/>
                    </w:rPr>
                    <w:t>数量为暂</w:t>
                  </w:r>
                  <w:r>
                    <w:rPr>
                      <w:rFonts w:hint="eastAsia" w:ascii="仿宋" w:hAnsi="仿宋" w:eastAsia="仿宋" w:cs="仿宋"/>
                      <w:color w:val="auto"/>
                      <w:sz w:val="24"/>
                      <w:lang w:eastAsia="zh-CN"/>
                    </w:rPr>
                    <w:t>估</w:t>
                  </w:r>
                  <w:r>
                    <w:rPr>
                      <w:rFonts w:hint="eastAsia" w:ascii="仿宋" w:hAnsi="仿宋" w:eastAsia="仿宋" w:cs="仿宋"/>
                      <w:color w:val="auto"/>
                      <w:sz w:val="24"/>
                    </w:rPr>
                    <w:t>数量，具体以实际库存量为准</w:t>
                  </w:r>
                  <w:r>
                    <w:rPr>
                      <w:rFonts w:hint="eastAsia" w:ascii="仿宋" w:hAnsi="仿宋" w:eastAsia="仿宋" w:cs="仿宋"/>
                      <w:color w:val="auto"/>
                      <w:sz w:val="24"/>
                      <w:lang w:eastAsia="zh-CN"/>
                    </w:rPr>
                    <w:t>，</w:t>
                  </w:r>
                  <w:r>
                    <w:rPr>
                      <w:rFonts w:hint="eastAsia" w:ascii="仿宋" w:hAnsi="仿宋" w:eastAsia="仿宋" w:cs="仿宋"/>
                      <w:color w:val="auto"/>
                      <w:sz w:val="24"/>
                    </w:rPr>
                    <w:t>并根据实际成交量进行结算，中标人不得以最终实际成交数量未达暂定数量为由提出索赔。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道闸</w:t>
                  </w:r>
                </w:p>
              </w:tc>
              <w:tc>
                <w:tcPr>
                  <w:tcW w:w="1260"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仿宋" w:hAnsi="仿宋" w:eastAsia="仿宋" w:cs="仿宋"/>
                      <w:color w:val="auto"/>
                      <w:kern w:val="0"/>
                      <w:sz w:val="30"/>
                      <w:szCs w:val="30"/>
                      <w:lang w:val="en-US" w:eastAsia="zh-CN" w:bidi="ar-SA"/>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default"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海康威视硬盘录像机</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DS-7916N-E4</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default"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Style w:val="27"/>
                      <w:lang w:val="en-US" w:eastAsia="zh-CN" w:bidi="ar"/>
                    </w:rPr>
                    <w:t>公路龙门架</w:t>
                  </w:r>
                  <w:r>
                    <w:rPr>
                      <w:rStyle w:val="28"/>
                      <w:lang w:val="en-US" w:eastAsia="zh-CN" w:bidi="ar"/>
                    </w:rPr>
                    <w:t>LED</w:t>
                  </w:r>
                  <w:r>
                    <w:rPr>
                      <w:rStyle w:val="27"/>
                      <w:lang w:val="en-US" w:eastAsia="zh-CN" w:bidi="ar"/>
                    </w:rPr>
                    <w:t>宣传板</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51.2</w:t>
                  </w:r>
                  <w:r>
                    <w:rPr>
                      <w:rFonts w:hint="eastAsia" w:ascii="宋体" w:hAnsi="宋体" w:cs="宋体"/>
                      <w:i w:val="0"/>
                      <w:iCs w:val="0"/>
                      <w:color w:val="000000"/>
                      <w:kern w:val="0"/>
                      <w:sz w:val="20"/>
                      <w:szCs w:val="20"/>
                      <w:u w:val="none"/>
                      <w:lang w:val="en-US" w:eastAsia="zh-CN" w:bidi="ar"/>
                    </w:rPr>
                    <w:t>平方</w:t>
                  </w:r>
                  <w:r>
                    <w:rPr>
                      <w:rFonts w:hint="eastAsia" w:ascii="宋体" w:hAnsi="宋体" w:eastAsia="宋体" w:cs="宋体"/>
                      <w:i w:val="0"/>
                      <w:iCs w:val="0"/>
                      <w:color w:val="000000"/>
                      <w:kern w:val="0"/>
                      <w:sz w:val="20"/>
                      <w:szCs w:val="20"/>
                      <w:u w:val="none"/>
                      <w:lang w:val="en-US" w:eastAsia="zh-CN" w:bidi="ar"/>
                    </w:rPr>
                    <w:t>米</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1.8</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台式机</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治超专用检测电脑</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LED显示屏</w:t>
                  </w:r>
                </w:p>
              </w:tc>
              <w:tc>
                <w:tcPr>
                  <w:tcW w:w="1260"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仿宋" w:hAnsi="仿宋" w:eastAsia="仿宋" w:cs="仿宋"/>
                      <w:color w:val="auto"/>
                      <w:kern w:val="0"/>
                      <w:sz w:val="30"/>
                      <w:szCs w:val="30"/>
                      <w:lang w:val="en-US" w:eastAsia="zh-CN" w:bidi="ar-SA"/>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30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兼容主机</w:t>
                  </w:r>
                </w:p>
              </w:tc>
              <w:tc>
                <w:tcPr>
                  <w:tcW w:w="1260"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仿宋" w:hAnsi="仿宋" w:eastAsia="仿宋" w:cs="仿宋"/>
                      <w:color w:val="auto"/>
                      <w:kern w:val="0"/>
                      <w:sz w:val="30"/>
                      <w:szCs w:val="30"/>
                      <w:lang w:val="en-US" w:eastAsia="zh-CN" w:bidi="ar-SA"/>
                    </w:rPr>
                  </w:pP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50</w:t>
                  </w:r>
                </w:p>
              </w:tc>
              <w:tc>
                <w:tcPr>
                  <w:tcW w:w="877" w:type="dxa"/>
                  <w:shd w:val="clear" w:color="auto" w:fill="auto"/>
                  <w:vAlign w:val="center"/>
                </w:tcPr>
                <w:p>
                  <w:pPr>
                    <w:pageBreakBefore w:val="0"/>
                    <w:kinsoku/>
                    <w:wordWrap/>
                    <w:overflowPunct/>
                    <w:topLinePunct w:val="0"/>
                    <w:autoSpaceDE/>
                    <w:autoSpaceDN/>
                    <w:bidi w:val="0"/>
                    <w:adjustRightInd/>
                    <w:spacing w:before="0" w:beforeLines="0" w:after="0" w:afterLines="0" w:line="240" w:lineRule="atLeast"/>
                    <w:jc w:val="center"/>
                    <w:rPr>
                      <w:rFonts w:hint="eastAsia" w:ascii="宋体" w:hAnsi="宋体" w:eastAsia="宋体" w:cs="宋体"/>
                      <w:i w:val="0"/>
                      <w:iCs w:val="0"/>
                      <w:color w:val="000000"/>
                      <w:kern w:val="0"/>
                      <w:sz w:val="20"/>
                      <w:szCs w:val="20"/>
                      <w:u w:val="none"/>
                      <w:lang w:val="en-US" w:eastAsia="zh-CN" w:bidi="ar"/>
                    </w:rPr>
                  </w:pP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钢架棚</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钢结构</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1650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澄溪治超站板房</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轻质钢，3.3M*3.3M</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1</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公斤</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91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路标指示牌</w:t>
                  </w:r>
                </w:p>
              </w:tc>
              <w:tc>
                <w:tcPr>
                  <w:tcW w:w="126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仿宋" w:hAnsi="仿宋" w:eastAsia="仿宋" w:cs="仿宋"/>
                      <w:color w:val="auto"/>
                      <w:kern w:val="0"/>
                      <w:sz w:val="30"/>
                      <w:szCs w:val="30"/>
                      <w:lang w:val="en-US" w:eastAsia="zh-CN" w:bidi="ar-SA"/>
                    </w:rPr>
                  </w:pPr>
                  <w:r>
                    <w:rPr>
                      <w:rFonts w:hint="eastAsia" w:ascii="宋体" w:hAnsi="宋体" w:eastAsia="宋体" w:cs="宋体"/>
                      <w:i w:val="0"/>
                      <w:iCs w:val="0"/>
                      <w:color w:val="000000"/>
                      <w:kern w:val="0"/>
                      <w:sz w:val="20"/>
                      <w:szCs w:val="20"/>
                      <w:u w:val="none"/>
                      <w:lang w:val="en-US" w:eastAsia="zh-CN" w:bidi="ar"/>
                    </w:rPr>
                    <w:t>立杆Φ219*8*8500mm，指示牌3000*2400*3.0mm，基础C25</w:t>
                  </w:r>
                </w:p>
              </w:tc>
              <w:tc>
                <w:tcPr>
                  <w:tcW w:w="69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4"/>
                      <w:szCs w:val="24"/>
                      <w:lang w:val="en-US" w:eastAsia="zh-CN" w:bidi="ar-SA"/>
                    </w:rPr>
                  </w:pPr>
                  <w:r>
                    <w:rPr>
                      <w:rFonts w:hint="eastAsia" w:ascii="宋体" w:hAnsi="宋体" w:eastAsia="宋体" w:cs="宋体"/>
                      <w:i w:val="0"/>
                      <w:iCs w:val="0"/>
                      <w:color w:val="000000"/>
                      <w:kern w:val="0"/>
                      <w:sz w:val="20"/>
                      <w:szCs w:val="20"/>
                      <w:u w:val="none"/>
                      <w:lang w:val="en-US" w:eastAsia="zh-CN" w:bidi="ar"/>
                    </w:rPr>
                    <w:t>4</w:t>
                  </w:r>
                </w:p>
              </w:tc>
              <w:tc>
                <w:tcPr>
                  <w:tcW w:w="100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12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方正仿宋_GBK" w:hAnsi="方正仿宋_GBK" w:eastAsia="方正仿宋_GBK" w:cs="方正仿宋_GBK"/>
                      <w:b/>
                      <w:bCs/>
                      <w:color w:val="auto"/>
                      <w:kern w:val="2"/>
                      <w:sz w:val="28"/>
                      <w:szCs w:val="28"/>
                      <w:lang w:val="en-US" w:eastAsia="zh-CN" w:bidi="ar-SA"/>
                    </w:rPr>
                  </w:pPr>
                  <w:r>
                    <w:rPr>
                      <w:rFonts w:hint="eastAsia" w:ascii="宋体" w:hAnsi="宋体" w:eastAsia="宋体" w:cs="宋体"/>
                      <w:i w:val="0"/>
                      <w:iCs w:val="0"/>
                      <w:color w:val="000000"/>
                      <w:kern w:val="0"/>
                      <w:sz w:val="20"/>
                      <w:szCs w:val="20"/>
                      <w:u w:val="none"/>
                      <w:lang w:val="en-US" w:eastAsia="zh-CN" w:bidi="ar"/>
                    </w:rPr>
                    <w:t>1.5</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pacing w:line="240" w:lineRule="atLeas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2000</w:t>
                  </w:r>
                </w:p>
              </w:tc>
              <w:tc>
                <w:tcPr>
                  <w:tcW w:w="3520" w:type="dxa"/>
                  <w:vMerge w:val="continue"/>
                  <w:tcBorders>
                    <w:left w:val="single" w:color="auto" w:sz="4" w:space="0"/>
                    <w:right w:val="single" w:color="auto" w:sz="4" w:space="0"/>
                  </w:tcBorders>
                  <w:shd w:val="clear" w:color="auto" w:fill="auto"/>
                  <w:vAlign w:val="center"/>
                </w:tcPr>
                <w:p>
                  <w:pPr>
                    <w:pageBreakBefore w:val="0"/>
                    <w:widowControl/>
                    <w:kinsoku/>
                    <w:wordWrap/>
                    <w:overflowPunct/>
                    <w:topLinePunct w:val="0"/>
                    <w:autoSpaceDE/>
                    <w:autoSpaceDN/>
                    <w:bidi w:val="0"/>
                    <w:adjustRightInd/>
                    <w:spacing w:line="240" w:lineRule="atLeast"/>
                    <w:ind w:firstLine="480" w:firstLineChars="200"/>
                    <w:jc w:val="left"/>
                    <w:textAlignment w:val="center"/>
                    <w:rPr>
                      <w:rFonts w:hint="eastAsia" w:ascii="仿宋" w:hAnsi="仿宋" w:eastAsia="仿宋" w:cs="仿宋"/>
                      <w:color w:val="auto"/>
                      <w:kern w:val="2"/>
                      <w:sz w:val="24"/>
                      <w:szCs w:val="24"/>
                      <w:lang w:val="en-US" w:eastAsia="zh-CN" w:bidi="ar-SA"/>
                    </w:rPr>
                  </w:pPr>
                </w:p>
              </w:tc>
              <w:tc>
                <w:tcPr>
                  <w:tcW w:w="1996" w:type="dxa"/>
                </w:tcPr>
                <w:p>
                  <w:pPr>
                    <w:keepNext w:val="0"/>
                    <w:keepLines w:val="0"/>
                    <w:pageBreakBefore w:val="0"/>
                    <w:widowControl/>
                    <w:kinsoku/>
                    <w:wordWrap/>
                    <w:overflowPunct/>
                    <w:topLinePunct w:val="0"/>
                    <w:autoSpaceDE/>
                    <w:autoSpaceDN/>
                    <w:bidi w:val="0"/>
                    <w:adjustRightInd/>
                    <w:snapToGrid/>
                    <w:spacing w:line="460" w:lineRule="exact"/>
                    <w:jc w:val="center"/>
                    <w:textAlignment w:val="center"/>
                    <w:rPr>
                      <w:rFonts w:ascii="方正仿宋_GBK" w:hAnsi="方正仿宋_GBK" w:eastAsia="方正仿宋_GBK" w:cs="方正仿宋_GBK"/>
                      <w:b/>
                      <w:bCs/>
                      <w:color w:val="auto"/>
                      <w:sz w:val="28"/>
                      <w:szCs w:val="28"/>
                    </w:rPr>
                  </w:pPr>
                </w:p>
              </w:tc>
              <w:tc>
                <w:tcPr>
                  <w:tcW w:w="1097" w:type="dxa"/>
                </w:tcPr>
                <w:p>
                  <w:pPr>
                    <w:widowControl/>
                    <w:jc w:val="center"/>
                    <w:textAlignment w:val="center"/>
                    <w:rPr>
                      <w:rFonts w:ascii="宋体" w:hAnsi="宋体" w:cs="宋体"/>
                      <w:color w:val="auto"/>
                      <w:kern w:val="0"/>
                      <w:sz w:val="22"/>
                      <w:szCs w:val="22"/>
                      <w:lang w:bidi="ar"/>
                    </w:rPr>
                  </w:pPr>
                </w:p>
              </w:tc>
              <w:tc>
                <w:tcPr>
                  <w:tcW w:w="1683" w:type="dxa"/>
                </w:tcPr>
                <w:p>
                  <w:pPr>
                    <w:widowControl/>
                    <w:jc w:val="center"/>
                    <w:textAlignment w:val="center"/>
                    <w:rPr>
                      <w:rFonts w:ascii="方正仿宋_GBK" w:hAnsi="方正仿宋_GBK" w:eastAsia="方正仿宋_GBK" w:cs="方正仿宋_GBK"/>
                      <w:b/>
                      <w:bCs/>
                      <w:color w:val="auto"/>
                      <w:sz w:val="28"/>
                      <w:szCs w:val="28"/>
                    </w:rPr>
                  </w:pPr>
                </w:p>
              </w:tc>
              <w:tc>
                <w:tcPr>
                  <w:tcW w:w="1463" w:type="dxa"/>
                </w:tcPr>
                <w:p>
                  <w:pPr>
                    <w:widowControl/>
                    <w:jc w:val="center"/>
                    <w:textAlignment w:val="center"/>
                    <w:rPr>
                      <w:rFonts w:hint="default" w:ascii="方正仿宋_GBK" w:hAnsi="方正仿宋_GBK" w:eastAsia="方正仿宋_GBK" w:cs="方正仿宋_GBK"/>
                      <w:b/>
                      <w:bCs/>
                      <w:color w:val="auto"/>
                      <w:sz w:val="28"/>
                      <w:szCs w:val="28"/>
                      <w:lang w:val="en-US" w:eastAsia="zh-CN"/>
                    </w:rPr>
                  </w:pPr>
                </w:p>
              </w:tc>
              <w:tc>
                <w:tcPr>
                  <w:tcW w:w="4171" w:type="dxa"/>
                </w:tcPr>
                <w:p>
                  <w:pPr>
                    <w:widowControl/>
                    <w:spacing w:line="480" w:lineRule="exact"/>
                    <w:ind w:firstLine="560" w:firstLineChars="200"/>
                    <w:jc w:val="left"/>
                    <w:textAlignment w:val="center"/>
                    <w:rPr>
                      <w:rFonts w:ascii="方正仿宋_GBK" w:hAnsi="方正仿宋_GBK" w:eastAsia="方正仿宋_GBK" w:cs="方正仿宋_GBK"/>
                      <w:color w:val="auto"/>
                      <w:sz w:val="28"/>
                      <w:szCs w:val="28"/>
                    </w:rPr>
                  </w:pPr>
                </w:p>
              </w:tc>
            </w:tr>
          </w:tbl>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二、申请人资格</w:t>
            </w:r>
          </w:p>
          <w:p>
            <w:pPr>
              <w:tabs>
                <w:tab w:val="left" w:pos="546"/>
                <w:tab w:val="left" w:pos="711"/>
              </w:tabs>
              <w:snapToGrid w:val="0"/>
              <w:ind w:firstLine="600" w:firstLineChars="20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企业：具有再生资源回收、金属废料加工处理资质的法人主体；​</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个体工商户：持有有效营业执照，经营范围包含再生资源回收或金属废料加工处理相关项目，并已按规定完成再生资源回收经营者备案。</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三、参与竞拍须知</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竞买人须为具备完全民事行为能力的企业法人或个体工商户。</w:t>
            </w:r>
          </w:p>
          <w:p>
            <w:pPr>
              <w:tabs>
                <w:tab w:val="left" w:pos="546"/>
                <w:tab w:val="left" w:pos="711"/>
              </w:tabs>
              <w:snapToGrid w:val="0"/>
              <w:ind w:firstLine="600" w:firstLineChars="200"/>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rPr>
              <w:t>2</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本次采用</w:t>
            </w:r>
            <w:r>
              <w:rPr>
                <w:rFonts w:hint="eastAsia" w:ascii="仿宋" w:hAnsi="仿宋" w:eastAsia="仿宋" w:cs="仿宋"/>
                <w:color w:val="auto"/>
                <w:kern w:val="0"/>
                <w:sz w:val="30"/>
                <w:szCs w:val="30"/>
                <w:lang w:eastAsia="zh-CN"/>
              </w:rPr>
              <w:t>线下</w:t>
            </w:r>
            <w:r>
              <w:rPr>
                <w:rFonts w:hint="eastAsia" w:ascii="仿宋" w:hAnsi="仿宋" w:eastAsia="仿宋" w:cs="仿宋"/>
                <w:color w:val="auto"/>
                <w:kern w:val="0"/>
                <w:sz w:val="30"/>
                <w:szCs w:val="30"/>
              </w:rPr>
              <w:t>报价方式，</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在开标截止时间（</w:t>
            </w:r>
            <w:r>
              <w:rPr>
                <w:rFonts w:hint="eastAsia" w:ascii="仿宋" w:hAnsi="仿宋" w:eastAsia="仿宋" w:cs="仿宋"/>
                <w:color w:val="auto"/>
                <w:kern w:val="0"/>
                <w:sz w:val="30"/>
                <w:szCs w:val="30"/>
                <w:lang w:eastAsia="zh-CN"/>
              </w:rPr>
              <w:t>2025</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月</w:t>
            </w:r>
            <w:r>
              <w:rPr>
                <w:rFonts w:hint="default" w:ascii="仿宋" w:hAnsi="仿宋" w:eastAsia="仿宋" w:cs="仿宋"/>
                <w:color w:val="auto"/>
                <w:kern w:val="0"/>
                <w:sz w:val="30"/>
                <w:szCs w:val="30"/>
              </w:rPr>
              <w:t>22</w:t>
            </w:r>
            <w:r>
              <w:rPr>
                <w:rFonts w:hint="eastAsia" w:ascii="仿宋" w:hAnsi="仿宋" w:eastAsia="仿宋" w:cs="仿宋"/>
                <w:color w:val="auto"/>
                <w:kern w:val="0"/>
                <w:sz w:val="30"/>
                <w:szCs w:val="30"/>
              </w:rPr>
              <w:t>日10:00）前</w:t>
            </w:r>
            <w:r>
              <w:rPr>
                <w:rFonts w:hint="eastAsia" w:ascii="仿宋" w:hAnsi="仿宋" w:eastAsia="仿宋" w:cs="仿宋"/>
                <w:color w:val="auto"/>
                <w:kern w:val="0"/>
                <w:sz w:val="30"/>
                <w:szCs w:val="30"/>
                <w:lang w:eastAsia="zh-CN"/>
              </w:rPr>
              <w:t>递交</w:t>
            </w:r>
            <w:r>
              <w:rPr>
                <w:rFonts w:hint="eastAsia" w:ascii="仿宋" w:hAnsi="仿宋" w:eastAsia="仿宋" w:cs="仿宋"/>
                <w:color w:val="auto"/>
                <w:kern w:val="0"/>
                <w:sz w:val="30"/>
                <w:szCs w:val="30"/>
              </w:rPr>
              <w:t>竞争文件</w:t>
            </w:r>
            <w:r>
              <w:rPr>
                <w:rFonts w:hint="eastAsia" w:ascii="仿宋" w:hAnsi="仿宋" w:eastAsia="仿宋" w:cs="仿宋"/>
                <w:color w:val="auto"/>
                <w:kern w:val="0"/>
                <w:sz w:val="30"/>
                <w:szCs w:val="30"/>
                <w:lang w:eastAsia="zh-CN"/>
              </w:rPr>
              <w:t>。</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3.竞争文件扫描件要求：</w:t>
            </w:r>
          </w:p>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a.报价信息应写在《竞争报价函》中，要求电脑打印、填写清晰、数字准确一致，</w:t>
            </w:r>
            <w:r>
              <w:rPr>
                <w:rFonts w:hint="eastAsia" w:ascii="仿宋" w:hAnsi="仿宋" w:eastAsia="仿宋" w:cs="仿宋"/>
                <w:color w:val="auto"/>
                <w:kern w:val="0"/>
                <w:sz w:val="30"/>
                <w:szCs w:val="30"/>
                <w:lang w:val="en-US" w:eastAsia="zh-CN"/>
              </w:rPr>
              <w:t>并</w:t>
            </w:r>
            <w:r>
              <w:rPr>
                <w:rFonts w:hint="eastAsia" w:ascii="仿宋" w:hAnsi="仿宋" w:eastAsia="仿宋" w:cs="仿宋"/>
                <w:color w:val="auto"/>
                <w:kern w:val="0"/>
                <w:sz w:val="30"/>
                <w:szCs w:val="30"/>
              </w:rPr>
              <w:t>由法定代表人签字加盖企业公章。</w:t>
            </w:r>
          </w:p>
          <w:p>
            <w:pPr>
              <w:pageBreakBefore w:val="0"/>
              <w:tabs>
                <w:tab w:val="left" w:pos="546"/>
                <w:tab w:val="left" w:pos="711"/>
              </w:tabs>
              <w:kinsoku/>
              <w:wordWrap/>
              <w:overflowPunct/>
              <w:topLinePunct w:val="0"/>
              <w:autoSpaceDE/>
              <w:autoSpaceDN/>
              <w:bidi w:val="0"/>
              <w:adjustRightInd/>
              <w:snapToGrid w:val="0"/>
              <w:spacing w:line="240" w:lineRule="atLeast"/>
              <w:ind w:firstLine="600" w:firstLineChars="200"/>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b.资格审查部分的材料，</w:t>
            </w:r>
            <w:r>
              <w:rPr>
                <w:rFonts w:hint="eastAsia" w:ascii="仿宋" w:hAnsi="仿宋" w:eastAsia="仿宋" w:cs="仿宋"/>
                <w:color w:val="auto"/>
                <w:kern w:val="0"/>
                <w:sz w:val="30"/>
                <w:szCs w:val="30"/>
                <w:lang w:eastAsia="zh-CN"/>
              </w:rPr>
              <w:t>每份资料</w:t>
            </w:r>
            <w:r>
              <w:rPr>
                <w:rFonts w:hint="eastAsia" w:ascii="仿宋" w:hAnsi="仿宋" w:eastAsia="仿宋" w:cs="仿宋"/>
                <w:color w:val="auto"/>
                <w:kern w:val="0"/>
                <w:sz w:val="30"/>
                <w:szCs w:val="30"/>
              </w:rPr>
              <w:t>须加盖</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公章，包括：《参与</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基本情况表》，法定代表人身份证明或其授权委托书，营业执照、资质证书，开户许可证。</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4.递交竞争文件的时间截止后，如符合要求的</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少于3家，或经评审后认为不形成竞争需要全部废标的，则竞争性发包流标。流标后，发包人将重新组织招标。</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四、投标报价说明</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竞买人的最终报价应为一个总价，该总价已包含但不限于：购买本公告所列全部资产的费用、完成全部拆除工作所需的费用、废料及垃圾清运处置费、施工扬尘控制费、场地清理费、路面恢复工程费、人工费、机械费、企业管理费、利润、税金、保险费（含工人意外险等）、协调费、各种风险防范费、履约保证金以及竞买人预期收益等所有为完成本项目内容及承担本项目全部责任和义务所需的全部费用。</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2.最低限价报价包括参与</w:t>
            </w:r>
            <w:r>
              <w:rPr>
                <w:rFonts w:hint="eastAsia" w:ascii="仿宋" w:hAnsi="仿宋" w:eastAsia="仿宋" w:cs="仿宋"/>
                <w:color w:val="auto"/>
                <w:kern w:val="0"/>
                <w:sz w:val="30"/>
                <w:szCs w:val="30"/>
                <w:lang w:eastAsia="zh-CN"/>
              </w:rPr>
              <w:t>竞争单位</w:t>
            </w:r>
            <w:r>
              <w:rPr>
                <w:rFonts w:hint="eastAsia" w:ascii="仿宋" w:hAnsi="仿宋" w:eastAsia="仿宋" w:cs="仿宋"/>
                <w:color w:val="auto"/>
                <w:kern w:val="0"/>
                <w:sz w:val="30"/>
                <w:szCs w:val="30"/>
              </w:rPr>
              <w:t>在合同实施过程中的一切费用。最低报价不低于</w:t>
            </w:r>
            <w:r>
              <w:rPr>
                <w:rFonts w:hint="eastAsia" w:ascii="仿宋" w:hAnsi="仿宋" w:eastAsia="仿宋" w:cs="仿宋"/>
                <w:color w:val="auto"/>
                <w:kern w:val="0"/>
                <w:sz w:val="30"/>
                <w:szCs w:val="30"/>
                <w:lang w:val="en-US" w:eastAsia="zh-CN"/>
              </w:rPr>
              <w:t>3</w:t>
            </w:r>
            <w:r>
              <w:rPr>
                <w:rFonts w:hint="default" w:ascii="仿宋" w:hAnsi="仿宋" w:eastAsia="仿宋" w:cs="仿宋"/>
                <w:color w:val="auto"/>
                <w:kern w:val="0"/>
                <w:sz w:val="30"/>
                <w:szCs w:val="30"/>
                <w:lang w:eastAsia="zh-CN"/>
              </w:rPr>
              <w:t>0</w:t>
            </w:r>
            <w:r>
              <w:rPr>
                <w:rFonts w:hint="eastAsia" w:ascii="仿宋" w:hAnsi="仿宋" w:eastAsia="仿宋" w:cs="仿宋"/>
                <w:color w:val="auto"/>
                <w:kern w:val="0"/>
                <w:sz w:val="30"/>
                <w:szCs w:val="30"/>
                <w:lang w:val="en-US" w:eastAsia="zh-CN"/>
              </w:rPr>
              <w:t>00元</w:t>
            </w:r>
            <w:r>
              <w:rPr>
                <w:rFonts w:hint="eastAsia" w:ascii="仿宋" w:hAnsi="仿宋" w:eastAsia="仿宋" w:cs="仿宋"/>
                <w:color w:val="auto"/>
                <w:kern w:val="0"/>
                <w:sz w:val="30"/>
                <w:szCs w:val="30"/>
              </w:rPr>
              <w:t>。</w:t>
            </w:r>
          </w:p>
          <w:p>
            <w:pPr>
              <w:tabs>
                <w:tab w:val="left" w:pos="546"/>
                <w:tab w:val="left" w:pos="711"/>
              </w:tabs>
              <w:snapToGrid w:val="0"/>
              <w:ind w:firstLine="600" w:firstLineChars="200"/>
              <w:rPr>
                <w:rFonts w:hint="default" w:eastAsia="仿宋"/>
                <w:lang w:val="en-US" w:eastAsia="zh-CN"/>
              </w:rPr>
            </w:pPr>
            <w:r>
              <w:rPr>
                <w:rFonts w:hint="eastAsia" w:ascii="仿宋" w:hAnsi="仿宋" w:eastAsia="仿宋" w:cs="仿宋"/>
                <w:color w:val="auto"/>
                <w:kern w:val="0"/>
                <w:sz w:val="30"/>
                <w:szCs w:val="30"/>
                <w:lang w:val="en-US" w:eastAsia="zh-CN"/>
              </w:rPr>
              <w:t>3.本项目遵循国有资产处置的财务规范。承包商的最终结算总价，在本公告中视同为该项资产的“上缴财政净值”。资产实际变现价值在支付本项目包含的全部工程成本（即拆除与路面恢复费用）后，所形成的“净值”将按规定上缴财政。各竞争单位在报价时，应综合考虑此原则及自身成本。</w:t>
            </w:r>
          </w:p>
          <w:p>
            <w:pPr>
              <w:tabs>
                <w:tab w:val="left" w:pos="546"/>
                <w:tab w:val="left" w:pos="711"/>
              </w:tabs>
              <w:snapToGrid w:val="0"/>
              <w:ind w:firstLine="640" w:firstLineChars="200"/>
              <w:rPr>
                <w:rFonts w:ascii="仿宋" w:hAnsi="仿宋" w:eastAsia="仿宋" w:cs="仿宋"/>
                <w:b/>
                <w:bCs/>
                <w:color w:val="auto"/>
                <w:kern w:val="0"/>
                <w:sz w:val="32"/>
                <w:szCs w:val="32"/>
              </w:rPr>
            </w:pPr>
            <w:r>
              <w:rPr>
                <w:rFonts w:hint="eastAsia" w:ascii="黑体" w:hAnsi="黑体" w:eastAsia="黑体" w:cs="黑体"/>
                <w:color w:val="auto"/>
                <w:kern w:val="0"/>
                <w:sz w:val="32"/>
                <w:szCs w:val="32"/>
              </w:rPr>
              <w:t>五、有下列情况之一者，其竞争文件作废，取消竞争资格</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rPr>
              <w:t>竞争单位竞争文件及相关资料</w:t>
            </w:r>
            <w:r>
              <w:rPr>
                <w:rFonts w:hint="eastAsia" w:ascii="仿宋" w:hAnsi="仿宋" w:eastAsia="仿宋" w:cs="仿宋"/>
                <w:color w:val="auto"/>
                <w:kern w:val="0"/>
                <w:sz w:val="30"/>
                <w:szCs w:val="30"/>
                <w:lang w:val="en-US" w:eastAsia="zh-CN"/>
              </w:rPr>
              <w:t>逾期</w:t>
            </w:r>
            <w:r>
              <w:rPr>
                <w:rFonts w:hint="eastAsia" w:ascii="仿宋" w:hAnsi="仿宋" w:eastAsia="仿宋" w:cs="仿宋"/>
                <w:color w:val="auto"/>
                <w:kern w:val="0"/>
                <w:sz w:val="30"/>
                <w:szCs w:val="30"/>
              </w:rPr>
              <w:t>送达的。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竞争性报价</w:t>
            </w:r>
            <w:r>
              <w:rPr>
                <w:rFonts w:hint="eastAsia" w:ascii="仿宋" w:hAnsi="仿宋" w:eastAsia="仿宋" w:cs="仿宋"/>
                <w:color w:val="auto"/>
                <w:kern w:val="0"/>
                <w:sz w:val="30"/>
                <w:szCs w:val="30"/>
                <w:lang w:val="en-US" w:eastAsia="zh-CN"/>
              </w:rPr>
              <w:t>不符合</w:t>
            </w:r>
            <w:r>
              <w:rPr>
                <w:rFonts w:hint="eastAsia" w:ascii="仿宋" w:hAnsi="仿宋" w:eastAsia="仿宋" w:cs="仿宋"/>
                <w:color w:val="auto"/>
                <w:kern w:val="0"/>
                <w:sz w:val="30"/>
                <w:szCs w:val="30"/>
              </w:rPr>
              <w:t>最低限价</w:t>
            </w:r>
            <w:r>
              <w:rPr>
                <w:rFonts w:hint="eastAsia" w:ascii="仿宋" w:hAnsi="仿宋" w:eastAsia="仿宋" w:cs="仿宋"/>
                <w:color w:val="auto"/>
                <w:kern w:val="0"/>
                <w:sz w:val="30"/>
                <w:szCs w:val="30"/>
                <w:lang w:val="en-US" w:eastAsia="zh-CN"/>
              </w:rPr>
              <w:t>要求</w:t>
            </w:r>
            <w:r>
              <w:rPr>
                <w:rFonts w:hint="eastAsia" w:ascii="仿宋" w:hAnsi="仿宋" w:eastAsia="仿宋" w:cs="仿宋"/>
                <w:color w:val="auto"/>
                <w:kern w:val="0"/>
                <w:sz w:val="30"/>
                <w:szCs w:val="30"/>
              </w:rPr>
              <w:t>的；竞争函中的报价不是电脑打印的。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竞争须知中规定提交资料不全的；报价表等有明显瑕疵或错误的。</w:t>
            </w:r>
          </w:p>
          <w:p>
            <w:pPr>
              <w:tabs>
                <w:tab w:val="left" w:pos="546"/>
                <w:tab w:val="left" w:pos="711"/>
              </w:tabs>
              <w:snapToGrid w:val="0"/>
              <w:ind w:firstLine="600" w:firstLineChars="200"/>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rPr>
              <w:t>竞争文件扫描件字迹模糊，涂改数字，未加盖公章或公章不清晰的；扫描件缩放降低像素无法看清楚的。</w:t>
            </w:r>
          </w:p>
          <w:p>
            <w:pPr>
              <w:tabs>
                <w:tab w:val="left" w:pos="546"/>
                <w:tab w:val="left" w:pos="711"/>
              </w:tabs>
              <w:snapToGrid w:val="0"/>
              <w:ind w:firstLine="600" w:firstLineChars="200"/>
              <w:rPr>
                <w:rFonts w:ascii="方正仿宋_GBK" w:hAnsi="方正仿宋_GBK" w:eastAsia="方正仿宋_GBK" w:cs="方正仿宋_GBK"/>
                <w:color w:val="auto"/>
                <w:kern w:val="0"/>
                <w:sz w:val="32"/>
                <w:szCs w:val="32"/>
              </w:rPr>
            </w:pPr>
            <w:r>
              <w:rPr>
                <w:rFonts w:hint="eastAsia" w:ascii="仿宋" w:hAnsi="仿宋" w:eastAsia="仿宋" w:cs="仿宋"/>
                <w:color w:val="auto"/>
                <w:kern w:val="0"/>
                <w:sz w:val="30"/>
                <w:szCs w:val="30"/>
                <w:lang w:val="en-US" w:eastAsia="zh-CN"/>
              </w:rPr>
              <w:t>5.</w:t>
            </w:r>
            <w:r>
              <w:rPr>
                <w:rFonts w:hint="eastAsia" w:ascii="仿宋" w:hAnsi="仿宋" w:eastAsia="仿宋" w:cs="仿宋"/>
                <w:color w:val="auto"/>
                <w:kern w:val="0"/>
                <w:sz w:val="30"/>
                <w:szCs w:val="30"/>
              </w:rPr>
              <w:t>竞争单位与其分支机构同时参与本项目竞争的。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、竞争文件的获取</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本项目不需提前报名，凡有意参加竞争者，</w:t>
            </w:r>
            <w:r>
              <w:rPr>
                <w:rFonts w:hint="eastAsia" w:ascii="仿宋" w:hAnsi="仿宋" w:eastAsia="仿宋" w:cs="仿宋"/>
                <w:color w:val="auto"/>
                <w:kern w:val="0"/>
                <w:sz w:val="30"/>
                <w:szCs w:val="30"/>
              </w:rPr>
              <w:t>请于</w:t>
            </w:r>
            <w:r>
              <w:rPr>
                <w:rFonts w:hint="eastAsia" w:ascii="仿宋" w:hAnsi="仿宋" w:eastAsia="仿宋" w:cs="仿宋"/>
                <w:color w:val="auto"/>
                <w:kern w:val="0"/>
                <w:sz w:val="30"/>
                <w:szCs w:val="30"/>
                <w:lang w:eastAsia="zh-CN"/>
              </w:rPr>
              <w:t>2025</w:t>
            </w:r>
            <w:r>
              <w:rPr>
                <w:rFonts w:hint="eastAsia" w:ascii="仿宋" w:hAnsi="仿宋" w:eastAsia="仿宋" w:cs="仿宋"/>
                <w:color w:val="auto"/>
                <w:kern w:val="0"/>
                <w:sz w:val="30"/>
                <w:szCs w:val="30"/>
              </w:rPr>
              <w:t>年</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月</w:t>
            </w:r>
            <w:r>
              <w:rPr>
                <w:rFonts w:hint="default" w:ascii="仿宋" w:hAnsi="仿宋" w:eastAsia="仿宋" w:cs="仿宋"/>
                <w:color w:val="auto"/>
                <w:kern w:val="0"/>
                <w:sz w:val="30"/>
                <w:szCs w:val="30"/>
              </w:rPr>
              <w:t>22</w:t>
            </w:r>
            <w:r>
              <w:rPr>
                <w:rFonts w:hint="eastAsia" w:ascii="仿宋" w:hAnsi="仿宋" w:eastAsia="仿宋" w:cs="仿宋"/>
                <w:color w:val="auto"/>
                <w:kern w:val="0"/>
                <w:sz w:val="30"/>
                <w:szCs w:val="30"/>
              </w:rPr>
              <w:t>日10</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00前在重庆市垫江县人民政府网（http://www.cqsdj.gov.cn</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下载本项目发包公告、竞争函、补遗等资料。竞争截止时间前公布的所有相关资料，</w:t>
            </w:r>
            <w:r>
              <w:rPr>
                <w:rFonts w:hint="eastAsia" w:ascii="仿宋" w:hAnsi="仿宋" w:eastAsia="仿宋" w:cs="仿宋"/>
                <w:color w:val="auto"/>
                <w:kern w:val="0"/>
                <w:sz w:val="30"/>
                <w:szCs w:val="30"/>
                <w:lang w:val="en-US" w:eastAsia="zh-CN"/>
              </w:rPr>
              <w:t>不</w:t>
            </w:r>
            <w:r>
              <w:rPr>
                <w:rFonts w:hint="eastAsia" w:ascii="仿宋" w:hAnsi="仿宋" w:eastAsia="仿宋" w:cs="仿宋"/>
                <w:color w:val="auto"/>
                <w:kern w:val="0"/>
                <w:sz w:val="32"/>
                <w:szCs w:val="32"/>
                <w:lang w:val="en-US" w:eastAsia="zh-CN"/>
              </w:rPr>
              <w:t>论</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下载与否，发包人都视为</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收到以上资料并全部知晓有关竞争过程和事宜，由此产生的一切后果由</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自负。</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lang w:eastAsia="zh-CN"/>
              </w:rPr>
              <w:t>七</w:t>
            </w:r>
            <w:r>
              <w:rPr>
                <w:rFonts w:hint="eastAsia" w:ascii="黑体" w:hAnsi="黑体" w:eastAsia="黑体" w:cs="黑体"/>
                <w:color w:val="auto"/>
                <w:kern w:val="0"/>
                <w:sz w:val="32"/>
                <w:szCs w:val="32"/>
              </w:rPr>
              <w:t>、竞争文件的递交时间</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递交竞争文件截止时间为</w:t>
            </w:r>
            <w:r>
              <w:rPr>
                <w:rFonts w:hint="eastAsia" w:ascii="仿宋" w:hAnsi="仿宋" w:eastAsia="仿宋" w:cs="仿宋"/>
                <w:color w:val="auto"/>
                <w:kern w:val="0"/>
                <w:sz w:val="32"/>
                <w:szCs w:val="32"/>
                <w:lang w:eastAsia="zh-CN"/>
              </w:rPr>
              <w:t>2025</w:t>
            </w:r>
            <w:r>
              <w:rPr>
                <w:rFonts w:hint="eastAsia" w:ascii="仿宋" w:hAnsi="仿宋" w:eastAsia="仿宋" w:cs="仿宋"/>
                <w:color w:val="auto"/>
                <w:kern w:val="0"/>
                <w:sz w:val="32"/>
                <w:szCs w:val="32"/>
              </w:rPr>
              <w:t>年</w:t>
            </w:r>
            <w:r>
              <w:rPr>
                <w:rFonts w:hint="eastAsia" w:ascii="仿宋" w:hAnsi="仿宋" w:eastAsia="仿宋" w:cs="仿宋"/>
                <w:color w:val="auto"/>
                <w:kern w:val="0"/>
                <w:sz w:val="32"/>
                <w:szCs w:val="32"/>
                <w:lang w:val="en-US" w:eastAsia="zh-CN"/>
              </w:rPr>
              <w:t>12</w:t>
            </w:r>
            <w:r>
              <w:rPr>
                <w:rFonts w:hint="eastAsia" w:ascii="仿宋" w:hAnsi="仿宋" w:eastAsia="仿宋" w:cs="仿宋"/>
                <w:color w:val="auto"/>
                <w:kern w:val="0"/>
                <w:sz w:val="32"/>
                <w:szCs w:val="32"/>
              </w:rPr>
              <w:t>月</w:t>
            </w:r>
            <w:r>
              <w:rPr>
                <w:rFonts w:hint="default" w:ascii="仿宋" w:hAnsi="仿宋" w:eastAsia="仿宋" w:cs="仿宋"/>
                <w:color w:val="auto"/>
                <w:kern w:val="0"/>
                <w:sz w:val="32"/>
                <w:szCs w:val="32"/>
              </w:rPr>
              <w:t>22</w:t>
            </w:r>
            <w:r>
              <w:rPr>
                <w:rFonts w:hint="eastAsia" w:ascii="仿宋" w:hAnsi="仿宋" w:eastAsia="仿宋" w:cs="仿宋"/>
                <w:color w:val="auto"/>
                <w:kern w:val="0"/>
                <w:sz w:val="32"/>
                <w:szCs w:val="32"/>
              </w:rPr>
              <w:t>日10</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00，截止时间即为公开竞争会议开始的时间，</w:t>
            </w:r>
            <w:r>
              <w:rPr>
                <w:rFonts w:hint="eastAsia" w:ascii="仿宋" w:hAnsi="仿宋" w:eastAsia="仿宋" w:cs="仿宋"/>
                <w:color w:val="auto"/>
                <w:kern w:val="0"/>
                <w:sz w:val="32"/>
                <w:szCs w:val="32"/>
                <w:lang w:eastAsia="zh-CN"/>
              </w:rPr>
              <w:t>竞争单位</w:t>
            </w:r>
            <w:r>
              <w:rPr>
                <w:rFonts w:hint="eastAsia" w:ascii="仿宋" w:hAnsi="仿宋" w:eastAsia="仿宋" w:cs="仿宋"/>
                <w:color w:val="auto"/>
                <w:kern w:val="0"/>
                <w:sz w:val="32"/>
                <w:szCs w:val="32"/>
              </w:rPr>
              <w:t>超过截止时间递交的竞争文件及资料</w:t>
            </w:r>
            <w:r>
              <w:rPr>
                <w:rFonts w:hint="eastAsia" w:ascii="仿宋" w:hAnsi="仿宋" w:eastAsia="仿宋" w:cs="仿宋"/>
                <w:color w:val="auto"/>
                <w:kern w:val="0"/>
                <w:sz w:val="32"/>
                <w:szCs w:val="32"/>
                <w:lang w:eastAsia="zh-CN"/>
              </w:rPr>
              <w:t>，</w:t>
            </w:r>
            <w:r>
              <w:rPr>
                <w:rFonts w:hint="eastAsia" w:ascii="仿宋" w:hAnsi="仿宋" w:eastAsia="仿宋" w:cs="仿宋"/>
                <w:color w:val="auto"/>
                <w:kern w:val="0"/>
                <w:sz w:val="32"/>
                <w:szCs w:val="32"/>
              </w:rPr>
              <w:t>发包人将不予接收。</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黑体" w:hAnsi="黑体" w:eastAsia="黑体" w:cs="黑体"/>
                <w:color w:val="auto"/>
                <w:kern w:val="0"/>
                <w:sz w:val="32"/>
                <w:szCs w:val="32"/>
                <w:lang w:eastAsia="zh-CN"/>
              </w:rPr>
              <w:t>八</w:t>
            </w:r>
            <w:r>
              <w:rPr>
                <w:rFonts w:hint="eastAsia" w:ascii="黑体" w:hAnsi="黑体" w:eastAsia="黑体" w:cs="黑体"/>
                <w:color w:val="auto"/>
                <w:kern w:val="0"/>
                <w:sz w:val="32"/>
                <w:szCs w:val="32"/>
              </w:rPr>
              <w:t>、竞得人确定办法</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1</w:t>
            </w:r>
            <w:r>
              <w:rPr>
                <w:rFonts w:hint="eastAsia" w:ascii="仿宋" w:hAnsi="仿宋" w:eastAsia="仿宋" w:cs="仿宋"/>
                <w:color w:val="auto"/>
                <w:kern w:val="0"/>
                <w:sz w:val="32"/>
                <w:szCs w:val="32"/>
              </w:rPr>
              <w:t>.坚持公开、公平、公正、诚实、信用的原则，反对不正当竞争。</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.依据竞买报价将竞争单位投</w:t>
            </w:r>
            <w:r>
              <w:rPr>
                <w:rFonts w:hint="eastAsia" w:ascii="仿宋" w:hAnsi="仿宋" w:eastAsia="仿宋" w:cs="仿宋"/>
                <w:color w:val="auto"/>
                <w:kern w:val="0"/>
                <w:sz w:val="32"/>
                <w:szCs w:val="32"/>
                <w:lang w:eastAsia="zh-CN"/>
              </w:rPr>
              <w:t>标报价最高者确认为第</w:t>
            </w:r>
            <w:r>
              <w:rPr>
                <w:rFonts w:hint="eastAsia" w:ascii="仿宋" w:hAnsi="仿宋" w:eastAsia="仿宋" w:cs="仿宋"/>
                <w:color w:val="auto"/>
                <w:kern w:val="0"/>
                <w:sz w:val="32"/>
                <w:szCs w:val="32"/>
              </w:rPr>
              <w:t>一中标候选人。</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若两个或两个以上投标人的最终报价相同，且导致任一中标候选人排名无法确定时，则通过现场抓阄方式随机确定该名次的归属。其后的中标候选人排名依次顺延。抓阄过程应在所有投标人代表或监督人员见证下进行，并记录在案。</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4</w:t>
            </w:r>
            <w:r>
              <w:rPr>
                <w:rFonts w:hint="eastAsia" w:ascii="仿宋" w:hAnsi="仿宋" w:eastAsia="仿宋" w:cs="仿宋"/>
                <w:color w:val="auto"/>
                <w:kern w:val="0"/>
                <w:sz w:val="32"/>
                <w:szCs w:val="32"/>
              </w:rPr>
              <w:t>.当第一中标候选人放弃中标权益或者因不可抗力提出不能履行投标承诺，则重新组织</w:t>
            </w:r>
            <w:r>
              <w:rPr>
                <w:rFonts w:hint="eastAsia" w:ascii="仿宋" w:hAnsi="仿宋" w:eastAsia="仿宋" w:cs="仿宋"/>
                <w:color w:val="auto"/>
                <w:kern w:val="0"/>
                <w:sz w:val="32"/>
                <w:szCs w:val="32"/>
                <w:lang w:eastAsia="zh-CN"/>
              </w:rPr>
              <w:t>竞争性</w:t>
            </w:r>
            <w:r>
              <w:rPr>
                <w:rFonts w:hint="eastAsia" w:ascii="仿宋" w:hAnsi="仿宋" w:eastAsia="仿宋" w:cs="仿宋"/>
                <w:color w:val="auto"/>
                <w:kern w:val="0"/>
                <w:sz w:val="32"/>
                <w:szCs w:val="32"/>
              </w:rPr>
              <w:t>比选。</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.若第一中标候选人无故放弃该项目或公示三个工作日后拒签合同的，视为放弃中标资格。</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.第一中标候选人须在签订合同前完成履约保证金。</w:t>
            </w:r>
          </w:p>
          <w:p>
            <w:pPr>
              <w:tabs>
                <w:tab w:val="left" w:pos="546"/>
                <w:tab w:val="left" w:pos="711"/>
              </w:tabs>
              <w:snapToGrid w:val="0"/>
              <w:ind w:firstLine="640" w:firstLineChars="200"/>
              <w:rPr>
                <w:rFonts w:hint="eastAsia" w:ascii="黑体" w:hAnsi="黑体" w:eastAsia="黑体" w:cs="黑体"/>
                <w:color w:val="auto"/>
                <w:kern w:val="0"/>
                <w:sz w:val="32"/>
                <w:szCs w:val="32"/>
                <w:lang w:eastAsia="zh-CN"/>
              </w:rPr>
            </w:pPr>
            <w:r>
              <w:rPr>
                <w:rFonts w:hint="eastAsia" w:ascii="黑体" w:hAnsi="黑体" w:eastAsia="黑体" w:cs="黑体"/>
                <w:color w:val="auto"/>
                <w:kern w:val="0"/>
                <w:sz w:val="32"/>
                <w:szCs w:val="32"/>
                <w:lang w:eastAsia="zh-CN"/>
              </w:rPr>
              <w:t>九</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其他要求</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1.自合同签订之日起15个工作日内完成全部资产的拆除、清运及场地恢复工作。</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2.资产由竞得人自行负责拆除、搬运，负责除渣外运、施工扬尘控制、场地清理、恢复路面等工作。</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eastAsia"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3.路面恢复工程：须严格按照以下标准执行，预算价格为32921元，具体工程量详见附件《工程量清单表》。1.刚性路面恢复：恢复长49米、宽5米的钢筋混凝土路面，其结构层厚度根据实际状况在40-90厘米范围内确定；2.柔性路面恢复：恢复长23米、宽5米的沥青混凝土路面；3.坑槽处理：对长12米、宽5米、深1.2米的坑槽进行规范回填与压实。</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default" w:ascii="仿宋" w:hAnsi="仿宋" w:eastAsia="仿宋" w:cs="仿宋"/>
                <w:color w:val="auto"/>
                <w:kern w:val="0"/>
                <w:sz w:val="32"/>
                <w:szCs w:val="32"/>
                <w:lang w:val="en-US" w:eastAsia="zh-CN"/>
              </w:rPr>
            </w:pPr>
            <w:r>
              <w:rPr>
                <w:rFonts w:hint="eastAsia" w:ascii="仿宋" w:hAnsi="仿宋" w:eastAsia="仿宋" w:cs="仿宋"/>
                <w:color w:val="auto"/>
                <w:kern w:val="0"/>
                <w:sz w:val="32"/>
                <w:szCs w:val="32"/>
                <w:lang w:val="en-US" w:eastAsia="zh-CN"/>
              </w:rPr>
              <w:t>所有恢复工程须符合强制性质量标准，符合国家和重庆市现行有关公路施工质量验收规范要求（JTG F40—2004 公路沥青路面施工技术规范、JTG 5142—2019公路沥青路面养护技术规范、JTG 5220—2020公路养护工程质量检验评定标准），并达到合格标准。</w:t>
            </w:r>
            <w:r>
              <w:rPr>
                <w:rFonts w:hint="eastAsia" w:ascii="仿宋" w:hAnsi="仿宋" w:eastAsia="仿宋" w:cs="仿宋"/>
                <w:color w:val="auto"/>
                <w:kern w:val="0"/>
                <w:sz w:val="32"/>
                <w:szCs w:val="32"/>
                <w:lang w:val="en-US" w:eastAsia="zh-CN"/>
              </w:rPr>
              <w:br w:type="textWrapping"/>
            </w:r>
            <w:r>
              <w:rPr>
                <w:rFonts w:hint="eastAsia" w:ascii="仿宋" w:hAnsi="仿宋" w:eastAsia="仿宋" w:cs="仿宋"/>
                <w:color w:val="auto"/>
                <w:kern w:val="0"/>
                <w:sz w:val="32"/>
                <w:szCs w:val="32"/>
                <w:lang w:val="en-US" w:eastAsia="zh-CN"/>
              </w:rPr>
              <w:t xml:space="preserve">    4.竞得人须负责施工期间的全面安全管理，为所有现场拆除工人购买足额工伤保险及意外伤害保险等相应保险，并独立承担因本次拆除作业所引发的一切安全责任。</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lang w:eastAsia="zh-CN"/>
              </w:rPr>
              <w:t>发包</w:t>
            </w:r>
            <w:r>
              <w:rPr>
                <w:rFonts w:hint="eastAsia" w:ascii="仿宋" w:hAnsi="仿宋" w:eastAsia="仿宋" w:cs="仿宋"/>
                <w:color w:val="auto"/>
                <w:kern w:val="0"/>
                <w:sz w:val="32"/>
                <w:szCs w:val="32"/>
              </w:rPr>
              <w:t>人不</w:t>
            </w:r>
            <w:r>
              <w:rPr>
                <w:rFonts w:hint="eastAsia" w:ascii="仿宋" w:hAnsi="仿宋" w:eastAsia="仿宋" w:cs="仿宋"/>
                <w:color w:val="auto"/>
                <w:kern w:val="0"/>
                <w:sz w:val="32"/>
                <w:szCs w:val="32"/>
                <w:lang w:val="en-US" w:eastAsia="zh-CN"/>
              </w:rPr>
              <w:t>统一</w:t>
            </w:r>
            <w:r>
              <w:rPr>
                <w:rFonts w:hint="eastAsia" w:ascii="仿宋" w:hAnsi="仿宋" w:eastAsia="仿宋" w:cs="仿宋"/>
                <w:color w:val="auto"/>
                <w:kern w:val="0"/>
                <w:sz w:val="32"/>
                <w:szCs w:val="32"/>
              </w:rPr>
              <w:t>组织现场踏勘，由各竞争单位自行踏勘。无论</w:t>
            </w:r>
            <w:r>
              <w:rPr>
                <w:rFonts w:hint="eastAsia" w:ascii="仿宋" w:hAnsi="仿宋" w:eastAsia="仿宋" w:cs="仿宋"/>
                <w:color w:val="auto"/>
                <w:kern w:val="0"/>
                <w:sz w:val="32"/>
                <w:szCs w:val="32"/>
                <w:lang w:val="en-US" w:eastAsia="zh-CN"/>
              </w:rPr>
              <w:t>供应商</w:t>
            </w:r>
            <w:r>
              <w:rPr>
                <w:rFonts w:hint="eastAsia" w:ascii="仿宋" w:hAnsi="仿宋" w:eastAsia="仿宋" w:cs="仿宋"/>
                <w:color w:val="auto"/>
                <w:kern w:val="0"/>
                <w:sz w:val="32"/>
                <w:szCs w:val="32"/>
              </w:rPr>
              <w:t>是否踏勘过现场，均被认为已经踏勘现场，对本合同项目的风险和义务已经十分了解，并在其</w:t>
            </w:r>
            <w:r>
              <w:rPr>
                <w:rFonts w:hint="eastAsia" w:ascii="仿宋" w:hAnsi="仿宋" w:eastAsia="仿宋" w:cs="仿宋"/>
                <w:color w:val="auto"/>
                <w:kern w:val="0"/>
                <w:sz w:val="32"/>
                <w:szCs w:val="32"/>
                <w:lang w:val="en-US" w:eastAsia="zh-CN"/>
              </w:rPr>
              <w:t>投标</w:t>
            </w:r>
            <w:r>
              <w:rPr>
                <w:rFonts w:hint="eastAsia" w:ascii="仿宋" w:hAnsi="仿宋" w:eastAsia="仿宋" w:cs="仿宋"/>
                <w:color w:val="auto"/>
                <w:kern w:val="0"/>
                <w:sz w:val="32"/>
                <w:szCs w:val="32"/>
              </w:rPr>
              <w:t>文件中已充分考虑了现场和环境条件。踏勘现场所发生的所有费用（包含因踏勘现场而造成的死亡、人身伤害、财产损失</w:t>
            </w:r>
            <w:r>
              <w:rPr>
                <w:rFonts w:hint="eastAsia" w:ascii="仿宋" w:hAnsi="仿宋" w:eastAsia="仿宋" w:cs="仿宋"/>
                <w:color w:val="auto"/>
                <w:kern w:val="0"/>
                <w:sz w:val="32"/>
                <w:szCs w:val="32"/>
                <w:lang w:eastAsia="zh-CN"/>
              </w:rPr>
              <w:t>和产生的其他费用）均由供应商自行承担。</w:t>
            </w:r>
          </w:p>
          <w:p>
            <w:pPr>
              <w:pageBreakBefore w:val="0"/>
              <w:tabs>
                <w:tab w:val="left" w:pos="546"/>
                <w:tab w:val="left" w:pos="711"/>
              </w:tabs>
              <w:kinsoku/>
              <w:wordWrap/>
              <w:overflowPunct/>
              <w:topLinePunct w:val="0"/>
              <w:autoSpaceDE/>
              <w:autoSpaceDN/>
              <w:bidi w:val="0"/>
              <w:adjustRightInd/>
              <w:snapToGrid w:val="0"/>
              <w:spacing w:line="240" w:lineRule="atLeast"/>
              <w:ind w:firstLine="640" w:firstLineChars="200"/>
              <w:textAlignment w:val="auto"/>
            </w:pPr>
            <w:r>
              <w:rPr>
                <w:rFonts w:hint="eastAsia" w:ascii="仿宋" w:hAnsi="仿宋" w:eastAsia="仿宋" w:cs="仿宋"/>
                <w:color w:val="auto"/>
                <w:kern w:val="0"/>
                <w:sz w:val="32"/>
                <w:szCs w:val="32"/>
                <w:lang w:val="en-US" w:eastAsia="zh-CN"/>
              </w:rPr>
              <w:t>6.</w:t>
            </w:r>
            <w:r>
              <w:rPr>
                <w:rFonts w:hint="eastAsia" w:ascii="仿宋" w:hAnsi="仿宋" w:eastAsia="仿宋" w:cs="仿宋"/>
                <w:color w:val="auto"/>
                <w:kern w:val="0"/>
                <w:sz w:val="32"/>
                <w:szCs w:val="32"/>
              </w:rPr>
              <w:t>竞争单位</w:t>
            </w:r>
            <w:r>
              <w:rPr>
                <w:rFonts w:hint="eastAsia" w:ascii="仿宋" w:hAnsi="仿宋" w:eastAsia="仿宋" w:cs="仿宋"/>
                <w:color w:val="auto"/>
                <w:kern w:val="0"/>
                <w:sz w:val="32"/>
                <w:szCs w:val="32"/>
                <w:lang w:eastAsia="zh-CN"/>
              </w:rPr>
              <w:t>须自行承诺其提供的相关证明材料真实有效，不存在弄虚作假情形。发包人在合同签订前均有权对供应商提供的资料进行核实，若发现弄虚作假，按相关规定取消其成交资格，并按相关法律法规报</w:t>
            </w:r>
            <w:r>
              <w:rPr>
                <w:rFonts w:hint="eastAsia" w:ascii="仿宋" w:hAnsi="仿宋" w:eastAsia="仿宋" w:cs="仿宋"/>
                <w:color w:val="auto"/>
                <w:kern w:val="0"/>
                <w:sz w:val="32"/>
                <w:szCs w:val="32"/>
                <w:lang w:val="en-US" w:eastAsia="zh-CN"/>
              </w:rPr>
              <w:t>采购人</w:t>
            </w:r>
            <w:r>
              <w:rPr>
                <w:rFonts w:hint="eastAsia" w:ascii="仿宋" w:hAnsi="仿宋" w:eastAsia="仿宋" w:cs="仿宋"/>
                <w:color w:val="auto"/>
                <w:kern w:val="0"/>
                <w:sz w:val="32"/>
                <w:szCs w:val="32"/>
                <w:lang w:eastAsia="zh-CN"/>
              </w:rPr>
              <w:t>监督部门，由供应商承担因此造成的相关责任并赔偿相应损失。</w:t>
            </w:r>
          </w:p>
          <w:p>
            <w:pPr>
              <w:spacing w:line="440" w:lineRule="exact"/>
              <w:ind w:firstLine="320" w:firstLineChars="100"/>
              <w:jc w:val="left"/>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rPr>
              <w:t xml:space="preserve">  </w:t>
            </w:r>
            <w:r>
              <w:rPr>
                <w:rFonts w:hint="eastAsia" w:ascii="黑体" w:hAnsi="黑体" w:eastAsia="黑体" w:cs="黑体"/>
                <w:color w:val="auto"/>
                <w:kern w:val="0"/>
                <w:sz w:val="32"/>
                <w:szCs w:val="32"/>
                <w:lang w:eastAsia="zh-CN"/>
              </w:rPr>
              <w:t>十</w:t>
            </w:r>
            <w:r>
              <w:rPr>
                <w:rFonts w:hint="eastAsia" w:ascii="黑体" w:hAnsi="黑体" w:eastAsia="黑体" w:cs="黑体"/>
                <w:color w:val="auto"/>
                <w:kern w:val="0"/>
                <w:sz w:val="32"/>
                <w:szCs w:val="32"/>
              </w:rPr>
              <w:t>、交货方式、时间及地点</w:t>
            </w:r>
            <w:r>
              <w:rPr>
                <w:rFonts w:hint="eastAsia" w:ascii="黑体" w:hAnsi="黑体" w:eastAsia="黑体" w:cs="黑体"/>
                <w:color w:val="auto"/>
                <w:kern w:val="0"/>
                <w:sz w:val="32"/>
                <w:szCs w:val="32"/>
                <w:lang w:val="en-US" w:eastAsia="zh-CN"/>
              </w:rPr>
              <w:t xml:space="preserve"> </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1.交货方式：中标人根据发包人的要求自行搬运、拆除废旧物资，搬运过程中产生的费用由中标方自行承担。</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交货时间：中标人接到发包人通知后5个工作日内完成废弃材料搬运，并保证搬运物资数量无误。</w:t>
            </w:r>
          </w:p>
          <w:p>
            <w:pPr>
              <w:tabs>
                <w:tab w:val="left" w:pos="546"/>
                <w:tab w:val="left" w:pos="711"/>
              </w:tabs>
              <w:snapToGrid w:val="0"/>
              <w:ind w:firstLine="640" w:firstLineChars="200"/>
              <w:rPr>
                <w:rFonts w:hint="eastAsia" w:ascii="仿宋" w:hAnsi="仿宋" w:eastAsia="仿宋" w:cs="仿宋"/>
                <w:color w:val="auto"/>
                <w:kern w:val="0"/>
                <w:sz w:val="32"/>
                <w:szCs w:val="32"/>
                <w:lang w:eastAsia="zh-CN"/>
              </w:rPr>
            </w:pPr>
            <w:r>
              <w:rPr>
                <w:rFonts w:hint="eastAsia" w:ascii="仿宋" w:hAnsi="仿宋" w:eastAsia="仿宋" w:cs="仿宋"/>
                <w:color w:val="auto"/>
                <w:kern w:val="0"/>
                <w:sz w:val="32"/>
                <w:szCs w:val="32"/>
                <w:lang w:val="en-US" w:eastAsia="zh-CN"/>
              </w:rPr>
              <w:t>3</w:t>
            </w:r>
            <w:r>
              <w:rPr>
                <w:rFonts w:hint="eastAsia" w:ascii="仿宋" w:hAnsi="仿宋" w:eastAsia="仿宋" w:cs="仿宋"/>
                <w:color w:val="auto"/>
                <w:kern w:val="0"/>
                <w:sz w:val="32"/>
                <w:szCs w:val="32"/>
              </w:rPr>
              <w:t>.交货地点：</w:t>
            </w:r>
            <w:r>
              <w:rPr>
                <w:rFonts w:hint="eastAsia" w:ascii="仿宋" w:hAnsi="仿宋" w:eastAsia="仿宋" w:cs="仿宋"/>
                <w:color w:val="auto"/>
                <w:kern w:val="0"/>
                <w:sz w:val="32"/>
                <w:szCs w:val="32"/>
                <w:lang w:eastAsia="zh-CN"/>
              </w:rPr>
              <w:t>原垫江县石岭治超站</w:t>
            </w:r>
          </w:p>
          <w:p>
            <w:pPr>
              <w:pStyle w:val="24"/>
              <w:spacing w:line="440" w:lineRule="exact"/>
              <w:ind w:firstLine="640" w:firstLineChars="200"/>
              <w:jc w:val="left"/>
              <w:rPr>
                <w:rFonts w:ascii="黑体" w:hAnsi="黑体" w:eastAsia="黑体" w:cs="黑体"/>
                <w:color w:val="auto"/>
                <w:sz w:val="32"/>
                <w:szCs w:val="32"/>
              </w:rPr>
            </w:pPr>
            <w:r>
              <w:rPr>
                <w:rFonts w:hint="eastAsia" w:ascii="黑体" w:hAnsi="黑体" w:eastAsia="黑体" w:cs="黑体"/>
                <w:color w:val="auto"/>
                <w:sz w:val="32"/>
                <w:szCs w:val="32"/>
                <w:lang w:eastAsia="zh-CN"/>
              </w:rPr>
              <w:t>十一</w:t>
            </w:r>
            <w:r>
              <w:rPr>
                <w:rFonts w:hint="eastAsia" w:ascii="黑体" w:hAnsi="黑体" w:eastAsia="黑体" w:cs="黑体"/>
                <w:color w:val="auto"/>
                <w:sz w:val="32"/>
                <w:szCs w:val="32"/>
              </w:rPr>
              <w:t>、履约保证金</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1.缴纳方式：银行转</w:t>
            </w:r>
            <w:r>
              <w:rPr>
                <w:rFonts w:hint="eastAsia" w:ascii="仿宋" w:hAnsi="仿宋" w:eastAsia="仿宋" w:cs="仿宋"/>
                <w:color w:val="auto"/>
                <w:kern w:val="0"/>
                <w:sz w:val="32"/>
                <w:szCs w:val="32"/>
                <w:lang w:eastAsia="zh-CN"/>
              </w:rPr>
              <w:t>账</w:t>
            </w:r>
            <w:r>
              <w:rPr>
                <w:rFonts w:hint="eastAsia" w:ascii="仿宋" w:hAnsi="仿宋" w:eastAsia="仿宋" w:cs="仿宋"/>
                <w:color w:val="auto"/>
                <w:kern w:val="0"/>
                <w:sz w:val="32"/>
                <w:szCs w:val="32"/>
              </w:rPr>
              <w:t>至发包人指定的账户。</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2.缴纳时间：领取中标通知书之日起三日内。</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3.缴纳金额：收到中标通知书后5个工作日内签订合同，签订合同前，由中标人</w:t>
            </w:r>
            <w:r>
              <w:rPr>
                <w:rFonts w:hint="eastAsia" w:ascii="仿宋" w:hAnsi="仿宋" w:eastAsia="仿宋" w:cs="仿宋"/>
                <w:color w:val="auto"/>
                <w:kern w:val="0"/>
                <w:sz w:val="32"/>
                <w:szCs w:val="32"/>
                <w:lang w:eastAsia="zh-CN"/>
              </w:rPr>
              <w:t>缴纳</w:t>
            </w:r>
            <w:r>
              <w:rPr>
                <w:rFonts w:hint="eastAsia" w:ascii="仿宋" w:hAnsi="仿宋" w:eastAsia="仿宋" w:cs="仿宋"/>
                <w:color w:val="auto"/>
                <w:kern w:val="0"/>
                <w:sz w:val="32"/>
                <w:szCs w:val="32"/>
                <w:lang w:val="en-US" w:eastAsia="zh-CN"/>
              </w:rPr>
              <w:t>36579元</w:t>
            </w:r>
            <w:r>
              <w:rPr>
                <w:rFonts w:hint="eastAsia" w:ascii="仿宋" w:hAnsi="仿宋" w:eastAsia="仿宋" w:cs="仿宋"/>
                <w:color w:val="auto"/>
                <w:kern w:val="0"/>
                <w:sz w:val="32"/>
                <w:szCs w:val="32"/>
              </w:rPr>
              <w:t>履约保证金。</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4.若有下列情形之一的，履约保证金将不予退还。</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（1）缴纳履约保证金之日起</w:t>
            </w:r>
            <w:r>
              <w:rPr>
                <w:rFonts w:hint="eastAsia" w:ascii="仿宋" w:hAnsi="仿宋" w:eastAsia="仿宋" w:cs="仿宋"/>
                <w:color w:val="auto"/>
                <w:kern w:val="0"/>
                <w:sz w:val="32"/>
                <w:szCs w:val="32"/>
                <w:lang w:val="en-US" w:eastAsia="zh-CN"/>
              </w:rPr>
              <w:t>5</w:t>
            </w:r>
            <w:r>
              <w:rPr>
                <w:rFonts w:hint="eastAsia" w:ascii="仿宋" w:hAnsi="仿宋" w:eastAsia="仿宋" w:cs="仿宋"/>
                <w:color w:val="auto"/>
                <w:kern w:val="0"/>
                <w:sz w:val="32"/>
                <w:szCs w:val="32"/>
              </w:rPr>
              <w:t>日内未签订合同的。</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（2）合同签订后，中标人未能按招标文件规定及合同约定，完成全部资产的拆除、清运、路面恢复</w:t>
            </w:r>
            <w:r>
              <w:rPr>
                <w:rFonts w:hint="eastAsia" w:ascii="仿宋" w:hAnsi="仿宋" w:eastAsia="仿宋" w:cs="仿宋"/>
                <w:color w:val="auto"/>
                <w:kern w:val="0"/>
                <w:sz w:val="32"/>
                <w:szCs w:val="32"/>
                <w:lang w:eastAsia="zh-CN"/>
              </w:rPr>
              <w:t>的</w:t>
            </w:r>
            <w:r>
              <w:rPr>
                <w:rFonts w:hint="eastAsia" w:ascii="仿宋" w:hAnsi="仿宋" w:eastAsia="仿宋" w:cs="仿宋"/>
                <w:color w:val="auto"/>
                <w:kern w:val="0"/>
                <w:sz w:val="32"/>
                <w:szCs w:val="32"/>
              </w:rPr>
              <w:t>。</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5.退还时间及方式：中标人全面履行合同义务，包括但不限于完成全部资产拆除清运、路面及场地恢复并通过发包人验收，且已结清全部合同价款后，发包人在15个工作日内将履约保证金无息退还至中标人账户。</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二</w:t>
            </w:r>
            <w:r>
              <w:rPr>
                <w:rFonts w:hint="eastAsia" w:ascii="黑体" w:hAnsi="黑体" w:eastAsia="黑体" w:cs="黑体"/>
                <w:color w:val="auto"/>
                <w:kern w:val="0"/>
                <w:sz w:val="32"/>
                <w:szCs w:val="32"/>
              </w:rPr>
              <w:t>、付款方式</w:t>
            </w:r>
          </w:p>
          <w:p>
            <w:pPr>
              <w:tabs>
                <w:tab w:val="left" w:pos="546"/>
                <w:tab w:val="left" w:pos="711"/>
              </w:tabs>
              <w:snapToGrid w:val="0"/>
              <w:ind w:firstLine="640" w:firstLineChars="200"/>
              <w:rPr>
                <w:rFonts w:ascii="方正仿宋_GBK" w:hAnsi="方正仿宋_GBK" w:eastAsia="方正仿宋_GBK" w:cs="方正仿宋_GBK"/>
                <w:color w:val="auto"/>
                <w:kern w:val="0"/>
                <w:sz w:val="32"/>
                <w:szCs w:val="32"/>
              </w:rPr>
            </w:pPr>
            <w:r>
              <w:rPr>
                <w:rFonts w:hint="eastAsia" w:ascii="仿宋" w:hAnsi="仿宋" w:eastAsia="仿宋" w:cs="仿宋"/>
                <w:color w:val="auto"/>
                <w:kern w:val="0"/>
                <w:sz w:val="32"/>
                <w:szCs w:val="32"/>
                <w:lang w:val="en-US" w:eastAsia="zh-CN"/>
              </w:rPr>
              <w:t>确认</w:t>
            </w:r>
            <w:r>
              <w:rPr>
                <w:rFonts w:hint="eastAsia" w:ascii="仿宋" w:hAnsi="仿宋" w:eastAsia="仿宋" w:cs="仿宋"/>
                <w:color w:val="auto"/>
                <w:kern w:val="0"/>
                <w:sz w:val="32"/>
                <w:szCs w:val="32"/>
              </w:rPr>
              <w:t>废弃材料</w:t>
            </w:r>
            <w:r>
              <w:rPr>
                <w:rFonts w:hint="eastAsia" w:ascii="仿宋" w:hAnsi="仿宋" w:eastAsia="仿宋" w:cs="仿宋"/>
                <w:color w:val="auto"/>
                <w:kern w:val="0"/>
                <w:sz w:val="32"/>
                <w:szCs w:val="32"/>
                <w:lang w:val="en-US" w:eastAsia="zh-CN"/>
              </w:rPr>
              <w:t>总</w:t>
            </w:r>
            <w:r>
              <w:rPr>
                <w:rFonts w:hint="eastAsia" w:ascii="仿宋" w:hAnsi="仿宋" w:eastAsia="仿宋" w:cs="仿宋"/>
                <w:color w:val="auto"/>
                <w:kern w:val="0"/>
                <w:sz w:val="32"/>
                <w:szCs w:val="32"/>
              </w:rPr>
              <w:t>数量后1个工作日内到</w:t>
            </w:r>
            <w:r>
              <w:rPr>
                <w:rFonts w:hint="eastAsia" w:ascii="仿宋" w:hAnsi="仿宋" w:eastAsia="仿宋" w:cs="仿宋"/>
                <w:color w:val="auto"/>
                <w:kern w:val="0"/>
                <w:sz w:val="32"/>
                <w:szCs w:val="32"/>
                <w:lang w:eastAsia="zh-CN"/>
              </w:rPr>
              <w:t>垫江县交通运输综合行政执法支队</w:t>
            </w:r>
            <w:r>
              <w:rPr>
                <w:rFonts w:hint="eastAsia" w:ascii="仿宋" w:hAnsi="仿宋" w:eastAsia="仿宋" w:cs="仿宋"/>
                <w:color w:val="auto"/>
                <w:kern w:val="0"/>
                <w:sz w:val="32"/>
                <w:szCs w:val="32"/>
              </w:rPr>
              <w:t>财务科开票据，将成交总价款转至县财政指定账户并将转账凭证交至</w:t>
            </w:r>
            <w:r>
              <w:rPr>
                <w:rFonts w:hint="eastAsia" w:ascii="仿宋" w:hAnsi="仿宋" w:eastAsia="仿宋" w:cs="仿宋"/>
                <w:color w:val="auto"/>
                <w:kern w:val="0"/>
                <w:sz w:val="32"/>
                <w:szCs w:val="32"/>
                <w:lang w:eastAsia="zh-CN"/>
              </w:rPr>
              <w:t>垫江县交通运输综合行政执法支队</w:t>
            </w:r>
            <w:r>
              <w:rPr>
                <w:rFonts w:hint="eastAsia" w:ascii="仿宋" w:hAnsi="仿宋" w:eastAsia="仿宋" w:cs="仿宋"/>
                <w:color w:val="auto"/>
                <w:kern w:val="0"/>
                <w:sz w:val="32"/>
                <w:szCs w:val="32"/>
              </w:rPr>
              <w:t>财务科。</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三</w:t>
            </w:r>
            <w:r>
              <w:rPr>
                <w:rFonts w:hint="eastAsia" w:ascii="黑体" w:hAnsi="黑体" w:eastAsia="黑体" w:cs="黑体"/>
                <w:color w:val="auto"/>
                <w:kern w:val="0"/>
                <w:sz w:val="32"/>
                <w:szCs w:val="32"/>
              </w:rPr>
              <w:t>、监督管理</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本次竞争性发包工作全过程接受县级相关部门的监督。竞争性发包过程中的违法、违纪行为，由有关部门按照各自的职责，依法处理。</w:t>
            </w:r>
          </w:p>
          <w:p>
            <w:pPr>
              <w:tabs>
                <w:tab w:val="left" w:pos="546"/>
                <w:tab w:val="left" w:pos="711"/>
              </w:tabs>
              <w:snapToGrid w:val="0"/>
              <w:ind w:firstLine="640" w:firstLineChars="200"/>
              <w:rPr>
                <w:rFonts w:ascii="黑体" w:hAnsi="黑体" w:eastAsia="黑体" w:cs="黑体"/>
                <w:color w:val="auto"/>
                <w:kern w:val="0"/>
                <w:sz w:val="32"/>
                <w:szCs w:val="32"/>
              </w:rPr>
            </w:pP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四</w:t>
            </w:r>
            <w:r>
              <w:rPr>
                <w:rFonts w:hint="eastAsia" w:ascii="黑体" w:hAnsi="黑体" w:eastAsia="黑体" w:cs="黑体"/>
                <w:color w:val="auto"/>
                <w:kern w:val="0"/>
                <w:sz w:val="32"/>
                <w:szCs w:val="32"/>
              </w:rPr>
              <w:t>、联系方式</w:t>
            </w:r>
          </w:p>
          <w:p>
            <w:pPr>
              <w:tabs>
                <w:tab w:val="left" w:pos="546"/>
                <w:tab w:val="left" w:pos="711"/>
              </w:tabs>
              <w:snapToGrid w:val="0"/>
              <w:ind w:firstLine="640" w:firstLineChars="200"/>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联系单位：</w:t>
            </w:r>
            <w:r>
              <w:rPr>
                <w:rFonts w:hint="eastAsia" w:ascii="仿宋" w:hAnsi="仿宋" w:eastAsia="仿宋" w:cs="仿宋"/>
                <w:color w:val="auto"/>
                <w:kern w:val="0"/>
                <w:sz w:val="32"/>
                <w:szCs w:val="32"/>
                <w:lang w:eastAsia="zh-CN"/>
              </w:rPr>
              <w:t>垫江县交通运输综合行政执法支队</w:t>
            </w:r>
            <w:r>
              <w:rPr>
                <w:rFonts w:hint="eastAsia" w:ascii="仿宋" w:hAnsi="仿宋" w:eastAsia="仿宋" w:cs="仿宋"/>
                <w:color w:val="auto"/>
                <w:kern w:val="0"/>
                <w:sz w:val="32"/>
                <w:szCs w:val="32"/>
              </w:rPr>
              <w:t>（023-</w:t>
            </w:r>
            <w:r>
              <w:rPr>
                <w:rFonts w:hint="eastAsia" w:ascii="仿宋" w:hAnsi="仿宋" w:eastAsia="仿宋" w:cs="仿宋"/>
                <w:color w:val="auto"/>
                <w:kern w:val="0"/>
                <w:sz w:val="32"/>
                <w:szCs w:val="32"/>
                <w:lang w:val="en-US" w:eastAsia="zh-CN"/>
              </w:rPr>
              <w:t>74688656</w:t>
            </w:r>
            <w:r>
              <w:rPr>
                <w:rFonts w:hint="eastAsia" w:ascii="仿宋" w:hAnsi="仿宋" w:eastAsia="仿宋" w:cs="仿宋"/>
                <w:color w:val="auto"/>
                <w:kern w:val="0"/>
                <w:sz w:val="32"/>
                <w:szCs w:val="32"/>
              </w:rPr>
              <w:t xml:space="preserve">） </w:t>
            </w:r>
          </w:p>
          <w:p>
            <w:pPr>
              <w:tabs>
                <w:tab w:val="left" w:pos="546"/>
                <w:tab w:val="left" w:pos="711"/>
              </w:tabs>
              <w:snapToGrid w:val="0"/>
              <w:ind w:firstLine="640" w:firstLineChars="200"/>
              <w:rPr>
                <w:rFonts w:ascii="仿宋" w:hAnsi="仿宋" w:eastAsia="仿宋" w:cs="仿宋"/>
                <w:b/>
                <w:bCs/>
                <w:color w:val="auto"/>
                <w:kern w:val="0"/>
                <w:sz w:val="32"/>
                <w:szCs w:val="32"/>
              </w:rPr>
            </w:pPr>
            <w:r>
              <w:rPr>
                <w:rFonts w:hint="eastAsia" w:ascii="仿宋" w:hAnsi="仿宋" w:eastAsia="仿宋" w:cs="仿宋"/>
                <w:color w:val="auto"/>
                <w:kern w:val="0"/>
                <w:sz w:val="32"/>
                <w:szCs w:val="32"/>
              </w:rPr>
              <w:t>联系人：</w:t>
            </w:r>
            <w:r>
              <w:rPr>
                <w:rFonts w:hint="eastAsia" w:ascii="仿宋" w:hAnsi="仿宋" w:eastAsia="仿宋" w:cs="仿宋"/>
                <w:color w:val="auto"/>
                <w:kern w:val="0"/>
                <w:sz w:val="32"/>
                <w:szCs w:val="32"/>
                <w:lang w:eastAsia="zh-CN"/>
              </w:rPr>
              <w:t>纪</w:t>
            </w:r>
            <w:r>
              <w:rPr>
                <w:rFonts w:hint="eastAsia" w:ascii="仿宋" w:hAnsi="仿宋" w:eastAsia="仿宋" w:cs="仿宋"/>
                <w:color w:val="auto"/>
                <w:kern w:val="0"/>
                <w:sz w:val="32"/>
                <w:szCs w:val="32"/>
              </w:rPr>
              <w:t>老师（</w:t>
            </w:r>
            <w:r>
              <w:rPr>
                <w:rFonts w:hint="eastAsia" w:ascii="仿宋" w:hAnsi="仿宋" w:eastAsia="仿宋" w:cs="仿宋"/>
                <w:color w:val="auto"/>
                <w:kern w:val="0"/>
                <w:sz w:val="32"/>
                <w:szCs w:val="32"/>
                <w:lang w:val="en-US" w:eastAsia="zh-CN"/>
              </w:rPr>
              <w:t>15736589540</w:t>
            </w:r>
            <w:r>
              <w:rPr>
                <w:rFonts w:hint="eastAsia" w:ascii="仿宋" w:hAnsi="仿宋" w:eastAsia="仿宋" w:cs="仿宋"/>
                <w:color w:val="auto"/>
                <w:kern w:val="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5" w:hRule="atLeast"/>
        </w:trPr>
        <w:tc>
          <w:tcPr>
            <w:tcW w:w="10680" w:type="dxa"/>
            <w:gridSpan w:val="2"/>
          </w:tcPr>
          <w:p>
            <w:pPr>
              <w:tabs>
                <w:tab w:val="left" w:pos="546"/>
                <w:tab w:val="left" w:pos="711"/>
              </w:tabs>
              <w:snapToGrid w:val="0"/>
              <w:ind w:firstLine="420" w:firstLineChars="200"/>
              <w:rPr>
                <w:rFonts w:hint="default" w:ascii="黑体" w:hAnsi="黑体" w:eastAsia="黑体" w:cs="黑体"/>
                <w:color w:val="auto"/>
                <w:kern w:val="0"/>
                <w:sz w:val="32"/>
                <w:szCs w:val="32"/>
                <w:lang w:val="en-US" w:eastAsia="zh-CN"/>
              </w:rPr>
            </w:pPr>
            <w:r>
              <w:rPr>
                <w:rFonts w:hint="eastAsia"/>
                <w:color w:val="auto"/>
                <w:lang w:val="en-US" w:eastAsia="zh-CN"/>
              </w:rPr>
              <w:t xml:space="preserve">  </w:t>
            </w:r>
            <w:r>
              <w:rPr>
                <w:rFonts w:hint="eastAsia" w:ascii="黑体" w:hAnsi="黑体" w:eastAsia="黑体" w:cs="黑体"/>
                <w:color w:val="auto"/>
                <w:kern w:val="0"/>
                <w:sz w:val="32"/>
                <w:szCs w:val="32"/>
              </w:rPr>
              <w:t>十</w:t>
            </w:r>
            <w:r>
              <w:rPr>
                <w:rFonts w:hint="eastAsia" w:ascii="黑体" w:hAnsi="黑体" w:eastAsia="黑体" w:cs="黑体"/>
                <w:color w:val="auto"/>
                <w:kern w:val="0"/>
                <w:sz w:val="32"/>
                <w:szCs w:val="32"/>
                <w:lang w:eastAsia="zh-CN"/>
              </w:rPr>
              <w:t>六</w:t>
            </w:r>
            <w:r>
              <w:rPr>
                <w:rFonts w:hint="eastAsia" w:ascii="黑体" w:hAnsi="黑体" w:eastAsia="黑体" w:cs="黑体"/>
                <w:color w:val="auto"/>
                <w:kern w:val="0"/>
                <w:sz w:val="32"/>
                <w:szCs w:val="32"/>
              </w:rPr>
              <w:t>、</w:t>
            </w:r>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附后</w:t>
            </w:r>
            <w:r>
              <w:rPr>
                <w:rFonts w:hint="eastAsia" w:ascii="黑体" w:hAnsi="黑体" w:eastAsia="黑体" w:cs="黑体"/>
                <w:color w:val="auto"/>
                <w:kern w:val="0"/>
                <w:sz w:val="32"/>
                <w:szCs w:val="32"/>
                <w:lang w:eastAsia="zh-CN"/>
              </w:rPr>
              <w:t>）</w:t>
            </w:r>
          </w:p>
          <w:p>
            <w:pPr>
              <w:rPr>
                <w:rFonts w:hint="default" w:eastAsia="宋体"/>
                <w:color w:val="auto"/>
                <w:lang w:val="en-US" w:eastAsia="zh-CN"/>
              </w:rPr>
            </w:pPr>
          </w:p>
        </w:tc>
      </w:tr>
    </w:tbl>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eastAsia" w:ascii="仿宋" w:hAnsi="仿宋" w:eastAsia="仿宋" w:cs="仿宋"/>
          <w:b/>
          <w:kern w:val="0"/>
          <w:sz w:val="30"/>
          <w:szCs w:val="30"/>
        </w:rPr>
      </w:pPr>
    </w:p>
    <w:p>
      <w:pPr>
        <w:widowControl/>
        <w:jc w:val="left"/>
        <w:rPr>
          <w:rFonts w:hint="default" w:ascii="仿宋" w:hAnsi="仿宋" w:eastAsia="仿宋" w:cs="仿宋"/>
          <w:b/>
          <w:bCs/>
          <w:kern w:val="0"/>
          <w:sz w:val="30"/>
          <w:szCs w:val="30"/>
          <w:lang w:val="en-US" w:eastAsia="zh-CN"/>
        </w:rPr>
      </w:pPr>
      <w:r>
        <w:rPr>
          <w:rFonts w:hint="eastAsia" w:ascii="仿宋" w:hAnsi="仿宋" w:eastAsia="仿宋" w:cs="仿宋"/>
          <w:b/>
          <w:kern w:val="0"/>
          <w:sz w:val="30"/>
          <w:szCs w:val="30"/>
        </w:rPr>
        <w:t>附件1</w:t>
      </w:r>
      <w:r>
        <w:rPr>
          <w:rFonts w:hint="eastAsia" w:ascii="仿宋" w:hAnsi="仿宋" w:eastAsia="仿宋" w:cs="仿宋"/>
          <w:b/>
          <w:kern w:val="0"/>
          <w:sz w:val="30"/>
          <w:szCs w:val="30"/>
          <w:lang w:val="en-US" w:eastAsia="zh-CN"/>
        </w:rPr>
        <w:t xml:space="preserve">  </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仿宋"/>
          <w:kern w:val="0"/>
          <w:sz w:val="30"/>
          <w:szCs w:val="30"/>
        </w:rPr>
      </w:pPr>
      <w:r>
        <w:rPr>
          <w:rFonts w:hint="eastAsia" w:ascii="仿宋" w:hAnsi="仿宋" w:eastAsia="仿宋" w:cs="仿宋"/>
          <w:b/>
          <w:bCs/>
          <w:kern w:val="0"/>
          <w:sz w:val="30"/>
          <w:szCs w:val="30"/>
          <w:lang w:eastAsia="zh-CN"/>
        </w:rPr>
        <w:t>1.</w:t>
      </w:r>
      <w:r>
        <w:rPr>
          <w:rFonts w:hint="eastAsia" w:ascii="仿宋" w:hAnsi="仿宋" w:eastAsia="仿宋" w:cs="仿宋"/>
          <w:b/>
          <w:bCs/>
          <w:kern w:val="0"/>
          <w:sz w:val="30"/>
          <w:szCs w:val="30"/>
        </w:rPr>
        <w:t>竞争报价函</w:t>
      </w:r>
    </w:p>
    <w:p>
      <w:pPr>
        <w:keepNext w:val="0"/>
        <w:keepLines w:val="0"/>
        <w:pageBreakBefore w:val="0"/>
        <w:widowControl/>
        <w:kinsoku/>
        <w:wordWrap/>
        <w:overflowPunct/>
        <w:topLinePunct w:val="0"/>
        <w:autoSpaceDE/>
        <w:autoSpaceDN/>
        <w:bidi w:val="0"/>
        <w:adjustRightInd/>
        <w:spacing w:line="560" w:lineRule="exact"/>
        <w:jc w:val="left"/>
        <w:textAlignment w:val="auto"/>
        <w:rPr>
          <w:rFonts w:ascii="仿宋" w:hAnsi="仿宋" w:eastAsia="仿宋" w:cs="仿宋"/>
          <w:kern w:val="0"/>
          <w:sz w:val="30"/>
          <w:szCs w:val="30"/>
        </w:rPr>
      </w:pPr>
      <w:r>
        <w:rPr>
          <w:rFonts w:hint="eastAsia" w:ascii="仿宋" w:hAnsi="仿宋" w:eastAsia="仿宋" w:cs="仿宋"/>
          <w:kern w:val="0"/>
          <w:sz w:val="30"/>
          <w:szCs w:val="30"/>
          <w:u w:val="single"/>
        </w:rPr>
        <w:t>垫江县</w:t>
      </w:r>
      <w:r>
        <w:rPr>
          <w:rFonts w:hint="eastAsia" w:ascii="仿宋" w:hAnsi="仿宋" w:eastAsia="仿宋" w:cs="仿宋"/>
          <w:kern w:val="0"/>
          <w:sz w:val="30"/>
          <w:szCs w:val="30"/>
          <w:u w:val="single"/>
          <w:lang w:eastAsia="zh-CN"/>
        </w:rPr>
        <w:t>交通运输综合行政执法支队</w:t>
      </w:r>
      <w:r>
        <w:rPr>
          <w:rFonts w:hint="eastAsia" w:ascii="仿宋" w:hAnsi="仿宋" w:eastAsia="仿宋" w:cs="仿宋"/>
          <w:kern w:val="0"/>
          <w:sz w:val="30"/>
          <w:szCs w:val="30"/>
        </w:rPr>
        <w:t>：</w:t>
      </w:r>
    </w:p>
    <w:p>
      <w:pPr>
        <w:keepNext w:val="0"/>
        <w:keepLines w:val="0"/>
        <w:pageBreakBefore w:val="0"/>
        <w:tabs>
          <w:tab w:val="left" w:pos="546"/>
          <w:tab w:val="left" w:pos="711"/>
        </w:tabs>
        <w:kinsoku/>
        <w:wordWrap/>
        <w:overflowPunct/>
        <w:topLinePunct w:val="0"/>
        <w:autoSpaceDE/>
        <w:autoSpaceDN/>
        <w:bidi w:val="0"/>
        <w:adjustRightInd/>
        <w:snapToGrid w:val="0"/>
        <w:spacing w:line="560" w:lineRule="exact"/>
        <w:ind w:firstLine="600" w:firstLineChars="200"/>
        <w:textAlignment w:val="auto"/>
        <w:rPr>
          <w:rFonts w:hint="eastAsia" w:ascii="仿宋" w:hAnsi="仿宋" w:eastAsia="仿宋" w:cs="仿宋"/>
          <w:kern w:val="0"/>
          <w:sz w:val="30"/>
          <w:szCs w:val="30"/>
        </w:rPr>
      </w:pPr>
      <w:r>
        <w:rPr>
          <w:rFonts w:hint="eastAsia" w:ascii="仿宋" w:hAnsi="仿宋" w:eastAsia="仿宋" w:cs="仿宋"/>
          <w:kern w:val="0"/>
          <w:sz w:val="30"/>
          <w:szCs w:val="30"/>
        </w:rPr>
        <w:t>我方已仔细阅读并充分理解了贵方发布的《垫江县交通运输综合行政执法支队2025年废弃石岭治超站设备出让项目竞价公告》的全部内容，并已对项目现场及周边环境进行了踏勘。</w:t>
      </w:r>
    </w:p>
    <w:p>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hint="eastAsia" w:ascii="仿宋" w:hAnsi="仿宋" w:eastAsia="仿宋" w:cs="仿宋"/>
          <w:kern w:val="0"/>
          <w:sz w:val="30"/>
          <w:szCs w:val="30"/>
        </w:rPr>
      </w:pPr>
      <w:r>
        <w:rPr>
          <w:rFonts w:hint="eastAsia" w:ascii="仿宋" w:hAnsi="仿宋" w:eastAsia="仿宋" w:cs="仿宋"/>
          <w:kern w:val="0"/>
          <w:sz w:val="30"/>
          <w:szCs w:val="30"/>
        </w:rPr>
        <w:t>经全面评估，我方愿意以人民币 （大写：____________） 元整 （¥：____________元） 的总价，作为完成本项目全部内容（包括但不限于购买公告所列全部资产、负责所有资产的拆除、清运、场地清理、路面恢复、购买保险、承担全部安全责任等）的最终报价。</w:t>
      </w:r>
    </w:p>
    <w:p>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ascii="仿宋" w:hAnsi="仿宋" w:eastAsia="仿宋" w:cs="仿宋"/>
          <w:kern w:val="0"/>
          <w:sz w:val="30"/>
          <w:szCs w:val="30"/>
        </w:rPr>
      </w:pPr>
      <w:r>
        <w:rPr>
          <w:rFonts w:hint="eastAsia" w:ascii="仿宋" w:hAnsi="仿宋" w:eastAsia="仿宋" w:cs="仿宋"/>
          <w:kern w:val="0"/>
          <w:sz w:val="30"/>
          <w:szCs w:val="30"/>
        </w:rPr>
        <w:t>如果我们被确定为承包人，我方承诺：愿意按竞争性发包文件所约定的条件承包上述项目内容，按照要求及时签订合同，承担相应责任，拟派人员及时完成任务。除非另外达成协议并生效，竞争性发包文件及本竞争文件将构成约束我们双方的合同。</w:t>
      </w:r>
    </w:p>
    <w:p>
      <w:pPr>
        <w:keepNext w:val="0"/>
        <w:keepLines w:val="0"/>
        <w:pageBreakBefore w:val="0"/>
        <w:widowControl/>
        <w:kinsoku/>
        <w:wordWrap/>
        <w:overflowPunct/>
        <w:topLinePunct w:val="0"/>
        <w:autoSpaceDE/>
        <w:autoSpaceDN/>
        <w:bidi w:val="0"/>
        <w:adjustRightInd/>
        <w:spacing w:line="560" w:lineRule="exact"/>
        <w:ind w:firstLine="600" w:firstLineChars="200"/>
        <w:jc w:val="left"/>
        <w:textAlignment w:val="auto"/>
        <w:rPr>
          <w:rFonts w:hint="eastAsia" w:ascii="仿宋" w:hAnsi="仿宋" w:eastAsia="仿宋" w:cs="仿宋"/>
          <w:kern w:val="0"/>
          <w:sz w:val="30"/>
          <w:szCs w:val="30"/>
          <w:lang w:eastAsia="zh-CN"/>
        </w:rPr>
      </w:pPr>
      <w:r>
        <w:rPr>
          <w:rFonts w:hint="eastAsia" w:ascii="仿宋" w:hAnsi="仿宋" w:eastAsia="仿宋" w:cs="仿宋"/>
          <w:kern w:val="0"/>
          <w:sz w:val="30"/>
          <w:szCs w:val="30"/>
        </w:rPr>
        <w:t>我方承诺在</w:t>
      </w:r>
      <w:r>
        <w:rPr>
          <w:rFonts w:hint="eastAsia" w:ascii="仿宋" w:hAnsi="仿宋" w:eastAsia="仿宋" w:cs="仿宋"/>
          <w:kern w:val="0"/>
          <w:sz w:val="30"/>
          <w:szCs w:val="30"/>
          <w:lang w:val="en-US" w:eastAsia="zh-CN"/>
        </w:rPr>
        <w:t>中标</w:t>
      </w:r>
      <w:r>
        <w:rPr>
          <w:rFonts w:hint="eastAsia" w:ascii="仿宋" w:hAnsi="仿宋" w:eastAsia="仿宋" w:cs="仿宋"/>
          <w:kern w:val="0"/>
          <w:sz w:val="30"/>
          <w:szCs w:val="30"/>
        </w:rPr>
        <w:t>该项目后在规定的期限内与你方签订合同。</w:t>
      </w:r>
    </w:p>
    <w:p>
      <w:pPr>
        <w:keepNext w:val="0"/>
        <w:keepLines w:val="0"/>
        <w:pageBreakBefore w:val="0"/>
        <w:widowControl/>
        <w:kinsoku/>
        <w:wordWrap/>
        <w:overflowPunct/>
        <w:topLinePunct w:val="0"/>
        <w:autoSpaceDE/>
        <w:autoSpaceDN/>
        <w:bidi w:val="0"/>
        <w:adjustRightInd/>
        <w:spacing w:line="560" w:lineRule="exact"/>
        <w:ind w:firstLine="600" w:firstLineChars="200"/>
        <w:textAlignment w:val="auto"/>
        <w:rPr>
          <w:rFonts w:hint="eastAsia" w:ascii="仿宋" w:hAnsi="仿宋" w:eastAsia="仿宋" w:cs="仿宋"/>
          <w:kern w:val="0"/>
          <w:sz w:val="30"/>
          <w:szCs w:val="30"/>
          <w:lang w:eastAsia="zh-CN"/>
        </w:rPr>
      </w:pPr>
    </w:p>
    <w:p>
      <w:pPr>
        <w:keepNext w:val="0"/>
        <w:keepLines w:val="0"/>
        <w:pageBreakBefore w:val="0"/>
        <w:widowControl/>
        <w:kinsoku/>
        <w:wordWrap/>
        <w:overflowPunct/>
        <w:topLinePunct w:val="0"/>
        <w:autoSpaceDE/>
        <w:autoSpaceDN/>
        <w:bidi w:val="0"/>
        <w:adjustRightInd/>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lang w:eastAsia="zh-CN"/>
        </w:rPr>
        <w:t>竞争单位</w:t>
      </w:r>
      <w:r>
        <w:rPr>
          <w:rFonts w:hint="eastAsia" w:ascii="仿宋" w:hAnsi="仿宋" w:eastAsia="仿宋" w:cs="仿宋"/>
          <w:kern w:val="0"/>
          <w:sz w:val="30"/>
          <w:szCs w:val="30"/>
        </w:rPr>
        <w:t>：</w:t>
      </w:r>
      <w:r>
        <w:rPr>
          <w:rFonts w:hint="eastAsia" w:ascii="仿宋" w:hAnsi="仿宋" w:eastAsia="仿宋" w:cs="仿宋"/>
          <w:kern w:val="0"/>
          <w:sz w:val="30"/>
          <w:szCs w:val="30"/>
          <w:u w:val="single"/>
        </w:rPr>
        <w:t>           </w:t>
      </w:r>
      <w:r>
        <w:rPr>
          <w:rFonts w:hint="eastAsia" w:ascii="仿宋" w:hAnsi="仿宋" w:eastAsia="仿宋" w:cs="仿宋"/>
          <w:kern w:val="0"/>
          <w:sz w:val="30"/>
          <w:szCs w:val="30"/>
        </w:rPr>
        <w:t>（盖单位公章）</w:t>
      </w:r>
    </w:p>
    <w:p>
      <w:pPr>
        <w:keepNext w:val="0"/>
        <w:keepLines w:val="0"/>
        <w:pageBreakBefore w:val="0"/>
        <w:widowControl/>
        <w:kinsoku/>
        <w:wordWrap/>
        <w:overflowPunct/>
        <w:topLinePunct w:val="0"/>
        <w:autoSpaceDE/>
        <w:autoSpaceDN/>
        <w:bidi w:val="0"/>
        <w:adjustRightInd/>
        <w:spacing w:line="560" w:lineRule="exact"/>
        <w:ind w:firstLine="600" w:firstLineChars="200"/>
        <w:textAlignment w:val="auto"/>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（签字）</w:t>
      </w:r>
    </w:p>
    <w:p>
      <w:pPr>
        <w:keepNext w:val="0"/>
        <w:keepLines w:val="0"/>
        <w:pageBreakBefore w:val="0"/>
        <w:widowControl/>
        <w:kinsoku/>
        <w:wordWrap/>
        <w:overflowPunct/>
        <w:topLinePunct w:val="0"/>
        <w:autoSpaceDE/>
        <w:autoSpaceDN/>
        <w:bidi w:val="0"/>
        <w:adjustRightInd/>
        <w:spacing w:line="560" w:lineRule="exact"/>
        <w:jc w:val="right"/>
        <w:textAlignment w:val="auto"/>
        <w:rPr>
          <w:rFonts w:ascii="仿宋" w:hAnsi="仿宋" w:eastAsia="仿宋" w:cs="仿宋"/>
          <w:kern w:val="0"/>
          <w:sz w:val="30"/>
          <w:szCs w:val="30"/>
        </w:rPr>
      </w:pPr>
      <w:r>
        <w:rPr>
          <w:rFonts w:hint="eastAsia" w:ascii="仿宋" w:hAnsi="仿宋" w:eastAsia="仿宋" w:cs="仿宋"/>
          <w:kern w:val="0"/>
          <w:sz w:val="30"/>
          <w:szCs w:val="30"/>
        </w:rPr>
        <w:t> </w:t>
      </w:r>
    </w:p>
    <w:p>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 w:hAnsi="仿宋" w:eastAsia="仿宋" w:cs="仿宋"/>
          <w:kern w:val="0"/>
          <w:sz w:val="30"/>
          <w:szCs w:val="30"/>
        </w:rPr>
      </w:pPr>
      <w:r>
        <w:rPr>
          <w:rFonts w:hint="eastAsia" w:ascii="仿宋" w:hAnsi="仿宋" w:eastAsia="仿宋" w:cs="仿宋"/>
          <w:kern w:val="0"/>
          <w:sz w:val="30"/>
          <w:szCs w:val="30"/>
        </w:rPr>
        <w:t>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年</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
      <w:pPr>
        <w:keepNext w:val="0"/>
        <w:keepLines w:val="0"/>
        <w:pageBreakBefore w:val="0"/>
        <w:widowControl w:val="0"/>
        <w:tabs>
          <w:tab w:val="left" w:pos="546"/>
          <w:tab w:val="left" w:pos="711"/>
        </w:tabs>
        <w:kinsoku/>
        <w:wordWrap/>
        <w:overflowPunct/>
        <w:topLinePunct w:val="0"/>
        <w:autoSpaceDE/>
        <w:autoSpaceDN/>
        <w:bidi w:val="0"/>
        <w:adjustRightInd/>
        <w:snapToGrid w:val="0"/>
        <w:spacing w:line="594" w:lineRule="exact"/>
        <w:textAlignment w:val="auto"/>
        <w:rPr>
          <w:rFonts w:hint="eastAsia" w:ascii="仿宋" w:hAnsi="仿宋" w:eastAsia="仿宋" w:cs="仿宋"/>
          <w:b/>
          <w:kern w:val="0"/>
          <w:sz w:val="30"/>
          <w:szCs w:val="30"/>
        </w:rPr>
      </w:pPr>
    </w:p>
    <w:p>
      <w:pPr>
        <w:keepNext w:val="0"/>
        <w:keepLines w:val="0"/>
        <w:pageBreakBefore w:val="0"/>
        <w:widowControl w:val="0"/>
        <w:tabs>
          <w:tab w:val="left" w:pos="546"/>
          <w:tab w:val="left" w:pos="711"/>
        </w:tabs>
        <w:kinsoku/>
        <w:wordWrap/>
        <w:overflowPunct/>
        <w:topLinePunct w:val="0"/>
        <w:autoSpaceDE/>
        <w:autoSpaceDN/>
        <w:bidi w:val="0"/>
        <w:adjustRightInd/>
        <w:snapToGrid w:val="0"/>
        <w:spacing w:line="594" w:lineRule="exact"/>
        <w:textAlignment w:val="auto"/>
        <w:rPr>
          <w:rFonts w:ascii="仿宋" w:hAnsi="仿宋" w:eastAsia="仿宋" w:cs="仿宋"/>
          <w:b/>
          <w:kern w:val="0"/>
          <w:sz w:val="30"/>
          <w:szCs w:val="30"/>
        </w:rPr>
      </w:pPr>
      <w:r>
        <w:rPr>
          <w:rFonts w:hint="eastAsia" w:ascii="仿宋" w:hAnsi="仿宋" w:eastAsia="仿宋" w:cs="仿宋"/>
          <w:b/>
          <w:kern w:val="0"/>
          <w:sz w:val="30"/>
          <w:szCs w:val="30"/>
        </w:rPr>
        <w:t>附件2</w:t>
      </w:r>
    </w:p>
    <w:p>
      <w:pPr>
        <w:keepNext w:val="0"/>
        <w:keepLines w:val="0"/>
        <w:pageBreakBefore w:val="0"/>
        <w:widowControl w:val="0"/>
        <w:kinsoku/>
        <w:wordWrap/>
        <w:overflowPunct/>
        <w:topLinePunct w:val="0"/>
        <w:autoSpaceDE/>
        <w:autoSpaceDN/>
        <w:bidi w:val="0"/>
        <w:adjustRightInd/>
        <w:spacing w:line="594" w:lineRule="exact"/>
        <w:ind w:firstLine="602" w:firstLineChars="200"/>
        <w:jc w:val="center"/>
        <w:textAlignment w:val="auto"/>
        <w:rPr>
          <w:rFonts w:ascii="仿宋" w:hAnsi="仿宋" w:eastAsia="仿宋" w:cs="仿宋"/>
          <w:b/>
          <w:kern w:val="0"/>
          <w:sz w:val="30"/>
          <w:szCs w:val="30"/>
        </w:rPr>
      </w:pPr>
      <w:r>
        <w:rPr>
          <w:rFonts w:hint="eastAsia" w:ascii="仿宋" w:hAnsi="仿宋" w:eastAsia="仿宋" w:cs="仿宋"/>
          <w:b/>
          <w:kern w:val="0"/>
          <w:sz w:val="30"/>
          <w:szCs w:val="30"/>
        </w:rPr>
        <w:t>确认文书</w:t>
      </w:r>
    </w:p>
    <w:p>
      <w:pPr>
        <w:keepNext w:val="0"/>
        <w:keepLines w:val="0"/>
        <w:pageBreakBefore w:val="0"/>
        <w:widowControl w:val="0"/>
        <w:kinsoku/>
        <w:wordWrap/>
        <w:overflowPunct/>
        <w:topLinePunct w:val="0"/>
        <w:autoSpaceDE/>
        <w:autoSpaceDN/>
        <w:bidi w:val="0"/>
        <w:adjustRightInd/>
        <w:spacing w:line="594" w:lineRule="exact"/>
        <w:ind w:firstLine="602" w:firstLineChars="200"/>
        <w:textAlignment w:val="auto"/>
        <w:rPr>
          <w:rFonts w:ascii="仿宋" w:hAnsi="仿宋" w:eastAsia="仿宋" w:cs="仿宋"/>
          <w:b/>
          <w:kern w:val="0"/>
          <w:sz w:val="30"/>
          <w:szCs w:val="30"/>
        </w:rPr>
      </w:pPr>
    </w:p>
    <w:p>
      <w:pPr>
        <w:keepNext w:val="0"/>
        <w:keepLines w:val="0"/>
        <w:pageBreakBefore w:val="0"/>
        <w:widowControl w:val="0"/>
        <w:kinsoku/>
        <w:wordWrap/>
        <w:overflowPunct/>
        <w:topLinePunct w:val="0"/>
        <w:autoSpaceDE/>
        <w:autoSpaceDN/>
        <w:bidi w:val="0"/>
        <w:adjustRightInd/>
        <w:spacing w:line="594" w:lineRule="exact"/>
        <w:textAlignment w:val="auto"/>
        <w:rPr>
          <w:rFonts w:ascii="仿宋" w:hAnsi="仿宋" w:eastAsia="仿宋" w:cs="仿宋"/>
          <w:sz w:val="30"/>
          <w:szCs w:val="30"/>
        </w:rPr>
      </w:pPr>
      <w:r>
        <w:rPr>
          <w:rFonts w:hint="eastAsia" w:ascii="仿宋" w:hAnsi="仿宋" w:eastAsia="仿宋" w:cs="仿宋"/>
          <w:kern w:val="0"/>
          <w:sz w:val="30"/>
          <w:szCs w:val="30"/>
          <w:u w:val="single"/>
        </w:rPr>
        <w:t>垫江县</w:t>
      </w:r>
      <w:r>
        <w:rPr>
          <w:rFonts w:hint="eastAsia" w:ascii="仿宋" w:hAnsi="仿宋" w:eastAsia="仿宋" w:cs="仿宋"/>
          <w:kern w:val="0"/>
          <w:sz w:val="30"/>
          <w:szCs w:val="30"/>
          <w:u w:val="single"/>
          <w:lang w:eastAsia="zh-CN"/>
        </w:rPr>
        <w:t>交通运输综合行政执法支队</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我单位参加</w:t>
      </w:r>
      <w:r>
        <w:rPr>
          <w:rFonts w:hint="eastAsia" w:ascii="仿宋" w:hAnsi="仿宋" w:eastAsia="仿宋" w:cs="仿宋"/>
          <w:kern w:val="0"/>
          <w:sz w:val="30"/>
          <w:szCs w:val="30"/>
          <w:u w:val="single"/>
        </w:rPr>
        <w:t>垫江县交通运输综合行政执法支队2025年废弃石岭治超站设备出让项目</w:t>
      </w:r>
      <w:r>
        <w:rPr>
          <w:rFonts w:hint="eastAsia" w:ascii="仿宋" w:hAnsi="仿宋" w:eastAsia="仿宋" w:cs="仿宋"/>
          <w:sz w:val="30"/>
          <w:szCs w:val="30"/>
        </w:rPr>
        <w:t>的</w:t>
      </w:r>
      <w:r>
        <w:rPr>
          <w:rFonts w:hint="eastAsia" w:ascii="仿宋" w:hAnsi="仿宋" w:eastAsia="仿宋" w:cs="仿宋"/>
          <w:kern w:val="0"/>
          <w:sz w:val="30"/>
          <w:szCs w:val="30"/>
        </w:rPr>
        <w:t>竞争性比选</w:t>
      </w:r>
      <w:r>
        <w:rPr>
          <w:rFonts w:hint="eastAsia" w:ascii="仿宋" w:hAnsi="仿宋" w:eastAsia="仿宋" w:cs="仿宋"/>
          <w:sz w:val="30"/>
          <w:szCs w:val="30"/>
        </w:rPr>
        <w:t>，对贵单位发出的该项目</w:t>
      </w:r>
      <w:r>
        <w:rPr>
          <w:rFonts w:hint="eastAsia" w:ascii="仿宋" w:hAnsi="仿宋" w:eastAsia="仿宋" w:cs="仿宋"/>
          <w:kern w:val="0"/>
          <w:sz w:val="30"/>
          <w:szCs w:val="30"/>
        </w:rPr>
        <w:t>竞争性比选</w:t>
      </w:r>
      <w:r>
        <w:rPr>
          <w:rFonts w:hint="eastAsia" w:ascii="仿宋" w:hAnsi="仿宋" w:eastAsia="仿宋" w:cs="仿宋"/>
          <w:sz w:val="30"/>
          <w:szCs w:val="30"/>
        </w:rPr>
        <w:t>文件及其相应的补遗资料、书面通知等全部内容予以确认，并按其要求提交竞争文件。我公司保证本项目中标后绝不转包给挂靠公司，一旦发现、查实我公司有转包挂靠行为，我</w:t>
      </w:r>
      <w:r>
        <w:rPr>
          <w:rFonts w:hint="eastAsia" w:ascii="仿宋" w:hAnsi="仿宋" w:eastAsia="仿宋" w:cs="仿宋"/>
          <w:sz w:val="30"/>
          <w:szCs w:val="30"/>
          <w:lang w:eastAsia="zh-CN"/>
        </w:rPr>
        <w:t>单位</w:t>
      </w:r>
      <w:r>
        <w:rPr>
          <w:rFonts w:hint="eastAsia" w:ascii="仿宋" w:hAnsi="仿宋" w:eastAsia="仿宋" w:cs="仿宋"/>
          <w:sz w:val="30"/>
          <w:szCs w:val="30"/>
        </w:rPr>
        <w:t xml:space="preserve">自愿承担违约责任或违约金。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u w:val="single"/>
        </w:rPr>
      </w:pPr>
      <w:r>
        <w:rPr>
          <w:rFonts w:hint="eastAsia" w:ascii="仿宋" w:hAnsi="仿宋" w:eastAsia="仿宋" w:cs="仿宋"/>
          <w:sz w:val="30"/>
          <w:szCs w:val="30"/>
        </w:rPr>
        <w:t xml:space="preserve">       竞 争 单 位：</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kern w:val="0"/>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jc w:val="center"/>
        <w:textAlignment w:val="auto"/>
        <w:rPr>
          <w:rFonts w:ascii="仿宋" w:hAnsi="仿宋" w:eastAsia="仿宋" w:cs="仿宋"/>
          <w:sz w:val="30"/>
          <w:szCs w:val="30"/>
        </w:rPr>
      </w:pP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年     月     日</w:t>
      </w: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keepNext w:val="0"/>
        <w:keepLines w:val="0"/>
        <w:pageBreakBefore w:val="0"/>
        <w:widowControl w:val="0"/>
        <w:kinsoku/>
        <w:wordWrap/>
        <w:overflowPunct/>
        <w:topLinePunct w:val="0"/>
        <w:autoSpaceDE/>
        <w:autoSpaceDN/>
        <w:bidi w:val="0"/>
        <w:adjustRightInd/>
        <w:spacing w:line="594" w:lineRule="exact"/>
        <w:ind w:firstLine="600" w:firstLineChars="200"/>
        <w:textAlignment w:val="auto"/>
        <w:rPr>
          <w:rFonts w:ascii="仿宋" w:hAnsi="仿宋" w:eastAsia="仿宋" w:cs="仿宋"/>
          <w:kern w:val="0"/>
          <w:sz w:val="30"/>
          <w:szCs w:val="30"/>
        </w:rPr>
      </w:pPr>
    </w:p>
    <w:p>
      <w:pPr>
        <w:spacing w:line="360" w:lineRule="exact"/>
        <w:ind w:firstLine="600" w:firstLineChars="200"/>
        <w:rPr>
          <w:rFonts w:ascii="仿宋" w:hAnsi="仿宋" w:eastAsia="仿宋" w:cs="仿宋"/>
          <w:kern w:val="0"/>
          <w:sz w:val="30"/>
          <w:szCs w:val="30"/>
        </w:rPr>
      </w:pPr>
    </w:p>
    <w:p>
      <w:pPr>
        <w:pStyle w:val="2"/>
        <w:rPr>
          <w:rFonts w:ascii="仿宋" w:hAnsi="仿宋" w:eastAsia="仿宋" w:cs="仿宋"/>
          <w:kern w:val="0"/>
          <w:sz w:val="30"/>
          <w:szCs w:val="30"/>
        </w:rPr>
      </w:pPr>
    </w:p>
    <w:p>
      <w:pPr>
        <w:pStyle w:val="5"/>
        <w:numPr>
          <w:ilvl w:val="0"/>
          <w:numId w:val="0"/>
        </w:numPr>
        <w:spacing w:after="312" w:afterLines="100"/>
        <w:jc w:val="center"/>
        <w:rPr>
          <w:rFonts w:ascii="仿宋" w:hAnsi="仿宋" w:eastAsia="仿宋" w:cs="仿宋"/>
          <w:sz w:val="30"/>
          <w:szCs w:val="30"/>
        </w:rPr>
      </w:pPr>
      <w:r>
        <w:rPr>
          <w:rFonts w:hint="eastAsia" w:ascii="仿宋" w:hAnsi="仿宋" w:eastAsia="仿宋" w:cs="仿宋"/>
          <w:sz w:val="30"/>
          <w:szCs w:val="30"/>
        </w:rPr>
        <w:t>附件3：参与投标单位的基本情况表</w:t>
      </w:r>
    </w:p>
    <w:tbl>
      <w:tblPr>
        <w:tblStyle w:val="14"/>
        <w:tblW w:w="8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0"/>
        <w:gridCol w:w="180"/>
        <w:gridCol w:w="1080"/>
        <w:gridCol w:w="360"/>
        <w:gridCol w:w="2880"/>
        <w:gridCol w:w="162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企业名称</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注册地址</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260" w:type="dxa"/>
            <w:gridSpan w:val="2"/>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通讯代码</w:t>
            </w:r>
          </w:p>
        </w:tc>
        <w:tc>
          <w:tcPr>
            <w:tcW w:w="1440" w:type="dxa"/>
            <w:gridSpan w:val="2"/>
            <w:tcBorders>
              <w:bottom w:val="single" w:color="auto" w:sz="4" w:space="0"/>
            </w:tcBorders>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电  话</w:t>
            </w:r>
          </w:p>
        </w:tc>
        <w:tc>
          <w:tcPr>
            <w:tcW w:w="2880" w:type="dxa"/>
            <w:vAlign w:val="center"/>
          </w:tcPr>
          <w:p>
            <w:pPr>
              <w:jc w:val="center"/>
              <w:rPr>
                <w:rFonts w:ascii="仿宋" w:hAnsi="仿宋" w:eastAsia="仿宋" w:cs="仿宋"/>
                <w:kern w:val="0"/>
                <w:sz w:val="30"/>
                <w:szCs w:val="30"/>
              </w:rPr>
            </w:pPr>
          </w:p>
        </w:tc>
        <w:tc>
          <w:tcPr>
            <w:tcW w:w="1626" w:type="dxa"/>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传    真</w:t>
            </w: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260" w:type="dxa"/>
            <w:gridSpan w:val="2"/>
            <w:vMerge w:val="continue"/>
            <w:tcBorders>
              <w:bottom w:val="single" w:color="auto" w:sz="4" w:space="0"/>
            </w:tcBorders>
            <w:vAlign w:val="center"/>
          </w:tcPr>
          <w:p>
            <w:pPr>
              <w:jc w:val="center"/>
              <w:rPr>
                <w:rFonts w:ascii="仿宋" w:hAnsi="仿宋" w:eastAsia="仿宋" w:cs="仿宋"/>
                <w:kern w:val="0"/>
                <w:sz w:val="30"/>
                <w:szCs w:val="30"/>
              </w:rPr>
            </w:pPr>
          </w:p>
        </w:tc>
        <w:tc>
          <w:tcPr>
            <w:tcW w:w="1440" w:type="dxa"/>
            <w:gridSpan w:val="2"/>
            <w:tcBorders>
              <w:bottom w:val="single" w:color="auto" w:sz="4" w:space="0"/>
            </w:tcBorders>
            <w:vAlign w:val="center"/>
          </w:tcPr>
          <w:p>
            <w:pPr>
              <w:rPr>
                <w:rFonts w:ascii="仿宋" w:hAnsi="仿宋" w:eastAsia="仿宋" w:cs="仿宋"/>
                <w:kern w:val="0"/>
                <w:sz w:val="30"/>
                <w:szCs w:val="30"/>
              </w:rPr>
            </w:pPr>
            <w:r>
              <w:rPr>
                <w:rFonts w:hint="eastAsia" w:ascii="仿宋" w:hAnsi="仿宋" w:eastAsia="仿宋" w:cs="仿宋"/>
                <w:kern w:val="0"/>
                <w:sz w:val="30"/>
                <w:szCs w:val="30"/>
              </w:rPr>
              <w:t>邮政编码</w:t>
            </w:r>
          </w:p>
        </w:tc>
        <w:tc>
          <w:tcPr>
            <w:tcW w:w="2880" w:type="dxa"/>
            <w:tcBorders>
              <w:bottom w:val="single" w:color="auto" w:sz="4" w:space="0"/>
            </w:tcBorders>
            <w:vAlign w:val="center"/>
          </w:tcPr>
          <w:p>
            <w:pPr>
              <w:jc w:val="center"/>
              <w:rPr>
                <w:rFonts w:ascii="仿宋" w:hAnsi="仿宋" w:eastAsia="仿宋" w:cs="仿宋"/>
                <w:kern w:val="0"/>
                <w:sz w:val="30"/>
                <w:szCs w:val="30"/>
              </w:rPr>
            </w:pPr>
          </w:p>
        </w:tc>
        <w:tc>
          <w:tcPr>
            <w:tcW w:w="1626" w:type="dxa"/>
            <w:tcBorders>
              <w:bottom w:val="single" w:color="auto" w:sz="4" w:space="0"/>
            </w:tcBorders>
            <w:vAlign w:val="center"/>
          </w:tcPr>
          <w:p>
            <w:pPr>
              <w:jc w:val="center"/>
              <w:rPr>
                <w:rFonts w:ascii="仿宋" w:hAnsi="仿宋" w:eastAsia="仿宋" w:cs="仿宋"/>
                <w:kern w:val="0"/>
                <w:sz w:val="30"/>
                <w:szCs w:val="30"/>
              </w:rPr>
            </w:pPr>
          </w:p>
        </w:tc>
        <w:tc>
          <w:tcPr>
            <w:tcW w:w="1080" w:type="dxa"/>
            <w:tcBorders>
              <w:bottom w:val="single" w:color="auto" w:sz="4" w:space="0"/>
            </w:tcBorders>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成立时间</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企业性质</w:t>
            </w:r>
          </w:p>
        </w:tc>
        <w:tc>
          <w:tcPr>
            <w:tcW w:w="7026" w:type="dxa"/>
            <w:gridSpan w:val="5"/>
            <w:vAlign w:val="center"/>
          </w:tcPr>
          <w:p>
            <w:pPr>
              <w:jc w:val="cente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法人营业执照号</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2340" w:type="dxa"/>
            <w:gridSpan w:val="3"/>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固定资产（万元）</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restart"/>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开  户</w:t>
            </w:r>
          </w:p>
          <w:p>
            <w:pPr>
              <w:jc w:val="center"/>
              <w:rPr>
                <w:rFonts w:ascii="仿宋" w:hAnsi="仿宋" w:eastAsia="仿宋" w:cs="仿宋"/>
                <w:kern w:val="0"/>
                <w:sz w:val="30"/>
                <w:szCs w:val="30"/>
              </w:rPr>
            </w:pPr>
            <w:r>
              <w:rPr>
                <w:rFonts w:hint="eastAsia" w:ascii="仿宋" w:hAnsi="仿宋" w:eastAsia="仿宋" w:cs="仿宋"/>
                <w:kern w:val="0"/>
                <w:sz w:val="30"/>
                <w:szCs w:val="30"/>
              </w:rPr>
              <w:t>银  行</w:t>
            </w: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rPr>
              <w:t>名   称</w:t>
            </w:r>
          </w:p>
        </w:tc>
        <w:tc>
          <w:tcPr>
            <w:tcW w:w="5946" w:type="dxa"/>
            <w:gridSpan w:val="4"/>
            <w:vAlign w:val="center"/>
          </w:tcPr>
          <w:p>
            <w:pPr>
              <w:rPr>
                <w:rFonts w:ascii="仿宋" w:hAnsi="仿宋" w:eastAsia="仿宋" w:cs="仿宋"/>
                <w:kern w:val="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080" w:type="dxa"/>
            <w:vMerge w:val="continue"/>
            <w:vAlign w:val="center"/>
          </w:tcPr>
          <w:p>
            <w:pPr>
              <w:rPr>
                <w:rFonts w:ascii="仿宋" w:hAnsi="仿宋" w:eastAsia="仿宋" w:cs="仿宋"/>
                <w:kern w:val="0"/>
                <w:sz w:val="30"/>
                <w:szCs w:val="30"/>
              </w:rPr>
            </w:pPr>
          </w:p>
        </w:tc>
        <w:tc>
          <w:tcPr>
            <w:tcW w:w="1260" w:type="dxa"/>
            <w:gridSpan w:val="2"/>
            <w:vAlign w:val="center"/>
          </w:tcPr>
          <w:p>
            <w:pPr>
              <w:jc w:val="center"/>
              <w:rPr>
                <w:rFonts w:ascii="仿宋" w:hAnsi="仿宋" w:eastAsia="仿宋" w:cs="仿宋"/>
                <w:kern w:val="0"/>
                <w:sz w:val="30"/>
                <w:szCs w:val="30"/>
              </w:rPr>
            </w:pPr>
            <w:r>
              <w:rPr>
                <w:rFonts w:hint="eastAsia" w:ascii="仿宋" w:hAnsi="仿宋" w:eastAsia="仿宋" w:cs="仿宋"/>
                <w:kern w:val="0"/>
                <w:sz w:val="30"/>
                <w:szCs w:val="30"/>
                <w:lang w:eastAsia="zh-CN"/>
              </w:rPr>
              <w:t>账</w:t>
            </w:r>
            <w:r>
              <w:rPr>
                <w:rFonts w:hint="eastAsia" w:ascii="仿宋" w:hAnsi="仿宋" w:eastAsia="仿宋" w:cs="仿宋"/>
                <w:kern w:val="0"/>
                <w:sz w:val="30"/>
                <w:szCs w:val="30"/>
              </w:rPr>
              <w:t xml:space="preserve">  号</w:t>
            </w:r>
          </w:p>
        </w:tc>
        <w:tc>
          <w:tcPr>
            <w:tcW w:w="5946" w:type="dxa"/>
            <w:gridSpan w:val="4"/>
            <w:vAlign w:val="center"/>
          </w:tcPr>
          <w:p>
            <w:pPr>
              <w:rPr>
                <w:rFonts w:ascii="仿宋" w:hAnsi="仿宋" w:eastAsia="仿宋" w:cs="仿宋"/>
                <w:kern w:val="0"/>
                <w:sz w:val="30"/>
                <w:szCs w:val="30"/>
              </w:rPr>
            </w:pPr>
          </w:p>
        </w:tc>
      </w:tr>
    </w:tbl>
    <w:p>
      <w:pPr>
        <w:tabs>
          <w:tab w:val="left" w:pos="3960"/>
        </w:tabs>
        <w:spacing w:line="500" w:lineRule="exact"/>
        <w:ind w:firstLine="1050" w:firstLineChars="350"/>
        <w:rPr>
          <w:rFonts w:ascii="仿宋" w:hAnsi="仿宋" w:eastAsia="仿宋" w:cs="仿宋"/>
          <w:kern w:val="0"/>
          <w:sz w:val="30"/>
          <w:szCs w:val="30"/>
        </w:rPr>
      </w:pPr>
    </w:p>
    <w:p>
      <w:pPr>
        <w:pStyle w:val="13"/>
        <w:rPr>
          <w:rFonts w:ascii="仿宋" w:hAnsi="仿宋" w:eastAsia="仿宋" w:cs="仿宋"/>
          <w:kern w:val="0"/>
          <w:sz w:val="30"/>
          <w:szCs w:val="30"/>
        </w:rPr>
      </w:pPr>
    </w:p>
    <w:p>
      <w:pPr>
        <w:rPr>
          <w:rFonts w:ascii="仿宋" w:hAnsi="仿宋" w:eastAsia="仿宋" w:cs="仿宋"/>
          <w:kern w:val="0"/>
          <w:sz w:val="30"/>
          <w:szCs w:val="30"/>
        </w:rPr>
      </w:pPr>
    </w:p>
    <w:p>
      <w:pPr>
        <w:pStyle w:val="13"/>
      </w:pPr>
    </w:p>
    <w:p>
      <w:pPr>
        <w:tabs>
          <w:tab w:val="left" w:pos="3960"/>
        </w:tabs>
        <w:spacing w:line="500" w:lineRule="exact"/>
        <w:ind w:firstLine="1800" w:firstLineChars="600"/>
        <w:rPr>
          <w:rFonts w:ascii="仿宋" w:hAnsi="仿宋" w:eastAsia="仿宋" w:cs="仿宋"/>
          <w:sz w:val="30"/>
          <w:szCs w:val="30"/>
        </w:rPr>
      </w:pPr>
      <w:r>
        <w:rPr>
          <w:rFonts w:hint="eastAsia" w:ascii="仿宋" w:hAnsi="仿宋" w:eastAsia="仿宋" w:cs="仿宋"/>
          <w:sz w:val="30"/>
          <w:szCs w:val="30"/>
        </w:rPr>
        <w:t xml:space="preserve">         投标人：</w:t>
      </w:r>
      <w:r>
        <w:rPr>
          <w:rFonts w:hint="eastAsia" w:ascii="仿宋" w:hAnsi="仿宋" w:eastAsia="仿宋" w:cs="仿宋"/>
          <w:sz w:val="30"/>
          <w:szCs w:val="30"/>
          <w:u w:val="single"/>
        </w:rPr>
        <w:t xml:space="preserve">               </w:t>
      </w:r>
      <w:r>
        <w:rPr>
          <w:rFonts w:hint="eastAsia" w:ascii="仿宋" w:hAnsi="仿宋" w:eastAsia="仿宋" w:cs="仿宋"/>
          <w:sz w:val="30"/>
          <w:szCs w:val="30"/>
        </w:rPr>
        <w:t>（盖单位公章）</w:t>
      </w:r>
    </w:p>
    <w:p>
      <w:pPr>
        <w:spacing w:line="500" w:lineRule="exact"/>
        <w:ind w:firstLine="3750" w:firstLineChars="1250"/>
        <w:rPr>
          <w:rFonts w:ascii="仿宋" w:hAnsi="仿宋" w:eastAsia="仿宋" w:cs="仿宋"/>
          <w:sz w:val="30"/>
          <w:szCs w:val="30"/>
        </w:rPr>
      </w:pPr>
      <w:r>
        <w:rPr>
          <w:rFonts w:hint="eastAsia" w:ascii="仿宋" w:hAnsi="仿宋" w:eastAsia="仿宋" w:cs="仿宋"/>
          <w:sz w:val="30"/>
          <w:szCs w:val="30"/>
        </w:rPr>
        <w:t>法定代表人：</w:t>
      </w:r>
      <w:r>
        <w:rPr>
          <w:rFonts w:hint="eastAsia" w:ascii="仿宋" w:hAnsi="仿宋" w:eastAsia="仿宋" w:cs="仿宋"/>
          <w:sz w:val="30"/>
          <w:szCs w:val="30"/>
          <w:u w:val="single"/>
        </w:rPr>
        <w:t xml:space="preserve">             </w:t>
      </w:r>
      <w:r>
        <w:rPr>
          <w:rFonts w:hint="eastAsia" w:ascii="仿宋" w:hAnsi="仿宋" w:eastAsia="仿宋" w:cs="仿宋"/>
          <w:sz w:val="30"/>
          <w:szCs w:val="30"/>
        </w:rPr>
        <w:t>（签字）</w:t>
      </w:r>
    </w:p>
    <w:p>
      <w:pPr>
        <w:spacing w:line="500" w:lineRule="exact"/>
        <w:ind w:firstLine="7050" w:firstLineChars="2350"/>
        <w:rPr>
          <w:rFonts w:ascii="仿宋" w:hAnsi="仿宋" w:eastAsia="仿宋" w:cs="仿宋"/>
          <w:sz w:val="30"/>
          <w:szCs w:val="30"/>
        </w:rPr>
      </w:pPr>
    </w:p>
    <w:p>
      <w:pPr>
        <w:spacing w:line="500" w:lineRule="exact"/>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30"/>
          <w:szCs w:val="30"/>
          <w:u w:val="single"/>
        </w:rPr>
        <w:t xml:space="preserve">        </w:t>
      </w:r>
      <w:r>
        <w:rPr>
          <w:rFonts w:hint="eastAsia" w:ascii="仿宋" w:hAnsi="仿宋" w:eastAsia="仿宋" w:cs="仿宋"/>
          <w:sz w:val="30"/>
          <w:szCs w:val="30"/>
        </w:rPr>
        <w:t>年</w:t>
      </w:r>
      <w:r>
        <w:rPr>
          <w:rFonts w:hint="eastAsia" w:ascii="仿宋" w:hAnsi="仿宋" w:eastAsia="仿宋" w:cs="仿宋"/>
          <w:sz w:val="30"/>
          <w:szCs w:val="30"/>
          <w:u w:val="single"/>
        </w:rPr>
        <w:t xml:space="preserve">    </w:t>
      </w:r>
      <w:r>
        <w:rPr>
          <w:rFonts w:hint="eastAsia" w:ascii="仿宋" w:hAnsi="仿宋" w:eastAsia="仿宋" w:cs="仿宋"/>
          <w:sz w:val="30"/>
          <w:szCs w:val="30"/>
        </w:rPr>
        <w:t>月</w:t>
      </w:r>
      <w:r>
        <w:rPr>
          <w:rFonts w:hint="eastAsia" w:ascii="仿宋" w:hAnsi="仿宋" w:eastAsia="仿宋" w:cs="仿宋"/>
          <w:sz w:val="30"/>
          <w:szCs w:val="30"/>
          <w:u w:val="single"/>
        </w:rPr>
        <w:t xml:space="preserve">    </w:t>
      </w:r>
      <w:r>
        <w:rPr>
          <w:rFonts w:hint="eastAsia" w:ascii="仿宋" w:hAnsi="仿宋" w:eastAsia="仿宋" w:cs="仿宋"/>
          <w:sz w:val="30"/>
          <w:szCs w:val="30"/>
        </w:rPr>
        <w:t>日</w:t>
      </w:r>
    </w:p>
    <w:p>
      <w:pPr>
        <w:pStyle w:val="6"/>
        <w:ind w:left="0" w:leftChars="0" w:firstLine="0" w:firstLineChars="0"/>
      </w:pPr>
    </w:p>
    <w:p>
      <w:pPr>
        <w:pStyle w:val="5"/>
        <w:numPr>
          <w:ilvl w:val="0"/>
          <w:numId w:val="0"/>
        </w:numPr>
        <w:spacing w:line="360" w:lineRule="exact"/>
        <w:rPr>
          <w:rFonts w:ascii="仿宋" w:hAnsi="仿宋" w:eastAsia="仿宋" w:cs="仿宋"/>
          <w:sz w:val="30"/>
          <w:szCs w:val="30"/>
        </w:rPr>
      </w:pPr>
      <w:r>
        <w:rPr>
          <w:rFonts w:hint="eastAsia" w:ascii="仿宋" w:hAnsi="仿宋" w:eastAsia="仿宋" w:cs="仿宋"/>
          <w:sz w:val="30"/>
          <w:szCs w:val="30"/>
        </w:rPr>
        <w:t>附件</w:t>
      </w:r>
      <w:bookmarkStart w:id="0" w:name="_Toc267598738"/>
      <w:r>
        <w:rPr>
          <w:rFonts w:hint="eastAsia" w:ascii="仿宋" w:hAnsi="仿宋" w:eastAsia="仿宋" w:cs="仿宋"/>
          <w:sz w:val="30"/>
          <w:szCs w:val="30"/>
        </w:rPr>
        <w:t>4</w:t>
      </w:r>
    </w:p>
    <w:p>
      <w:pPr>
        <w:pStyle w:val="5"/>
        <w:numPr>
          <w:ilvl w:val="0"/>
          <w:numId w:val="0"/>
        </w:numPr>
        <w:spacing w:line="360" w:lineRule="exact"/>
        <w:ind w:left="420" w:leftChars="200"/>
        <w:jc w:val="center"/>
        <w:rPr>
          <w:rFonts w:ascii="仿宋" w:hAnsi="仿宋" w:eastAsia="仿宋" w:cs="仿宋"/>
          <w:sz w:val="30"/>
          <w:szCs w:val="30"/>
        </w:rPr>
      </w:pPr>
      <w:r>
        <w:rPr>
          <w:rFonts w:hint="eastAsia" w:ascii="仿宋" w:hAnsi="仿宋" w:eastAsia="仿宋" w:cs="仿宋"/>
          <w:sz w:val="30"/>
          <w:szCs w:val="30"/>
        </w:rPr>
        <w:t>法定代表人身份证明及授权委托书</w:t>
      </w:r>
      <w:bookmarkEnd w:id="0"/>
    </w:p>
    <w:p>
      <w:pPr>
        <w:spacing w:line="360" w:lineRule="exact"/>
        <w:ind w:firstLine="602" w:firstLineChars="200"/>
        <w:rPr>
          <w:rFonts w:ascii="仿宋" w:hAnsi="仿宋" w:eastAsia="仿宋" w:cs="仿宋"/>
          <w:b/>
          <w:sz w:val="30"/>
          <w:szCs w:val="30"/>
        </w:rPr>
      </w:pPr>
    </w:p>
    <w:p>
      <w:pPr>
        <w:spacing w:line="360" w:lineRule="exact"/>
        <w:ind w:firstLine="602" w:firstLineChars="200"/>
        <w:jc w:val="center"/>
        <w:rPr>
          <w:rFonts w:ascii="仿宋" w:hAnsi="仿宋" w:eastAsia="仿宋" w:cs="仿宋"/>
          <w:b/>
          <w:sz w:val="30"/>
          <w:szCs w:val="30"/>
        </w:rPr>
      </w:pPr>
      <w:r>
        <w:rPr>
          <w:rFonts w:hint="eastAsia" w:ascii="仿宋" w:hAnsi="仿宋" w:eastAsia="仿宋" w:cs="仿宋"/>
          <w:b/>
          <w:sz w:val="30"/>
          <w:szCs w:val="30"/>
        </w:rPr>
        <w:t>法定代表人身份证明</w:t>
      </w: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56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竞争单位名称：</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单位性质：</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地址：</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2520"/>
          <w:tab w:val="left" w:pos="3836"/>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成立时间：</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日</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7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经营期限：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580"/>
          <w:tab w:val="left" w:pos="3260"/>
          <w:tab w:val="left" w:pos="4840"/>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姓名：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性别</w:t>
      </w:r>
      <w:r>
        <w:rPr>
          <w:rFonts w:hint="eastAsia" w:ascii="仿宋" w:hAnsi="仿宋" w:eastAsia="仿宋" w:cs="仿宋"/>
          <w:spacing w:val="-1"/>
          <w:kern w:val="0"/>
          <w:sz w:val="30"/>
          <w:szCs w:val="30"/>
        </w:rPr>
        <w:t>：</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r>
        <w:rPr>
          <w:rFonts w:hint="eastAsia" w:ascii="仿宋" w:hAnsi="仿宋" w:eastAsia="仿宋" w:cs="仿宋"/>
          <w:spacing w:val="-1"/>
          <w:kern w:val="0"/>
          <w:sz w:val="30"/>
          <w:szCs w:val="30"/>
        </w:rPr>
        <w:t>年</w:t>
      </w:r>
      <w:r>
        <w:rPr>
          <w:rFonts w:hint="eastAsia" w:ascii="仿宋" w:hAnsi="仿宋" w:eastAsia="仿宋" w:cs="仿宋"/>
          <w:kern w:val="0"/>
          <w:sz w:val="30"/>
          <w:szCs w:val="30"/>
        </w:rPr>
        <w:t>龄：</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职务：</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33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（竞争单位名称）的法定代表人。</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特此证明。</w:t>
      </w:r>
    </w:p>
    <w:p>
      <w:pPr>
        <w:tabs>
          <w:tab w:val="left" w:pos="142"/>
        </w:tabs>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60288" behindDoc="0" locked="0" layoutInCell="1" allowOverlap="1">
                <wp:simplePos x="0" y="0"/>
                <wp:positionH relativeFrom="column">
                  <wp:posOffset>390525</wp:posOffset>
                </wp:positionH>
                <wp:positionV relativeFrom="paragraph">
                  <wp:posOffset>76200</wp:posOffset>
                </wp:positionV>
                <wp:extent cx="4076700" cy="1821180"/>
                <wp:effectExtent l="0" t="0" r="19050" b="26670"/>
                <wp:wrapNone/>
                <wp:docPr id="1" name="Rectangle 2"/>
                <wp:cNvGraphicFramePr/>
                <a:graphic xmlns:a="http://schemas.openxmlformats.org/drawingml/2006/main">
                  <a:graphicData uri="http://schemas.microsoft.com/office/word/2010/wordprocessingShape">
                    <wps:wsp>
                      <wps:cNvSpPr/>
                      <wps:spPr>
                        <a:xfrm>
                          <a:off x="0" y="0"/>
                          <a:ext cx="4076700" cy="182118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2" o:spid="_x0000_s1026" o:spt="1" style="position:absolute;left:0pt;margin-left:30.75pt;margin-top:6pt;height:143.4pt;width:321pt;z-index:251660288;mso-width-relative:page;mso-height-relative:page;" filled="f" stroked="t" coordsize="21600,21600" o:gfxdata="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SOtI1wAA&#10;AAkBAAAPAAAAAAAAAAEAIAAAACIAAABkcnMvZG93bnJldi54bWxQSwECFAAUAAAACACHTuJAc6xo&#10;hOYBAADSAwAADgAAAAAAAAABACAAAAAmAQAAZHJzL2Uyb0RvYy54bWxQSwUGAAAAAAYABgBZAQAA&#10;fgUAAAAA&#10;">
                <v:fill on="f" focussize="0,0"/>
                <v:stroke color="#000000" joinstyle="miter"/>
                <v:imagedata o:title=""/>
                <o:lock v:ext="edit" aspectratio="f"/>
                <v:textbox>
                  <w:txbxContent>
                    <w:p/>
                  </w:txbxContent>
                </v:textbox>
              </v:rect>
            </w:pict>
          </mc:Fallback>
        </mc:AlternateContent>
      </w: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600" w:firstLineChars="200"/>
        <w:rPr>
          <w:rFonts w:ascii="仿宋" w:hAnsi="仿宋" w:eastAsia="仿宋" w:cs="仿宋"/>
          <w:sz w:val="30"/>
          <w:szCs w:val="30"/>
        </w:rPr>
      </w:pPr>
    </w:p>
    <w:p>
      <w:pPr>
        <w:tabs>
          <w:tab w:val="left" w:pos="142"/>
        </w:tabs>
        <w:spacing w:line="360" w:lineRule="exact"/>
        <w:ind w:firstLine="1050" w:firstLineChars="350"/>
        <w:rPr>
          <w:rFonts w:ascii="仿宋" w:hAnsi="仿宋" w:eastAsia="仿宋" w:cs="仿宋"/>
          <w:sz w:val="30"/>
          <w:szCs w:val="30"/>
        </w:rPr>
      </w:pPr>
      <w:r>
        <w:rPr>
          <w:rFonts w:hint="eastAsia" w:ascii="仿宋" w:hAnsi="仿宋" w:eastAsia="仿宋" w:cs="仿宋"/>
          <w:sz w:val="30"/>
          <w:szCs w:val="30"/>
        </w:rPr>
        <w:t xml:space="preserve">（该处粘贴法定代表人身份证复印件正反面）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p>
    <w:p>
      <w:pPr>
        <w:tabs>
          <w:tab w:val="left" w:pos="5460"/>
        </w:tabs>
        <w:autoSpaceDE w:val="0"/>
        <w:autoSpaceDN w:val="0"/>
        <w:adjustRightInd w:val="0"/>
        <w:snapToGrid w:val="0"/>
        <w:spacing w:before="156" w:beforeLines="50"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spacing w:val="-1"/>
          <w:kern w:val="0"/>
          <w:sz w:val="30"/>
          <w:szCs w:val="30"/>
        </w:rPr>
        <w:t>（</w:t>
      </w:r>
      <w:r>
        <w:rPr>
          <w:rFonts w:hint="eastAsia" w:ascii="仿宋" w:hAnsi="仿宋" w:eastAsia="仿宋" w:cs="仿宋"/>
          <w:kern w:val="0"/>
          <w:sz w:val="30"/>
          <w:szCs w:val="30"/>
        </w:rPr>
        <w:t>盖单位公章）</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935"/>
          <w:tab w:val="left" w:pos="5460"/>
          <w:tab w:val="left" w:pos="6400"/>
        </w:tabs>
        <w:autoSpaceDE w:val="0"/>
        <w:autoSpaceDN w:val="0"/>
        <w:adjustRightInd w:val="0"/>
        <w:snapToGrid w:val="0"/>
        <w:spacing w:line="360" w:lineRule="exact"/>
        <w:ind w:firstLine="596" w:firstLineChars="200"/>
        <w:jc w:val="center"/>
        <w:rPr>
          <w:rFonts w:ascii="仿宋" w:hAnsi="仿宋" w:eastAsia="仿宋" w:cs="仿宋"/>
          <w:kern w:val="0"/>
          <w:sz w:val="30"/>
          <w:szCs w:val="30"/>
        </w:rPr>
      </w:pPr>
      <w:r>
        <w:rPr>
          <w:rFonts w:hint="eastAsia" w:ascii="仿宋" w:hAnsi="仿宋" w:eastAsia="仿宋" w:cs="仿宋"/>
          <w:spacing w:val="-1"/>
          <w:kern w:val="0"/>
          <w:sz w:val="30"/>
          <w:szCs w:val="30"/>
          <w:u w:val="single"/>
        </w:rPr>
        <w:t xml:space="preserve">       </w:t>
      </w:r>
      <w:r>
        <w:rPr>
          <w:rFonts w:hint="eastAsia" w:ascii="仿宋" w:hAnsi="仿宋" w:eastAsia="仿宋" w:cs="仿宋"/>
          <w:spacing w:val="-1"/>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日</w:t>
      </w: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rPr>
          <w:rFonts w:ascii="仿宋" w:hAnsi="仿宋" w:eastAsia="仿宋" w:cs="仿宋"/>
          <w:b/>
          <w:kern w:val="0"/>
          <w:sz w:val="30"/>
          <w:szCs w:val="30"/>
        </w:rPr>
      </w:pPr>
    </w:p>
    <w:p>
      <w:pPr>
        <w:tabs>
          <w:tab w:val="left" w:pos="1680"/>
          <w:tab w:val="left" w:pos="4215"/>
          <w:tab w:val="left" w:pos="4305"/>
          <w:tab w:val="left" w:pos="8000"/>
        </w:tabs>
        <w:autoSpaceDE w:val="0"/>
        <w:autoSpaceDN w:val="0"/>
        <w:adjustRightInd w:val="0"/>
        <w:snapToGrid w:val="0"/>
        <w:spacing w:line="360" w:lineRule="exact"/>
        <w:ind w:firstLine="602" w:firstLineChars="200"/>
        <w:jc w:val="center"/>
        <w:rPr>
          <w:rFonts w:ascii="仿宋" w:hAnsi="仿宋" w:eastAsia="仿宋" w:cs="仿宋"/>
          <w:b/>
          <w:kern w:val="0"/>
          <w:sz w:val="30"/>
          <w:szCs w:val="30"/>
        </w:rPr>
      </w:pPr>
      <w:r>
        <w:rPr>
          <w:rFonts w:hint="eastAsia" w:ascii="仿宋" w:hAnsi="仿宋" w:eastAsia="仿宋" w:cs="仿宋"/>
          <w:b/>
          <w:kern w:val="0"/>
          <w:sz w:val="30"/>
          <w:szCs w:val="30"/>
        </w:rPr>
        <w:t xml:space="preserve">授权委托书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1680"/>
          <w:tab w:val="left" w:pos="4445"/>
          <w:tab w:val="left" w:pos="4490"/>
          <w:tab w:val="left" w:pos="789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（姓名）系</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竞争单位</w:t>
      </w:r>
      <w:r>
        <w:rPr>
          <w:rFonts w:hint="eastAsia" w:ascii="仿宋" w:hAnsi="仿宋" w:eastAsia="仿宋" w:cs="仿宋"/>
          <w:kern w:val="0"/>
          <w:sz w:val="30"/>
          <w:szCs w:val="30"/>
        </w:rPr>
        <w:t>名称</w:t>
      </w:r>
      <w:r>
        <w:rPr>
          <w:rFonts w:hint="eastAsia" w:ascii="仿宋" w:hAnsi="仿宋" w:eastAsia="仿宋" w:cs="仿宋"/>
          <w:spacing w:val="1"/>
          <w:kern w:val="0"/>
          <w:sz w:val="30"/>
          <w:szCs w:val="30"/>
        </w:rPr>
        <w:t>）</w:t>
      </w:r>
      <w:r>
        <w:rPr>
          <w:rFonts w:hint="eastAsia" w:ascii="仿宋" w:hAnsi="仿宋" w:eastAsia="仿宋" w:cs="仿宋"/>
          <w:kern w:val="0"/>
          <w:sz w:val="30"/>
          <w:szCs w:val="30"/>
        </w:rPr>
        <w:t>的法定代</w:t>
      </w:r>
      <w:r>
        <w:rPr>
          <w:rFonts w:hint="eastAsia" w:ascii="仿宋" w:hAnsi="仿宋" w:eastAsia="仿宋" w:cs="仿宋"/>
          <w:spacing w:val="1"/>
          <w:kern w:val="0"/>
          <w:sz w:val="30"/>
          <w:szCs w:val="30"/>
        </w:rPr>
        <w:t>表</w:t>
      </w:r>
      <w:r>
        <w:rPr>
          <w:rFonts w:hint="eastAsia" w:ascii="仿宋" w:hAnsi="仿宋" w:eastAsia="仿宋" w:cs="仿宋"/>
          <w:kern w:val="0"/>
          <w:sz w:val="30"/>
          <w:szCs w:val="30"/>
        </w:rPr>
        <w:t>人，现委托</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 xml:space="preserve">    </w:t>
      </w:r>
      <w:r>
        <w:rPr>
          <w:rFonts w:hint="eastAsia" w:ascii="仿宋" w:hAnsi="仿宋" w:eastAsia="仿宋" w:cs="仿宋"/>
          <w:kern w:val="0"/>
          <w:sz w:val="30"/>
          <w:szCs w:val="30"/>
        </w:rPr>
        <w:t>为我方代理人。代理人根据授权，以我方名义签署、澄清、说明、补正、递交、撤回、 修改</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（项</w:t>
      </w:r>
      <w:r>
        <w:rPr>
          <w:rFonts w:hint="eastAsia" w:ascii="仿宋" w:hAnsi="仿宋" w:eastAsia="仿宋" w:cs="仿宋"/>
          <w:spacing w:val="-1"/>
          <w:kern w:val="0"/>
          <w:sz w:val="30"/>
          <w:szCs w:val="30"/>
        </w:rPr>
        <w:t>目</w:t>
      </w:r>
      <w:r>
        <w:rPr>
          <w:rFonts w:hint="eastAsia" w:ascii="仿宋" w:hAnsi="仿宋" w:eastAsia="仿宋" w:cs="仿宋"/>
          <w:kern w:val="0"/>
          <w:sz w:val="30"/>
          <w:szCs w:val="30"/>
        </w:rPr>
        <w:t>名称）竞标文件、签订合同和处理有关事宜， 其法律后果由我方承担。</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委托</w:t>
      </w:r>
      <w:r>
        <w:rPr>
          <w:rFonts w:hint="eastAsia" w:ascii="仿宋" w:hAnsi="仿宋" w:eastAsia="仿宋" w:cs="仿宋"/>
          <w:spacing w:val="-1"/>
          <w:kern w:val="0"/>
          <w:sz w:val="30"/>
          <w:szCs w:val="30"/>
        </w:rPr>
        <w:t>期</w:t>
      </w:r>
      <w:r>
        <w:rPr>
          <w:rFonts w:hint="eastAsia" w:ascii="仿宋" w:hAnsi="仿宋" w:eastAsia="仿宋" w:cs="仿宋"/>
          <w:kern w:val="0"/>
          <w:sz w:val="30"/>
          <w:szCs w:val="30"/>
        </w:rPr>
        <w:t>限：</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 xml:space="preserve">。 </w:t>
      </w:r>
    </w:p>
    <w:p>
      <w:pPr>
        <w:tabs>
          <w:tab w:val="left" w:pos="1680"/>
          <w:tab w:val="left" w:pos="4215"/>
          <w:tab w:val="left" w:pos="4305"/>
          <w:tab w:val="left" w:pos="8000"/>
        </w:tabs>
        <w:autoSpaceDE w:val="0"/>
        <w:autoSpaceDN w:val="0"/>
        <w:adjustRightInd w:val="0"/>
        <w:snapToGrid w:val="0"/>
        <w:spacing w:line="36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代理人无转委托权。</w:t>
      </w: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附：法定代表人身份证明。 </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r>
        <w:rPr>
          <w:rFonts w:hint="eastAsia" w:ascii="仿宋" w:hAnsi="仿宋" w:eastAsia="仿宋" w:cs="仿宋"/>
          <w:sz w:val="30"/>
          <w:szCs w:val="30"/>
        </w:rPr>
        <mc:AlternateContent>
          <mc:Choice Requires="wps">
            <w:drawing>
              <wp:anchor distT="0" distB="0" distL="114300" distR="114300" simplePos="0" relativeHeight="251662336" behindDoc="0" locked="0" layoutInCell="1" allowOverlap="1">
                <wp:simplePos x="0" y="0"/>
                <wp:positionH relativeFrom="column">
                  <wp:posOffset>2724150</wp:posOffset>
                </wp:positionH>
                <wp:positionV relativeFrom="paragraph">
                  <wp:posOffset>31115</wp:posOffset>
                </wp:positionV>
                <wp:extent cx="2971800" cy="2080260"/>
                <wp:effectExtent l="4445" t="4445" r="14605" b="10795"/>
                <wp:wrapNone/>
                <wp:docPr id="2" name="Rectangle 4"/>
                <wp:cNvGraphicFramePr/>
                <a:graphic xmlns:a="http://schemas.openxmlformats.org/drawingml/2006/main">
                  <a:graphicData uri="http://schemas.microsoft.com/office/word/2010/wordprocessingShape">
                    <wps:wsp>
                      <wps:cNvSpPr/>
                      <wps:spPr>
                        <a:xfrm>
                          <a:off x="0" y="0"/>
                          <a:ext cx="29718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wrap="square" upright="1"/>
                    </wps:wsp>
                  </a:graphicData>
                </a:graphic>
              </wp:anchor>
            </w:drawing>
          </mc:Choice>
          <mc:Fallback>
            <w:pict>
              <v:rect id="Rectangle 4" o:spid="_x0000_s1026" o:spt="1" style="position:absolute;left:0pt;margin-left:214.5pt;margin-top:2.45pt;height:163.8pt;width:234pt;z-index:251662336;mso-width-relative:page;mso-height-relative:page;" filled="f" stroked="t" coordsize="21600,21600" o:gfxdata="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B1I+d3Y&#10;AAAACQEAAA8AAAAAAAAAAQAgAAAAIgAAAGRycy9kb3ducmV2LnhtbFBLAQIUABQAAAAIAIdO4kCM&#10;9taa5wEAANIDAAAOAAAAAAAAAAEAIAAAACcBAABkcnMvZTJvRG9jLnhtbFBLBQYAAAAABgAGAFkB&#10;AACABQAAAAA=&#10;">
                <v:fill on="f" focussize="0,0"/>
                <v:stroke color="#000000" joinstyle="miter"/>
                <v:imagedata o:title=""/>
                <o:lock v:ext="edit" aspectratio="f"/>
                <v:textbox>
                  <w:txbxContent>
                    <w:p/>
                  </w:txbxContent>
                </v:textbox>
              </v:rect>
            </w:pict>
          </mc:Fallback>
        </mc:AlternateContent>
      </w:r>
      <w:r>
        <w:rPr>
          <w:rFonts w:hint="eastAsia" w:ascii="仿宋" w:hAnsi="仿宋" w:eastAsia="仿宋" w:cs="仿宋"/>
          <w:sz w:val="30"/>
          <w:szCs w:val="30"/>
        </w:rPr>
        <mc:AlternateContent>
          <mc:Choice Requires="wps">
            <w:drawing>
              <wp:anchor distT="0" distB="0" distL="114300" distR="114300" simplePos="0" relativeHeight="251661312" behindDoc="0" locked="0" layoutInCell="1" allowOverlap="1">
                <wp:simplePos x="0" y="0"/>
                <wp:positionH relativeFrom="column">
                  <wp:posOffset>-285115</wp:posOffset>
                </wp:positionH>
                <wp:positionV relativeFrom="paragraph">
                  <wp:posOffset>31115</wp:posOffset>
                </wp:positionV>
                <wp:extent cx="2942590" cy="2080260"/>
                <wp:effectExtent l="4445" t="4445" r="5715" b="10795"/>
                <wp:wrapNone/>
                <wp:docPr id="3" name="Rectangle 3"/>
                <wp:cNvGraphicFramePr/>
                <a:graphic xmlns:a="http://schemas.openxmlformats.org/drawingml/2006/main">
                  <a:graphicData uri="http://schemas.microsoft.com/office/word/2010/wordprocessingShape">
                    <wps:wsp>
                      <wps:cNvSpPr/>
                      <wps:spPr>
                        <a:xfrm>
                          <a:off x="0" y="0"/>
                          <a:ext cx="2857500" cy="2080260"/>
                        </a:xfrm>
                        <a:prstGeom prst="rect">
                          <a:avLst/>
                        </a:prstGeom>
                        <a:noFill/>
                        <a:ln w="9525" cap="flat" cmpd="sng">
                          <a:solidFill>
                            <a:srgbClr val="000000"/>
                          </a:solidFill>
                          <a:prstDash val="solid"/>
                          <a:miter/>
                          <a:headEnd type="none" w="med" len="med"/>
                          <a:tailEnd type="none" w="med" len="med"/>
                        </a:ln>
                        <a:effectLst/>
                      </wps:spPr>
                      <wps:txbx>
                        <w:txbxContent>
                          <w:p/>
                        </w:txbxContent>
                      </wps:txbx>
                      <wps:bodyPr vert="horz" wrap="square" anchor="t" anchorCtr="0" upright="1"/>
                    </wps:wsp>
                  </a:graphicData>
                </a:graphic>
              </wp:anchor>
            </w:drawing>
          </mc:Choice>
          <mc:Fallback>
            <w:pict>
              <v:rect id="Rectangle 3" o:spid="_x0000_s1026" o:spt="1" style="position:absolute;left:0pt;margin-left:-22.45pt;margin-top:2.45pt;height:163.8pt;width:231.7pt;z-index:251661312;mso-width-relative:page;mso-height-relative:page;" filled="f" stroked="t" coordsize="21600,21600" o:gfxdata="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fPPmYNgAAAAJAQAADwAAAAAAAAABACAAAAAiAAAAZHJzL2Rvd25yZXYu&#10;eG1sUEsBAhQAFAAAAAgAh07iQJGt82T7AQAA9wMAAA4AAAAAAAAAAQAgAAAAJwEAAGRycy9lMm9E&#10;b2MueG1sUEsFBgAAAAAGAAYAWQEAAJQFAAAAAA==&#10;">
                <v:fill on="f" focussize="0,0"/>
                <v:stroke color="#000000" joinstyle="miter"/>
                <v:imagedata o:title=""/>
                <o:lock v:ext="edit" aspectratio="f"/>
                <v:textbox>
                  <w:txbxContent>
                    <w:p/>
                  </w:txbxContent>
                </v:textbox>
              </v:rect>
            </w:pict>
          </mc:Fallback>
        </mc:AlternateContent>
      </w:r>
    </w:p>
    <w:p>
      <w:pPr>
        <w:spacing w:line="360" w:lineRule="exact"/>
        <w:ind w:firstLine="600" w:firstLineChars="200"/>
        <w:rPr>
          <w:rFonts w:ascii="仿宋" w:hAnsi="仿宋" w:eastAsia="仿宋" w:cs="仿宋"/>
          <w:sz w:val="30"/>
          <w:szCs w:val="30"/>
        </w:rPr>
      </w:pPr>
    </w:p>
    <w:p>
      <w:pPr>
        <w:spacing w:line="360" w:lineRule="exact"/>
        <w:ind w:firstLine="750" w:firstLineChars="250"/>
        <w:rPr>
          <w:rFonts w:ascii="仿宋" w:hAnsi="仿宋" w:eastAsia="仿宋" w:cs="仿宋"/>
          <w:sz w:val="30"/>
          <w:szCs w:val="30"/>
        </w:rPr>
      </w:pPr>
      <w:r>
        <w:rPr>
          <w:rFonts w:hint="eastAsia" w:ascii="仿宋" w:hAnsi="仿宋" w:eastAsia="仿宋" w:cs="仿宋"/>
          <w:sz w:val="30"/>
          <w:szCs w:val="30"/>
        </w:rPr>
        <w:t>（该处粘贴法定代表人身份证复印件）   （该处粘贴代理人身份证复印件）</w:t>
      </w:r>
    </w:p>
    <w:p>
      <w:pPr>
        <w:spacing w:line="360" w:lineRule="exact"/>
        <w:ind w:firstLine="600" w:firstLineChars="200"/>
        <w:rPr>
          <w:rFonts w:ascii="仿宋" w:hAnsi="仿宋" w:eastAsia="仿宋" w:cs="仿宋"/>
          <w:sz w:val="30"/>
          <w:szCs w:val="30"/>
        </w:rPr>
      </w:pPr>
    </w:p>
    <w:p>
      <w:pPr>
        <w:spacing w:line="360" w:lineRule="exact"/>
        <w:ind w:firstLine="600" w:firstLineChars="200"/>
        <w:rPr>
          <w:rFonts w:ascii="仿宋" w:hAnsi="仿宋" w:eastAsia="仿宋" w:cs="仿宋"/>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tabs>
          <w:tab w:val="left" w:pos="4200"/>
          <w:tab w:val="left" w:pos="46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竞争单位：</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rPr>
        <w:t>（</w:t>
      </w:r>
      <w:r>
        <w:rPr>
          <w:rFonts w:hint="eastAsia" w:ascii="仿宋" w:hAnsi="仿宋" w:eastAsia="仿宋" w:cs="仿宋"/>
          <w:spacing w:val="-1"/>
          <w:kern w:val="0"/>
          <w:sz w:val="30"/>
          <w:szCs w:val="30"/>
        </w:rPr>
        <w:t>盖</w:t>
      </w:r>
      <w:r>
        <w:rPr>
          <w:rFonts w:hint="eastAsia" w:ascii="仿宋" w:hAnsi="仿宋" w:eastAsia="仿宋" w:cs="仿宋"/>
          <w:kern w:val="0"/>
          <w:sz w:val="30"/>
          <w:szCs w:val="30"/>
        </w:rPr>
        <w:t xml:space="preserve">单位公章） </w:t>
      </w:r>
    </w:p>
    <w:p>
      <w:pPr>
        <w:tabs>
          <w:tab w:val="left" w:pos="630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法定代表人：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u w:val="single"/>
        </w:rPr>
        <w:tab/>
      </w:r>
      <w:r>
        <w:rPr>
          <w:rFonts w:hint="eastAsia" w:ascii="仿宋" w:hAnsi="仿宋" w:eastAsia="仿宋" w:cs="仿宋"/>
          <w:kern w:val="0"/>
          <w:sz w:val="30"/>
          <w:szCs w:val="30"/>
        </w:rPr>
        <w:t>（签字）</w:t>
      </w:r>
    </w:p>
    <w:p>
      <w:pPr>
        <w:tabs>
          <w:tab w:val="left" w:pos="526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kern w:val="0"/>
          <w:sz w:val="30"/>
          <w:szCs w:val="30"/>
          <w:u w:val="single"/>
          <w:lang w:val="en-US" w:eastAsia="zh-CN"/>
        </w:rPr>
        <w:t xml:space="preserve"> </w:t>
      </w:r>
      <w:r>
        <w:rPr>
          <w:rFonts w:hint="eastAsia" w:ascii="仿宋" w:hAnsi="仿宋" w:eastAsia="仿宋" w:cs="仿宋"/>
          <w:w w:val="200"/>
          <w:kern w:val="0"/>
          <w:sz w:val="30"/>
          <w:szCs w:val="30"/>
          <w:u w:val="single"/>
          <w:lang w:val="en-US" w:eastAsia="zh-CN"/>
        </w:rPr>
        <w:t xml:space="preserve">               </w:t>
      </w:r>
      <w:r>
        <w:rPr>
          <w:rFonts w:hint="eastAsia" w:ascii="仿宋" w:hAnsi="仿宋" w:eastAsia="仿宋" w:cs="仿宋"/>
          <w:w w:val="200"/>
          <w:kern w:val="0"/>
          <w:sz w:val="30"/>
          <w:szCs w:val="30"/>
          <w:u w:val="single"/>
        </w:rPr>
        <w:t xml:space="preserve">                 </w:t>
      </w:r>
    </w:p>
    <w:p>
      <w:pPr>
        <w:tabs>
          <w:tab w:val="left" w:pos="672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委托代理人：</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（签</w:t>
      </w:r>
      <w:r>
        <w:rPr>
          <w:rFonts w:hint="eastAsia" w:ascii="仿宋" w:hAnsi="仿宋" w:eastAsia="仿宋" w:cs="仿宋"/>
          <w:spacing w:val="-1"/>
          <w:kern w:val="0"/>
          <w:sz w:val="30"/>
          <w:szCs w:val="30"/>
        </w:rPr>
        <w:t>字</w:t>
      </w:r>
      <w:r>
        <w:rPr>
          <w:rFonts w:hint="eastAsia" w:ascii="仿宋" w:hAnsi="仿宋" w:eastAsia="仿宋" w:cs="仿宋"/>
          <w:kern w:val="0"/>
          <w:sz w:val="30"/>
          <w:szCs w:val="30"/>
        </w:rPr>
        <w:t>）</w:t>
      </w:r>
    </w:p>
    <w:p>
      <w:pPr>
        <w:tabs>
          <w:tab w:val="left" w:pos="6825"/>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身份证号码：</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p>
    <w:p>
      <w:pPr>
        <w:tabs>
          <w:tab w:val="left" w:pos="4005"/>
          <w:tab w:val="left" w:pos="4100"/>
          <w:tab w:val="left" w:pos="5040"/>
        </w:tabs>
        <w:autoSpaceDE w:val="0"/>
        <w:autoSpaceDN w:val="0"/>
        <w:adjustRightInd w:val="0"/>
        <w:snapToGrid w:val="0"/>
        <w:spacing w:line="360" w:lineRule="exact"/>
        <w:ind w:firstLine="1200" w:firstLineChars="200"/>
        <w:jc w:val="left"/>
        <w:rPr>
          <w:rFonts w:ascii="仿宋" w:hAnsi="仿宋" w:eastAsia="仿宋" w:cs="仿宋"/>
          <w:kern w:val="0"/>
          <w:sz w:val="30"/>
          <w:szCs w:val="30"/>
        </w:rPr>
      </w:pP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年</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月</w:t>
      </w:r>
      <w:r>
        <w:rPr>
          <w:rFonts w:hint="eastAsia" w:ascii="仿宋" w:hAnsi="仿宋" w:eastAsia="仿宋" w:cs="仿宋"/>
          <w:w w:val="200"/>
          <w:kern w:val="0"/>
          <w:sz w:val="30"/>
          <w:szCs w:val="30"/>
          <w:u w:val="single"/>
        </w:rPr>
        <w:t xml:space="preserve"> </w:t>
      </w:r>
      <w:r>
        <w:rPr>
          <w:rFonts w:hint="eastAsia" w:ascii="仿宋" w:hAnsi="仿宋" w:eastAsia="仿宋" w:cs="仿宋"/>
          <w:kern w:val="0"/>
          <w:sz w:val="30"/>
          <w:szCs w:val="30"/>
          <w:u w:val="single"/>
        </w:rPr>
        <w:tab/>
      </w:r>
      <w:r>
        <w:rPr>
          <w:rFonts w:hint="eastAsia" w:ascii="仿宋" w:hAnsi="仿宋" w:eastAsia="仿宋" w:cs="仿宋"/>
          <w:kern w:val="0"/>
          <w:sz w:val="30"/>
          <w:szCs w:val="30"/>
        </w:rPr>
        <w:t>日</w:t>
      </w:r>
    </w:p>
    <w:p>
      <w:pPr>
        <w:tabs>
          <w:tab w:val="left" w:pos="4005"/>
          <w:tab w:val="left" w:pos="4100"/>
          <w:tab w:val="left" w:pos="5040"/>
        </w:tabs>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注：法定代表人参加竞争性比选活动并签署文件的不需要授权委托书，只需提供法定代表人身份证明书；非法定代表人参加竞争性比选活动并签署文件的须提供授权委托书。</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r>
        <w:rPr>
          <w:rFonts w:hint="eastAsia" w:ascii="仿宋" w:hAnsi="仿宋" w:eastAsia="仿宋" w:cs="仿宋"/>
          <w:kern w:val="0"/>
          <w:sz w:val="30"/>
          <w:szCs w:val="30"/>
        </w:rPr>
        <w:t xml:space="preserve"> </w:t>
      </w: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pPr>
    </w:p>
    <w:p>
      <w:pPr>
        <w:autoSpaceDE w:val="0"/>
        <w:autoSpaceDN w:val="0"/>
        <w:adjustRightInd w:val="0"/>
        <w:snapToGrid w:val="0"/>
        <w:spacing w:line="360" w:lineRule="exact"/>
        <w:ind w:firstLine="600" w:firstLineChars="200"/>
        <w:jc w:val="left"/>
        <w:rPr>
          <w:rFonts w:ascii="仿宋" w:hAnsi="仿宋" w:eastAsia="仿宋" w:cs="仿宋"/>
          <w:kern w:val="0"/>
          <w:sz w:val="30"/>
          <w:szCs w:val="30"/>
        </w:rPr>
        <w:sectPr>
          <w:footerReference r:id="rId3" w:type="default"/>
          <w:footerReference r:id="rId4" w:type="even"/>
          <w:pgSz w:w="11906" w:h="16838"/>
          <w:pgMar w:top="2098" w:right="1474" w:bottom="1984" w:left="1587" w:header="851" w:footer="992" w:gutter="0"/>
          <w:paperSrc/>
          <w:pgNumType w:fmt="numberInDash"/>
          <w:cols w:space="0" w:num="1"/>
          <w:rtlGutter w:val="0"/>
          <w:docGrid w:type="lines" w:linePitch="315" w:charSpace="0"/>
        </w:sectPr>
      </w:pPr>
    </w:p>
    <w:p>
      <w:pPr>
        <w:rPr>
          <w:rFonts w:ascii="仿宋" w:hAnsi="仿宋" w:eastAsia="仿宋" w:cs="仿宋"/>
          <w:b/>
          <w:bCs/>
          <w:sz w:val="30"/>
          <w:szCs w:val="30"/>
        </w:rPr>
      </w:pPr>
      <w:r>
        <w:rPr>
          <w:rFonts w:hint="eastAsia" w:ascii="仿宋" w:hAnsi="仿宋" w:eastAsia="仿宋" w:cs="仿宋"/>
          <w:b/>
          <w:bCs/>
          <w:sz w:val="30"/>
          <w:szCs w:val="30"/>
        </w:rPr>
        <w:t>附件5：</w:t>
      </w:r>
    </w:p>
    <w:p>
      <w:pPr>
        <w:jc w:val="left"/>
        <w:rPr>
          <w:rFonts w:hint="eastAsia" w:ascii="仿宋" w:hAnsi="仿宋" w:eastAsia="仿宋" w:cs="仿宋"/>
          <w:sz w:val="30"/>
          <w:szCs w:val="30"/>
          <w:lang w:eastAsia="zh-CN"/>
        </w:rPr>
      </w:pPr>
      <w:r>
        <w:rPr>
          <w:rFonts w:hint="eastAsia" w:ascii="仿宋" w:hAnsi="仿宋" w:eastAsia="仿宋" w:cs="仿宋"/>
          <w:sz w:val="30"/>
          <w:szCs w:val="30"/>
        </w:rPr>
        <w:t>参与投标单位的营业执照</w:t>
      </w:r>
      <w:r>
        <w:rPr>
          <w:rFonts w:hint="eastAsia" w:ascii="仿宋" w:hAnsi="仿宋" w:eastAsia="仿宋" w:cs="仿宋"/>
          <w:sz w:val="30"/>
          <w:szCs w:val="30"/>
          <w:lang w:eastAsia="zh-CN"/>
        </w:rPr>
        <w:t>。</w:t>
      </w: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b/>
          <w:bCs/>
          <w:sz w:val="30"/>
          <w:szCs w:val="30"/>
        </w:rPr>
      </w:pPr>
      <w:r>
        <w:rPr>
          <w:rFonts w:hint="eastAsia" w:ascii="仿宋" w:hAnsi="仿宋" w:eastAsia="仿宋" w:cs="仿宋"/>
          <w:b/>
          <w:bCs/>
          <w:sz w:val="30"/>
          <w:szCs w:val="30"/>
        </w:rPr>
        <w:t>附件6：</w:t>
      </w:r>
    </w:p>
    <w:p>
      <w:pPr>
        <w:rPr>
          <w:rFonts w:ascii="仿宋" w:hAnsi="仿宋" w:eastAsia="仿宋" w:cs="仿宋"/>
          <w:sz w:val="30"/>
          <w:szCs w:val="30"/>
        </w:rPr>
      </w:pPr>
      <w:r>
        <w:rPr>
          <w:rFonts w:hint="eastAsia" w:ascii="仿宋" w:hAnsi="仿宋" w:eastAsia="仿宋" w:cs="仿宋"/>
          <w:sz w:val="30"/>
          <w:szCs w:val="30"/>
        </w:rPr>
        <w:t>参与投标单位的</w:t>
      </w:r>
      <w:r>
        <w:rPr>
          <w:rFonts w:hint="eastAsia" w:ascii="仿宋" w:hAnsi="仿宋" w:eastAsia="仿宋" w:cs="仿宋"/>
          <w:sz w:val="30"/>
          <w:szCs w:val="30"/>
          <w:lang w:eastAsia="zh-CN"/>
        </w:rPr>
        <w:t>基本存款账户信息</w:t>
      </w:r>
    </w:p>
    <w:p>
      <w:pPr>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ind w:firstLine="1650" w:firstLineChars="550"/>
        <w:rPr>
          <w:rFonts w:ascii="仿宋" w:hAnsi="仿宋" w:eastAsia="仿宋" w:cs="仿宋"/>
          <w:sz w:val="30"/>
          <w:szCs w:val="30"/>
        </w:rPr>
      </w:pPr>
    </w:p>
    <w:p>
      <w:pPr>
        <w:pStyle w:val="2"/>
        <w:rPr>
          <w:rFonts w:ascii="仿宋" w:hAnsi="仿宋" w:eastAsia="仿宋" w:cs="仿宋"/>
          <w:sz w:val="30"/>
          <w:szCs w:val="30"/>
        </w:rPr>
      </w:pPr>
    </w:p>
    <w:p/>
    <w:p>
      <w:pPr>
        <w:rPr>
          <w:rFonts w:ascii="仿宋" w:hAnsi="仿宋" w:eastAsia="仿宋" w:cs="仿宋"/>
          <w:sz w:val="30"/>
          <w:szCs w:val="30"/>
        </w:rPr>
      </w:pPr>
    </w:p>
    <w:p>
      <w:pPr>
        <w:rPr>
          <w:rFonts w:hint="eastAsia" w:ascii="仿宋" w:hAnsi="仿宋" w:eastAsia="仿宋" w:cs="仿宋"/>
          <w:b/>
          <w:bCs/>
          <w:sz w:val="30"/>
          <w:szCs w:val="30"/>
        </w:rPr>
      </w:pPr>
      <w:r>
        <w:rPr>
          <w:rFonts w:hint="eastAsia" w:ascii="仿宋" w:hAnsi="仿宋" w:eastAsia="仿宋" w:cs="仿宋"/>
          <w:b/>
          <w:bCs/>
          <w:sz w:val="30"/>
          <w:szCs w:val="30"/>
        </w:rPr>
        <w:t>附件</w:t>
      </w:r>
      <w:r>
        <w:rPr>
          <w:rFonts w:hint="eastAsia" w:ascii="仿宋" w:hAnsi="仿宋" w:eastAsia="仿宋" w:cs="仿宋"/>
          <w:b/>
          <w:bCs/>
          <w:sz w:val="30"/>
          <w:szCs w:val="30"/>
          <w:lang w:val="en-US" w:eastAsia="zh-CN"/>
        </w:rPr>
        <w:t>7</w:t>
      </w:r>
      <w:r>
        <w:rPr>
          <w:rFonts w:hint="eastAsia" w:ascii="仿宋" w:hAnsi="仿宋" w:eastAsia="仿宋" w:cs="仿宋"/>
          <w:b/>
          <w:bCs/>
          <w:sz w:val="30"/>
          <w:szCs w:val="30"/>
        </w:rPr>
        <w:t>：</w:t>
      </w:r>
    </w:p>
    <w:tbl>
      <w:tblPr>
        <w:tblStyle w:val="14"/>
        <w:tblW w:w="8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78"/>
        <w:gridCol w:w="3515"/>
        <w:gridCol w:w="656"/>
        <w:gridCol w:w="1206"/>
        <w:gridCol w:w="1076"/>
        <w:gridCol w:w="10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12"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40"/>
                <w:szCs w:val="40"/>
                <w:u w:val="none"/>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55" w:type="dxa"/>
            <w:gridSpan w:val="4"/>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标段： 路基回填、路面铺装</w:t>
            </w:r>
          </w:p>
        </w:tc>
        <w:tc>
          <w:tcPr>
            <w:tcW w:w="2161"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第100章  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子目号</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  目  名  称</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单位</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数量</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单价</w:t>
            </w: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工程管理</w:t>
            </w:r>
            <w:bookmarkStart w:id="1" w:name="_GoBack"/>
            <w:bookmarkEnd w:id="1"/>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102-2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安全生产费</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总额</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1.000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 100 章合计   人民币</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367" w:type="dxa"/>
            <w:gridSpan w:val="3"/>
            <w:tcBorders>
              <w:top w:val="single" w:color="auto" w:sz="4" w:space="0"/>
              <w:left w:val="single" w:color="auto" w:sz="4" w:space="0"/>
              <w:bottom w:val="single" w:color="auto" w:sz="4" w:space="0"/>
              <w:right w:val="single" w:color="auto" w:sz="12"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snapToGrid w:val="0"/>
              <w:jc w:val="lef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snapToGrid w:val="0"/>
              <w:jc w:val="lef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40"/>
                <w:szCs w:val="40"/>
                <w:u w:val="none"/>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55" w:type="dxa"/>
            <w:gridSpan w:val="4"/>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标段： 路基回填、路面铺装</w:t>
            </w:r>
          </w:p>
        </w:tc>
        <w:tc>
          <w:tcPr>
            <w:tcW w:w="2161"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第200章  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子目号</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  目  名  称</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单位</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数量</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单价</w:t>
            </w: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204</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填方路基</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204-1</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路基填筑（包括填前压实）</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-c</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40厚片块石回填</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m3</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48.000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left"/>
              <w:rPr>
                <w:rFonts w:hint="eastAsia" w:ascii="方正仿宋_GB2312" w:hAnsi="方正仿宋_GB2312" w:eastAsia="方正仿宋_GB2312" w:cs="方正仿宋_GB2312"/>
                <w:i w:val="0"/>
                <w:iCs w:val="0"/>
                <w:color w:val="000000"/>
                <w:sz w:val="21"/>
                <w:szCs w:val="21"/>
                <w:u w:val="none"/>
              </w:rPr>
            </w:pP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 200 章合计   人民币</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367" w:type="dxa"/>
            <w:gridSpan w:val="3"/>
            <w:tcBorders>
              <w:top w:val="single" w:color="auto" w:sz="4" w:space="0"/>
              <w:left w:val="single" w:color="auto" w:sz="4" w:space="0"/>
              <w:bottom w:val="single" w:color="auto" w:sz="4" w:space="0"/>
              <w:right w:val="single" w:color="auto" w:sz="12"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snapToGrid w:val="0"/>
              <w:jc w:val="left"/>
              <w:rPr>
                <w:rFonts w:hint="eastAsia" w:ascii="方正仿宋_GB2312" w:hAnsi="方正仿宋_GB2312" w:eastAsia="方正仿宋_GB2312" w:cs="方正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snapToGrid w:val="0"/>
              <w:jc w:val="left"/>
              <w:rPr>
                <w:rFonts w:hint="eastAsia" w:ascii="方正仿宋_GB2312" w:hAnsi="方正仿宋_GB2312" w:eastAsia="方正仿宋_GB2312" w:cs="方正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b/>
                <w:bCs/>
                <w:i w:val="0"/>
                <w:iCs w:val="0"/>
                <w:color w:val="000000"/>
                <w:sz w:val="40"/>
                <w:szCs w:val="40"/>
                <w:u w:val="none"/>
              </w:rPr>
            </w:pPr>
            <w:r>
              <w:rPr>
                <w:rFonts w:hint="eastAsia" w:ascii="方正仿宋_GB2312" w:hAnsi="方正仿宋_GB2312" w:eastAsia="方正仿宋_GB2312" w:cs="方正仿宋_GB2312"/>
                <w:b/>
                <w:bCs/>
                <w:i w:val="0"/>
                <w:iCs w:val="0"/>
                <w:color w:val="000000"/>
                <w:kern w:val="0"/>
                <w:sz w:val="40"/>
                <w:szCs w:val="40"/>
                <w:u w:val="none"/>
                <w:lang w:val="en-US" w:eastAsia="zh-CN" w:bidi="ar"/>
              </w:rPr>
              <w:t>工程量清单表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355" w:type="dxa"/>
            <w:gridSpan w:val="4"/>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标段： 路基回填、路面铺装</w:t>
            </w:r>
          </w:p>
        </w:tc>
        <w:tc>
          <w:tcPr>
            <w:tcW w:w="2161" w:type="dxa"/>
            <w:gridSpan w:val="2"/>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lef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货币单位： 人民币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16" w:type="dxa"/>
            <w:gridSpan w:val="6"/>
            <w:tcBorders>
              <w:top w:val="single" w:color="auto" w:sz="4" w:space="0"/>
              <w:left w:val="single" w:color="auto" w:sz="12"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第300章  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子目号</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子  目  名  称</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单位</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数量</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单价</w:t>
            </w: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center"/>
          </w:tcPr>
          <w:p>
            <w:pPr>
              <w:keepNext w:val="0"/>
              <w:keepLines w:val="0"/>
              <w:widowControl/>
              <w:suppressLineNumbers w:val="0"/>
              <w:snapToGrid w:val="0"/>
              <w:jc w:val="center"/>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308</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透层、粘层和封层</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308-2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粘层</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-a</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乳化沥青</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m2</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420.000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309</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沥青混凝土面层</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309-2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改性沥青混凝土面层</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-a</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5cm厚AC-10C改性沥青混凝土</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m2</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420.000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水泥混凝土面板</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312-1</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35cm厚C30普通水泥混凝土面板</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m3</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21.000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312</w:t>
            </w:r>
          </w:p>
        </w:tc>
        <w:tc>
          <w:tcPr>
            <w:tcW w:w="3515"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lef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水泥混凝土面板铣刨10公分</w:t>
            </w:r>
          </w:p>
        </w:tc>
        <w:tc>
          <w:tcPr>
            <w:tcW w:w="65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center"/>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m2</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bottom"/>
          </w:tcPr>
          <w:p>
            <w:pPr>
              <w:keepNext w:val="0"/>
              <w:keepLines w:val="0"/>
              <w:widowControl/>
              <w:suppressLineNumbers w:val="0"/>
              <w:snapToGrid w:val="0"/>
              <w:jc w:val="right"/>
              <w:textAlignment w:val="bottom"/>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24.500</w:t>
            </w:r>
          </w:p>
        </w:tc>
        <w:tc>
          <w:tcPr>
            <w:tcW w:w="1076" w:type="dxa"/>
            <w:tcBorders>
              <w:top w:val="single" w:color="auto" w:sz="4" w:space="0"/>
              <w:left w:val="single" w:color="auto" w:sz="4" w:space="0"/>
              <w:bottom w:val="single" w:color="auto" w:sz="4" w:space="0"/>
              <w:right w:val="single" w:color="auto" w:sz="4"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c>
          <w:tcPr>
            <w:tcW w:w="1085" w:type="dxa"/>
            <w:tcBorders>
              <w:top w:val="single" w:color="auto" w:sz="4" w:space="0"/>
              <w:left w:val="single" w:color="auto" w:sz="4" w:space="0"/>
              <w:bottom w:val="single" w:color="auto" w:sz="4" w:space="0"/>
              <w:right w:val="single" w:color="auto" w:sz="12" w:space="0"/>
            </w:tcBorders>
            <w:shd w:val="clear" w:color="auto" w:fill="auto"/>
            <w:noWrap/>
            <w:vAlign w:val="bottom"/>
          </w:tcPr>
          <w:p>
            <w:pPr>
              <w:snapToGrid w:val="0"/>
              <w:jc w:val="right"/>
              <w:rPr>
                <w:rFonts w:hint="eastAsia" w:ascii="方正仿宋_GB2312" w:hAnsi="方正仿宋_GB2312" w:eastAsia="方正仿宋_GB2312" w:cs="方正仿宋_GB2312"/>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78" w:type="dxa"/>
            <w:tcBorders>
              <w:top w:val="single" w:color="auto" w:sz="4" w:space="0"/>
              <w:left w:val="single" w:color="auto" w:sz="12" w:space="0"/>
              <w:bottom w:val="single" w:color="auto" w:sz="12"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515" w:type="dxa"/>
            <w:tcBorders>
              <w:top w:val="single" w:color="auto" w:sz="4" w:space="0"/>
              <w:left w:val="single" w:color="auto" w:sz="4" w:space="0"/>
              <w:bottom w:val="single" w:color="auto" w:sz="12" w:space="0"/>
              <w:right w:val="single" w:color="auto" w:sz="4" w:space="0"/>
            </w:tcBorders>
            <w:shd w:val="clear" w:color="auto" w:fill="auto"/>
            <w:noWrap/>
            <w:vAlign w:val="center"/>
          </w:tcPr>
          <w:p>
            <w:pPr>
              <w:keepNext w:val="0"/>
              <w:keepLines w:val="0"/>
              <w:widowControl/>
              <w:suppressLineNumbers w:val="0"/>
              <w:snapToGrid w:val="0"/>
              <w:jc w:val="right"/>
              <w:textAlignment w:val="center"/>
              <w:rPr>
                <w:rFonts w:hint="eastAsia" w:ascii="方正仿宋_GB2312" w:hAnsi="方正仿宋_GB2312" w:eastAsia="方正仿宋_GB2312" w:cs="方正仿宋_GB2312"/>
                <w:i w:val="0"/>
                <w:iCs w:val="0"/>
                <w:color w:val="000000"/>
                <w:sz w:val="21"/>
                <w:szCs w:val="21"/>
                <w:u w:val="none"/>
              </w:rPr>
            </w:pPr>
            <w:r>
              <w:rPr>
                <w:rFonts w:hint="eastAsia" w:ascii="方正仿宋_GB2312" w:hAnsi="方正仿宋_GB2312" w:eastAsia="方正仿宋_GB2312" w:cs="方正仿宋_GB2312"/>
                <w:i w:val="0"/>
                <w:iCs w:val="0"/>
                <w:color w:val="000000"/>
                <w:kern w:val="0"/>
                <w:sz w:val="21"/>
                <w:szCs w:val="21"/>
                <w:u w:val="none"/>
                <w:lang w:val="en-US" w:eastAsia="zh-CN" w:bidi="ar"/>
              </w:rPr>
              <w:t>清单  第 300 章合计   人民币</w:t>
            </w:r>
          </w:p>
        </w:tc>
        <w:tc>
          <w:tcPr>
            <w:tcW w:w="656" w:type="dxa"/>
            <w:tcBorders>
              <w:top w:val="single" w:color="auto" w:sz="4" w:space="0"/>
              <w:left w:val="single" w:color="auto" w:sz="4" w:space="0"/>
              <w:bottom w:val="single" w:color="auto" w:sz="12" w:space="0"/>
              <w:right w:val="single" w:color="auto" w:sz="4"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c>
          <w:tcPr>
            <w:tcW w:w="3367" w:type="dxa"/>
            <w:gridSpan w:val="3"/>
            <w:tcBorders>
              <w:top w:val="single" w:color="auto" w:sz="4" w:space="0"/>
              <w:left w:val="single" w:color="auto" w:sz="4" w:space="0"/>
              <w:bottom w:val="single" w:color="auto" w:sz="12" w:space="0"/>
              <w:right w:val="single" w:color="auto" w:sz="12" w:space="0"/>
            </w:tcBorders>
            <w:shd w:val="clear" w:color="auto" w:fill="auto"/>
            <w:noWrap/>
            <w:vAlign w:val="center"/>
          </w:tcPr>
          <w:p>
            <w:pPr>
              <w:snapToGrid w:val="0"/>
              <w:jc w:val="center"/>
              <w:rPr>
                <w:rFonts w:hint="eastAsia" w:ascii="方正仿宋_GB2312" w:hAnsi="方正仿宋_GB2312" w:eastAsia="方正仿宋_GB2312" w:cs="方正仿宋_GB2312"/>
                <w:i w:val="0"/>
                <w:iCs w:val="0"/>
                <w:color w:val="000000"/>
                <w:sz w:val="21"/>
                <w:szCs w:val="21"/>
                <w:u w:val="none"/>
              </w:rPr>
            </w:pPr>
          </w:p>
        </w:tc>
      </w:tr>
    </w:tbl>
    <w:p>
      <w:pPr>
        <w:pStyle w:val="2"/>
        <w:rPr>
          <w:rFonts w:hint="eastAsia" w:ascii="方正仿宋_GB2312" w:hAnsi="方正仿宋_GB2312" w:eastAsia="方正仿宋_GB2312" w:cs="方正仿宋_GB2312"/>
        </w:rPr>
      </w:pPr>
    </w:p>
    <w:p>
      <w:pPr>
        <w:pStyle w:val="2"/>
      </w:pPr>
    </w:p>
    <w:sectPr>
      <w:headerReference r:id="rId5" w:type="default"/>
      <w:footerReference r:id="rId6" w:type="default"/>
      <w:footerReference r:id="rId7" w:type="even"/>
      <w:pgSz w:w="11906" w:h="16838"/>
      <w:pgMar w:top="2098" w:right="1474" w:bottom="1984" w:left="1587"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4C3584-FC90-436D-969F-B9886954E6C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4AB93951-93C1-4F59-92CA-26CDCCE9EE8B}"/>
  </w:font>
  <w:font w:name="方正小标宋_GBK">
    <w:panose1 w:val="03000509000000000000"/>
    <w:charset w:val="86"/>
    <w:family w:val="script"/>
    <w:pitch w:val="default"/>
    <w:sig w:usb0="00000001" w:usb1="080E0000" w:usb2="00000000" w:usb3="00000000" w:csb0="00040000" w:csb1="00000000"/>
    <w:embedRegular r:id="rId3" w:fontKey="{4D08F05F-3CEB-4EFC-AE7F-843E16DCFFFD}"/>
  </w:font>
  <w:font w:name="Arial Unicode MS">
    <w:altName w:val="宋体"/>
    <w:panose1 w:val="020B0604020202020204"/>
    <w:charset w:val="86"/>
    <w:family w:val="swiss"/>
    <w:pitch w:val="default"/>
    <w:sig w:usb0="00000000" w:usb1="00000000" w:usb2="0000003F" w:usb3="00000000" w:csb0="603F01FF" w:csb1="FFFF0000"/>
    <w:embedRegular r:id="rId4" w:fontKey="{B71DD0E5-691D-4E7E-88A3-D7F7C0D138AA}"/>
  </w:font>
  <w:font w:name="仿宋">
    <w:panose1 w:val="02010609060101010101"/>
    <w:charset w:val="86"/>
    <w:family w:val="modern"/>
    <w:pitch w:val="default"/>
    <w:sig w:usb0="800002BF" w:usb1="38CF7CFA" w:usb2="00000016" w:usb3="00000000" w:csb0="00040001" w:csb1="00000000"/>
    <w:embedRegular r:id="rId5" w:fontKey="{DF251AF8-2F63-427E-B40B-BACB05F489D0}"/>
  </w:font>
  <w:font w:name="方正仿宋_GB2312">
    <w:altName w:val="仿宋"/>
    <w:panose1 w:val="02000000000000000000"/>
    <w:charset w:val="86"/>
    <w:family w:val="auto"/>
    <w:pitch w:val="default"/>
    <w:sig w:usb0="00000000" w:usb1="00000000" w:usb2="00000012" w:usb3="00000000" w:csb0="00040001" w:csb1="00000000"/>
    <w:embedRegular r:id="rId6" w:fontKey="{22848AB6-6846-46CB-B3D0-56BCEB02ECD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8ODr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MR8ODrDAgAA2AUAAA4AAAAA&#10;AAAAAQAgAAAAHwEAAGRycy9lMm9Eb2MueG1sUEsFBgAAAAAGAAYAWQEAAFQGAAAAAA==&#10;">
              <v:fill on="f" focussize="0,0"/>
              <v:stroke on="f" weight="0.5pt"/>
              <v:imagedata o:title=""/>
              <o:lock v:ext="edit" aspectratio="f"/>
              <v:textbox inset="0mm,0mm,0mm,0mm" style="mso-fit-shape-to-text:t;">
                <w:txbxContent>
                  <w:p>
                    <w:pPr>
                      <w:pStyle w:val="9"/>
                      <w:rPr>
                        <w:rFonts w:hint="eastAsia" w:eastAsia="宋体"/>
                        <w:sz w:val="32"/>
                        <w:szCs w:val="32"/>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- 1 -</w:t>
                    </w:r>
                    <w:r>
                      <w:rPr>
                        <w:rFonts w:hint="eastAsia"/>
                        <w:sz w:val="32"/>
                        <w:szCs w:val="32"/>
                        <w:lang w:eastAsia="zh-CN"/>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5764"/>
        <w:tab w:val="clear" w:pos="4153"/>
      </w:tabs>
      <w:rPr>
        <w:rFonts w:asciiTheme="minorEastAsia" w:hAnsiTheme="minorEastAsia" w:eastAsia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- 2 -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DBp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JJDBpDDAgAA2AUAAA4AAAAA&#10;AAAAAQAgAAAAHwEAAGRycy9lMm9Eb2MueG1sUEsFBgAAAAAGAAYAWQEAAFQG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- 2 -</w:t>
                    </w:r>
                    <w:r>
                      <w:rPr>
                        <w:rFonts w:hint="eastAsia"/>
                        <w:sz w:val="32"/>
                        <w:szCs w:val="32"/>
                        <w:lang w:eastAsia="zh-CN"/>
                      </w:rPr>
                      <w:fldChar w:fldCharType="end"/>
                    </w:r>
                  </w:p>
                </w:txbxContent>
              </v:textbox>
            </v:shape>
          </w:pict>
        </mc:Fallback>
      </mc:AlternateContent>
    </w:r>
    <w:r>
      <w:rPr>
        <w:rFonts w:hint="eastAsia" w:asciiTheme="minorEastAsia" w:hAnsiTheme="minorEastAsia" w:eastAsiaTheme="minorEastAsia"/>
        <w:sz w:val="28"/>
        <w:szCs w:val="28"/>
        <w:lang w:eastAsia="zh-CN"/>
      </w:rPr>
      <w:tab/>
    </w:r>
  </w:p>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- 13 -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LLzXnDDAgAA2AUAAA4AAAAA&#10;AAAAAQAgAAAAHwEAAGRycy9lMm9Eb2MueG1sUEsFBgAAAAAGAAYAWQEAAFQG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- 13 -</w:t>
                    </w:r>
                    <w:r>
                      <w:rPr>
                        <w:rFonts w:hint="eastAsia"/>
                        <w:sz w:val="32"/>
                        <w:szCs w:val="3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宋体"/>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- 12 -</w:t>
                          </w:r>
                          <w:r>
                            <w:rPr>
                              <w:rFonts w:hint="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OTMYNrDAgAA2AUAAA4AAAAA&#10;AAAAAQAgAAAAHwEAAGRycy9lMm9Eb2MueG1sUEsFBgAAAAAGAAYAWQEAAFQGAAAAAA==&#10;">
              <v:fill on="f" focussize="0,0"/>
              <v:stroke on="f" weight="0.5pt"/>
              <v:imagedata o:title=""/>
              <o:lock v:ext="edit" aspectratio="f"/>
              <v:textbox inset="0mm,0mm,0mm,0mm" style="mso-fit-shape-to-text:t;">
                <w:txbxContent>
                  <w:p>
                    <w:pPr>
                      <w:pStyle w:val="9"/>
                      <w:rPr>
                        <w:rFonts w:hint="eastAsia" w:eastAsia="宋体"/>
                        <w:lang w:eastAsia="zh-CN"/>
                      </w:rPr>
                    </w:pPr>
                    <w:r>
                      <w:rPr>
                        <w:rFonts w:hint="eastAsia"/>
                        <w:sz w:val="32"/>
                        <w:szCs w:val="32"/>
                        <w:lang w:eastAsia="zh-CN"/>
                      </w:rPr>
                      <w:fldChar w:fldCharType="begin"/>
                    </w:r>
                    <w:r>
                      <w:rPr>
                        <w:rFonts w:hint="eastAsia"/>
                        <w:sz w:val="32"/>
                        <w:szCs w:val="32"/>
                        <w:lang w:eastAsia="zh-CN"/>
                      </w:rPr>
                      <w:instrText xml:space="preserve"> PAGE  \* MERGEFORMAT </w:instrText>
                    </w:r>
                    <w:r>
                      <w:rPr>
                        <w:rFonts w:hint="eastAsia"/>
                        <w:sz w:val="32"/>
                        <w:szCs w:val="32"/>
                        <w:lang w:eastAsia="zh-CN"/>
                      </w:rPr>
                      <w:fldChar w:fldCharType="separate"/>
                    </w:r>
                    <w:r>
                      <w:rPr>
                        <w:rFonts w:hint="eastAsia"/>
                        <w:sz w:val="32"/>
                        <w:szCs w:val="32"/>
                        <w:lang w:eastAsia="zh-CN"/>
                      </w:rPr>
                      <w:t>- 12 -</w:t>
                    </w:r>
                    <w:r>
                      <w:rPr>
                        <w:rFonts w:hint="eastAsia"/>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upperLetter"/>
      <w:pStyle w:val="5"/>
      <w:lvlText w:val="%1、"/>
      <w:lvlJc w:val="left"/>
      <w:pPr>
        <w:tabs>
          <w:tab w:val="left" w:pos="4121"/>
        </w:tabs>
        <w:ind w:left="4121" w:hanging="480"/>
      </w:pPr>
      <w:rPr>
        <w:rFonts w:hint="eastAsia"/>
      </w:rPr>
    </w:lvl>
  </w:abstractNum>
  <w:abstractNum w:abstractNumId="1">
    <w:nsid w:val="4886EDDA"/>
    <w:multiLevelType w:val="singleLevel"/>
    <w:tmpl w:val="4886EDDA"/>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8"/>
  <w:displayHorizontalDrawingGridEvery w:val="1"/>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Y2U1YzViZWQwNTUzOGQ0NjdkOWEzNmZlNGUzNGUifQ=="/>
  </w:docVars>
  <w:rsids>
    <w:rsidRoot w:val="00172A27"/>
    <w:rsid w:val="00011661"/>
    <w:rsid w:val="00015D38"/>
    <w:rsid w:val="00025532"/>
    <w:rsid w:val="00050B32"/>
    <w:rsid w:val="00051436"/>
    <w:rsid w:val="000621C5"/>
    <w:rsid w:val="00081454"/>
    <w:rsid w:val="00085793"/>
    <w:rsid w:val="0009125D"/>
    <w:rsid w:val="000915BC"/>
    <w:rsid w:val="000B1D6D"/>
    <w:rsid w:val="000C14B1"/>
    <w:rsid w:val="000F45C9"/>
    <w:rsid w:val="00105DC2"/>
    <w:rsid w:val="001440F5"/>
    <w:rsid w:val="0015523E"/>
    <w:rsid w:val="00167920"/>
    <w:rsid w:val="00172A27"/>
    <w:rsid w:val="001765C6"/>
    <w:rsid w:val="00196B96"/>
    <w:rsid w:val="0019756A"/>
    <w:rsid w:val="001A35F6"/>
    <w:rsid w:val="001B5D7C"/>
    <w:rsid w:val="001C3187"/>
    <w:rsid w:val="001C6A56"/>
    <w:rsid w:val="001D15BC"/>
    <w:rsid w:val="001D43B6"/>
    <w:rsid w:val="001E2ED5"/>
    <w:rsid w:val="001F57F4"/>
    <w:rsid w:val="001F7B59"/>
    <w:rsid w:val="002143F5"/>
    <w:rsid w:val="00273DEA"/>
    <w:rsid w:val="002855FE"/>
    <w:rsid w:val="002870F6"/>
    <w:rsid w:val="00294E9A"/>
    <w:rsid w:val="002A35FC"/>
    <w:rsid w:val="002B1726"/>
    <w:rsid w:val="002C1E41"/>
    <w:rsid w:val="002C37FE"/>
    <w:rsid w:val="002D544C"/>
    <w:rsid w:val="002F6259"/>
    <w:rsid w:val="002F794F"/>
    <w:rsid w:val="00312257"/>
    <w:rsid w:val="00330C7B"/>
    <w:rsid w:val="00341D11"/>
    <w:rsid w:val="003429F0"/>
    <w:rsid w:val="00345E96"/>
    <w:rsid w:val="0035050C"/>
    <w:rsid w:val="0036011D"/>
    <w:rsid w:val="00374B75"/>
    <w:rsid w:val="00396725"/>
    <w:rsid w:val="003C5BFD"/>
    <w:rsid w:val="003D4A41"/>
    <w:rsid w:val="003D64AA"/>
    <w:rsid w:val="003E2557"/>
    <w:rsid w:val="003F24E1"/>
    <w:rsid w:val="003F5CE8"/>
    <w:rsid w:val="00410F66"/>
    <w:rsid w:val="00425B9D"/>
    <w:rsid w:val="00463850"/>
    <w:rsid w:val="004B57D3"/>
    <w:rsid w:val="004C0ACF"/>
    <w:rsid w:val="00501FB9"/>
    <w:rsid w:val="00503053"/>
    <w:rsid w:val="00521A82"/>
    <w:rsid w:val="00531E9C"/>
    <w:rsid w:val="00535196"/>
    <w:rsid w:val="0053542C"/>
    <w:rsid w:val="00543CF8"/>
    <w:rsid w:val="005447D5"/>
    <w:rsid w:val="00556194"/>
    <w:rsid w:val="00564E78"/>
    <w:rsid w:val="0058737D"/>
    <w:rsid w:val="005937A9"/>
    <w:rsid w:val="00594B28"/>
    <w:rsid w:val="005969BD"/>
    <w:rsid w:val="00596A72"/>
    <w:rsid w:val="005A181A"/>
    <w:rsid w:val="005A3BF8"/>
    <w:rsid w:val="005B158D"/>
    <w:rsid w:val="005C08D6"/>
    <w:rsid w:val="005C4621"/>
    <w:rsid w:val="005D7095"/>
    <w:rsid w:val="005E19BF"/>
    <w:rsid w:val="005E459E"/>
    <w:rsid w:val="005F79F1"/>
    <w:rsid w:val="006013BF"/>
    <w:rsid w:val="00627F3F"/>
    <w:rsid w:val="00634486"/>
    <w:rsid w:val="00653B41"/>
    <w:rsid w:val="00660415"/>
    <w:rsid w:val="0066504E"/>
    <w:rsid w:val="00694085"/>
    <w:rsid w:val="006A11CA"/>
    <w:rsid w:val="006C67F4"/>
    <w:rsid w:val="006E0082"/>
    <w:rsid w:val="006E36E4"/>
    <w:rsid w:val="006F54A0"/>
    <w:rsid w:val="00702847"/>
    <w:rsid w:val="00713958"/>
    <w:rsid w:val="00713D8D"/>
    <w:rsid w:val="007167A0"/>
    <w:rsid w:val="007171B3"/>
    <w:rsid w:val="007176B5"/>
    <w:rsid w:val="007342FB"/>
    <w:rsid w:val="00740392"/>
    <w:rsid w:val="007412FE"/>
    <w:rsid w:val="00741A5A"/>
    <w:rsid w:val="0075003F"/>
    <w:rsid w:val="007504E1"/>
    <w:rsid w:val="007545EE"/>
    <w:rsid w:val="00793FDE"/>
    <w:rsid w:val="007A3A8F"/>
    <w:rsid w:val="007F21D7"/>
    <w:rsid w:val="007F33F6"/>
    <w:rsid w:val="00800B74"/>
    <w:rsid w:val="00805937"/>
    <w:rsid w:val="00815EA1"/>
    <w:rsid w:val="008179DF"/>
    <w:rsid w:val="00820D1F"/>
    <w:rsid w:val="008216BF"/>
    <w:rsid w:val="00825DC8"/>
    <w:rsid w:val="008375C8"/>
    <w:rsid w:val="00844B7E"/>
    <w:rsid w:val="008522F1"/>
    <w:rsid w:val="0085575F"/>
    <w:rsid w:val="0085720C"/>
    <w:rsid w:val="00870AAB"/>
    <w:rsid w:val="00880406"/>
    <w:rsid w:val="00896506"/>
    <w:rsid w:val="008A2C5E"/>
    <w:rsid w:val="008B0A1A"/>
    <w:rsid w:val="008C3E09"/>
    <w:rsid w:val="008C48D4"/>
    <w:rsid w:val="008C7901"/>
    <w:rsid w:val="008E071A"/>
    <w:rsid w:val="008E0E97"/>
    <w:rsid w:val="008E6D7D"/>
    <w:rsid w:val="008F35CE"/>
    <w:rsid w:val="008F63A1"/>
    <w:rsid w:val="00912884"/>
    <w:rsid w:val="00937F5C"/>
    <w:rsid w:val="0094411D"/>
    <w:rsid w:val="00944625"/>
    <w:rsid w:val="00960DDA"/>
    <w:rsid w:val="0098248D"/>
    <w:rsid w:val="00990F23"/>
    <w:rsid w:val="00991C64"/>
    <w:rsid w:val="009A40DA"/>
    <w:rsid w:val="009A7542"/>
    <w:rsid w:val="009B436E"/>
    <w:rsid w:val="009B7AE4"/>
    <w:rsid w:val="009C2AD5"/>
    <w:rsid w:val="009C5E78"/>
    <w:rsid w:val="009D0FE7"/>
    <w:rsid w:val="009D6F5B"/>
    <w:rsid w:val="00A00154"/>
    <w:rsid w:val="00A10A4D"/>
    <w:rsid w:val="00A334C4"/>
    <w:rsid w:val="00A45300"/>
    <w:rsid w:val="00A528ED"/>
    <w:rsid w:val="00A54353"/>
    <w:rsid w:val="00A555F6"/>
    <w:rsid w:val="00A57C4B"/>
    <w:rsid w:val="00A719DC"/>
    <w:rsid w:val="00A8387C"/>
    <w:rsid w:val="00AA2160"/>
    <w:rsid w:val="00AB0CFB"/>
    <w:rsid w:val="00AB25D6"/>
    <w:rsid w:val="00AB5480"/>
    <w:rsid w:val="00AD0285"/>
    <w:rsid w:val="00AE33E5"/>
    <w:rsid w:val="00B02FDA"/>
    <w:rsid w:val="00B0531B"/>
    <w:rsid w:val="00B250B3"/>
    <w:rsid w:val="00B25220"/>
    <w:rsid w:val="00B3245D"/>
    <w:rsid w:val="00B3248A"/>
    <w:rsid w:val="00B338C2"/>
    <w:rsid w:val="00B52994"/>
    <w:rsid w:val="00B97FFE"/>
    <w:rsid w:val="00BD5BDF"/>
    <w:rsid w:val="00BE1BF8"/>
    <w:rsid w:val="00BE5A0F"/>
    <w:rsid w:val="00BE7396"/>
    <w:rsid w:val="00BF55C5"/>
    <w:rsid w:val="00C02CAD"/>
    <w:rsid w:val="00C112A4"/>
    <w:rsid w:val="00C20B08"/>
    <w:rsid w:val="00C31288"/>
    <w:rsid w:val="00C35A98"/>
    <w:rsid w:val="00C8089E"/>
    <w:rsid w:val="00D03947"/>
    <w:rsid w:val="00D174CD"/>
    <w:rsid w:val="00D25F69"/>
    <w:rsid w:val="00D32510"/>
    <w:rsid w:val="00D443D4"/>
    <w:rsid w:val="00D5411B"/>
    <w:rsid w:val="00D63442"/>
    <w:rsid w:val="00D65446"/>
    <w:rsid w:val="00D7488E"/>
    <w:rsid w:val="00D90324"/>
    <w:rsid w:val="00D946CE"/>
    <w:rsid w:val="00DB26D1"/>
    <w:rsid w:val="00DB41DB"/>
    <w:rsid w:val="00DB5B5E"/>
    <w:rsid w:val="00DE0F70"/>
    <w:rsid w:val="00DF0A39"/>
    <w:rsid w:val="00E0668F"/>
    <w:rsid w:val="00E37790"/>
    <w:rsid w:val="00E53E33"/>
    <w:rsid w:val="00EB087D"/>
    <w:rsid w:val="00EC22CD"/>
    <w:rsid w:val="00ED732B"/>
    <w:rsid w:val="00EF3166"/>
    <w:rsid w:val="00EF7AA8"/>
    <w:rsid w:val="00F17DE8"/>
    <w:rsid w:val="00F2243A"/>
    <w:rsid w:val="00F5021D"/>
    <w:rsid w:val="00F7721D"/>
    <w:rsid w:val="00FB3D71"/>
    <w:rsid w:val="00FB7795"/>
    <w:rsid w:val="00FD0798"/>
    <w:rsid w:val="0109608A"/>
    <w:rsid w:val="01113C6E"/>
    <w:rsid w:val="0169166D"/>
    <w:rsid w:val="021976EB"/>
    <w:rsid w:val="02233F17"/>
    <w:rsid w:val="02D64A10"/>
    <w:rsid w:val="02EE59E6"/>
    <w:rsid w:val="0312311A"/>
    <w:rsid w:val="0362424A"/>
    <w:rsid w:val="042C6EA2"/>
    <w:rsid w:val="04B6375D"/>
    <w:rsid w:val="050447DC"/>
    <w:rsid w:val="05472580"/>
    <w:rsid w:val="05872B08"/>
    <w:rsid w:val="05A53A11"/>
    <w:rsid w:val="060A62FF"/>
    <w:rsid w:val="0630588E"/>
    <w:rsid w:val="06536778"/>
    <w:rsid w:val="06956D2F"/>
    <w:rsid w:val="07CA14A5"/>
    <w:rsid w:val="0822325A"/>
    <w:rsid w:val="085326DE"/>
    <w:rsid w:val="08B135D1"/>
    <w:rsid w:val="0972342D"/>
    <w:rsid w:val="0A810935"/>
    <w:rsid w:val="0B637B91"/>
    <w:rsid w:val="0BB87CBC"/>
    <w:rsid w:val="0C0C42C1"/>
    <w:rsid w:val="0C217E03"/>
    <w:rsid w:val="0C4335F2"/>
    <w:rsid w:val="0CF24EED"/>
    <w:rsid w:val="0D4B5523"/>
    <w:rsid w:val="0D917254"/>
    <w:rsid w:val="0DB6698E"/>
    <w:rsid w:val="0DEF1D4B"/>
    <w:rsid w:val="0E6F0D9A"/>
    <w:rsid w:val="0E855450"/>
    <w:rsid w:val="0E9A7981"/>
    <w:rsid w:val="0EEF6D6E"/>
    <w:rsid w:val="0F0659C0"/>
    <w:rsid w:val="0FBD1A57"/>
    <w:rsid w:val="0FC37D14"/>
    <w:rsid w:val="0FD07376"/>
    <w:rsid w:val="10034F80"/>
    <w:rsid w:val="10556121"/>
    <w:rsid w:val="1085172C"/>
    <w:rsid w:val="1091396C"/>
    <w:rsid w:val="10B8376A"/>
    <w:rsid w:val="10E93FF4"/>
    <w:rsid w:val="1179784C"/>
    <w:rsid w:val="123744EB"/>
    <w:rsid w:val="12696DBA"/>
    <w:rsid w:val="12912D7C"/>
    <w:rsid w:val="138115CF"/>
    <w:rsid w:val="13A54CC0"/>
    <w:rsid w:val="13AC2594"/>
    <w:rsid w:val="14A51F65"/>
    <w:rsid w:val="14D22497"/>
    <w:rsid w:val="154A11EA"/>
    <w:rsid w:val="15EE7CE8"/>
    <w:rsid w:val="163213F5"/>
    <w:rsid w:val="16681770"/>
    <w:rsid w:val="16D75E00"/>
    <w:rsid w:val="17060255"/>
    <w:rsid w:val="17367A11"/>
    <w:rsid w:val="179B0A86"/>
    <w:rsid w:val="18B17C95"/>
    <w:rsid w:val="18BB4D26"/>
    <w:rsid w:val="18D327F8"/>
    <w:rsid w:val="19525E96"/>
    <w:rsid w:val="1A60184B"/>
    <w:rsid w:val="1B1718EE"/>
    <w:rsid w:val="1B300809"/>
    <w:rsid w:val="1B303BC8"/>
    <w:rsid w:val="1BB91CDC"/>
    <w:rsid w:val="1C5E475C"/>
    <w:rsid w:val="1D156908"/>
    <w:rsid w:val="1D4D0F6D"/>
    <w:rsid w:val="1D745353"/>
    <w:rsid w:val="1D7A4AAB"/>
    <w:rsid w:val="1DAB7AA8"/>
    <w:rsid w:val="1DFB5820"/>
    <w:rsid w:val="1F800546"/>
    <w:rsid w:val="1FD418E5"/>
    <w:rsid w:val="20035553"/>
    <w:rsid w:val="20746216"/>
    <w:rsid w:val="209275B0"/>
    <w:rsid w:val="20B37CA7"/>
    <w:rsid w:val="21DC574D"/>
    <w:rsid w:val="22612FE3"/>
    <w:rsid w:val="22650F70"/>
    <w:rsid w:val="23974620"/>
    <w:rsid w:val="246B77B4"/>
    <w:rsid w:val="24AE1DB8"/>
    <w:rsid w:val="24DC4DBF"/>
    <w:rsid w:val="25126A4D"/>
    <w:rsid w:val="25D45FAF"/>
    <w:rsid w:val="25DE5A49"/>
    <w:rsid w:val="277C02F8"/>
    <w:rsid w:val="27FF3BB2"/>
    <w:rsid w:val="286E1B45"/>
    <w:rsid w:val="28AB1FFA"/>
    <w:rsid w:val="29223789"/>
    <w:rsid w:val="29360E67"/>
    <w:rsid w:val="29A45055"/>
    <w:rsid w:val="2AB07A5D"/>
    <w:rsid w:val="2ADF1EAB"/>
    <w:rsid w:val="2C233C46"/>
    <w:rsid w:val="2C3C5B4F"/>
    <w:rsid w:val="2C8B2EDA"/>
    <w:rsid w:val="2D28375F"/>
    <w:rsid w:val="2DB76936"/>
    <w:rsid w:val="2DB81602"/>
    <w:rsid w:val="2DEB1E8F"/>
    <w:rsid w:val="2E063A28"/>
    <w:rsid w:val="2E081EBC"/>
    <w:rsid w:val="2E2E50D0"/>
    <w:rsid w:val="2EB03D52"/>
    <w:rsid w:val="2F3E7D42"/>
    <w:rsid w:val="2F815985"/>
    <w:rsid w:val="2F9E290D"/>
    <w:rsid w:val="2FA6741D"/>
    <w:rsid w:val="30260716"/>
    <w:rsid w:val="31023C63"/>
    <w:rsid w:val="31B45AA5"/>
    <w:rsid w:val="325F3851"/>
    <w:rsid w:val="32CA3AA8"/>
    <w:rsid w:val="33972760"/>
    <w:rsid w:val="34F647B2"/>
    <w:rsid w:val="3575306A"/>
    <w:rsid w:val="359E620A"/>
    <w:rsid w:val="35B1552D"/>
    <w:rsid w:val="35B44421"/>
    <w:rsid w:val="361F50E1"/>
    <w:rsid w:val="36A049C6"/>
    <w:rsid w:val="36F02A7D"/>
    <w:rsid w:val="37503AAC"/>
    <w:rsid w:val="375B503E"/>
    <w:rsid w:val="38155D0A"/>
    <w:rsid w:val="383E2BEA"/>
    <w:rsid w:val="386D0CDB"/>
    <w:rsid w:val="38C07342"/>
    <w:rsid w:val="39102AF1"/>
    <w:rsid w:val="39733D0F"/>
    <w:rsid w:val="3A01681A"/>
    <w:rsid w:val="3A0467D6"/>
    <w:rsid w:val="3A441F3D"/>
    <w:rsid w:val="3A9D66F2"/>
    <w:rsid w:val="3ADE276E"/>
    <w:rsid w:val="3B4A4934"/>
    <w:rsid w:val="3B5953EB"/>
    <w:rsid w:val="3BA062B2"/>
    <w:rsid w:val="3BE76EE9"/>
    <w:rsid w:val="3C28399B"/>
    <w:rsid w:val="3C2C2C4C"/>
    <w:rsid w:val="3C763322"/>
    <w:rsid w:val="3CA8685C"/>
    <w:rsid w:val="3CCC2C00"/>
    <w:rsid w:val="3D1F57F7"/>
    <w:rsid w:val="3D382553"/>
    <w:rsid w:val="3DB63AD0"/>
    <w:rsid w:val="3DD75120"/>
    <w:rsid w:val="3DFF227A"/>
    <w:rsid w:val="3EEF37F5"/>
    <w:rsid w:val="3F207BC0"/>
    <w:rsid w:val="3F584EE4"/>
    <w:rsid w:val="3FB91C08"/>
    <w:rsid w:val="3FBD7831"/>
    <w:rsid w:val="3FC46777"/>
    <w:rsid w:val="40287184"/>
    <w:rsid w:val="40424794"/>
    <w:rsid w:val="40D1541C"/>
    <w:rsid w:val="41053B74"/>
    <w:rsid w:val="41176F08"/>
    <w:rsid w:val="417F6F6F"/>
    <w:rsid w:val="41D11F49"/>
    <w:rsid w:val="420F4A55"/>
    <w:rsid w:val="42603755"/>
    <w:rsid w:val="444F5D0A"/>
    <w:rsid w:val="449C0567"/>
    <w:rsid w:val="44F9171B"/>
    <w:rsid w:val="45DE3E47"/>
    <w:rsid w:val="4652041D"/>
    <w:rsid w:val="466858B4"/>
    <w:rsid w:val="471B5C65"/>
    <w:rsid w:val="47880397"/>
    <w:rsid w:val="47A732C4"/>
    <w:rsid w:val="47F57C70"/>
    <w:rsid w:val="483B5B43"/>
    <w:rsid w:val="488C4DE7"/>
    <w:rsid w:val="491F2918"/>
    <w:rsid w:val="49295EAE"/>
    <w:rsid w:val="49A60991"/>
    <w:rsid w:val="49FC52CF"/>
    <w:rsid w:val="4ACE602A"/>
    <w:rsid w:val="4B001E99"/>
    <w:rsid w:val="4B73290D"/>
    <w:rsid w:val="4C63126A"/>
    <w:rsid w:val="4C8C3BC6"/>
    <w:rsid w:val="4CB7025A"/>
    <w:rsid w:val="4CED05FB"/>
    <w:rsid w:val="4CF377B2"/>
    <w:rsid w:val="4D135469"/>
    <w:rsid w:val="4E3D5C4C"/>
    <w:rsid w:val="4EC91EE4"/>
    <w:rsid w:val="4FD423B5"/>
    <w:rsid w:val="506C6789"/>
    <w:rsid w:val="507508A0"/>
    <w:rsid w:val="50D97A67"/>
    <w:rsid w:val="50E509F0"/>
    <w:rsid w:val="51605B3D"/>
    <w:rsid w:val="518B1D9B"/>
    <w:rsid w:val="519C4D73"/>
    <w:rsid w:val="528C2B4D"/>
    <w:rsid w:val="529E6CFF"/>
    <w:rsid w:val="52A03A9E"/>
    <w:rsid w:val="52BC45E6"/>
    <w:rsid w:val="52C86235"/>
    <w:rsid w:val="531641E3"/>
    <w:rsid w:val="54113EAD"/>
    <w:rsid w:val="54244390"/>
    <w:rsid w:val="554B651C"/>
    <w:rsid w:val="55C23E61"/>
    <w:rsid w:val="55EB771F"/>
    <w:rsid w:val="56521A14"/>
    <w:rsid w:val="566A325E"/>
    <w:rsid w:val="56847368"/>
    <w:rsid w:val="57AD39B3"/>
    <w:rsid w:val="57C82025"/>
    <w:rsid w:val="57D165DD"/>
    <w:rsid w:val="57D2222E"/>
    <w:rsid w:val="584871FE"/>
    <w:rsid w:val="58506A40"/>
    <w:rsid w:val="59811A4E"/>
    <w:rsid w:val="59D34CFA"/>
    <w:rsid w:val="5A9E7B6F"/>
    <w:rsid w:val="5B9C0D49"/>
    <w:rsid w:val="5BA94FB7"/>
    <w:rsid w:val="5BBF3611"/>
    <w:rsid w:val="5C0843DE"/>
    <w:rsid w:val="5C0E7FD1"/>
    <w:rsid w:val="5CBB5094"/>
    <w:rsid w:val="5D9201B3"/>
    <w:rsid w:val="5DB13E11"/>
    <w:rsid w:val="5DDD28C8"/>
    <w:rsid w:val="5DF166A3"/>
    <w:rsid w:val="5F09154F"/>
    <w:rsid w:val="5F0E0206"/>
    <w:rsid w:val="611048C6"/>
    <w:rsid w:val="618911EB"/>
    <w:rsid w:val="618D6EB9"/>
    <w:rsid w:val="61C93CCA"/>
    <w:rsid w:val="63027917"/>
    <w:rsid w:val="63145D7F"/>
    <w:rsid w:val="633A048A"/>
    <w:rsid w:val="639319F7"/>
    <w:rsid w:val="63DC20D5"/>
    <w:rsid w:val="642860AB"/>
    <w:rsid w:val="64513BAC"/>
    <w:rsid w:val="64632307"/>
    <w:rsid w:val="648F2EE6"/>
    <w:rsid w:val="64FC6833"/>
    <w:rsid w:val="65436640"/>
    <w:rsid w:val="658A5148"/>
    <w:rsid w:val="65DB1215"/>
    <w:rsid w:val="65F07C06"/>
    <w:rsid w:val="6647217E"/>
    <w:rsid w:val="66C13CF4"/>
    <w:rsid w:val="67575C5C"/>
    <w:rsid w:val="67D24D35"/>
    <w:rsid w:val="67F2670C"/>
    <w:rsid w:val="68362A4C"/>
    <w:rsid w:val="686C4364"/>
    <w:rsid w:val="68987F95"/>
    <w:rsid w:val="69935707"/>
    <w:rsid w:val="6A721C75"/>
    <w:rsid w:val="6A807A73"/>
    <w:rsid w:val="6AD52926"/>
    <w:rsid w:val="6B851626"/>
    <w:rsid w:val="6BAC750E"/>
    <w:rsid w:val="6C1D36A3"/>
    <w:rsid w:val="6CC64DE2"/>
    <w:rsid w:val="6D00604D"/>
    <w:rsid w:val="6D3A33BF"/>
    <w:rsid w:val="6D5C235C"/>
    <w:rsid w:val="6E942B80"/>
    <w:rsid w:val="6EA6226D"/>
    <w:rsid w:val="6F0F46BC"/>
    <w:rsid w:val="6F5B2A8B"/>
    <w:rsid w:val="6F6762FE"/>
    <w:rsid w:val="6F99619A"/>
    <w:rsid w:val="6FE143BA"/>
    <w:rsid w:val="700243FF"/>
    <w:rsid w:val="70146AD3"/>
    <w:rsid w:val="70467545"/>
    <w:rsid w:val="708E4265"/>
    <w:rsid w:val="70C51F80"/>
    <w:rsid w:val="710359D0"/>
    <w:rsid w:val="710418E4"/>
    <w:rsid w:val="71042456"/>
    <w:rsid w:val="71A846E6"/>
    <w:rsid w:val="71BC108C"/>
    <w:rsid w:val="71BC4235"/>
    <w:rsid w:val="71E247F9"/>
    <w:rsid w:val="722A1972"/>
    <w:rsid w:val="722A45BE"/>
    <w:rsid w:val="737C1EF2"/>
    <w:rsid w:val="73954AEA"/>
    <w:rsid w:val="73CD54CA"/>
    <w:rsid w:val="73E34A9E"/>
    <w:rsid w:val="740B79E0"/>
    <w:rsid w:val="7492403D"/>
    <w:rsid w:val="7600056C"/>
    <w:rsid w:val="76C24675"/>
    <w:rsid w:val="77601A0D"/>
    <w:rsid w:val="77DA4A53"/>
    <w:rsid w:val="780E689B"/>
    <w:rsid w:val="78E229E5"/>
    <w:rsid w:val="79277B10"/>
    <w:rsid w:val="7A356853"/>
    <w:rsid w:val="7A4A177C"/>
    <w:rsid w:val="7BD90AC9"/>
    <w:rsid w:val="7C4E57CD"/>
    <w:rsid w:val="7C693E93"/>
    <w:rsid w:val="7CCA3F33"/>
    <w:rsid w:val="7D385F60"/>
    <w:rsid w:val="7E617955"/>
    <w:rsid w:val="7E75195B"/>
    <w:rsid w:val="7F0434D2"/>
    <w:rsid w:val="7F0C59E8"/>
    <w:rsid w:val="D7FF51E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6"/>
    <w:qFormat/>
    <w:uiPriority w:val="0"/>
    <w:pPr>
      <w:keepNext/>
      <w:numPr>
        <w:ilvl w:val="0"/>
        <w:numId w:val="1"/>
      </w:numPr>
      <w:outlineLvl w:val="2"/>
    </w:pPr>
    <w:rPr>
      <w:b/>
      <w:sz w:val="28"/>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6">
    <w:name w:val="Normal Indent"/>
    <w:basedOn w:val="1"/>
    <w:qFormat/>
    <w:uiPriority w:val="0"/>
    <w:pPr>
      <w:ind w:firstLine="420" w:firstLineChars="200"/>
    </w:pPr>
  </w:style>
  <w:style w:type="paragraph" w:styleId="7">
    <w:name w:val="Date"/>
    <w:basedOn w:val="1"/>
    <w:next w:val="1"/>
    <w:qFormat/>
    <w:uiPriority w:val="0"/>
    <w:rPr>
      <w:sz w:val="32"/>
    </w:rPr>
  </w:style>
  <w:style w:type="paragraph" w:styleId="8">
    <w:name w:val="Balloon Text"/>
    <w:basedOn w:val="1"/>
    <w:link w:val="20"/>
    <w:qFormat/>
    <w:uiPriority w:val="0"/>
    <w:rPr>
      <w:sz w:val="18"/>
      <w:szCs w:val="18"/>
    </w:rPr>
  </w:style>
  <w:style w:type="paragraph" w:styleId="9">
    <w:name w:val="footer"/>
    <w:basedOn w:val="1"/>
    <w:link w:val="26"/>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0"/>
  </w:style>
  <w:style w:type="paragraph" w:styleId="12">
    <w:name w:val="Normal (Web)"/>
    <w:basedOn w:val="1"/>
    <w:qFormat/>
    <w:uiPriority w:val="0"/>
    <w:rPr>
      <w:sz w:val="24"/>
    </w:rPr>
  </w:style>
  <w:style w:type="paragraph" w:styleId="13">
    <w:name w:val="Title"/>
    <w:basedOn w:val="1"/>
    <w:next w:val="1"/>
    <w:qFormat/>
    <w:uiPriority w:val="0"/>
    <w:pPr>
      <w:spacing w:before="240" w:after="60"/>
      <w:jc w:val="center"/>
      <w:outlineLvl w:val="0"/>
    </w:pPr>
    <w:rPr>
      <w:rFonts w:ascii="Arial" w:hAnsi="Arial" w:eastAsia="宋体" w:cs="Arial"/>
      <w:b/>
      <w:bCs/>
      <w:sz w:val="32"/>
      <w:szCs w:val="32"/>
      <w:lang w:bidi="ar-SA"/>
    </w:rPr>
  </w:style>
  <w:style w:type="table" w:styleId="15">
    <w:name w:val="Table Grid"/>
    <w:basedOn w:val="14"/>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style>
  <w:style w:type="character" w:styleId="18">
    <w:name w:val="Hyperlink"/>
    <w:basedOn w:val="16"/>
    <w:qFormat/>
    <w:uiPriority w:val="0"/>
    <w:rPr>
      <w:color w:val="0000FF"/>
      <w:u w:val="single"/>
    </w:rPr>
  </w:style>
  <w:style w:type="character" w:customStyle="1" w:styleId="19">
    <w:name w:val="标题 1 Char"/>
    <w:basedOn w:val="16"/>
    <w:link w:val="3"/>
    <w:qFormat/>
    <w:uiPriority w:val="0"/>
    <w:rPr>
      <w:b/>
      <w:bCs/>
      <w:kern w:val="44"/>
      <w:sz w:val="44"/>
      <w:szCs w:val="44"/>
    </w:rPr>
  </w:style>
  <w:style w:type="character" w:customStyle="1" w:styleId="20">
    <w:name w:val="批注框文本 Char"/>
    <w:basedOn w:val="16"/>
    <w:link w:val="8"/>
    <w:qFormat/>
    <w:uiPriority w:val="0"/>
    <w:rPr>
      <w:kern w:val="2"/>
      <w:sz w:val="18"/>
      <w:szCs w:val="18"/>
    </w:rPr>
  </w:style>
  <w:style w:type="character" w:customStyle="1" w:styleId="21">
    <w:name w:val="gray s"/>
    <w:basedOn w:val="16"/>
    <w:qFormat/>
    <w:uiPriority w:val="0"/>
  </w:style>
  <w:style w:type="paragraph" w:customStyle="1" w:styleId="22">
    <w:name w:val="样式 正文（首行缩进两字） + 宋体 小四"/>
    <w:basedOn w:val="6"/>
    <w:qFormat/>
    <w:uiPriority w:val="0"/>
    <w:pPr>
      <w:spacing w:line="100" w:lineRule="atLeast"/>
      <w:ind w:firstLine="0" w:firstLineChars="0"/>
      <w:jc w:val="left"/>
    </w:pPr>
    <w:rPr>
      <w:rFonts w:ascii="宋体" w:hAnsi="宋体"/>
      <w:sz w:val="28"/>
    </w:rPr>
  </w:style>
  <w:style w:type="paragraph" w:customStyle="1" w:styleId="23">
    <w:name w:val="1"/>
    <w:basedOn w:val="1"/>
    <w:next w:val="2"/>
    <w:qFormat/>
    <w:uiPriority w:val="0"/>
    <w:pPr>
      <w:spacing w:after="120"/>
    </w:pPr>
  </w:style>
  <w:style w:type="paragraph" w:customStyle="1" w:styleId="2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25">
    <w:name w:val="Char"/>
    <w:basedOn w:val="11"/>
    <w:next w:val="11"/>
    <w:qFormat/>
    <w:uiPriority w:val="0"/>
    <w:pPr>
      <w:tabs>
        <w:tab w:val="right" w:leader="dot" w:pos="8494"/>
      </w:tabs>
      <w:snapToGrid w:val="0"/>
      <w:spacing w:line="360" w:lineRule="auto"/>
    </w:pPr>
    <w:rPr>
      <w:rFonts w:ascii="黑体" w:eastAsia="方正仿宋_GBK" w:cs="仿宋_GB2312"/>
      <w:b/>
      <w:sz w:val="30"/>
      <w:szCs w:val="30"/>
    </w:rPr>
  </w:style>
  <w:style w:type="character" w:customStyle="1" w:styleId="26">
    <w:name w:val="页脚 Char"/>
    <w:basedOn w:val="16"/>
    <w:link w:val="9"/>
    <w:qFormat/>
    <w:uiPriority w:val="99"/>
    <w:rPr>
      <w:kern w:val="2"/>
      <w:sz w:val="18"/>
      <w:szCs w:val="18"/>
    </w:rPr>
  </w:style>
  <w:style w:type="character" w:customStyle="1" w:styleId="27">
    <w:name w:val="font41"/>
    <w:basedOn w:val="16"/>
    <w:qFormat/>
    <w:uiPriority w:val="0"/>
    <w:rPr>
      <w:rFonts w:hint="eastAsia" w:ascii="宋体" w:hAnsi="宋体" w:eastAsia="宋体" w:cs="宋体"/>
      <w:color w:val="000000"/>
      <w:sz w:val="20"/>
      <w:szCs w:val="20"/>
      <w:u w:val="none"/>
    </w:rPr>
  </w:style>
  <w:style w:type="character" w:customStyle="1" w:styleId="28">
    <w:name w:val="font101"/>
    <w:basedOn w:val="16"/>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14</Pages>
  <Words>4757</Words>
  <Characters>5136</Characters>
  <Lines>31</Lines>
  <Paragraphs>8</Paragraphs>
  <TotalTime>8</TotalTime>
  <ScaleCrop>false</ScaleCrop>
  <LinksUpToDate>false</LinksUpToDate>
  <CharactersWithSpaces>5588</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2014-04-11T10:13:00Z</dcterms:created>
  <dc:creator>微软用户</dc:creator>
  <cp:lastModifiedBy>Administrator</cp:lastModifiedBy>
  <cp:lastPrinted>2025-10-15T14:54:00Z</cp:lastPrinted>
  <dcterms:modified xsi:type="dcterms:W3CDTF">2025-12-15T03:20:05Z</dcterms:modified>
  <dc:title>垫江县交通局（竞争性招标文件）发文稿纸</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72DB8D7AB4884AD1B41F47579DA3B522_13</vt:lpwstr>
  </property>
  <property fmtid="{D5CDD505-2E9C-101B-9397-08002B2CF9AE}" pid="4" name="KSOTemplateDocerSaveRecord">
    <vt:lpwstr>eyJoZGlkIjoiMWI5MDM1NjExYTUzNGZhNDAyMWU5ZjBhNmRjMWZiZDciLCJ1c2VySWQiOiIxNjcxMDAzNTE3In0=</vt:lpwstr>
  </property>
</Properties>
</file>