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726E">
      <w:pPr>
        <w:jc w:val="center"/>
        <w:rPr>
          <w:rFonts w:asciiTheme="minorEastAsia" w:hAnsiTheme="minorEastAsia"/>
          <w:color w:val="auto"/>
          <w:highlight w:val="none"/>
        </w:rPr>
      </w:pPr>
    </w:p>
    <w:p w14:paraId="3A2343BF">
      <w:pPr>
        <w:pStyle w:val="11"/>
        <w:ind w:left="1260"/>
        <w:rPr>
          <w:color w:val="auto"/>
          <w:highlight w:val="none"/>
        </w:rPr>
      </w:pPr>
    </w:p>
    <w:p w14:paraId="3299334F">
      <w:pPr>
        <w:rPr>
          <w:color w:val="auto"/>
          <w:highlight w:val="none"/>
        </w:rPr>
      </w:pPr>
    </w:p>
    <w:p w14:paraId="1BACFC3A">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国企采购</w:t>
      </w:r>
    </w:p>
    <w:p w14:paraId="4457D0A5">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询价通知书</w:t>
      </w:r>
    </w:p>
    <w:p w14:paraId="4984BAB3">
      <w:pPr>
        <w:spacing w:line="700" w:lineRule="exact"/>
        <w:rPr>
          <w:rFonts w:asciiTheme="minorEastAsia" w:hAnsiTheme="minorEastAsia"/>
          <w:color w:val="auto"/>
          <w:sz w:val="32"/>
          <w:highlight w:val="none"/>
        </w:rPr>
      </w:pPr>
    </w:p>
    <w:p w14:paraId="6EDF0FEC">
      <w:pPr>
        <w:spacing w:line="700" w:lineRule="exact"/>
        <w:ind w:firstLine="960" w:firstLineChars="300"/>
        <w:jc w:val="center"/>
        <w:rPr>
          <w:rFonts w:hint="eastAsia" w:asciiTheme="minorEastAsia" w:hAnsiTheme="minorEastAsia" w:eastAsiaTheme="minorEastAsia"/>
          <w:color w:val="auto"/>
          <w:sz w:val="32"/>
          <w:highlight w:val="none"/>
          <w:lang w:eastAsia="zh-CN"/>
        </w:rPr>
      </w:pPr>
      <w:r>
        <w:rPr>
          <w:rFonts w:hint="eastAsia" w:asciiTheme="minorEastAsia" w:hAnsiTheme="minorEastAsia"/>
          <w:color w:val="auto"/>
          <w:sz w:val="32"/>
          <w:highlight w:val="none"/>
        </w:rPr>
        <w:t>询价项目名称：</w:t>
      </w:r>
      <w:bookmarkStart w:id="0" w:name="OLE_LINK3"/>
      <w:bookmarkStart w:id="1" w:name="OLE_LINK4"/>
      <w:bookmarkStart w:id="2" w:name="OLE_LINK7"/>
      <w:r>
        <w:rPr>
          <w:rFonts w:hint="eastAsia" w:asciiTheme="minorEastAsia" w:hAnsiTheme="minorEastAsia"/>
          <w:color w:val="auto"/>
          <w:sz w:val="32"/>
          <w:highlight w:val="none"/>
          <w:lang w:eastAsia="zh-CN"/>
        </w:rPr>
        <w:t>2026年涂白剂、肥料、农药药品采购（第二次）</w:t>
      </w:r>
    </w:p>
    <w:bookmarkEnd w:id="0"/>
    <w:bookmarkEnd w:id="1"/>
    <w:bookmarkEnd w:id="2"/>
    <w:p w14:paraId="524D8344">
      <w:pPr>
        <w:spacing w:line="700" w:lineRule="exact"/>
        <w:jc w:val="center"/>
        <w:rPr>
          <w:rFonts w:asciiTheme="minorEastAsia" w:hAnsiTheme="minorEastAsia"/>
          <w:color w:val="auto"/>
          <w:sz w:val="36"/>
          <w:szCs w:val="36"/>
          <w:highlight w:val="none"/>
        </w:rPr>
      </w:pPr>
    </w:p>
    <w:p w14:paraId="63902333">
      <w:pPr>
        <w:spacing w:line="700" w:lineRule="exact"/>
        <w:rPr>
          <w:rFonts w:asciiTheme="minorEastAsia" w:hAnsiTheme="minorEastAsia"/>
          <w:color w:val="auto"/>
          <w:sz w:val="36"/>
          <w:szCs w:val="36"/>
          <w:highlight w:val="none"/>
        </w:rPr>
      </w:pPr>
    </w:p>
    <w:p w14:paraId="3CD5F1DF">
      <w:pPr>
        <w:spacing w:line="500" w:lineRule="exact"/>
        <w:ind w:firstLine="1440" w:firstLineChars="400"/>
        <w:outlineLvl w:val="0"/>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采购人：</w:t>
      </w:r>
      <w:bookmarkStart w:id="3" w:name="OLE_LINK1"/>
      <w:r>
        <w:rPr>
          <w:rFonts w:hint="eastAsia" w:asciiTheme="minorEastAsia" w:hAnsiTheme="minorEastAsia"/>
          <w:color w:val="auto"/>
          <w:sz w:val="36"/>
          <w:szCs w:val="36"/>
          <w:highlight w:val="none"/>
        </w:rPr>
        <w:t>重庆东鸿城市运营管理有限责任公司</w:t>
      </w:r>
    </w:p>
    <w:bookmarkEnd w:id="3"/>
    <w:p w14:paraId="661C9086">
      <w:pPr>
        <w:spacing w:line="700" w:lineRule="exact"/>
        <w:ind w:firstLine="1440" w:firstLineChars="400"/>
        <w:rPr>
          <w:rFonts w:asciiTheme="minorEastAsia" w:hAnsiTheme="minorEastAsia"/>
          <w:color w:val="auto"/>
          <w:sz w:val="36"/>
          <w:szCs w:val="30"/>
          <w:highlight w:val="none"/>
        </w:rPr>
      </w:pPr>
      <w:r>
        <w:rPr>
          <w:rFonts w:hint="eastAsia" w:asciiTheme="minorEastAsia" w:hAnsiTheme="minorEastAsia"/>
          <w:color w:val="auto"/>
          <w:sz w:val="36"/>
          <w:szCs w:val="36"/>
          <w:highlight w:val="none"/>
        </w:rPr>
        <w:t>采购代理机构：重庆立生实业有限公司</w:t>
      </w:r>
    </w:p>
    <w:p w14:paraId="1DCB200A">
      <w:pPr>
        <w:spacing w:line="500" w:lineRule="exact"/>
        <w:jc w:val="center"/>
        <w:outlineLvl w:val="0"/>
        <w:rPr>
          <w:rFonts w:asciiTheme="minorEastAsia" w:hAnsiTheme="minorEastAsia"/>
          <w:color w:val="auto"/>
          <w:sz w:val="36"/>
          <w:szCs w:val="36"/>
          <w:highlight w:val="none"/>
        </w:rPr>
      </w:pPr>
    </w:p>
    <w:p w14:paraId="7D6CC6B9">
      <w:pPr>
        <w:spacing w:line="720" w:lineRule="exact"/>
        <w:jc w:val="center"/>
        <w:outlineLvl w:val="0"/>
        <w:rPr>
          <w:rFonts w:asciiTheme="minorEastAsia" w:hAnsiTheme="minorEastAsia"/>
          <w:color w:val="auto"/>
          <w:sz w:val="48"/>
          <w:szCs w:val="32"/>
          <w:highlight w:val="none"/>
        </w:rPr>
      </w:pPr>
      <w:r>
        <w:rPr>
          <w:rFonts w:hint="eastAsia" w:asciiTheme="minorEastAsia" w:hAnsiTheme="minorEastAsia"/>
          <w:color w:val="auto"/>
          <w:sz w:val="36"/>
          <w:szCs w:val="36"/>
          <w:highlight w:val="none"/>
        </w:rPr>
        <w:t>二〇二五年十</w:t>
      </w:r>
      <w:r>
        <w:rPr>
          <w:rFonts w:hint="eastAsia" w:asciiTheme="minorEastAsia" w:hAnsiTheme="minorEastAsia"/>
          <w:color w:val="auto"/>
          <w:sz w:val="36"/>
          <w:szCs w:val="36"/>
          <w:highlight w:val="none"/>
          <w:lang w:val="en-US" w:eastAsia="zh-CN"/>
        </w:rPr>
        <w:t>二</w:t>
      </w:r>
      <w:r>
        <w:rPr>
          <w:rFonts w:hint="eastAsia" w:asciiTheme="minorEastAsia" w:hAnsiTheme="minorEastAsia"/>
          <w:color w:val="auto"/>
          <w:sz w:val="36"/>
          <w:szCs w:val="36"/>
          <w:highlight w:val="none"/>
        </w:rPr>
        <w:t>月</w:t>
      </w:r>
    </w:p>
    <w:p w14:paraId="45DD086F">
      <w:pPr>
        <w:spacing w:line="480" w:lineRule="exact"/>
        <w:outlineLvl w:val="0"/>
        <w:rPr>
          <w:rFonts w:asciiTheme="minorEastAsia" w:hAnsiTheme="minorEastAsia"/>
          <w:color w:val="auto"/>
          <w:sz w:val="44"/>
          <w:szCs w:val="28"/>
          <w:highlight w:val="none"/>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B386772">
      <w:pPr>
        <w:spacing w:line="480" w:lineRule="exact"/>
        <w:jc w:val="center"/>
        <w:outlineLvl w:val="0"/>
        <w:rPr>
          <w:rFonts w:asciiTheme="minorEastAsia" w:hAnsiTheme="minorEastAsia"/>
          <w:color w:val="auto"/>
          <w:sz w:val="44"/>
          <w:szCs w:val="28"/>
          <w:highlight w:val="none"/>
        </w:rPr>
      </w:pPr>
      <w:r>
        <w:rPr>
          <w:rFonts w:hint="eastAsia" w:asciiTheme="minorEastAsia" w:hAnsiTheme="minorEastAsia"/>
          <w:color w:val="auto"/>
          <w:sz w:val="44"/>
          <w:szCs w:val="28"/>
          <w:highlight w:val="none"/>
        </w:rPr>
        <w:t>目   录</w:t>
      </w:r>
    </w:p>
    <w:p w14:paraId="0DFCC70C">
      <w:pPr>
        <w:pStyle w:val="19"/>
        <w:tabs>
          <w:tab w:val="right" w:leader="dot" w:pos="9412"/>
          <w:tab w:val="clear" w:pos="8400"/>
        </w:tabs>
        <w:ind w:left="210" w:right="-191"/>
        <w:rPr>
          <w:color w:val="auto"/>
          <w:highlight w:val="none"/>
        </w:rPr>
      </w:pPr>
      <w:r>
        <w:rPr>
          <w:rFonts w:hint="eastAsia" w:asciiTheme="minorEastAsia" w:hAnsiTheme="minorEastAsia"/>
          <w:color w:val="auto"/>
          <w:szCs w:val="21"/>
          <w:highlight w:val="none"/>
        </w:rPr>
        <w:fldChar w:fldCharType="begin"/>
      </w:r>
      <w:r>
        <w:rPr>
          <w:rFonts w:hint="eastAsia" w:asciiTheme="minorEastAsia" w:hAnsiTheme="minorEastAsia"/>
          <w:color w:val="auto"/>
          <w:szCs w:val="21"/>
          <w:highlight w:val="none"/>
        </w:rPr>
        <w:instrText xml:space="preserve"> TOC \o "1-3" \h \z </w:instrText>
      </w:r>
      <w:r>
        <w:rPr>
          <w:rFonts w:hint="eastAsia" w:asciiTheme="minorEastAsia" w:hAnsiTheme="minorEastAsia"/>
          <w:color w:val="auto"/>
          <w:szCs w:val="21"/>
          <w:highlight w:val="none"/>
        </w:rPr>
        <w:fldChar w:fldCharType="separate"/>
      </w: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Theme="minorEastAsia" w:hAnsiTheme="minorEastAsia"/>
          <w:color w:val="auto"/>
          <w:szCs w:val="30"/>
          <w:highlight w:val="none"/>
        </w:rPr>
        <w:t xml:space="preserve">第一篇  </w:t>
      </w:r>
      <w:r>
        <w:rPr>
          <w:rFonts w:hint="eastAsia" w:cs="Arial" w:asciiTheme="minorEastAsia" w:hAnsiTheme="minorEastAsia"/>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759A12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"_Toc29544" </w:instrText>
      </w:r>
      <w:r>
        <w:rPr>
          <w:color w:val="auto"/>
          <w:highlight w:val="none"/>
        </w:rPr>
        <w:fldChar w:fldCharType="separate"/>
      </w:r>
      <w:r>
        <w:rPr>
          <w:rFonts w:hint="eastAsia" w:asciiTheme="minorEastAsia" w:hAnsiTheme="minorEastAsia"/>
          <w:bCs/>
          <w:color w:val="auto"/>
          <w:highlight w:val="none"/>
        </w:rPr>
        <w:t>一、 询价内容</w:t>
      </w:r>
      <w:r>
        <w:rPr>
          <w:color w:val="auto"/>
          <w:highlight w:val="none"/>
        </w:rPr>
        <w:tab/>
      </w:r>
      <w:r>
        <w:rPr>
          <w:color w:val="auto"/>
          <w:highlight w:val="none"/>
        </w:rPr>
        <w:fldChar w:fldCharType="begin"/>
      </w:r>
      <w:r>
        <w:rPr>
          <w:color w:val="auto"/>
          <w:highlight w:val="none"/>
        </w:rPr>
        <w:instrText xml:space="preserve"> PAGEREF _Toc29544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28760D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"_Toc5296" </w:instrText>
      </w:r>
      <w:r>
        <w:rPr>
          <w:color w:val="auto"/>
          <w:highlight w:val="none"/>
        </w:rPr>
        <w:fldChar w:fldCharType="separate"/>
      </w:r>
      <w:r>
        <w:rPr>
          <w:rFonts w:hint="eastAsia" w:asciiTheme="minorEastAsia" w:hAnsiTheme="minorEastAsia"/>
          <w:bCs/>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_Toc5296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E18B54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"_Toc6617" </w:instrText>
      </w:r>
      <w:r>
        <w:rPr>
          <w:color w:val="auto"/>
          <w:highlight w:val="none"/>
        </w:rPr>
        <w:fldChar w:fldCharType="separate"/>
      </w:r>
      <w:r>
        <w:rPr>
          <w:rFonts w:hint="eastAsia" w:asciiTheme="minorEastAsia" w:hAnsiTheme="minorEastAsia"/>
          <w:bCs/>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86F9DE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Theme="minorEastAsia" w:hAnsiTheme="minorEastAsia"/>
          <w:bCs/>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_Toc8971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F5B31A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Theme="minorEastAsia" w:hAnsiTheme="minorEastAsia"/>
          <w:bCs/>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2F8A95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Theme="minorEastAsia" w:hAnsiTheme="minorEastAsia"/>
          <w:bCs/>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018EA69">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"_Toc10398" </w:instrText>
      </w:r>
      <w:r>
        <w:rPr>
          <w:color w:val="auto"/>
          <w:highlight w:val="none"/>
        </w:rPr>
        <w:fldChar w:fldCharType="separate"/>
      </w:r>
      <w:r>
        <w:rPr>
          <w:rFonts w:hint="eastAsia" w:asciiTheme="minorEastAsia" w:hAnsiTheme="minorEastAsia"/>
          <w:bCs/>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_Toc10398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1A7E541">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"_Toc5769" </w:instrText>
      </w:r>
      <w:r>
        <w:rPr>
          <w:color w:val="auto"/>
          <w:highlight w:val="none"/>
        </w:rPr>
        <w:fldChar w:fldCharType="separate"/>
      </w:r>
      <w:r>
        <w:rPr>
          <w:rFonts w:hint="eastAsia" w:asciiTheme="minorEastAsia" w:hAnsiTheme="minorEastAsia"/>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_Toc5769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A3266A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Theme="minorEastAsia" w:hAnsiTheme="minorEastAsia"/>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34146033">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"_Toc18028" </w:instrText>
      </w:r>
      <w:r>
        <w:rPr>
          <w:color w:val="auto"/>
          <w:highlight w:val="none"/>
        </w:rPr>
        <w:fldChar w:fldCharType="separate"/>
      </w:r>
      <w:r>
        <w:rPr>
          <w:rFonts w:hint="eastAsia" w:asciiTheme="minorEastAsia" w:hAnsiTheme="minorEastAsia"/>
          <w:color w:val="auto"/>
          <w:szCs w:val="24"/>
          <w:highlight w:val="none"/>
        </w:rPr>
        <w:t>一、供货期、交货地点及验收方式</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2DC9DB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"_Toc26603" </w:instrText>
      </w:r>
      <w:r>
        <w:rPr>
          <w:color w:val="auto"/>
          <w:highlight w:val="none"/>
        </w:rPr>
        <w:fldChar w:fldCharType="separate"/>
      </w:r>
      <w:r>
        <w:rPr>
          <w:rFonts w:hint="eastAsia" w:asciiTheme="minorEastAsia" w:hAnsi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59E4536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"_Toc28036" </w:instrText>
      </w:r>
      <w:r>
        <w:rPr>
          <w:color w:val="auto"/>
          <w:highlight w:val="none"/>
        </w:rPr>
        <w:fldChar w:fldCharType="separate"/>
      </w:r>
      <w:r>
        <w:rPr>
          <w:rFonts w:hint="eastAsia" w:asciiTheme="minorEastAsia" w:hAnsiTheme="minorEastAsia"/>
          <w:color w:val="auto"/>
          <w:szCs w:val="24"/>
          <w:highlight w:val="none"/>
        </w:rPr>
        <w:t>三、</w:t>
      </w:r>
      <w:r>
        <w:rPr>
          <w:rFonts w:hint="eastAsia" w:cs="宋体"/>
          <w:color w:val="auto"/>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_Toc28036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D304F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"_Toc26985" </w:instrText>
      </w:r>
      <w:r>
        <w:rPr>
          <w:color w:val="auto"/>
          <w:highlight w:val="none"/>
        </w:rPr>
        <w:fldChar w:fldCharType="separate"/>
      </w:r>
      <w:r>
        <w:rPr>
          <w:rFonts w:hint="eastAsia" w:asciiTheme="minorEastAsia" w:hAnsiTheme="minorEastAsia"/>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_Toc26985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2F15FE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"_Toc12000" </w:instrText>
      </w:r>
      <w:r>
        <w:rPr>
          <w:color w:val="auto"/>
          <w:highlight w:val="none"/>
        </w:rPr>
        <w:fldChar w:fldCharType="separate"/>
      </w:r>
      <w:r>
        <w:rPr>
          <w:rFonts w:hint="eastAsia" w:cs="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_Toc12000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4165E1D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"_Toc21881" </w:instrText>
      </w:r>
      <w:r>
        <w:rPr>
          <w:color w:val="auto"/>
          <w:highlight w:val="none"/>
        </w:rPr>
        <w:fldChar w:fldCharType="separate"/>
      </w:r>
      <w:r>
        <w:rPr>
          <w:rFonts w:hint="eastAsia" w:cs="宋体"/>
          <w:color w:val="auto"/>
          <w:szCs w:val="24"/>
          <w:highlight w:val="none"/>
        </w:rPr>
        <w:t>六、其他商务要求内容</w:t>
      </w:r>
      <w:r>
        <w:rPr>
          <w:color w:val="auto"/>
          <w:highlight w:val="none"/>
        </w:rPr>
        <w:tab/>
      </w:r>
      <w:r>
        <w:rPr>
          <w:color w:val="auto"/>
          <w:highlight w:val="none"/>
        </w:rPr>
        <w:fldChar w:fldCharType="begin"/>
      </w:r>
      <w:r>
        <w:rPr>
          <w:color w:val="auto"/>
          <w:highlight w:val="none"/>
        </w:rPr>
        <w:instrText xml:space="preserve"> PAGEREF _Toc21881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7EC32315">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hint="eastAsia" w:asciiTheme="minorEastAsia" w:hAnsiTheme="minorEastAsia"/>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90D09B8">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"_Toc12411" </w:instrText>
      </w:r>
      <w:r>
        <w:rPr>
          <w:color w:val="auto"/>
          <w:highlight w:val="none"/>
        </w:rPr>
        <w:fldChar w:fldCharType="separate"/>
      </w:r>
      <w:r>
        <w:rPr>
          <w:rFonts w:hint="eastAsia" w:asciiTheme="minorEastAsia" w:hAnsiTheme="minorEastAsia"/>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7E48902">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"_Toc11497" </w:instrText>
      </w:r>
      <w:r>
        <w:rPr>
          <w:color w:val="auto"/>
          <w:highlight w:val="none"/>
        </w:rPr>
        <w:fldChar w:fldCharType="separate"/>
      </w:r>
      <w:r>
        <w:rPr>
          <w:rFonts w:hint="eastAsia" w:asciiTheme="minorEastAsia" w:hAnsi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_Toc11497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9B16C11">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"_Toc29663" </w:instrText>
      </w:r>
      <w:r>
        <w:rPr>
          <w:color w:val="auto"/>
          <w:highlight w:val="none"/>
        </w:rPr>
        <w:fldChar w:fldCharType="separate"/>
      </w:r>
      <w:r>
        <w:rPr>
          <w:rFonts w:hint="eastAsia" w:asciiTheme="minorEastAsia" w:hAnsiTheme="minorEastAsia"/>
          <w:color w:val="auto"/>
          <w:szCs w:val="30"/>
          <w:highlight w:val="none"/>
        </w:rPr>
        <w:t>第六篇  合同草案条款（如果有)</w:t>
      </w:r>
      <w:r>
        <w:rPr>
          <w:color w:val="auto"/>
          <w:highlight w:val="none"/>
        </w:rPr>
        <w:tab/>
      </w:r>
      <w:r>
        <w:rPr>
          <w:color w:val="auto"/>
          <w:highlight w:val="none"/>
        </w:rPr>
        <w:fldChar w:fldCharType="begin"/>
      </w:r>
      <w:r>
        <w:rPr>
          <w:color w:val="auto"/>
          <w:highlight w:val="none"/>
        </w:rPr>
        <w:instrText xml:space="preserve"> PAGEREF _Toc29663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5BF5EFA">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"_Toc31211" </w:instrText>
      </w:r>
      <w:r>
        <w:rPr>
          <w:color w:val="auto"/>
          <w:highlight w:val="none"/>
        </w:rPr>
        <w:fldChar w:fldCharType="separate"/>
      </w:r>
      <w:r>
        <w:rPr>
          <w:rFonts w:hint="eastAsia" w:asciiTheme="minorEastAsia" w:hAnsiTheme="minorEastAsia"/>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_Toc31211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A08698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"_Toc26602" </w:instrText>
      </w:r>
      <w:r>
        <w:rPr>
          <w:color w:val="auto"/>
          <w:highlight w:val="none"/>
        </w:rPr>
        <w:fldChar w:fldCharType="separate"/>
      </w:r>
      <w:r>
        <w:rPr>
          <w:rFonts w:hint="eastAsia" w:asciiTheme="minorEastAsia" w:hAnsiTheme="minorEastAsia"/>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_Toc26602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4861E05">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"_Toc10937" </w:instrText>
      </w:r>
      <w:r>
        <w:rPr>
          <w:color w:val="auto"/>
          <w:highlight w:val="none"/>
        </w:rPr>
        <w:fldChar w:fldCharType="separate"/>
      </w:r>
      <w:r>
        <w:rPr>
          <w:rFonts w:hint="eastAsia" w:asciiTheme="minorEastAsia" w:hAnsiTheme="minorEastAsia"/>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_Toc10937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7368E88">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"_Toc21593" </w:instrText>
      </w:r>
      <w:r>
        <w:rPr>
          <w:color w:val="auto"/>
          <w:highlight w:val="none"/>
        </w:rPr>
        <w:fldChar w:fldCharType="separate"/>
      </w:r>
      <w:r>
        <w:rPr>
          <w:rFonts w:hint="eastAsia" w:asciiTheme="minorEastAsia" w:hAnsiTheme="minorEastAsia"/>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_Toc21593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02B099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"_Toc30720" </w:instrText>
      </w:r>
      <w:r>
        <w:rPr>
          <w:color w:val="auto"/>
          <w:highlight w:val="none"/>
        </w:rPr>
        <w:fldChar w:fldCharType="separate"/>
      </w:r>
      <w:r>
        <w:rPr>
          <w:rFonts w:hint="eastAsia" w:asciiTheme="minorEastAsia" w:hAnsiTheme="minorEastAsia"/>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_Toc30720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770EFA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Theme="minorEastAsia" w:hAnsi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_Toc1895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BE8DF5B">
      <w:pPr>
        <w:pStyle w:val="19"/>
        <w:tabs>
          <w:tab w:val="right" w:leader="dot" w:pos="9402"/>
          <w:tab w:val="clear" w:pos="8400"/>
        </w:tabs>
        <w:spacing w:line="480" w:lineRule="exact"/>
        <w:ind w:left="210" w:right="-191"/>
        <w:rPr>
          <w:rFonts w:asciiTheme="minorEastAsia" w:hAnsiTheme="minorEastAsia"/>
          <w:color w:val="auto"/>
          <w:sz w:val="18"/>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color w:val="auto"/>
          <w:szCs w:val="21"/>
          <w:highlight w:val="none"/>
        </w:rPr>
        <w:fldChar w:fldCharType="end"/>
      </w:r>
    </w:p>
    <w:p w14:paraId="0E4942CE">
      <w:pPr>
        <w:pStyle w:val="6"/>
        <w:spacing w:after="0"/>
        <w:jc w:val="center"/>
        <w:rPr>
          <w:rFonts w:asciiTheme="minorEastAsia" w:hAnsiTheme="minorEastAsia"/>
          <w:color w:val="auto"/>
          <w:sz w:val="36"/>
          <w:szCs w:val="30"/>
          <w:highlight w:val="none"/>
        </w:rPr>
      </w:pPr>
      <w:bookmarkStart w:id="4" w:name="_Toc65660329"/>
      <w:bookmarkStart w:id="5" w:name="_Toc24817"/>
      <w:bookmarkStart w:id="6" w:name="_Toc24173"/>
      <w:bookmarkStart w:id="7" w:name="_Toc11641050"/>
      <w:bookmarkStart w:id="8" w:name="_Toc13713"/>
      <w:bookmarkStart w:id="9" w:name="_Toc15726"/>
      <w:bookmarkStart w:id="10" w:name="_Toc12789052"/>
      <w:r>
        <w:rPr>
          <w:rFonts w:hint="eastAsia" w:asciiTheme="minorEastAsia" w:hAnsiTheme="minorEastAsia"/>
          <w:color w:val="auto"/>
          <w:sz w:val="36"/>
          <w:szCs w:val="30"/>
          <w:highlight w:val="none"/>
        </w:rPr>
        <w:t xml:space="preserve">第一篇  </w:t>
      </w:r>
      <w:r>
        <w:rPr>
          <w:rFonts w:hint="eastAsia" w:cs="Arial" w:asciiTheme="minorEastAsia" w:hAnsiTheme="minorEastAsia"/>
          <w:color w:val="auto"/>
          <w:sz w:val="36"/>
          <w:highlight w:val="none"/>
        </w:rPr>
        <w:t>询价采购邀请书</w:t>
      </w:r>
      <w:bookmarkEnd w:id="4"/>
      <w:bookmarkEnd w:id="5"/>
      <w:bookmarkEnd w:id="6"/>
      <w:bookmarkEnd w:id="7"/>
      <w:bookmarkEnd w:id="8"/>
      <w:bookmarkEnd w:id="9"/>
      <w:bookmarkEnd w:id="10"/>
    </w:p>
    <w:p w14:paraId="48072E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重庆立生实业有限公司（以下简称：采购代理机构）接受重庆东鸿城市运营管理有限责任公司（以下简称：采购人）的委托，对</w:t>
      </w:r>
      <w:r>
        <w:rPr>
          <w:rFonts w:hint="eastAsia" w:asciiTheme="minorEastAsia" w:hAnsiTheme="minorEastAsia"/>
          <w:color w:val="auto"/>
          <w:sz w:val="24"/>
          <w:szCs w:val="24"/>
          <w:highlight w:val="none"/>
          <w:lang w:eastAsia="zh-CN"/>
        </w:rPr>
        <w:t>2026年涂白剂、肥料、农药药品采购（第二次）</w:t>
      </w:r>
      <w:r>
        <w:rPr>
          <w:rFonts w:hint="eastAsia" w:asciiTheme="minorEastAsia" w:hAnsiTheme="minorEastAsia"/>
          <w:color w:val="auto"/>
          <w:sz w:val="24"/>
          <w:szCs w:val="24"/>
          <w:highlight w:val="none"/>
        </w:rPr>
        <w:t>进行询价采购。欢迎有资格的供应商前来参加报价。</w:t>
      </w:r>
    </w:p>
    <w:p w14:paraId="2EE6EAB4">
      <w:pPr>
        <w:pStyle w:val="6"/>
        <w:numPr>
          <w:ilvl w:val="0"/>
          <w:numId w:val="1"/>
        </w:numPr>
        <w:spacing w:after="0" w:line="400" w:lineRule="exact"/>
        <w:ind w:firstLine="482" w:firstLineChars="200"/>
        <w:rPr>
          <w:rFonts w:asciiTheme="minorEastAsia" w:hAnsiTheme="minorEastAsia"/>
          <w:b/>
          <w:bCs/>
          <w:color w:val="auto"/>
          <w:sz w:val="24"/>
          <w:highlight w:val="none"/>
        </w:rPr>
      </w:pPr>
      <w:bookmarkStart w:id="11" w:name="_Toc7758"/>
      <w:bookmarkStart w:id="12" w:name="_Toc26091"/>
      <w:bookmarkStart w:id="13" w:name="_Toc18246"/>
      <w:bookmarkStart w:id="14" w:name="_Toc313893526"/>
      <w:bookmarkStart w:id="15" w:name="_Toc65660330"/>
      <w:bookmarkStart w:id="16" w:name="_Toc29544"/>
      <w:bookmarkStart w:id="17" w:name="_Toc317775175"/>
      <w:r>
        <w:rPr>
          <w:rFonts w:hint="eastAsia" w:asciiTheme="minorEastAsia" w:hAnsiTheme="minorEastAsia"/>
          <w:b/>
          <w:bCs/>
          <w:color w:val="auto"/>
          <w:sz w:val="24"/>
          <w:highlight w:val="none"/>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3F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0155617A">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询价项目名称</w:t>
            </w:r>
          </w:p>
        </w:tc>
        <w:tc>
          <w:tcPr>
            <w:tcW w:w="1710" w:type="dxa"/>
            <w:vAlign w:val="center"/>
          </w:tcPr>
          <w:p w14:paraId="14E15EE7">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最高限价(元）</w:t>
            </w:r>
          </w:p>
        </w:tc>
        <w:tc>
          <w:tcPr>
            <w:tcW w:w="1829" w:type="dxa"/>
            <w:vAlign w:val="center"/>
          </w:tcPr>
          <w:p w14:paraId="093EDF5D">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投标保证金</w:t>
            </w:r>
          </w:p>
          <w:p w14:paraId="6D2C1DBA">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（万元）</w:t>
            </w:r>
          </w:p>
        </w:tc>
        <w:tc>
          <w:tcPr>
            <w:tcW w:w="1463" w:type="dxa"/>
            <w:vAlign w:val="center"/>
          </w:tcPr>
          <w:p w14:paraId="70077BB3">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成交供应商数量（名）</w:t>
            </w:r>
          </w:p>
        </w:tc>
      </w:tr>
      <w:tr w14:paraId="6CA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6078B37">
            <w:pPr>
              <w:pStyle w:val="10"/>
              <w:spacing w:line="240" w:lineRule="auto"/>
              <w:ind w:left="0"/>
              <w:jc w:val="center"/>
              <w:outlineLvl w:val="0"/>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color w:val="auto"/>
                <w:sz w:val="21"/>
                <w:szCs w:val="21"/>
                <w:highlight w:val="none"/>
                <w:lang w:eastAsia="zh-CN"/>
              </w:rPr>
              <w:t>2026年涂白剂、肥料、农药药品采购（第二次）</w:t>
            </w:r>
          </w:p>
        </w:tc>
        <w:tc>
          <w:tcPr>
            <w:tcW w:w="1710" w:type="dxa"/>
            <w:vAlign w:val="center"/>
          </w:tcPr>
          <w:p w14:paraId="54F2302E">
            <w:pPr>
              <w:pStyle w:val="10"/>
              <w:spacing w:line="240" w:lineRule="auto"/>
              <w:ind w:left="0"/>
              <w:jc w:val="center"/>
              <w:outlineLvl w:val="0"/>
              <w:rPr>
                <w:rFonts w:hint="default" w:asciiTheme="minorEastAsia" w:hAnsiTheme="minorEastAsia" w:eastAsiaTheme="minorEastAsia"/>
                <w:b/>
                <w:color w:val="auto"/>
                <w:sz w:val="21"/>
                <w:szCs w:val="21"/>
                <w:highlight w:val="none"/>
                <w:lang w:val="en-US" w:eastAsia="zh-CN"/>
              </w:rPr>
            </w:pPr>
            <w:r>
              <w:rPr>
                <w:rFonts w:hint="eastAsia" w:asciiTheme="minorEastAsia" w:hAnsiTheme="minorEastAsia"/>
                <w:b/>
                <w:color w:val="auto"/>
                <w:sz w:val="21"/>
                <w:szCs w:val="21"/>
                <w:highlight w:val="none"/>
                <w:lang w:val="en-US" w:eastAsia="zh-CN"/>
              </w:rPr>
              <w:t>144620</w:t>
            </w:r>
          </w:p>
        </w:tc>
        <w:tc>
          <w:tcPr>
            <w:tcW w:w="1829" w:type="dxa"/>
            <w:vAlign w:val="center"/>
          </w:tcPr>
          <w:p w14:paraId="1E1847A2">
            <w:pPr>
              <w:pStyle w:val="10"/>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w:t>
            </w:r>
          </w:p>
        </w:tc>
        <w:tc>
          <w:tcPr>
            <w:tcW w:w="1463" w:type="dxa"/>
            <w:vAlign w:val="center"/>
          </w:tcPr>
          <w:p w14:paraId="13632883">
            <w:pPr>
              <w:pStyle w:val="10"/>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1</w:t>
            </w:r>
          </w:p>
        </w:tc>
      </w:tr>
    </w:tbl>
    <w:p w14:paraId="6DC97061">
      <w:pPr>
        <w:pStyle w:val="6"/>
        <w:spacing w:after="0" w:line="400" w:lineRule="exact"/>
        <w:ind w:firstLine="482" w:firstLineChars="200"/>
        <w:rPr>
          <w:rFonts w:asciiTheme="minorEastAsia" w:hAnsiTheme="minorEastAsia"/>
          <w:b/>
          <w:bCs/>
          <w:color w:val="auto"/>
          <w:sz w:val="24"/>
          <w:highlight w:val="none"/>
        </w:rPr>
      </w:pPr>
      <w:bookmarkStart w:id="18" w:name="_Toc4424"/>
      <w:bookmarkStart w:id="19" w:name="_Toc3256"/>
      <w:bookmarkStart w:id="20" w:name="_Toc65660331"/>
      <w:bookmarkStart w:id="21" w:name="_Toc27028"/>
      <w:bookmarkStart w:id="22" w:name="_Toc5296"/>
      <w:bookmarkStart w:id="23" w:name="_Toc373860293"/>
      <w:bookmarkStart w:id="24" w:name="_Toc317775178"/>
      <w:r>
        <w:rPr>
          <w:rFonts w:hint="eastAsia" w:asciiTheme="minorEastAsia" w:hAnsiTheme="minorEastAsia"/>
          <w:b/>
          <w:bCs/>
          <w:color w:val="auto"/>
          <w:sz w:val="24"/>
          <w:highlight w:val="none"/>
        </w:rPr>
        <w:t>二、资金来源</w:t>
      </w:r>
      <w:bookmarkEnd w:id="18"/>
      <w:bookmarkEnd w:id="19"/>
      <w:bookmarkEnd w:id="20"/>
      <w:bookmarkEnd w:id="21"/>
      <w:bookmarkEnd w:id="22"/>
    </w:p>
    <w:p w14:paraId="47B6905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单位自筹资金，采购预算约人民币</w:t>
      </w:r>
      <w:r>
        <w:rPr>
          <w:rFonts w:hint="eastAsia" w:asciiTheme="minorEastAsia" w:hAnsiTheme="minorEastAsia"/>
          <w:color w:val="auto"/>
          <w:sz w:val="24"/>
          <w:szCs w:val="24"/>
          <w:highlight w:val="none"/>
          <w:lang w:val="en-US" w:eastAsia="zh-CN"/>
        </w:rPr>
        <w:t>144620</w:t>
      </w:r>
      <w:r>
        <w:rPr>
          <w:rFonts w:hint="eastAsia" w:asciiTheme="minorEastAsia" w:hAnsiTheme="minorEastAsia"/>
          <w:color w:val="auto"/>
          <w:sz w:val="24"/>
          <w:szCs w:val="24"/>
          <w:highlight w:val="none"/>
        </w:rPr>
        <w:t>元。</w:t>
      </w:r>
    </w:p>
    <w:bookmarkEnd w:id="23"/>
    <w:p w14:paraId="0F078651">
      <w:pPr>
        <w:pStyle w:val="6"/>
        <w:spacing w:after="0" w:line="400" w:lineRule="exact"/>
        <w:ind w:firstLine="482" w:firstLineChars="200"/>
        <w:rPr>
          <w:rFonts w:asciiTheme="minorEastAsia" w:hAnsiTheme="minorEastAsia"/>
          <w:b/>
          <w:bCs/>
          <w:color w:val="auto"/>
          <w:sz w:val="24"/>
          <w:highlight w:val="none"/>
        </w:rPr>
      </w:pPr>
      <w:bookmarkStart w:id="25" w:name="_Toc6617"/>
      <w:r>
        <w:rPr>
          <w:rFonts w:hint="eastAsia" w:asciiTheme="minorEastAsia" w:hAnsiTheme="minorEastAsia"/>
          <w:b/>
          <w:bCs/>
          <w:color w:val="auto"/>
          <w:sz w:val="24"/>
          <w:highlight w:val="none"/>
        </w:rPr>
        <w:t>三、供应商资格条件</w:t>
      </w:r>
      <w:bookmarkEnd w:id="25"/>
    </w:p>
    <w:p w14:paraId="704758A7">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（一）满足《中华人民共和国政府采购法》第二十二条规定；</w:t>
      </w:r>
    </w:p>
    <w:p w14:paraId="5DB81A52">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（二）本项目的特定资格要求：具备</w:t>
      </w:r>
      <w:r>
        <w:rPr>
          <w:rFonts w:hint="eastAsia" w:asciiTheme="minorEastAsia" w:hAnsiTheme="minorEastAsia"/>
          <w:color w:val="auto"/>
          <w:sz w:val="24"/>
          <w:highlight w:val="none"/>
          <w:lang w:val="en-US" w:eastAsia="zh-CN"/>
        </w:rPr>
        <w:t>有效的</w:t>
      </w:r>
      <w:r>
        <w:rPr>
          <w:rFonts w:hint="eastAsia" w:asciiTheme="minorEastAsia" w:hAnsiTheme="minorEastAsia"/>
          <w:color w:val="auto"/>
          <w:sz w:val="24"/>
          <w:highlight w:val="none"/>
        </w:rPr>
        <w:t>《农药经营许可证》</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提供证书复印件加盖供应商公章</w:t>
      </w:r>
      <w:r>
        <w:rPr>
          <w:rFonts w:hint="eastAsia" w:asciiTheme="minorEastAsia" w:hAnsiTheme="minorEastAsia"/>
          <w:color w:val="auto"/>
          <w:sz w:val="24"/>
          <w:highlight w:val="none"/>
        </w:rPr>
        <w:t>。</w:t>
      </w:r>
    </w:p>
    <w:p w14:paraId="11C22CE1">
      <w:pPr>
        <w:pStyle w:val="6"/>
        <w:spacing w:after="0" w:line="400" w:lineRule="exact"/>
        <w:ind w:firstLine="482" w:firstLineChars="200"/>
        <w:rPr>
          <w:rFonts w:asciiTheme="minorEastAsia" w:hAnsiTheme="minorEastAsia"/>
          <w:b/>
          <w:bCs/>
          <w:color w:val="auto"/>
          <w:sz w:val="24"/>
          <w:highlight w:val="none"/>
        </w:rPr>
      </w:pPr>
      <w:bookmarkStart w:id="26" w:name="_Toc8971"/>
      <w:r>
        <w:rPr>
          <w:rFonts w:hint="eastAsia" w:asciiTheme="minorEastAsia" w:hAnsiTheme="minorEastAsia"/>
          <w:b/>
          <w:bCs/>
          <w:color w:val="auto"/>
          <w:sz w:val="24"/>
          <w:highlight w:val="none"/>
        </w:rPr>
        <w:t>四、询价有关说明</w:t>
      </w:r>
      <w:bookmarkEnd w:id="26"/>
    </w:p>
    <w:bookmarkEnd w:id="24"/>
    <w:p w14:paraId="07D83532">
      <w:pPr>
        <w:snapToGrid w:val="0"/>
        <w:spacing w:line="400" w:lineRule="exact"/>
        <w:ind w:firstLine="480" w:firstLineChars="200"/>
        <w:rPr>
          <w:rFonts w:cs="Times New Roman" w:asciiTheme="minorEastAsia" w:hAnsiTheme="minorEastAsia"/>
          <w:color w:val="auto"/>
          <w:sz w:val="24"/>
          <w:szCs w:val="24"/>
          <w:highlight w:val="none"/>
        </w:rPr>
      </w:pPr>
      <w:bookmarkStart w:id="27" w:name="_Toc12296"/>
      <w:bookmarkStart w:id="28" w:name="_Toc479668114"/>
      <w:bookmarkStart w:id="29" w:name="_Toc521053054"/>
      <w:bookmarkStart w:id="30" w:name="_Toc2945"/>
      <w:bookmarkStart w:id="31" w:name="_Toc65660335"/>
      <w:bookmarkStart w:id="32" w:name="_Toc525047162"/>
      <w:bookmarkStart w:id="33" w:name="_Toc4355"/>
      <w:r>
        <w:rPr>
          <w:rFonts w:hint="eastAsia" w:cs="Times New Roman" w:asciiTheme="minorEastAsia" w:hAnsiTheme="minorEastAsia"/>
          <w:color w:val="auto"/>
          <w:sz w:val="24"/>
          <w:szCs w:val="24"/>
          <w:highlight w:val="none"/>
        </w:rPr>
        <w:t>（一）凡有意参加询价的供应商，请在垫江县人民政府网上下载本项目询价通知书、澄清等报价前公布的所有项目资料，无论供应商下载与否，均视为已知晓所有实质性要求内容。</w:t>
      </w:r>
    </w:p>
    <w:p w14:paraId="65E29C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（二）询价公告期限：自采购公告发布之日起三个工作日。</w:t>
      </w:r>
    </w:p>
    <w:p w14:paraId="7AD8D75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（三）获取询价通知书期限：</w:t>
      </w:r>
    </w:p>
    <w:p w14:paraId="7A3E4B9C">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1.询价通知书提供期限：同询价公告期限。</w:t>
      </w:r>
    </w:p>
    <w:p w14:paraId="138CAD66">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2.报名方式：无需报名</w:t>
      </w:r>
    </w:p>
    <w:p w14:paraId="52E188A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3.询价通知书售价：人民币 0 元/包。</w:t>
      </w:r>
    </w:p>
    <w:p w14:paraId="08EE78FA">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（四）递交响应文件地点：重庆市垫江县桂溪街道镇中社区5楼512</w:t>
      </w:r>
    </w:p>
    <w:p w14:paraId="60EF49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（五）提交响应文件截止时间：2025年</w:t>
      </w:r>
      <w:r>
        <w:rPr>
          <w:rFonts w:hint="eastAsia" w:cs="Times New Roman" w:asciiTheme="minorEastAsia" w:hAnsiTheme="minorEastAsia"/>
          <w:color w:val="auto"/>
          <w:sz w:val="24"/>
          <w:szCs w:val="24"/>
          <w:highlight w:val="none"/>
          <w:u w:val="single"/>
        </w:rPr>
        <w:t>1</w:t>
      </w:r>
      <w:r>
        <w:rPr>
          <w:rFonts w:hint="eastAsia" w:cs="Times New Roman" w:asciiTheme="minorEastAsia" w:hAnsiTheme="minorEastAsia"/>
          <w:color w:val="auto"/>
          <w:sz w:val="24"/>
          <w:szCs w:val="24"/>
          <w:highlight w:val="none"/>
          <w:u w:val="single"/>
          <w:lang w:val="en-US" w:eastAsia="zh-CN"/>
        </w:rPr>
        <w:t>2</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29</w:t>
      </w:r>
      <w:r>
        <w:rPr>
          <w:rFonts w:hint="eastAsia" w:cs="Times New Roman" w:asciiTheme="minorEastAsia" w:hAnsiTheme="minorEastAsia"/>
          <w:color w:val="auto"/>
          <w:sz w:val="24"/>
          <w:szCs w:val="24"/>
          <w:highlight w:val="none"/>
        </w:rPr>
        <w:t>日北京时间 1</w:t>
      </w:r>
      <w:r>
        <w:rPr>
          <w:rFonts w:hint="eastAsia" w:cs="Times New Roman" w:asciiTheme="minorEastAsia" w:hAnsiTheme="minorEastAsia"/>
          <w:color w:val="auto"/>
          <w:sz w:val="24"/>
          <w:szCs w:val="24"/>
          <w:highlight w:val="none"/>
          <w:lang w:val="en-US" w:eastAsia="zh-CN"/>
        </w:rPr>
        <w:t>5</w:t>
      </w:r>
      <w:r>
        <w:rPr>
          <w:rFonts w:hint="eastAsia" w:cs="Times New Roman" w:asciiTheme="minorEastAsia" w:hAnsiTheme="minorEastAsia"/>
          <w:color w:val="auto"/>
          <w:sz w:val="24"/>
          <w:szCs w:val="24"/>
          <w:highlight w:val="none"/>
        </w:rPr>
        <w:t>：00，截止时间前半小时内为递交响应文件时间。</w:t>
      </w:r>
    </w:p>
    <w:p w14:paraId="5E60E2A5">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（六）评审开始时间：2025年</w:t>
      </w:r>
      <w:r>
        <w:rPr>
          <w:rFonts w:hint="eastAsia" w:cs="Times New Roman" w:asciiTheme="minorEastAsia" w:hAnsiTheme="minorEastAsia"/>
          <w:color w:val="auto"/>
          <w:sz w:val="24"/>
          <w:szCs w:val="24"/>
          <w:highlight w:val="none"/>
          <w:u w:val="single"/>
        </w:rPr>
        <w:t>1</w:t>
      </w:r>
      <w:r>
        <w:rPr>
          <w:rFonts w:hint="eastAsia" w:cs="Times New Roman" w:asciiTheme="minorEastAsia" w:hAnsiTheme="minorEastAsia"/>
          <w:color w:val="auto"/>
          <w:sz w:val="24"/>
          <w:szCs w:val="24"/>
          <w:highlight w:val="none"/>
          <w:u w:val="single"/>
          <w:lang w:val="en-US" w:eastAsia="zh-CN"/>
        </w:rPr>
        <w:t>2</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29</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日北京时间1</w:t>
      </w:r>
      <w:r>
        <w:rPr>
          <w:rFonts w:hint="eastAsia" w:cs="Times New Roman" w:asciiTheme="minorEastAsia" w:hAnsiTheme="minorEastAsia"/>
          <w:color w:val="auto"/>
          <w:sz w:val="24"/>
          <w:szCs w:val="24"/>
          <w:highlight w:val="none"/>
          <w:lang w:val="en-US" w:eastAsia="zh-CN"/>
        </w:rPr>
        <w:t>5</w:t>
      </w:r>
      <w:r>
        <w:rPr>
          <w:rFonts w:hint="eastAsia" w:cs="Times New Roman" w:asciiTheme="minorEastAsia" w:hAnsiTheme="minorEastAsia"/>
          <w:color w:val="auto"/>
          <w:sz w:val="24"/>
          <w:szCs w:val="24"/>
          <w:highlight w:val="none"/>
        </w:rPr>
        <w:t>: 00。</w:t>
      </w:r>
    </w:p>
    <w:p w14:paraId="4BA393A2">
      <w:pPr>
        <w:pStyle w:val="6"/>
        <w:spacing w:after="0" w:line="400" w:lineRule="exact"/>
        <w:ind w:firstLine="482" w:firstLineChars="200"/>
        <w:rPr>
          <w:rFonts w:asciiTheme="minorEastAsia" w:hAnsiTheme="minorEastAsia"/>
          <w:b/>
          <w:bCs/>
          <w:color w:val="auto"/>
          <w:sz w:val="24"/>
          <w:highlight w:val="none"/>
        </w:rPr>
      </w:pPr>
      <w:bookmarkStart w:id="34" w:name="_Toc608"/>
      <w:r>
        <w:rPr>
          <w:rFonts w:hint="eastAsia" w:asciiTheme="minorEastAsia" w:hAnsiTheme="minorEastAsia"/>
          <w:b/>
          <w:bCs/>
          <w:color w:val="auto"/>
          <w:sz w:val="24"/>
          <w:highlight w:val="none"/>
        </w:rPr>
        <w:t>五、投标保证金</w:t>
      </w:r>
      <w:bookmarkEnd w:id="34"/>
    </w:p>
    <w:p w14:paraId="1335F7E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无</w:t>
      </w:r>
    </w:p>
    <w:p w14:paraId="7B7F9DC4">
      <w:pPr>
        <w:pStyle w:val="6"/>
        <w:spacing w:after="0" w:line="400" w:lineRule="exact"/>
        <w:ind w:firstLine="482" w:firstLineChars="200"/>
        <w:rPr>
          <w:rFonts w:asciiTheme="minorEastAsia" w:hAnsiTheme="minorEastAsia"/>
          <w:b/>
          <w:bCs/>
          <w:color w:val="auto"/>
          <w:sz w:val="24"/>
          <w:highlight w:val="none"/>
        </w:rPr>
      </w:pPr>
      <w:bookmarkStart w:id="35" w:name="_Toc25809"/>
      <w:r>
        <w:rPr>
          <w:rFonts w:hint="eastAsia" w:asciiTheme="minorEastAsia" w:hAnsiTheme="minorEastAsia"/>
          <w:b/>
          <w:bCs/>
          <w:color w:val="auto"/>
          <w:sz w:val="24"/>
          <w:highlight w:val="none"/>
        </w:rPr>
        <w:t>六、</w:t>
      </w:r>
      <w:bookmarkEnd w:id="27"/>
      <w:bookmarkEnd w:id="28"/>
      <w:bookmarkEnd w:id="29"/>
      <w:bookmarkEnd w:id="30"/>
      <w:bookmarkEnd w:id="31"/>
      <w:bookmarkEnd w:id="32"/>
      <w:bookmarkEnd w:id="33"/>
      <w:bookmarkStart w:id="36" w:name="_Toc521053055"/>
      <w:bookmarkStart w:id="37" w:name="_Toc16269"/>
      <w:bookmarkStart w:id="38" w:name="_Toc65660336"/>
      <w:bookmarkStart w:id="39" w:name="_Toc6563"/>
      <w:bookmarkStart w:id="40" w:name="_Toc4728"/>
      <w:bookmarkStart w:id="41" w:name="_Toc525047163"/>
      <w:r>
        <w:rPr>
          <w:rFonts w:hint="eastAsia" w:asciiTheme="minorEastAsia" w:hAnsiTheme="minorEastAsia"/>
          <w:b/>
          <w:bCs/>
          <w:color w:val="auto"/>
          <w:sz w:val="24"/>
          <w:highlight w:val="none"/>
        </w:rPr>
        <w:t>其它有关规定</w:t>
      </w:r>
      <w:bookmarkEnd w:id="35"/>
      <w:bookmarkEnd w:id="36"/>
      <w:bookmarkEnd w:id="37"/>
      <w:bookmarkEnd w:id="38"/>
      <w:bookmarkEnd w:id="39"/>
      <w:bookmarkEnd w:id="40"/>
      <w:bookmarkEnd w:id="41"/>
    </w:p>
    <w:p w14:paraId="4585F86C">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（一）单位负责人为同一人或者存在直接控股、管理关系的不同供应商，不得参加同一合同项（包）下的采购活动，否则均为无效报价。</w:t>
      </w:r>
    </w:p>
    <w:p w14:paraId="4002EF56">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（二）本项目的澄清文件（如果有）一律在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上发布，请各供应商注意下载；无论供应商下载与否，均视同供应商已知晓本项目澄清文件（如果有）的内容。</w:t>
      </w:r>
    </w:p>
    <w:p w14:paraId="25EBB0E4">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（三）超过响应文件截止时间递交的响应文件，恕不接收。</w:t>
      </w:r>
    </w:p>
    <w:p w14:paraId="023828AB">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（四）询价费用：无论询价结果如何，供应商参与本项目询价的所有费用均应由供应商自行承担。</w:t>
      </w:r>
    </w:p>
    <w:p w14:paraId="0A60E4DA">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（五）本项目不接受联合体参与报价，否则按无效处理。</w:t>
      </w:r>
    </w:p>
    <w:p w14:paraId="261269BB">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（六）本项目不接受合同分包，否则按无效处理。</w:t>
      </w:r>
    </w:p>
    <w:p w14:paraId="1A2839BF">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574AD1">
      <w:pPr>
        <w:pStyle w:val="6"/>
        <w:spacing w:after="0" w:line="400" w:lineRule="exact"/>
        <w:ind w:firstLine="482" w:firstLineChars="200"/>
        <w:rPr>
          <w:rFonts w:asciiTheme="minorEastAsia" w:hAnsiTheme="minorEastAsia"/>
          <w:b/>
          <w:bCs/>
          <w:color w:val="auto"/>
          <w:sz w:val="24"/>
          <w:highlight w:val="none"/>
        </w:rPr>
      </w:pPr>
      <w:bookmarkStart w:id="42" w:name="_Toc525047164"/>
      <w:bookmarkStart w:id="43" w:name="_Toc1552"/>
      <w:bookmarkStart w:id="44" w:name="_Toc1733"/>
      <w:bookmarkStart w:id="45" w:name="_Toc10398"/>
      <w:bookmarkStart w:id="46" w:name="_Toc65660337"/>
      <w:bookmarkStart w:id="47" w:name="_Toc10415"/>
      <w:bookmarkStart w:id="48" w:name="_Toc521053056"/>
      <w:r>
        <w:rPr>
          <w:rFonts w:hint="eastAsia" w:asciiTheme="minorEastAsia" w:hAnsiTheme="minorEastAsia"/>
          <w:b/>
          <w:bCs/>
          <w:color w:val="auto"/>
          <w:sz w:val="24"/>
          <w:highlight w:val="none"/>
        </w:rPr>
        <w:t>七、联系方式</w:t>
      </w:r>
      <w:bookmarkEnd w:id="42"/>
      <w:bookmarkEnd w:id="43"/>
      <w:bookmarkEnd w:id="44"/>
      <w:bookmarkEnd w:id="45"/>
      <w:bookmarkEnd w:id="46"/>
      <w:bookmarkEnd w:id="47"/>
      <w:bookmarkEnd w:id="48"/>
    </w:p>
    <w:p w14:paraId="04A847EE">
      <w:pPr>
        <w:spacing w:line="400" w:lineRule="exact"/>
        <w:ind w:firstLine="480" w:firstLineChars="200"/>
        <w:rPr>
          <w:rFonts w:asciiTheme="minorEastAsia" w:hAnsiTheme="minorEastAsia"/>
          <w:color w:val="auto"/>
          <w:sz w:val="24"/>
          <w:szCs w:val="24"/>
          <w:highlight w:val="none"/>
        </w:rPr>
      </w:pPr>
      <w:bookmarkStart w:id="49" w:name="_Toc1292"/>
      <w:bookmarkStart w:id="50" w:name="_Toc11327"/>
      <w:bookmarkStart w:id="51" w:name="_Toc14516"/>
      <w:bookmarkStart w:id="52" w:name="_Toc65660338"/>
      <w:bookmarkStart w:id="53" w:name="_Toc102227313"/>
      <w:r>
        <w:rPr>
          <w:rFonts w:hint="eastAsia" w:asciiTheme="minorEastAsia" w:hAnsiTheme="minorEastAsia"/>
          <w:color w:val="auto"/>
          <w:sz w:val="24"/>
          <w:szCs w:val="24"/>
          <w:highlight w:val="none"/>
        </w:rPr>
        <w:t xml:space="preserve">（一）采购人：重庆东鸿城市运营管理有限责任公司  </w:t>
      </w:r>
    </w:p>
    <w:p w14:paraId="229C615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联系人：代老师   联系电话：023-81869626</w:t>
      </w:r>
    </w:p>
    <w:p w14:paraId="08894A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（二）采购代理机构：重庆立生实业有限公司</w:t>
      </w:r>
    </w:p>
    <w:p w14:paraId="2384739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联系人：朱老师    联系电话：023-74686886</w:t>
      </w:r>
    </w:p>
    <w:p w14:paraId="065F38A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地址：重庆市垫江县桂阳街道桂西大道南二段2号财富大厦14楼</w:t>
      </w:r>
    </w:p>
    <w:p w14:paraId="74BFCF78">
      <w:pPr>
        <w:rPr>
          <w:color w:val="auto"/>
          <w:highlight w:val="none"/>
        </w:rPr>
      </w:pPr>
    </w:p>
    <w:p w14:paraId="425D3D72">
      <w:pPr>
        <w:pStyle w:val="11"/>
        <w:ind w:left="1260"/>
        <w:rPr>
          <w:color w:val="auto"/>
          <w:highlight w:val="none"/>
        </w:rPr>
      </w:pPr>
    </w:p>
    <w:p w14:paraId="4A6F45F3">
      <w:pPr>
        <w:pStyle w:val="6"/>
        <w:pageBreakBefore/>
        <w:numPr>
          <w:ilvl w:val="0"/>
          <w:numId w:val="2"/>
        </w:numPr>
        <w:spacing w:after="0"/>
        <w:jc w:val="center"/>
        <w:rPr>
          <w:rFonts w:asciiTheme="minorEastAsia" w:hAnsiTheme="minorEastAsia"/>
          <w:color w:val="auto"/>
          <w:sz w:val="36"/>
          <w:szCs w:val="30"/>
          <w:highlight w:val="none"/>
        </w:rPr>
      </w:pPr>
      <w:bookmarkStart w:id="54" w:name="_Toc5769"/>
      <w:r>
        <w:rPr>
          <w:rFonts w:hint="eastAsia" w:asciiTheme="minorEastAsia" w:hAnsiTheme="minorEastAsia"/>
          <w:color w:val="auto"/>
          <w:sz w:val="36"/>
          <w:szCs w:val="30"/>
          <w:highlight w:val="none"/>
        </w:rPr>
        <w:t>询价项目技术（质量）需求</w:t>
      </w:r>
      <w:bookmarkEnd w:id="49"/>
      <w:bookmarkEnd w:id="50"/>
      <w:bookmarkEnd w:id="51"/>
      <w:bookmarkEnd w:id="52"/>
      <w:bookmarkEnd w:id="54"/>
    </w:p>
    <w:p w14:paraId="74BD7187">
      <w:pPr>
        <w:snapToGrid w:val="0"/>
        <w:spacing w:line="400" w:lineRule="exact"/>
        <w:ind w:left="362"/>
        <w:rPr>
          <w:rFonts w:asciiTheme="minorEastAsia" w:hAnsiTheme="minorEastAsia"/>
          <w:color w:val="auto"/>
          <w:sz w:val="24"/>
          <w:szCs w:val="24"/>
          <w:highlight w:val="none"/>
        </w:rPr>
      </w:pPr>
      <w:r>
        <w:rPr>
          <w:rFonts w:hint="eastAsia" w:ascii="方正仿宋_GBK" w:hAnsi="宋体" w:eastAsia="方正仿宋_GBK"/>
          <w:color w:val="auto"/>
          <w:sz w:val="24"/>
          <w:highlight w:val="none"/>
        </w:rPr>
        <w:t>1、项目一览表</w:t>
      </w:r>
    </w:p>
    <w:tbl>
      <w:tblPr>
        <w:tblStyle w:val="22"/>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018"/>
        <w:gridCol w:w="1926"/>
        <w:gridCol w:w="1382"/>
        <w:gridCol w:w="1122"/>
        <w:gridCol w:w="1176"/>
      </w:tblGrid>
      <w:tr w14:paraId="6296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9320" w:type="dxa"/>
            <w:gridSpan w:val="6"/>
            <w:tcBorders>
              <w:top w:val="nil"/>
              <w:left w:val="nil"/>
              <w:bottom w:val="nil"/>
              <w:right w:val="nil"/>
            </w:tcBorders>
            <w:shd w:val="clear" w:color="auto" w:fill="auto"/>
            <w:vAlign w:val="center"/>
          </w:tcPr>
          <w:p w14:paraId="1307B999">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重庆东鸿城市运营管理有限责任公司                                               2026年涂白剂、肥料、农药药品采购（第二次）清单</w:t>
            </w:r>
          </w:p>
        </w:tc>
      </w:tr>
      <w:tr w14:paraId="036F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B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6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D9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单价限价</w:t>
            </w:r>
          </w:p>
          <w:p w14:paraId="74A6D3E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（元）</w:t>
            </w:r>
          </w:p>
        </w:tc>
      </w:tr>
      <w:tr w14:paraId="0138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33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杀虫气雾剂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B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C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F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20</w:t>
            </w:r>
          </w:p>
        </w:tc>
      </w:tr>
      <w:tr w14:paraId="5106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3F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5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辛硫磷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43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3A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EBAD">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13</w:t>
            </w:r>
          </w:p>
        </w:tc>
      </w:tr>
      <w:tr w14:paraId="356D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C2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0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高效氯氟氰菊酯（</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D4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4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E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FF04">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32</w:t>
            </w:r>
          </w:p>
        </w:tc>
      </w:tr>
      <w:tr w14:paraId="12F4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4B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A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噻虫啉（</w:t>
            </w:r>
            <w:r>
              <w:rPr>
                <w:rFonts w:hint="default" w:ascii="Times New Roman" w:hAnsi="Times New Roman" w:eastAsia="宋体" w:cs="Times New Roman"/>
                <w:i w:val="0"/>
                <w:iCs w:val="0"/>
                <w:color w:val="auto"/>
                <w:kern w:val="0"/>
                <w:sz w:val="24"/>
                <w:szCs w:val="24"/>
                <w:highlight w:val="none"/>
                <w:u w:val="none"/>
                <w:lang w:val="en-US" w:eastAsia="zh-CN" w:bidi="ar"/>
              </w:rPr>
              <w:t>2%</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A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7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7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B13">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50</w:t>
            </w:r>
          </w:p>
        </w:tc>
      </w:tr>
      <w:tr w14:paraId="7E79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FF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吡虫啉（20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B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2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A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61F7">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55</w:t>
            </w:r>
          </w:p>
        </w:tc>
      </w:tr>
      <w:tr w14:paraId="47B0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48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38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石硫合剂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8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AE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C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B5FB">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15</w:t>
            </w:r>
          </w:p>
        </w:tc>
      </w:tr>
      <w:tr w14:paraId="56B8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66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代森锰锌（</w:t>
            </w:r>
            <w:r>
              <w:rPr>
                <w:rFonts w:hint="default" w:ascii="Times New Roman" w:hAnsi="Times New Roman" w:eastAsia="宋体" w:cs="Times New Roman"/>
                <w:i w:val="0"/>
                <w:iCs w:val="0"/>
                <w:color w:val="auto"/>
                <w:kern w:val="0"/>
                <w:sz w:val="24"/>
                <w:szCs w:val="24"/>
                <w:highlight w:val="none"/>
                <w:u w:val="none"/>
                <w:lang w:val="en-US" w:eastAsia="zh-CN" w:bidi="ar"/>
              </w:rPr>
              <w:t>70%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B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D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9B14">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35</w:t>
            </w:r>
          </w:p>
        </w:tc>
      </w:tr>
      <w:tr w14:paraId="75C6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78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nil"/>
              <w:left w:val="nil"/>
              <w:bottom w:val="nil"/>
              <w:right w:val="nil"/>
            </w:tcBorders>
            <w:shd w:val="clear" w:color="auto" w:fill="auto"/>
            <w:noWrap/>
            <w:vAlign w:val="center"/>
          </w:tcPr>
          <w:p w14:paraId="1CD22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伤口愈合剂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D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4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49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8A2F">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30</w:t>
            </w:r>
          </w:p>
        </w:tc>
      </w:tr>
      <w:tr w14:paraId="2B3C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44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E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联苯菊酯</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24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5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2BBB">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34</w:t>
            </w:r>
          </w:p>
        </w:tc>
      </w:tr>
      <w:tr w14:paraId="38EF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92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D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舒绝杀蚁诱剂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E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F5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4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E43">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40</w:t>
            </w:r>
          </w:p>
        </w:tc>
      </w:tr>
      <w:tr w14:paraId="3C77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3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3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呋虫胺唑虫酰胺</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E3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A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BC18">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55</w:t>
            </w:r>
          </w:p>
        </w:tc>
      </w:tr>
      <w:tr w14:paraId="3E1B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34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A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多菌灵（</w:t>
            </w:r>
            <w:r>
              <w:rPr>
                <w:rFonts w:hint="default" w:ascii="Times New Roman" w:hAnsi="Times New Roman" w:eastAsia="宋体" w:cs="Times New Roman"/>
                <w:i w:val="0"/>
                <w:iCs w:val="0"/>
                <w:color w:val="auto"/>
                <w:kern w:val="0"/>
                <w:sz w:val="24"/>
                <w:szCs w:val="24"/>
                <w:highlight w:val="none"/>
                <w:u w:val="none"/>
                <w:lang w:val="en-US" w:eastAsia="zh-CN" w:bidi="ar"/>
              </w:rPr>
              <w:t>50%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5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F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7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ACD7">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24</w:t>
            </w:r>
          </w:p>
        </w:tc>
      </w:tr>
      <w:tr w14:paraId="7649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C6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甲基托布津</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C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A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9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7ECA">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48</w:t>
            </w:r>
          </w:p>
        </w:tc>
      </w:tr>
      <w:tr w14:paraId="5878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EB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8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甲嘧磺隆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7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D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79DB">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r>
      <w:tr w14:paraId="590B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CF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D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农用有机硅</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5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6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4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23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28</w:t>
            </w:r>
          </w:p>
        </w:tc>
      </w:tr>
      <w:tr w14:paraId="4370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7E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树木涂白剂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7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0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E3D1">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1850</w:t>
            </w:r>
          </w:p>
        </w:tc>
      </w:tr>
      <w:tr w14:paraId="4812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47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A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复合肥料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Style w:val="42"/>
                <w:color w:val="auto"/>
                <w:highlight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N-P₂O₅-K₂O≥45%</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2F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F4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8D7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3700</w:t>
            </w:r>
          </w:p>
        </w:tc>
      </w:tr>
    </w:tbl>
    <w:p w14:paraId="6550855A">
      <w:pPr>
        <w:pStyle w:val="11"/>
        <w:ind w:left="0" w:leftChars="0"/>
        <w:rPr>
          <w:rFonts w:hint="eastAsia"/>
          <w:color w:val="auto"/>
          <w:highlight w:val="none"/>
          <w:lang w:val="en-US" w:eastAsia="zh-CN"/>
        </w:rPr>
      </w:pPr>
    </w:p>
    <w:p w14:paraId="0AA92DAA">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注：1、提供的农药产品须有农药三证（即：农药登记证、农药生产许可证、农药生产批准文件或产品标准证书）送货时提供，以确保农药产品的正规性和可追溯性，如未提供或提供不全招标人有权拒绝签收货物，</w:t>
      </w:r>
      <w:r>
        <w:rPr>
          <w:rFonts w:hint="default"/>
          <w:color w:val="auto"/>
          <w:sz w:val="24"/>
          <w:szCs w:val="24"/>
          <w:highlight w:val="none"/>
          <w:lang w:val="en-US" w:eastAsia="zh-CN"/>
        </w:rPr>
        <w:t>所产生的经济和法律责任，由中标单位自行承担</w:t>
      </w:r>
      <w:r>
        <w:rPr>
          <w:rFonts w:hint="eastAsia"/>
          <w:color w:val="auto"/>
          <w:sz w:val="24"/>
          <w:szCs w:val="24"/>
          <w:highlight w:val="none"/>
          <w:lang w:val="en-US" w:eastAsia="zh-CN"/>
        </w:rPr>
        <w:t>。</w:t>
      </w:r>
    </w:p>
    <w:p w14:paraId="5FAE73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2、诚实守信，具有履行合同所必需专业技术能力；安排专业人员在甲方指定地点免费对甲方指定人员进行培训、指导的，且指定人员具备相应的专业资质。</w:t>
      </w:r>
    </w:p>
    <w:p w14:paraId="3836D40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若上级相关法定部门要求提供的相关证件的，由中标单位无条件提供；若无法提供的，所产生的经济和法律责任，由中标单位自行承担。</w:t>
      </w:r>
    </w:p>
    <w:p w14:paraId="6967B5A9">
      <w:pPr>
        <w:rPr>
          <w:rFonts w:hint="default"/>
          <w:color w:val="auto"/>
          <w:highlight w:val="none"/>
          <w:lang w:val="en-US" w:eastAsia="zh-CN"/>
        </w:rPr>
      </w:pPr>
    </w:p>
    <w:p w14:paraId="59979564">
      <w:pPr>
        <w:pStyle w:val="6"/>
        <w:pageBreakBefore/>
        <w:spacing w:after="0"/>
        <w:ind w:firstLine="2160" w:firstLineChars="600"/>
        <w:rPr>
          <w:rFonts w:asciiTheme="minorEastAsia" w:hAnsiTheme="minorEastAsia"/>
          <w:color w:val="auto"/>
          <w:sz w:val="36"/>
          <w:szCs w:val="30"/>
          <w:highlight w:val="none"/>
        </w:rPr>
      </w:pPr>
      <w:bookmarkStart w:id="55" w:name="_Toc523"/>
      <w:bookmarkStart w:id="56" w:name="_Toc15492"/>
      <w:bookmarkStart w:id="57" w:name="_Toc13356"/>
      <w:bookmarkStart w:id="58" w:name="_Toc65660341"/>
      <w:bookmarkStart w:id="59" w:name="_Toc28862"/>
      <w:r>
        <w:rPr>
          <w:rFonts w:hint="eastAsia" w:asciiTheme="minorEastAsia" w:hAnsiTheme="minorEastAsia"/>
          <w:color w:val="auto"/>
          <w:sz w:val="36"/>
          <w:szCs w:val="30"/>
          <w:highlight w:val="none"/>
        </w:rPr>
        <w:t xml:space="preserve">第三篇  </w:t>
      </w:r>
      <w:bookmarkEnd w:id="53"/>
      <w:r>
        <w:rPr>
          <w:rFonts w:hint="eastAsia" w:asciiTheme="minorEastAsia" w:hAnsiTheme="minorEastAsia"/>
          <w:color w:val="auto"/>
          <w:sz w:val="36"/>
          <w:szCs w:val="30"/>
          <w:highlight w:val="none"/>
        </w:rPr>
        <w:t>询价项目服务</w:t>
      </w:r>
      <w:bookmarkEnd w:id="55"/>
      <w:bookmarkEnd w:id="56"/>
      <w:bookmarkEnd w:id="57"/>
      <w:bookmarkEnd w:id="58"/>
      <w:r>
        <w:rPr>
          <w:rFonts w:hint="eastAsia" w:asciiTheme="minorEastAsia" w:hAnsiTheme="minorEastAsia"/>
          <w:color w:val="auto"/>
          <w:sz w:val="36"/>
          <w:szCs w:val="30"/>
          <w:highlight w:val="none"/>
        </w:rPr>
        <w:t>需求</w:t>
      </w:r>
      <w:bookmarkEnd w:id="59"/>
    </w:p>
    <w:p w14:paraId="3A16D4DE">
      <w:pPr>
        <w:pStyle w:val="6"/>
        <w:spacing w:line="400" w:lineRule="exact"/>
        <w:ind w:firstLine="482" w:firstLineChars="200"/>
        <w:rPr>
          <w:rFonts w:asciiTheme="minorEastAsia" w:hAnsiTheme="minorEastAsia"/>
          <w:b/>
          <w:color w:val="auto"/>
          <w:sz w:val="24"/>
          <w:szCs w:val="24"/>
          <w:highlight w:val="none"/>
        </w:rPr>
      </w:pPr>
      <w:bookmarkStart w:id="60" w:name="_Toc18028"/>
      <w:bookmarkStart w:id="61" w:name="_Hlk199144897"/>
      <w:bookmarkStart w:id="62" w:name="OLE_LINK25"/>
      <w:r>
        <w:rPr>
          <w:rFonts w:hint="eastAsia" w:asciiTheme="minorEastAsia" w:hAnsiTheme="minorEastAsia"/>
          <w:b/>
          <w:color w:val="auto"/>
          <w:sz w:val="24"/>
          <w:szCs w:val="24"/>
          <w:highlight w:val="none"/>
        </w:rPr>
        <w:t>一、供货期、交货地点及验收方式</w:t>
      </w:r>
      <w:bookmarkEnd w:id="60"/>
    </w:p>
    <w:p w14:paraId="1A85C35F">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3F22C1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分批供货，以</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人单次通知（书面、口头、电话等方式）起3日内送达</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人指定地点。</w:t>
      </w:r>
    </w:p>
    <w:p w14:paraId="64723A13">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6F1152E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交货地点：由供应商送货至采购人指定地点。</w:t>
      </w:r>
    </w:p>
    <w:p w14:paraId="106FFFE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73A5BBF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1A3D8D0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4E317CA4">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3.货物的规格/型号/材质/相关参数必须符合第二篇询价项目技术（质量）需求中“1．项目一览表”的规定。</w:t>
      </w:r>
    </w:p>
    <w:p w14:paraId="53D7395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在规定时间内完成交货并验收合格，并经采购人确认。</w:t>
      </w:r>
    </w:p>
    <w:p w14:paraId="1C33983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74845C0F">
      <w:pPr>
        <w:pStyle w:val="6"/>
        <w:spacing w:line="400" w:lineRule="exact"/>
        <w:ind w:firstLine="482" w:firstLineChars="200"/>
        <w:rPr>
          <w:rFonts w:asciiTheme="minorEastAsia" w:hAnsiTheme="minorEastAsia"/>
          <w:b/>
          <w:color w:val="auto"/>
          <w:sz w:val="24"/>
          <w:szCs w:val="24"/>
          <w:highlight w:val="none"/>
        </w:rPr>
      </w:pPr>
      <w:bookmarkStart w:id="63" w:name="_Toc28679"/>
      <w:bookmarkStart w:id="64" w:name="_Toc26603"/>
      <w:bookmarkStart w:id="65" w:name="_Toc29436"/>
      <w:bookmarkStart w:id="66" w:name="_Toc18152"/>
      <w:bookmarkStart w:id="67" w:name="_Toc75793510"/>
      <w:bookmarkStart w:id="68" w:name="_Toc30781"/>
      <w:bookmarkStart w:id="69" w:name="_Toc13418"/>
      <w:bookmarkStart w:id="70" w:name="_Toc9271"/>
      <w:bookmarkStart w:id="71" w:name="_Toc22158"/>
      <w:bookmarkStart w:id="72" w:name="_Toc21022"/>
      <w:bookmarkStart w:id="73" w:name="_Toc20367"/>
      <w:bookmarkStart w:id="74" w:name="_Toc22142"/>
      <w:bookmarkStart w:id="75" w:name="_Toc4036"/>
      <w:bookmarkStart w:id="76" w:name="_Toc8592"/>
      <w:bookmarkStart w:id="77" w:name="_Toc1484"/>
      <w:bookmarkStart w:id="78" w:name="_Toc7746"/>
      <w:bookmarkStart w:id="79" w:name="_Toc29144"/>
      <w:bookmarkStart w:id="80" w:name="_Toc267320050"/>
      <w:r>
        <w:rPr>
          <w:rFonts w:hint="eastAsia" w:asciiTheme="minorEastAsia" w:hAnsiTheme="minorEastAsia"/>
          <w:b/>
          <w:color w:val="auto"/>
          <w:sz w:val="24"/>
          <w:szCs w:val="24"/>
          <w:highlight w:val="none"/>
        </w:rPr>
        <w:t>二、报价要求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69AD198">
      <w:pPr>
        <w:snapToGrid w:val="0"/>
        <w:spacing w:line="360" w:lineRule="auto"/>
        <w:ind w:firstLine="480" w:firstLineChars="200"/>
        <w:rPr>
          <w:rFonts w:ascii="宋体" w:hAnsi="宋体" w:cs="宋体"/>
          <w:color w:val="auto"/>
          <w:kern w:val="0"/>
          <w:sz w:val="24"/>
          <w:szCs w:val="24"/>
          <w:highlight w:val="none"/>
        </w:rPr>
      </w:pPr>
      <w:bookmarkStart w:id="81" w:name="_Toc2821"/>
      <w:bookmarkStart w:id="82" w:name="_Toc2244"/>
      <w:bookmarkStart w:id="83" w:name="_Toc14177"/>
      <w:bookmarkStart w:id="84" w:name="_Toc32313"/>
      <w:bookmarkStart w:id="85" w:name="_Toc1450"/>
      <w:bookmarkStart w:id="86" w:name="_Toc4252"/>
      <w:bookmarkStart w:id="87" w:name="_Toc27382"/>
      <w:bookmarkStart w:id="88" w:name="_Toc23903"/>
      <w:bookmarkStart w:id="89" w:name="_Toc4774"/>
      <w:bookmarkStart w:id="90" w:name="_Toc16693"/>
      <w:bookmarkStart w:id="91" w:name="_Toc20887"/>
      <w:bookmarkStart w:id="92" w:name="_Toc75793511"/>
      <w:bookmarkStart w:id="93" w:name="_Toc3465"/>
      <w:bookmarkStart w:id="94" w:name="_Toc20182"/>
      <w:bookmarkStart w:id="95" w:name="_Toc15677"/>
      <w:bookmarkStart w:id="96" w:name="_Toc15096"/>
      <w:r>
        <w:rPr>
          <w:rFonts w:hint="eastAsia" w:ascii="宋体" w:hAnsi="宋体" w:cs="宋体"/>
          <w:color w:val="auto"/>
          <w:kern w:val="0"/>
          <w:sz w:val="24"/>
          <w:szCs w:val="24"/>
          <w:highlight w:val="none"/>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5C5831ED">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2、本项目设置暂定总价限价和单价限价，供应商在报价函中直接填报的总报价不得超过本项目总价限价，单价报价不得超过对应的单价限价。否则由询价小组按</w:t>
      </w:r>
      <w:r>
        <w:rPr>
          <w:rFonts w:hint="eastAsia" w:asciiTheme="minorEastAsia" w:hAnsiTheme="minorEastAsia"/>
          <w:color w:val="auto"/>
          <w:sz w:val="24"/>
          <w:highlight w:val="none"/>
        </w:rPr>
        <w:t>无效报价处理。</w:t>
      </w:r>
    </w:p>
    <w:p w14:paraId="7C6E9EFF">
      <w:pPr>
        <w:pStyle w:val="6"/>
        <w:ind w:firstLine="482" w:firstLineChars="200"/>
        <w:rPr>
          <w:rFonts w:cs="宋体"/>
          <w:b/>
          <w:color w:val="auto"/>
          <w:sz w:val="24"/>
          <w:szCs w:val="24"/>
          <w:highlight w:val="none"/>
        </w:rPr>
      </w:pPr>
      <w:bookmarkStart w:id="97" w:name="_Toc28036"/>
      <w:r>
        <w:rPr>
          <w:rFonts w:hint="eastAsia" w:asciiTheme="minorEastAsia" w:hAnsiTheme="minorEastAsia"/>
          <w:b/>
          <w:color w:val="auto"/>
          <w:sz w:val="24"/>
          <w:szCs w:val="24"/>
          <w:highlight w:val="none"/>
        </w:rPr>
        <w:t>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cs="宋体"/>
          <w:b/>
          <w:color w:val="auto"/>
          <w:sz w:val="24"/>
          <w:szCs w:val="24"/>
          <w:highlight w:val="none"/>
        </w:rPr>
        <w:t>质量保证及售后服务</w:t>
      </w:r>
      <w:bookmarkEnd w:id="97"/>
    </w:p>
    <w:p w14:paraId="0BDE9D57">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w:t>
      </w:r>
      <w:r>
        <w:rPr>
          <w:rFonts w:hint="eastAsia" w:ascii="宋体" w:hAnsi="宋体" w:cs="宋体"/>
          <w:color w:val="auto"/>
          <w:kern w:val="0"/>
          <w:sz w:val="24"/>
          <w:szCs w:val="24"/>
          <w:highlight w:val="none"/>
        </w:rPr>
        <w:t>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r>
        <w:rPr>
          <w:rFonts w:hint="eastAsia" w:ascii="宋体" w:hAnsi="宋体" w:eastAsia="宋体" w:cs="宋体"/>
          <w:color w:val="auto"/>
          <w:szCs w:val="24"/>
          <w:highlight w:val="none"/>
          <w:lang w:eastAsia="zh-CN"/>
        </w:rPr>
        <w:t>。</w:t>
      </w:r>
    </w:p>
    <w:p w14:paraId="684C0B21">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14FEF23D">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、成交供应商每次送货提供送货联单，否则拒绝收货，累积2次不按此规定实施扣按500元/次处以违约金，且采购方有权单方面终止供货合同。</w:t>
      </w:r>
    </w:p>
    <w:p w14:paraId="6F0B4220">
      <w:pPr>
        <w:pStyle w:val="6"/>
        <w:spacing w:line="400" w:lineRule="exact"/>
        <w:ind w:firstLine="482" w:firstLineChars="200"/>
        <w:rPr>
          <w:rFonts w:asciiTheme="minorEastAsia" w:hAnsiTheme="minorEastAsia"/>
          <w:b/>
          <w:color w:val="auto"/>
          <w:sz w:val="24"/>
          <w:szCs w:val="24"/>
          <w:highlight w:val="none"/>
        </w:rPr>
      </w:pPr>
      <w:bookmarkStart w:id="98" w:name="_Toc1008"/>
      <w:bookmarkStart w:id="99" w:name="_Toc19350"/>
      <w:bookmarkStart w:id="100" w:name="_Toc25745"/>
      <w:bookmarkStart w:id="101" w:name="_Toc32722"/>
      <w:bookmarkStart w:id="102" w:name="_Toc12285"/>
      <w:bookmarkStart w:id="103" w:name="_Toc25932"/>
      <w:bookmarkStart w:id="104" w:name="_Toc75793512"/>
      <w:bookmarkStart w:id="105" w:name="_Toc29286"/>
      <w:bookmarkStart w:id="106" w:name="_Toc21888"/>
      <w:bookmarkStart w:id="107" w:name="_Toc8955"/>
      <w:bookmarkStart w:id="108" w:name="_Toc22695"/>
      <w:bookmarkStart w:id="109" w:name="_Toc25552"/>
      <w:bookmarkStart w:id="110" w:name="_Toc8529"/>
      <w:bookmarkStart w:id="111" w:name="_Toc26985"/>
      <w:bookmarkStart w:id="112" w:name="_Toc30442"/>
      <w:bookmarkStart w:id="113" w:name="_Toc5174"/>
      <w:bookmarkStart w:id="114" w:name="_Toc18007"/>
      <w:r>
        <w:rPr>
          <w:rFonts w:hint="eastAsia" w:asciiTheme="minorEastAsia" w:hAnsiTheme="minorEastAsia"/>
          <w:b/>
          <w:color w:val="auto"/>
          <w:sz w:val="24"/>
          <w:szCs w:val="24"/>
          <w:highlight w:val="none"/>
        </w:rPr>
        <w:t>四、付款方式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4EDCFA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w:t>
      </w:r>
      <w:r>
        <w:rPr>
          <w:rFonts w:hint="eastAsia" w:cs="宋体" w:asciiTheme="minorEastAsia" w:hAnsiTheme="minorEastAsia"/>
          <w:color w:val="auto"/>
          <w:kern w:val="0"/>
          <w:sz w:val="24"/>
          <w:szCs w:val="24"/>
          <w:highlight w:val="none"/>
          <w:lang w:val="en-US" w:eastAsia="zh-CN"/>
        </w:rPr>
        <w:t>前</w:t>
      </w:r>
      <w:r>
        <w:rPr>
          <w:rFonts w:hint="eastAsia" w:cs="宋体" w:asciiTheme="minorEastAsia" w:hAnsiTheme="minorEastAsia"/>
          <w:color w:val="auto"/>
          <w:kern w:val="0"/>
          <w:sz w:val="24"/>
          <w:szCs w:val="24"/>
          <w:highlight w:val="none"/>
        </w:rPr>
        <w:t>成交供应商向采购人缴纳</w:t>
      </w:r>
      <w:r>
        <w:rPr>
          <w:rFonts w:hint="eastAsia" w:cs="宋体" w:asciiTheme="minorEastAsia" w:hAnsiTheme="minorEastAsia"/>
          <w:color w:val="auto"/>
          <w:kern w:val="0"/>
          <w:sz w:val="24"/>
          <w:szCs w:val="24"/>
          <w:highlight w:val="none"/>
          <w:u w:val="single"/>
        </w:rPr>
        <w:t xml:space="preserve">合同金额的10% </w:t>
      </w:r>
      <w:r>
        <w:rPr>
          <w:rFonts w:hint="eastAsia" w:cs="宋体" w:asciiTheme="minorEastAsia" w:hAnsiTheme="minorEastAsia"/>
          <w:color w:val="auto"/>
          <w:kern w:val="0"/>
          <w:sz w:val="24"/>
          <w:szCs w:val="24"/>
          <w:highlight w:val="none"/>
        </w:rPr>
        <w:t>的履约保证金，供货期满</w:t>
      </w:r>
      <w:r>
        <w:rPr>
          <w:rFonts w:hint="eastAsia" w:cs="宋体" w:asciiTheme="minorEastAsia" w:hAnsiTheme="minorEastAsia"/>
          <w:color w:val="auto"/>
          <w:kern w:val="0"/>
          <w:sz w:val="24"/>
          <w:szCs w:val="24"/>
          <w:highlight w:val="none"/>
          <w:lang w:val="en-US" w:eastAsia="zh-CN"/>
        </w:rPr>
        <w:t>经验收合格</w:t>
      </w:r>
      <w:r>
        <w:rPr>
          <w:rFonts w:hint="eastAsia" w:cs="宋体" w:asciiTheme="minorEastAsia" w:hAnsiTheme="minorEastAsia"/>
          <w:color w:val="auto"/>
          <w:kern w:val="0"/>
          <w:sz w:val="24"/>
          <w:szCs w:val="24"/>
          <w:highlight w:val="none"/>
        </w:rPr>
        <w:t>后无息退还。</w:t>
      </w:r>
    </w:p>
    <w:p w14:paraId="3F5182EC">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w:t>
      </w:r>
      <w:bookmarkStart w:id="115" w:name="OLE_LINK5"/>
      <w:r>
        <w:rPr>
          <w:rFonts w:hint="eastAsia" w:cs="宋体" w:asciiTheme="minorEastAsia" w:hAnsiTheme="minorEastAsia"/>
          <w:color w:val="auto"/>
          <w:kern w:val="0"/>
          <w:sz w:val="24"/>
          <w:szCs w:val="24"/>
          <w:highlight w:val="none"/>
        </w:rPr>
        <w:t>上季度货物完成送货且验收合格后，</w:t>
      </w:r>
      <w:r>
        <w:rPr>
          <w:rFonts w:hint="eastAsia" w:cs="宋体" w:asciiTheme="minorEastAsia" w:hAnsiTheme="minorEastAsia"/>
          <w:color w:val="auto"/>
          <w:kern w:val="0"/>
          <w:sz w:val="24"/>
          <w:szCs w:val="24"/>
          <w:highlight w:val="none"/>
          <w:lang w:val="en-US" w:eastAsia="zh-CN"/>
        </w:rPr>
        <w:t>采购人</w:t>
      </w:r>
      <w:r>
        <w:rPr>
          <w:rFonts w:hint="eastAsia" w:cs="宋体" w:asciiTheme="minorEastAsia" w:hAnsiTheme="minorEastAsia"/>
          <w:color w:val="auto"/>
          <w:kern w:val="0"/>
          <w:sz w:val="24"/>
          <w:szCs w:val="24"/>
          <w:highlight w:val="none"/>
        </w:rPr>
        <w:t>在 30 日内</w:t>
      </w:r>
      <w:r>
        <w:rPr>
          <w:rFonts w:hint="eastAsia" w:cs="宋体" w:asciiTheme="minorEastAsia" w:hAnsiTheme="minorEastAsia"/>
          <w:color w:val="auto"/>
          <w:kern w:val="0"/>
          <w:sz w:val="24"/>
          <w:szCs w:val="24"/>
          <w:highlight w:val="none"/>
          <w:lang w:val="en-US" w:eastAsia="zh-CN"/>
        </w:rPr>
        <w:t>支付</w:t>
      </w:r>
      <w:r>
        <w:rPr>
          <w:rFonts w:hint="eastAsia" w:cs="宋体" w:asciiTheme="minorEastAsia" w:hAnsiTheme="minorEastAsia"/>
          <w:color w:val="auto"/>
          <w:kern w:val="0"/>
          <w:sz w:val="24"/>
          <w:szCs w:val="24"/>
          <w:highlight w:val="none"/>
        </w:rPr>
        <w:t>该季度验收合格货物对应的款项。</w:t>
      </w:r>
      <w:bookmarkEnd w:id="115"/>
      <w:r>
        <w:rPr>
          <w:rFonts w:hint="eastAsia" w:cs="宋体" w:asciiTheme="minorEastAsia" w:hAnsiTheme="minorEastAsia"/>
          <w:color w:val="auto"/>
          <w:kern w:val="0"/>
          <w:sz w:val="24"/>
          <w:szCs w:val="24"/>
          <w:highlight w:val="none"/>
        </w:rPr>
        <w:t>结算办法如下：</w:t>
      </w:r>
    </w:p>
    <w:p w14:paraId="4B3239D1">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结算价=成交单价×</w:t>
      </w:r>
      <w:r>
        <w:rPr>
          <w:rFonts w:hint="eastAsia" w:cs="宋体" w:asciiTheme="minorEastAsia" w:hAnsiTheme="minorEastAsia"/>
          <w:color w:val="auto"/>
          <w:kern w:val="0"/>
          <w:sz w:val="24"/>
          <w:szCs w:val="24"/>
          <w:highlight w:val="none"/>
          <w:lang w:val="en-US" w:eastAsia="zh-CN"/>
        </w:rPr>
        <w:t>季度</w:t>
      </w:r>
      <w:r>
        <w:rPr>
          <w:rFonts w:hint="eastAsia" w:cs="宋体" w:asciiTheme="minorEastAsia" w:hAnsiTheme="minorEastAsia"/>
          <w:color w:val="auto"/>
          <w:kern w:val="0"/>
          <w:sz w:val="24"/>
          <w:szCs w:val="24"/>
          <w:highlight w:val="none"/>
        </w:rPr>
        <w:t>实际</w:t>
      </w:r>
      <w:r>
        <w:rPr>
          <w:rFonts w:hint="eastAsia" w:cs="宋体" w:asciiTheme="minorEastAsia" w:hAnsiTheme="minorEastAsia"/>
          <w:color w:val="auto"/>
          <w:kern w:val="0"/>
          <w:sz w:val="24"/>
          <w:szCs w:val="24"/>
          <w:highlight w:val="none"/>
          <w:lang w:val="en-US" w:eastAsia="zh-CN"/>
        </w:rPr>
        <w:t>验收</w:t>
      </w:r>
      <w:r>
        <w:rPr>
          <w:rFonts w:hint="eastAsia" w:cs="宋体" w:asciiTheme="minorEastAsia" w:hAnsiTheme="minorEastAsia"/>
          <w:color w:val="auto"/>
          <w:kern w:val="0"/>
          <w:sz w:val="24"/>
          <w:szCs w:val="24"/>
          <w:highlight w:val="none"/>
        </w:rPr>
        <w:t>合格供货数量；</w:t>
      </w:r>
    </w:p>
    <w:p w14:paraId="7FCC99BD">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注：支付前成交供应商需提供国家税法规定的增值税专用发票</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否则采购人有权拒绝支付相关费用</w:t>
      </w:r>
      <w:r>
        <w:rPr>
          <w:rFonts w:hint="eastAsia" w:cs="宋体" w:asciiTheme="minorEastAsia" w:hAnsiTheme="minorEastAsia"/>
          <w:b/>
          <w:bCs/>
          <w:color w:val="auto"/>
          <w:kern w:val="0"/>
          <w:sz w:val="24"/>
          <w:szCs w:val="24"/>
          <w:highlight w:val="none"/>
        </w:rPr>
        <w:t>。</w:t>
      </w:r>
    </w:p>
    <w:p w14:paraId="49A23570">
      <w:pPr>
        <w:pStyle w:val="6"/>
        <w:ind w:firstLine="482" w:firstLineChars="200"/>
        <w:rPr>
          <w:rFonts w:cs="宋体"/>
          <w:b/>
          <w:color w:val="auto"/>
          <w:sz w:val="24"/>
          <w:szCs w:val="24"/>
          <w:highlight w:val="none"/>
        </w:rPr>
      </w:pPr>
      <w:bookmarkStart w:id="116" w:name="_Toc12000"/>
      <w:bookmarkStart w:id="117" w:name="_Toc342913389"/>
      <w:r>
        <w:rPr>
          <w:rFonts w:hint="eastAsia" w:cs="宋体"/>
          <w:b/>
          <w:color w:val="auto"/>
          <w:sz w:val="24"/>
          <w:szCs w:val="24"/>
          <w:highlight w:val="none"/>
        </w:rPr>
        <w:t>五、知识产权</w:t>
      </w:r>
      <w:bookmarkEnd w:id="116"/>
    </w:p>
    <w:p w14:paraId="6B931C7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DC71788">
      <w:pPr>
        <w:pStyle w:val="6"/>
        <w:ind w:firstLine="482" w:firstLineChars="200"/>
        <w:rPr>
          <w:rFonts w:cs="宋体"/>
          <w:b/>
          <w:color w:val="auto"/>
          <w:sz w:val="24"/>
          <w:szCs w:val="24"/>
          <w:highlight w:val="none"/>
        </w:rPr>
      </w:pPr>
      <w:bookmarkStart w:id="118" w:name="_Toc15109"/>
      <w:bookmarkStart w:id="119" w:name="_Toc15159"/>
      <w:bookmarkStart w:id="120" w:name="_Toc1026"/>
      <w:bookmarkStart w:id="121" w:name="_Toc106030390"/>
      <w:bookmarkStart w:id="122" w:name="_Toc267320053"/>
      <w:bookmarkStart w:id="123" w:name="_Toc1949"/>
      <w:bookmarkStart w:id="124" w:name="_Toc27637"/>
      <w:bookmarkStart w:id="125" w:name="_Toc3404"/>
      <w:bookmarkStart w:id="126" w:name="_Toc31803"/>
      <w:bookmarkStart w:id="127" w:name="_Toc26926"/>
      <w:bookmarkStart w:id="128" w:name="_Toc25464"/>
      <w:bookmarkStart w:id="129" w:name="_Toc75793514"/>
      <w:bookmarkStart w:id="130" w:name="_Toc15548"/>
      <w:bookmarkStart w:id="131" w:name="_Toc4784"/>
      <w:bookmarkStart w:id="132" w:name="_Toc7629"/>
      <w:bookmarkStart w:id="133" w:name="_Toc14096"/>
      <w:bookmarkStart w:id="134" w:name="_Toc29615"/>
      <w:bookmarkStart w:id="135" w:name="_Toc21881"/>
      <w:r>
        <w:rPr>
          <w:rFonts w:hint="eastAsia" w:cs="宋体"/>
          <w:b/>
          <w:color w:val="auto"/>
          <w:sz w:val="24"/>
          <w:szCs w:val="24"/>
          <w:highlight w:val="none"/>
        </w:rPr>
        <w:t>六、</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6" w:name="_Toc17569"/>
      <w:bookmarkStart w:id="137" w:name="_Toc28513"/>
      <w:bookmarkStart w:id="138" w:name="_Toc529"/>
      <w:bookmarkStart w:id="139" w:name="_Toc106030392"/>
      <w:bookmarkStart w:id="140" w:name="_Toc14923"/>
      <w:bookmarkStart w:id="141" w:name="_Toc23858"/>
      <w:bookmarkStart w:id="142" w:name="_Toc30515"/>
      <w:bookmarkStart w:id="143" w:name="_Toc10406"/>
      <w:bookmarkStart w:id="144" w:name="_Toc75793516"/>
      <w:bookmarkStart w:id="145" w:name="_Toc6385"/>
      <w:bookmarkStart w:id="146" w:name="_Toc4353"/>
      <w:bookmarkStart w:id="147" w:name="_Toc13936"/>
      <w:bookmarkStart w:id="148" w:name="_Toc1138"/>
      <w:bookmarkStart w:id="149" w:name="_Toc27175"/>
      <w:bookmarkStart w:id="150" w:name="_Toc6099"/>
      <w:bookmarkStart w:id="151" w:name="_Toc32308"/>
      <w:r>
        <w:rPr>
          <w:rFonts w:hint="eastAsia" w:cs="宋体"/>
          <w:b/>
          <w:color w:val="auto"/>
          <w:sz w:val="24"/>
          <w:szCs w:val="24"/>
          <w:highlight w:val="none"/>
        </w:rPr>
        <w:t>其他商务要求内容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CBCF74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本采购项目</w:t>
      </w:r>
      <w:r>
        <w:rPr>
          <w:rFonts w:hint="eastAsia" w:ascii="宋体" w:hAnsi="宋体" w:cs="宋体"/>
          <w:color w:val="auto"/>
          <w:kern w:val="0"/>
          <w:sz w:val="24"/>
          <w:szCs w:val="24"/>
          <w:highlight w:val="none"/>
        </w:rPr>
        <w:t>违约金在当期货款支付前前交纳给采购人，否则</w:t>
      </w:r>
      <w:r>
        <w:rPr>
          <w:rFonts w:hint="eastAsia" w:ascii="宋体" w:hAnsi="宋体" w:cs="宋体"/>
          <w:color w:val="auto"/>
          <w:kern w:val="0"/>
          <w:sz w:val="24"/>
          <w:szCs w:val="24"/>
          <w:highlight w:val="none"/>
          <w:lang w:val="en-US" w:eastAsia="zh-CN"/>
        </w:rPr>
        <w:t>视为中标供应商默认同意由采购人在当期货款支付时一次性扣除</w:t>
      </w:r>
      <w:r>
        <w:rPr>
          <w:rFonts w:hint="eastAsia" w:ascii="宋体" w:hAnsi="宋体" w:cs="宋体"/>
          <w:color w:val="auto"/>
          <w:kern w:val="0"/>
          <w:sz w:val="24"/>
          <w:szCs w:val="24"/>
          <w:highlight w:val="none"/>
        </w:rPr>
        <w:t>。</w:t>
      </w:r>
    </w:p>
    <w:bookmarkEnd w:id="61"/>
    <w:p w14:paraId="4B5C5BB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612FB39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bookmarkEnd w:id="62"/>
    </w:p>
    <w:p w14:paraId="3105B436">
      <w:pPr>
        <w:pStyle w:val="6"/>
        <w:pageBreakBefore/>
        <w:spacing w:after="0"/>
        <w:rPr>
          <w:rFonts w:asciiTheme="minorEastAsia" w:hAnsiTheme="minorEastAsia"/>
          <w:color w:val="auto"/>
          <w:sz w:val="36"/>
          <w:szCs w:val="30"/>
          <w:highlight w:val="none"/>
        </w:rPr>
      </w:pPr>
      <w:bookmarkStart w:id="152" w:name="_Toc65660349"/>
      <w:bookmarkStart w:id="153" w:name="_Toc16123"/>
      <w:bookmarkStart w:id="154" w:name="_Toc31282"/>
      <w:bookmarkStart w:id="155" w:name="_Toc24195"/>
      <w:bookmarkStart w:id="156" w:name="_Toc21857"/>
      <w:r>
        <w:rPr>
          <w:rFonts w:hint="eastAsia" w:asciiTheme="minorEastAsia" w:hAnsiTheme="minorEastAsia"/>
          <w:color w:val="auto"/>
          <w:sz w:val="36"/>
          <w:szCs w:val="30"/>
          <w:highlight w:val="none"/>
        </w:rPr>
        <w:t>第四篇  采购程序、评定成交的标准、无效报价及采购终止</w:t>
      </w:r>
      <w:bookmarkEnd w:id="152"/>
      <w:bookmarkEnd w:id="153"/>
      <w:bookmarkEnd w:id="154"/>
      <w:bookmarkEnd w:id="155"/>
      <w:bookmarkEnd w:id="156"/>
    </w:p>
    <w:p w14:paraId="54EAE64E">
      <w:pPr>
        <w:pStyle w:val="6"/>
        <w:spacing w:after="0" w:line="400" w:lineRule="exact"/>
        <w:rPr>
          <w:rFonts w:asciiTheme="minorEastAsia" w:hAnsiTheme="minorEastAsia"/>
          <w:color w:val="auto"/>
          <w:sz w:val="24"/>
          <w:highlight w:val="none"/>
        </w:rPr>
      </w:pPr>
      <w:bookmarkStart w:id="157" w:name="_Toc12411"/>
      <w:bookmarkStart w:id="158" w:name="_Toc65660350"/>
      <w:bookmarkStart w:id="159" w:name="_Toc5167"/>
      <w:bookmarkStart w:id="160" w:name="_Toc9361"/>
      <w:bookmarkStart w:id="161" w:name="_Toc64732012"/>
      <w:bookmarkStart w:id="162" w:name="_Toc27932"/>
      <w:r>
        <w:rPr>
          <w:rFonts w:hint="eastAsia" w:asciiTheme="minorEastAsia" w:hAnsiTheme="minorEastAsia"/>
          <w:color w:val="auto"/>
          <w:sz w:val="24"/>
          <w:highlight w:val="none"/>
        </w:rPr>
        <w:t>一、采购程序</w:t>
      </w:r>
      <w:bookmarkEnd w:id="157"/>
      <w:bookmarkEnd w:id="158"/>
      <w:bookmarkEnd w:id="159"/>
      <w:bookmarkEnd w:id="160"/>
      <w:bookmarkEnd w:id="161"/>
      <w:bookmarkEnd w:id="162"/>
    </w:p>
    <w:p w14:paraId="67580FB4">
      <w:pPr>
        <w:pStyle w:val="14"/>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（一）询价按询价通知书规定的时间和地点进行。</w:t>
      </w:r>
    </w:p>
    <w:p w14:paraId="4736779C">
      <w:pPr>
        <w:pStyle w:val="14"/>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（二）由本项目询价小组对各供应商的资格条件、实质性响应等进行审查。 </w:t>
      </w:r>
    </w:p>
    <w:p w14:paraId="735F17E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B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1CCD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DD1ECF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31ACE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检查内容</w:t>
            </w:r>
          </w:p>
        </w:tc>
      </w:tr>
      <w:tr w14:paraId="05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4E3E0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w:t>
            </w:r>
          </w:p>
        </w:tc>
        <w:tc>
          <w:tcPr>
            <w:tcW w:w="709" w:type="dxa"/>
            <w:vMerge w:val="restart"/>
            <w:vAlign w:val="center"/>
          </w:tcPr>
          <w:p w14:paraId="76CE1E0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《中华人民共和国政府采购法》第二十二条规定</w:t>
            </w:r>
          </w:p>
        </w:tc>
        <w:tc>
          <w:tcPr>
            <w:tcW w:w="2835" w:type="dxa"/>
            <w:vAlign w:val="center"/>
          </w:tcPr>
          <w:p w14:paraId="13F33199">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1.具有独立承担民事责任的能力</w:t>
            </w:r>
          </w:p>
        </w:tc>
        <w:tc>
          <w:tcPr>
            <w:tcW w:w="5267" w:type="dxa"/>
            <w:vAlign w:val="center"/>
          </w:tcPr>
          <w:p w14:paraId="175A4262">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1.供应商法人营业执照（副本）或事业单位法人证书（副本）或个体工商户营业执照或社会团体法人登记证书（提供复印件加盖供应商公章）。 </w:t>
            </w:r>
          </w:p>
          <w:p w14:paraId="7538697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2.供应商法定代表人身份证明和法定代表人授权代表委托书。</w:t>
            </w:r>
          </w:p>
        </w:tc>
      </w:tr>
      <w:tr w14:paraId="26F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CAAA32">
            <w:pPr>
              <w:rPr>
                <w:rFonts w:cs="仿宋_GB2312" w:asciiTheme="minorEastAsia" w:hAnsiTheme="minorEastAsia"/>
                <w:color w:val="auto"/>
                <w:szCs w:val="21"/>
                <w:highlight w:val="none"/>
                <w:lang w:val="zh-CN"/>
              </w:rPr>
            </w:pPr>
          </w:p>
        </w:tc>
        <w:tc>
          <w:tcPr>
            <w:tcW w:w="709" w:type="dxa"/>
            <w:vMerge w:val="continue"/>
            <w:vAlign w:val="center"/>
          </w:tcPr>
          <w:p w14:paraId="75E8E696">
            <w:pPr>
              <w:rPr>
                <w:rFonts w:cs="仿宋_GB2312" w:asciiTheme="minorEastAsia" w:hAnsiTheme="minorEastAsia"/>
                <w:color w:val="auto"/>
                <w:szCs w:val="21"/>
                <w:highlight w:val="none"/>
                <w:lang w:val="zh-CN"/>
              </w:rPr>
            </w:pPr>
          </w:p>
        </w:tc>
        <w:tc>
          <w:tcPr>
            <w:tcW w:w="2835" w:type="dxa"/>
            <w:vAlign w:val="center"/>
          </w:tcPr>
          <w:p w14:paraId="7D1912CC">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2.具有良好的商业信誉和健全的财务会计制度</w:t>
            </w:r>
          </w:p>
        </w:tc>
        <w:tc>
          <w:tcPr>
            <w:tcW w:w="5267" w:type="dxa"/>
            <w:vMerge w:val="restart"/>
            <w:vAlign w:val="center"/>
          </w:tcPr>
          <w:p w14:paraId="2C2A7B8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供应商提供“基本资格条件承诺函”（格式详见第七篇）</w:t>
            </w:r>
          </w:p>
        </w:tc>
      </w:tr>
      <w:tr w14:paraId="2170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D10532">
            <w:pPr>
              <w:rPr>
                <w:rFonts w:cs="仿宋_GB2312" w:asciiTheme="minorEastAsia" w:hAnsiTheme="minorEastAsia"/>
                <w:color w:val="auto"/>
                <w:szCs w:val="21"/>
                <w:highlight w:val="none"/>
                <w:lang w:val="zh-CN"/>
              </w:rPr>
            </w:pPr>
          </w:p>
        </w:tc>
        <w:tc>
          <w:tcPr>
            <w:tcW w:w="709" w:type="dxa"/>
            <w:vMerge w:val="continue"/>
            <w:vAlign w:val="center"/>
          </w:tcPr>
          <w:p w14:paraId="568F656F">
            <w:pPr>
              <w:rPr>
                <w:rFonts w:cs="仿宋_GB2312" w:asciiTheme="minorEastAsia" w:hAnsiTheme="minorEastAsia"/>
                <w:color w:val="auto"/>
                <w:szCs w:val="21"/>
                <w:highlight w:val="none"/>
                <w:lang w:val="zh-CN"/>
              </w:rPr>
            </w:pPr>
          </w:p>
        </w:tc>
        <w:tc>
          <w:tcPr>
            <w:tcW w:w="2835" w:type="dxa"/>
            <w:vAlign w:val="center"/>
          </w:tcPr>
          <w:p w14:paraId="5C6855E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3.具有履行合同所必需的设备和专业技术能力</w:t>
            </w:r>
          </w:p>
        </w:tc>
        <w:tc>
          <w:tcPr>
            <w:tcW w:w="5267" w:type="dxa"/>
            <w:vMerge w:val="continue"/>
            <w:vAlign w:val="center"/>
          </w:tcPr>
          <w:p w14:paraId="24DCC18A">
            <w:pPr>
              <w:rPr>
                <w:rFonts w:cs="仿宋_GB2312" w:asciiTheme="minorEastAsia" w:hAnsiTheme="minorEastAsia"/>
                <w:color w:val="auto"/>
                <w:szCs w:val="21"/>
                <w:highlight w:val="none"/>
                <w:lang w:val="zh-CN"/>
              </w:rPr>
            </w:pPr>
          </w:p>
        </w:tc>
      </w:tr>
      <w:tr w14:paraId="7AD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4E023A">
            <w:pPr>
              <w:rPr>
                <w:rFonts w:cs="仿宋_GB2312" w:asciiTheme="minorEastAsia" w:hAnsiTheme="minorEastAsia"/>
                <w:color w:val="auto"/>
                <w:szCs w:val="21"/>
                <w:highlight w:val="none"/>
                <w:lang w:val="zh-CN"/>
              </w:rPr>
            </w:pPr>
          </w:p>
        </w:tc>
        <w:tc>
          <w:tcPr>
            <w:tcW w:w="709" w:type="dxa"/>
            <w:vMerge w:val="continue"/>
            <w:vAlign w:val="center"/>
          </w:tcPr>
          <w:p w14:paraId="0EE35458">
            <w:pPr>
              <w:rPr>
                <w:rFonts w:cs="仿宋_GB2312" w:asciiTheme="minorEastAsia" w:hAnsiTheme="minorEastAsia"/>
                <w:color w:val="auto"/>
                <w:szCs w:val="21"/>
                <w:highlight w:val="none"/>
                <w:lang w:val="zh-CN"/>
              </w:rPr>
            </w:pPr>
          </w:p>
        </w:tc>
        <w:tc>
          <w:tcPr>
            <w:tcW w:w="2835" w:type="dxa"/>
            <w:vAlign w:val="center"/>
          </w:tcPr>
          <w:p w14:paraId="35EDD32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4.有依法缴纳税收和社会保障金的良好记录</w:t>
            </w:r>
          </w:p>
        </w:tc>
        <w:tc>
          <w:tcPr>
            <w:tcW w:w="5267" w:type="dxa"/>
            <w:vMerge w:val="continue"/>
            <w:vAlign w:val="center"/>
          </w:tcPr>
          <w:p w14:paraId="65D5FECC">
            <w:pPr>
              <w:rPr>
                <w:rFonts w:cs="仿宋_GB2312" w:asciiTheme="minorEastAsia" w:hAnsiTheme="minorEastAsia"/>
                <w:color w:val="auto"/>
                <w:szCs w:val="21"/>
                <w:highlight w:val="none"/>
                <w:lang w:val="zh-CN"/>
              </w:rPr>
            </w:pPr>
          </w:p>
        </w:tc>
      </w:tr>
      <w:tr w14:paraId="67C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048382">
            <w:pPr>
              <w:rPr>
                <w:rFonts w:cs="仿宋_GB2312" w:asciiTheme="minorEastAsia" w:hAnsiTheme="minorEastAsia"/>
                <w:color w:val="auto"/>
                <w:szCs w:val="21"/>
                <w:highlight w:val="none"/>
                <w:lang w:val="zh-CN"/>
              </w:rPr>
            </w:pPr>
          </w:p>
        </w:tc>
        <w:tc>
          <w:tcPr>
            <w:tcW w:w="709" w:type="dxa"/>
            <w:vMerge w:val="continue"/>
            <w:vAlign w:val="center"/>
          </w:tcPr>
          <w:p w14:paraId="610B2BDA">
            <w:pPr>
              <w:rPr>
                <w:rFonts w:cs="仿宋_GB2312" w:asciiTheme="minorEastAsia" w:hAnsiTheme="minorEastAsia"/>
                <w:color w:val="auto"/>
                <w:szCs w:val="21"/>
                <w:highlight w:val="none"/>
                <w:lang w:val="zh-CN"/>
              </w:rPr>
            </w:pPr>
          </w:p>
        </w:tc>
        <w:tc>
          <w:tcPr>
            <w:tcW w:w="2835" w:type="dxa"/>
            <w:vAlign w:val="center"/>
          </w:tcPr>
          <w:p w14:paraId="5050F71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5.参加政府采购活动前三年内，在经营活动中没有重大违法记录</w:t>
            </w:r>
          </w:p>
        </w:tc>
        <w:tc>
          <w:tcPr>
            <w:tcW w:w="5267" w:type="dxa"/>
            <w:vMerge w:val="continue"/>
            <w:vAlign w:val="center"/>
          </w:tcPr>
          <w:p w14:paraId="77E0D3C8">
            <w:pPr>
              <w:rPr>
                <w:rFonts w:cs="仿宋_GB2312" w:asciiTheme="minorEastAsia" w:hAnsiTheme="minorEastAsia"/>
                <w:color w:val="auto"/>
                <w:szCs w:val="21"/>
                <w:highlight w:val="none"/>
                <w:lang w:val="zh-CN"/>
              </w:rPr>
            </w:pPr>
          </w:p>
        </w:tc>
      </w:tr>
      <w:tr w14:paraId="195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833B0">
            <w:pPr>
              <w:rPr>
                <w:rFonts w:cs="仿宋_GB2312" w:asciiTheme="minorEastAsia" w:hAnsiTheme="minorEastAsia"/>
                <w:color w:val="auto"/>
                <w:szCs w:val="21"/>
                <w:highlight w:val="none"/>
                <w:lang w:val="zh-CN"/>
              </w:rPr>
            </w:pPr>
          </w:p>
        </w:tc>
        <w:tc>
          <w:tcPr>
            <w:tcW w:w="709" w:type="dxa"/>
            <w:vMerge w:val="continue"/>
            <w:vAlign w:val="center"/>
          </w:tcPr>
          <w:p w14:paraId="21D7D049">
            <w:pPr>
              <w:rPr>
                <w:rFonts w:cs="仿宋_GB2312" w:asciiTheme="minorEastAsia" w:hAnsiTheme="minorEastAsia"/>
                <w:color w:val="auto"/>
                <w:szCs w:val="21"/>
                <w:highlight w:val="none"/>
                <w:lang w:val="zh-CN"/>
              </w:rPr>
            </w:pPr>
          </w:p>
        </w:tc>
        <w:tc>
          <w:tcPr>
            <w:tcW w:w="2835" w:type="dxa"/>
            <w:vAlign w:val="center"/>
          </w:tcPr>
          <w:p w14:paraId="265EF518">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6.法律、行政法规规定的其他条件</w:t>
            </w:r>
          </w:p>
        </w:tc>
        <w:tc>
          <w:tcPr>
            <w:tcW w:w="5267" w:type="dxa"/>
            <w:vAlign w:val="center"/>
          </w:tcPr>
          <w:p w14:paraId="24B56393">
            <w:pPr>
              <w:rPr>
                <w:rFonts w:cs="仿宋_GB2312" w:asciiTheme="minorEastAsia" w:hAnsiTheme="minorEastAsia"/>
                <w:color w:val="auto"/>
                <w:szCs w:val="21"/>
                <w:highlight w:val="none"/>
                <w:lang w:val="zh-CN"/>
              </w:rPr>
            </w:pPr>
          </w:p>
        </w:tc>
      </w:tr>
      <w:tr w14:paraId="41A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EBDF2E2">
            <w:pPr>
              <w:rPr>
                <w:rFonts w:cs="仿宋_GB2312" w:asciiTheme="minorEastAsia" w:hAnsiTheme="minorEastAsia"/>
                <w:color w:val="auto"/>
                <w:szCs w:val="21"/>
                <w:highlight w:val="none"/>
                <w:lang w:val="zh-CN"/>
              </w:rPr>
            </w:pPr>
          </w:p>
        </w:tc>
        <w:tc>
          <w:tcPr>
            <w:tcW w:w="709" w:type="dxa"/>
            <w:vMerge w:val="continue"/>
            <w:vAlign w:val="center"/>
          </w:tcPr>
          <w:p w14:paraId="3FFDDA77">
            <w:pPr>
              <w:rPr>
                <w:rFonts w:cs="仿宋_GB2312" w:asciiTheme="minorEastAsia" w:hAnsiTheme="minorEastAsia"/>
                <w:color w:val="auto"/>
                <w:szCs w:val="21"/>
                <w:highlight w:val="none"/>
                <w:lang w:val="zh-CN"/>
              </w:rPr>
            </w:pPr>
          </w:p>
        </w:tc>
        <w:tc>
          <w:tcPr>
            <w:tcW w:w="2835" w:type="dxa"/>
            <w:vAlign w:val="center"/>
          </w:tcPr>
          <w:p w14:paraId="0A9DB07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7.本项目的特定资格要求</w:t>
            </w:r>
          </w:p>
        </w:tc>
        <w:tc>
          <w:tcPr>
            <w:tcW w:w="5267" w:type="dxa"/>
            <w:vAlign w:val="center"/>
          </w:tcPr>
          <w:p w14:paraId="39749F4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按“第一篇三、供应商资格要求（三）本项目的特定资格要求”的要求提交（如果有）。</w:t>
            </w:r>
          </w:p>
        </w:tc>
      </w:tr>
    </w:tbl>
    <w:p w14:paraId="2869334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1F84EF34">
      <w:pPr>
        <w:snapToGrid w:val="0"/>
        <w:spacing w:line="400" w:lineRule="exact"/>
        <w:ind w:firstLine="480" w:firstLineChars="200"/>
        <w:rPr>
          <w:rFonts w:asciiTheme="minorEastAsia" w:hAnsiTheme="minorEastAsia"/>
          <w:color w:val="auto"/>
          <w:sz w:val="24"/>
          <w:szCs w:val="24"/>
          <w:highlight w:val="none"/>
        </w:rPr>
      </w:pPr>
      <w:r>
        <w:rPr>
          <w:rFonts w:cs="宋体" w:asciiTheme="minorEastAsia" w:hAnsiTheme="minorEastAsia"/>
          <w:color w:val="auto"/>
          <w:kern w:val="0"/>
          <w:sz w:val="24"/>
          <w:szCs w:val="24"/>
          <w:highlight w:val="none"/>
        </w:rPr>
        <w:fldChar w:fldCharType="begin"/>
      </w:r>
      <w:r>
        <w:rPr>
          <w:rFonts w:cs="宋体" w:asciiTheme="minorEastAsia" w:hAnsiTheme="minorEastAsia"/>
          <w:color w:val="auto"/>
          <w:kern w:val="0"/>
          <w:sz w:val="24"/>
          <w:szCs w:val="24"/>
          <w:highlight w:val="none"/>
        </w:rPr>
        <w:instrText xml:space="preserve"> </w:instrText>
      </w:r>
      <w:r>
        <w:rPr>
          <w:rFonts w:hint="eastAsia" w:cs="宋体" w:asciiTheme="minorEastAsia" w:hAnsiTheme="minorEastAsia"/>
          <w:color w:val="auto"/>
          <w:kern w:val="0"/>
          <w:sz w:val="24"/>
          <w:szCs w:val="24"/>
          <w:highlight w:val="none"/>
        </w:rPr>
        <w:instrText xml:space="preserve">eq \o\ac(○,</w:instrText>
      </w:r>
      <w:r>
        <w:rPr>
          <w:rFonts w:hint="eastAsia" w:cs="宋体" w:asciiTheme="minorEastAsia" w:hAnsiTheme="minorEastAsia"/>
          <w:color w:val="auto"/>
          <w:kern w:val="0"/>
          <w:position w:val="3"/>
          <w:sz w:val="16"/>
          <w:szCs w:val="24"/>
          <w:highlight w:val="none"/>
        </w:rPr>
        <w:instrText xml:space="preserve">1</w:instrText>
      </w:r>
      <w:r>
        <w:rPr>
          <w:rFonts w:hint="eastAsia" w:cs="宋体" w:asciiTheme="minorEastAsia" w:hAnsiTheme="minorEastAsia"/>
          <w:color w:val="auto"/>
          <w:kern w:val="0"/>
          <w:sz w:val="24"/>
          <w:szCs w:val="24"/>
          <w:highlight w:val="none"/>
        </w:rPr>
        <w:instrText xml:space="preserve">)</w:instrText>
      </w:r>
      <w:r>
        <w:rPr>
          <w:rFonts w:cs="宋体" w:asciiTheme="minorEastAsia" w:hAnsiTheme="minorEastAsia"/>
          <w:color w:val="auto"/>
          <w:kern w:val="0"/>
          <w:sz w:val="24"/>
          <w:szCs w:val="24"/>
          <w:highlight w:val="none"/>
        </w:rPr>
        <w:fldChar w:fldCharType="end"/>
      </w:r>
      <w:r>
        <w:rPr>
          <w:rFonts w:hint="eastAsia" w:cs="宋体" w:asciiTheme="minorEastAsia" w:hAnsiTheme="minorEastAsia"/>
          <w:color w:val="auto"/>
          <w:kern w:val="0"/>
          <w:sz w:val="24"/>
          <w:szCs w:val="24"/>
          <w:highlight w:val="none"/>
        </w:rPr>
        <w:t>根据《</w:t>
      </w:r>
      <w:r>
        <w:rPr>
          <w:rFonts w:cs="宋体" w:asciiTheme="minorEastAsia" w:hAnsiTheme="minorEastAsia"/>
          <w:color w:val="auto"/>
          <w:kern w:val="0"/>
          <w:sz w:val="24"/>
          <w:szCs w:val="24"/>
          <w:highlight w:val="none"/>
        </w:rPr>
        <w:t>中华人民共和国政府采购法实施条例</w:t>
      </w:r>
      <w:r>
        <w:rPr>
          <w:rFonts w:hint="eastAsia" w:cs="宋体" w:asciiTheme="minorEastAsia" w:hAnsiTheme="minorEastAsia"/>
          <w:color w:val="auto"/>
          <w:kern w:val="0"/>
          <w:sz w:val="24"/>
          <w:szCs w:val="24"/>
          <w:highlight w:val="none"/>
        </w:rPr>
        <w:t>》第十九条“参加政府采购活动前三年内，在经营活动中没有重大违法记录”中“重大违法记录”</w:t>
      </w:r>
      <w:r>
        <w:rPr>
          <w:rFonts w:cs="宋体" w:asciiTheme="minorEastAsia" w:hAnsiTheme="minorEastAsia"/>
          <w:color w:val="auto"/>
          <w:kern w:val="0"/>
          <w:sz w:val="24"/>
          <w:szCs w:val="24"/>
          <w:highlight w:val="none"/>
        </w:rPr>
        <w:t>，是指供应商因违法经营受到刑事处罚或者责令停产停业、吊销许可证或者执照、较大数额罚款等行政处罚。</w:t>
      </w:r>
      <w:r>
        <w:rPr>
          <w:rFonts w:hint="eastAsia" w:cs="宋体" w:asciiTheme="minorEastAsia" w:hAnsiTheme="minorEastAsia"/>
          <w:color w:val="auto"/>
          <w:kern w:val="0"/>
          <w:sz w:val="24"/>
          <w:szCs w:val="24"/>
          <w:highlight w:val="none"/>
        </w:rPr>
        <w:t>行政处罚中“较大数额”的认定标准，按照“</w:t>
      </w:r>
      <w:r>
        <w:rPr>
          <w:rFonts w:cs="宋体" w:asciiTheme="minorEastAsia" w:hAnsiTheme="minorEastAsia"/>
          <w:color w:val="auto"/>
          <w:kern w:val="0"/>
          <w:sz w:val="24"/>
          <w:szCs w:val="24"/>
          <w:highlight w:val="none"/>
        </w:rPr>
        <w:t>财政部关于《中华人民共和国政府采购法实施条例》第十九条第一款“较大数额罚款”具体适用问题的意见</w:t>
      </w:r>
      <w:r>
        <w:rPr>
          <w:rFonts w:hint="eastAsia" w:cs="宋体" w:asciiTheme="minorEastAsia" w:hAnsiTheme="minorEastAsia"/>
          <w:color w:val="auto"/>
          <w:kern w:val="0"/>
          <w:sz w:val="24"/>
          <w:szCs w:val="24"/>
          <w:highlight w:val="none"/>
        </w:rPr>
        <w:t>（财库〔2022〕3 号）”执行。供应商可于响应文件递交截止时间前通过 “信用中国”网站(www.creditchina.gov.cn)、"中国政府采购网"(www.ccgp.gov.cn)等渠道查询信用记录。</w:t>
      </w:r>
    </w:p>
    <w:p w14:paraId="2C12493D">
      <w:pPr>
        <w:snapToGrid w:val="0"/>
        <w:spacing w:line="400" w:lineRule="exact"/>
        <w:ind w:firstLine="480" w:firstLineChars="200"/>
        <w:rPr>
          <w:rFonts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74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3CB3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2694" w:type="dxa"/>
            <w:vAlign w:val="center"/>
          </w:tcPr>
          <w:p w14:paraId="6F43FA2F">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审查因素</w:t>
            </w:r>
          </w:p>
        </w:tc>
        <w:tc>
          <w:tcPr>
            <w:tcW w:w="6259" w:type="dxa"/>
            <w:vAlign w:val="center"/>
          </w:tcPr>
          <w:p w14:paraId="37FA90F0">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审查标准</w:t>
            </w:r>
          </w:p>
        </w:tc>
      </w:tr>
      <w:tr w14:paraId="4D3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C053F6F">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694" w:type="dxa"/>
            <w:vAlign w:val="center"/>
          </w:tcPr>
          <w:p w14:paraId="5C6E3B68">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响应文件签署或盖章</w:t>
            </w:r>
          </w:p>
        </w:tc>
        <w:tc>
          <w:tcPr>
            <w:tcW w:w="6259" w:type="dxa"/>
            <w:vAlign w:val="center"/>
          </w:tcPr>
          <w:p w14:paraId="423CF34B">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按“第七篇响应文件格式要求”要求签署或盖章。</w:t>
            </w:r>
          </w:p>
        </w:tc>
      </w:tr>
      <w:tr w14:paraId="6B4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8EEFFD">
            <w:pPr>
              <w:jc w:val="center"/>
              <w:rPr>
                <w:rFonts w:cs="宋体" w:asciiTheme="minorEastAsia" w:hAnsiTheme="minorEastAsia"/>
                <w:color w:val="auto"/>
                <w:kern w:val="0"/>
                <w:szCs w:val="21"/>
                <w:highlight w:val="none"/>
              </w:rPr>
            </w:pPr>
          </w:p>
        </w:tc>
        <w:tc>
          <w:tcPr>
            <w:tcW w:w="2694" w:type="dxa"/>
            <w:vAlign w:val="center"/>
          </w:tcPr>
          <w:p w14:paraId="6A052F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w:t>
            </w:r>
          </w:p>
        </w:tc>
        <w:tc>
          <w:tcPr>
            <w:tcW w:w="6259" w:type="dxa"/>
            <w:vAlign w:val="center"/>
          </w:tcPr>
          <w:p w14:paraId="1E7D50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法定代表人身份证明及授权委托书有效，符合询价通知书规定的格式，签署或盖章齐全。</w:t>
            </w:r>
          </w:p>
        </w:tc>
      </w:tr>
      <w:tr w14:paraId="695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ED8B8AB">
            <w:pPr>
              <w:jc w:val="center"/>
              <w:rPr>
                <w:rFonts w:cs="宋体" w:asciiTheme="minorEastAsia" w:hAnsiTheme="minorEastAsia"/>
                <w:color w:val="auto"/>
                <w:kern w:val="0"/>
                <w:szCs w:val="21"/>
                <w:highlight w:val="none"/>
              </w:rPr>
            </w:pPr>
          </w:p>
        </w:tc>
        <w:tc>
          <w:tcPr>
            <w:tcW w:w="2694" w:type="dxa"/>
            <w:vAlign w:val="center"/>
          </w:tcPr>
          <w:p w14:paraId="386DBB0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c>
          <w:tcPr>
            <w:tcW w:w="6259" w:type="dxa"/>
            <w:vAlign w:val="center"/>
          </w:tcPr>
          <w:p w14:paraId="275047FA">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zh-CN"/>
              </w:rPr>
              <w:t>只能有一个</w:t>
            </w: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r>
      <w:tr w14:paraId="4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D0A1ACF">
            <w:pPr>
              <w:jc w:val="center"/>
              <w:rPr>
                <w:rFonts w:cs="宋体" w:asciiTheme="minorEastAsia" w:hAnsiTheme="minorEastAsia"/>
                <w:color w:val="auto"/>
                <w:kern w:val="0"/>
                <w:szCs w:val="21"/>
                <w:highlight w:val="none"/>
              </w:rPr>
            </w:pPr>
          </w:p>
        </w:tc>
        <w:tc>
          <w:tcPr>
            <w:tcW w:w="2694" w:type="dxa"/>
            <w:vAlign w:val="center"/>
          </w:tcPr>
          <w:p w14:paraId="3EB6FF57">
            <w:pPr>
              <w:rPr>
                <w:rFonts w:cs="仿宋_GB2312" w:asciiTheme="minorEastAsia" w:hAnsiTheme="minorEastAsia"/>
                <w:color w:val="auto"/>
                <w:szCs w:val="21"/>
                <w:highlight w:val="none"/>
                <w:lang w:val="zh-CN"/>
              </w:rPr>
            </w:pPr>
            <w:r>
              <w:rPr>
                <w:rFonts w:hint="eastAsia" w:asciiTheme="minorEastAsia" w:hAnsiTheme="minorEastAsia"/>
                <w:color w:val="auto"/>
                <w:szCs w:val="21"/>
                <w:highlight w:val="none"/>
              </w:rPr>
              <w:t>报价唯一</w:t>
            </w:r>
          </w:p>
        </w:tc>
        <w:tc>
          <w:tcPr>
            <w:tcW w:w="6259" w:type="dxa"/>
            <w:vAlign w:val="center"/>
          </w:tcPr>
          <w:p w14:paraId="7F68575A">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只能有一个有效报价，不得提交选择性报价。</w:t>
            </w:r>
          </w:p>
        </w:tc>
      </w:tr>
      <w:tr w14:paraId="6692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3ED0900">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694" w:type="dxa"/>
            <w:vAlign w:val="center"/>
          </w:tcPr>
          <w:p w14:paraId="0FC39796">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响应文件</w:t>
            </w:r>
            <w:r>
              <w:rPr>
                <w:rFonts w:hint="eastAsia" w:cs="仿宋_GB2312" w:asciiTheme="minorEastAsia" w:hAnsiTheme="minorEastAsia"/>
                <w:color w:val="auto"/>
                <w:szCs w:val="21"/>
                <w:highlight w:val="none"/>
                <w:lang w:val="zh-CN"/>
              </w:rPr>
              <w:t>份数</w:t>
            </w:r>
          </w:p>
        </w:tc>
        <w:tc>
          <w:tcPr>
            <w:tcW w:w="6259" w:type="dxa"/>
            <w:vAlign w:val="center"/>
          </w:tcPr>
          <w:p w14:paraId="62559113">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响应文件数量符合询价文件要求。</w:t>
            </w:r>
          </w:p>
        </w:tc>
      </w:tr>
      <w:tr w14:paraId="07D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85E27A">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694" w:type="dxa"/>
            <w:vAlign w:val="center"/>
          </w:tcPr>
          <w:p w14:paraId="21FD3131">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响应文件内容</w:t>
            </w:r>
          </w:p>
        </w:tc>
        <w:tc>
          <w:tcPr>
            <w:tcW w:w="6259" w:type="dxa"/>
            <w:vAlign w:val="center"/>
          </w:tcPr>
          <w:p w14:paraId="39B72D5C">
            <w:pPr>
              <w:pStyle w:val="1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对询价通知书第二篇、第三篇规定的询价内容进行实质性响应。</w:t>
            </w:r>
          </w:p>
        </w:tc>
      </w:tr>
      <w:tr w14:paraId="28B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067EF89">
            <w:pPr>
              <w:jc w:val="center"/>
              <w:rPr>
                <w:rFonts w:cs="宋体" w:asciiTheme="minorEastAsia" w:hAnsiTheme="minorEastAsia"/>
                <w:color w:val="auto"/>
                <w:kern w:val="0"/>
                <w:szCs w:val="21"/>
                <w:highlight w:val="none"/>
              </w:rPr>
            </w:pPr>
          </w:p>
        </w:tc>
        <w:tc>
          <w:tcPr>
            <w:tcW w:w="2694" w:type="dxa"/>
            <w:vAlign w:val="center"/>
          </w:tcPr>
          <w:p w14:paraId="6A13E074">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询价有效期</w:t>
            </w:r>
          </w:p>
        </w:tc>
        <w:tc>
          <w:tcPr>
            <w:tcW w:w="6259" w:type="dxa"/>
            <w:vAlign w:val="center"/>
          </w:tcPr>
          <w:p w14:paraId="0AA56049">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响应文件及有关承诺文件有效期为提交响应文件截止时间起90天。</w:t>
            </w:r>
          </w:p>
        </w:tc>
      </w:tr>
    </w:tbl>
    <w:p w14:paraId="1D273F2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6099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8DEE7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（四）评审的依据为询价通知书和响应文件（含有效的补充文件）。询价小组判断响应文件对询价通知书的响应，仅基于响应文件本身而不靠外部证据。</w:t>
      </w:r>
    </w:p>
    <w:p w14:paraId="6E098CE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二、评定成交的标准</w:t>
      </w:r>
    </w:p>
    <w:p w14:paraId="2EFA201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6CD3C1E3">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（二）若供应商的报价价格相同，按技术（质量）的优劣顺序排列；以上都相同的，按服务条款的优劣顺序排列。</w:t>
      </w:r>
    </w:p>
    <w:p w14:paraId="09EDAA8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（三）成交价格=成交供应商的报价。</w:t>
      </w:r>
    </w:p>
    <w:p w14:paraId="2E8973A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三、无效报价</w:t>
      </w:r>
    </w:p>
    <w:p w14:paraId="1BA431F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供应商发生以下条款情况之一者，视为无效报价：</w:t>
      </w:r>
    </w:p>
    <w:p w14:paraId="3AE12DD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（一）供应商不符合规定的资格条件的；</w:t>
      </w:r>
    </w:p>
    <w:p w14:paraId="102E4D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（二）供应商未通过实质性响应审查的；</w:t>
      </w:r>
    </w:p>
    <w:p w14:paraId="40701F3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（三）供应商未在保证金到账截止时间前足额交纳所参与包保证金的；</w:t>
      </w:r>
    </w:p>
    <w:p w14:paraId="7386682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（四）供应商所提交的响应文件未按“第七篇响应文件格式要求”要求签署或盖章的；</w:t>
      </w:r>
    </w:p>
    <w:p w14:paraId="555E89F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（五）供应商的报价超过采购预算或最高限价的；</w:t>
      </w:r>
    </w:p>
    <w:p w14:paraId="2467217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（六）供应商不接受询价小组修正后的价格的；</w:t>
      </w:r>
    </w:p>
    <w:p w14:paraId="5561E77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（七）单位负责人为同一人或者存在直接控股、管理关系的不同供应商，参加同一合同项（包）报价的；</w:t>
      </w:r>
    </w:p>
    <w:p w14:paraId="2BA13B1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（八）为采购项目提供整体设计、规范编制或者项目管理、监理、检测等服务的供应商再参加该采购项目的其他采购活动的；</w:t>
      </w:r>
    </w:p>
    <w:p w14:paraId="56AA106B">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（九）同一合同项（包）下的货物，制造商参与报价，再委托代理商参与报价的；</w:t>
      </w:r>
    </w:p>
    <w:p w14:paraId="01525A0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（十）供应商响应文件内容有与国家现行法律法规相违背的内容，或附有采购人无法接受条件的；</w:t>
      </w:r>
    </w:p>
    <w:p w14:paraId="67E60E3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（十一）法律、法规和询价通知书规定的其他无效情形。</w:t>
      </w:r>
    </w:p>
    <w:p w14:paraId="7410639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四、采购终止</w:t>
      </w:r>
    </w:p>
    <w:p w14:paraId="0DF5ECD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出现下列情形之一的，采购人或者采购代理机构应当终止询价采购活动，发布项目终止公告并说明原因，重新开展采购活动：</w:t>
      </w:r>
    </w:p>
    <w:p w14:paraId="7A9C387D">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（一）因情况变化，不再符合规定的询价采购方式适用情形的；</w:t>
      </w:r>
    </w:p>
    <w:p w14:paraId="09E9812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（二）出现影响采购公正的违法、违规行为的；</w:t>
      </w:r>
    </w:p>
    <w:p w14:paraId="0DD91E91">
      <w:pPr>
        <w:snapToGrid w:val="0"/>
        <w:spacing w:line="400" w:lineRule="exact"/>
        <w:ind w:firstLine="480" w:firstLineChars="200"/>
        <w:rPr>
          <w:rFonts w:asciiTheme="minorEastAsia" w:hAnsiTheme="minorEastAsia"/>
          <w:color w:val="auto"/>
          <w:highlight w:val="none"/>
        </w:rPr>
      </w:pPr>
      <w:r>
        <w:rPr>
          <w:rFonts w:hint="eastAsia" w:asciiTheme="minorEastAsia" w:hAnsiTheme="minorEastAsia"/>
          <w:color w:val="auto"/>
          <w:sz w:val="24"/>
          <w:szCs w:val="24"/>
          <w:highlight w:val="none"/>
        </w:rPr>
        <w:t>（三）在采购过程中符合竞争要求的供应商或者报价未超过采购预算的供应商不足3家的。</w:t>
      </w:r>
      <w:bookmarkStart w:id="163" w:name="_Toc20055"/>
      <w:bookmarkStart w:id="164" w:name="_Toc10768"/>
      <w:bookmarkStart w:id="165" w:name="_Toc8916"/>
      <w:bookmarkStart w:id="166" w:name="_Toc65660354"/>
    </w:p>
    <w:p w14:paraId="45F43FF4">
      <w:pPr>
        <w:pStyle w:val="11"/>
        <w:ind w:left="1260"/>
        <w:rPr>
          <w:rFonts w:asciiTheme="minorEastAsia" w:hAnsiTheme="minorEastAsia"/>
          <w:color w:val="auto"/>
          <w:highlight w:val="none"/>
        </w:rPr>
      </w:pPr>
    </w:p>
    <w:p w14:paraId="3EA1A09C">
      <w:pPr>
        <w:rPr>
          <w:rFonts w:asciiTheme="minorEastAsia" w:hAnsiTheme="minorEastAsia"/>
          <w:color w:val="auto"/>
          <w:highlight w:val="none"/>
        </w:rPr>
      </w:pPr>
    </w:p>
    <w:p w14:paraId="108C9AE4">
      <w:pPr>
        <w:pStyle w:val="6"/>
        <w:pageBreakBefore/>
        <w:spacing w:after="0"/>
        <w:ind w:firstLine="2880" w:firstLineChars="800"/>
        <w:rPr>
          <w:rFonts w:asciiTheme="minorEastAsia" w:hAnsiTheme="minorEastAsia"/>
          <w:color w:val="auto"/>
          <w:sz w:val="36"/>
          <w:szCs w:val="30"/>
          <w:highlight w:val="none"/>
        </w:rPr>
      </w:pPr>
      <w:bookmarkStart w:id="167" w:name="_Toc11497"/>
      <w:r>
        <w:rPr>
          <w:rFonts w:hint="eastAsia" w:asciiTheme="minorEastAsia" w:hAnsiTheme="minorEastAsia"/>
          <w:color w:val="auto"/>
          <w:sz w:val="36"/>
          <w:szCs w:val="30"/>
          <w:highlight w:val="none"/>
        </w:rPr>
        <w:t>第五篇  供应商须知</w:t>
      </w:r>
      <w:bookmarkEnd w:id="163"/>
      <w:bookmarkEnd w:id="164"/>
      <w:bookmarkEnd w:id="165"/>
      <w:bookmarkEnd w:id="166"/>
      <w:bookmarkEnd w:id="167"/>
    </w:p>
    <w:p w14:paraId="1C5EB52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一、询价费用</w:t>
      </w:r>
    </w:p>
    <w:p w14:paraId="40A76D3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01B12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w:t>
      </w:r>
      <w:r>
        <w:rPr>
          <w:rFonts w:hint="eastAsia" w:asciiTheme="minorEastAsia" w:hAnsiTheme="minorEastAsia"/>
          <w:color w:val="auto"/>
          <w:sz w:val="24"/>
          <w:szCs w:val="24"/>
          <w:highlight w:val="none"/>
        </w:rPr>
        <w:tab/>
      </w:r>
    </w:p>
    <w:p w14:paraId="18705F3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646B0E4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（二）采购人（或采购代理机构）所作的一切有效的书面通知、修改及补充，都是询价通知书不可分割的部分。</w:t>
      </w:r>
    </w:p>
    <w:p w14:paraId="4CD6C30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三、报价要求</w:t>
      </w:r>
    </w:p>
    <w:p w14:paraId="0AA6637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（一）响应文件</w:t>
      </w:r>
    </w:p>
    <w:p w14:paraId="0E6522E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供应商应当按照询价通知书的要求编制响应文件，并对询价通知书提出的要求和条件作出实质性响应，响应文件原则上采用软面订本。</w:t>
      </w:r>
    </w:p>
    <w:p w14:paraId="2EADA55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1.响应文件组成</w:t>
      </w:r>
    </w:p>
    <w:p w14:paraId="37F76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D8A5CA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2.联合体</w:t>
      </w:r>
    </w:p>
    <w:p w14:paraId="6C9A33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70C3C3E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3.报价有效期：响应文件及有关承诺文件有效期为提交响应文件截止时间起90天。</w:t>
      </w:r>
    </w:p>
    <w:p w14:paraId="089D015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（二）保证金：</w:t>
      </w:r>
    </w:p>
    <w:p w14:paraId="774780C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2199620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（三）修正错误</w:t>
      </w:r>
    </w:p>
    <w:p w14:paraId="6F765ED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若供应商所递交的响应文件或报价中的价格出现大写金额和小写金额不一致的错误，以大写金额修正为准。</w:t>
      </w:r>
    </w:p>
    <w:p w14:paraId="72B7A12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2AF682C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（四）提交响应文件的份数和签署（网下询价适用）</w:t>
      </w:r>
    </w:p>
    <w:p w14:paraId="05EAABB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1.响应文件一式二份，其中正本一份，副本一份；副本可为正本的复印件，应与正本一致，如出现不一致情况以正本为准。</w:t>
      </w:r>
    </w:p>
    <w:p w14:paraId="52958A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2.在响应文件正本中，询价通知书第七篇响应文件格式中规定签署、盖章的地方必须按其规定签署、盖章。</w:t>
      </w:r>
    </w:p>
    <w:p w14:paraId="58D4871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3073E81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4.电报、电话、传真形式的响应文件概不接受。</w:t>
      </w:r>
    </w:p>
    <w:p w14:paraId="7A532D3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（五）响应文件的递交</w:t>
      </w:r>
    </w:p>
    <w:p w14:paraId="440EB14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响应文件的正本、副本均应密封装袋送达报价地点，应在封套上注明询价项目名称、供应商名称，分包号。若正本、副本分别进行密封的，还应在封套上注明“正本”、“副本”、字样。</w:t>
      </w:r>
    </w:p>
    <w:p w14:paraId="7BA2A01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（六）响应文件语言：简体中文</w:t>
      </w:r>
    </w:p>
    <w:p w14:paraId="6A281D3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四、成交供应商的确定和变更</w:t>
      </w:r>
    </w:p>
    <w:p w14:paraId="7166840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5645D5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（二）成交供应商的变更</w:t>
      </w:r>
    </w:p>
    <w:p w14:paraId="34EF907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7BE38A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2.成交供应商无充分理由放弃成交的，采购人将向同级财政部门报告，财政部门将根据相关法律法规的规定进行处理。</w:t>
      </w:r>
    </w:p>
    <w:p w14:paraId="76417F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五、成交通知</w:t>
      </w:r>
    </w:p>
    <w:p w14:paraId="0154512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（一）成交供应商确定后，采购代理机构将在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上发布成交结果公告。</w:t>
      </w:r>
    </w:p>
    <w:p w14:paraId="3C2908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（二）结果公告发出同时，采购人或采购代理机构将以书面形式发出《成交通知书》。《成交通知书》一经发出即发生法律效力。</w:t>
      </w:r>
    </w:p>
    <w:p w14:paraId="4C85F99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（三）《成交通知书》将作为签订合同的依据。</w:t>
      </w:r>
    </w:p>
    <w:p w14:paraId="2C0C414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六、关于质疑和投诉</w:t>
      </w:r>
    </w:p>
    <w:p w14:paraId="1C0DC8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（一）质疑</w:t>
      </w:r>
    </w:p>
    <w:p w14:paraId="705F662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供应商认为采购文件、采购过程和成交结果使自己的权益收到伤害的，可向采购人或采购代理机构以书面形式提出质疑。</w:t>
      </w:r>
    </w:p>
    <w:p w14:paraId="4A1F8A7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提出质疑的应当是参与所质疑项目采购活动的供应商。 </w:t>
      </w:r>
    </w:p>
    <w:p w14:paraId="3AA03C0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1.质疑时限、内容</w:t>
      </w:r>
    </w:p>
    <w:p w14:paraId="2D4A433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2D6A2E4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1.2供应商提出质疑应当提交质疑函和必要的证明材料，质疑函应当包括下列内容：</w:t>
      </w:r>
    </w:p>
    <w:p w14:paraId="07E29A0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1.2.1供应商的姓名或者名称、地址、邮编、联系人及联系电话；</w:t>
      </w:r>
    </w:p>
    <w:p w14:paraId="05F0413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1.2.2质疑项目的项目名称、项目号以及采购执行编号；</w:t>
      </w:r>
    </w:p>
    <w:p w14:paraId="3064C1F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1.2.3具体、明确的质疑事项和与质疑事项相关的请求；</w:t>
      </w:r>
    </w:p>
    <w:p w14:paraId="645632E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1.2.4事实依据；</w:t>
      </w:r>
    </w:p>
    <w:p w14:paraId="3B493ED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1.2.5必要的法律依据；</w:t>
      </w:r>
    </w:p>
    <w:p w14:paraId="642D896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1.2.6提出质疑的日期；</w:t>
      </w:r>
    </w:p>
    <w:p w14:paraId="7B3489A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1.2.7营业执照（或事业单位法人证书，或个体工商户营业执照或有效的自然人身份证明）复印件；</w:t>
      </w:r>
    </w:p>
    <w:p w14:paraId="7A8139A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1.2.8法定代表人授权委托书原件、法定代表人身份证复印件和其授权代表的身份证复印件（供应商为自然人的提供自然人身份证复印件）；</w:t>
      </w:r>
    </w:p>
    <w:p w14:paraId="0E9EF1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117CDD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2.质疑答复</w:t>
      </w:r>
    </w:p>
    <w:p w14:paraId="19618FD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采购人、采购代理机构应当在收到供应商的书面质疑后七个工作日内作出答复，并以书面形式通知质疑供应商和其他有关供应商。</w:t>
      </w:r>
    </w:p>
    <w:p w14:paraId="6E5205D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3.其他</w:t>
      </w:r>
    </w:p>
    <w:p w14:paraId="2338996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176B83C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3.2质疑函范本可在财政部门户网站和中国政府采购网下载。</w:t>
      </w:r>
    </w:p>
    <w:p w14:paraId="52F6160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七、签订合同</w:t>
      </w:r>
    </w:p>
    <w:p w14:paraId="3F07CAE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A41B85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（二）询价通知书、供应商的响应文件及澄清文件等，均为签订政府采购合同的依据。</w:t>
      </w:r>
    </w:p>
    <w:p w14:paraId="1EFB09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（三）合同生效条款由供需双方约定，法律、行政法规规定应当办理批准、登记等手续后生效的合同，依照其规定。</w:t>
      </w:r>
    </w:p>
    <w:p w14:paraId="655E420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（四）合同原则上应按照《重庆市政府采购合同》签订，相关单位要求适用合同通用格式版本的，应按其要求另行签订其他合同。</w:t>
      </w:r>
    </w:p>
    <w:p w14:paraId="5755B57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（五）采购人要求成交供应商提供履约保证金的，应当在询价通知书中予以约定。成交供应商履约完毕后，采购人根据采购文件规定无息退还其履约保证金。</w:t>
      </w:r>
    </w:p>
    <w:p w14:paraId="2D585B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八、项目验收</w:t>
      </w:r>
    </w:p>
    <w:p w14:paraId="72D286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合同执行完毕，采购人或采购代理机构原则上应在7个工作日内组织履约情况验收，不得无故拖延或附加额外条件。</w:t>
      </w:r>
    </w:p>
    <w:p w14:paraId="1AE6EF6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九、采购代理服务费</w:t>
      </w:r>
    </w:p>
    <w:p w14:paraId="253EA2E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本项目采购代理服务费</w:t>
      </w:r>
      <w:r>
        <w:rPr>
          <w:rFonts w:hint="eastAsia" w:asciiTheme="minorEastAsia" w:hAnsiTheme="minorEastAsia"/>
          <w:color w:val="auto"/>
          <w:sz w:val="24"/>
          <w:szCs w:val="24"/>
          <w:highlight w:val="none"/>
          <w:lang w:val="en-US" w:eastAsia="zh-CN"/>
        </w:rPr>
        <w:t>6000</w:t>
      </w:r>
      <w:r>
        <w:rPr>
          <w:rFonts w:hint="eastAsia" w:asciiTheme="minorEastAsia" w:hAnsiTheme="minorEastAsia"/>
          <w:color w:val="auto"/>
          <w:sz w:val="24"/>
          <w:szCs w:val="24"/>
          <w:highlight w:val="none"/>
        </w:rPr>
        <w:t>元，由成交供应商承担并在领取成交通知书时一次性向采购代理机构支付。各供应商在报价时须考虑此费用，项目实施过程中不得以任何理由要求采购人补偿此费用。</w:t>
      </w:r>
    </w:p>
    <w:bookmarkEnd w:id="117"/>
    <w:p w14:paraId="5BD3853F">
      <w:pPr>
        <w:pStyle w:val="6"/>
        <w:pageBreakBefore/>
        <w:spacing w:after="0"/>
        <w:jc w:val="center"/>
        <w:rPr>
          <w:rFonts w:asciiTheme="minorEastAsia" w:hAnsiTheme="minorEastAsia"/>
          <w:color w:val="auto"/>
          <w:sz w:val="36"/>
          <w:szCs w:val="30"/>
          <w:highlight w:val="none"/>
        </w:rPr>
      </w:pPr>
      <w:bookmarkStart w:id="168" w:name="_Toc12789059"/>
      <w:bookmarkStart w:id="169" w:name="_Toc11641055"/>
      <w:bookmarkStart w:id="170" w:name="_Toc14861"/>
      <w:bookmarkStart w:id="171" w:name="_Toc28162"/>
      <w:bookmarkStart w:id="172" w:name="_Toc10599"/>
      <w:bookmarkStart w:id="173" w:name="_Toc65660365"/>
      <w:bookmarkStart w:id="174" w:name="_Toc29663"/>
      <w:r>
        <w:rPr>
          <w:rFonts w:hint="eastAsia" w:asciiTheme="minorEastAsia" w:hAnsiTheme="minorEastAsia"/>
          <w:color w:val="auto"/>
          <w:sz w:val="36"/>
          <w:szCs w:val="30"/>
          <w:highlight w:val="none"/>
        </w:rPr>
        <w:t xml:space="preserve">第六篇  </w:t>
      </w:r>
      <w:bookmarkEnd w:id="168"/>
      <w:bookmarkEnd w:id="169"/>
      <w:r>
        <w:rPr>
          <w:rFonts w:hint="eastAsia" w:asciiTheme="minorEastAsia" w:hAnsiTheme="minorEastAsia"/>
          <w:color w:val="auto"/>
          <w:sz w:val="36"/>
          <w:szCs w:val="30"/>
          <w:highlight w:val="none"/>
        </w:rPr>
        <w:t>合同草案条款</w:t>
      </w:r>
      <w:bookmarkEnd w:id="170"/>
      <w:bookmarkEnd w:id="171"/>
      <w:bookmarkEnd w:id="172"/>
      <w:bookmarkEnd w:id="173"/>
      <w:r>
        <w:rPr>
          <w:rFonts w:hint="eastAsia" w:asciiTheme="minorEastAsia" w:hAnsiTheme="minorEastAsia"/>
          <w:color w:val="auto"/>
          <w:sz w:val="36"/>
          <w:szCs w:val="30"/>
          <w:highlight w:val="none"/>
        </w:rPr>
        <w:t>（如果有)</w:t>
      </w:r>
      <w:bookmarkEnd w:id="174"/>
    </w:p>
    <w:p w14:paraId="53BCA578">
      <w:pPr>
        <w:spacing w:line="400" w:lineRule="exact"/>
        <w:ind w:right="12" w:firstLine="480"/>
        <w:rPr>
          <w:rFonts w:cs="仿宋" w:asciiTheme="minorEastAsia" w:hAnsiTheme="minorEastAsia"/>
          <w:color w:val="auto"/>
          <w:sz w:val="24"/>
          <w:highlight w:val="none"/>
        </w:rPr>
      </w:pPr>
    </w:p>
    <w:p w14:paraId="539086DB">
      <w:pPr>
        <w:spacing w:line="400" w:lineRule="exact"/>
        <w:ind w:right="12" w:firstLine="480"/>
        <w:rPr>
          <w:rFonts w:cs="仿宋" w:asciiTheme="minorEastAsia" w:hAnsiTheme="minorEastAsia"/>
          <w:color w:val="auto"/>
          <w:sz w:val="24"/>
          <w:highlight w:val="none"/>
        </w:rPr>
      </w:pPr>
    </w:p>
    <w:p w14:paraId="1A61B0E2">
      <w:pPr>
        <w:tabs>
          <w:tab w:val="left" w:pos="9000"/>
        </w:tabs>
        <w:spacing w:line="276" w:lineRule="auto"/>
        <w:jc w:val="center"/>
        <w:rPr>
          <w:color w:val="auto"/>
          <w:highlight w:val="none"/>
        </w:rPr>
      </w:pPr>
    </w:p>
    <w:p w14:paraId="26D3D958">
      <w:pPr>
        <w:pageBreakBefore/>
        <w:spacing w:line="500" w:lineRule="exact"/>
        <w:jc w:val="center"/>
        <w:outlineLvl w:val="1"/>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重庆市政府采购购销合同</w:t>
      </w:r>
    </w:p>
    <w:p w14:paraId="25643848">
      <w:pPr>
        <w:spacing w:line="500" w:lineRule="exact"/>
        <w:jc w:val="center"/>
        <w:outlineLvl w:val="1"/>
        <w:rPr>
          <w:rFonts w:ascii="方正仿宋_GBK" w:eastAsia="方正仿宋_GBK"/>
          <w:color w:val="auto"/>
          <w:sz w:val="36"/>
          <w:szCs w:val="36"/>
          <w:highlight w:val="none"/>
        </w:rPr>
      </w:pPr>
      <w:r>
        <w:rPr>
          <w:rFonts w:hint="eastAsia" w:ascii="方正仿宋_GBK" w:eastAsia="方正仿宋_GBK"/>
          <w:color w:val="auto"/>
          <w:sz w:val="36"/>
          <w:szCs w:val="36"/>
          <w:highlight w:val="none"/>
        </w:rPr>
        <w:t>（询价）</w:t>
      </w:r>
    </w:p>
    <w:p w14:paraId="1C2350BD">
      <w:pPr>
        <w:spacing w:line="500" w:lineRule="exact"/>
        <w:jc w:val="center"/>
        <w:outlineLvl w:val="1"/>
        <w:rPr>
          <w:rFonts w:ascii="方正仿宋_GBK" w:eastAsia="方正仿宋_GBK"/>
          <w:color w:val="auto"/>
          <w:highlight w:val="none"/>
        </w:rPr>
      </w:pPr>
      <w:r>
        <w:rPr>
          <w:rFonts w:hint="eastAsia" w:ascii="方正仿宋_GBK" w:eastAsia="方正仿宋_GBK"/>
          <w:color w:val="auto"/>
          <w:highlight w:val="none"/>
        </w:rPr>
        <w:t>（项目号：     ）</w:t>
      </w:r>
    </w:p>
    <w:p w14:paraId="68264C3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1B07F6D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7E8AE480">
      <w:pPr>
        <w:spacing w:line="500" w:lineRule="exact"/>
        <w:rPr>
          <w:rFonts w:ascii="方正仿宋_GBK" w:eastAsia="方正仿宋_GBK"/>
          <w:color w:val="auto"/>
          <w:sz w:val="24"/>
          <w:highlight w:val="none"/>
        </w:rPr>
      </w:pPr>
    </w:p>
    <w:p w14:paraId="1657169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0BD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EA2535">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7981EEA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规格/型号/材质/相关参数要求</w:t>
            </w:r>
          </w:p>
        </w:tc>
        <w:tc>
          <w:tcPr>
            <w:tcW w:w="1457" w:type="dxa"/>
            <w:vAlign w:val="center"/>
          </w:tcPr>
          <w:p w14:paraId="5B7081C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数量</w:t>
            </w:r>
          </w:p>
        </w:tc>
        <w:tc>
          <w:tcPr>
            <w:tcW w:w="1875" w:type="dxa"/>
            <w:vAlign w:val="center"/>
          </w:tcPr>
          <w:p w14:paraId="4CB33A6C">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成交单价（元）</w:t>
            </w:r>
          </w:p>
        </w:tc>
        <w:tc>
          <w:tcPr>
            <w:tcW w:w="1358" w:type="dxa"/>
            <w:vAlign w:val="center"/>
          </w:tcPr>
          <w:p w14:paraId="566A41FB">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供货期</w:t>
            </w:r>
          </w:p>
        </w:tc>
        <w:tc>
          <w:tcPr>
            <w:tcW w:w="1852" w:type="dxa"/>
            <w:vAlign w:val="center"/>
          </w:tcPr>
          <w:p w14:paraId="49B0B657">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备注</w:t>
            </w:r>
          </w:p>
        </w:tc>
      </w:tr>
      <w:tr w14:paraId="5EB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AABB29">
            <w:pPr>
              <w:spacing w:line="500" w:lineRule="exact"/>
              <w:jc w:val="center"/>
              <w:rPr>
                <w:rFonts w:ascii="方正仿宋_GBK" w:eastAsia="方正仿宋_GBK"/>
                <w:color w:val="auto"/>
                <w:sz w:val="24"/>
                <w:highlight w:val="none"/>
              </w:rPr>
            </w:pPr>
          </w:p>
        </w:tc>
        <w:tc>
          <w:tcPr>
            <w:tcW w:w="1741" w:type="dxa"/>
            <w:vAlign w:val="center"/>
          </w:tcPr>
          <w:p w14:paraId="6CC84402">
            <w:pPr>
              <w:spacing w:line="500" w:lineRule="exact"/>
              <w:jc w:val="center"/>
              <w:rPr>
                <w:rFonts w:ascii="方正仿宋_GBK" w:eastAsia="方正仿宋_GBK"/>
                <w:color w:val="auto"/>
                <w:sz w:val="24"/>
                <w:highlight w:val="none"/>
              </w:rPr>
            </w:pPr>
          </w:p>
        </w:tc>
        <w:tc>
          <w:tcPr>
            <w:tcW w:w="1457" w:type="dxa"/>
            <w:vAlign w:val="center"/>
          </w:tcPr>
          <w:p w14:paraId="6FB375AE">
            <w:pPr>
              <w:spacing w:line="500" w:lineRule="exact"/>
              <w:jc w:val="center"/>
              <w:rPr>
                <w:rFonts w:ascii="方正仿宋_GBK" w:eastAsia="方正仿宋_GBK"/>
                <w:color w:val="auto"/>
                <w:sz w:val="24"/>
                <w:highlight w:val="none"/>
              </w:rPr>
            </w:pPr>
          </w:p>
        </w:tc>
        <w:tc>
          <w:tcPr>
            <w:tcW w:w="1875" w:type="dxa"/>
            <w:vAlign w:val="center"/>
          </w:tcPr>
          <w:p w14:paraId="51A30E46">
            <w:pPr>
              <w:spacing w:line="500" w:lineRule="exact"/>
              <w:jc w:val="center"/>
              <w:rPr>
                <w:rFonts w:ascii="方正仿宋_GBK" w:eastAsia="方正仿宋_GBK"/>
                <w:color w:val="auto"/>
                <w:sz w:val="24"/>
                <w:highlight w:val="none"/>
              </w:rPr>
            </w:pPr>
          </w:p>
        </w:tc>
        <w:tc>
          <w:tcPr>
            <w:tcW w:w="1358" w:type="dxa"/>
            <w:vMerge w:val="restart"/>
            <w:vAlign w:val="center"/>
          </w:tcPr>
          <w:p w14:paraId="61FC9E08">
            <w:pPr>
              <w:spacing w:line="500" w:lineRule="exact"/>
              <w:jc w:val="center"/>
              <w:rPr>
                <w:rFonts w:ascii="方正仿宋_GBK" w:eastAsia="方正仿宋_GBK"/>
                <w:color w:val="auto"/>
                <w:sz w:val="24"/>
                <w:highlight w:val="none"/>
              </w:rPr>
            </w:pPr>
          </w:p>
        </w:tc>
        <w:tc>
          <w:tcPr>
            <w:tcW w:w="1852" w:type="dxa"/>
            <w:vMerge w:val="restart"/>
            <w:vAlign w:val="center"/>
          </w:tcPr>
          <w:p w14:paraId="4DF65570">
            <w:pPr>
              <w:spacing w:line="500" w:lineRule="exact"/>
              <w:jc w:val="center"/>
              <w:rPr>
                <w:rFonts w:ascii="方正仿宋_GBK" w:eastAsia="方正仿宋_GBK"/>
                <w:color w:val="auto"/>
                <w:sz w:val="24"/>
                <w:highlight w:val="none"/>
              </w:rPr>
            </w:pPr>
          </w:p>
        </w:tc>
      </w:tr>
      <w:tr w14:paraId="2766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F73E0E">
            <w:pPr>
              <w:spacing w:line="500" w:lineRule="exact"/>
              <w:jc w:val="center"/>
              <w:rPr>
                <w:rFonts w:ascii="方正仿宋_GBK" w:eastAsia="方正仿宋_GBK"/>
                <w:color w:val="auto"/>
                <w:sz w:val="24"/>
                <w:highlight w:val="none"/>
              </w:rPr>
            </w:pPr>
          </w:p>
        </w:tc>
        <w:tc>
          <w:tcPr>
            <w:tcW w:w="1741" w:type="dxa"/>
            <w:vAlign w:val="center"/>
          </w:tcPr>
          <w:p w14:paraId="5BA5E91E">
            <w:pPr>
              <w:spacing w:line="500" w:lineRule="exact"/>
              <w:jc w:val="center"/>
              <w:rPr>
                <w:rFonts w:ascii="方正仿宋_GBK" w:eastAsia="方正仿宋_GBK"/>
                <w:color w:val="auto"/>
                <w:sz w:val="24"/>
                <w:highlight w:val="none"/>
              </w:rPr>
            </w:pPr>
          </w:p>
        </w:tc>
        <w:tc>
          <w:tcPr>
            <w:tcW w:w="1457" w:type="dxa"/>
            <w:vAlign w:val="center"/>
          </w:tcPr>
          <w:p w14:paraId="2CA721CD">
            <w:pPr>
              <w:spacing w:line="500" w:lineRule="exact"/>
              <w:jc w:val="center"/>
              <w:rPr>
                <w:rFonts w:ascii="方正仿宋_GBK" w:eastAsia="方正仿宋_GBK"/>
                <w:color w:val="auto"/>
                <w:sz w:val="24"/>
                <w:highlight w:val="none"/>
              </w:rPr>
            </w:pPr>
          </w:p>
        </w:tc>
        <w:tc>
          <w:tcPr>
            <w:tcW w:w="1875" w:type="dxa"/>
            <w:vAlign w:val="center"/>
          </w:tcPr>
          <w:p w14:paraId="58D16590">
            <w:pPr>
              <w:spacing w:line="500" w:lineRule="exact"/>
              <w:jc w:val="center"/>
              <w:rPr>
                <w:rFonts w:ascii="方正仿宋_GBK" w:eastAsia="方正仿宋_GBK"/>
                <w:color w:val="auto"/>
                <w:sz w:val="24"/>
                <w:highlight w:val="none"/>
              </w:rPr>
            </w:pPr>
          </w:p>
        </w:tc>
        <w:tc>
          <w:tcPr>
            <w:tcW w:w="1358" w:type="dxa"/>
            <w:vMerge w:val="continue"/>
            <w:vAlign w:val="center"/>
          </w:tcPr>
          <w:p w14:paraId="1D713591">
            <w:pPr>
              <w:spacing w:line="500" w:lineRule="exact"/>
              <w:jc w:val="center"/>
              <w:rPr>
                <w:rFonts w:ascii="方正仿宋_GBK" w:eastAsia="方正仿宋_GBK"/>
                <w:color w:val="auto"/>
                <w:sz w:val="24"/>
                <w:highlight w:val="none"/>
              </w:rPr>
            </w:pPr>
          </w:p>
        </w:tc>
        <w:tc>
          <w:tcPr>
            <w:tcW w:w="1852" w:type="dxa"/>
            <w:vMerge w:val="continue"/>
            <w:vAlign w:val="center"/>
          </w:tcPr>
          <w:p w14:paraId="59C69BD6">
            <w:pPr>
              <w:spacing w:line="500" w:lineRule="exact"/>
              <w:jc w:val="center"/>
              <w:rPr>
                <w:rFonts w:ascii="方正仿宋_GBK" w:eastAsia="方正仿宋_GBK"/>
                <w:color w:val="auto"/>
                <w:sz w:val="24"/>
                <w:highlight w:val="none"/>
              </w:rPr>
            </w:pPr>
          </w:p>
        </w:tc>
      </w:tr>
      <w:tr w14:paraId="1BAB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A815786">
            <w:pPr>
              <w:spacing w:line="500" w:lineRule="exact"/>
              <w:jc w:val="center"/>
              <w:rPr>
                <w:rFonts w:ascii="方正仿宋_GBK" w:eastAsia="方正仿宋_GBK"/>
                <w:color w:val="auto"/>
                <w:sz w:val="24"/>
                <w:highlight w:val="none"/>
              </w:rPr>
            </w:pPr>
          </w:p>
        </w:tc>
        <w:tc>
          <w:tcPr>
            <w:tcW w:w="1741" w:type="dxa"/>
            <w:vAlign w:val="center"/>
          </w:tcPr>
          <w:p w14:paraId="21210576">
            <w:pPr>
              <w:spacing w:line="500" w:lineRule="exact"/>
              <w:jc w:val="center"/>
              <w:rPr>
                <w:rFonts w:ascii="方正仿宋_GBK" w:eastAsia="方正仿宋_GBK"/>
                <w:color w:val="auto"/>
                <w:sz w:val="24"/>
                <w:highlight w:val="none"/>
              </w:rPr>
            </w:pPr>
          </w:p>
        </w:tc>
        <w:tc>
          <w:tcPr>
            <w:tcW w:w="1457" w:type="dxa"/>
            <w:vAlign w:val="center"/>
          </w:tcPr>
          <w:p w14:paraId="03ED1A30">
            <w:pPr>
              <w:spacing w:line="500" w:lineRule="exact"/>
              <w:jc w:val="center"/>
              <w:rPr>
                <w:rFonts w:ascii="方正仿宋_GBK" w:eastAsia="方正仿宋_GBK"/>
                <w:color w:val="auto"/>
                <w:sz w:val="24"/>
                <w:highlight w:val="none"/>
              </w:rPr>
            </w:pPr>
          </w:p>
        </w:tc>
        <w:tc>
          <w:tcPr>
            <w:tcW w:w="1875" w:type="dxa"/>
            <w:vAlign w:val="center"/>
          </w:tcPr>
          <w:p w14:paraId="0E376CEA">
            <w:pPr>
              <w:spacing w:line="500" w:lineRule="exact"/>
              <w:jc w:val="center"/>
              <w:rPr>
                <w:rFonts w:ascii="方正仿宋_GBK" w:eastAsia="方正仿宋_GBK"/>
                <w:color w:val="auto"/>
                <w:sz w:val="24"/>
                <w:highlight w:val="none"/>
              </w:rPr>
            </w:pPr>
          </w:p>
        </w:tc>
        <w:tc>
          <w:tcPr>
            <w:tcW w:w="1358" w:type="dxa"/>
            <w:vMerge w:val="continue"/>
            <w:vAlign w:val="center"/>
          </w:tcPr>
          <w:p w14:paraId="6952C2F2">
            <w:pPr>
              <w:spacing w:line="500" w:lineRule="exact"/>
              <w:jc w:val="center"/>
              <w:rPr>
                <w:rFonts w:ascii="方正仿宋_GBK" w:eastAsia="方正仿宋_GBK"/>
                <w:color w:val="auto"/>
                <w:sz w:val="24"/>
                <w:highlight w:val="none"/>
              </w:rPr>
            </w:pPr>
          </w:p>
        </w:tc>
        <w:tc>
          <w:tcPr>
            <w:tcW w:w="1852" w:type="dxa"/>
            <w:vMerge w:val="continue"/>
            <w:vAlign w:val="center"/>
          </w:tcPr>
          <w:p w14:paraId="50A3C82B">
            <w:pPr>
              <w:spacing w:line="500" w:lineRule="exact"/>
              <w:jc w:val="center"/>
              <w:rPr>
                <w:rFonts w:ascii="方正仿宋_GBK" w:eastAsia="方正仿宋_GBK"/>
                <w:color w:val="auto"/>
                <w:sz w:val="24"/>
                <w:highlight w:val="none"/>
              </w:rPr>
            </w:pPr>
          </w:p>
        </w:tc>
      </w:tr>
      <w:tr w14:paraId="01DE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7E8C118">
            <w:pPr>
              <w:spacing w:line="500" w:lineRule="exact"/>
              <w:jc w:val="center"/>
              <w:rPr>
                <w:rFonts w:ascii="方正仿宋_GBK" w:eastAsia="方正仿宋_GBK"/>
                <w:color w:val="auto"/>
                <w:sz w:val="24"/>
                <w:highlight w:val="none"/>
              </w:rPr>
            </w:pPr>
          </w:p>
        </w:tc>
        <w:tc>
          <w:tcPr>
            <w:tcW w:w="1741" w:type="dxa"/>
            <w:vAlign w:val="center"/>
          </w:tcPr>
          <w:p w14:paraId="5854404A">
            <w:pPr>
              <w:spacing w:line="500" w:lineRule="exact"/>
              <w:jc w:val="center"/>
              <w:rPr>
                <w:rFonts w:ascii="方正仿宋_GBK" w:eastAsia="方正仿宋_GBK"/>
                <w:color w:val="auto"/>
                <w:sz w:val="24"/>
                <w:highlight w:val="none"/>
              </w:rPr>
            </w:pPr>
          </w:p>
        </w:tc>
        <w:tc>
          <w:tcPr>
            <w:tcW w:w="1457" w:type="dxa"/>
            <w:vAlign w:val="center"/>
          </w:tcPr>
          <w:p w14:paraId="0389817F">
            <w:pPr>
              <w:spacing w:line="500" w:lineRule="exact"/>
              <w:jc w:val="center"/>
              <w:rPr>
                <w:rFonts w:ascii="方正仿宋_GBK" w:eastAsia="方正仿宋_GBK"/>
                <w:color w:val="auto"/>
                <w:sz w:val="24"/>
                <w:highlight w:val="none"/>
              </w:rPr>
            </w:pPr>
          </w:p>
        </w:tc>
        <w:tc>
          <w:tcPr>
            <w:tcW w:w="1875" w:type="dxa"/>
            <w:vAlign w:val="center"/>
          </w:tcPr>
          <w:p w14:paraId="54CC1540">
            <w:pPr>
              <w:spacing w:line="500" w:lineRule="exact"/>
              <w:jc w:val="center"/>
              <w:rPr>
                <w:rFonts w:ascii="方正仿宋_GBK" w:eastAsia="方正仿宋_GBK"/>
                <w:color w:val="auto"/>
                <w:sz w:val="24"/>
                <w:highlight w:val="none"/>
              </w:rPr>
            </w:pPr>
          </w:p>
        </w:tc>
        <w:tc>
          <w:tcPr>
            <w:tcW w:w="1358" w:type="dxa"/>
            <w:vMerge w:val="continue"/>
            <w:vAlign w:val="center"/>
          </w:tcPr>
          <w:p w14:paraId="1338FF67">
            <w:pPr>
              <w:spacing w:line="500" w:lineRule="exact"/>
              <w:jc w:val="center"/>
              <w:rPr>
                <w:rFonts w:ascii="方正仿宋_GBK" w:eastAsia="方正仿宋_GBK"/>
                <w:color w:val="auto"/>
                <w:sz w:val="24"/>
                <w:highlight w:val="none"/>
              </w:rPr>
            </w:pPr>
          </w:p>
        </w:tc>
        <w:tc>
          <w:tcPr>
            <w:tcW w:w="1852" w:type="dxa"/>
            <w:vMerge w:val="continue"/>
            <w:vAlign w:val="center"/>
          </w:tcPr>
          <w:p w14:paraId="23A5D778">
            <w:pPr>
              <w:spacing w:line="500" w:lineRule="exact"/>
              <w:jc w:val="center"/>
              <w:rPr>
                <w:rFonts w:ascii="方正仿宋_GBK" w:eastAsia="方正仿宋_GBK"/>
                <w:color w:val="auto"/>
                <w:sz w:val="24"/>
                <w:highlight w:val="none"/>
              </w:rPr>
            </w:pPr>
          </w:p>
        </w:tc>
      </w:tr>
      <w:tr w14:paraId="7BAB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FEB292C">
            <w:pPr>
              <w:spacing w:line="500" w:lineRule="exact"/>
              <w:jc w:val="center"/>
              <w:rPr>
                <w:rFonts w:ascii="方正仿宋_GBK" w:eastAsia="方正仿宋_GBK"/>
                <w:color w:val="auto"/>
                <w:sz w:val="24"/>
                <w:highlight w:val="none"/>
              </w:rPr>
            </w:pPr>
          </w:p>
        </w:tc>
        <w:tc>
          <w:tcPr>
            <w:tcW w:w="1741" w:type="dxa"/>
            <w:vAlign w:val="center"/>
          </w:tcPr>
          <w:p w14:paraId="5E84B9A0">
            <w:pPr>
              <w:spacing w:line="500" w:lineRule="exact"/>
              <w:jc w:val="center"/>
              <w:rPr>
                <w:rFonts w:ascii="方正仿宋_GBK" w:eastAsia="方正仿宋_GBK"/>
                <w:color w:val="auto"/>
                <w:sz w:val="24"/>
                <w:highlight w:val="none"/>
              </w:rPr>
            </w:pPr>
          </w:p>
        </w:tc>
        <w:tc>
          <w:tcPr>
            <w:tcW w:w="1457" w:type="dxa"/>
            <w:vAlign w:val="center"/>
          </w:tcPr>
          <w:p w14:paraId="429FDB91">
            <w:pPr>
              <w:spacing w:line="500" w:lineRule="exact"/>
              <w:jc w:val="center"/>
              <w:rPr>
                <w:rFonts w:ascii="方正仿宋_GBK" w:eastAsia="方正仿宋_GBK"/>
                <w:color w:val="auto"/>
                <w:sz w:val="24"/>
                <w:highlight w:val="none"/>
              </w:rPr>
            </w:pPr>
          </w:p>
        </w:tc>
        <w:tc>
          <w:tcPr>
            <w:tcW w:w="1875" w:type="dxa"/>
            <w:vAlign w:val="center"/>
          </w:tcPr>
          <w:p w14:paraId="23F7BF75">
            <w:pPr>
              <w:spacing w:line="500" w:lineRule="exact"/>
              <w:jc w:val="center"/>
              <w:rPr>
                <w:rFonts w:ascii="方正仿宋_GBK" w:eastAsia="方正仿宋_GBK"/>
                <w:color w:val="auto"/>
                <w:sz w:val="24"/>
                <w:highlight w:val="none"/>
              </w:rPr>
            </w:pPr>
          </w:p>
        </w:tc>
        <w:tc>
          <w:tcPr>
            <w:tcW w:w="1358" w:type="dxa"/>
            <w:vMerge w:val="continue"/>
            <w:vAlign w:val="center"/>
          </w:tcPr>
          <w:p w14:paraId="2A1DEAFD">
            <w:pPr>
              <w:spacing w:line="500" w:lineRule="exact"/>
              <w:jc w:val="center"/>
              <w:rPr>
                <w:rFonts w:ascii="方正仿宋_GBK" w:eastAsia="方正仿宋_GBK"/>
                <w:color w:val="auto"/>
                <w:sz w:val="24"/>
                <w:highlight w:val="none"/>
              </w:rPr>
            </w:pPr>
          </w:p>
        </w:tc>
        <w:tc>
          <w:tcPr>
            <w:tcW w:w="1852" w:type="dxa"/>
            <w:vMerge w:val="continue"/>
            <w:vAlign w:val="center"/>
          </w:tcPr>
          <w:p w14:paraId="7C6815CC">
            <w:pPr>
              <w:spacing w:line="500" w:lineRule="exact"/>
              <w:jc w:val="center"/>
              <w:rPr>
                <w:rFonts w:ascii="方正仿宋_GBK" w:eastAsia="方正仿宋_GBK"/>
                <w:color w:val="auto"/>
                <w:sz w:val="24"/>
                <w:highlight w:val="none"/>
              </w:rPr>
            </w:pPr>
          </w:p>
        </w:tc>
      </w:tr>
      <w:tr w14:paraId="3ECA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0343000">
            <w:pPr>
              <w:spacing w:line="500" w:lineRule="exact"/>
              <w:jc w:val="center"/>
              <w:rPr>
                <w:rFonts w:ascii="方正仿宋_GBK" w:eastAsia="方正仿宋_GBK"/>
                <w:color w:val="auto"/>
                <w:sz w:val="24"/>
                <w:highlight w:val="none"/>
              </w:rPr>
            </w:pPr>
          </w:p>
        </w:tc>
        <w:tc>
          <w:tcPr>
            <w:tcW w:w="1741" w:type="dxa"/>
            <w:vAlign w:val="center"/>
          </w:tcPr>
          <w:p w14:paraId="30FE8281">
            <w:pPr>
              <w:spacing w:line="500" w:lineRule="exact"/>
              <w:jc w:val="center"/>
              <w:rPr>
                <w:rFonts w:ascii="方正仿宋_GBK" w:eastAsia="方正仿宋_GBK"/>
                <w:color w:val="auto"/>
                <w:sz w:val="24"/>
                <w:highlight w:val="none"/>
              </w:rPr>
            </w:pPr>
          </w:p>
        </w:tc>
        <w:tc>
          <w:tcPr>
            <w:tcW w:w="1457" w:type="dxa"/>
            <w:vAlign w:val="center"/>
          </w:tcPr>
          <w:p w14:paraId="4F7E1BAF">
            <w:pPr>
              <w:spacing w:line="500" w:lineRule="exact"/>
              <w:jc w:val="center"/>
              <w:rPr>
                <w:rFonts w:ascii="方正仿宋_GBK" w:eastAsia="方正仿宋_GBK"/>
                <w:color w:val="auto"/>
                <w:sz w:val="24"/>
                <w:highlight w:val="none"/>
              </w:rPr>
            </w:pPr>
          </w:p>
        </w:tc>
        <w:tc>
          <w:tcPr>
            <w:tcW w:w="1875" w:type="dxa"/>
            <w:vAlign w:val="center"/>
          </w:tcPr>
          <w:p w14:paraId="4A09A134">
            <w:pPr>
              <w:spacing w:line="500" w:lineRule="exact"/>
              <w:jc w:val="center"/>
              <w:rPr>
                <w:rFonts w:ascii="方正仿宋_GBK" w:eastAsia="方正仿宋_GBK"/>
                <w:color w:val="auto"/>
                <w:sz w:val="24"/>
                <w:highlight w:val="none"/>
              </w:rPr>
            </w:pPr>
          </w:p>
        </w:tc>
        <w:tc>
          <w:tcPr>
            <w:tcW w:w="1358" w:type="dxa"/>
            <w:vMerge w:val="continue"/>
            <w:vAlign w:val="center"/>
          </w:tcPr>
          <w:p w14:paraId="792CACD3">
            <w:pPr>
              <w:spacing w:line="500" w:lineRule="exact"/>
              <w:jc w:val="center"/>
              <w:rPr>
                <w:rFonts w:ascii="方正仿宋_GBK" w:eastAsia="方正仿宋_GBK"/>
                <w:color w:val="auto"/>
                <w:sz w:val="24"/>
                <w:highlight w:val="none"/>
              </w:rPr>
            </w:pPr>
          </w:p>
        </w:tc>
        <w:tc>
          <w:tcPr>
            <w:tcW w:w="1852" w:type="dxa"/>
            <w:vMerge w:val="continue"/>
            <w:vAlign w:val="center"/>
          </w:tcPr>
          <w:p w14:paraId="4F0079FD">
            <w:pPr>
              <w:spacing w:line="500" w:lineRule="exact"/>
              <w:jc w:val="center"/>
              <w:rPr>
                <w:rFonts w:ascii="方正仿宋_GBK" w:eastAsia="方正仿宋_GBK"/>
                <w:color w:val="auto"/>
                <w:sz w:val="24"/>
                <w:highlight w:val="none"/>
              </w:rPr>
            </w:pPr>
          </w:p>
        </w:tc>
      </w:tr>
      <w:tr w14:paraId="75F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17445263">
            <w:pPr>
              <w:spacing w:line="500" w:lineRule="exact"/>
              <w:jc w:val="center"/>
              <w:rPr>
                <w:rFonts w:ascii="方正仿宋_GBK" w:eastAsia="方正仿宋_GBK"/>
                <w:color w:val="auto"/>
                <w:sz w:val="24"/>
                <w:highlight w:val="none"/>
              </w:rPr>
            </w:pPr>
          </w:p>
        </w:tc>
        <w:tc>
          <w:tcPr>
            <w:tcW w:w="1741" w:type="dxa"/>
            <w:tcBorders>
              <w:bottom w:val="single" w:color="auto" w:sz="4" w:space="0"/>
            </w:tcBorders>
            <w:vAlign w:val="center"/>
          </w:tcPr>
          <w:p w14:paraId="775D84CE">
            <w:pPr>
              <w:spacing w:line="500" w:lineRule="exact"/>
              <w:jc w:val="center"/>
              <w:rPr>
                <w:rFonts w:ascii="方正仿宋_GBK" w:eastAsia="方正仿宋_GBK"/>
                <w:color w:val="auto"/>
                <w:sz w:val="24"/>
                <w:highlight w:val="none"/>
              </w:rPr>
            </w:pPr>
          </w:p>
        </w:tc>
        <w:tc>
          <w:tcPr>
            <w:tcW w:w="1457" w:type="dxa"/>
            <w:vAlign w:val="center"/>
          </w:tcPr>
          <w:p w14:paraId="77A8F398">
            <w:pPr>
              <w:spacing w:line="500" w:lineRule="exact"/>
              <w:jc w:val="center"/>
              <w:rPr>
                <w:rFonts w:ascii="方正仿宋_GBK" w:eastAsia="方正仿宋_GBK"/>
                <w:color w:val="auto"/>
                <w:sz w:val="24"/>
                <w:highlight w:val="none"/>
              </w:rPr>
            </w:pPr>
          </w:p>
        </w:tc>
        <w:tc>
          <w:tcPr>
            <w:tcW w:w="1875" w:type="dxa"/>
            <w:tcBorders>
              <w:bottom w:val="single" w:color="auto" w:sz="4" w:space="0"/>
            </w:tcBorders>
            <w:vAlign w:val="center"/>
          </w:tcPr>
          <w:p w14:paraId="05123E5B">
            <w:pPr>
              <w:spacing w:line="500" w:lineRule="exact"/>
              <w:jc w:val="center"/>
              <w:rPr>
                <w:rFonts w:ascii="方正仿宋_GBK" w:eastAsia="方正仿宋_GBK"/>
                <w:color w:val="auto"/>
                <w:sz w:val="24"/>
                <w:highlight w:val="none"/>
              </w:rPr>
            </w:pPr>
          </w:p>
        </w:tc>
        <w:tc>
          <w:tcPr>
            <w:tcW w:w="1358" w:type="dxa"/>
            <w:vMerge w:val="continue"/>
            <w:vAlign w:val="center"/>
          </w:tcPr>
          <w:p w14:paraId="6E6CA3C5">
            <w:pPr>
              <w:spacing w:line="500" w:lineRule="exact"/>
              <w:jc w:val="center"/>
              <w:rPr>
                <w:rFonts w:ascii="方正仿宋_GBK" w:eastAsia="方正仿宋_GBK"/>
                <w:color w:val="auto"/>
                <w:sz w:val="24"/>
                <w:highlight w:val="none"/>
              </w:rPr>
            </w:pPr>
          </w:p>
        </w:tc>
        <w:tc>
          <w:tcPr>
            <w:tcW w:w="1852" w:type="dxa"/>
            <w:vMerge w:val="continue"/>
            <w:vAlign w:val="center"/>
          </w:tcPr>
          <w:p w14:paraId="6C6C865D">
            <w:pPr>
              <w:spacing w:line="500" w:lineRule="exact"/>
              <w:jc w:val="center"/>
              <w:rPr>
                <w:rFonts w:ascii="方正仿宋_GBK" w:eastAsia="方正仿宋_GBK"/>
                <w:color w:val="auto"/>
                <w:sz w:val="24"/>
                <w:highlight w:val="none"/>
              </w:rPr>
            </w:pPr>
          </w:p>
        </w:tc>
      </w:tr>
      <w:tr w14:paraId="1BA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1865A5">
            <w:pPr>
              <w:spacing w:line="500" w:lineRule="exact"/>
              <w:jc w:val="center"/>
              <w:rPr>
                <w:rFonts w:ascii="方正仿宋_GBK" w:eastAsia="方正仿宋_GBK"/>
                <w:color w:val="auto"/>
                <w:sz w:val="24"/>
                <w:highlight w:val="none"/>
              </w:rPr>
            </w:pPr>
          </w:p>
        </w:tc>
        <w:tc>
          <w:tcPr>
            <w:tcW w:w="1741" w:type="dxa"/>
            <w:vAlign w:val="center"/>
          </w:tcPr>
          <w:p w14:paraId="42914A78">
            <w:pPr>
              <w:spacing w:line="500" w:lineRule="exact"/>
              <w:jc w:val="center"/>
              <w:rPr>
                <w:rFonts w:ascii="方正仿宋_GBK" w:eastAsia="方正仿宋_GBK"/>
                <w:color w:val="auto"/>
                <w:sz w:val="24"/>
                <w:highlight w:val="none"/>
              </w:rPr>
            </w:pPr>
          </w:p>
        </w:tc>
        <w:tc>
          <w:tcPr>
            <w:tcW w:w="1457" w:type="dxa"/>
            <w:vAlign w:val="center"/>
          </w:tcPr>
          <w:p w14:paraId="48AB0F63">
            <w:pPr>
              <w:spacing w:line="500" w:lineRule="exact"/>
              <w:jc w:val="center"/>
              <w:rPr>
                <w:rFonts w:ascii="方正仿宋_GBK" w:eastAsia="方正仿宋_GBK"/>
                <w:color w:val="auto"/>
                <w:sz w:val="24"/>
                <w:highlight w:val="none"/>
              </w:rPr>
            </w:pPr>
          </w:p>
        </w:tc>
        <w:tc>
          <w:tcPr>
            <w:tcW w:w="1875" w:type="dxa"/>
            <w:vAlign w:val="center"/>
          </w:tcPr>
          <w:p w14:paraId="04996D6F">
            <w:pPr>
              <w:spacing w:line="500" w:lineRule="exact"/>
              <w:jc w:val="center"/>
              <w:rPr>
                <w:rFonts w:ascii="方正仿宋_GBK" w:eastAsia="方正仿宋_GBK"/>
                <w:color w:val="auto"/>
                <w:sz w:val="24"/>
                <w:highlight w:val="none"/>
              </w:rPr>
            </w:pPr>
          </w:p>
        </w:tc>
        <w:tc>
          <w:tcPr>
            <w:tcW w:w="1358" w:type="dxa"/>
            <w:vMerge w:val="continue"/>
            <w:vAlign w:val="center"/>
          </w:tcPr>
          <w:p w14:paraId="30939857">
            <w:pPr>
              <w:spacing w:line="500" w:lineRule="exact"/>
              <w:jc w:val="center"/>
              <w:rPr>
                <w:rFonts w:ascii="方正仿宋_GBK" w:eastAsia="方正仿宋_GBK"/>
                <w:color w:val="auto"/>
                <w:sz w:val="24"/>
                <w:highlight w:val="none"/>
              </w:rPr>
            </w:pPr>
          </w:p>
        </w:tc>
        <w:tc>
          <w:tcPr>
            <w:tcW w:w="1852" w:type="dxa"/>
            <w:vMerge w:val="continue"/>
            <w:vAlign w:val="center"/>
          </w:tcPr>
          <w:p w14:paraId="7A079E3A">
            <w:pPr>
              <w:spacing w:line="500" w:lineRule="exact"/>
              <w:jc w:val="center"/>
              <w:rPr>
                <w:rFonts w:ascii="方正仿宋_GBK" w:eastAsia="方正仿宋_GBK"/>
                <w:color w:val="auto"/>
                <w:sz w:val="24"/>
                <w:highlight w:val="none"/>
              </w:rPr>
            </w:pPr>
          </w:p>
        </w:tc>
      </w:tr>
      <w:tr w14:paraId="08D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01A106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04427DB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w:t>
            </w:r>
          </w:p>
          <w:p w14:paraId="516FAF7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w:t>
            </w:r>
          </w:p>
          <w:p w14:paraId="506219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w:t>
            </w:r>
            <w:bookmarkStart w:id="220" w:name="_GoBack"/>
            <w:bookmarkEnd w:id="220"/>
          </w:p>
          <w:p w14:paraId="21AE9C0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4.***</w:t>
            </w:r>
          </w:p>
        </w:tc>
      </w:tr>
      <w:tr w14:paraId="5D8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493E8A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二、合同价格说明</w:t>
            </w:r>
          </w:p>
        </w:tc>
      </w:tr>
      <w:tr w14:paraId="21D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206FE8E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四、验收：</w:t>
            </w:r>
          </w:p>
          <w:p w14:paraId="61FA7940">
            <w:pPr>
              <w:spacing w:line="500" w:lineRule="exact"/>
              <w:rPr>
                <w:rFonts w:ascii="方正仿宋_GBK" w:eastAsia="方正仿宋_GBK"/>
                <w:color w:val="auto"/>
                <w:sz w:val="24"/>
                <w:highlight w:val="none"/>
              </w:rPr>
            </w:pPr>
          </w:p>
        </w:tc>
      </w:tr>
      <w:tr w14:paraId="2D20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6E834B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五、履约保证金：</w:t>
            </w:r>
          </w:p>
        </w:tc>
      </w:tr>
      <w:tr w14:paraId="4BF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883C04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六、付款方式：</w:t>
            </w:r>
          </w:p>
          <w:p w14:paraId="3762F303">
            <w:pPr>
              <w:pStyle w:val="13"/>
              <w:spacing w:line="500" w:lineRule="exact"/>
              <w:rPr>
                <w:rFonts w:ascii="方正仿宋_GBK" w:eastAsia="方正仿宋_GBK"/>
                <w:color w:val="auto"/>
                <w:sz w:val="24"/>
                <w:highlight w:val="none"/>
              </w:rPr>
            </w:pPr>
          </w:p>
        </w:tc>
      </w:tr>
      <w:tr w14:paraId="68F8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EBD31A5">
            <w:pPr>
              <w:pStyle w:val="13"/>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七、知识产权：</w:t>
            </w:r>
          </w:p>
        </w:tc>
      </w:tr>
      <w:tr w14:paraId="64D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9AB036C">
            <w:pPr>
              <w:pStyle w:val="13"/>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八、其他商务约定：</w:t>
            </w:r>
          </w:p>
        </w:tc>
      </w:tr>
      <w:tr w14:paraId="391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195B6E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九、违约责任：</w:t>
            </w:r>
          </w:p>
          <w:p w14:paraId="1F0E1DD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按《中华人民共和国民法典》、《中华人民共和国政府采购法》执行，或按双方约定。</w:t>
            </w:r>
          </w:p>
        </w:tc>
      </w:tr>
      <w:tr w14:paraId="116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D0952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十、其他约定事项：</w:t>
            </w:r>
          </w:p>
          <w:p w14:paraId="32745DC3">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1.询价通知书及其澄清文件、响应文件（含有效的补充文件，如有）和承诺是本合同不可分割的部分。</w:t>
            </w:r>
          </w:p>
          <w:p w14:paraId="11033B42">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2.本合同一式__份， 需方__份，供方__份，具同等法律效力。</w:t>
            </w:r>
          </w:p>
          <w:p w14:paraId="67818D66">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3.其他：</w:t>
            </w:r>
          </w:p>
        </w:tc>
      </w:tr>
      <w:tr w14:paraId="0B9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5C5E34B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需方（公章）：</w:t>
            </w:r>
          </w:p>
          <w:p w14:paraId="3B7000A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476B3B7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联系电话：</w:t>
            </w:r>
          </w:p>
          <w:p w14:paraId="1495A2E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tc>
        <w:tc>
          <w:tcPr>
            <w:tcW w:w="3225" w:type="dxa"/>
            <w:gridSpan w:val="3"/>
          </w:tcPr>
          <w:p w14:paraId="3E2E4F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供方（公章）：</w:t>
            </w:r>
          </w:p>
          <w:p w14:paraId="42D1AAE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5E7607B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电话：</w:t>
            </w:r>
          </w:p>
          <w:p w14:paraId="046990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传真：</w:t>
            </w:r>
          </w:p>
          <w:p w14:paraId="0D976EB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开户银行：</w:t>
            </w:r>
          </w:p>
          <w:p w14:paraId="17A05EC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账号：</w:t>
            </w:r>
          </w:p>
          <w:p w14:paraId="563DB13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p w14:paraId="3C7B5AB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259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30CE5EE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备注：</w:t>
            </w:r>
          </w:p>
          <w:p w14:paraId="5977991C">
            <w:pPr>
              <w:spacing w:line="500" w:lineRule="exact"/>
              <w:rPr>
                <w:rFonts w:ascii="方正仿宋_GBK" w:eastAsia="方正仿宋_GBK"/>
                <w:color w:val="auto"/>
                <w:sz w:val="24"/>
                <w:highlight w:val="none"/>
              </w:rPr>
            </w:pPr>
          </w:p>
          <w:p w14:paraId="520E2274">
            <w:pPr>
              <w:spacing w:line="500" w:lineRule="exact"/>
              <w:rPr>
                <w:rFonts w:ascii="方正仿宋_GBK" w:eastAsia="方正仿宋_GBK"/>
                <w:color w:val="auto"/>
                <w:sz w:val="24"/>
                <w:highlight w:val="none"/>
              </w:rPr>
            </w:pPr>
          </w:p>
        </w:tc>
      </w:tr>
    </w:tbl>
    <w:p w14:paraId="7BE62859">
      <w:pPr>
        <w:tabs>
          <w:tab w:val="left" w:pos="9000"/>
        </w:tabs>
        <w:spacing w:line="276" w:lineRule="auto"/>
        <w:jc w:val="center"/>
        <w:rPr>
          <w:rFonts w:ascii="方正仿宋_GBK" w:eastAsia="方正仿宋_GBK"/>
          <w:color w:val="auto"/>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highlight w:val="none"/>
        </w:rPr>
        <w:t>签约时间：           年   月   日      签约地点：</w:t>
      </w:r>
    </w:p>
    <w:p w14:paraId="125F73EF">
      <w:pPr>
        <w:spacing w:line="579" w:lineRule="exact"/>
        <w:rPr>
          <w:rFonts w:ascii="宋体" w:hAnsi="宋体" w:eastAsia="方正黑体_GBK" w:cs="宋体"/>
          <w:color w:val="auto"/>
          <w:szCs w:val="32"/>
          <w:highlight w:val="none"/>
        </w:rPr>
      </w:pPr>
      <w:r>
        <w:rPr>
          <w:rFonts w:hint="eastAsia" w:ascii="宋体" w:hAnsi="宋体" w:eastAsia="方正黑体_GBK" w:cs="宋体"/>
          <w:color w:val="auto"/>
          <w:szCs w:val="32"/>
          <w:highlight w:val="none"/>
        </w:rPr>
        <w:t>附件1</w:t>
      </w:r>
    </w:p>
    <w:p w14:paraId="40947825">
      <w:pPr>
        <w:spacing w:line="579" w:lineRule="exact"/>
        <w:jc w:val="center"/>
        <w:rPr>
          <w:rFonts w:ascii="宋体" w:cs="方正小标宋_GBK"/>
          <w:b/>
          <w:color w:val="auto"/>
          <w:sz w:val="44"/>
          <w:szCs w:val="44"/>
          <w:highlight w:val="none"/>
        </w:rPr>
      </w:pPr>
      <w:r>
        <w:rPr>
          <w:rFonts w:hint="eastAsia" w:ascii="宋体" w:cs="方正小标宋_GBK"/>
          <w:b/>
          <w:color w:val="auto"/>
          <w:sz w:val="32"/>
          <w:szCs w:val="32"/>
          <w:highlight w:val="none"/>
        </w:rPr>
        <w:t>项目廉政协议</w:t>
      </w:r>
    </w:p>
    <w:p w14:paraId="0378A0AA">
      <w:pPr>
        <w:spacing w:line="579" w:lineRule="exact"/>
        <w:ind w:firstLine="420" w:firstLineChars="200"/>
        <w:rPr>
          <w:rFonts w:ascii="宋体"/>
          <w:color w:val="auto"/>
          <w:szCs w:val="32"/>
          <w:highlight w:val="none"/>
        </w:rPr>
      </w:pPr>
    </w:p>
    <w:p w14:paraId="09A216FE">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采购人（以下统称“甲方”）：</w:t>
      </w:r>
    </w:p>
    <w:p w14:paraId="2B96BB0A">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成交供应商（以下统称“乙方”）：</w:t>
      </w:r>
    </w:p>
    <w:p w14:paraId="5083AB30">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为防止在项目实施过程中发生不正当行为，促进本单位的党风廉政建设，根据各级有关规定，特订立如下协议：</w:t>
      </w:r>
    </w:p>
    <w:p w14:paraId="17C251C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一、双方应当共同自觉遵守国家关于党风廉政建设各项规定和关于工程建设管理／货物采购的各项规定。</w:t>
      </w:r>
    </w:p>
    <w:p w14:paraId="6B997D0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二、甲方及甲方人员责任、义务</w:t>
      </w:r>
    </w:p>
    <w:p w14:paraId="615EBE7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（一）甲方或甲方人员（含家属，下同）不得以任何形式向乙方或乙方工作人员索要赞助或收受钱物等。</w:t>
      </w:r>
    </w:p>
    <w:p w14:paraId="65FFE54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64ECBE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（三）甲方人员不得参加可能影响公正执行公务的宴请或娱乐活动。</w:t>
      </w:r>
    </w:p>
    <w:p w14:paraId="43FDEDA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（四）甲方人员不得要求或者接受乙方为其住房装修、婚丧嫁娶、子女入学、家属及亲友的工作安排以及出国出境提供方便。</w:t>
      </w:r>
    </w:p>
    <w:p w14:paraId="663CFF6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（五）甲方人员不得以考察、参观等名义参加乙方安排的国内外旅游活动。</w:t>
      </w:r>
    </w:p>
    <w:p w14:paraId="59B4BE76">
      <w:pPr>
        <w:spacing w:line="24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（六）甲方人员不得向乙方介绍家属或亲友从事与甲方采购事项有关的经济活动。</w:t>
      </w:r>
    </w:p>
    <w:p w14:paraId="52C417A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（七）甲方人员不得要求乙方照顾甲方人员特定关系人的营利性业务。</w:t>
      </w:r>
    </w:p>
    <w:p w14:paraId="5D2B395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（八）甲方人员不得有其他违规违法行为。</w:t>
      </w:r>
    </w:p>
    <w:p w14:paraId="61E85E65">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三、乙方及其工作人员责任、义务</w:t>
      </w:r>
    </w:p>
    <w:p w14:paraId="2377F28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（一）乙方（含乙方工作人员，下同）应当通过正当途径开展相对业务工作，不得为获取某些不正当利益而向甲方人员赠送礼金、有价证券和贵重物品等。</w:t>
      </w:r>
    </w:p>
    <w:p w14:paraId="797F04B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（二）乙方不得为谋取私利擅自与甲方人员就项目事宜进行私下商谈或者达成默契。</w:t>
      </w:r>
    </w:p>
    <w:p w14:paraId="484CE6F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（三）乙方不得以任何理由、借口邀请甲方人员外出旅游或进入营业性高档娱乐场所。</w:t>
      </w:r>
    </w:p>
    <w:p w14:paraId="13D2710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（四）乙方不得为甲方单位、个人购置或者提供包括但不限于通讯工具（或缴纳通讯费用）、交通工具（或支付车辆燃油费、路桥费、停车费、保养维修费、保险费等）、家电及高档办公用品等物品。</w:t>
      </w:r>
    </w:p>
    <w:p w14:paraId="4DF3FE3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（五）乙方不得有其他违规违法行为。</w:t>
      </w:r>
    </w:p>
    <w:p w14:paraId="41DC84F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四、风险告知：在项目验收上须实事求是，做到手续齐全，款项结算时要严格按照规定程序办理，要廉洁自律，提高遵规守纪的自觉性，严格按结算管理办法执行。</w:t>
      </w:r>
    </w:p>
    <w:p w14:paraId="6ADDDBF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五、乙方如发现甲方及其工作人员有违反本协议约定的，应当向甲方领导或者甲方上级单位举报，甲方不得找任何借口对乙方进行报复或刁难、延误工作。</w:t>
      </w:r>
    </w:p>
    <w:p w14:paraId="66883E1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六、甲方发现乙方有违反本协议或者采用不正当的手段贿赂甲方人员，甲方应向乙方上级领导或有关部门举报，由此给甲方单位造成的损失均由乙方承担。</w:t>
      </w:r>
    </w:p>
    <w:p w14:paraId="7E5A0E1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七、本协议作为主合同的附件，经协议双方签署后与主合同同步生效。</w:t>
      </w:r>
    </w:p>
    <w:p w14:paraId="37B39D1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八、本协议一式__份， 需方__份，供方__份，具同等法律效力。</w:t>
      </w:r>
    </w:p>
    <w:p w14:paraId="34A8D03A">
      <w:pPr>
        <w:spacing w:line="240" w:lineRule="auto"/>
        <w:ind w:firstLine="480" w:firstLineChars="200"/>
        <w:rPr>
          <w:rFonts w:ascii="宋体" w:hAnsi="宋体" w:eastAsia="宋体" w:cs="宋体"/>
          <w:color w:val="auto"/>
          <w:kern w:val="0"/>
          <w:sz w:val="24"/>
          <w:szCs w:val="24"/>
          <w:highlight w:val="none"/>
        </w:rPr>
      </w:pPr>
    </w:p>
    <w:p w14:paraId="051873CA">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442129D6">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ABC662E">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                              或委托代理人：</w:t>
      </w:r>
    </w:p>
    <w:p w14:paraId="633CC6D4">
      <w:pPr>
        <w:widowControl/>
        <w:spacing w:line="240" w:lineRule="auto"/>
        <w:ind w:firstLine="480" w:firstLineChars="200"/>
        <w:jc w:val="left"/>
        <w:rPr>
          <w:rFonts w:ascii="宋体" w:hAnsi="宋体" w:eastAsia="宋体" w:cs="宋体"/>
          <w:color w:val="auto"/>
          <w:kern w:val="0"/>
          <w:sz w:val="24"/>
          <w:szCs w:val="24"/>
          <w:highlight w:val="none"/>
        </w:rPr>
      </w:pPr>
    </w:p>
    <w:p w14:paraId="5B38B8F0">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联系人：</w:t>
      </w:r>
    </w:p>
    <w:p w14:paraId="49B3D84D">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联系电话：</w:t>
      </w:r>
    </w:p>
    <w:p w14:paraId="20DAC87B">
      <w:pPr>
        <w:pStyle w:val="2"/>
        <w:spacing w:line="240" w:lineRule="auto"/>
        <w:rPr>
          <w:rFonts w:cs="仿宋" w:asciiTheme="minorEastAsia" w:hAnsiTheme="minorEastAsia" w:eastAsiaTheme="minorEastAsia"/>
          <w:color w:val="auto"/>
          <w:highlight w:val="none"/>
        </w:rPr>
      </w:pPr>
      <w:r>
        <w:rPr>
          <w:rFonts w:hint="eastAsia" w:eastAsia="宋体" w:cs="宋体"/>
          <w:color w:val="auto"/>
          <w:kern w:val="0"/>
          <w:szCs w:val="24"/>
          <w:highlight w:val="none"/>
        </w:rPr>
        <w:t>签约时间：    年   月   日</w:t>
      </w:r>
    </w:p>
    <w:p w14:paraId="76EDF53A">
      <w:pPr>
        <w:rPr>
          <w:rFonts w:cs="仿宋" w:asciiTheme="minorEastAsia" w:hAnsiTheme="minorEastAsia"/>
          <w:color w:val="auto"/>
          <w:sz w:val="24"/>
          <w:highlight w:val="none"/>
        </w:rPr>
      </w:pPr>
    </w:p>
    <w:p w14:paraId="157BE356">
      <w:pPr>
        <w:pStyle w:val="2"/>
        <w:rPr>
          <w:rFonts w:cs="仿宋" w:asciiTheme="minorEastAsia" w:hAnsiTheme="minorEastAsia" w:eastAsiaTheme="minorEastAsia"/>
          <w:color w:val="auto"/>
          <w:highlight w:val="none"/>
        </w:rPr>
      </w:pPr>
    </w:p>
    <w:p w14:paraId="68CE0EDB">
      <w:pPr>
        <w:rPr>
          <w:rFonts w:cs="仿宋" w:asciiTheme="minorEastAsia" w:hAnsiTheme="minorEastAsia"/>
          <w:color w:val="auto"/>
          <w:sz w:val="24"/>
          <w:highlight w:val="none"/>
        </w:rPr>
      </w:pPr>
    </w:p>
    <w:p w14:paraId="76E07D82">
      <w:pPr>
        <w:pStyle w:val="11"/>
        <w:ind w:left="1260"/>
        <w:rPr>
          <w:rFonts w:cs="仿宋" w:asciiTheme="minorEastAsia" w:hAnsiTheme="minorEastAsia"/>
          <w:color w:val="auto"/>
          <w:sz w:val="24"/>
          <w:highlight w:val="none"/>
        </w:rPr>
      </w:pPr>
    </w:p>
    <w:p w14:paraId="13546858">
      <w:pPr>
        <w:rPr>
          <w:rFonts w:cs="仿宋" w:asciiTheme="minorEastAsia" w:hAnsiTheme="minorEastAsia"/>
          <w:color w:val="auto"/>
          <w:sz w:val="24"/>
          <w:highlight w:val="none"/>
        </w:rPr>
      </w:pPr>
    </w:p>
    <w:p w14:paraId="7E00328C">
      <w:pPr>
        <w:pStyle w:val="11"/>
        <w:ind w:left="1260"/>
        <w:rPr>
          <w:rFonts w:cs="仿宋" w:asciiTheme="minorEastAsia" w:hAnsiTheme="minorEastAsia"/>
          <w:color w:val="auto"/>
          <w:sz w:val="24"/>
          <w:highlight w:val="none"/>
        </w:rPr>
      </w:pPr>
    </w:p>
    <w:p w14:paraId="14C90745">
      <w:pPr>
        <w:rPr>
          <w:rFonts w:cs="仿宋" w:asciiTheme="minorEastAsia" w:hAnsiTheme="minorEastAsia"/>
          <w:color w:val="auto"/>
          <w:sz w:val="24"/>
          <w:highlight w:val="none"/>
        </w:rPr>
      </w:pPr>
    </w:p>
    <w:p w14:paraId="0AEF075B">
      <w:pPr>
        <w:pStyle w:val="11"/>
        <w:ind w:left="1260"/>
        <w:rPr>
          <w:rFonts w:cs="仿宋" w:asciiTheme="minorEastAsia" w:hAnsiTheme="minorEastAsia"/>
          <w:color w:val="auto"/>
          <w:sz w:val="24"/>
          <w:highlight w:val="none"/>
        </w:rPr>
      </w:pPr>
    </w:p>
    <w:p w14:paraId="1B03E817">
      <w:pPr>
        <w:rPr>
          <w:rFonts w:cs="仿宋" w:asciiTheme="minorEastAsia" w:hAnsiTheme="minorEastAsia"/>
          <w:color w:val="auto"/>
          <w:sz w:val="24"/>
          <w:highlight w:val="none"/>
        </w:rPr>
      </w:pPr>
    </w:p>
    <w:p w14:paraId="7ED14EF5">
      <w:pPr>
        <w:pStyle w:val="11"/>
        <w:ind w:left="1260"/>
        <w:rPr>
          <w:rFonts w:cs="仿宋" w:asciiTheme="minorEastAsia" w:hAnsiTheme="minorEastAsia"/>
          <w:color w:val="auto"/>
          <w:sz w:val="24"/>
          <w:highlight w:val="none"/>
        </w:rPr>
      </w:pPr>
    </w:p>
    <w:p w14:paraId="72F8BF61">
      <w:pPr>
        <w:rPr>
          <w:color w:val="auto"/>
          <w:highlight w:val="none"/>
        </w:rPr>
      </w:pPr>
    </w:p>
    <w:p w14:paraId="33AA98A2">
      <w:pPr>
        <w:pStyle w:val="11"/>
        <w:ind w:left="1260"/>
        <w:rPr>
          <w:color w:val="auto"/>
          <w:highlight w:val="none"/>
        </w:rPr>
      </w:pPr>
    </w:p>
    <w:p w14:paraId="3C1FF35A">
      <w:pPr>
        <w:rPr>
          <w:color w:val="auto"/>
          <w:highlight w:val="none"/>
        </w:rPr>
      </w:pPr>
    </w:p>
    <w:p w14:paraId="2625DEFC">
      <w:pPr>
        <w:pStyle w:val="11"/>
        <w:ind w:left="1260"/>
        <w:rPr>
          <w:color w:val="auto"/>
          <w:highlight w:val="none"/>
        </w:rPr>
      </w:pPr>
    </w:p>
    <w:p w14:paraId="2B2233B1">
      <w:pPr>
        <w:rPr>
          <w:color w:val="auto"/>
          <w:highlight w:val="none"/>
        </w:rPr>
      </w:pPr>
    </w:p>
    <w:p w14:paraId="7B02D7F1">
      <w:pPr>
        <w:pStyle w:val="6"/>
        <w:pageBreakBefore/>
        <w:spacing w:after="0"/>
        <w:jc w:val="center"/>
        <w:rPr>
          <w:rFonts w:asciiTheme="minorEastAsia" w:hAnsiTheme="minorEastAsia"/>
          <w:color w:val="auto"/>
          <w:sz w:val="36"/>
          <w:szCs w:val="30"/>
          <w:highlight w:val="none"/>
        </w:rPr>
      </w:pPr>
      <w:bookmarkStart w:id="175" w:name="_Hlt41879464"/>
      <w:bookmarkEnd w:id="175"/>
      <w:bookmarkStart w:id="176" w:name="_Toc12789072"/>
      <w:bookmarkStart w:id="177" w:name="_Toc6968"/>
      <w:bookmarkStart w:id="178" w:name="_Toc18521"/>
      <w:bookmarkStart w:id="179" w:name="_Toc65660378"/>
      <w:bookmarkStart w:id="180" w:name="_Toc9538"/>
      <w:bookmarkStart w:id="181" w:name="_Toc31211"/>
      <w:r>
        <w:rPr>
          <w:rFonts w:hint="eastAsia" w:asciiTheme="minorEastAsia" w:hAnsiTheme="minorEastAsia"/>
          <w:color w:val="auto"/>
          <w:sz w:val="36"/>
          <w:szCs w:val="30"/>
          <w:highlight w:val="none"/>
        </w:rPr>
        <w:t>第七篇  响应文件格式要求</w:t>
      </w:r>
      <w:bookmarkEnd w:id="176"/>
      <w:bookmarkEnd w:id="177"/>
      <w:bookmarkEnd w:id="178"/>
      <w:bookmarkEnd w:id="179"/>
      <w:bookmarkEnd w:id="180"/>
      <w:bookmarkEnd w:id="181"/>
    </w:p>
    <w:p w14:paraId="7B742048">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一、经济部分</w:t>
      </w:r>
    </w:p>
    <w:p w14:paraId="6B60651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51D0EBDF">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（二）分项报价表</w:t>
      </w:r>
    </w:p>
    <w:p w14:paraId="70C9597B">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二、技术（质量）部分</w:t>
      </w:r>
    </w:p>
    <w:p w14:paraId="575BAA2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3A00A20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（二）其他资料（格式自定）</w:t>
      </w:r>
    </w:p>
    <w:p w14:paraId="04CDBDE1">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三、服务部分</w:t>
      </w:r>
    </w:p>
    <w:p w14:paraId="5AE2462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2AE812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5B2DD6CC">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四、资格条件及其他</w:t>
      </w:r>
    </w:p>
    <w:p w14:paraId="3859D6E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（一）法人营业执照（副本）或事业单位法人证书（副本）或个体工商户营业执照或社会团体法人登记证书复印件加盖</w:t>
      </w:r>
      <w:r>
        <w:rPr>
          <w:rFonts w:hint="eastAsia" w:asciiTheme="minorEastAsia" w:hAnsiTheme="minorEastAsia"/>
          <w:color w:val="auto"/>
          <w:sz w:val="24"/>
          <w:highlight w:val="none"/>
        </w:rPr>
        <w:t>供应商公章</w:t>
      </w:r>
    </w:p>
    <w:p w14:paraId="5217AF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（二）法定代表人身份证明书（格式）</w:t>
      </w:r>
    </w:p>
    <w:p w14:paraId="2819E37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673C8D4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（四）基本资格条件承诺函（格式）</w:t>
      </w:r>
    </w:p>
    <w:p w14:paraId="3D1EAD8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（五）特定资格条件证书或证明文件</w:t>
      </w:r>
    </w:p>
    <w:p w14:paraId="2C8498ED">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五、其他资料</w:t>
      </w:r>
    </w:p>
    <w:p w14:paraId="4E52ACE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（一）供应商对公账户开户银行许可证或基本存款账户信息复印件加盖供应商公章； </w:t>
      </w:r>
    </w:p>
    <w:p w14:paraId="7452981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1B940EB0">
      <w:pPr>
        <w:snapToGrid w:val="0"/>
        <w:spacing w:line="360" w:lineRule="auto"/>
        <w:rPr>
          <w:rFonts w:asciiTheme="minorEastAsia" w:hAnsiTheme="minorEastAsia"/>
          <w:color w:val="auto"/>
          <w:sz w:val="24"/>
          <w:szCs w:val="24"/>
          <w:highlight w:val="none"/>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75AD8DA4">
      <w:pPr>
        <w:pStyle w:val="6"/>
        <w:pageBreakBefore/>
        <w:spacing w:line="500" w:lineRule="exact"/>
        <w:ind w:firstLine="422" w:firstLineChars="200"/>
        <w:rPr>
          <w:rFonts w:asciiTheme="minorEastAsia" w:hAnsiTheme="minorEastAsia"/>
          <w:b/>
          <w:color w:val="auto"/>
          <w:szCs w:val="28"/>
          <w:highlight w:val="none"/>
        </w:rPr>
      </w:pPr>
      <w:bookmarkStart w:id="182" w:name="_Toc80799903"/>
      <w:bookmarkStart w:id="183" w:name="_Toc429584884"/>
      <w:bookmarkStart w:id="184" w:name="_Toc196642867"/>
      <w:bookmarkStart w:id="185" w:name="_Toc26602"/>
      <w:bookmarkStart w:id="186" w:name="_Toc313008357"/>
      <w:bookmarkStart w:id="187" w:name="_Toc65660380"/>
      <w:bookmarkStart w:id="188" w:name="_Toc22655"/>
      <w:bookmarkStart w:id="189" w:name="_Toc26085"/>
      <w:bookmarkStart w:id="190" w:name="_Toc313888361"/>
      <w:bookmarkStart w:id="191" w:name="_Toc14073"/>
      <w:bookmarkStart w:id="192" w:name="_Toc342913420"/>
      <w:r>
        <w:rPr>
          <w:rFonts w:hint="eastAsia" w:asciiTheme="minorEastAsia" w:hAnsiTheme="minorEastAsia"/>
          <w:b/>
          <w:color w:val="auto"/>
          <w:szCs w:val="28"/>
          <w:highlight w:val="none"/>
        </w:rPr>
        <w:t>一、经济</w:t>
      </w:r>
      <w:bookmarkEnd w:id="182"/>
      <w:bookmarkEnd w:id="183"/>
      <w:r>
        <w:rPr>
          <w:rFonts w:hint="eastAsia" w:asciiTheme="minorEastAsia" w:hAnsiTheme="minorEastAsia"/>
          <w:b/>
          <w:color w:val="auto"/>
          <w:szCs w:val="28"/>
          <w:highlight w:val="none"/>
        </w:rPr>
        <w:t>部分</w:t>
      </w:r>
      <w:bookmarkEnd w:id="184"/>
      <w:bookmarkEnd w:id="185"/>
    </w:p>
    <w:p w14:paraId="545D585D">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1807E5A2">
      <w:pPr>
        <w:tabs>
          <w:tab w:val="left" w:pos="6300"/>
        </w:tabs>
        <w:snapToGrid w:val="0"/>
        <w:spacing w:line="276"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rPr>
        <w:t>（采购代理机构名称）</w:t>
      </w:r>
      <w:r>
        <w:rPr>
          <w:rFonts w:hint="eastAsia" w:asciiTheme="minorEastAsia" w:hAnsiTheme="minorEastAsia"/>
          <w:color w:val="auto"/>
          <w:sz w:val="24"/>
          <w:szCs w:val="24"/>
          <w:highlight w:val="none"/>
        </w:rPr>
        <w:t>：</w:t>
      </w:r>
    </w:p>
    <w:p w14:paraId="5D10E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我方收到____________________________（询价项目名称）的询价通知书，经详细研究，决定参加该询价项目的报价。</w:t>
      </w:r>
    </w:p>
    <w:p w14:paraId="54E13464">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color w:val="auto"/>
          <w:sz w:val="24"/>
          <w:szCs w:val="24"/>
          <w:highlight w:val="none"/>
        </w:rPr>
        <w:t xml:space="preserve"> 愿意按照询价通知书中的一切要求，提供本项目的交货及技术服务，</w:t>
      </w:r>
      <w:r>
        <w:rPr>
          <w:rFonts w:hint="eastAsia" w:ascii="宋体" w:hAnsi="宋体" w:cs="宋体"/>
          <w:color w:val="auto"/>
          <w:kern w:val="0"/>
          <w:sz w:val="24"/>
          <w:szCs w:val="24"/>
          <w:highlight w:val="none"/>
        </w:rPr>
        <w:t>报价为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hint="eastAsia"/>
          <w:color w:val="auto"/>
          <w:sz w:val="24"/>
          <w:szCs w:val="24"/>
          <w:highlight w:val="none"/>
        </w:rPr>
        <w:t>。</w:t>
      </w:r>
    </w:p>
    <w:p w14:paraId="1AA8111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2.我方现提交的响应文件为：响应文件正本壹份，副本壹份。</w:t>
      </w:r>
    </w:p>
    <w:p w14:paraId="0B82E45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3.我方承诺：本次报价的有效期为提交响应文件截止时间起90天。</w:t>
      </w:r>
    </w:p>
    <w:p w14:paraId="53AC67F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4.我方完全理解和接受贵方询价通知书的一切规定和要求及评审办法。</w:t>
      </w:r>
    </w:p>
    <w:p w14:paraId="72C902E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5.在整个询价过程中，我方若有违规行为，接受按照《中华人民共和国政府采购法》和《询价通知书》之规定给予惩罚。</w:t>
      </w:r>
    </w:p>
    <w:p w14:paraId="6AF94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6.我方若成为成交供应商，将按照最终报价结果签订合同，并且严格履行合同义务。本承诺函将成为合同不可分割的一部分，与合同具有同等的法律效力。</w:t>
      </w:r>
    </w:p>
    <w:p w14:paraId="73C18086">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7.如果我方成为成交供应商，保证在接到成交通知书后，向采购代理机构缴纳询价通知书规定的采购代理服务费。</w:t>
      </w:r>
    </w:p>
    <w:p w14:paraId="3454E3D9">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hint="eastAsia" w:asciiTheme="minorEastAsia" w:hAnsiTheme="minorEastAsia"/>
          <w:color w:val="auto"/>
          <w:sz w:val="24"/>
          <w:szCs w:val="28"/>
          <w:highlight w:val="none"/>
        </w:rPr>
        <w:t>我方未</w:t>
      </w:r>
      <w:r>
        <w:rPr>
          <w:rFonts w:asciiTheme="minorEastAsia" w:hAnsiTheme="minorEastAsia"/>
          <w:color w:val="auto"/>
          <w:sz w:val="24"/>
          <w:szCs w:val="24"/>
          <w:highlight w:val="none"/>
        </w:rPr>
        <w:t>为采购项目提供整体设计、规范编制或者项目管理、监理、检测等服务。</w:t>
      </w:r>
    </w:p>
    <w:p w14:paraId="0A49C931">
      <w:pPr>
        <w:tabs>
          <w:tab w:val="left" w:pos="6300"/>
        </w:tabs>
        <w:snapToGrid w:val="0"/>
        <w:spacing w:line="276" w:lineRule="auto"/>
        <w:ind w:firstLine="570"/>
        <w:rPr>
          <w:rFonts w:asciiTheme="minorEastAsia" w:hAnsiTheme="minorEastAsia"/>
          <w:color w:val="auto"/>
          <w:sz w:val="24"/>
          <w:szCs w:val="24"/>
          <w:highlight w:val="none"/>
        </w:rPr>
      </w:pPr>
      <w:bookmarkStart w:id="193" w:name="OLE_LINK2"/>
      <w:r>
        <w:rPr>
          <w:rFonts w:hint="eastAsia" w:asciiTheme="minorEastAsia" w:hAnsiTheme="minorEastAsia"/>
          <w:color w:val="auto"/>
          <w:sz w:val="24"/>
          <w:szCs w:val="24"/>
          <w:highlight w:val="none"/>
        </w:rPr>
        <w:t>供应商（公章）：</w:t>
      </w:r>
    </w:p>
    <w:p w14:paraId="7A9C9889">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地址：  </w:t>
      </w:r>
    </w:p>
    <w:p w14:paraId="61BE6C1C">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                           传真：</w:t>
      </w:r>
    </w:p>
    <w:p w14:paraId="06C520FE">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网址：                           邮编：</w:t>
      </w:r>
    </w:p>
    <w:p w14:paraId="428DC27A">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p>
    <w:p w14:paraId="5E5AAACC">
      <w:pPr>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年   月   日</w:t>
      </w:r>
    </w:p>
    <w:p w14:paraId="08D37AFF">
      <w:pPr>
        <w:pStyle w:val="2"/>
        <w:rPr>
          <w:rFonts w:asciiTheme="minorEastAsia" w:hAnsiTheme="minorEastAsia"/>
          <w:color w:val="auto"/>
          <w:szCs w:val="24"/>
          <w:highlight w:val="none"/>
        </w:rPr>
      </w:pPr>
    </w:p>
    <w:p w14:paraId="2B09A98D">
      <w:pPr>
        <w:pStyle w:val="4"/>
        <w:rPr>
          <w:rFonts w:asciiTheme="minorEastAsia" w:hAnsiTheme="minorEastAsia"/>
          <w:color w:val="auto"/>
          <w:sz w:val="24"/>
          <w:szCs w:val="24"/>
          <w:highlight w:val="none"/>
        </w:rPr>
      </w:pPr>
    </w:p>
    <w:p w14:paraId="4B3C50E9">
      <w:pPr>
        <w:pStyle w:val="4"/>
        <w:rPr>
          <w:rFonts w:asciiTheme="minorEastAsia" w:hAnsiTheme="minorEastAsia"/>
          <w:color w:val="auto"/>
          <w:sz w:val="24"/>
          <w:szCs w:val="24"/>
          <w:highlight w:val="none"/>
        </w:rPr>
      </w:pPr>
    </w:p>
    <w:p w14:paraId="59A8143C">
      <w:pPr>
        <w:pStyle w:val="4"/>
        <w:rPr>
          <w:rFonts w:asciiTheme="minorEastAsia" w:hAnsiTheme="minorEastAsia"/>
          <w:color w:val="auto"/>
          <w:sz w:val="24"/>
          <w:szCs w:val="24"/>
          <w:highlight w:val="none"/>
        </w:rPr>
      </w:pPr>
    </w:p>
    <w:p w14:paraId="5A277F0D">
      <w:pPr>
        <w:pStyle w:val="4"/>
        <w:rPr>
          <w:rFonts w:asciiTheme="minorEastAsia" w:hAnsiTheme="minorEastAsia"/>
          <w:color w:val="auto"/>
          <w:sz w:val="24"/>
          <w:szCs w:val="24"/>
          <w:highlight w:val="none"/>
        </w:rPr>
      </w:pPr>
    </w:p>
    <w:p w14:paraId="11D498C7">
      <w:pPr>
        <w:pStyle w:val="4"/>
        <w:rPr>
          <w:rFonts w:asciiTheme="minorEastAsia" w:hAnsiTheme="minorEastAsia"/>
          <w:color w:val="auto"/>
          <w:sz w:val="24"/>
          <w:szCs w:val="24"/>
          <w:highlight w:val="none"/>
        </w:rPr>
      </w:pPr>
    </w:p>
    <w:p w14:paraId="5983F63B">
      <w:pPr>
        <w:pStyle w:val="4"/>
        <w:rPr>
          <w:rFonts w:asciiTheme="minorEastAsia" w:hAnsiTheme="minorEastAsia"/>
          <w:color w:val="auto"/>
          <w:sz w:val="24"/>
          <w:szCs w:val="24"/>
          <w:highlight w:val="none"/>
        </w:rPr>
      </w:pPr>
    </w:p>
    <w:p w14:paraId="503D9BDE">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（二）分项报价表</w:t>
      </w:r>
    </w:p>
    <w:tbl>
      <w:tblPr>
        <w:tblStyle w:val="22"/>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975"/>
        <w:gridCol w:w="1136"/>
        <w:gridCol w:w="826"/>
        <w:gridCol w:w="765"/>
        <w:gridCol w:w="950"/>
        <w:gridCol w:w="1416"/>
        <w:gridCol w:w="696"/>
      </w:tblGrid>
      <w:tr w14:paraId="2AF1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9460" w:type="dxa"/>
            <w:gridSpan w:val="8"/>
            <w:tcBorders>
              <w:top w:val="nil"/>
              <w:left w:val="nil"/>
              <w:bottom w:val="nil"/>
              <w:right w:val="nil"/>
            </w:tcBorders>
            <w:shd w:val="clear" w:color="auto" w:fill="auto"/>
            <w:vAlign w:val="center"/>
          </w:tcPr>
          <w:p w14:paraId="14A2D396">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重庆东鸿城市运营管理有限责任公司                                               2026年涂白剂、肥料、农药药品采购（第二次）清单</w:t>
            </w:r>
          </w:p>
        </w:tc>
      </w:tr>
      <w:tr w14:paraId="75BA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5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D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81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6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8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D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EBF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B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杀虫气雾剂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C0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E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5068">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872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4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CD9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C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辛硫磷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4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ED5">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3B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1A9">
            <w:pPr>
              <w:jc w:val="center"/>
              <w:rPr>
                <w:rFonts w:hint="default" w:ascii="Times New Roman" w:hAnsi="Times New Roman" w:eastAsia="宋体" w:cs="Times New Roman"/>
                <w:i w:val="0"/>
                <w:iCs w:val="0"/>
                <w:color w:val="auto"/>
                <w:sz w:val="24"/>
                <w:szCs w:val="24"/>
                <w:highlight w:val="none"/>
                <w:u w:val="none"/>
              </w:rPr>
            </w:pPr>
          </w:p>
        </w:tc>
      </w:tr>
      <w:tr w14:paraId="3C40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3A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高效氯氟氰菊酯（</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FD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AA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3B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4EA4">
            <w:pPr>
              <w:jc w:val="center"/>
              <w:rPr>
                <w:rFonts w:hint="default" w:ascii="Times New Roman" w:hAnsi="Times New Roman" w:eastAsia="宋体" w:cs="Times New Roman"/>
                <w:i w:val="0"/>
                <w:iCs w:val="0"/>
                <w:color w:val="auto"/>
                <w:sz w:val="24"/>
                <w:szCs w:val="24"/>
                <w:highlight w:val="none"/>
                <w:u w:val="none"/>
              </w:rPr>
            </w:pPr>
          </w:p>
        </w:tc>
      </w:tr>
      <w:tr w14:paraId="5350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4A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噻虫啉（</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0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1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E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06F">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93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5FA">
            <w:pPr>
              <w:jc w:val="center"/>
              <w:rPr>
                <w:rFonts w:hint="default" w:ascii="Times New Roman" w:hAnsi="Times New Roman" w:eastAsia="宋体" w:cs="Times New Roman"/>
                <w:i w:val="0"/>
                <w:iCs w:val="0"/>
                <w:color w:val="auto"/>
                <w:sz w:val="24"/>
                <w:szCs w:val="24"/>
                <w:highlight w:val="none"/>
                <w:u w:val="none"/>
              </w:rPr>
            </w:pPr>
          </w:p>
        </w:tc>
      </w:tr>
      <w:tr w14:paraId="5516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3C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E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吡虫啉（20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A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6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A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B3E">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85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C11">
            <w:pPr>
              <w:jc w:val="center"/>
              <w:rPr>
                <w:rFonts w:hint="default" w:ascii="Times New Roman" w:hAnsi="Times New Roman" w:eastAsia="宋体" w:cs="Times New Roman"/>
                <w:i w:val="0"/>
                <w:iCs w:val="0"/>
                <w:color w:val="auto"/>
                <w:sz w:val="24"/>
                <w:szCs w:val="24"/>
                <w:highlight w:val="none"/>
                <w:u w:val="none"/>
              </w:rPr>
            </w:pPr>
          </w:p>
        </w:tc>
      </w:tr>
      <w:tr w14:paraId="67A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94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6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石硫合剂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0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7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7C6">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D33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B2B">
            <w:pPr>
              <w:jc w:val="center"/>
              <w:rPr>
                <w:rFonts w:hint="default" w:ascii="Times New Roman" w:hAnsi="Times New Roman" w:eastAsia="宋体" w:cs="Times New Roman"/>
                <w:i w:val="0"/>
                <w:iCs w:val="0"/>
                <w:color w:val="auto"/>
                <w:sz w:val="24"/>
                <w:szCs w:val="24"/>
                <w:highlight w:val="none"/>
                <w:u w:val="none"/>
              </w:rPr>
            </w:pPr>
          </w:p>
        </w:tc>
      </w:tr>
      <w:tr w14:paraId="6765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67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2F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代森锰锌（</w:t>
            </w:r>
            <w:r>
              <w:rPr>
                <w:rFonts w:hint="default" w:ascii="Times New Roman" w:hAnsi="Times New Roman" w:eastAsia="宋体" w:cs="Times New Roman"/>
                <w:i w:val="0"/>
                <w:iCs w:val="0"/>
                <w:color w:val="auto"/>
                <w:kern w:val="0"/>
                <w:sz w:val="24"/>
                <w:szCs w:val="24"/>
                <w:highlight w:val="none"/>
                <w:u w:val="none"/>
                <w:lang w:val="en-US" w:eastAsia="zh-CN" w:bidi="ar"/>
              </w:rPr>
              <w:t>70%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5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E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28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16F">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BE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5A4">
            <w:pPr>
              <w:jc w:val="center"/>
              <w:rPr>
                <w:rFonts w:hint="default" w:ascii="Times New Roman" w:hAnsi="Times New Roman" w:eastAsia="宋体" w:cs="Times New Roman"/>
                <w:i w:val="0"/>
                <w:iCs w:val="0"/>
                <w:color w:val="auto"/>
                <w:sz w:val="24"/>
                <w:szCs w:val="24"/>
                <w:highlight w:val="none"/>
                <w:u w:val="none"/>
              </w:rPr>
            </w:pPr>
          </w:p>
        </w:tc>
      </w:tr>
      <w:tr w14:paraId="254B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5F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nil"/>
              <w:left w:val="nil"/>
              <w:bottom w:val="nil"/>
              <w:right w:val="nil"/>
            </w:tcBorders>
            <w:shd w:val="clear" w:color="auto" w:fill="auto"/>
            <w:noWrap/>
            <w:vAlign w:val="center"/>
          </w:tcPr>
          <w:p w14:paraId="40A70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伤口愈合剂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5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D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4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064">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01F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439">
            <w:pPr>
              <w:jc w:val="center"/>
              <w:rPr>
                <w:rFonts w:hint="default" w:ascii="Times New Roman" w:hAnsi="Times New Roman" w:eastAsia="宋体" w:cs="Times New Roman"/>
                <w:i w:val="0"/>
                <w:iCs w:val="0"/>
                <w:color w:val="auto"/>
                <w:sz w:val="24"/>
                <w:szCs w:val="24"/>
                <w:highlight w:val="none"/>
                <w:u w:val="none"/>
              </w:rPr>
            </w:pPr>
          </w:p>
        </w:tc>
      </w:tr>
      <w:tr w14:paraId="4118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B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9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联苯菊酯</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D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9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44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EBA">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1D4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8FF8">
            <w:pPr>
              <w:jc w:val="center"/>
              <w:rPr>
                <w:rFonts w:hint="default" w:ascii="Times New Roman" w:hAnsi="Times New Roman" w:eastAsia="宋体" w:cs="Times New Roman"/>
                <w:i w:val="0"/>
                <w:iCs w:val="0"/>
                <w:color w:val="auto"/>
                <w:sz w:val="24"/>
                <w:szCs w:val="24"/>
                <w:highlight w:val="none"/>
                <w:u w:val="none"/>
              </w:rPr>
            </w:pPr>
          </w:p>
        </w:tc>
      </w:tr>
      <w:tr w14:paraId="7616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FE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7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舒绝杀蚁诱剂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68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F7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F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57F0">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D9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B82A">
            <w:pPr>
              <w:jc w:val="center"/>
              <w:rPr>
                <w:rFonts w:hint="default" w:ascii="Times New Roman" w:hAnsi="Times New Roman" w:eastAsia="宋体" w:cs="Times New Roman"/>
                <w:i w:val="0"/>
                <w:iCs w:val="0"/>
                <w:color w:val="auto"/>
                <w:sz w:val="24"/>
                <w:szCs w:val="24"/>
                <w:highlight w:val="none"/>
                <w:u w:val="none"/>
              </w:rPr>
            </w:pPr>
          </w:p>
        </w:tc>
      </w:tr>
      <w:tr w14:paraId="722A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89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呋虫胺唑虫酰胺</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3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ED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B8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EA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428">
            <w:pPr>
              <w:jc w:val="center"/>
              <w:rPr>
                <w:rFonts w:hint="default" w:ascii="Times New Roman" w:hAnsi="Times New Roman" w:eastAsia="宋体" w:cs="Times New Roman"/>
                <w:i w:val="0"/>
                <w:iCs w:val="0"/>
                <w:color w:val="auto"/>
                <w:sz w:val="24"/>
                <w:szCs w:val="24"/>
                <w:highlight w:val="none"/>
                <w:u w:val="none"/>
              </w:rPr>
            </w:pPr>
          </w:p>
        </w:tc>
      </w:tr>
      <w:tr w14:paraId="78B1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41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E8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多菌灵（</w:t>
            </w:r>
            <w:r>
              <w:rPr>
                <w:rFonts w:hint="default" w:ascii="Times New Roman" w:hAnsi="Times New Roman" w:eastAsia="宋体" w:cs="Times New Roman"/>
                <w:i w:val="0"/>
                <w:iCs w:val="0"/>
                <w:color w:val="auto"/>
                <w:kern w:val="0"/>
                <w:sz w:val="24"/>
                <w:szCs w:val="24"/>
                <w:highlight w:val="none"/>
                <w:u w:val="none"/>
                <w:lang w:val="en-US" w:eastAsia="zh-CN" w:bidi="ar"/>
              </w:rPr>
              <w:t>50%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F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4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501">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9D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9D2">
            <w:pPr>
              <w:jc w:val="center"/>
              <w:rPr>
                <w:rFonts w:hint="default" w:ascii="Times New Roman" w:hAnsi="Times New Roman" w:eastAsia="宋体" w:cs="Times New Roman"/>
                <w:i w:val="0"/>
                <w:iCs w:val="0"/>
                <w:color w:val="auto"/>
                <w:sz w:val="24"/>
                <w:szCs w:val="24"/>
                <w:highlight w:val="none"/>
                <w:u w:val="none"/>
              </w:rPr>
            </w:pPr>
          </w:p>
        </w:tc>
      </w:tr>
      <w:tr w14:paraId="0FA1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0D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甲基托布津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61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F0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1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7D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15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B193">
            <w:pPr>
              <w:jc w:val="center"/>
              <w:rPr>
                <w:rFonts w:hint="default" w:ascii="Times New Roman" w:hAnsi="Times New Roman" w:eastAsia="宋体" w:cs="Times New Roman"/>
                <w:i w:val="0"/>
                <w:iCs w:val="0"/>
                <w:color w:val="auto"/>
                <w:sz w:val="24"/>
                <w:szCs w:val="24"/>
                <w:highlight w:val="none"/>
                <w:u w:val="none"/>
              </w:rPr>
            </w:pPr>
          </w:p>
        </w:tc>
      </w:tr>
      <w:tr w14:paraId="4AA1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8C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9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甲嘧磺隆</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1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BE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C9B">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39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ACB">
            <w:pPr>
              <w:jc w:val="center"/>
              <w:rPr>
                <w:rFonts w:hint="default" w:ascii="Times New Roman" w:hAnsi="Times New Roman" w:eastAsia="宋体" w:cs="Times New Roman"/>
                <w:i w:val="0"/>
                <w:iCs w:val="0"/>
                <w:color w:val="auto"/>
                <w:sz w:val="24"/>
                <w:szCs w:val="24"/>
                <w:highlight w:val="none"/>
                <w:u w:val="none"/>
              </w:rPr>
            </w:pPr>
          </w:p>
        </w:tc>
      </w:tr>
      <w:tr w14:paraId="6D99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C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农用有机硅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E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D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9E2">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9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0A1">
            <w:pPr>
              <w:jc w:val="center"/>
              <w:rPr>
                <w:rFonts w:hint="default" w:ascii="Times New Roman" w:hAnsi="Times New Roman" w:eastAsia="宋体" w:cs="Times New Roman"/>
                <w:i w:val="0"/>
                <w:iCs w:val="0"/>
                <w:color w:val="auto"/>
                <w:sz w:val="24"/>
                <w:szCs w:val="24"/>
                <w:highlight w:val="none"/>
                <w:u w:val="none"/>
              </w:rPr>
            </w:pPr>
          </w:p>
        </w:tc>
      </w:tr>
      <w:tr w14:paraId="49A7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1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树木涂白剂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6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A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227">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2C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C18">
            <w:pPr>
              <w:jc w:val="center"/>
              <w:rPr>
                <w:rFonts w:hint="default" w:ascii="Times New Roman" w:hAnsi="Times New Roman" w:eastAsia="宋体" w:cs="Times New Roman"/>
                <w:i w:val="0"/>
                <w:iCs w:val="0"/>
                <w:color w:val="auto"/>
                <w:sz w:val="24"/>
                <w:szCs w:val="24"/>
                <w:highlight w:val="none"/>
                <w:u w:val="none"/>
              </w:rPr>
            </w:pPr>
          </w:p>
        </w:tc>
      </w:tr>
      <w:tr w14:paraId="624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73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复合肥料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N-P₂O₅-K₂O≥45%</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D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1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C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1B5">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8F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4282">
            <w:pPr>
              <w:jc w:val="center"/>
              <w:rPr>
                <w:rFonts w:hint="default" w:ascii="Times New Roman" w:hAnsi="Times New Roman" w:eastAsia="宋体" w:cs="Times New Roman"/>
                <w:i w:val="0"/>
                <w:iCs w:val="0"/>
                <w:color w:val="auto"/>
                <w:sz w:val="24"/>
                <w:szCs w:val="24"/>
                <w:highlight w:val="none"/>
                <w:u w:val="none"/>
              </w:rPr>
            </w:pPr>
          </w:p>
        </w:tc>
      </w:tr>
      <w:tr w14:paraId="79B9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63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3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59B18">
            <w:pPr>
              <w:jc w:val="center"/>
              <w:rPr>
                <w:rFonts w:hint="default" w:ascii="Times New Roman" w:hAnsi="Times New Roman" w:eastAsia="宋体" w:cs="Times New Roman"/>
                <w:i w:val="0"/>
                <w:iCs w:val="0"/>
                <w:color w:val="auto"/>
                <w:sz w:val="24"/>
                <w:szCs w:val="24"/>
                <w:highlight w:val="none"/>
                <w:u w:val="none"/>
              </w:rPr>
            </w:pPr>
          </w:p>
        </w:tc>
      </w:tr>
    </w:tbl>
    <w:p w14:paraId="7A9C7765">
      <w:pPr>
        <w:pStyle w:val="4"/>
        <w:rPr>
          <w:rFonts w:asciiTheme="minorEastAsia" w:hAnsiTheme="minorEastAsia"/>
          <w:color w:val="auto"/>
          <w:sz w:val="24"/>
          <w:szCs w:val="24"/>
          <w:highlight w:val="none"/>
        </w:rPr>
      </w:pPr>
    </w:p>
    <w:p w14:paraId="6C5EA6B8">
      <w:pPr>
        <w:pStyle w:val="4"/>
        <w:rPr>
          <w:rFonts w:asciiTheme="minorEastAsia" w:hAnsiTheme="minorEastAsia"/>
          <w:color w:val="auto"/>
          <w:sz w:val="24"/>
          <w:szCs w:val="24"/>
          <w:highlight w:val="none"/>
        </w:rPr>
      </w:pPr>
    </w:p>
    <w:p w14:paraId="421DDE80">
      <w:pPr>
        <w:pStyle w:val="4"/>
        <w:rPr>
          <w:rFonts w:asciiTheme="minorEastAsia" w:hAnsi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bookmarkEnd w:id="193"/>
    <w:p w14:paraId="345205A1">
      <w:pPr>
        <w:pStyle w:val="6"/>
        <w:spacing w:after="0" w:line="400" w:lineRule="exact"/>
        <w:rPr>
          <w:rFonts w:asciiTheme="minorEastAsia" w:hAnsiTheme="minorEastAsia"/>
          <w:color w:val="auto"/>
          <w:sz w:val="24"/>
          <w:highlight w:val="none"/>
        </w:rPr>
      </w:pPr>
      <w:bookmarkStart w:id="194" w:name="_Toc10937"/>
      <w:bookmarkStart w:id="195" w:name="_Toc196642868"/>
      <w:r>
        <w:rPr>
          <w:rFonts w:hint="eastAsia" w:asciiTheme="minorEastAsia" w:hAnsiTheme="minorEastAsia"/>
          <w:color w:val="auto"/>
          <w:sz w:val="24"/>
          <w:highlight w:val="none"/>
        </w:rPr>
        <w:t>二、技术（质量）部分</w:t>
      </w:r>
      <w:bookmarkEnd w:id="186"/>
      <w:bookmarkEnd w:id="187"/>
      <w:bookmarkEnd w:id="188"/>
      <w:bookmarkEnd w:id="189"/>
      <w:bookmarkEnd w:id="190"/>
      <w:bookmarkEnd w:id="191"/>
      <w:bookmarkEnd w:id="192"/>
      <w:bookmarkEnd w:id="194"/>
      <w:bookmarkEnd w:id="195"/>
    </w:p>
    <w:p w14:paraId="763CE3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5125A9B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4E1F66A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（供应商名称）郑重承诺：</w:t>
      </w:r>
    </w:p>
    <w:p w14:paraId="1540DD9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1、我方若成交，将严格按照询价通知书</w:t>
      </w:r>
      <w:r>
        <w:rPr>
          <w:rFonts w:hint="eastAsia" w:ascii="宋体" w:hAnsi="宋体" w:cs="宋体"/>
          <w:color w:val="auto"/>
          <w:kern w:val="0"/>
          <w:sz w:val="24"/>
          <w:szCs w:val="24"/>
          <w:highlight w:val="none"/>
        </w:rPr>
        <w:t>第二篇询价项目技术（质量）需求中“1．项目一览表”</w:t>
      </w:r>
      <w:r>
        <w:rPr>
          <w:rFonts w:hint="eastAsia"/>
          <w:color w:val="auto"/>
          <w:sz w:val="24"/>
          <w:szCs w:val="24"/>
          <w:highlight w:val="none"/>
        </w:rPr>
        <w:t>相关要求提供合格货物。</w:t>
      </w:r>
    </w:p>
    <w:p w14:paraId="0E3DEBC8">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2、</w:t>
      </w:r>
      <w:r>
        <w:rPr>
          <w:rFonts w:hint="eastAsia" w:ascii="宋体" w:hAnsi="宋体" w:cs="宋体"/>
          <w:color w:val="auto"/>
          <w:kern w:val="0"/>
          <w:sz w:val="24"/>
          <w:szCs w:val="24"/>
          <w:highlight w:val="none"/>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color w:val="auto"/>
          <w:sz w:val="24"/>
          <w:szCs w:val="24"/>
          <w:highlight w:val="none"/>
        </w:rPr>
        <w:t>。</w:t>
      </w:r>
    </w:p>
    <w:p w14:paraId="5121BFA1">
      <w:pPr>
        <w:pStyle w:val="2"/>
        <w:rPr>
          <w:color w:val="auto"/>
          <w:highlight w:val="none"/>
        </w:rPr>
      </w:pPr>
      <w:r>
        <w:rPr>
          <w:rFonts w:hint="eastAsia"/>
          <w:color w:val="auto"/>
          <w:szCs w:val="24"/>
          <w:highlight w:val="none"/>
        </w:rPr>
        <w:t>3</w:t>
      </w:r>
      <w:r>
        <w:rPr>
          <w:rFonts w:hint="eastAsia" w:cs="宋体" w:eastAsiaTheme="minorEastAsia"/>
          <w:color w:val="auto"/>
          <w:kern w:val="0"/>
          <w:szCs w:val="24"/>
          <w:highlight w:val="none"/>
        </w:rPr>
        <w:t>、我方若成交，供货时随货提供项目一览表中要求提的技术资料（如有）、合格证。</w:t>
      </w:r>
    </w:p>
    <w:p w14:paraId="489F0133">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我方对以上承诺负全部法律责任。</w:t>
      </w:r>
    </w:p>
    <w:p w14:paraId="2AD8A2C4">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特此承诺。</w:t>
      </w:r>
    </w:p>
    <w:p w14:paraId="6F3A6B5C">
      <w:pPr>
        <w:tabs>
          <w:tab w:val="left" w:pos="6300"/>
        </w:tabs>
        <w:snapToGrid w:val="0"/>
        <w:spacing w:line="500" w:lineRule="exact"/>
        <w:ind w:firstLine="480" w:firstLineChars="200"/>
        <w:rPr>
          <w:color w:val="auto"/>
          <w:sz w:val="24"/>
          <w:szCs w:val="24"/>
          <w:highlight w:val="none"/>
        </w:rPr>
      </w:pPr>
    </w:p>
    <w:p w14:paraId="31ADA8D8">
      <w:pPr>
        <w:tabs>
          <w:tab w:val="left" w:pos="6300"/>
        </w:tabs>
        <w:snapToGrid w:val="0"/>
        <w:spacing w:line="500" w:lineRule="exact"/>
        <w:ind w:firstLine="480" w:firstLineChars="200"/>
        <w:jc w:val="right"/>
        <w:rPr>
          <w:color w:val="auto"/>
          <w:sz w:val="24"/>
          <w:szCs w:val="24"/>
          <w:highlight w:val="none"/>
        </w:rPr>
      </w:pPr>
      <w:r>
        <w:rPr>
          <w:rFonts w:hint="eastAsia"/>
          <w:color w:val="auto"/>
          <w:sz w:val="24"/>
          <w:szCs w:val="24"/>
          <w:highlight w:val="none"/>
        </w:rPr>
        <w:t>（供应商公章）</w:t>
      </w:r>
    </w:p>
    <w:p w14:paraId="57D5FEF3">
      <w:pPr>
        <w:jc w:val="right"/>
        <w:rPr>
          <w:color w:val="auto"/>
          <w:sz w:val="24"/>
          <w:szCs w:val="24"/>
          <w:highlight w:val="none"/>
        </w:rPr>
      </w:pPr>
      <w:r>
        <w:rPr>
          <w:rFonts w:hint="eastAsia"/>
          <w:color w:val="auto"/>
          <w:sz w:val="24"/>
          <w:szCs w:val="24"/>
          <w:highlight w:val="none"/>
        </w:rPr>
        <w:t>年   月   日</w:t>
      </w:r>
    </w:p>
    <w:p w14:paraId="59618AB1">
      <w:pPr>
        <w:spacing w:line="400" w:lineRule="exact"/>
        <w:ind w:firstLine="480" w:firstLineChars="200"/>
        <w:rPr>
          <w:rFonts w:asciiTheme="minorEastAsia" w:hAnsiTheme="minorEastAsia"/>
          <w:color w:val="auto"/>
          <w:sz w:val="24"/>
          <w:highlight w:val="none"/>
        </w:rPr>
      </w:pPr>
    </w:p>
    <w:p w14:paraId="2A7D8FB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br w:type="page"/>
      </w:r>
      <w:r>
        <w:rPr>
          <w:rFonts w:hint="eastAsia" w:asciiTheme="minorEastAsia" w:hAnsiTheme="minorEastAsia"/>
          <w:color w:val="auto"/>
          <w:sz w:val="24"/>
          <w:szCs w:val="24"/>
          <w:highlight w:val="none"/>
        </w:rPr>
        <w:t>（二）其他资料（格式自定）</w:t>
      </w:r>
    </w:p>
    <w:p w14:paraId="57D93135">
      <w:pPr>
        <w:tabs>
          <w:tab w:val="left" w:pos="6300"/>
        </w:tabs>
        <w:snapToGrid w:val="0"/>
        <w:spacing w:line="500" w:lineRule="exact"/>
        <w:ind w:firstLine="480" w:firstLineChars="200"/>
        <w:rPr>
          <w:rFonts w:asciiTheme="minorEastAsia" w:hAnsiTheme="minorEastAsia"/>
          <w:color w:val="auto"/>
          <w:sz w:val="24"/>
          <w:szCs w:val="24"/>
          <w:highlight w:val="none"/>
        </w:rPr>
      </w:pPr>
    </w:p>
    <w:p w14:paraId="4E0F6013">
      <w:pPr>
        <w:pStyle w:val="6"/>
        <w:spacing w:after="0" w:line="400" w:lineRule="exact"/>
        <w:ind w:firstLine="420" w:firstLineChars="200"/>
        <w:rPr>
          <w:rFonts w:asciiTheme="minorEastAsia" w:hAnsiTheme="minorEastAsia"/>
          <w:color w:val="auto"/>
          <w:sz w:val="24"/>
          <w:highlight w:val="none"/>
        </w:rPr>
      </w:pPr>
      <w:r>
        <w:rPr>
          <w:rFonts w:asciiTheme="minorEastAsia" w:hAnsiTheme="minorEastAsia"/>
          <w:color w:val="auto"/>
          <w:highlight w:val="none"/>
        </w:rPr>
        <w:br w:type="page"/>
      </w:r>
      <w:bookmarkStart w:id="196" w:name="_Toc27717"/>
      <w:bookmarkStart w:id="197" w:name="_Toc32158"/>
      <w:bookmarkStart w:id="198" w:name="_Toc32339"/>
      <w:bookmarkStart w:id="199" w:name="_Toc21593"/>
      <w:bookmarkStart w:id="200" w:name="_Toc196642869"/>
      <w:bookmarkStart w:id="201" w:name="_Toc65660381"/>
      <w:bookmarkStart w:id="202" w:name="_Toc342913421"/>
      <w:bookmarkStart w:id="203" w:name="_Toc313008358"/>
      <w:bookmarkStart w:id="204" w:name="_Toc313888362"/>
      <w:r>
        <w:rPr>
          <w:rFonts w:hint="eastAsia" w:asciiTheme="minorEastAsia" w:hAnsiTheme="minorEastAsia"/>
          <w:color w:val="auto"/>
          <w:sz w:val="24"/>
          <w:highlight w:val="none"/>
        </w:rPr>
        <w:t>三、服务部分</w:t>
      </w:r>
      <w:bookmarkEnd w:id="196"/>
      <w:bookmarkEnd w:id="197"/>
      <w:bookmarkEnd w:id="198"/>
      <w:bookmarkEnd w:id="199"/>
      <w:bookmarkEnd w:id="200"/>
      <w:bookmarkEnd w:id="201"/>
    </w:p>
    <w:p w14:paraId="085C110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9E9D5C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2D5DA4A5">
      <w:pPr>
        <w:snapToGrid w:val="0"/>
        <w:spacing w:line="360" w:lineRule="auto"/>
        <w:ind w:firstLine="465"/>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（供应商名称）郑重承诺完全响应询价通知书第三篇约定的如下内容：</w:t>
      </w:r>
    </w:p>
    <w:p w14:paraId="1988A96C">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一、供货期、交货地点及验收方式</w:t>
      </w:r>
    </w:p>
    <w:p w14:paraId="119A0F0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35344C35">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分批供货，以</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人单次通知（书面、口头、电话等方式）起3日内送达</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人指定地点。</w:t>
      </w:r>
    </w:p>
    <w:p w14:paraId="1B61749D">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4DC2BE85">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交货地点：由供应商送货至采购人指定地点。</w:t>
      </w:r>
    </w:p>
    <w:p w14:paraId="7940F098">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44C18BB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6ADBCE0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291FD976">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3.货物的规格/型号/材质/相关参数必须符合第二篇询价项目技术（质量）需求中“1．项目一览表”的规定。</w:t>
      </w:r>
    </w:p>
    <w:p w14:paraId="3E8BB36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在规定时间内完成交货并验收合格，并经采购人确认。</w:t>
      </w:r>
    </w:p>
    <w:p w14:paraId="49D3B7A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45D5F7F7">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4F0344A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30A446BA">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2、本项目设置暂定总价限价和单价限价，供应商在报价函中直接填报的总报价不得超过本项目总价限价，单价报价不得超过对应的单价限价。否则由询价小组按</w:t>
      </w:r>
      <w:r>
        <w:rPr>
          <w:rFonts w:hint="eastAsia" w:asciiTheme="minorEastAsia" w:hAnsiTheme="minorEastAsia"/>
          <w:color w:val="auto"/>
          <w:sz w:val="24"/>
          <w:highlight w:val="none"/>
        </w:rPr>
        <w:t>无效报价处理。</w:t>
      </w:r>
    </w:p>
    <w:p w14:paraId="1697F735">
      <w:pPr>
        <w:pStyle w:val="6"/>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3230866D">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w:t>
      </w:r>
      <w:r>
        <w:rPr>
          <w:rFonts w:hint="eastAsia" w:ascii="宋体" w:hAnsi="宋体" w:cs="宋体"/>
          <w:color w:val="auto"/>
          <w:kern w:val="0"/>
          <w:sz w:val="24"/>
          <w:szCs w:val="24"/>
          <w:highlight w:val="none"/>
        </w:rPr>
        <w:t>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r>
        <w:rPr>
          <w:rFonts w:hint="eastAsia" w:ascii="宋体" w:hAnsi="宋体" w:eastAsia="宋体" w:cs="宋体"/>
          <w:color w:val="auto"/>
          <w:szCs w:val="24"/>
          <w:highlight w:val="none"/>
          <w:lang w:eastAsia="zh-CN"/>
        </w:rPr>
        <w:t>。</w:t>
      </w:r>
    </w:p>
    <w:p w14:paraId="3421E9FC">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1517F945">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、成交供应商每次送货提供送货联单，否则拒绝收货，累积2次不按此规定实施扣按500元/次处以违约金，且采购方有权单方面终止供货合同。</w:t>
      </w:r>
    </w:p>
    <w:p w14:paraId="2889CDAA">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40A0DBF3">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w:t>
      </w:r>
      <w:r>
        <w:rPr>
          <w:rFonts w:hint="eastAsia" w:cs="宋体" w:asciiTheme="minorEastAsia" w:hAnsiTheme="minorEastAsia"/>
          <w:color w:val="auto"/>
          <w:kern w:val="0"/>
          <w:sz w:val="24"/>
          <w:szCs w:val="24"/>
          <w:highlight w:val="none"/>
          <w:lang w:val="en-US" w:eastAsia="zh-CN"/>
        </w:rPr>
        <w:t>前</w:t>
      </w:r>
      <w:r>
        <w:rPr>
          <w:rFonts w:hint="eastAsia" w:cs="宋体" w:asciiTheme="minorEastAsia" w:hAnsiTheme="minorEastAsia"/>
          <w:color w:val="auto"/>
          <w:kern w:val="0"/>
          <w:sz w:val="24"/>
          <w:szCs w:val="24"/>
          <w:highlight w:val="none"/>
        </w:rPr>
        <w:t>成交供应商向采购人缴纳</w:t>
      </w:r>
      <w:r>
        <w:rPr>
          <w:rFonts w:hint="eastAsia" w:cs="宋体" w:asciiTheme="minorEastAsia" w:hAnsiTheme="minorEastAsia"/>
          <w:color w:val="auto"/>
          <w:kern w:val="0"/>
          <w:sz w:val="24"/>
          <w:szCs w:val="24"/>
          <w:highlight w:val="none"/>
          <w:u w:val="single"/>
        </w:rPr>
        <w:t xml:space="preserve">合同金额的10% </w:t>
      </w:r>
      <w:r>
        <w:rPr>
          <w:rFonts w:hint="eastAsia" w:cs="宋体" w:asciiTheme="minorEastAsia" w:hAnsiTheme="minorEastAsia"/>
          <w:color w:val="auto"/>
          <w:kern w:val="0"/>
          <w:sz w:val="24"/>
          <w:szCs w:val="24"/>
          <w:highlight w:val="none"/>
        </w:rPr>
        <w:t>的履约保证金，供货期满</w:t>
      </w:r>
      <w:r>
        <w:rPr>
          <w:rFonts w:hint="eastAsia" w:cs="宋体" w:asciiTheme="minorEastAsia" w:hAnsiTheme="minorEastAsia"/>
          <w:color w:val="auto"/>
          <w:kern w:val="0"/>
          <w:sz w:val="24"/>
          <w:szCs w:val="24"/>
          <w:highlight w:val="none"/>
          <w:lang w:val="en-US" w:eastAsia="zh-CN"/>
        </w:rPr>
        <w:t>经验收合格</w:t>
      </w:r>
      <w:r>
        <w:rPr>
          <w:rFonts w:hint="eastAsia" w:cs="宋体" w:asciiTheme="minorEastAsia" w:hAnsiTheme="minorEastAsia"/>
          <w:color w:val="auto"/>
          <w:kern w:val="0"/>
          <w:sz w:val="24"/>
          <w:szCs w:val="24"/>
          <w:highlight w:val="none"/>
        </w:rPr>
        <w:t>后无息退还。</w:t>
      </w:r>
    </w:p>
    <w:p w14:paraId="503A4240">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（二）上季度货物完成送货且验收合格后，</w:t>
      </w:r>
      <w:r>
        <w:rPr>
          <w:rFonts w:hint="eastAsia" w:cs="宋体" w:asciiTheme="minorEastAsia" w:hAnsiTheme="minorEastAsia"/>
          <w:color w:val="auto"/>
          <w:kern w:val="0"/>
          <w:sz w:val="24"/>
          <w:szCs w:val="24"/>
          <w:highlight w:val="none"/>
          <w:lang w:val="en-US" w:eastAsia="zh-CN"/>
        </w:rPr>
        <w:t>采购人</w:t>
      </w:r>
      <w:r>
        <w:rPr>
          <w:rFonts w:hint="eastAsia" w:cs="宋体" w:asciiTheme="minorEastAsia" w:hAnsiTheme="minorEastAsia"/>
          <w:color w:val="auto"/>
          <w:kern w:val="0"/>
          <w:sz w:val="24"/>
          <w:szCs w:val="24"/>
          <w:highlight w:val="none"/>
        </w:rPr>
        <w:t>在 30 日内</w:t>
      </w:r>
      <w:r>
        <w:rPr>
          <w:rFonts w:hint="eastAsia" w:cs="宋体" w:asciiTheme="minorEastAsia" w:hAnsiTheme="minorEastAsia"/>
          <w:color w:val="auto"/>
          <w:kern w:val="0"/>
          <w:sz w:val="24"/>
          <w:szCs w:val="24"/>
          <w:highlight w:val="none"/>
          <w:lang w:val="en-US" w:eastAsia="zh-CN"/>
        </w:rPr>
        <w:t>支付</w:t>
      </w:r>
      <w:r>
        <w:rPr>
          <w:rFonts w:hint="eastAsia" w:cs="宋体" w:asciiTheme="minorEastAsia" w:hAnsiTheme="minorEastAsia"/>
          <w:color w:val="auto"/>
          <w:kern w:val="0"/>
          <w:sz w:val="24"/>
          <w:szCs w:val="24"/>
          <w:highlight w:val="none"/>
        </w:rPr>
        <w:t>该季度验收合格货物对应的款项。结算办法如下：</w:t>
      </w:r>
    </w:p>
    <w:p w14:paraId="6AFCEADC">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结算价=成交单价×</w:t>
      </w:r>
      <w:r>
        <w:rPr>
          <w:rFonts w:hint="eastAsia" w:cs="宋体" w:asciiTheme="minorEastAsia" w:hAnsiTheme="minorEastAsia"/>
          <w:color w:val="auto"/>
          <w:kern w:val="0"/>
          <w:sz w:val="24"/>
          <w:szCs w:val="24"/>
          <w:highlight w:val="none"/>
          <w:lang w:val="en-US" w:eastAsia="zh-CN"/>
        </w:rPr>
        <w:t>季度</w:t>
      </w:r>
      <w:r>
        <w:rPr>
          <w:rFonts w:hint="eastAsia" w:cs="宋体" w:asciiTheme="minorEastAsia" w:hAnsiTheme="minorEastAsia"/>
          <w:color w:val="auto"/>
          <w:kern w:val="0"/>
          <w:sz w:val="24"/>
          <w:szCs w:val="24"/>
          <w:highlight w:val="none"/>
        </w:rPr>
        <w:t>实际</w:t>
      </w:r>
      <w:r>
        <w:rPr>
          <w:rFonts w:hint="eastAsia" w:cs="宋体" w:asciiTheme="minorEastAsia" w:hAnsiTheme="minorEastAsia"/>
          <w:color w:val="auto"/>
          <w:kern w:val="0"/>
          <w:sz w:val="24"/>
          <w:szCs w:val="24"/>
          <w:highlight w:val="none"/>
          <w:lang w:val="en-US" w:eastAsia="zh-CN"/>
        </w:rPr>
        <w:t>验收</w:t>
      </w:r>
      <w:r>
        <w:rPr>
          <w:rFonts w:hint="eastAsia" w:cs="宋体" w:asciiTheme="minorEastAsia" w:hAnsiTheme="minorEastAsia"/>
          <w:color w:val="auto"/>
          <w:kern w:val="0"/>
          <w:sz w:val="24"/>
          <w:szCs w:val="24"/>
          <w:highlight w:val="none"/>
        </w:rPr>
        <w:t>合格供货数量；</w:t>
      </w:r>
    </w:p>
    <w:p w14:paraId="4B8213B4">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注：支付前成交供应商需提供国家税法规定的增值税专用发票</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否则采购人有权拒绝支付相关费用</w:t>
      </w:r>
      <w:r>
        <w:rPr>
          <w:rFonts w:hint="eastAsia" w:cs="宋体" w:asciiTheme="minorEastAsia" w:hAnsiTheme="minorEastAsia"/>
          <w:b/>
          <w:bCs/>
          <w:color w:val="auto"/>
          <w:kern w:val="0"/>
          <w:sz w:val="24"/>
          <w:szCs w:val="24"/>
          <w:highlight w:val="none"/>
        </w:rPr>
        <w:t>。</w:t>
      </w:r>
    </w:p>
    <w:p w14:paraId="43CC9F8A">
      <w:pPr>
        <w:pStyle w:val="6"/>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4207C40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3EE4B87">
      <w:pPr>
        <w:pStyle w:val="6"/>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08E96A8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本采购项目</w:t>
      </w:r>
      <w:r>
        <w:rPr>
          <w:rFonts w:hint="eastAsia" w:ascii="宋体" w:hAnsi="宋体" w:cs="宋体"/>
          <w:color w:val="auto"/>
          <w:kern w:val="0"/>
          <w:sz w:val="24"/>
          <w:szCs w:val="24"/>
          <w:highlight w:val="none"/>
        </w:rPr>
        <w:t>违约金在当期货款支付前前交纳给采购人，否则</w:t>
      </w:r>
      <w:r>
        <w:rPr>
          <w:rFonts w:hint="eastAsia" w:ascii="宋体" w:hAnsi="宋体" w:cs="宋体"/>
          <w:color w:val="auto"/>
          <w:kern w:val="0"/>
          <w:sz w:val="24"/>
          <w:szCs w:val="24"/>
          <w:highlight w:val="none"/>
          <w:lang w:val="en-US" w:eastAsia="zh-CN"/>
        </w:rPr>
        <w:t>视为中标供应商默认同意由采购人在当期货款支付时一次性扣除</w:t>
      </w:r>
      <w:r>
        <w:rPr>
          <w:rFonts w:hint="eastAsia" w:ascii="宋体" w:hAnsi="宋体" w:cs="宋体"/>
          <w:color w:val="auto"/>
          <w:kern w:val="0"/>
          <w:sz w:val="24"/>
          <w:szCs w:val="24"/>
          <w:highlight w:val="none"/>
        </w:rPr>
        <w:t>。</w:t>
      </w:r>
    </w:p>
    <w:p w14:paraId="08BD4C9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1034A85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p w14:paraId="2A0F7621">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我方对以上承诺负全部法律责任。</w:t>
      </w:r>
    </w:p>
    <w:p w14:paraId="4505833A">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特此承诺。</w:t>
      </w:r>
    </w:p>
    <w:p w14:paraId="1698B3E3">
      <w:pPr>
        <w:tabs>
          <w:tab w:val="left" w:pos="6300"/>
        </w:tabs>
        <w:snapToGrid w:val="0"/>
        <w:spacing w:line="240" w:lineRule="auto"/>
        <w:ind w:firstLine="480" w:firstLineChars="200"/>
        <w:jc w:val="right"/>
        <w:rPr>
          <w:color w:val="auto"/>
          <w:sz w:val="24"/>
          <w:szCs w:val="24"/>
          <w:highlight w:val="none"/>
        </w:rPr>
      </w:pPr>
      <w:r>
        <w:rPr>
          <w:rFonts w:hint="eastAsia"/>
          <w:color w:val="auto"/>
          <w:sz w:val="24"/>
          <w:szCs w:val="24"/>
          <w:highlight w:val="none"/>
        </w:rPr>
        <w:t>（供应商公章）</w:t>
      </w:r>
    </w:p>
    <w:p w14:paraId="272D93BF">
      <w:pPr>
        <w:tabs>
          <w:tab w:val="left" w:pos="6300"/>
        </w:tabs>
        <w:snapToGrid w:val="0"/>
        <w:spacing w:line="240" w:lineRule="auto"/>
        <w:ind w:firstLine="480" w:firstLineChars="200"/>
        <w:jc w:val="right"/>
        <w:rPr>
          <w:rFonts w:asciiTheme="minorEastAsia" w:hAnsiTheme="minorEastAsia"/>
          <w:color w:val="auto"/>
          <w:sz w:val="24"/>
          <w:szCs w:val="24"/>
          <w:highlight w:val="none"/>
        </w:rPr>
      </w:pPr>
      <w:r>
        <w:rPr>
          <w:rFonts w:hint="eastAsia"/>
          <w:color w:val="auto"/>
          <w:sz w:val="24"/>
          <w:szCs w:val="24"/>
          <w:highlight w:val="none"/>
        </w:rPr>
        <w:t>年   月   日</w:t>
      </w:r>
    </w:p>
    <w:p w14:paraId="2105B436">
      <w:pPr>
        <w:tabs>
          <w:tab w:val="left" w:pos="6300"/>
        </w:tabs>
        <w:snapToGrid w:val="0"/>
        <w:spacing w:line="400" w:lineRule="exact"/>
        <w:ind w:firstLine="480" w:firstLineChars="200"/>
        <w:rPr>
          <w:rFonts w:asciiTheme="minorEastAsia" w:hAnsiTheme="minorEastAsia"/>
          <w:color w:val="auto"/>
          <w:sz w:val="24"/>
          <w:highlight w:val="none"/>
        </w:rPr>
      </w:pPr>
    </w:p>
    <w:p w14:paraId="181AB518">
      <w:pPr>
        <w:pageBreakBefore/>
        <w:tabs>
          <w:tab w:val="left" w:pos="6300"/>
        </w:tabs>
        <w:snapToGrid w:val="0"/>
        <w:spacing w:line="48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60D4E407">
      <w:pPr>
        <w:tabs>
          <w:tab w:val="left" w:pos="6300"/>
        </w:tabs>
        <w:snapToGrid w:val="0"/>
        <w:spacing w:line="480" w:lineRule="exact"/>
        <w:ind w:firstLine="480" w:firstLineChars="200"/>
        <w:rPr>
          <w:rFonts w:asciiTheme="minorEastAsia" w:hAnsiTheme="minorEastAsia"/>
          <w:color w:val="auto"/>
          <w:sz w:val="24"/>
          <w:szCs w:val="24"/>
          <w:highlight w:val="none"/>
        </w:rPr>
      </w:pPr>
    </w:p>
    <w:p w14:paraId="1C5C0270">
      <w:pPr>
        <w:pStyle w:val="6"/>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205" w:name="_Toc20162"/>
      <w:bookmarkStart w:id="206" w:name="_Toc196642870"/>
      <w:bookmarkStart w:id="207" w:name="_Toc65660382"/>
      <w:bookmarkStart w:id="208" w:name="_Toc2082"/>
      <w:bookmarkStart w:id="209" w:name="_Toc30720"/>
      <w:bookmarkStart w:id="210" w:name="_Toc21793"/>
      <w:r>
        <w:rPr>
          <w:rFonts w:hint="eastAsia" w:asciiTheme="minorEastAsia" w:hAnsiTheme="minorEastAsia"/>
          <w:color w:val="auto"/>
          <w:sz w:val="24"/>
          <w:highlight w:val="none"/>
        </w:rPr>
        <w:t>四、</w:t>
      </w:r>
      <w:bookmarkEnd w:id="202"/>
      <w:bookmarkEnd w:id="203"/>
      <w:bookmarkEnd w:id="204"/>
      <w:r>
        <w:rPr>
          <w:rFonts w:hint="eastAsia" w:asciiTheme="minorEastAsia" w:hAnsiTheme="minorEastAsia"/>
          <w:color w:val="auto"/>
          <w:sz w:val="24"/>
          <w:highlight w:val="none"/>
        </w:rPr>
        <w:t>资格条件及其他</w:t>
      </w:r>
      <w:bookmarkEnd w:id="205"/>
      <w:bookmarkEnd w:id="206"/>
      <w:bookmarkEnd w:id="207"/>
      <w:bookmarkEnd w:id="208"/>
      <w:bookmarkEnd w:id="209"/>
      <w:bookmarkEnd w:id="210"/>
      <w:bookmarkStart w:id="211" w:name="_Toc313888363"/>
      <w:bookmarkStart w:id="212" w:name="_Toc342913422"/>
      <w:bookmarkStart w:id="213" w:name="_Toc313008359"/>
    </w:p>
    <w:p w14:paraId="08600ED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（一）法人营业执照（副本）或事业单位法人证书（副本）或个体工商户营业执照或有效的自然人身份证明或社会团体法人登记证书复印件加盖</w:t>
      </w:r>
      <w:r>
        <w:rPr>
          <w:rFonts w:hint="eastAsia" w:asciiTheme="minorEastAsia" w:hAnsiTheme="minorEastAsia"/>
          <w:color w:val="auto"/>
          <w:sz w:val="24"/>
          <w:highlight w:val="none"/>
        </w:rPr>
        <w:t>供应商公章。</w:t>
      </w:r>
    </w:p>
    <w:p w14:paraId="7F4211F6">
      <w:pPr>
        <w:tabs>
          <w:tab w:val="left" w:pos="6300"/>
        </w:tabs>
        <w:snapToGrid w:val="0"/>
        <w:spacing w:line="500" w:lineRule="exact"/>
        <w:ind w:firstLine="570"/>
        <w:rPr>
          <w:rFonts w:asciiTheme="minorEastAsia" w:hAnsiTheme="minorEastAsia"/>
          <w:color w:val="auto"/>
          <w:sz w:val="24"/>
          <w:szCs w:val="24"/>
          <w:highlight w:val="none"/>
        </w:rPr>
      </w:pPr>
    </w:p>
    <w:p w14:paraId="55775EA5">
      <w:pPr>
        <w:tabs>
          <w:tab w:val="left" w:pos="6300"/>
        </w:tabs>
        <w:snapToGrid w:val="0"/>
        <w:spacing w:line="500" w:lineRule="exact"/>
        <w:ind w:firstLine="570"/>
        <w:rPr>
          <w:rFonts w:asciiTheme="minorEastAsia" w:hAnsiTheme="minorEastAsia"/>
          <w:color w:val="auto"/>
          <w:highlight w:val="none"/>
        </w:rPr>
      </w:pPr>
    </w:p>
    <w:p w14:paraId="6981BFE8">
      <w:pPr>
        <w:tabs>
          <w:tab w:val="left" w:pos="6300"/>
        </w:tabs>
        <w:snapToGrid w:val="0"/>
        <w:spacing w:line="500" w:lineRule="exact"/>
        <w:ind w:firstLine="570"/>
        <w:rPr>
          <w:rFonts w:asciiTheme="minorEastAsia" w:hAnsiTheme="minorEastAsia"/>
          <w:color w:val="auto"/>
          <w:highlight w:val="none"/>
        </w:rPr>
      </w:pPr>
    </w:p>
    <w:p w14:paraId="5BF25ADB">
      <w:pPr>
        <w:tabs>
          <w:tab w:val="left" w:pos="6300"/>
        </w:tabs>
        <w:snapToGrid w:val="0"/>
        <w:spacing w:line="500" w:lineRule="exact"/>
        <w:ind w:firstLine="570"/>
        <w:rPr>
          <w:rFonts w:asciiTheme="minorEastAsia" w:hAnsiTheme="minorEastAsia"/>
          <w:color w:val="auto"/>
          <w:highlight w:val="none"/>
        </w:rPr>
      </w:pPr>
    </w:p>
    <w:p w14:paraId="7063E171">
      <w:pPr>
        <w:tabs>
          <w:tab w:val="left" w:pos="6300"/>
        </w:tabs>
        <w:snapToGrid w:val="0"/>
        <w:spacing w:line="500" w:lineRule="exact"/>
        <w:ind w:firstLine="570"/>
        <w:rPr>
          <w:rFonts w:asciiTheme="minorEastAsia" w:hAnsiTheme="minorEastAsia"/>
          <w:color w:val="auto"/>
          <w:highlight w:val="none"/>
        </w:rPr>
      </w:pPr>
    </w:p>
    <w:p w14:paraId="52EB0F57">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（二）法定代表人身份证明书（格式）</w:t>
      </w:r>
    </w:p>
    <w:p w14:paraId="396B5DB3">
      <w:pPr>
        <w:tabs>
          <w:tab w:val="left" w:pos="6300"/>
        </w:tabs>
        <w:snapToGrid w:val="0"/>
        <w:spacing w:line="500" w:lineRule="exact"/>
        <w:ind w:firstLine="570"/>
        <w:rPr>
          <w:rFonts w:asciiTheme="minorEastAsia" w:hAnsiTheme="minorEastAsia"/>
          <w:color w:val="auto"/>
          <w:sz w:val="24"/>
          <w:highlight w:val="none"/>
        </w:rPr>
      </w:pPr>
    </w:p>
    <w:p w14:paraId="1ADB143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询价项目名称：</w:t>
      </w:r>
      <w:r>
        <w:rPr>
          <w:rFonts w:hint="eastAsia" w:asciiTheme="minorEastAsia" w:hAnsiTheme="minorEastAsia"/>
          <w:color w:val="auto"/>
          <w:sz w:val="24"/>
          <w:highlight w:val="none"/>
          <w:u w:val="single"/>
        </w:rPr>
        <w:t xml:space="preserve">                                                </w:t>
      </w:r>
    </w:p>
    <w:p w14:paraId="264D60A6">
      <w:pPr>
        <w:tabs>
          <w:tab w:val="left" w:pos="6300"/>
        </w:tabs>
        <w:snapToGrid w:val="0"/>
        <w:spacing w:line="500" w:lineRule="exact"/>
        <w:ind w:firstLine="570"/>
        <w:rPr>
          <w:rFonts w:asciiTheme="minorEastAsia" w:hAnsiTheme="minorEastAsia"/>
          <w:color w:val="auto"/>
          <w:sz w:val="24"/>
          <w:highlight w:val="none"/>
        </w:rPr>
      </w:pPr>
    </w:p>
    <w:p w14:paraId="654DBFB0">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4A5F806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（法定代表人姓名）在</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（职务名称）职务，是（供应商名称）</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的法定代表人。</w:t>
      </w:r>
    </w:p>
    <w:p w14:paraId="46DB233B">
      <w:pPr>
        <w:tabs>
          <w:tab w:val="left" w:pos="6300"/>
        </w:tabs>
        <w:snapToGrid w:val="0"/>
        <w:spacing w:line="500" w:lineRule="exact"/>
        <w:ind w:firstLine="570"/>
        <w:rPr>
          <w:rFonts w:asciiTheme="minorEastAsia" w:hAnsiTheme="minorEastAsia"/>
          <w:color w:val="auto"/>
          <w:sz w:val="24"/>
          <w:highlight w:val="none"/>
        </w:rPr>
      </w:pPr>
    </w:p>
    <w:p w14:paraId="467C1EBE">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D6B8DF0">
      <w:pPr>
        <w:tabs>
          <w:tab w:val="left" w:pos="6300"/>
        </w:tabs>
        <w:snapToGrid w:val="0"/>
        <w:spacing w:line="500" w:lineRule="exact"/>
        <w:ind w:firstLine="570"/>
        <w:rPr>
          <w:rFonts w:asciiTheme="minorEastAsia" w:hAnsiTheme="minorEastAsia"/>
          <w:color w:val="auto"/>
          <w:sz w:val="24"/>
          <w:highlight w:val="none"/>
        </w:rPr>
      </w:pPr>
    </w:p>
    <w:p w14:paraId="07017770">
      <w:pPr>
        <w:tabs>
          <w:tab w:val="left" w:pos="6300"/>
        </w:tabs>
        <w:snapToGrid w:val="0"/>
        <w:spacing w:line="500" w:lineRule="exact"/>
        <w:ind w:firstLine="570"/>
        <w:rPr>
          <w:rFonts w:asciiTheme="minorEastAsia" w:hAnsiTheme="minorEastAsia"/>
          <w:color w:val="auto"/>
          <w:sz w:val="24"/>
          <w:highlight w:val="none"/>
        </w:rPr>
      </w:pPr>
    </w:p>
    <w:p w14:paraId="664F07A7">
      <w:pPr>
        <w:tabs>
          <w:tab w:val="left" w:pos="6300"/>
        </w:tabs>
        <w:snapToGrid w:val="0"/>
        <w:spacing w:line="500" w:lineRule="exact"/>
        <w:ind w:firstLine="570"/>
        <w:rPr>
          <w:rFonts w:asciiTheme="minorEastAsia" w:hAnsiTheme="minorEastAsia"/>
          <w:color w:val="auto"/>
          <w:sz w:val="24"/>
          <w:highlight w:val="none"/>
        </w:rPr>
      </w:pPr>
    </w:p>
    <w:p w14:paraId="72D79792">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649BA4B0">
      <w:pPr>
        <w:tabs>
          <w:tab w:val="left" w:pos="6300"/>
        </w:tabs>
        <w:snapToGrid w:val="0"/>
        <w:spacing w:line="500" w:lineRule="exact"/>
        <w:ind w:firstLine="570"/>
        <w:rPr>
          <w:rFonts w:asciiTheme="minorEastAsia" w:hAnsiTheme="minorEastAsia"/>
          <w:color w:val="auto"/>
          <w:sz w:val="24"/>
          <w:highlight w:val="none"/>
        </w:rPr>
      </w:pPr>
    </w:p>
    <w:p w14:paraId="6538F3D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14:paraId="74E08B26">
      <w:pPr>
        <w:tabs>
          <w:tab w:val="left" w:pos="6300"/>
        </w:tabs>
        <w:snapToGrid w:val="0"/>
        <w:spacing w:line="500" w:lineRule="exact"/>
        <w:ind w:firstLine="570"/>
        <w:rPr>
          <w:rFonts w:asciiTheme="minorEastAsia" w:hAnsiTheme="minorEastAsia"/>
          <w:color w:val="auto"/>
          <w:sz w:val="24"/>
          <w:highlight w:val="none"/>
        </w:rPr>
      </w:pPr>
    </w:p>
    <w:p w14:paraId="083D530D">
      <w:pPr>
        <w:tabs>
          <w:tab w:val="left" w:pos="6300"/>
        </w:tabs>
        <w:snapToGrid w:val="0"/>
        <w:spacing w:line="500" w:lineRule="exact"/>
        <w:ind w:firstLine="570"/>
        <w:rPr>
          <w:rFonts w:asciiTheme="minorEastAsia" w:hAnsiTheme="minorEastAsia"/>
          <w:color w:val="auto"/>
          <w:sz w:val="24"/>
          <w:highlight w:val="none"/>
        </w:rPr>
      </w:pPr>
    </w:p>
    <w:p w14:paraId="5E2A45C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法定代表人电话：XXXXXXX      电子邮箱：XXXXXX@XXXXX（若授权他人办理并签署响应文件的可不填写）</w:t>
      </w:r>
    </w:p>
    <w:p w14:paraId="05C0F6DC">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（附：法定代表人身份证正反面复印件）</w:t>
      </w:r>
    </w:p>
    <w:p w14:paraId="1037C12D">
      <w:pPr>
        <w:tabs>
          <w:tab w:val="left" w:pos="6300"/>
        </w:tabs>
        <w:snapToGrid w:val="0"/>
        <w:spacing w:line="500" w:lineRule="exact"/>
        <w:ind w:firstLine="570"/>
        <w:rPr>
          <w:rFonts w:asciiTheme="minorEastAsia" w:hAnsiTheme="minorEastAsia"/>
          <w:color w:val="auto"/>
          <w:sz w:val="24"/>
          <w:highlight w:val="none"/>
        </w:rPr>
      </w:pPr>
    </w:p>
    <w:p w14:paraId="544D4EBD">
      <w:pPr>
        <w:tabs>
          <w:tab w:val="left" w:pos="6300"/>
        </w:tabs>
        <w:snapToGrid w:val="0"/>
        <w:spacing w:line="500" w:lineRule="exact"/>
        <w:ind w:firstLine="570"/>
        <w:rPr>
          <w:rFonts w:asciiTheme="minorEastAsia" w:hAnsiTheme="minorEastAsia"/>
          <w:color w:val="auto"/>
          <w:sz w:val="24"/>
          <w:highlight w:val="none"/>
        </w:rPr>
      </w:pPr>
    </w:p>
    <w:p w14:paraId="2133211F">
      <w:pPr>
        <w:widowControl/>
        <w:spacing w:line="400" w:lineRule="exact"/>
        <w:jc w:val="left"/>
        <w:rPr>
          <w:rFonts w:asciiTheme="minorEastAsia" w:hAnsiTheme="minorEastAsia"/>
          <w:color w:val="auto"/>
          <w:sz w:val="24"/>
          <w:szCs w:val="24"/>
          <w:highlight w:val="none"/>
        </w:rPr>
      </w:pPr>
    </w:p>
    <w:p w14:paraId="5B9357C5">
      <w:pPr>
        <w:widowControl/>
        <w:spacing w:line="4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56E6D99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70D3B60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szCs w:val="28"/>
          <w:highlight w:val="none"/>
        </w:rPr>
        <w:t>询价项目名称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u w:val="single"/>
        </w:rPr>
        <w:t xml:space="preserve">                                                </w:t>
      </w:r>
    </w:p>
    <w:p w14:paraId="72DCCB6D">
      <w:pPr>
        <w:tabs>
          <w:tab w:val="left" w:pos="6300"/>
        </w:tabs>
        <w:snapToGrid w:val="0"/>
        <w:spacing w:line="500" w:lineRule="exact"/>
        <w:ind w:firstLine="570"/>
        <w:rPr>
          <w:rFonts w:asciiTheme="minorEastAsia" w:hAnsiTheme="minorEastAsia"/>
          <w:color w:val="auto"/>
          <w:sz w:val="24"/>
          <w:highlight w:val="none"/>
        </w:rPr>
      </w:pPr>
    </w:p>
    <w:p w14:paraId="0D544B95">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7CCB25B7">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（供应商法定代表人名称）是</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（供应商名称）的法定代表人，特授权</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（被授权人姓名及身份证代码）代表我单位全权办理上述项目的报价、签约等具体工作，并签署全部有关文件、协议及合同。</w:t>
      </w:r>
    </w:p>
    <w:p w14:paraId="04913820">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我单位对被授权人的</w:t>
      </w:r>
      <w:r>
        <w:rPr>
          <w:rFonts w:hint="eastAsia" w:asciiTheme="minorEastAsia" w:hAnsiTheme="minorEastAsia"/>
          <w:color w:val="auto"/>
          <w:sz w:val="24"/>
          <w:szCs w:val="28"/>
          <w:highlight w:val="none"/>
        </w:rPr>
        <w:t>签署</w:t>
      </w:r>
      <w:r>
        <w:rPr>
          <w:rFonts w:hint="eastAsia" w:asciiTheme="minorEastAsia" w:hAnsiTheme="minorEastAsia"/>
          <w:color w:val="auto"/>
          <w:sz w:val="24"/>
          <w:highlight w:val="none"/>
        </w:rPr>
        <w:t>负全部责任。</w:t>
      </w:r>
    </w:p>
    <w:p w14:paraId="2CE8965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在撤销授权的书面通知以前，本授权书一直有效。被授权人在授权书有效期内签署的所有文件不因授权的撤销而失效。</w:t>
      </w:r>
    </w:p>
    <w:p w14:paraId="3CA1E255">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被授权人：                                 供应商法定代表人：</w:t>
      </w:r>
    </w:p>
    <w:p w14:paraId="61AB09B7">
      <w:pPr>
        <w:tabs>
          <w:tab w:val="left" w:pos="6300"/>
        </w:tabs>
        <w:snapToGrid w:val="0"/>
        <w:spacing w:line="500" w:lineRule="exact"/>
        <w:ind w:firstLine="57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（签署或盖章）                                （签署或盖章）</w:t>
      </w:r>
    </w:p>
    <w:p w14:paraId="4591ED90">
      <w:pPr>
        <w:tabs>
          <w:tab w:val="left" w:pos="6300"/>
        </w:tabs>
        <w:snapToGrid w:val="0"/>
        <w:spacing w:line="500" w:lineRule="exact"/>
        <w:rPr>
          <w:rFonts w:asciiTheme="minorEastAsia" w:hAnsiTheme="minorEastAsia"/>
          <w:color w:val="auto"/>
          <w:sz w:val="24"/>
          <w:highlight w:val="none"/>
        </w:rPr>
      </w:pPr>
    </w:p>
    <w:p w14:paraId="06846960">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（附：被授权人身份证正反面复印件）                                 </w:t>
      </w:r>
    </w:p>
    <w:p w14:paraId="15F260CE">
      <w:pPr>
        <w:tabs>
          <w:tab w:val="left" w:pos="6300"/>
        </w:tabs>
        <w:snapToGrid w:val="0"/>
        <w:spacing w:line="500" w:lineRule="exact"/>
        <w:ind w:right="480" w:firstLine="570"/>
        <w:jc w:val="center"/>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043EA7BA">
      <w:pPr>
        <w:tabs>
          <w:tab w:val="left" w:pos="6300"/>
        </w:tabs>
        <w:snapToGrid w:val="0"/>
        <w:spacing w:line="500" w:lineRule="exact"/>
        <w:ind w:right="480" w:firstLine="570"/>
        <w:jc w:val="right"/>
        <w:rPr>
          <w:rFonts w:asciiTheme="minorEastAsia" w:hAnsiTheme="minorEastAsia"/>
          <w:color w:val="auto"/>
          <w:sz w:val="24"/>
          <w:highlight w:val="none"/>
        </w:rPr>
      </w:pPr>
      <w:r>
        <w:rPr>
          <w:rFonts w:hint="eastAsia" w:asciiTheme="minorEastAsia" w:hAnsiTheme="minorEastAsia"/>
          <w:color w:val="auto"/>
          <w:sz w:val="24"/>
          <w:highlight w:val="none"/>
        </w:rPr>
        <w:t>年   月   日</w:t>
      </w:r>
    </w:p>
    <w:p w14:paraId="7B212F2A">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被授权人电话：XXXXXXX     电子邮箱：XXXXXX@XXXXX（若法定代表人办理并签署响应文件的可不填写）</w:t>
      </w:r>
    </w:p>
    <w:p w14:paraId="29E18F30">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注：</w:t>
      </w:r>
    </w:p>
    <w:p w14:paraId="0F911C99">
      <w:pPr>
        <w:tabs>
          <w:tab w:val="left" w:pos="6300"/>
        </w:tabs>
        <w:snapToGrid w:val="0"/>
        <w:spacing w:line="500" w:lineRule="exact"/>
        <w:ind w:right="480" w:firstLine="57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1.若为法定代表人办理并签署响应文件的，不提供此文件。</w:t>
      </w:r>
      <w:r>
        <w:rPr>
          <w:rFonts w:asciiTheme="minorEastAsia" w:hAnsiTheme="minorEastAsia"/>
          <w:color w:val="auto"/>
          <w:highlight w:val="none"/>
        </w:rPr>
        <w:br w:type="column"/>
      </w:r>
      <w:r>
        <w:rPr>
          <w:rFonts w:hint="eastAsia" w:asciiTheme="minorEastAsia" w:hAnsiTheme="minorEastAsia"/>
          <w:color w:val="auto"/>
          <w:sz w:val="24"/>
          <w:szCs w:val="24"/>
          <w:highlight w:val="none"/>
        </w:rPr>
        <w:t>（四）基本资格条件承诺函（格式）</w:t>
      </w:r>
    </w:p>
    <w:p w14:paraId="624580C2">
      <w:pPr>
        <w:tabs>
          <w:tab w:val="left" w:pos="6300"/>
        </w:tabs>
        <w:snapToGrid w:val="0"/>
        <w:spacing w:line="500" w:lineRule="exact"/>
        <w:ind w:firstLine="643" w:firstLineChars="200"/>
        <w:jc w:val="center"/>
        <w:rPr>
          <w:rFonts w:cs="方正仿宋_GBK" w:asciiTheme="minorEastAsia" w:hAnsiTheme="minorEastAsia"/>
          <w:b/>
          <w:bCs/>
          <w:color w:val="auto"/>
          <w:sz w:val="32"/>
          <w:szCs w:val="32"/>
          <w:highlight w:val="none"/>
        </w:rPr>
      </w:pPr>
      <w:r>
        <w:rPr>
          <w:rFonts w:hint="eastAsia" w:cs="方正仿宋_GBK" w:asciiTheme="minorEastAsia" w:hAnsiTheme="minorEastAsia"/>
          <w:b/>
          <w:bCs/>
          <w:color w:val="auto"/>
          <w:sz w:val="32"/>
          <w:szCs w:val="32"/>
          <w:highlight w:val="none"/>
        </w:rPr>
        <w:t>基本资格条件承诺函</w:t>
      </w:r>
    </w:p>
    <w:p w14:paraId="5A9A1B65">
      <w:pPr>
        <w:tabs>
          <w:tab w:val="left" w:pos="6300"/>
        </w:tabs>
        <w:snapToGrid w:val="0"/>
        <w:spacing w:line="530" w:lineRule="exact"/>
        <w:rPr>
          <w:rFonts w:asciiTheme="minorEastAsia" w:hAnsiTheme="minorEastAsia"/>
          <w:color w:val="auto"/>
          <w:sz w:val="24"/>
          <w:highlight w:val="none"/>
        </w:rPr>
      </w:pPr>
    </w:p>
    <w:p w14:paraId="1FAF1751">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3C1FE195">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（供应商名称）郑重承诺：</w:t>
      </w:r>
    </w:p>
    <w:p w14:paraId="3C247B56">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color w:val="auto"/>
          <w:sz w:val="24"/>
          <w:highlight w:val="none"/>
          <w:lang w:val="zh-CN"/>
        </w:rPr>
        <w:t>有依法缴纳税收和社会保障金的良好记录</w:t>
      </w:r>
      <w:r>
        <w:rPr>
          <w:rFonts w:hint="eastAsia" w:asciiTheme="minorEastAsia" w:hAnsiTheme="minorEastAsia"/>
          <w:color w:val="auto"/>
          <w:sz w:val="24"/>
          <w:highlight w:val="none"/>
        </w:rPr>
        <w:t>，参加本项目采购活动前三年内无重大违法活动记录。</w:t>
      </w:r>
    </w:p>
    <w:p w14:paraId="59C9396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9A5A68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FFDF9EF">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我方对以上承诺负全部法律责任。</w:t>
      </w:r>
    </w:p>
    <w:p w14:paraId="781BFC7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特此承诺。</w:t>
      </w:r>
    </w:p>
    <w:p w14:paraId="3EC6520A">
      <w:pPr>
        <w:tabs>
          <w:tab w:val="left" w:pos="6300"/>
        </w:tabs>
        <w:snapToGrid w:val="0"/>
        <w:spacing w:line="500" w:lineRule="exact"/>
        <w:ind w:firstLine="480" w:firstLineChars="200"/>
        <w:rPr>
          <w:rFonts w:asciiTheme="minorEastAsia" w:hAnsiTheme="minorEastAsia"/>
          <w:color w:val="auto"/>
          <w:sz w:val="24"/>
          <w:highlight w:val="none"/>
        </w:rPr>
      </w:pPr>
    </w:p>
    <w:p w14:paraId="65E24726">
      <w:pPr>
        <w:tabs>
          <w:tab w:val="left" w:pos="6300"/>
        </w:tabs>
        <w:snapToGrid w:val="0"/>
        <w:spacing w:line="500" w:lineRule="exact"/>
        <w:ind w:firstLine="480" w:firstLineChars="200"/>
        <w:jc w:val="right"/>
        <w:rPr>
          <w:rFonts w:asciiTheme="minorEastAsia" w:hAnsiTheme="minorEastAsia"/>
          <w:color w:val="auto"/>
          <w:sz w:val="24"/>
          <w:highlight w:val="none"/>
        </w:rPr>
      </w:pPr>
      <w:r>
        <w:rPr>
          <w:rFonts w:hint="eastAsia" w:asciiTheme="minorEastAsia" w:hAnsiTheme="minorEastAsia"/>
          <w:color w:val="auto"/>
          <w:sz w:val="24"/>
          <w:highlight w:val="none"/>
        </w:rPr>
        <w:t>（供应商公章）</w:t>
      </w:r>
    </w:p>
    <w:p w14:paraId="40054913">
      <w:pPr>
        <w:widowControl/>
        <w:spacing w:line="400" w:lineRule="exact"/>
        <w:ind w:firstLine="6480" w:firstLineChars="270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年   月   日</w:t>
      </w:r>
    </w:p>
    <w:p w14:paraId="23934535">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（五）特定资格条件证书或证明文件</w:t>
      </w:r>
    </w:p>
    <w:p w14:paraId="6CF73222">
      <w:pPr>
        <w:widowControl/>
        <w:spacing w:line="400" w:lineRule="exact"/>
        <w:ind w:firstLine="480" w:firstLineChars="200"/>
        <w:jc w:val="left"/>
        <w:rPr>
          <w:rFonts w:asciiTheme="minorEastAsia" w:hAnsiTheme="minorEastAsia"/>
          <w:color w:val="auto"/>
          <w:sz w:val="24"/>
          <w:szCs w:val="24"/>
          <w:highlight w:val="none"/>
        </w:rPr>
      </w:pPr>
    </w:p>
    <w:p w14:paraId="273775E2">
      <w:pPr>
        <w:pStyle w:val="6"/>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214" w:name="_Toc65660383"/>
      <w:bookmarkStart w:id="215" w:name="_Toc15815"/>
      <w:bookmarkStart w:id="216" w:name="_Toc17010"/>
      <w:bookmarkStart w:id="217" w:name="_Toc196642871"/>
      <w:bookmarkStart w:id="218" w:name="_Toc2080"/>
      <w:bookmarkStart w:id="219" w:name="_Toc1895"/>
      <w:r>
        <w:rPr>
          <w:rFonts w:hint="eastAsia" w:asciiTheme="minorEastAsia" w:hAnsiTheme="minorEastAsia"/>
          <w:color w:val="auto"/>
          <w:sz w:val="24"/>
          <w:highlight w:val="none"/>
        </w:rPr>
        <w:t>五、</w:t>
      </w:r>
      <w:bookmarkEnd w:id="211"/>
      <w:bookmarkEnd w:id="212"/>
      <w:bookmarkEnd w:id="213"/>
      <w:r>
        <w:rPr>
          <w:rFonts w:hint="eastAsia" w:asciiTheme="minorEastAsia" w:hAnsiTheme="minorEastAsia"/>
          <w:color w:val="auto"/>
          <w:sz w:val="24"/>
          <w:highlight w:val="none"/>
        </w:rPr>
        <w:t>其他资料</w:t>
      </w:r>
      <w:bookmarkEnd w:id="214"/>
      <w:bookmarkEnd w:id="215"/>
      <w:bookmarkEnd w:id="216"/>
      <w:bookmarkEnd w:id="217"/>
      <w:bookmarkEnd w:id="218"/>
      <w:bookmarkEnd w:id="219"/>
    </w:p>
    <w:p w14:paraId="7EEF0AC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（一）供应商对公账户开户银行许可证或基本存款账户信息复印件加盖供应商公章。</w:t>
      </w:r>
    </w:p>
    <w:p w14:paraId="42EF99C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0B49096E">
      <w:pPr>
        <w:pStyle w:val="21"/>
        <w:ind w:firstLine="480"/>
        <w:rPr>
          <w:rFonts w:asciiTheme="minorEastAsia" w:hAnsiTheme="minorEastAsia"/>
          <w:color w:val="auto"/>
          <w:sz w:val="24"/>
          <w:szCs w:val="24"/>
          <w:highlight w:val="none"/>
        </w:rPr>
      </w:pPr>
    </w:p>
    <w:p w14:paraId="461FE111">
      <w:pPr>
        <w:pStyle w:val="21"/>
        <w:ind w:firstLine="480"/>
        <w:rPr>
          <w:rFonts w:asciiTheme="minorEastAsia" w:hAnsiTheme="minorEastAsia"/>
          <w:color w:val="auto"/>
          <w:sz w:val="24"/>
          <w:szCs w:val="24"/>
          <w:highlight w:val="none"/>
        </w:rPr>
      </w:pPr>
    </w:p>
    <w:p w14:paraId="06944601">
      <w:pPr>
        <w:pStyle w:val="21"/>
        <w:ind w:firstLine="480"/>
        <w:rPr>
          <w:rFonts w:asciiTheme="minorEastAsia" w:hAnsiTheme="minorEastAsia"/>
          <w:color w:val="auto"/>
          <w:sz w:val="24"/>
          <w:szCs w:val="24"/>
          <w:highlight w:val="none"/>
        </w:rPr>
      </w:pPr>
    </w:p>
    <w:p w14:paraId="51DC3391">
      <w:pPr>
        <w:pStyle w:val="21"/>
        <w:ind w:firstLine="480"/>
        <w:rPr>
          <w:rFonts w:asciiTheme="minorEastAsia" w:hAnsiTheme="minorEastAsia"/>
          <w:color w:val="auto"/>
          <w:sz w:val="24"/>
          <w:szCs w:val="24"/>
          <w:highlight w:val="none"/>
        </w:rPr>
      </w:pPr>
    </w:p>
    <w:p w14:paraId="4F3A1C0B">
      <w:pPr>
        <w:pStyle w:val="21"/>
        <w:ind w:firstLine="480"/>
        <w:rPr>
          <w:rFonts w:asciiTheme="minorEastAsia" w:hAnsiTheme="minorEastAsia"/>
          <w:color w:val="auto"/>
          <w:sz w:val="24"/>
          <w:szCs w:val="24"/>
          <w:highlight w:val="none"/>
        </w:rPr>
      </w:pPr>
    </w:p>
    <w:p w14:paraId="3CBD91CC">
      <w:pPr>
        <w:pStyle w:val="21"/>
        <w:ind w:firstLine="480"/>
        <w:rPr>
          <w:rFonts w:asciiTheme="minorEastAsia" w:hAnsiTheme="minorEastAsia"/>
          <w:color w:val="auto"/>
          <w:sz w:val="24"/>
          <w:szCs w:val="24"/>
          <w:highlight w:val="none"/>
        </w:rPr>
      </w:pPr>
    </w:p>
    <w:p w14:paraId="18103D84">
      <w:pPr>
        <w:spacing w:line="360" w:lineRule="auto"/>
        <w:ind w:firstLine="420" w:firstLineChars="200"/>
        <w:jc w:val="center"/>
        <w:rPr>
          <w:rFonts w:asciiTheme="minorEastAsia" w:hAnsiTheme="minorEastAsia"/>
          <w:color w:val="auto"/>
          <w:highlight w:val="none"/>
        </w:rPr>
      </w:pPr>
      <w:r>
        <w:rPr>
          <w:rFonts w:hint="eastAsia" w:asciiTheme="minorEastAsia" w:hAnsiTheme="minorEastAsia"/>
          <w:color w:val="auto"/>
          <w:highlight w:val="none"/>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681663D-EB26-4BCC-AD65-E6216D0082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6CF883C7-CA93-471A-9E68-8AAC22115AA4}"/>
  </w:font>
  <w:font w:name="仿宋">
    <w:panose1 w:val="02010609060101010101"/>
    <w:charset w:val="86"/>
    <w:family w:val="modern"/>
    <w:pitch w:val="default"/>
    <w:sig w:usb0="800002BF" w:usb1="38CF7CFA" w:usb2="00000016" w:usb3="00000000" w:csb0="00040001" w:csb1="00000000"/>
    <w:embedRegular r:id="rId3" w:fontKey="{41184886-BC36-4EBC-A11F-1B9CBD0851DD}"/>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EEF6006D-1B7B-4EA9-A10A-2D13F2360B19}"/>
  </w:font>
  <w:font w:name="方正黑体_GBK">
    <w:altName w:val="微软雅黑"/>
    <w:panose1 w:val="03000509000000000000"/>
    <w:charset w:val="86"/>
    <w:family w:val="script"/>
    <w:pitch w:val="default"/>
    <w:sig w:usb0="00000001" w:usb1="080E0000" w:usb2="00000000" w:usb3="00000000" w:csb0="00040000" w:csb1="00000000"/>
    <w:embedRegular r:id="rId5" w:fontKey="{E78DBA50-C98F-4510-9261-CB5DDD73F984}"/>
  </w:font>
  <w:font w:name="方正小标宋_GBK">
    <w:altName w:val="微软雅黑"/>
    <w:panose1 w:val="03000509000000000000"/>
    <w:charset w:val="86"/>
    <w:family w:val="script"/>
    <w:pitch w:val="default"/>
    <w:sig w:usb0="00000000" w:usb1="00000000" w:usb2="00000010" w:usb3="00000000" w:csb0="00040000" w:csb1="00000000"/>
    <w:embedRegular r:id="rId6" w:fontKey="{D3F57EBC-6AD6-422D-905B-C8DD86EB9AF9}"/>
  </w:font>
  <w:font w:name="微软雅黑">
    <w:panose1 w:val="020B0503020204020204"/>
    <w:charset w:val="86"/>
    <w:family w:val="auto"/>
    <w:pitch w:val="default"/>
    <w:sig w:usb0="80000287" w:usb1="280F3C52" w:usb2="00000016" w:usb3="00000000" w:csb0="0004001F" w:csb1="00000000"/>
  </w:font>
  <w:font w:name="WPSEMBED3">
    <w:panose1 w:val="02000000000000000000"/>
    <w:charset w:val="86"/>
    <w:family w:val="auto"/>
    <w:pitch w:val="default"/>
    <w:sig w:usb0="A00002BF" w:usb1="38CF7CFA" w:usb2="00082016" w:usb3="00000000" w:csb0="00040001" w:csb1="00000000"/>
  </w:font>
  <w:font w:name="Gulim">
    <w:panose1 w:val="020B0600000101010101"/>
    <w:charset w:val="81"/>
    <w:family w:val="auto"/>
    <w:pitch w:val="default"/>
    <w:sig w:usb0="B00002AF" w:usb1="69D77CFB" w:usb2="00000030" w:usb3="00000000" w:csb0="4008009F" w:csb1="DFD7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5B8">
    <w:pPr>
      <w:pStyle w:val="16"/>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- 19 -</w:t>
    </w:r>
    <w:r>
      <w:rPr>
        <w:rFonts w:ascii="宋体"/>
        <w:sz w:val="21"/>
        <w:szCs w:val="21"/>
      </w:rPr>
      <w:fldChar w:fldCharType="end"/>
    </w:r>
  </w:p>
  <w:p w14:paraId="7833DA1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5B4B">
    <w:pPr>
      <w:pStyle w:val="16"/>
      <w:framePr w:wrap="around" w:vAnchor="text" w:hAnchor="margin" w:xAlign="center" w:y="1"/>
      <w:rPr>
        <w:rStyle w:val="25"/>
      </w:rPr>
    </w:pPr>
    <w:r>
      <w:fldChar w:fldCharType="begin"/>
    </w:r>
    <w:r>
      <w:rPr>
        <w:rStyle w:val="25"/>
      </w:rPr>
      <w:instrText xml:space="preserve">PAGE  </w:instrText>
    </w:r>
    <w:r>
      <w:fldChar w:fldCharType="end"/>
    </w:r>
  </w:p>
  <w:p w14:paraId="03202B2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8F9B">
    <w:pPr>
      <w:pStyle w:val="16"/>
      <w:framePr w:wrap="around" w:vAnchor="text" w:hAnchor="margin" w:xAlign="center" w:y="1"/>
      <w:rPr>
        <w:rStyle w:val="25"/>
      </w:rPr>
    </w:pPr>
  </w:p>
  <w:p w14:paraId="39DA69EC">
    <w:pPr>
      <w:pStyle w:val="1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2F0">
    <w:pPr>
      <w:pStyle w:val="16"/>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8BF2">
    <w:pPr>
      <w:pStyle w:val="16"/>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4229">
    <w:pPr>
      <w:pStyle w:val="17"/>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361">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BCB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ABC"/>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3A35D9"/>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0A304A"/>
    <w:rsid w:val="0A391C3C"/>
    <w:rsid w:val="0A3C34DB"/>
    <w:rsid w:val="0A690DF5"/>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2A623F"/>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6B4951"/>
    <w:rsid w:val="297B5976"/>
    <w:rsid w:val="297D349C"/>
    <w:rsid w:val="29826D04"/>
    <w:rsid w:val="299E3412"/>
    <w:rsid w:val="29A24CB1"/>
    <w:rsid w:val="29A6741C"/>
    <w:rsid w:val="29AF561F"/>
    <w:rsid w:val="29B957A9"/>
    <w:rsid w:val="29D8613A"/>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B42F8"/>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832151"/>
    <w:rsid w:val="38952A77"/>
    <w:rsid w:val="38A071A7"/>
    <w:rsid w:val="38A36879"/>
    <w:rsid w:val="38B62526"/>
    <w:rsid w:val="38BE7936"/>
    <w:rsid w:val="38CA4224"/>
    <w:rsid w:val="38D429AD"/>
    <w:rsid w:val="38DF02AC"/>
    <w:rsid w:val="3905525C"/>
    <w:rsid w:val="392576AC"/>
    <w:rsid w:val="392822D8"/>
    <w:rsid w:val="3929719C"/>
    <w:rsid w:val="39322A9F"/>
    <w:rsid w:val="39353716"/>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7846B3"/>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954C6"/>
    <w:rsid w:val="546458CD"/>
    <w:rsid w:val="548A25BF"/>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A51FCC"/>
    <w:rsid w:val="61EB473F"/>
    <w:rsid w:val="61F35C9D"/>
    <w:rsid w:val="61F950AE"/>
    <w:rsid w:val="62365F45"/>
    <w:rsid w:val="623E1313"/>
    <w:rsid w:val="62570CF6"/>
    <w:rsid w:val="625C73EB"/>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C660E7"/>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D006E99"/>
    <w:rsid w:val="7D034BDB"/>
    <w:rsid w:val="7D3D633F"/>
    <w:rsid w:val="7D4835AA"/>
    <w:rsid w:val="7D7634EC"/>
    <w:rsid w:val="7DFC0350"/>
    <w:rsid w:val="7DFC3B04"/>
    <w:rsid w:val="7DFD3713"/>
    <w:rsid w:val="7E357016"/>
    <w:rsid w:val="7E8E49B7"/>
    <w:rsid w:val="7E9D436B"/>
    <w:rsid w:val="7EB4618D"/>
    <w:rsid w:val="7EB937A4"/>
    <w:rsid w:val="7ECF2FC7"/>
    <w:rsid w:val="7EED5B43"/>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6">
    <w:name w:val="heading 2"/>
    <w:basedOn w:val="1"/>
    <w:next w:val="1"/>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customStyle="1" w:styleId="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10">
    <w:name w:val="Body Text Indent"/>
    <w:basedOn w:val="1"/>
    <w:next w:val="3"/>
    <w:autoRedefine/>
    <w:qFormat/>
    <w:uiPriority w:val="0"/>
    <w:pPr>
      <w:spacing w:line="700" w:lineRule="exact"/>
      <w:ind w:left="960"/>
    </w:pPr>
    <w:rPr>
      <w:sz w:val="44"/>
    </w:rPr>
  </w:style>
  <w:style w:type="paragraph" w:styleId="11">
    <w:name w:val="index 4"/>
    <w:basedOn w:val="1"/>
    <w:next w:val="1"/>
    <w:unhideWhenUsed/>
    <w:qFormat/>
    <w:uiPriority w:val="99"/>
    <w:pPr>
      <w:ind w:left="600" w:leftChars="600"/>
    </w:pPr>
  </w:style>
  <w:style w:type="paragraph" w:styleId="12">
    <w:name w:val="Plain Text"/>
    <w:basedOn w:val="1"/>
    <w:qFormat/>
    <w:uiPriority w:val="0"/>
    <w:pPr>
      <w:adjustRightInd w:val="0"/>
      <w:snapToGrid w:val="0"/>
      <w:spacing w:line="360" w:lineRule="auto"/>
    </w:pPr>
    <w:rPr>
      <w:rFonts w:ascii="宋体" w:hAnsi="Courier New"/>
    </w:rPr>
  </w:style>
  <w:style w:type="paragraph" w:styleId="13">
    <w:name w:val="Date"/>
    <w:basedOn w:val="1"/>
    <w:next w:val="1"/>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Balloon Text"/>
    <w:basedOn w:val="1"/>
    <w:link w:val="33"/>
    <w:semiHidden/>
    <w:unhideWhenUsed/>
    <w:qFormat/>
    <w:uiPriority w:val="99"/>
    <w:pPr>
      <w:spacing w:after="0"/>
    </w:pPr>
    <w:rPr>
      <w:sz w:val="18"/>
      <w:szCs w:val="18"/>
    </w:rPr>
  </w:style>
  <w:style w:type="paragraph" w:styleId="16">
    <w:name w:val="footer"/>
    <w:basedOn w:val="1"/>
    <w:link w:val="29"/>
    <w:semiHidden/>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9">
    <w:name w:val="toc 2"/>
    <w:basedOn w:val="1"/>
    <w:next w:val="1"/>
    <w:qFormat/>
    <w:uiPriority w:val="39"/>
    <w:pPr>
      <w:tabs>
        <w:tab w:val="right" w:leader="dot" w:pos="8400"/>
      </w:tabs>
      <w:spacing w:line="440" w:lineRule="exact"/>
      <w:ind w:left="280" w:leftChars="100" w:right="-91" w:rightChars="-91"/>
    </w:p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Body Text First Indent 2"/>
    <w:basedOn w:val="1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7"/>
    <w:autoRedefine/>
    <w:qFormat/>
    <w:uiPriority w:val="99"/>
    <w:rPr>
      <w:kern w:val="2"/>
      <w:sz w:val="18"/>
      <w:szCs w:val="18"/>
    </w:rPr>
  </w:style>
  <w:style w:type="character" w:customStyle="1" w:styleId="29">
    <w:name w:val="页脚 字符"/>
    <w:basedOn w:val="24"/>
    <w:link w:val="16"/>
    <w:semiHidden/>
    <w:qFormat/>
    <w:uiPriority w:val="99"/>
    <w:rPr>
      <w:kern w:val="2"/>
      <w:sz w:val="18"/>
      <w:szCs w:val="18"/>
    </w:rPr>
  </w:style>
  <w:style w:type="paragraph" w:customStyle="1" w:styleId="30">
    <w:name w:val="1"/>
    <w:basedOn w:val="1"/>
    <w:next w:val="12"/>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5"/>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9"/>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1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8114</Words>
  <Characters>8455</Characters>
  <Lines>131</Lines>
  <Paragraphs>37</Paragraphs>
  <TotalTime>63</TotalTime>
  <ScaleCrop>false</ScaleCrop>
  <LinksUpToDate>false</LinksUpToDate>
  <CharactersWithSpaces>8625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叶玲</cp:lastModifiedBy>
  <cp:lastPrinted>2024-11-06T09:21:00Z</cp:lastPrinted>
  <dcterms:modified xsi:type="dcterms:W3CDTF">2025-12-22T10:18:35Z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9BCD7CD47B7D48C2B3E621CEA1BB7805_13</vt:lpwstr>
  </property>
  <property fmtid="{D5CDD505-2E9C-101B-9397-08002B2CF9AE}" pid="4" name="KSOTemplateDocerSaveRecord">
    <vt:lpwstr>eyJoZGlkIjoiYWQ3YmU3NmM2YzZmZjU3NTNjZWJmMGMwZTM0NzliOWQiLCJ1c2VySWQiOiIyNzE2NDk2NDkifQ==</vt:lpwstr>
  </property>
</Properties>
</file>