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7641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eastAsia" w:ascii="宋体" w:hAnsi="宋体" w:eastAsia="宋体" w:cs="宋体"/>
          <w:b/>
          <w:i w:val="0"/>
          <w:strike w:val="0"/>
          <w:color w:val="auto"/>
          <w:sz w:val="28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8"/>
          <w:szCs w:val="30"/>
          <w:u w:val="none"/>
          <w:lang w:val="en-US" w:eastAsia="zh-CN"/>
        </w:rPr>
        <w:t>1路基</w:t>
      </w:r>
    </w:p>
    <w:p w14:paraId="31DED4EF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1.1 质量标准</w:t>
      </w:r>
    </w:p>
    <w:p w14:paraId="3776475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="0" w:firstLineChars="0"/>
        <w:jc w:val="center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路基的质量标准表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696"/>
        <w:gridCol w:w="1896"/>
        <w:gridCol w:w="1896"/>
      </w:tblGrid>
      <w:tr w14:paraId="1FD8C3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5" w:type="dxa"/>
            <w:vMerge w:val="restart"/>
            <w:noWrap w:val="0"/>
            <w:vAlign w:val="center"/>
          </w:tcPr>
          <w:p w14:paraId="52A4549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</w:t>
            </w:r>
          </w:p>
        </w:tc>
        <w:tc>
          <w:tcPr>
            <w:tcW w:w="0" w:type="auto"/>
            <w:gridSpan w:val="3"/>
            <w:noWrap w:val="0"/>
            <w:vAlign w:val="center"/>
          </w:tcPr>
          <w:p w14:paraId="744805E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允许偏差</w:t>
            </w:r>
          </w:p>
        </w:tc>
      </w:tr>
      <w:tr w14:paraId="32CF9A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 w14:paraId="659F8C5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74E1BE2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</w:t>
            </w:r>
          </w:p>
        </w:tc>
        <w:tc>
          <w:tcPr>
            <w:tcW w:w="0" w:type="auto"/>
            <w:noWrap w:val="0"/>
            <w:vAlign w:val="center"/>
          </w:tcPr>
          <w:p w14:paraId="57D355E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土路基</w:t>
            </w:r>
          </w:p>
        </w:tc>
        <w:tc>
          <w:tcPr>
            <w:tcW w:w="0" w:type="auto"/>
            <w:noWrap w:val="0"/>
            <w:vAlign w:val="center"/>
          </w:tcPr>
          <w:p w14:paraId="1D12978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挖石方路基</w:t>
            </w:r>
          </w:p>
        </w:tc>
      </w:tr>
      <w:tr w14:paraId="0A0321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915" w:type="dxa"/>
            <w:noWrap w:val="0"/>
            <w:vAlign w:val="center"/>
          </w:tcPr>
          <w:p w14:paraId="57EE699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路床纵断高程</w:t>
            </w:r>
          </w:p>
        </w:tc>
        <w:tc>
          <w:tcPr>
            <w:tcW w:w="0" w:type="auto"/>
            <w:noWrap w:val="0"/>
            <w:vAlign w:val="center"/>
          </w:tcPr>
          <w:p w14:paraId="60577DD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mm</w:t>
            </w:r>
          </w:p>
        </w:tc>
        <w:tc>
          <w:tcPr>
            <w:tcW w:w="0" w:type="auto"/>
            <w:noWrap w:val="0"/>
            <w:vAlign w:val="center"/>
          </w:tcPr>
          <w:p w14:paraId="771ECA0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-20，10</w:t>
            </w:r>
          </w:p>
        </w:tc>
        <w:tc>
          <w:tcPr>
            <w:tcW w:w="0" w:type="auto"/>
            <w:noWrap w:val="0"/>
            <w:vAlign w:val="center"/>
          </w:tcPr>
          <w:p w14:paraId="4F87011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-20，10</w:t>
            </w:r>
          </w:p>
        </w:tc>
      </w:tr>
      <w:tr w14:paraId="417D3A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5" w:type="dxa"/>
            <w:noWrap w:val="0"/>
            <w:vAlign w:val="center"/>
          </w:tcPr>
          <w:p w14:paraId="17D86FA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路床中线偏位</w:t>
            </w:r>
          </w:p>
        </w:tc>
        <w:tc>
          <w:tcPr>
            <w:tcW w:w="0" w:type="auto"/>
            <w:noWrap w:val="0"/>
            <w:vAlign w:val="center"/>
          </w:tcPr>
          <w:p w14:paraId="3D83538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mm</w:t>
            </w:r>
          </w:p>
        </w:tc>
        <w:tc>
          <w:tcPr>
            <w:tcW w:w="0" w:type="auto"/>
            <w:noWrap w:val="0"/>
            <w:vAlign w:val="center"/>
          </w:tcPr>
          <w:p w14:paraId="4E90525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≤30</w:t>
            </w:r>
          </w:p>
        </w:tc>
        <w:tc>
          <w:tcPr>
            <w:tcW w:w="0" w:type="auto"/>
            <w:noWrap w:val="0"/>
            <w:vAlign w:val="center"/>
          </w:tcPr>
          <w:p w14:paraId="18F5C1C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≤30</w:t>
            </w:r>
          </w:p>
        </w:tc>
      </w:tr>
      <w:tr w14:paraId="266E68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5" w:type="dxa"/>
            <w:noWrap w:val="0"/>
            <w:vAlign w:val="center"/>
          </w:tcPr>
          <w:p w14:paraId="2F5398A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路床平整度</w:t>
            </w:r>
          </w:p>
        </w:tc>
        <w:tc>
          <w:tcPr>
            <w:tcW w:w="0" w:type="auto"/>
            <w:noWrap w:val="0"/>
            <w:vAlign w:val="center"/>
          </w:tcPr>
          <w:p w14:paraId="3A68BA1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mm</w:t>
            </w:r>
          </w:p>
        </w:tc>
        <w:tc>
          <w:tcPr>
            <w:tcW w:w="0" w:type="auto"/>
            <w:noWrap w:val="0"/>
            <w:vAlign w:val="center"/>
          </w:tcPr>
          <w:p w14:paraId="1C91EF3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≤15</w:t>
            </w:r>
          </w:p>
        </w:tc>
        <w:tc>
          <w:tcPr>
            <w:tcW w:w="0" w:type="auto"/>
            <w:noWrap w:val="0"/>
            <w:vAlign w:val="center"/>
          </w:tcPr>
          <w:p w14:paraId="1E4B649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≤20</w:t>
            </w:r>
          </w:p>
        </w:tc>
      </w:tr>
      <w:tr w14:paraId="50B305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915" w:type="dxa"/>
            <w:noWrap w:val="0"/>
            <w:vAlign w:val="center"/>
          </w:tcPr>
          <w:p w14:paraId="5C86A31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路床宽度</w:t>
            </w:r>
          </w:p>
        </w:tc>
        <w:tc>
          <w:tcPr>
            <w:tcW w:w="0" w:type="auto"/>
            <w:noWrap w:val="0"/>
            <w:vAlign w:val="center"/>
          </w:tcPr>
          <w:p w14:paraId="1B99A67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mm</w:t>
            </w:r>
          </w:p>
        </w:tc>
        <w:tc>
          <w:tcPr>
            <w:tcW w:w="0" w:type="auto"/>
            <w:gridSpan w:val="2"/>
            <w:noWrap w:val="0"/>
            <w:vAlign w:val="center"/>
          </w:tcPr>
          <w:p w14:paraId="092D419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不小于设计值+B</w:t>
            </w:r>
          </w:p>
        </w:tc>
      </w:tr>
      <w:tr w14:paraId="67C439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15" w:type="dxa"/>
            <w:vMerge w:val="restart"/>
            <w:noWrap w:val="0"/>
            <w:vAlign w:val="center"/>
          </w:tcPr>
          <w:p w14:paraId="6B2A943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路床横坡</w:t>
            </w:r>
          </w:p>
        </w:tc>
        <w:tc>
          <w:tcPr>
            <w:tcW w:w="0" w:type="auto"/>
            <w:vMerge w:val="restart"/>
            <w:noWrap w:val="0"/>
            <w:vAlign w:val="center"/>
          </w:tcPr>
          <w:p w14:paraId="39C527F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noWrap w:val="0"/>
            <w:vAlign w:val="center"/>
          </w:tcPr>
          <w:p w14:paraId="2B8C7B4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±0.3%且不反坡</w:t>
            </w:r>
          </w:p>
        </w:tc>
        <w:tc>
          <w:tcPr>
            <w:tcW w:w="0" w:type="auto"/>
            <w:vMerge w:val="restart"/>
            <w:noWrap w:val="0"/>
            <w:vAlign w:val="center"/>
          </w:tcPr>
          <w:p w14:paraId="0195C29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±0.3%且不反坡</w:t>
            </w:r>
          </w:p>
        </w:tc>
      </w:tr>
      <w:tr w14:paraId="63A54F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 w14:paraId="5D3A0E4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7CD233D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3B169B2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6E0E8FD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919D9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5" w:type="dxa"/>
            <w:noWrap w:val="0"/>
            <w:vAlign w:val="center"/>
          </w:tcPr>
          <w:p w14:paraId="639F799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边坡</w:t>
            </w:r>
          </w:p>
        </w:tc>
        <w:tc>
          <w:tcPr>
            <w:tcW w:w="0" w:type="auto"/>
            <w:noWrap w:val="0"/>
            <w:vAlign w:val="center"/>
          </w:tcPr>
          <w:p w14:paraId="3058951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noWrap w:val="0"/>
            <w:vAlign w:val="center"/>
          </w:tcPr>
          <w:p w14:paraId="7D55B58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不陡于设计值</w:t>
            </w:r>
          </w:p>
        </w:tc>
      </w:tr>
    </w:tbl>
    <w:p w14:paraId="4538482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vertAlign w:val="subscript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路床顶面土基的回弹模量E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vertAlign w:val="subscript"/>
          <w:lang w:val="en-US" w:eastAsia="zh-CN" w:bidi="ar-SA"/>
        </w:rPr>
        <w:t>0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和检验弯沉值L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vertAlign w:val="subscript"/>
          <w:lang w:val="en-US" w:eastAsia="zh-CN" w:bidi="ar-SA"/>
        </w:rPr>
        <w:t xml:space="preserve">0 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1416"/>
        <w:gridCol w:w="2830"/>
        <w:gridCol w:w="2149"/>
      </w:tblGrid>
      <w:tr w14:paraId="0CC4FE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noWrap w:val="0"/>
            <w:vAlign w:val="center"/>
          </w:tcPr>
          <w:p w14:paraId="6A7C0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挖分类</w:t>
            </w:r>
          </w:p>
        </w:tc>
        <w:tc>
          <w:tcPr>
            <w:tcW w:w="0" w:type="auto"/>
            <w:noWrap w:val="0"/>
            <w:vAlign w:val="center"/>
          </w:tcPr>
          <w:p w14:paraId="20E71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回弹模量E</w:t>
            </w:r>
            <w:r>
              <w:rPr>
                <w:rFonts w:hint="eastAsia" w:ascii="宋体" w:hAnsi="宋体"/>
                <w:szCs w:val="21"/>
                <w:vertAlign w:val="subscript"/>
              </w:rPr>
              <w:t>0</w:t>
            </w:r>
          </w:p>
        </w:tc>
        <w:tc>
          <w:tcPr>
            <w:tcW w:w="4979" w:type="dxa"/>
            <w:gridSpan w:val="2"/>
            <w:noWrap w:val="0"/>
            <w:vAlign w:val="center"/>
          </w:tcPr>
          <w:p w14:paraId="028C2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弯沉值（0.01mm）</w:t>
            </w:r>
          </w:p>
        </w:tc>
      </w:tr>
      <w:tr w14:paraId="4746B9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noWrap w:val="0"/>
            <w:vAlign w:val="center"/>
          </w:tcPr>
          <w:p w14:paraId="2C036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填方路基</w:t>
            </w:r>
          </w:p>
        </w:tc>
        <w:tc>
          <w:tcPr>
            <w:tcW w:w="0" w:type="auto"/>
            <w:noWrap w:val="0"/>
            <w:vAlign w:val="center"/>
          </w:tcPr>
          <w:p w14:paraId="3AC66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≥ 30MPa</w:t>
            </w:r>
          </w:p>
        </w:tc>
        <w:tc>
          <w:tcPr>
            <w:tcW w:w="2830" w:type="dxa"/>
            <w:noWrap w:val="0"/>
            <w:vAlign w:val="center"/>
          </w:tcPr>
          <w:p w14:paraId="45398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≤310（一般中湿、潮湿）</w:t>
            </w:r>
          </w:p>
        </w:tc>
        <w:tc>
          <w:tcPr>
            <w:tcW w:w="2149" w:type="dxa"/>
            <w:noWrap w:val="0"/>
            <w:vAlign w:val="top"/>
          </w:tcPr>
          <w:p w14:paraId="6BF04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≤265（干燥）</w:t>
            </w:r>
          </w:p>
        </w:tc>
      </w:tr>
      <w:tr w14:paraId="58474E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noWrap w:val="0"/>
            <w:vAlign w:val="center"/>
          </w:tcPr>
          <w:p w14:paraId="527A9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挖石路基</w:t>
            </w:r>
          </w:p>
        </w:tc>
        <w:tc>
          <w:tcPr>
            <w:tcW w:w="0" w:type="auto"/>
            <w:noWrap w:val="0"/>
            <w:vAlign w:val="center"/>
          </w:tcPr>
          <w:p w14:paraId="1C8D6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≥ 40MPa</w:t>
            </w:r>
          </w:p>
        </w:tc>
        <w:tc>
          <w:tcPr>
            <w:tcW w:w="4979" w:type="dxa"/>
            <w:gridSpan w:val="2"/>
            <w:noWrap w:val="0"/>
            <w:vAlign w:val="center"/>
          </w:tcPr>
          <w:p w14:paraId="50C51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≤ 240</w:t>
            </w:r>
          </w:p>
        </w:tc>
      </w:tr>
    </w:tbl>
    <w:p w14:paraId="0C154F75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default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1.2填料要求</w:t>
      </w:r>
    </w:p>
    <w:p w14:paraId="26E88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路基填土不得使用腐殖土,生活垃圾土、淤泥,不得含杂草、树根等杂物，粒径超过10㎝的土块应打碎。应选用级配较好的粗粒土为填料，且应优先选用砾类土、砂类土，且在最佳含水量时压实。</w:t>
      </w:r>
    </w:p>
    <w:p w14:paraId="27698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路基填方若为土石混和料，且石料强度大于20Mpa时，石块的最大粒不得超过压实层厚2／3,当石料强度小于15Mpa,石料最大粒径不得超过压实层厚。路基压实度（重型击实标准）、填料最小强度和填粒最大粒径应符合下表要求：</w:t>
      </w:r>
    </w:p>
    <w:p w14:paraId="7E644E31">
      <w:pPr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机动车道路基</w:t>
      </w:r>
    </w:p>
    <w:p w14:paraId="501247A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机动车道</w:t>
      </w:r>
    </w:p>
    <w:tbl>
      <w:tblPr>
        <w:tblStyle w:val="6"/>
        <w:tblW w:w="3941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009"/>
        <w:gridCol w:w="1717"/>
        <w:gridCol w:w="2909"/>
        <w:gridCol w:w="1589"/>
      </w:tblGrid>
      <w:tr w14:paraId="67BF2B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1133" w:type="pct"/>
            <w:gridSpan w:val="2"/>
            <w:noWrap w:val="0"/>
            <w:vAlign w:val="center"/>
          </w:tcPr>
          <w:p w14:paraId="7807DE5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 目 分 类</w:t>
            </w:r>
          </w:p>
        </w:tc>
        <w:tc>
          <w:tcPr>
            <w:tcW w:w="1068" w:type="pct"/>
            <w:noWrap w:val="0"/>
            <w:vAlign w:val="center"/>
          </w:tcPr>
          <w:p w14:paraId="0496713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路面底面以下</w:t>
            </w:r>
          </w:p>
          <w:p w14:paraId="777E979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深度</w:t>
            </w:r>
            <w:r>
              <w:rPr>
                <w:rFonts w:hint="eastAsia" w:ascii="宋体" w:hAnsi="宋体"/>
                <w:szCs w:val="21"/>
              </w:rPr>
              <w:t>（cm）</w:t>
            </w:r>
          </w:p>
        </w:tc>
        <w:tc>
          <w:tcPr>
            <w:tcW w:w="1810" w:type="pct"/>
            <w:noWrap w:val="0"/>
            <w:vAlign w:val="center"/>
          </w:tcPr>
          <w:p w14:paraId="28417BF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次干路填料最小强度（CBR）</w:t>
            </w:r>
            <w:r>
              <w:rPr>
                <w:rFonts w:hint="eastAsia" w:ascii="宋体" w:hAnsi="宋体"/>
                <w:szCs w:val="21"/>
              </w:rPr>
              <w:t>（％）</w:t>
            </w:r>
          </w:p>
        </w:tc>
        <w:tc>
          <w:tcPr>
            <w:tcW w:w="988" w:type="pct"/>
            <w:noWrap w:val="0"/>
            <w:vAlign w:val="center"/>
          </w:tcPr>
          <w:p w14:paraId="11C1432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填料最大</w:t>
            </w:r>
          </w:p>
          <w:p w14:paraId="77ECF60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粒径</w:t>
            </w:r>
            <w:r>
              <w:rPr>
                <w:rFonts w:hint="eastAsia" w:ascii="宋体" w:hAnsi="宋体"/>
                <w:szCs w:val="21"/>
              </w:rPr>
              <w:t>（cm）</w:t>
            </w:r>
          </w:p>
        </w:tc>
      </w:tr>
      <w:tr w14:paraId="7CA0FB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506" w:type="pct"/>
            <w:vMerge w:val="restart"/>
            <w:noWrap w:val="0"/>
            <w:vAlign w:val="center"/>
          </w:tcPr>
          <w:p w14:paraId="59429A1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</w:t>
            </w:r>
          </w:p>
          <w:p w14:paraId="193DA84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</w:t>
            </w:r>
          </w:p>
          <w:p w14:paraId="1A06CC4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路</w:t>
            </w:r>
          </w:p>
          <w:p w14:paraId="24B5934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</w:t>
            </w:r>
          </w:p>
        </w:tc>
        <w:tc>
          <w:tcPr>
            <w:tcW w:w="628" w:type="pct"/>
            <w:tcBorders>
              <w:bottom w:val="single" w:color="auto" w:sz="4" w:space="0"/>
            </w:tcBorders>
            <w:noWrap w:val="0"/>
            <w:vAlign w:val="center"/>
          </w:tcPr>
          <w:p w14:paraId="0231D04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路床</w:t>
            </w:r>
          </w:p>
        </w:tc>
        <w:tc>
          <w:tcPr>
            <w:tcW w:w="1068" w:type="pct"/>
            <w:tcBorders>
              <w:bottom w:val="single" w:color="auto" w:sz="4" w:space="0"/>
            </w:tcBorders>
            <w:noWrap w:val="0"/>
            <w:vAlign w:val="center"/>
          </w:tcPr>
          <w:p w14:paraId="119B550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0～30</w:t>
            </w:r>
          </w:p>
        </w:tc>
        <w:tc>
          <w:tcPr>
            <w:tcW w:w="1810" w:type="pct"/>
            <w:tcBorders>
              <w:bottom w:val="single" w:color="auto" w:sz="4" w:space="0"/>
            </w:tcBorders>
            <w:noWrap w:val="0"/>
            <w:vAlign w:val="center"/>
          </w:tcPr>
          <w:p w14:paraId="6F50142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88" w:type="pct"/>
            <w:tcBorders>
              <w:bottom w:val="single" w:color="auto" w:sz="4" w:space="0"/>
            </w:tcBorders>
            <w:noWrap w:val="0"/>
            <w:vAlign w:val="center"/>
          </w:tcPr>
          <w:p w14:paraId="59A90D1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</w:tr>
      <w:tr w14:paraId="6EFFE4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506" w:type="pct"/>
            <w:vMerge w:val="continue"/>
            <w:noWrap w:val="0"/>
            <w:vAlign w:val="center"/>
          </w:tcPr>
          <w:p w14:paraId="6E12740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62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FB196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路基</w:t>
            </w:r>
          </w:p>
        </w:tc>
        <w:tc>
          <w:tcPr>
            <w:tcW w:w="106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298030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30～80</w:t>
            </w:r>
          </w:p>
        </w:tc>
        <w:tc>
          <w:tcPr>
            <w:tcW w:w="1810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F8FF1F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8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1D84B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</w:tr>
      <w:tr w14:paraId="7855D3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506" w:type="pct"/>
            <w:vMerge w:val="continue"/>
            <w:noWrap w:val="0"/>
            <w:vAlign w:val="center"/>
          </w:tcPr>
          <w:p w14:paraId="28A937B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62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B77D3B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路基</w:t>
            </w:r>
          </w:p>
        </w:tc>
        <w:tc>
          <w:tcPr>
            <w:tcW w:w="106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116EF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80～150</w:t>
            </w:r>
          </w:p>
        </w:tc>
        <w:tc>
          <w:tcPr>
            <w:tcW w:w="1810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E8D0FC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8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EFE2D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</w:tr>
      <w:tr w14:paraId="3756D9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506" w:type="pct"/>
            <w:vMerge w:val="continue"/>
            <w:noWrap w:val="0"/>
            <w:vAlign w:val="center"/>
          </w:tcPr>
          <w:p w14:paraId="2C523F5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628" w:type="pct"/>
            <w:tcBorders>
              <w:top w:val="single" w:color="auto" w:sz="4" w:space="0"/>
            </w:tcBorders>
            <w:noWrap w:val="0"/>
            <w:vAlign w:val="center"/>
          </w:tcPr>
          <w:p w14:paraId="7FF64E3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路基</w:t>
            </w:r>
          </w:p>
        </w:tc>
        <w:tc>
          <w:tcPr>
            <w:tcW w:w="1068" w:type="pct"/>
            <w:tcBorders>
              <w:top w:val="single" w:color="auto" w:sz="4" w:space="0"/>
            </w:tcBorders>
            <w:noWrap w:val="0"/>
            <w:vAlign w:val="center"/>
          </w:tcPr>
          <w:p w14:paraId="7CBF712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150以下</w:t>
            </w:r>
          </w:p>
        </w:tc>
        <w:tc>
          <w:tcPr>
            <w:tcW w:w="1810" w:type="pct"/>
            <w:tcBorders>
              <w:top w:val="single" w:color="auto" w:sz="4" w:space="0"/>
            </w:tcBorders>
            <w:noWrap w:val="0"/>
            <w:vAlign w:val="center"/>
          </w:tcPr>
          <w:p w14:paraId="78D137B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88" w:type="pct"/>
            <w:tcBorders>
              <w:top w:val="single" w:color="auto" w:sz="4" w:space="0"/>
            </w:tcBorders>
            <w:noWrap w:val="0"/>
            <w:vAlign w:val="center"/>
          </w:tcPr>
          <w:p w14:paraId="69BAE2A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</w:tr>
      <w:tr w14:paraId="5BF7D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1133" w:type="pct"/>
            <w:gridSpan w:val="2"/>
            <w:noWrap w:val="0"/>
            <w:vAlign w:val="center"/>
          </w:tcPr>
          <w:p w14:paraId="2F858A7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零填及挖方路基</w:t>
            </w:r>
          </w:p>
        </w:tc>
        <w:tc>
          <w:tcPr>
            <w:tcW w:w="1068" w:type="pct"/>
            <w:noWrap w:val="0"/>
            <w:vAlign w:val="center"/>
          </w:tcPr>
          <w:p w14:paraId="34EFB93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0～30</w:t>
            </w:r>
          </w:p>
        </w:tc>
        <w:tc>
          <w:tcPr>
            <w:tcW w:w="1810" w:type="pct"/>
            <w:noWrap w:val="0"/>
            <w:vAlign w:val="center"/>
          </w:tcPr>
          <w:p w14:paraId="58069ED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88" w:type="pct"/>
            <w:noWrap w:val="0"/>
            <w:vAlign w:val="center"/>
          </w:tcPr>
          <w:p w14:paraId="4AE465B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</w:tr>
    </w:tbl>
    <w:p w14:paraId="63939EDD">
      <w:pPr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人行道土基</w:t>
      </w:r>
    </w:p>
    <w:p w14:paraId="336A8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-960" w:leftChars="-40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路面底部以下0~1.5m内土基压实度不小于93%；1.5m以下不小于90%。</w:t>
      </w:r>
    </w:p>
    <w:p w14:paraId="2A248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-960" w:leftChars="-40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路床土质应均匀、密实、强度高。</w:t>
      </w:r>
    </w:p>
    <w:p w14:paraId="7C7F731C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default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1.3路基填筑要求</w:t>
      </w:r>
    </w:p>
    <w:p w14:paraId="1E912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路基填筑应采用重型振动压路机分层碾压，分层的最大松铺厚度，土方路堤不大于30cm，土石路堤不大于40cm，填筑至路床顶面最后一层的最小压实厚度，不应小于10cm。性质不同的填料，应水平分层、分段填筑，分层压实。同一水平层路基的全部宽应采用同一种填料，不得混合填筑。每种填料的填筑层压实后的连续厚度不宜小于50cm。管径顶面填土厚度必须大于30cm，方能上压路机辗压。</w:t>
      </w:r>
    </w:p>
    <w:p w14:paraId="3263D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桥涵、管道沟槽、检查井、雨水等周围的回填土应在对称的两侧或四周同时均匀分层回填压(夯)实，填土材料宜采用砂砾等适水性材料。</w:t>
      </w:r>
    </w:p>
    <w:p w14:paraId="2A18E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若机动车行道下的管、涵、雨水支管等结构物的埋深较浅，回填土压实度达不到规定的数值时，按下表的要求处理：</w:t>
      </w:r>
    </w:p>
    <w:p w14:paraId="61DBD35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b w:val="0"/>
          <w:i w:val="0"/>
          <w:strike w:val="0"/>
          <w:color w:val="auto"/>
          <w:sz w:val="36"/>
          <w:szCs w:val="24"/>
          <w:u w:val="none"/>
        </w:rPr>
      </w:pPr>
      <w:r>
        <w:rPr>
          <w:rFonts w:hint="eastAsia" w:ascii="黑体" w:hAnsi="黑体" w:eastAsia="黑体" w:cs="黑体"/>
          <w:b w:val="0"/>
          <w:i w:val="0"/>
          <w:strike w:val="0"/>
          <w:color w:val="auto"/>
          <w:sz w:val="36"/>
          <w:szCs w:val="24"/>
          <w:u w:val="none"/>
        </w:rPr>
        <w:t>管沟回填压实质量标准</w:t>
      </w:r>
    </w:p>
    <w:tbl>
      <w:tblPr>
        <w:tblStyle w:val="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7"/>
        <w:gridCol w:w="2011"/>
        <w:gridCol w:w="1907"/>
        <w:gridCol w:w="1067"/>
        <w:gridCol w:w="3045"/>
      </w:tblGrid>
      <w:tr w14:paraId="0DC6D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4" w:type="pct"/>
            <w:gridSpan w:val="3"/>
            <w:noWrap w:val="0"/>
            <w:vAlign w:val="center"/>
          </w:tcPr>
          <w:p w14:paraId="480EB31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部   位</w:t>
            </w:r>
          </w:p>
        </w:tc>
        <w:tc>
          <w:tcPr>
            <w:tcW w:w="523" w:type="pct"/>
            <w:noWrap w:val="0"/>
            <w:vAlign w:val="center"/>
          </w:tcPr>
          <w:p w14:paraId="1C36DA2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填 料</w:t>
            </w:r>
          </w:p>
        </w:tc>
        <w:tc>
          <w:tcPr>
            <w:tcW w:w="1493" w:type="pct"/>
            <w:noWrap w:val="0"/>
            <w:vAlign w:val="center"/>
          </w:tcPr>
          <w:p w14:paraId="5BA96A1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最低压实度（％）重型击实标准</w:t>
            </w:r>
          </w:p>
        </w:tc>
      </w:tr>
      <w:tr w14:paraId="6F2DFA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063" w:type="pct"/>
            <w:vMerge w:val="restart"/>
            <w:noWrap w:val="0"/>
            <w:vAlign w:val="center"/>
          </w:tcPr>
          <w:p w14:paraId="4FB4940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胸 腔</w:t>
            </w:r>
          </w:p>
        </w:tc>
        <w:tc>
          <w:tcPr>
            <w:tcW w:w="1921" w:type="pct"/>
            <w:gridSpan w:val="2"/>
            <w:noWrap w:val="0"/>
            <w:vAlign w:val="center"/>
          </w:tcPr>
          <w:p w14:paraId="045E223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填料距路床顶＜80cm</w:t>
            </w:r>
          </w:p>
        </w:tc>
        <w:tc>
          <w:tcPr>
            <w:tcW w:w="523" w:type="pct"/>
            <w:noWrap w:val="0"/>
            <w:vAlign w:val="center"/>
          </w:tcPr>
          <w:p w14:paraId="419A7A2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砂、砂砾</w:t>
            </w:r>
          </w:p>
        </w:tc>
        <w:tc>
          <w:tcPr>
            <w:tcW w:w="1493" w:type="pct"/>
            <w:noWrap w:val="0"/>
            <w:vAlign w:val="center"/>
          </w:tcPr>
          <w:p w14:paraId="29FB303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93</w:t>
            </w:r>
          </w:p>
        </w:tc>
      </w:tr>
      <w:tr w14:paraId="3E7F5A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063" w:type="pct"/>
            <w:vMerge w:val="continue"/>
            <w:noWrap w:val="0"/>
            <w:vAlign w:val="center"/>
          </w:tcPr>
          <w:p w14:paraId="418410C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21" w:type="pct"/>
            <w:gridSpan w:val="2"/>
            <w:noWrap w:val="0"/>
            <w:vAlign w:val="center"/>
          </w:tcPr>
          <w:p w14:paraId="56AB5F0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＞80cm</w:t>
            </w:r>
          </w:p>
        </w:tc>
        <w:tc>
          <w:tcPr>
            <w:tcW w:w="523" w:type="pct"/>
            <w:noWrap w:val="0"/>
            <w:vAlign w:val="center"/>
          </w:tcPr>
          <w:p w14:paraId="578BD54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素土</w:t>
            </w:r>
          </w:p>
        </w:tc>
        <w:tc>
          <w:tcPr>
            <w:tcW w:w="1493" w:type="pct"/>
            <w:noWrap w:val="0"/>
            <w:vAlign w:val="center"/>
          </w:tcPr>
          <w:p w14:paraId="367630E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eastAsia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90</w:t>
            </w:r>
          </w:p>
        </w:tc>
      </w:tr>
      <w:tr w14:paraId="4CFBAA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063" w:type="pct"/>
            <w:vMerge w:val="restart"/>
            <w:noWrap w:val="0"/>
            <w:vAlign w:val="center"/>
          </w:tcPr>
          <w:p w14:paraId="1352A79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管顶以上至路床顶</w:t>
            </w:r>
          </w:p>
        </w:tc>
        <w:tc>
          <w:tcPr>
            <w:tcW w:w="986" w:type="pct"/>
            <w:vMerge w:val="restart"/>
            <w:noWrap w:val="0"/>
            <w:vAlign w:val="center"/>
          </w:tcPr>
          <w:p w14:paraId="40F7F11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管顶距路床顶＜80cm</w:t>
            </w:r>
          </w:p>
        </w:tc>
        <w:tc>
          <w:tcPr>
            <w:tcW w:w="935" w:type="pct"/>
            <w:noWrap w:val="0"/>
            <w:vAlign w:val="center"/>
          </w:tcPr>
          <w:p w14:paraId="71AB055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管顶上30cm以内</w:t>
            </w:r>
          </w:p>
        </w:tc>
        <w:tc>
          <w:tcPr>
            <w:tcW w:w="523" w:type="pct"/>
            <w:noWrap w:val="0"/>
            <w:vAlign w:val="center"/>
          </w:tcPr>
          <w:p w14:paraId="14EC675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砂、砂砾</w:t>
            </w:r>
          </w:p>
        </w:tc>
        <w:tc>
          <w:tcPr>
            <w:tcW w:w="1493" w:type="pct"/>
            <w:noWrap w:val="0"/>
            <w:vAlign w:val="center"/>
          </w:tcPr>
          <w:p w14:paraId="0214236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90</w:t>
            </w:r>
          </w:p>
        </w:tc>
      </w:tr>
      <w:tr w14:paraId="1E3251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063" w:type="pct"/>
            <w:vMerge w:val="continue"/>
            <w:noWrap w:val="0"/>
            <w:vAlign w:val="center"/>
          </w:tcPr>
          <w:p w14:paraId="001B8C8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986" w:type="pct"/>
            <w:vMerge w:val="continue"/>
            <w:noWrap w:val="0"/>
            <w:vAlign w:val="center"/>
          </w:tcPr>
          <w:p w14:paraId="3F398C3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935" w:type="pct"/>
            <w:noWrap w:val="0"/>
            <w:vAlign w:val="center"/>
          </w:tcPr>
          <w:p w14:paraId="5E6ADBC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管顶30cm以上</w:t>
            </w:r>
          </w:p>
        </w:tc>
        <w:tc>
          <w:tcPr>
            <w:tcW w:w="523" w:type="pct"/>
            <w:noWrap w:val="0"/>
            <w:vAlign w:val="center"/>
          </w:tcPr>
          <w:p w14:paraId="17AC354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砂、砂砾</w:t>
            </w:r>
          </w:p>
        </w:tc>
        <w:tc>
          <w:tcPr>
            <w:tcW w:w="1493" w:type="pct"/>
            <w:noWrap w:val="0"/>
            <w:vAlign w:val="center"/>
          </w:tcPr>
          <w:p w14:paraId="14DE359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93</w:t>
            </w:r>
          </w:p>
        </w:tc>
      </w:tr>
      <w:tr w14:paraId="6EE944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063" w:type="pct"/>
            <w:vMerge w:val="restart"/>
            <w:noWrap w:val="0"/>
            <w:vAlign w:val="center"/>
          </w:tcPr>
          <w:p w14:paraId="79C6E7A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检查井及雨水口周围</w:t>
            </w:r>
          </w:p>
        </w:tc>
        <w:tc>
          <w:tcPr>
            <w:tcW w:w="1921" w:type="pct"/>
            <w:gridSpan w:val="2"/>
            <w:noWrap w:val="0"/>
            <w:vAlign w:val="center"/>
          </w:tcPr>
          <w:p w14:paraId="4004FAF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路床顶以下0～80cm</w:t>
            </w:r>
          </w:p>
        </w:tc>
        <w:tc>
          <w:tcPr>
            <w:tcW w:w="523" w:type="pct"/>
            <w:noWrap w:val="0"/>
            <w:vAlign w:val="center"/>
          </w:tcPr>
          <w:p w14:paraId="2ED5F40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砂</w:t>
            </w:r>
          </w:p>
        </w:tc>
        <w:tc>
          <w:tcPr>
            <w:tcW w:w="1493" w:type="pct"/>
            <w:noWrap w:val="0"/>
            <w:vAlign w:val="center"/>
          </w:tcPr>
          <w:p w14:paraId="3DD6086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93</w:t>
            </w:r>
          </w:p>
        </w:tc>
      </w:tr>
      <w:tr w14:paraId="4AB1CF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063" w:type="pct"/>
            <w:vMerge w:val="continue"/>
            <w:noWrap w:val="0"/>
            <w:vAlign w:val="center"/>
          </w:tcPr>
          <w:p w14:paraId="2D96BF6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21" w:type="pct"/>
            <w:gridSpan w:val="2"/>
            <w:noWrap w:val="0"/>
            <w:vAlign w:val="center"/>
          </w:tcPr>
          <w:p w14:paraId="6711485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80cm以下</w:t>
            </w:r>
          </w:p>
        </w:tc>
        <w:tc>
          <w:tcPr>
            <w:tcW w:w="523" w:type="pct"/>
            <w:noWrap w:val="0"/>
            <w:vAlign w:val="center"/>
          </w:tcPr>
          <w:p w14:paraId="0831124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砂</w:t>
            </w:r>
          </w:p>
        </w:tc>
        <w:tc>
          <w:tcPr>
            <w:tcW w:w="1493" w:type="pct"/>
            <w:noWrap w:val="0"/>
            <w:vAlign w:val="center"/>
          </w:tcPr>
          <w:p w14:paraId="3D59A14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90</w:t>
            </w:r>
          </w:p>
        </w:tc>
      </w:tr>
    </w:tbl>
    <w:p w14:paraId="09F51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 xml:space="preserve">采用振动压路机碾压时，应遵循先轻后重，先稳后振，先低后高，先慢后快以及轮迹重叠等原则。至少碾压3遍直到达到规定的压实度为准。 </w:t>
      </w:r>
    </w:p>
    <w:p w14:paraId="18839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路基施工中必须严格执行《城镇道路工程施工与质量验收规范》（CJJ1-2008）、《公路路基施工技术规范》（JTG F10-2006）、《重庆市城市道路工程施工质量验收规范》（DBJ50/T-078-2016）及各有关现行施工规程与验收规范。</w:t>
      </w:r>
    </w:p>
    <w:p w14:paraId="2434DCE8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2路面施工要点</w:t>
      </w:r>
    </w:p>
    <w:p w14:paraId="42588FAE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2.1水泥稳定级配碎石底基层</w:t>
      </w:r>
    </w:p>
    <w:p w14:paraId="03761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底基层为水泥稳定级配碎石，水泥掺量为4％;</w:t>
      </w:r>
    </w:p>
    <w:p w14:paraId="10EA22B2">
      <w:pPr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1）质量标准</w:t>
      </w:r>
    </w:p>
    <w:p w14:paraId="26C97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960" w:leftChars="40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压实度：≥97％</w:t>
      </w:r>
    </w:p>
    <w:p w14:paraId="59ABE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960" w:leftChars="40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平整度：≤15mm</w:t>
      </w:r>
    </w:p>
    <w:p w14:paraId="02D14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960" w:leftChars="40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中线高程：+5mm，-20mm</w:t>
      </w:r>
    </w:p>
    <w:p w14:paraId="292B9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960" w:leftChars="40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横坡度：±0.5%</w:t>
      </w:r>
    </w:p>
    <w:p w14:paraId="41F1A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960" w:leftChars="40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厚度容许偏差：+20mm,-15%层厚</w:t>
      </w:r>
    </w:p>
    <w:p w14:paraId="5A419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960" w:leftChars="40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宽度：不小于设计规定</w:t>
      </w:r>
    </w:p>
    <w:p w14:paraId="5E83E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7天无侧限抗压强度：不小于2.0Mpa弯沉值：底基层下层≤88（0.01mm）</w:t>
      </w:r>
    </w:p>
    <w:p w14:paraId="656DBB6C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2.2 水泥稳定级配碎石基层</w:t>
      </w:r>
    </w:p>
    <w:p w14:paraId="5FF86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水泥稳定级配碎石基层的水泥掺量为5.5%;</w:t>
      </w:r>
    </w:p>
    <w:p w14:paraId="2E4E5898">
      <w:pPr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1）质量标准</w:t>
      </w:r>
    </w:p>
    <w:p w14:paraId="75D16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 xml:space="preserve">压实度：≥98% </w:t>
      </w:r>
    </w:p>
    <w:p w14:paraId="5C9E2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平整度：≤12mm</w:t>
      </w:r>
    </w:p>
    <w:p w14:paraId="2B248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中线高程：+5mm，-15mm</w:t>
      </w:r>
    </w:p>
    <w:p w14:paraId="5A746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厚度容许偏差：+20mm，-15%层厚</w:t>
      </w:r>
    </w:p>
    <w:p w14:paraId="63CEA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横坡度：±0.5%</w:t>
      </w:r>
    </w:p>
    <w:p w14:paraId="693FF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宽度：不小于设计规定</w:t>
      </w:r>
    </w:p>
    <w:p w14:paraId="0FDFA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7天无侧限抗压强度：不小于3.0Mpa，弯沉值：≤38（ 0.01mm）。</w:t>
      </w:r>
    </w:p>
    <w:p w14:paraId="16F516C5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default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2.3粘层、透层、封层</w:t>
      </w:r>
    </w:p>
    <w:p w14:paraId="76FBE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在路面基层验收合格后，即可进行沥青透层油的洒布；在沥青混凝土下面层验收合格后，即可进行粘层油的洒布。透层油和粘层油的洒布应满足下列要求：</w:t>
      </w:r>
    </w:p>
    <w:p w14:paraId="555C5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①在路面基层上洒布透层油，在沥青砼层间洒布粘层油，以保证各界面层结合良好。透层油及粘层油均采用乳化沥青。</w:t>
      </w:r>
    </w:p>
    <w:p w14:paraId="24A1E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②沥青混凝土下面层验收合格后，即可进行粘层油的洒布。洒布前，应认真检测乳化沥青的质量，只有在质量符合设计要求的条件下，才能进行施工。粘层油（0.3～0.6 L/m2）的洒布量符合设计要求，并不能污染环境。</w:t>
      </w:r>
    </w:p>
    <w:p w14:paraId="32765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③稀浆封层应使用改性乳化沥青，且改性乳化沥青宜现场制备。</w:t>
      </w:r>
    </w:p>
    <w:p w14:paraId="45089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④为增强沥青与集料的粘结力，缩短改性乳化沥青破乳时间，可掺加2～3%的32.5级的普通硅酸盐水泥。</w:t>
      </w:r>
    </w:p>
    <w:p w14:paraId="0066E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⑤稀浆封层的配合比需经反复试验确定。</w:t>
      </w:r>
    </w:p>
    <w:p w14:paraId="4D517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⑥稀浆封层的施工可采用稀浆封层机铺筑，稀浆封层混合料应具有良好的施工和易性。最低施工温度不得低于10℃，严禁在雨天施工，摊铺后尚未成型混合料遇雨时应予铲除。</w:t>
      </w:r>
    </w:p>
    <w:p w14:paraId="600DF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⑦稀浆封层铺筑机摊铺时应匀速前进，摊铺速度一般为100～200m/min，表面应平整，对于局部的不平整应进行人工整修。</w:t>
      </w:r>
    </w:p>
    <w:p w14:paraId="18B76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⑧在基层养生结束并清除基层表面松散颗粒的尘土后，洒布透层沥青，透层沥青洒布量0.7～1.5L/m2，洒布透层沥青的基层上应禁止除施工车辆外的一切车辆通行，施工车辆在其上通行也应慢速行驶，严禁在其上调头，转弯，防止透层沥青局部脱落，对局部脱落的地方要进行修补；待满足相关要求后铺筑沥青砼下面层。</w:t>
      </w:r>
    </w:p>
    <w:p w14:paraId="64C86624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2.4 沥青混凝土面层</w:t>
      </w:r>
    </w:p>
    <w:p w14:paraId="0A3A0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 xml:space="preserve">路面面层采用沥青路面，路面设计以后轴载重100KN为标准轴载，设计使用年限15年，用双圆均布荷载下的弹性层状体系理论进行分析计算，以设计弯沉、容许弯拉应力和容许剪应力进行计算，确定路面厚度。 </w:t>
      </w:r>
    </w:p>
    <w:p w14:paraId="4CD4E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上面层：沥青玛蹄脂碎石SMA-13厚4cm</w:t>
      </w:r>
    </w:p>
    <w:p w14:paraId="16283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下面层：沥青混凝土AC-20厚6cm</w:t>
      </w:r>
    </w:p>
    <w:p w14:paraId="23D8A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路面施工前必须先对基层进行验收，达到要求后方可施工面层。</w:t>
      </w:r>
    </w:p>
    <w:p w14:paraId="3C402567">
      <w:pPr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1）质量标准</w:t>
      </w:r>
    </w:p>
    <w:p w14:paraId="4D2DE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压实度：压实度：SMA面层为不小于实验室标准密度的98%</w:t>
      </w:r>
    </w:p>
    <w:p w14:paraId="04046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AC-20面层为不小于实验室标准密度的95%</w:t>
      </w:r>
    </w:p>
    <w:p w14:paraId="2B82E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平整度：σ不大于1.2mm，IRI不大于2.0m/Km</w:t>
      </w:r>
    </w:p>
    <w:p w14:paraId="5EBA0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 xml:space="preserve">厚度容许偏差：总厚度-5%，上层厚-10%  </w:t>
      </w:r>
    </w:p>
    <w:p w14:paraId="2A079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中线高程：±15mm</w:t>
      </w:r>
    </w:p>
    <w:p w14:paraId="31CBB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 xml:space="preserve">横坡度：±0.3%  </w:t>
      </w:r>
    </w:p>
    <w:p w14:paraId="373F7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 xml:space="preserve">宽度：±20mm </w:t>
      </w:r>
    </w:p>
    <w:p w14:paraId="34F4E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抗滑构造深度（砂铺法）：不小于0.8mm</w:t>
      </w:r>
    </w:p>
    <w:p w14:paraId="7876D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下面层弯沉值：≤33（ 0.01mm）</w:t>
      </w:r>
    </w:p>
    <w:p w14:paraId="47831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上面层弯沉值：≤30（ 0.01mm）</w:t>
      </w:r>
    </w:p>
    <w:p w14:paraId="10D10CC8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default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3人行道路面</w:t>
      </w:r>
    </w:p>
    <w:p w14:paraId="2B1E694C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3.1土基</w:t>
      </w:r>
    </w:p>
    <w:p w14:paraId="5BEAA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562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（1）人行道铺装土基的土质、开挖深度、压实度等应符合设计要求。</w:t>
      </w:r>
    </w:p>
    <w:p w14:paraId="121FD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sz w:val="24"/>
          <w:szCs w:val="24"/>
        </w:rPr>
        <w:t>人行道土基宜采用低液限粘质土、低液限粉质土或粗粒土填筑，不得使用淤泥及有机质土等填料。</w:t>
      </w:r>
    </w:p>
    <w:p w14:paraId="46D31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sz w:val="24"/>
          <w:szCs w:val="24"/>
        </w:rPr>
        <w:t>土质路基土经压实后，不得有松散、软弹、翻浆起皮、积水及表面不平整等现象。</w:t>
      </w:r>
    </w:p>
    <w:tbl>
      <w:tblPr>
        <w:tblStyle w:val="6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8"/>
        <w:gridCol w:w="1971"/>
        <w:gridCol w:w="3307"/>
      </w:tblGrid>
      <w:tr w14:paraId="2F899B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798" w:type="dxa"/>
            <w:noWrap w:val="0"/>
            <w:vAlign w:val="bottom"/>
          </w:tcPr>
          <w:p w14:paraId="7F638EDE">
            <w:pPr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项目分类</w:t>
            </w:r>
          </w:p>
        </w:tc>
        <w:tc>
          <w:tcPr>
            <w:tcW w:w="1971" w:type="dxa"/>
            <w:noWrap w:val="0"/>
            <w:vAlign w:val="bottom"/>
          </w:tcPr>
          <w:p w14:paraId="7BF7305A">
            <w:pPr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</w:t>
            </w:r>
          </w:p>
        </w:tc>
        <w:tc>
          <w:tcPr>
            <w:tcW w:w="3307" w:type="dxa"/>
            <w:noWrap w:val="0"/>
            <w:vAlign w:val="bottom"/>
          </w:tcPr>
          <w:p w14:paraId="6318FA0E">
            <w:pPr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规定值及允许偏差</w:t>
            </w:r>
          </w:p>
        </w:tc>
      </w:tr>
      <w:tr w14:paraId="592C7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798" w:type="dxa"/>
            <w:noWrap w:val="0"/>
            <w:vAlign w:val="bottom"/>
          </w:tcPr>
          <w:p w14:paraId="63C2AE72">
            <w:pPr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压实度(重型)</w:t>
            </w:r>
          </w:p>
        </w:tc>
        <w:tc>
          <w:tcPr>
            <w:tcW w:w="1971" w:type="dxa"/>
            <w:noWrap w:val="0"/>
            <w:vAlign w:val="bottom"/>
          </w:tcPr>
          <w:p w14:paraId="6940971A">
            <w:pPr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%</w:t>
            </w:r>
          </w:p>
        </w:tc>
        <w:tc>
          <w:tcPr>
            <w:tcW w:w="3307" w:type="dxa"/>
            <w:noWrap w:val="0"/>
            <w:vAlign w:val="bottom"/>
          </w:tcPr>
          <w:p w14:paraId="3A46CEAA">
            <w:pPr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≥93</w:t>
            </w:r>
          </w:p>
        </w:tc>
      </w:tr>
      <w:tr w14:paraId="40A0DE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798" w:type="dxa"/>
            <w:noWrap w:val="0"/>
            <w:vAlign w:val="bottom"/>
          </w:tcPr>
          <w:p w14:paraId="4AC7BA93">
            <w:pPr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平整度</w:t>
            </w:r>
          </w:p>
        </w:tc>
        <w:tc>
          <w:tcPr>
            <w:tcW w:w="1971" w:type="dxa"/>
            <w:noWrap w:val="0"/>
            <w:vAlign w:val="bottom"/>
          </w:tcPr>
          <w:p w14:paraId="685FE2B3">
            <w:pPr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mm</w:t>
            </w:r>
          </w:p>
        </w:tc>
        <w:tc>
          <w:tcPr>
            <w:tcW w:w="3307" w:type="dxa"/>
            <w:noWrap w:val="0"/>
            <w:vAlign w:val="bottom"/>
          </w:tcPr>
          <w:p w14:paraId="41794367">
            <w:pPr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</w:t>
            </w:r>
          </w:p>
        </w:tc>
      </w:tr>
      <w:tr w14:paraId="1E89D5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798" w:type="dxa"/>
            <w:noWrap w:val="0"/>
            <w:vAlign w:val="bottom"/>
          </w:tcPr>
          <w:p w14:paraId="205F0A46">
            <w:pPr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横坡</w:t>
            </w:r>
          </w:p>
        </w:tc>
        <w:tc>
          <w:tcPr>
            <w:tcW w:w="1971" w:type="dxa"/>
            <w:noWrap w:val="0"/>
            <w:vAlign w:val="bottom"/>
          </w:tcPr>
          <w:p w14:paraId="0630BC3C">
            <w:pPr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百分点</w:t>
            </w:r>
          </w:p>
        </w:tc>
        <w:tc>
          <w:tcPr>
            <w:tcW w:w="3307" w:type="dxa"/>
            <w:noWrap w:val="0"/>
            <w:vAlign w:val="bottom"/>
          </w:tcPr>
          <w:p w14:paraId="536A7D6C">
            <w:pPr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±0.3</w:t>
            </w:r>
          </w:p>
        </w:tc>
      </w:tr>
    </w:tbl>
    <w:p w14:paraId="20ADB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（2）</w:t>
      </w:r>
      <w:r>
        <w:rPr>
          <w:rFonts w:hint="eastAsia" w:ascii="宋体" w:hAnsi="宋体"/>
          <w:sz w:val="24"/>
          <w:szCs w:val="24"/>
        </w:rPr>
        <w:t>土基施工前应对施工测量成果校核，并按设计文件施工。</w:t>
      </w:r>
    </w:p>
    <w:p w14:paraId="726A8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（3）</w:t>
      </w:r>
      <w:r>
        <w:rPr>
          <w:rFonts w:hint="eastAsia" w:ascii="宋体" w:hAnsi="宋体"/>
          <w:sz w:val="24"/>
          <w:szCs w:val="24"/>
        </w:rPr>
        <w:t>土基碾压应从边缘向中央进行，达到设计要求压实度为止。不宜采用压路机碾压时，应用人工或振动振荡夯实机等夯实。</w:t>
      </w:r>
    </w:p>
    <w:p w14:paraId="199CB69F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outlineLvl w:val="2"/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kern w:val="2"/>
          <w:sz w:val="28"/>
          <w:szCs w:val="30"/>
          <w:u w:val="none"/>
          <w:lang w:val="en-US" w:eastAsia="zh-CN" w:bidi="ar-SA"/>
        </w:rPr>
        <w:t>3.2级配碎石垫层</w:t>
      </w:r>
    </w:p>
    <w:p w14:paraId="639F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sz w:val="24"/>
          <w:szCs w:val="24"/>
        </w:rPr>
        <w:t>质量标准</w:t>
      </w:r>
      <w:r>
        <w:rPr>
          <w:rFonts w:hint="eastAsia" w:hAnsi="宋体"/>
          <w:sz w:val="24"/>
          <w:szCs w:val="24"/>
          <w:lang w:val="en-US" w:eastAsia="zh-CN"/>
        </w:rPr>
        <w:t>如下</w:t>
      </w:r>
      <w:r>
        <w:rPr>
          <w:rFonts w:hint="eastAsia" w:hAnsi="宋体"/>
          <w:sz w:val="24"/>
          <w:szCs w:val="24"/>
          <w:lang w:eastAsia="zh-CN"/>
        </w:rPr>
        <w:t>：</w:t>
      </w:r>
    </w:p>
    <w:p w14:paraId="19B44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sz w:val="24"/>
          <w:szCs w:val="24"/>
        </w:rPr>
        <w:t xml:space="preserve">技术指标： 压实度：≥95%； </w:t>
      </w:r>
    </w:p>
    <w:p w14:paraId="12D3047E">
      <w:pPr>
        <w:ind w:leftChars="0" w:firstLine="480" w:firstLineChars="200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sz w:val="24"/>
          <w:szCs w:val="24"/>
        </w:rPr>
        <w:t>平整度：≤15mm；</w:t>
      </w:r>
    </w:p>
    <w:p w14:paraId="3BC0B986">
      <w:pPr>
        <w:widowControl w:val="0"/>
        <w:spacing w:line="360" w:lineRule="auto"/>
        <w:ind w:leftChars="0" w:firstLine="480" w:firstLineChars="200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宽度允许偏差：不小于设计值；</w:t>
      </w:r>
    </w:p>
    <w:p w14:paraId="2BEA68C5">
      <w:pPr>
        <w:widowControl w:val="0"/>
        <w:spacing w:line="360" w:lineRule="auto"/>
        <w:ind w:leftChars="0" w:firstLine="480" w:firstLineChars="200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厚度允许偏差：-20mm；</w:t>
      </w:r>
    </w:p>
    <w:p w14:paraId="27DC2ECC">
      <w:pPr>
        <w:widowControl w:val="0"/>
        <w:spacing w:line="360" w:lineRule="auto"/>
        <w:ind w:leftChars="0" w:firstLine="480" w:firstLineChars="200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路拱横坡度：±0.5％；</w:t>
      </w:r>
    </w:p>
    <w:sectPr>
      <w:pgSz w:w="33675" w:h="23811" w:orient="landscape"/>
      <w:pgMar w:top="1800" w:right="1440" w:bottom="1800" w:left="1440" w:header="851" w:footer="992" w:gutter="0"/>
      <w:cols w:equalWidth="0" w:num="3">
        <w:col w:w="9981" w:space="425"/>
        <w:col w:w="9981" w:space="425"/>
        <w:col w:w="9981"/>
      </w:cols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6E2E1F"/>
    <w:multiLevelType w:val="multilevel"/>
    <w:tmpl w:val="216E2E1F"/>
    <w:lvl w:ilvl="0" w:tentative="0">
      <w:start w:val="1"/>
      <w:numFmt w:val="bullet"/>
      <w:lvlText w:val=""/>
      <w:lvlJc w:val="left"/>
      <w:pPr>
        <w:ind w:left="90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2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70A87"/>
    <w:rsid w:val="023B31B5"/>
    <w:rsid w:val="2F4739FE"/>
    <w:rsid w:val="52B7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ascii="宋体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120" w:after="120"/>
      <w:outlineLvl w:val="2"/>
    </w:pPr>
    <w:rPr>
      <w:b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Times New Roman"/>
      <w:sz w:val="21"/>
    </w:rPr>
  </w:style>
  <w:style w:type="paragraph" w:styleId="4">
    <w:name w:val="Plain Text"/>
    <w:basedOn w:val="1"/>
    <w:qFormat/>
    <w:uiPriority w:val="0"/>
    <w:pPr>
      <w:ind w:firstLine="480"/>
    </w:pPr>
    <w:rPr>
      <w:rFonts w:hAnsi="Courier New"/>
      <w:sz w:val="28"/>
      <w:szCs w:val="21"/>
    </w:rPr>
  </w:style>
  <w:style w:type="paragraph" w:styleId="5">
    <w:name w:val="Body Text First Indent"/>
    <w:basedOn w:val="3"/>
    <w:qFormat/>
    <w:uiPriority w:val="0"/>
    <w:pPr>
      <w:ind w:firstLine="420" w:firstLineChars="100"/>
    </w:pPr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2026-01-27T10:12:00Z</dcterms:created>
  <dc:creator>阿董啊</dc:creator>
  <cp:lastModifiedBy>阿董啊</cp:lastModifiedBy>
  <dcterms:modified xsi:type="dcterms:W3CDTF">2026-01-27T10:21:14Z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A3A24B3D4650427F81ADE6579513B9C8_11</vt:lpwstr>
  </property>
  <property fmtid="{D5CDD505-2E9C-101B-9397-08002B2CF9AE}" pid="4" name="KSOTemplateDocerSaveRecord">
    <vt:lpwstr>eyJoZGlkIjoiMWU2ZmM2YWUxN2ViNTM4ZTZmYjdlNDU3OTAzNWRiODUiLCJ1c2VySWQiOiI2NzQyMzE5NjUifQ==</vt:lpwstr>
  </property>
</Properties>
</file>