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78A55">
      <w:pPr>
        <w:jc w:val="center"/>
        <w:rPr>
          <w:rFonts w:ascii="宋体" w:hAnsi="宋体"/>
          <w:b/>
          <w:color w:val="auto"/>
          <w:sz w:val="44"/>
          <w:szCs w:val="44"/>
          <w:highlight w:val="none"/>
        </w:rPr>
      </w:pPr>
      <w:bookmarkStart w:id="1662" w:name="_GoBack"/>
      <w:bookmarkEnd w:id="1662"/>
      <w:bookmarkStart w:id="0" w:name="_Toc287620665"/>
    </w:p>
    <w:p w14:paraId="3E185266">
      <w:pPr>
        <w:autoSpaceDE w:val="0"/>
        <w:autoSpaceDN w:val="0"/>
        <w:adjustRightInd w:val="0"/>
        <w:snapToGrid w:val="0"/>
        <w:spacing w:line="360" w:lineRule="auto"/>
        <w:jc w:val="center"/>
        <w:rPr>
          <w:rFonts w:hint="eastAsia" w:ascii="宋体" w:hAnsi="宋体" w:cs="Times New Roman"/>
          <w:color w:val="auto"/>
          <w:kern w:val="0"/>
          <w:sz w:val="48"/>
          <w:szCs w:val="48"/>
          <w:highlight w:val="none"/>
          <w:lang w:val="en-US" w:eastAsia="zh-CN"/>
        </w:rPr>
      </w:pPr>
      <w:r>
        <w:rPr>
          <w:rFonts w:hint="eastAsia" w:ascii="宋体" w:hAnsi="宋体" w:cs="Times New Roman"/>
          <w:color w:val="auto"/>
          <w:kern w:val="0"/>
          <w:sz w:val="48"/>
          <w:szCs w:val="48"/>
          <w:highlight w:val="none"/>
          <w:lang w:val="en-US" w:eastAsia="zh-CN"/>
        </w:rPr>
        <w:t>垫江县五洞镇卧龙村提灌站项目</w:t>
      </w:r>
    </w:p>
    <w:p w14:paraId="30AF6CDF">
      <w:pPr>
        <w:autoSpaceDE w:val="0"/>
        <w:autoSpaceDN w:val="0"/>
        <w:adjustRightInd w:val="0"/>
        <w:snapToGrid w:val="0"/>
        <w:spacing w:line="360" w:lineRule="auto"/>
        <w:jc w:val="left"/>
        <w:rPr>
          <w:rFonts w:ascii="宋体" w:hAnsi="宋体"/>
          <w:color w:val="auto"/>
          <w:kern w:val="0"/>
          <w:sz w:val="20"/>
          <w:szCs w:val="20"/>
          <w:highlight w:val="none"/>
        </w:rPr>
      </w:pPr>
    </w:p>
    <w:p w14:paraId="286ABAC5">
      <w:pPr>
        <w:autoSpaceDE w:val="0"/>
        <w:autoSpaceDN w:val="0"/>
        <w:adjustRightInd w:val="0"/>
        <w:snapToGrid w:val="0"/>
        <w:spacing w:line="360" w:lineRule="auto"/>
        <w:jc w:val="left"/>
        <w:rPr>
          <w:rFonts w:ascii="宋体" w:hAnsi="宋体"/>
          <w:color w:val="auto"/>
          <w:kern w:val="0"/>
          <w:sz w:val="20"/>
          <w:szCs w:val="20"/>
          <w:highlight w:val="none"/>
        </w:rPr>
      </w:pPr>
    </w:p>
    <w:p w14:paraId="45FEED75">
      <w:pPr>
        <w:autoSpaceDE w:val="0"/>
        <w:autoSpaceDN w:val="0"/>
        <w:adjustRightInd w:val="0"/>
        <w:snapToGrid w:val="0"/>
        <w:spacing w:line="360" w:lineRule="auto"/>
        <w:jc w:val="left"/>
        <w:rPr>
          <w:rFonts w:ascii="宋体" w:hAnsi="宋体"/>
          <w:color w:val="auto"/>
          <w:kern w:val="0"/>
          <w:sz w:val="20"/>
          <w:szCs w:val="20"/>
          <w:highlight w:val="none"/>
        </w:rPr>
      </w:pPr>
    </w:p>
    <w:p w14:paraId="214DDD0D">
      <w:pPr>
        <w:autoSpaceDE w:val="0"/>
        <w:autoSpaceDN w:val="0"/>
        <w:adjustRightInd w:val="0"/>
        <w:snapToGrid w:val="0"/>
        <w:spacing w:line="360" w:lineRule="auto"/>
        <w:jc w:val="left"/>
        <w:rPr>
          <w:rFonts w:ascii="宋体" w:hAnsi="宋体"/>
          <w:color w:val="auto"/>
          <w:kern w:val="0"/>
          <w:sz w:val="20"/>
          <w:szCs w:val="20"/>
          <w:highlight w:val="none"/>
        </w:rPr>
      </w:pPr>
    </w:p>
    <w:p w14:paraId="54BD2B22">
      <w:pPr>
        <w:autoSpaceDE w:val="0"/>
        <w:autoSpaceDN w:val="0"/>
        <w:adjustRightInd w:val="0"/>
        <w:snapToGrid w:val="0"/>
        <w:spacing w:line="360" w:lineRule="auto"/>
        <w:ind w:firstLine="3600" w:firstLineChars="500"/>
        <w:jc w:val="left"/>
        <w:rPr>
          <w:rFonts w:hint="eastAsia" w:ascii="宋体" w:hAnsi="宋体" w:cs="Times New Roman"/>
          <w:color w:val="auto"/>
          <w:kern w:val="0"/>
          <w:sz w:val="72"/>
          <w:szCs w:val="72"/>
          <w:highlight w:val="none"/>
          <w:lang w:val="en-US" w:eastAsia="zh-CN"/>
        </w:rPr>
      </w:pPr>
      <w:r>
        <w:rPr>
          <w:rFonts w:hint="eastAsia" w:ascii="宋体" w:hAnsi="宋体" w:cs="Times New Roman"/>
          <w:color w:val="auto"/>
          <w:kern w:val="0"/>
          <w:sz w:val="72"/>
          <w:szCs w:val="72"/>
          <w:highlight w:val="none"/>
          <w:lang w:val="en-US" w:eastAsia="zh-CN"/>
        </w:rPr>
        <w:t>竞 争 性</w:t>
      </w:r>
    </w:p>
    <w:p w14:paraId="6285066E">
      <w:pPr>
        <w:autoSpaceDE w:val="0"/>
        <w:autoSpaceDN w:val="0"/>
        <w:adjustRightInd w:val="0"/>
        <w:snapToGrid w:val="0"/>
        <w:spacing w:line="360" w:lineRule="auto"/>
        <w:jc w:val="left"/>
        <w:rPr>
          <w:rFonts w:ascii="宋体" w:hAnsi="宋体"/>
          <w:color w:val="auto"/>
          <w:kern w:val="0"/>
          <w:sz w:val="20"/>
          <w:szCs w:val="20"/>
          <w:highlight w:val="none"/>
        </w:rPr>
      </w:pPr>
    </w:p>
    <w:p w14:paraId="61171A1F">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比 选</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文</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件</w:t>
      </w:r>
    </w:p>
    <w:p w14:paraId="68EDC643">
      <w:pPr>
        <w:autoSpaceDE w:val="0"/>
        <w:autoSpaceDN w:val="0"/>
        <w:adjustRightInd w:val="0"/>
        <w:snapToGrid w:val="0"/>
        <w:spacing w:line="360" w:lineRule="auto"/>
        <w:jc w:val="left"/>
        <w:rPr>
          <w:rFonts w:ascii="宋体" w:hAnsi="宋体"/>
          <w:color w:val="auto"/>
          <w:kern w:val="0"/>
          <w:sz w:val="10"/>
          <w:szCs w:val="10"/>
          <w:highlight w:val="none"/>
        </w:rPr>
      </w:pPr>
    </w:p>
    <w:p w14:paraId="069A3624">
      <w:pPr>
        <w:autoSpaceDE w:val="0"/>
        <w:autoSpaceDN w:val="0"/>
        <w:adjustRightInd w:val="0"/>
        <w:snapToGrid w:val="0"/>
        <w:spacing w:line="360" w:lineRule="auto"/>
        <w:jc w:val="left"/>
        <w:rPr>
          <w:rFonts w:ascii="宋体" w:hAnsi="宋体"/>
          <w:color w:val="auto"/>
          <w:kern w:val="0"/>
          <w:sz w:val="20"/>
          <w:szCs w:val="20"/>
          <w:highlight w:val="none"/>
        </w:rPr>
      </w:pPr>
    </w:p>
    <w:p w14:paraId="7AB50AD8">
      <w:pPr>
        <w:autoSpaceDE w:val="0"/>
        <w:autoSpaceDN w:val="0"/>
        <w:adjustRightInd w:val="0"/>
        <w:snapToGrid w:val="0"/>
        <w:spacing w:line="360" w:lineRule="auto"/>
        <w:jc w:val="left"/>
        <w:rPr>
          <w:rFonts w:ascii="宋体" w:hAnsi="宋体"/>
          <w:color w:val="auto"/>
          <w:kern w:val="0"/>
          <w:sz w:val="20"/>
          <w:szCs w:val="20"/>
          <w:highlight w:val="none"/>
        </w:rPr>
      </w:pPr>
    </w:p>
    <w:p w14:paraId="5793541D">
      <w:pPr>
        <w:autoSpaceDE w:val="0"/>
        <w:autoSpaceDN w:val="0"/>
        <w:adjustRightInd w:val="0"/>
        <w:snapToGrid w:val="0"/>
        <w:spacing w:line="360" w:lineRule="auto"/>
        <w:jc w:val="left"/>
        <w:rPr>
          <w:rFonts w:ascii="宋体" w:hAnsi="宋体"/>
          <w:color w:val="auto"/>
          <w:kern w:val="0"/>
          <w:sz w:val="20"/>
          <w:szCs w:val="20"/>
          <w:highlight w:val="none"/>
        </w:rPr>
      </w:pPr>
    </w:p>
    <w:p w14:paraId="0A760139">
      <w:pPr>
        <w:autoSpaceDE w:val="0"/>
        <w:autoSpaceDN w:val="0"/>
        <w:adjustRightInd w:val="0"/>
        <w:snapToGrid w:val="0"/>
        <w:spacing w:line="360" w:lineRule="auto"/>
        <w:jc w:val="left"/>
        <w:rPr>
          <w:rFonts w:ascii="宋体" w:hAnsi="宋体"/>
          <w:color w:val="auto"/>
          <w:kern w:val="0"/>
          <w:sz w:val="20"/>
          <w:szCs w:val="20"/>
          <w:highlight w:val="none"/>
        </w:rPr>
      </w:pPr>
    </w:p>
    <w:p w14:paraId="2F638F4C">
      <w:pPr>
        <w:autoSpaceDE w:val="0"/>
        <w:autoSpaceDN w:val="0"/>
        <w:adjustRightInd w:val="0"/>
        <w:snapToGrid w:val="0"/>
        <w:spacing w:line="360" w:lineRule="auto"/>
        <w:rPr>
          <w:rFonts w:ascii="宋体" w:hAnsi="宋体"/>
          <w:color w:val="auto"/>
          <w:kern w:val="0"/>
          <w:sz w:val="20"/>
          <w:szCs w:val="20"/>
          <w:highlight w:val="none"/>
        </w:rPr>
      </w:pPr>
    </w:p>
    <w:p w14:paraId="4FB4A6CB">
      <w:pPr>
        <w:autoSpaceDE w:val="0"/>
        <w:autoSpaceDN w:val="0"/>
        <w:adjustRightInd w:val="0"/>
        <w:snapToGrid w:val="0"/>
        <w:spacing w:line="360" w:lineRule="auto"/>
        <w:rPr>
          <w:rFonts w:ascii="宋体" w:hAnsi="宋体"/>
          <w:color w:val="auto"/>
          <w:kern w:val="0"/>
          <w:sz w:val="20"/>
          <w:szCs w:val="20"/>
          <w:highlight w:val="none"/>
        </w:rPr>
      </w:pPr>
    </w:p>
    <w:p w14:paraId="64B985EF">
      <w:pPr>
        <w:autoSpaceDE w:val="0"/>
        <w:autoSpaceDN w:val="0"/>
        <w:adjustRightInd w:val="0"/>
        <w:snapToGrid w:val="0"/>
        <w:spacing w:line="360" w:lineRule="auto"/>
        <w:rPr>
          <w:rFonts w:ascii="宋体" w:hAnsi="宋体"/>
          <w:color w:val="auto"/>
          <w:kern w:val="0"/>
          <w:sz w:val="20"/>
          <w:szCs w:val="20"/>
          <w:highlight w:val="none"/>
        </w:rPr>
      </w:pPr>
    </w:p>
    <w:p w14:paraId="2AAC6C34">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ascii="宋体" w:hAnsi="宋体"/>
          <w:b/>
          <w:color w:val="auto"/>
          <w:w w:val="99"/>
          <w:kern w:val="0"/>
          <w:sz w:val="28"/>
          <w:szCs w:val="28"/>
          <w:highlight w:val="none"/>
        </w:rPr>
        <w:t>招标人：</w:t>
      </w:r>
      <w:r>
        <w:rPr>
          <w:rFonts w:hint="eastAsia" w:ascii="宋体" w:hAnsi="宋体"/>
          <w:b/>
          <w:color w:val="auto"/>
          <w:w w:val="99"/>
          <w:kern w:val="0"/>
          <w:sz w:val="28"/>
          <w:szCs w:val="28"/>
          <w:highlight w:val="none"/>
          <w:u w:val="single"/>
          <w:lang w:val="en-US" w:eastAsia="zh-CN"/>
        </w:rPr>
        <w:t>垫江县五洞镇卧龙村股份经济合作联合社</w:t>
      </w:r>
      <w:r>
        <w:rPr>
          <w:rFonts w:ascii="宋体" w:hAnsi="宋体"/>
          <w:b/>
          <w:color w:val="auto"/>
          <w:w w:val="99"/>
          <w:kern w:val="0"/>
          <w:sz w:val="28"/>
          <w:szCs w:val="28"/>
          <w:highlight w:val="none"/>
        </w:rPr>
        <w:t>（盖单位法人章）</w:t>
      </w:r>
    </w:p>
    <w:p w14:paraId="76C31A68">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ascii="宋体" w:hAnsi="宋体"/>
          <w:b/>
          <w:color w:val="auto"/>
          <w:spacing w:val="8"/>
          <w:kern w:val="0"/>
          <w:sz w:val="28"/>
          <w:szCs w:val="28"/>
          <w:highlight w:val="none"/>
        </w:rPr>
        <w:t>招标代理机构：</w:t>
      </w:r>
      <w:r>
        <w:rPr>
          <w:rFonts w:hint="eastAsia" w:ascii="宋体" w:hAnsi="宋体"/>
          <w:b/>
          <w:color w:val="auto"/>
          <w:spacing w:val="8"/>
          <w:kern w:val="0"/>
          <w:sz w:val="28"/>
          <w:szCs w:val="28"/>
          <w:highlight w:val="none"/>
          <w:u w:val="single"/>
          <w:lang w:val="en-US" w:eastAsia="zh-CN"/>
        </w:rPr>
        <w:t>重庆市以存项目管理有限公司</w:t>
      </w:r>
      <w:r>
        <w:rPr>
          <w:rFonts w:ascii="宋体" w:hAnsi="宋体"/>
          <w:b/>
          <w:color w:val="auto"/>
          <w:w w:val="99"/>
          <w:kern w:val="0"/>
          <w:sz w:val="28"/>
          <w:szCs w:val="28"/>
          <w:highlight w:val="none"/>
        </w:rPr>
        <w:t>（盖单位法人章）</w:t>
      </w:r>
    </w:p>
    <w:p w14:paraId="344966A5">
      <w:pPr>
        <w:autoSpaceDE w:val="0"/>
        <w:autoSpaceDN w:val="0"/>
        <w:adjustRightInd w:val="0"/>
        <w:snapToGrid w:val="0"/>
        <w:spacing w:line="360" w:lineRule="auto"/>
        <w:jc w:val="center"/>
        <w:rPr>
          <w:rFonts w:ascii="宋体" w:hAnsi="宋体"/>
          <w:b/>
          <w:color w:val="auto"/>
          <w:kern w:val="0"/>
          <w:sz w:val="20"/>
          <w:szCs w:val="20"/>
          <w:highlight w:val="none"/>
        </w:rPr>
      </w:pPr>
    </w:p>
    <w:p w14:paraId="7AF1EF7E">
      <w:pPr>
        <w:autoSpaceDE w:val="0"/>
        <w:autoSpaceDN w:val="0"/>
        <w:adjustRightInd w:val="0"/>
        <w:snapToGrid w:val="0"/>
        <w:spacing w:line="360" w:lineRule="auto"/>
        <w:jc w:val="center"/>
        <w:rPr>
          <w:rFonts w:ascii="宋体" w:hAnsi="宋体"/>
          <w:b/>
          <w:color w:val="auto"/>
          <w:kern w:val="0"/>
          <w:sz w:val="28"/>
          <w:szCs w:val="28"/>
          <w:highlight w:val="none"/>
        </w:rPr>
      </w:pPr>
      <w:bookmarkStart w:id="1" w:name="_Toc13210649"/>
      <w:bookmarkStart w:id="2" w:name="_Toc536797277"/>
      <w:bookmarkStart w:id="3" w:name="_Toc536796736"/>
      <w:bookmarkStart w:id="4" w:name="_Toc536621766"/>
      <w:bookmarkStart w:id="5" w:name="_Toc509218549"/>
      <w:r>
        <w:rPr>
          <w:rFonts w:hint="eastAsia" w:ascii="宋体" w:hAnsi="宋体"/>
          <w:b/>
          <w:color w:val="auto"/>
          <w:kern w:val="0"/>
          <w:sz w:val="28"/>
          <w:szCs w:val="28"/>
          <w:highlight w:val="none"/>
        </w:rPr>
        <w:t xml:space="preserve"> 202</w:t>
      </w:r>
      <w:r>
        <w:rPr>
          <w:rFonts w:hint="eastAsia" w:ascii="宋体" w:hAnsi="宋体"/>
          <w:b/>
          <w:color w:val="auto"/>
          <w:kern w:val="0"/>
          <w:sz w:val="28"/>
          <w:szCs w:val="28"/>
          <w:highlight w:val="none"/>
          <w:lang w:val="en-US" w:eastAsia="zh-CN"/>
        </w:rPr>
        <w:t>6</w:t>
      </w:r>
      <w:r>
        <w:rPr>
          <w:rFonts w:ascii="宋体" w:hAnsi="宋体"/>
          <w:b/>
          <w:color w:val="auto"/>
          <w:kern w:val="0"/>
          <w:sz w:val="28"/>
          <w:szCs w:val="28"/>
          <w:highlight w:val="none"/>
        </w:rPr>
        <w:t>年</w:t>
      </w:r>
      <w:r>
        <w:rPr>
          <w:rFonts w:hint="eastAsia" w:ascii="宋体" w:hAnsi="宋体"/>
          <w:b/>
          <w:color w:val="auto"/>
          <w:kern w:val="0"/>
          <w:sz w:val="28"/>
          <w:szCs w:val="28"/>
          <w:highlight w:val="none"/>
          <w:lang w:val="en-US" w:eastAsia="zh-CN"/>
        </w:rPr>
        <w:t>3</w:t>
      </w:r>
      <w:r>
        <w:rPr>
          <w:rFonts w:ascii="宋体" w:hAnsi="宋体"/>
          <w:b/>
          <w:color w:val="auto"/>
          <w:kern w:val="0"/>
          <w:sz w:val="28"/>
          <w:szCs w:val="28"/>
          <w:highlight w:val="none"/>
        </w:rPr>
        <w:t>月</w:t>
      </w:r>
      <w:bookmarkEnd w:id="1"/>
      <w:bookmarkEnd w:id="2"/>
      <w:bookmarkEnd w:id="3"/>
      <w:bookmarkEnd w:id="4"/>
      <w:bookmarkEnd w:id="5"/>
    </w:p>
    <w:p w14:paraId="2316D858">
      <w:pPr>
        <w:autoSpaceDE w:val="0"/>
        <w:autoSpaceDN w:val="0"/>
        <w:adjustRightInd w:val="0"/>
        <w:snapToGrid w:val="0"/>
        <w:spacing w:line="360" w:lineRule="auto"/>
        <w:jc w:val="center"/>
        <w:rPr>
          <w:rFonts w:ascii="宋体" w:hAnsi="宋体"/>
          <w:b/>
          <w:color w:val="auto"/>
          <w:kern w:val="0"/>
          <w:sz w:val="28"/>
          <w:szCs w:val="28"/>
          <w:highlight w:val="none"/>
        </w:rPr>
      </w:pPr>
    </w:p>
    <w:p w14:paraId="74021F14">
      <w:pPr>
        <w:autoSpaceDE w:val="0"/>
        <w:autoSpaceDN w:val="0"/>
        <w:adjustRightInd w:val="0"/>
        <w:snapToGrid w:val="0"/>
        <w:spacing w:line="360" w:lineRule="auto"/>
        <w:jc w:val="center"/>
        <w:rPr>
          <w:rFonts w:ascii="宋体" w:hAnsi="宋体"/>
          <w:b/>
          <w:color w:val="auto"/>
          <w:kern w:val="0"/>
          <w:sz w:val="28"/>
          <w:szCs w:val="28"/>
          <w:highlight w:val="none"/>
        </w:rPr>
      </w:pPr>
    </w:p>
    <w:p w14:paraId="25DA2013">
      <w:pPr>
        <w:autoSpaceDE w:val="0"/>
        <w:autoSpaceDN w:val="0"/>
        <w:adjustRightInd w:val="0"/>
        <w:snapToGrid w:val="0"/>
        <w:spacing w:line="360" w:lineRule="auto"/>
        <w:rPr>
          <w:rFonts w:ascii="宋体" w:hAnsi="宋体"/>
          <w:b/>
          <w:color w:val="auto"/>
          <w:kern w:val="0"/>
          <w:sz w:val="20"/>
          <w:szCs w:val="20"/>
          <w:highlight w:val="none"/>
        </w:rPr>
      </w:pPr>
    </w:p>
    <w:p w14:paraId="109A92C8">
      <w:pPr>
        <w:pStyle w:val="3"/>
        <w:spacing w:line="360" w:lineRule="auto"/>
        <w:jc w:val="center"/>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Borders>
            <w:top w:val="none" w:sz="0" w:space="0"/>
            <w:left w:val="none" w:sz="0" w:space="0"/>
            <w:bottom w:val="none" w:sz="0" w:space="0"/>
            <w:right w:val="none" w:sz="0" w:space="0"/>
          </w:pgBorders>
          <w:pgNumType w:fmt="numberInDash" w:start="1"/>
          <w:cols w:space="720" w:num="1"/>
          <w:docGrid w:linePitch="312" w:charSpace="0"/>
        </w:sectPr>
      </w:pPr>
    </w:p>
    <w:p w14:paraId="2965FBE7">
      <w:pPr>
        <w:pStyle w:val="104"/>
        <w:jc w:val="center"/>
        <w:rPr>
          <w:rFonts w:ascii="宋体" w:hAnsi="宋体"/>
          <w:color w:val="auto"/>
          <w:sz w:val="44"/>
          <w:szCs w:val="44"/>
          <w:highlight w:val="none"/>
        </w:rPr>
      </w:pPr>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p>
    <w:p w14:paraId="49290D81">
      <w:pPr>
        <w:pStyle w:val="31"/>
        <w:tabs>
          <w:tab w:val="right" w:leader="dot" w:pos="9469"/>
        </w:tabs>
        <w:rPr>
          <w:highlight w:val="none"/>
        </w:rPr>
      </w:pP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TOC \o "1-3" \h \z \u </w:instrText>
      </w:r>
      <w:r>
        <w:rPr>
          <w:rFonts w:hint="eastAsia" w:ascii="宋体" w:hAnsi="宋体" w:eastAsia="宋体" w:cs="宋体"/>
          <w:i w:val="0"/>
          <w:iCs w:val="0"/>
          <w:highlight w:val="none"/>
        </w:rPr>
        <w:fldChar w:fldCharType="separate"/>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HYPERLINK \l _Toc10326 </w:instrText>
      </w:r>
      <w:r>
        <w:rPr>
          <w:rFonts w:hint="eastAsia" w:ascii="宋体" w:hAnsi="宋体" w:eastAsia="宋体" w:cs="宋体"/>
          <w:i w:val="0"/>
          <w:iCs w:val="0"/>
          <w:highlight w:val="none"/>
        </w:rPr>
        <w:fldChar w:fldCharType="separate"/>
      </w:r>
      <w:r>
        <w:rPr>
          <w:rFonts w:hint="eastAsia" w:ascii="宋体" w:hAnsi="宋体"/>
          <w:szCs w:val="52"/>
          <w:highlight w:val="none"/>
        </w:rPr>
        <w:t>第 一 卷</w:t>
      </w:r>
      <w:r>
        <w:rPr>
          <w:highlight w:val="none"/>
        </w:rPr>
        <w:tab/>
      </w:r>
      <w:r>
        <w:rPr>
          <w:highlight w:val="none"/>
        </w:rPr>
        <w:fldChar w:fldCharType="begin"/>
      </w:r>
      <w:r>
        <w:rPr>
          <w:highlight w:val="none"/>
        </w:rPr>
        <w:instrText xml:space="preserve"> PAGEREF _Toc10326 \h </w:instrText>
      </w:r>
      <w:r>
        <w:rPr>
          <w:highlight w:val="none"/>
        </w:rPr>
        <w:fldChar w:fldCharType="separate"/>
      </w:r>
      <w:r>
        <w:rPr>
          <w:highlight w:val="none"/>
        </w:rPr>
        <w:t>- 2 -</w:t>
      </w:r>
      <w:r>
        <w:rPr>
          <w:highlight w:val="none"/>
        </w:rPr>
        <w:fldChar w:fldCharType="end"/>
      </w:r>
      <w:r>
        <w:rPr>
          <w:rFonts w:hint="eastAsia" w:ascii="宋体" w:hAnsi="宋体" w:eastAsia="宋体" w:cs="宋体"/>
          <w:i w:val="0"/>
          <w:iCs w:val="0"/>
          <w:highlight w:val="none"/>
        </w:rPr>
        <w:fldChar w:fldCharType="end"/>
      </w:r>
    </w:p>
    <w:p w14:paraId="1804FB9F">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_Toc17942 </w:instrText>
      </w:r>
      <w:r>
        <w:rPr>
          <w:rFonts w:hint="eastAsia" w:ascii="宋体" w:hAnsi="宋体" w:eastAsia="宋体" w:cs="宋体"/>
          <w:bCs/>
          <w:i w:val="0"/>
          <w:iCs w:val="0"/>
          <w:szCs w:val="20"/>
          <w:highlight w:val="none"/>
          <w:lang w:val="zh-CN"/>
        </w:rPr>
        <w:fldChar w:fldCharType="separate"/>
      </w:r>
      <w:r>
        <w:rPr>
          <w:rFonts w:ascii="宋体" w:hAnsi="宋体"/>
          <w:snapToGrid w:val="0"/>
          <w:kern w:val="0"/>
          <w:highlight w:val="none"/>
        </w:rPr>
        <w:t>第一章  招标公告</w:t>
      </w:r>
      <w:r>
        <w:rPr>
          <w:highlight w:val="none"/>
        </w:rPr>
        <w:tab/>
      </w:r>
      <w:r>
        <w:rPr>
          <w:highlight w:val="none"/>
        </w:rPr>
        <w:fldChar w:fldCharType="begin"/>
      </w:r>
      <w:r>
        <w:rPr>
          <w:highlight w:val="none"/>
        </w:rPr>
        <w:instrText xml:space="preserve"> PAGEREF _Toc17942 \h </w:instrText>
      </w:r>
      <w:r>
        <w:rPr>
          <w:highlight w:val="none"/>
        </w:rPr>
        <w:fldChar w:fldCharType="separate"/>
      </w:r>
      <w:r>
        <w:rPr>
          <w:highlight w:val="none"/>
        </w:rPr>
        <w:t>- 3 -</w:t>
      </w:r>
      <w:r>
        <w:rPr>
          <w:highlight w:val="none"/>
        </w:rPr>
        <w:fldChar w:fldCharType="end"/>
      </w:r>
      <w:r>
        <w:rPr>
          <w:rFonts w:hint="eastAsia" w:ascii="宋体" w:hAnsi="宋体" w:eastAsia="宋体" w:cs="宋体"/>
          <w:bCs/>
          <w:i w:val="0"/>
          <w:iCs w:val="0"/>
          <w:szCs w:val="20"/>
          <w:highlight w:val="none"/>
          <w:lang w:val="zh-CN"/>
        </w:rPr>
        <w:fldChar w:fldCharType="end"/>
      </w:r>
    </w:p>
    <w:p w14:paraId="4607E12A">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_Toc7066 </w:instrText>
      </w:r>
      <w:r>
        <w:rPr>
          <w:rFonts w:hint="eastAsia" w:ascii="宋体" w:hAnsi="宋体" w:eastAsia="宋体" w:cs="宋体"/>
          <w:bCs/>
          <w:i w:val="0"/>
          <w:iCs w:val="0"/>
          <w:szCs w:val="20"/>
          <w:highlight w:val="none"/>
          <w:lang w:val="zh-CN"/>
        </w:rPr>
        <w:fldChar w:fldCharType="separate"/>
      </w:r>
      <w:r>
        <w:rPr>
          <w:rFonts w:ascii="宋体" w:hAnsi="宋体"/>
          <w:snapToGrid w:val="0"/>
          <w:szCs w:val="28"/>
          <w:highlight w:val="none"/>
        </w:rPr>
        <w:t xml:space="preserve">1. </w:t>
      </w:r>
      <w:r>
        <w:rPr>
          <w:rFonts w:hint="eastAsia" w:ascii="宋体" w:hAnsi="宋体"/>
          <w:snapToGrid w:val="0"/>
          <w:szCs w:val="28"/>
          <w:highlight w:val="none"/>
        </w:rPr>
        <w:t xml:space="preserve"> </w:t>
      </w:r>
      <w:r>
        <w:rPr>
          <w:rFonts w:ascii="宋体" w:hAnsi="宋体"/>
          <w:snapToGrid w:val="0"/>
          <w:szCs w:val="28"/>
          <w:highlight w:val="none"/>
        </w:rPr>
        <w:t>招标条件</w:t>
      </w:r>
      <w:r>
        <w:rPr>
          <w:highlight w:val="none"/>
        </w:rPr>
        <w:tab/>
      </w:r>
      <w:r>
        <w:rPr>
          <w:highlight w:val="none"/>
        </w:rPr>
        <w:fldChar w:fldCharType="begin"/>
      </w:r>
      <w:r>
        <w:rPr>
          <w:highlight w:val="none"/>
        </w:rPr>
        <w:instrText xml:space="preserve"> PAGEREF _Toc7066 \h </w:instrText>
      </w:r>
      <w:r>
        <w:rPr>
          <w:highlight w:val="none"/>
        </w:rPr>
        <w:fldChar w:fldCharType="separate"/>
      </w:r>
      <w:r>
        <w:rPr>
          <w:highlight w:val="none"/>
        </w:rPr>
        <w:t>- 3 -</w:t>
      </w:r>
      <w:r>
        <w:rPr>
          <w:highlight w:val="none"/>
        </w:rPr>
        <w:fldChar w:fldCharType="end"/>
      </w:r>
      <w:r>
        <w:rPr>
          <w:rFonts w:hint="eastAsia" w:ascii="宋体" w:hAnsi="宋体" w:eastAsia="宋体" w:cs="宋体"/>
          <w:bCs/>
          <w:i w:val="0"/>
          <w:iCs w:val="0"/>
          <w:szCs w:val="20"/>
          <w:highlight w:val="none"/>
          <w:lang w:val="zh-CN"/>
        </w:rPr>
        <w:fldChar w:fldCharType="end"/>
      </w:r>
    </w:p>
    <w:p w14:paraId="3E3D5DDB">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_Toc18550 </w:instrText>
      </w:r>
      <w:r>
        <w:rPr>
          <w:rFonts w:hint="eastAsia" w:ascii="宋体" w:hAnsi="宋体" w:eastAsia="宋体" w:cs="宋体"/>
          <w:bCs/>
          <w:i w:val="0"/>
          <w:iCs w:val="0"/>
          <w:szCs w:val="20"/>
          <w:highlight w:val="none"/>
          <w:lang w:val="zh-CN"/>
        </w:rPr>
        <w:fldChar w:fldCharType="separate"/>
      </w:r>
      <w:r>
        <w:rPr>
          <w:rFonts w:ascii="宋体" w:hAnsi="宋体"/>
          <w:snapToGrid w:val="0"/>
          <w:szCs w:val="28"/>
          <w:highlight w:val="none"/>
        </w:rPr>
        <w:t>2.</w:t>
      </w:r>
      <w:r>
        <w:rPr>
          <w:rFonts w:hint="eastAsia" w:ascii="宋体" w:hAnsi="宋体"/>
          <w:snapToGrid w:val="0"/>
          <w:szCs w:val="28"/>
          <w:highlight w:val="none"/>
        </w:rPr>
        <w:t xml:space="preserve"> </w:t>
      </w:r>
      <w:r>
        <w:rPr>
          <w:rFonts w:ascii="宋体" w:hAnsi="宋体"/>
          <w:snapToGrid w:val="0"/>
          <w:szCs w:val="28"/>
          <w:highlight w:val="none"/>
        </w:rPr>
        <w:t xml:space="preserve"> 项目概况与招标范围</w:t>
      </w:r>
      <w:r>
        <w:rPr>
          <w:highlight w:val="none"/>
        </w:rPr>
        <w:tab/>
      </w:r>
      <w:r>
        <w:rPr>
          <w:highlight w:val="none"/>
        </w:rPr>
        <w:fldChar w:fldCharType="begin"/>
      </w:r>
      <w:r>
        <w:rPr>
          <w:highlight w:val="none"/>
        </w:rPr>
        <w:instrText xml:space="preserve"> PAGEREF _Toc18550 \h </w:instrText>
      </w:r>
      <w:r>
        <w:rPr>
          <w:highlight w:val="none"/>
        </w:rPr>
        <w:fldChar w:fldCharType="separate"/>
      </w:r>
      <w:r>
        <w:rPr>
          <w:highlight w:val="none"/>
        </w:rPr>
        <w:t>- 3 -</w:t>
      </w:r>
      <w:r>
        <w:rPr>
          <w:highlight w:val="none"/>
        </w:rPr>
        <w:fldChar w:fldCharType="end"/>
      </w:r>
      <w:r>
        <w:rPr>
          <w:rFonts w:hint="eastAsia" w:ascii="宋体" w:hAnsi="宋体" w:eastAsia="宋体" w:cs="宋体"/>
          <w:bCs/>
          <w:i w:val="0"/>
          <w:iCs w:val="0"/>
          <w:szCs w:val="20"/>
          <w:highlight w:val="none"/>
          <w:lang w:val="zh-CN"/>
        </w:rPr>
        <w:fldChar w:fldCharType="end"/>
      </w:r>
    </w:p>
    <w:p w14:paraId="32519DDD">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_Toc19609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szCs w:val="28"/>
          <w:highlight w:val="none"/>
          <w:lang w:val="en-US" w:eastAsia="zh-CN"/>
        </w:rPr>
        <w:t>3</w:t>
      </w:r>
      <w:r>
        <w:rPr>
          <w:rFonts w:ascii="宋体" w:hAnsi="宋体"/>
          <w:snapToGrid w:val="0"/>
          <w:szCs w:val="28"/>
          <w:highlight w:val="none"/>
        </w:rPr>
        <w:t>. 投标人资格要求</w:t>
      </w:r>
      <w:r>
        <w:rPr>
          <w:highlight w:val="none"/>
        </w:rPr>
        <w:tab/>
      </w:r>
      <w:r>
        <w:rPr>
          <w:highlight w:val="none"/>
        </w:rPr>
        <w:fldChar w:fldCharType="begin"/>
      </w:r>
      <w:r>
        <w:rPr>
          <w:highlight w:val="none"/>
        </w:rPr>
        <w:instrText xml:space="preserve"> PAGEREF _Toc19609 \h </w:instrText>
      </w:r>
      <w:r>
        <w:rPr>
          <w:highlight w:val="none"/>
        </w:rPr>
        <w:fldChar w:fldCharType="separate"/>
      </w:r>
      <w:r>
        <w:rPr>
          <w:highlight w:val="none"/>
        </w:rPr>
        <w:t>- 3 -</w:t>
      </w:r>
      <w:r>
        <w:rPr>
          <w:highlight w:val="none"/>
        </w:rPr>
        <w:fldChar w:fldCharType="end"/>
      </w:r>
      <w:r>
        <w:rPr>
          <w:rFonts w:hint="eastAsia" w:ascii="宋体" w:hAnsi="宋体" w:eastAsia="宋体" w:cs="宋体"/>
          <w:bCs/>
          <w:i w:val="0"/>
          <w:iCs w:val="0"/>
          <w:szCs w:val="20"/>
          <w:highlight w:val="none"/>
          <w:lang w:val="zh-CN"/>
        </w:rPr>
        <w:fldChar w:fldCharType="end"/>
      </w:r>
    </w:p>
    <w:p w14:paraId="0A4391B0">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_Toc10040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szCs w:val="28"/>
          <w:highlight w:val="none"/>
          <w:lang w:val="en-US" w:eastAsia="zh-CN"/>
        </w:rPr>
        <w:t>4</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hint="eastAsia" w:ascii="宋体" w:hAnsi="宋体"/>
          <w:snapToGrid w:val="0"/>
          <w:szCs w:val="28"/>
          <w:highlight w:val="none"/>
          <w:lang w:eastAsia="zh-CN"/>
        </w:rPr>
        <w:t>竞争性比选</w:t>
      </w:r>
      <w:r>
        <w:rPr>
          <w:rFonts w:hint="eastAsia" w:ascii="宋体" w:hAnsi="宋体"/>
          <w:snapToGrid w:val="0"/>
          <w:szCs w:val="28"/>
          <w:highlight w:val="none"/>
          <w:lang w:val="en-US" w:eastAsia="zh-CN"/>
        </w:rPr>
        <w:t>文件</w:t>
      </w:r>
      <w:r>
        <w:rPr>
          <w:rFonts w:ascii="宋体" w:hAnsi="宋体"/>
          <w:snapToGrid w:val="0"/>
          <w:szCs w:val="28"/>
          <w:highlight w:val="none"/>
        </w:rPr>
        <w:t>的获取</w:t>
      </w:r>
      <w:r>
        <w:rPr>
          <w:highlight w:val="none"/>
        </w:rPr>
        <w:tab/>
      </w:r>
      <w:r>
        <w:rPr>
          <w:highlight w:val="none"/>
        </w:rPr>
        <w:fldChar w:fldCharType="begin"/>
      </w:r>
      <w:r>
        <w:rPr>
          <w:highlight w:val="none"/>
        </w:rPr>
        <w:instrText xml:space="preserve"> PAGEREF _Toc10040 \h </w:instrText>
      </w:r>
      <w:r>
        <w:rPr>
          <w:highlight w:val="none"/>
        </w:rPr>
        <w:fldChar w:fldCharType="separate"/>
      </w:r>
      <w:r>
        <w:rPr>
          <w:highlight w:val="none"/>
        </w:rPr>
        <w:t>- 4 -</w:t>
      </w:r>
      <w:r>
        <w:rPr>
          <w:highlight w:val="none"/>
        </w:rPr>
        <w:fldChar w:fldCharType="end"/>
      </w:r>
      <w:r>
        <w:rPr>
          <w:rFonts w:hint="eastAsia" w:ascii="宋体" w:hAnsi="宋体" w:eastAsia="宋体" w:cs="宋体"/>
          <w:bCs/>
          <w:i w:val="0"/>
          <w:iCs w:val="0"/>
          <w:szCs w:val="20"/>
          <w:highlight w:val="none"/>
          <w:lang w:val="zh-CN"/>
        </w:rPr>
        <w:fldChar w:fldCharType="end"/>
      </w:r>
    </w:p>
    <w:p w14:paraId="698D4635">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_Toc15590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szCs w:val="28"/>
          <w:highlight w:val="none"/>
          <w:lang w:val="en-US" w:eastAsia="zh-CN"/>
        </w:rPr>
        <w:t>5</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ascii="宋体" w:hAnsi="宋体"/>
          <w:snapToGrid w:val="0"/>
          <w:szCs w:val="28"/>
          <w:highlight w:val="none"/>
        </w:rPr>
        <w:t>投标文件的递交</w:t>
      </w:r>
      <w:r>
        <w:rPr>
          <w:highlight w:val="none"/>
        </w:rPr>
        <w:tab/>
      </w:r>
      <w:r>
        <w:rPr>
          <w:highlight w:val="none"/>
        </w:rPr>
        <w:fldChar w:fldCharType="begin"/>
      </w:r>
      <w:r>
        <w:rPr>
          <w:highlight w:val="none"/>
        </w:rPr>
        <w:instrText xml:space="preserve"> PAGEREF _Toc15590 \h </w:instrText>
      </w:r>
      <w:r>
        <w:rPr>
          <w:highlight w:val="none"/>
        </w:rPr>
        <w:fldChar w:fldCharType="separate"/>
      </w:r>
      <w:r>
        <w:rPr>
          <w:highlight w:val="none"/>
        </w:rPr>
        <w:t>- 4 -</w:t>
      </w:r>
      <w:r>
        <w:rPr>
          <w:highlight w:val="none"/>
        </w:rPr>
        <w:fldChar w:fldCharType="end"/>
      </w:r>
      <w:r>
        <w:rPr>
          <w:rFonts w:hint="eastAsia" w:ascii="宋体" w:hAnsi="宋体" w:eastAsia="宋体" w:cs="宋体"/>
          <w:bCs/>
          <w:i w:val="0"/>
          <w:iCs w:val="0"/>
          <w:szCs w:val="20"/>
          <w:highlight w:val="none"/>
          <w:lang w:val="zh-CN"/>
        </w:rPr>
        <w:fldChar w:fldCharType="end"/>
      </w:r>
    </w:p>
    <w:p w14:paraId="418DA92D">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_Toc2123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szCs w:val="28"/>
          <w:highlight w:val="none"/>
          <w:lang w:val="en-US" w:eastAsia="zh-CN"/>
        </w:rPr>
        <w:t>6</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ascii="宋体" w:hAnsi="宋体"/>
          <w:snapToGrid w:val="0"/>
          <w:szCs w:val="28"/>
          <w:highlight w:val="none"/>
        </w:rPr>
        <w:t>发布公告的媒介</w:t>
      </w:r>
      <w:r>
        <w:rPr>
          <w:highlight w:val="none"/>
        </w:rPr>
        <w:tab/>
      </w:r>
      <w:r>
        <w:rPr>
          <w:highlight w:val="none"/>
        </w:rPr>
        <w:fldChar w:fldCharType="begin"/>
      </w:r>
      <w:r>
        <w:rPr>
          <w:highlight w:val="none"/>
        </w:rPr>
        <w:instrText xml:space="preserve"> PAGEREF _Toc2123 \h </w:instrText>
      </w:r>
      <w:r>
        <w:rPr>
          <w:highlight w:val="none"/>
        </w:rPr>
        <w:fldChar w:fldCharType="separate"/>
      </w:r>
      <w:r>
        <w:rPr>
          <w:highlight w:val="none"/>
        </w:rPr>
        <w:t>- 4 -</w:t>
      </w:r>
      <w:r>
        <w:rPr>
          <w:highlight w:val="none"/>
        </w:rPr>
        <w:fldChar w:fldCharType="end"/>
      </w:r>
      <w:r>
        <w:rPr>
          <w:rFonts w:hint="eastAsia" w:ascii="宋体" w:hAnsi="宋体" w:eastAsia="宋体" w:cs="宋体"/>
          <w:bCs/>
          <w:i w:val="0"/>
          <w:iCs w:val="0"/>
          <w:szCs w:val="20"/>
          <w:highlight w:val="none"/>
          <w:lang w:val="zh-CN"/>
        </w:rPr>
        <w:fldChar w:fldCharType="end"/>
      </w:r>
    </w:p>
    <w:p w14:paraId="4E67BBA8">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_Toc22617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szCs w:val="28"/>
          <w:highlight w:val="none"/>
          <w:lang w:val="en-US" w:eastAsia="zh-CN"/>
        </w:rPr>
        <w:t>7</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ascii="宋体" w:hAnsi="宋体"/>
          <w:snapToGrid w:val="0"/>
          <w:szCs w:val="28"/>
          <w:highlight w:val="none"/>
        </w:rPr>
        <w:t>联系方式</w:t>
      </w:r>
      <w:r>
        <w:rPr>
          <w:highlight w:val="none"/>
        </w:rPr>
        <w:tab/>
      </w:r>
      <w:r>
        <w:rPr>
          <w:highlight w:val="none"/>
        </w:rPr>
        <w:fldChar w:fldCharType="begin"/>
      </w:r>
      <w:r>
        <w:rPr>
          <w:highlight w:val="none"/>
        </w:rPr>
        <w:instrText xml:space="preserve"> PAGEREF _Toc22617 \h </w:instrText>
      </w:r>
      <w:r>
        <w:rPr>
          <w:highlight w:val="none"/>
        </w:rPr>
        <w:fldChar w:fldCharType="separate"/>
      </w:r>
      <w:r>
        <w:rPr>
          <w:highlight w:val="none"/>
        </w:rPr>
        <w:t>- 4 -</w:t>
      </w:r>
      <w:r>
        <w:rPr>
          <w:highlight w:val="none"/>
        </w:rPr>
        <w:fldChar w:fldCharType="end"/>
      </w:r>
      <w:r>
        <w:rPr>
          <w:rFonts w:hint="eastAsia" w:ascii="宋体" w:hAnsi="宋体" w:eastAsia="宋体" w:cs="宋体"/>
          <w:bCs/>
          <w:i w:val="0"/>
          <w:iCs w:val="0"/>
          <w:szCs w:val="20"/>
          <w:highlight w:val="none"/>
          <w:lang w:val="zh-CN"/>
        </w:rPr>
        <w:fldChar w:fldCharType="end"/>
      </w:r>
    </w:p>
    <w:p w14:paraId="70ABF916">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_Toc16105 </w:instrText>
      </w:r>
      <w:r>
        <w:rPr>
          <w:rFonts w:hint="eastAsia" w:ascii="宋体" w:hAnsi="宋体" w:eastAsia="宋体" w:cs="宋体"/>
          <w:bCs/>
          <w:i w:val="0"/>
          <w:iCs w:val="0"/>
          <w:szCs w:val="20"/>
          <w:highlight w:val="none"/>
          <w:lang w:val="zh-CN"/>
        </w:rPr>
        <w:fldChar w:fldCharType="separate"/>
      </w:r>
      <w:r>
        <w:rPr>
          <w:rFonts w:hint="eastAsia" w:ascii="宋体" w:hAnsi="宋体"/>
          <w:snapToGrid w:val="0"/>
          <w:kern w:val="0"/>
          <w:highlight w:val="none"/>
        </w:rPr>
        <w:t>第二章 投标人须知</w:t>
      </w:r>
      <w:r>
        <w:rPr>
          <w:highlight w:val="none"/>
        </w:rPr>
        <w:tab/>
      </w:r>
      <w:r>
        <w:rPr>
          <w:highlight w:val="none"/>
        </w:rPr>
        <w:fldChar w:fldCharType="begin"/>
      </w:r>
      <w:r>
        <w:rPr>
          <w:highlight w:val="none"/>
        </w:rPr>
        <w:instrText xml:space="preserve"> PAGEREF _Toc16105 \h </w:instrText>
      </w:r>
      <w:r>
        <w:rPr>
          <w:highlight w:val="none"/>
        </w:rPr>
        <w:fldChar w:fldCharType="separate"/>
      </w:r>
      <w:r>
        <w:rPr>
          <w:highlight w:val="none"/>
        </w:rPr>
        <w:t>- 5 -</w:t>
      </w:r>
      <w:r>
        <w:rPr>
          <w:highlight w:val="none"/>
        </w:rPr>
        <w:fldChar w:fldCharType="end"/>
      </w:r>
      <w:r>
        <w:rPr>
          <w:rFonts w:hint="eastAsia" w:ascii="宋体" w:hAnsi="宋体" w:eastAsia="宋体" w:cs="宋体"/>
          <w:bCs/>
          <w:i w:val="0"/>
          <w:iCs w:val="0"/>
          <w:szCs w:val="20"/>
          <w:highlight w:val="none"/>
          <w:lang w:val="zh-CN"/>
        </w:rPr>
        <w:fldChar w:fldCharType="end"/>
      </w:r>
    </w:p>
    <w:p w14:paraId="202A688E">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_Toc32444 </w:instrText>
      </w:r>
      <w:r>
        <w:rPr>
          <w:rFonts w:hint="eastAsia" w:ascii="宋体" w:hAnsi="宋体" w:eastAsia="宋体" w:cs="宋体"/>
          <w:bCs/>
          <w:i w:val="0"/>
          <w:iCs w:val="0"/>
          <w:szCs w:val="20"/>
          <w:highlight w:val="none"/>
          <w:lang w:val="zh-CN"/>
        </w:rPr>
        <w:fldChar w:fldCharType="separate"/>
      </w:r>
      <w:r>
        <w:rPr>
          <w:rFonts w:hint="eastAsia" w:ascii="黑体" w:hAnsi="黑体" w:eastAsia="黑体"/>
          <w:szCs w:val="28"/>
          <w:highlight w:val="none"/>
        </w:rPr>
        <w:t>投标人须知前附表</w:t>
      </w:r>
      <w:r>
        <w:rPr>
          <w:highlight w:val="none"/>
        </w:rPr>
        <w:tab/>
      </w:r>
      <w:r>
        <w:rPr>
          <w:highlight w:val="none"/>
        </w:rPr>
        <w:fldChar w:fldCharType="begin"/>
      </w:r>
      <w:r>
        <w:rPr>
          <w:highlight w:val="none"/>
        </w:rPr>
        <w:instrText xml:space="preserve"> PAGEREF _Toc32444 \h </w:instrText>
      </w:r>
      <w:r>
        <w:rPr>
          <w:highlight w:val="none"/>
        </w:rPr>
        <w:fldChar w:fldCharType="separate"/>
      </w:r>
      <w:r>
        <w:rPr>
          <w:highlight w:val="none"/>
        </w:rPr>
        <w:t>- 5 -</w:t>
      </w:r>
      <w:r>
        <w:rPr>
          <w:highlight w:val="none"/>
        </w:rPr>
        <w:fldChar w:fldCharType="end"/>
      </w:r>
      <w:r>
        <w:rPr>
          <w:rFonts w:hint="eastAsia" w:ascii="宋体" w:hAnsi="宋体" w:eastAsia="宋体" w:cs="宋体"/>
          <w:bCs/>
          <w:i w:val="0"/>
          <w:iCs w:val="0"/>
          <w:szCs w:val="20"/>
          <w:highlight w:val="none"/>
          <w:lang w:val="zh-CN"/>
        </w:rPr>
        <w:fldChar w:fldCharType="end"/>
      </w:r>
    </w:p>
    <w:p w14:paraId="18178E0B">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_Toc22299 </w:instrText>
      </w:r>
      <w:r>
        <w:rPr>
          <w:rFonts w:hint="eastAsia" w:ascii="宋体" w:hAnsi="宋体" w:eastAsia="宋体" w:cs="宋体"/>
          <w:bCs/>
          <w:i w:val="0"/>
          <w:iCs w:val="0"/>
          <w:szCs w:val="20"/>
          <w:highlight w:val="none"/>
          <w:lang w:val="zh-CN"/>
        </w:rPr>
        <w:fldChar w:fldCharType="separate"/>
      </w:r>
      <w:r>
        <w:rPr>
          <w:rFonts w:ascii="宋体" w:hAnsi="宋体"/>
          <w:snapToGrid w:val="0"/>
          <w:kern w:val="0"/>
          <w:highlight w:val="none"/>
        </w:rPr>
        <w:t xml:space="preserve">第三章 </w:t>
      </w:r>
      <w:r>
        <w:rPr>
          <w:rFonts w:hint="eastAsia" w:ascii="宋体" w:hAnsi="宋体"/>
          <w:snapToGrid w:val="0"/>
          <w:kern w:val="0"/>
          <w:highlight w:val="none"/>
        </w:rPr>
        <w:t xml:space="preserve"> </w:t>
      </w:r>
      <w:r>
        <w:rPr>
          <w:rFonts w:ascii="宋体" w:hAnsi="宋体"/>
          <w:snapToGrid w:val="0"/>
          <w:kern w:val="0"/>
          <w:highlight w:val="none"/>
        </w:rPr>
        <w:t>评标办法（</w:t>
      </w:r>
      <w:r>
        <w:rPr>
          <w:rFonts w:hint="eastAsia" w:ascii="宋体" w:hAnsi="宋体"/>
          <w:snapToGrid w:val="0"/>
          <w:kern w:val="0"/>
          <w:highlight w:val="none"/>
        </w:rPr>
        <w:t>经评审的最低投标价法</w:t>
      </w:r>
      <w:r>
        <w:rPr>
          <w:rFonts w:ascii="宋体" w:hAnsi="宋体"/>
          <w:snapToGrid w:val="0"/>
          <w:kern w:val="0"/>
          <w:highlight w:val="none"/>
        </w:rPr>
        <w:t>）</w:t>
      </w:r>
      <w:r>
        <w:rPr>
          <w:highlight w:val="none"/>
        </w:rPr>
        <w:tab/>
      </w:r>
      <w:r>
        <w:rPr>
          <w:highlight w:val="none"/>
        </w:rPr>
        <w:fldChar w:fldCharType="begin"/>
      </w:r>
      <w:r>
        <w:rPr>
          <w:highlight w:val="none"/>
        </w:rPr>
        <w:instrText xml:space="preserve"> PAGEREF _Toc22299 \h </w:instrText>
      </w:r>
      <w:r>
        <w:rPr>
          <w:highlight w:val="none"/>
        </w:rPr>
        <w:fldChar w:fldCharType="separate"/>
      </w:r>
      <w:r>
        <w:rPr>
          <w:highlight w:val="none"/>
        </w:rPr>
        <w:t>- 34 -</w:t>
      </w:r>
      <w:r>
        <w:rPr>
          <w:highlight w:val="none"/>
        </w:rPr>
        <w:fldChar w:fldCharType="end"/>
      </w:r>
      <w:r>
        <w:rPr>
          <w:rFonts w:hint="eastAsia" w:ascii="宋体" w:hAnsi="宋体" w:eastAsia="宋体" w:cs="宋体"/>
          <w:bCs/>
          <w:i w:val="0"/>
          <w:iCs w:val="0"/>
          <w:szCs w:val="20"/>
          <w:highlight w:val="none"/>
          <w:lang w:val="zh-CN"/>
        </w:rPr>
        <w:fldChar w:fldCharType="end"/>
      </w:r>
    </w:p>
    <w:p w14:paraId="6C437046">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_Toc14650 </w:instrText>
      </w:r>
      <w:r>
        <w:rPr>
          <w:rFonts w:hint="eastAsia" w:ascii="宋体" w:hAnsi="宋体" w:eastAsia="宋体" w:cs="宋体"/>
          <w:bCs/>
          <w:i w:val="0"/>
          <w:iCs w:val="0"/>
          <w:szCs w:val="20"/>
          <w:highlight w:val="none"/>
          <w:lang w:val="zh-CN"/>
        </w:rPr>
        <w:fldChar w:fldCharType="separate"/>
      </w:r>
      <w:r>
        <w:rPr>
          <w:rFonts w:hint="eastAsia" w:ascii="宋体" w:hAnsi="宋体"/>
          <w:kern w:val="0"/>
          <w:highlight w:val="none"/>
        </w:rPr>
        <w:t>第四章  合同条款及格式</w:t>
      </w:r>
      <w:r>
        <w:rPr>
          <w:highlight w:val="none"/>
        </w:rPr>
        <w:tab/>
      </w:r>
      <w:r>
        <w:rPr>
          <w:highlight w:val="none"/>
        </w:rPr>
        <w:fldChar w:fldCharType="begin"/>
      </w:r>
      <w:r>
        <w:rPr>
          <w:highlight w:val="none"/>
        </w:rPr>
        <w:instrText xml:space="preserve"> PAGEREF _Toc14650 \h </w:instrText>
      </w:r>
      <w:r>
        <w:rPr>
          <w:highlight w:val="none"/>
        </w:rPr>
        <w:fldChar w:fldCharType="separate"/>
      </w:r>
      <w:r>
        <w:rPr>
          <w:highlight w:val="none"/>
        </w:rPr>
        <w:t>- 42 -</w:t>
      </w:r>
      <w:r>
        <w:rPr>
          <w:highlight w:val="none"/>
        </w:rPr>
        <w:fldChar w:fldCharType="end"/>
      </w:r>
      <w:r>
        <w:rPr>
          <w:rFonts w:hint="eastAsia" w:ascii="宋体" w:hAnsi="宋体" w:eastAsia="宋体" w:cs="宋体"/>
          <w:bCs/>
          <w:i w:val="0"/>
          <w:iCs w:val="0"/>
          <w:szCs w:val="20"/>
          <w:highlight w:val="none"/>
          <w:lang w:val="zh-CN"/>
        </w:rPr>
        <w:fldChar w:fldCharType="end"/>
      </w:r>
    </w:p>
    <w:p w14:paraId="74251038">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_Toc24178 </w:instrText>
      </w:r>
      <w:r>
        <w:rPr>
          <w:rFonts w:hint="eastAsia" w:ascii="宋体" w:hAnsi="宋体" w:eastAsia="宋体" w:cs="宋体"/>
          <w:bCs/>
          <w:i w:val="0"/>
          <w:iCs w:val="0"/>
          <w:szCs w:val="20"/>
          <w:highlight w:val="none"/>
          <w:lang w:val="zh-CN"/>
        </w:rPr>
        <w:fldChar w:fldCharType="separate"/>
      </w:r>
      <w:r>
        <w:rPr>
          <w:rFonts w:hint="eastAsia" w:ascii="宋体" w:hAnsi="宋体"/>
          <w:highlight w:val="none"/>
        </w:rPr>
        <w:t>第五章  工程量清单</w:t>
      </w:r>
      <w:r>
        <w:rPr>
          <w:highlight w:val="none"/>
        </w:rPr>
        <w:tab/>
      </w:r>
      <w:r>
        <w:rPr>
          <w:highlight w:val="none"/>
        </w:rPr>
        <w:fldChar w:fldCharType="begin"/>
      </w:r>
      <w:r>
        <w:rPr>
          <w:highlight w:val="none"/>
        </w:rPr>
        <w:instrText xml:space="preserve"> PAGEREF _Toc24178 \h </w:instrText>
      </w:r>
      <w:r>
        <w:rPr>
          <w:highlight w:val="none"/>
        </w:rPr>
        <w:fldChar w:fldCharType="separate"/>
      </w:r>
      <w:r>
        <w:rPr>
          <w:highlight w:val="none"/>
        </w:rPr>
        <w:t>- 97 -</w:t>
      </w:r>
      <w:r>
        <w:rPr>
          <w:highlight w:val="none"/>
        </w:rPr>
        <w:fldChar w:fldCharType="end"/>
      </w:r>
      <w:r>
        <w:rPr>
          <w:rFonts w:hint="eastAsia" w:ascii="宋体" w:hAnsi="宋体" w:eastAsia="宋体" w:cs="宋体"/>
          <w:bCs/>
          <w:i w:val="0"/>
          <w:iCs w:val="0"/>
          <w:szCs w:val="20"/>
          <w:highlight w:val="none"/>
          <w:lang w:val="zh-CN"/>
        </w:rPr>
        <w:fldChar w:fldCharType="end"/>
      </w:r>
    </w:p>
    <w:p w14:paraId="61F72382">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_Toc8497 </w:instrText>
      </w:r>
      <w:r>
        <w:rPr>
          <w:rFonts w:hint="eastAsia" w:ascii="宋体" w:hAnsi="宋体" w:eastAsia="宋体" w:cs="宋体"/>
          <w:bCs/>
          <w:i w:val="0"/>
          <w:iCs w:val="0"/>
          <w:szCs w:val="20"/>
          <w:highlight w:val="none"/>
          <w:lang w:val="zh-CN"/>
        </w:rPr>
        <w:fldChar w:fldCharType="separate"/>
      </w:r>
      <w:r>
        <w:rPr>
          <w:rFonts w:ascii="宋体" w:hAnsi="宋体"/>
          <w:szCs w:val="52"/>
          <w:highlight w:val="none"/>
        </w:rPr>
        <w:t>第 二 卷</w:t>
      </w:r>
      <w:r>
        <w:rPr>
          <w:highlight w:val="none"/>
        </w:rPr>
        <w:tab/>
      </w:r>
      <w:r>
        <w:rPr>
          <w:highlight w:val="none"/>
        </w:rPr>
        <w:fldChar w:fldCharType="begin"/>
      </w:r>
      <w:r>
        <w:rPr>
          <w:highlight w:val="none"/>
        </w:rPr>
        <w:instrText xml:space="preserve"> PAGEREF _Toc8497 \h </w:instrText>
      </w:r>
      <w:r>
        <w:rPr>
          <w:highlight w:val="none"/>
        </w:rPr>
        <w:fldChar w:fldCharType="separate"/>
      </w:r>
      <w:r>
        <w:rPr>
          <w:highlight w:val="none"/>
        </w:rPr>
        <w:t>- 98 -</w:t>
      </w:r>
      <w:r>
        <w:rPr>
          <w:highlight w:val="none"/>
        </w:rPr>
        <w:fldChar w:fldCharType="end"/>
      </w:r>
      <w:r>
        <w:rPr>
          <w:rFonts w:hint="eastAsia" w:ascii="宋体" w:hAnsi="宋体" w:eastAsia="宋体" w:cs="宋体"/>
          <w:bCs/>
          <w:i w:val="0"/>
          <w:iCs w:val="0"/>
          <w:szCs w:val="20"/>
          <w:highlight w:val="none"/>
          <w:lang w:val="zh-CN"/>
        </w:rPr>
        <w:fldChar w:fldCharType="end"/>
      </w:r>
    </w:p>
    <w:p w14:paraId="0700F4B1">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_Toc30304 </w:instrText>
      </w:r>
      <w:r>
        <w:rPr>
          <w:rFonts w:hint="eastAsia" w:ascii="宋体" w:hAnsi="宋体" w:eastAsia="宋体" w:cs="宋体"/>
          <w:bCs/>
          <w:i w:val="0"/>
          <w:iCs w:val="0"/>
          <w:szCs w:val="20"/>
          <w:highlight w:val="none"/>
          <w:lang w:val="zh-CN"/>
        </w:rPr>
        <w:fldChar w:fldCharType="separate"/>
      </w:r>
      <w:r>
        <w:rPr>
          <w:rFonts w:hint="eastAsia" w:ascii="宋体" w:hAnsi="宋体"/>
          <w:highlight w:val="none"/>
        </w:rPr>
        <w:t>第六章  图纸</w:t>
      </w:r>
      <w:r>
        <w:rPr>
          <w:highlight w:val="none"/>
        </w:rPr>
        <w:tab/>
      </w:r>
      <w:r>
        <w:rPr>
          <w:highlight w:val="none"/>
        </w:rPr>
        <w:fldChar w:fldCharType="begin"/>
      </w:r>
      <w:r>
        <w:rPr>
          <w:highlight w:val="none"/>
        </w:rPr>
        <w:instrText xml:space="preserve"> PAGEREF _Toc30304 \h </w:instrText>
      </w:r>
      <w:r>
        <w:rPr>
          <w:highlight w:val="none"/>
        </w:rPr>
        <w:fldChar w:fldCharType="separate"/>
      </w:r>
      <w:r>
        <w:rPr>
          <w:highlight w:val="none"/>
        </w:rPr>
        <w:t>- 99 -</w:t>
      </w:r>
      <w:r>
        <w:rPr>
          <w:highlight w:val="none"/>
        </w:rPr>
        <w:fldChar w:fldCharType="end"/>
      </w:r>
      <w:r>
        <w:rPr>
          <w:rFonts w:hint="eastAsia" w:ascii="宋体" w:hAnsi="宋体" w:eastAsia="宋体" w:cs="宋体"/>
          <w:bCs/>
          <w:i w:val="0"/>
          <w:iCs w:val="0"/>
          <w:szCs w:val="20"/>
          <w:highlight w:val="none"/>
          <w:lang w:val="zh-CN"/>
        </w:rPr>
        <w:fldChar w:fldCharType="end"/>
      </w:r>
    </w:p>
    <w:p w14:paraId="5133ADB8">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_Toc18109 </w:instrText>
      </w:r>
      <w:r>
        <w:rPr>
          <w:rFonts w:hint="eastAsia" w:ascii="宋体" w:hAnsi="宋体" w:eastAsia="宋体" w:cs="宋体"/>
          <w:bCs/>
          <w:i w:val="0"/>
          <w:iCs w:val="0"/>
          <w:szCs w:val="20"/>
          <w:highlight w:val="none"/>
          <w:lang w:val="zh-CN"/>
        </w:rPr>
        <w:fldChar w:fldCharType="separate"/>
      </w:r>
      <w:r>
        <w:rPr>
          <w:rFonts w:hint="eastAsia" w:ascii="宋体" w:hAnsi="宋体"/>
          <w:szCs w:val="52"/>
          <w:highlight w:val="none"/>
        </w:rPr>
        <w:t>第 三 卷</w:t>
      </w:r>
      <w:r>
        <w:rPr>
          <w:highlight w:val="none"/>
        </w:rPr>
        <w:tab/>
      </w:r>
      <w:r>
        <w:rPr>
          <w:highlight w:val="none"/>
        </w:rPr>
        <w:fldChar w:fldCharType="begin"/>
      </w:r>
      <w:r>
        <w:rPr>
          <w:highlight w:val="none"/>
        </w:rPr>
        <w:instrText xml:space="preserve"> PAGEREF _Toc18109 \h </w:instrText>
      </w:r>
      <w:r>
        <w:rPr>
          <w:highlight w:val="none"/>
        </w:rPr>
        <w:fldChar w:fldCharType="separate"/>
      </w:r>
      <w:r>
        <w:rPr>
          <w:highlight w:val="none"/>
        </w:rPr>
        <w:t>- 100 -</w:t>
      </w:r>
      <w:r>
        <w:rPr>
          <w:highlight w:val="none"/>
        </w:rPr>
        <w:fldChar w:fldCharType="end"/>
      </w:r>
      <w:r>
        <w:rPr>
          <w:rFonts w:hint="eastAsia" w:ascii="宋体" w:hAnsi="宋体" w:eastAsia="宋体" w:cs="宋体"/>
          <w:bCs/>
          <w:i w:val="0"/>
          <w:iCs w:val="0"/>
          <w:szCs w:val="20"/>
          <w:highlight w:val="none"/>
          <w:lang w:val="zh-CN"/>
        </w:rPr>
        <w:fldChar w:fldCharType="end"/>
      </w:r>
    </w:p>
    <w:p w14:paraId="489D70F4">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_Toc11605 </w:instrText>
      </w:r>
      <w:r>
        <w:rPr>
          <w:rFonts w:hint="eastAsia" w:ascii="宋体" w:hAnsi="宋体" w:eastAsia="宋体" w:cs="宋体"/>
          <w:bCs/>
          <w:i w:val="0"/>
          <w:iCs w:val="0"/>
          <w:szCs w:val="20"/>
          <w:highlight w:val="none"/>
          <w:lang w:val="zh-CN"/>
        </w:rPr>
        <w:fldChar w:fldCharType="separate"/>
      </w:r>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r>
        <w:rPr>
          <w:highlight w:val="none"/>
        </w:rPr>
        <w:tab/>
      </w:r>
      <w:r>
        <w:rPr>
          <w:highlight w:val="none"/>
        </w:rPr>
        <w:fldChar w:fldCharType="begin"/>
      </w:r>
      <w:r>
        <w:rPr>
          <w:highlight w:val="none"/>
        </w:rPr>
        <w:instrText xml:space="preserve"> PAGEREF _Toc11605 \h </w:instrText>
      </w:r>
      <w:r>
        <w:rPr>
          <w:highlight w:val="none"/>
        </w:rPr>
        <w:fldChar w:fldCharType="separate"/>
      </w:r>
      <w:r>
        <w:rPr>
          <w:highlight w:val="none"/>
        </w:rPr>
        <w:t>- 101 -</w:t>
      </w:r>
      <w:r>
        <w:rPr>
          <w:highlight w:val="none"/>
        </w:rPr>
        <w:fldChar w:fldCharType="end"/>
      </w:r>
      <w:r>
        <w:rPr>
          <w:rFonts w:hint="eastAsia" w:ascii="宋体" w:hAnsi="宋体" w:eastAsia="宋体" w:cs="宋体"/>
          <w:bCs/>
          <w:i w:val="0"/>
          <w:iCs w:val="0"/>
          <w:szCs w:val="20"/>
          <w:highlight w:val="none"/>
          <w:lang w:val="zh-CN"/>
        </w:rPr>
        <w:fldChar w:fldCharType="end"/>
      </w:r>
    </w:p>
    <w:p w14:paraId="25331B98">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_Toc23601 </w:instrText>
      </w:r>
      <w:r>
        <w:rPr>
          <w:rFonts w:hint="eastAsia" w:ascii="宋体" w:hAnsi="宋体" w:eastAsia="宋体" w:cs="宋体"/>
          <w:bCs/>
          <w:i w:val="0"/>
          <w:iCs w:val="0"/>
          <w:szCs w:val="20"/>
          <w:highlight w:val="none"/>
          <w:lang w:val="zh-CN"/>
        </w:rPr>
        <w:fldChar w:fldCharType="separate"/>
      </w:r>
      <w:r>
        <w:rPr>
          <w:rFonts w:ascii="宋体" w:hAnsi="宋体"/>
          <w:szCs w:val="52"/>
          <w:highlight w:val="none"/>
        </w:rPr>
        <w:t>第 四 卷</w:t>
      </w:r>
      <w:r>
        <w:rPr>
          <w:highlight w:val="none"/>
        </w:rPr>
        <w:tab/>
      </w:r>
      <w:r>
        <w:rPr>
          <w:highlight w:val="none"/>
        </w:rPr>
        <w:fldChar w:fldCharType="begin"/>
      </w:r>
      <w:r>
        <w:rPr>
          <w:highlight w:val="none"/>
        </w:rPr>
        <w:instrText xml:space="preserve"> PAGEREF _Toc23601 \h </w:instrText>
      </w:r>
      <w:r>
        <w:rPr>
          <w:highlight w:val="none"/>
        </w:rPr>
        <w:fldChar w:fldCharType="separate"/>
      </w:r>
      <w:r>
        <w:rPr>
          <w:highlight w:val="none"/>
        </w:rPr>
        <w:t>- 102 -</w:t>
      </w:r>
      <w:r>
        <w:rPr>
          <w:highlight w:val="none"/>
        </w:rPr>
        <w:fldChar w:fldCharType="end"/>
      </w:r>
      <w:r>
        <w:rPr>
          <w:rFonts w:hint="eastAsia" w:ascii="宋体" w:hAnsi="宋体" w:eastAsia="宋体" w:cs="宋体"/>
          <w:bCs/>
          <w:i w:val="0"/>
          <w:iCs w:val="0"/>
          <w:szCs w:val="20"/>
          <w:highlight w:val="none"/>
          <w:lang w:val="zh-CN"/>
        </w:rPr>
        <w:fldChar w:fldCharType="end"/>
      </w:r>
    </w:p>
    <w:p w14:paraId="4BA08B0F">
      <w:pPr>
        <w:pStyle w:val="31"/>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_Toc10913 </w:instrText>
      </w:r>
      <w:r>
        <w:rPr>
          <w:rFonts w:hint="eastAsia" w:ascii="宋体" w:hAnsi="宋体" w:eastAsia="宋体" w:cs="宋体"/>
          <w:bCs/>
          <w:i w:val="0"/>
          <w:iCs w:val="0"/>
          <w:szCs w:val="20"/>
          <w:highlight w:val="none"/>
          <w:lang w:val="zh-CN"/>
        </w:rPr>
        <w:fldChar w:fldCharType="separate"/>
      </w:r>
      <w:r>
        <w:rPr>
          <w:rFonts w:hint="eastAsia" w:ascii="宋体" w:hAnsi="宋体"/>
          <w:highlight w:val="none"/>
        </w:rPr>
        <w:t>第八章  投标文件格式</w:t>
      </w:r>
      <w:r>
        <w:rPr>
          <w:highlight w:val="none"/>
        </w:rPr>
        <w:tab/>
      </w:r>
      <w:r>
        <w:rPr>
          <w:highlight w:val="none"/>
        </w:rPr>
        <w:fldChar w:fldCharType="begin"/>
      </w:r>
      <w:r>
        <w:rPr>
          <w:highlight w:val="none"/>
        </w:rPr>
        <w:instrText xml:space="preserve"> PAGEREF _Toc10913 \h </w:instrText>
      </w:r>
      <w:r>
        <w:rPr>
          <w:highlight w:val="none"/>
        </w:rPr>
        <w:fldChar w:fldCharType="separate"/>
      </w:r>
      <w:r>
        <w:rPr>
          <w:highlight w:val="none"/>
        </w:rPr>
        <w:t>- 103 -</w:t>
      </w:r>
      <w:r>
        <w:rPr>
          <w:highlight w:val="none"/>
        </w:rPr>
        <w:fldChar w:fldCharType="end"/>
      </w:r>
      <w:r>
        <w:rPr>
          <w:rFonts w:hint="eastAsia" w:ascii="宋体" w:hAnsi="宋体" w:eastAsia="宋体" w:cs="宋体"/>
          <w:bCs/>
          <w:i w:val="0"/>
          <w:iCs w:val="0"/>
          <w:szCs w:val="20"/>
          <w:highlight w:val="none"/>
          <w:lang w:val="zh-CN"/>
        </w:rPr>
        <w:fldChar w:fldCharType="end"/>
      </w:r>
    </w:p>
    <w:p w14:paraId="1B26F0B8">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_Toc25973 </w:instrText>
      </w:r>
      <w:r>
        <w:rPr>
          <w:rFonts w:hint="eastAsia" w:ascii="宋体" w:hAnsi="宋体" w:eastAsia="宋体" w:cs="宋体"/>
          <w:bCs/>
          <w:i w:val="0"/>
          <w:iCs w:val="0"/>
          <w:szCs w:val="20"/>
          <w:highlight w:val="none"/>
          <w:lang w:val="zh-CN"/>
        </w:rPr>
        <w:fldChar w:fldCharType="separate"/>
      </w:r>
      <w:r>
        <w:rPr>
          <w:rFonts w:hint="eastAsia" w:ascii="宋体" w:hAnsi="宋体"/>
          <w:bCs w:val="0"/>
          <w:szCs w:val="44"/>
          <w:highlight w:val="none"/>
        </w:rPr>
        <w:t>一、投标函部分</w:t>
      </w:r>
      <w:r>
        <w:rPr>
          <w:highlight w:val="none"/>
        </w:rPr>
        <w:tab/>
      </w:r>
      <w:r>
        <w:rPr>
          <w:highlight w:val="none"/>
        </w:rPr>
        <w:fldChar w:fldCharType="begin"/>
      </w:r>
      <w:r>
        <w:rPr>
          <w:highlight w:val="none"/>
        </w:rPr>
        <w:instrText xml:space="preserve"> PAGEREF _Toc25973 \h </w:instrText>
      </w:r>
      <w:r>
        <w:rPr>
          <w:highlight w:val="none"/>
        </w:rPr>
        <w:fldChar w:fldCharType="separate"/>
      </w:r>
      <w:r>
        <w:rPr>
          <w:highlight w:val="none"/>
        </w:rPr>
        <w:t>- 105 -</w:t>
      </w:r>
      <w:r>
        <w:rPr>
          <w:highlight w:val="none"/>
        </w:rPr>
        <w:fldChar w:fldCharType="end"/>
      </w:r>
      <w:r>
        <w:rPr>
          <w:rFonts w:hint="eastAsia" w:ascii="宋体" w:hAnsi="宋体" w:eastAsia="宋体" w:cs="宋体"/>
          <w:bCs/>
          <w:i w:val="0"/>
          <w:iCs w:val="0"/>
          <w:szCs w:val="20"/>
          <w:highlight w:val="none"/>
          <w:lang w:val="zh-CN"/>
        </w:rPr>
        <w:fldChar w:fldCharType="end"/>
      </w:r>
    </w:p>
    <w:p w14:paraId="70636B2C">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_Toc23807 </w:instrText>
      </w:r>
      <w:r>
        <w:rPr>
          <w:rFonts w:hint="eastAsia" w:ascii="宋体" w:hAnsi="宋体" w:eastAsia="宋体" w:cs="宋体"/>
          <w:bCs/>
          <w:i w:val="0"/>
          <w:iCs w:val="0"/>
          <w:szCs w:val="20"/>
          <w:highlight w:val="none"/>
          <w:lang w:val="zh-CN"/>
        </w:rPr>
        <w:fldChar w:fldCharType="separate"/>
      </w:r>
      <w:r>
        <w:rPr>
          <w:rFonts w:hint="eastAsia" w:ascii="宋体" w:hAnsi="宋体"/>
          <w:bCs w:val="0"/>
          <w:highlight w:val="none"/>
        </w:rPr>
        <w:t>（一）投标函</w:t>
      </w:r>
      <w:r>
        <w:rPr>
          <w:highlight w:val="none"/>
        </w:rPr>
        <w:tab/>
      </w:r>
      <w:r>
        <w:rPr>
          <w:highlight w:val="none"/>
        </w:rPr>
        <w:fldChar w:fldCharType="begin"/>
      </w:r>
      <w:r>
        <w:rPr>
          <w:highlight w:val="none"/>
        </w:rPr>
        <w:instrText xml:space="preserve"> PAGEREF _Toc23807 \h </w:instrText>
      </w:r>
      <w:r>
        <w:rPr>
          <w:highlight w:val="none"/>
        </w:rPr>
        <w:fldChar w:fldCharType="separate"/>
      </w:r>
      <w:r>
        <w:rPr>
          <w:highlight w:val="none"/>
        </w:rPr>
        <w:t>- 108 -</w:t>
      </w:r>
      <w:r>
        <w:rPr>
          <w:highlight w:val="none"/>
        </w:rPr>
        <w:fldChar w:fldCharType="end"/>
      </w:r>
      <w:r>
        <w:rPr>
          <w:rFonts w:hint="eastAsia" w:ascii="宋体" w:hAnsi="宋体" w:eastAsia="宋体" w:cs="宋体"/>
          <w:bCs/>
          <w:i w:val="0"/>
          <w:iCs w:val="0"/>
          <w:szCs w:val="20"/>
          <w:highlight w:val="none"/>
          <w:lang w:val="zh-CN"/>
        </w:rPr>
        <w:fldChar w:fldCharType="end"/>
      </w:r>
    </w:p>
    <w:p w14:paraId="4A74544F">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_Toc28420 </w:instrText>
      </w:r>
      <w:r>
        <w:rPr>
          <w:rFonts w:hint="eastAsia" w:ascii="宋体" w:hAnsi="宋体" w:eastAsia="宋体" w:cs="宋体"/>
          <w:bCs/>
          <w:i w:val="0"/>
          <w:iCs w:val="0"/>
          <w:szCs w:val="20"/>
          <w:highlight w:val="none"/>
          <w:lang w:val="zh-CN"/>
        </w:rPr>
        <w:fldChar w:fldCharType="separate"/>
      </w:r>
      <w:r>
        <w:rPr>
          <w:rFonts w:ascii="宋体" w:hAnsi="宋体"/>
          <w:bCs w:val="0"/>
          <w:highlight w:val="none"/>
        </w:rPr>
        <w:t>（二）投标函附录</w:t>
      </w:r>
      <w:r>
        <w:rPr>
          <w:highlight w:val="none"/>
        </w:rPr>
        <w:tab/>
      </w:r>
      <w:r>
        <w:rPr>
          <w:highlight w:val="none"/>
        </w:rPr>
        <w:fldChar w:fldCharType="begin"/>
      </w:r>
      <w:r>
        <w:rPr>
          <w:highlight w:val="none"/>
        </w:rPr>
        <w:instrText xml:space="preserve"> PAGEREF _Toc28420 \h </w:instrText>
      </w:r>
      <w:r>
        <w:rPr>
          <w:highlight w:val="none"/>
        </w:rPr>
        <w:fldChar w:fldCharType="separate"/>
      </w:r>
      <w:r>
        <w:rPr>
          <w:highlight w:val="none"/>
        </w:rPr>
        <w:t>- 109 -</w:t>
      </w:r>
      <w:r>
        <w:rPr>
          <w:highlight w:val="none"/>
        </w:rPr>
        <w:fldChar w:fldCharType="end"/>
      </w:r>
      <w:r>
        <w:rPr>
          <w:rFonts w:hint="eastAsia" w:ascii="宋体" w:hAnsi="宋体" w:eastAsia="宋体" w:cs="宋体"/>
          <w:bCs/>
          <w:i w:val="0"/>
          <w:iCs w:val="0"/>
          <w:szCs w:val="20"/>
          <w:highlight w:val="none"/>
          <w:lang w:val="zh-CN"/>
        </w:rPr>
        <w:fldChar w:fldCharType="end"/>
      </w:r>
    </w:p>
    <w:p w14:paraId="2D9CF296">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_Toc15613 </w:instrText>
      </w:r>
      <w:r>
        <w:rPr>
          <w:rFonts w:hint="eastAsia" w:ascii="宋体" w:hAnsi="宋体" w:eastAsia="宋体" w:cs="宋体"/>
          <w:bCs/>
          <w:i w:val="0"/>
          <w:iCs w:val="0"/>
          <w:szCs w:val="20"/>
          <w:highlight w:val="none"/>
          <w:lang w:val="zh-CN"/>
        </w:rPr>
        <w:fldChar w:fldCharType="separate"/>
      </w:r>
      <w:r>
        <w:rPr>
          <w:rFonts w:ascii="宋体" w:hAnsi="宋体"/>
          <w:bCs w:val="0"/>
          <w:highlight w:val="none"/>
        </w:rPr>
        <w:t>（</w:t>
      </w:r>
      <w:r>
        <w:rPr>
          <w:rFonts w:hint="eastAsia" w:ascii="宋体" w:hAnsi="宋体"/>
          <w:bCs w:val="0"/>
          <w:highlight w:val="none"/>
          <w:lang w:val="en-US" w:eastAsia="zh-CN"/>
        </w:rPr>
        <w:t>三</w:t>
      </w:r>
      <w:r>
        <w:rPr>
          <w:rFonts w:ascii="宋体" w:hAnsi="宋体"/>
          <w:bCs w:val="0"/>
          <w:highlight w:val="none"/>
        </w:rPr>
        <w:t>）</w:t>
      </w:r>
      <w:r>
        <w:rPr>
          <w:rFonts w:hint="eastAsia" w:ascii="宋体" w:hAnsi="宋体"/>
          <w:bCs w:val="0"/>
          <w:highlight w:val="none"/>
        </w:rPr>
        <w:t>投标报价合理性说明（如有）</w:t>
      </w:r>
      <w:r>
        <w:rPr>
          <w:highlight w:val="none"/>
        </w:rPr>
        <w:tab/>
      </w:r>
      <w:r>
        <w:rPr>
          <w:highlight w:val="none"/>
        </w:rPr>
        <w:fldChar w:fldCharType="begin"/>
      </w:r>
      <w:r>
        <w:rPr>
          <w:highlight w:val="none"/>
        </w:rPr>
        <w:instrText xml:space="preserve"> PAGEREF _Toc15613 \h </w:instrText>
      </w:r>
      <w:r>
        <w:rPr>
          <w:highlight w:val="none"/>
        </w:rPr>
        <w:fldChar w:fldCharType="separate"/>
      </w:r>
      <w:r>
        <w:rPr>
          <w:highlight w:val="none"/>
        </w:rPr>
        <w:t>- 110 -</w:t>
      </w:r>
      <w:r>
        <w:rPr>
          <w:highlight w:val="none"/>
        </w:rPr>
        <w:fldChar w:fldCharType="end"/>
      </w:r>
      <w:r>
        <w:rPr>
          <w:rFonts w:hint="eastAsia" w:ascii="宋体" w:hAnsi="宋体" w:eastAsia="宋体" w:cs="宋体"/>
          <w:bCs/>
          <w:i w:val="0"/>
          <w:iCs w:val="0"/>
          <w:szCs w:val="20"/>
          <w:highlight w:val="none"/>
          <w:lang w:val="zh-CN"/>
        </w:rPr>
        <w:fldChar w:fldCharType="end"/>
      </w:r>
    </w:p>
    <w:p w14:paraId="75CF3592">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_Toc15658 </w:instrText>
      </w:r>
      <w:r>
        <w:rPr>
          <w:rFonts w:hint="eastAsia" w:ascii="宋体" w:hAnsi="宋体" w:eastAsia="宋体" w:cs="宋体"/>
          <w:bCs/>
          <w:i w:val="0"/>
          <w:iCs w:val="0"/>
          <w:szCs w:val="20"/>
          <w:highlight w:val="none"/>
          <w:lang w:val="zh-CN"/>
        </w:rPr>
        <w:fldChar w:fldCharType="separate"/>
      </w:r>
      <w:r>
        <w:rPr>
          <w:rFonts w:ascii="宋体" w:hAnsi="宋体"/>
          <w:bCs w:val="0"/>
          <w:highlight w:val="none"/>
        </w:rPr>
        <w:t>（</w:t>
      </w:r>
      <w:r>
        <w:rPr>
          <w:rFonts w:hint="eastAsia" w:ascii="宋体" w:hAnsi="宋体"/>
          <w:bCs w:val="0"/>
          <w:highlight w:val="none"/>
          <w:lang w:val="en-US" w:eastAsia="zh-CN"/>
        </w:rPr>
        <w:t>四</w:t>
      </w:r>
      <w:r>
        <w:rPr>
          <w:rFonts w:ascii="宋体" w:hAnsi="宋体"/>
          <w:bCs w:val="0"/>
          <w:highlight w:val="none"/>
        </w:rPr>
        <w:t>）法定代表人身份证明或授权委托书</w:t>
      </w:r>
      <w:r>
        <w:rPr>
          <w:highlight w:val="none"/>
        </w:rPr>
        <w:tab/>
      </w:r>
      <w:r>
        <w:rPr>
          <w:highlight w:val="none"/>
        </w:rPr>
        <w:fldChar w:fldCharType="begin"/>
      </w:r>
      <w:r>
        <w:rPr>
          <w:highlight w:val="none"/>
        </w:rPr>
        <w:instrText xml:space="preserve"> PAGEREF _Toc15658 \h </w:instrText>
      </w:r>
      <w:r>
        <w:rPr>
          <w:highlight w:val="none"/>
        </w:rPr>
        <w:fldChar w:fldCharType="separate"/>
      </w:r>
      <w:r>
        <w:rPr>
          <w:highlight w:val="none"/>
        </w:rPr>
        <w:t>- 111 -</w:t>
      </w:r>
      <w:r>
        <w:rPr>
          <w:highlight w:val="none"/>
        </w:rPr>
        <w:fldChar w:fldCharType="end"/>
      </w:r>
      <w:r>
        <w:rPr>
          <w:rFonts w:hint="eastAsia" w:ascii="宋体" w:hAnsi="宋体" w:eastAsia="宋体" w:cs="宋体"/>
          <w:bCs/>
          <w:i w:val="0"/>
          <w:iCs w:val="0"/>
          <w:szCs w:val="20"/>
          <w:highlight w:val="none"/>
          <w:lang w:val="zh-CN"/>
        </w:rPr>
        <w:fldChar w:fldCharType="end"/>
      </w:r>
    </w:p>
    <w:p w14:paraId="286A6922">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_Toc23496 </w:instrText>
      </w:r>
      <w:r>
        <w:rPr>
          <w:rFonts w:hint="eastAsia" w:ascii="宋体" w:hAnsi="宋体" w:eastAsia="宋体" w:cs="宋体"/>
          <w:bCs/>
          <w:i w:val="0"/>
          <w:iCs w:val="0"/>
          <w:szCs w:val="20"/>
          <w:highlight w:val="none"/>
          <w:lang w:val="zh-CN"/>
        </w:rPr>
        <w:fldChar w:fldCharType="separate"/>
      </w:r>
      <w:r>
        <w:rPr>
          <w:rFonts w:hint="eastAsia" w:ascii="宋体" w:hAnsi="宋体"/>
          <w:bCs w:val="0"/>
          <w:szCs w:val="44"/>
          <w:highlight w:val="none"/>
        </w:rPr>
        <w:t>二、</w:t>
      </w:r>
      <w:r>
        <w:rPr>
          <w:rFonts w:hint="eastAsia" w:ascii="宋体" w:hAnsi="宋体"/>
          <w:bCs w:val="0"/>
          <w:szCs w:val="44"/>
          <w:highlight w:val="none"/>
          <w:lang w:val="en-US" w:eastAsia="zh-CN"/>
        </w:rPr>
        <w:t>报价</w:t>
      </w:r>
      <w:r>
        <w:rPr>
          <w:rFonts w:hint="eastAsia" w:ascii="宋体" w:hAnsi="宋体"/>
          <w:bCs w:val="0"/>
          <w:szCs w:val="44"/>
          <w:highlight w:val="none"/>
        </w:rPr>
        <w:t>部分</w:t>
      </w:r>
      <w:r>
        <w:rPr>
          <w:highlight w:val="none"/>
        </w:rPr>
        <w:tab/>
      </w:r>
      <w:r>
        <w:rPr>
          <w:highlight w:val="none"/>
        </w:rPr>
        <w:fldChar w:fldCharType="begin"/>
      </w:r>
      <w:r>
        <w:rPr>
          <w:highlight w:val="none"/>
        </w:rPr>
        <w:instrText xml:space="preserve"> PAGEREF _Toc23496 \h </w:instrText>
      </w:r>
      <w:r>
        <w:rPr>
          <w:highlight w:val="none"/>
        </w:rPr>
        <w:fldChar w:fldCharType="separate"/>
      </w:r>
      <w:r>
        <w:rPr>
          <w:highlight w:val="none"/>
        </w:rPr>
        <w:t>- 113 -</w:t>
      </w:r>
      <w:r>
        <w:rPr>
          <w:highlight w:val="none"/>
        </w:rPr>
        <w:fldChar w:fldCharType="end"/>
      </w:r>
      <w:r>
        <w:rPr>
          <w:rFonts w:hint="eastAsia" w:ascii="宋体" w:hAnsi="宋体" w:eastAsia="宋体" w:cs="宋体"/>
          <w:bCs/>
          <w:i w:val="0"/>
          <w:iCs w:val="0"/>
          <w:szCs w:val="20"/>
          <w:highlight w:val="none"/>
          <w:lang w:val="zh-CN"/>
        </w:rPr>
        <w:fldChar w:fldCharType="end"/>
      </w:r>
    </w:p>
    <w:p w14:paraId="4114EB45">
      <w:pPr>
        <w:pStyle w:val="37"/>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_Toc26937 </w:instrText>
      </w:r>
      <w:r>
        <w:rPr>
          <w:rFonts w:hint="eastAsia" w:ascii="宋体" w:hAnsi="宋体" w:eastAsia="宋体" w:cs="宋体"/>
          <w:bCs/>
          <w:i w:val="0"/>
          <w:iCs w:val="0"/>
          <w:szCs w:val="20"/>
          <w:highlight w:val="none"/>
          <w:lang w:val="zh-CN"/>
        </w:rPr>
        <w:fldChar w:fldCharType="separate"/>
      </w:r>
      <w:r>
        <w:rPr>
          <w:rFonts w:hint="eastAsia" w:ascii="宋体" w:hAnsi="宋体"/>
          <w:bCs w:val="0"/>
          <w:szCs w:val="44"/>
          <w:highlight w:val="none"/>
          <w:lang w:val="en-US" w:eastAsia="zh-CN"/>
        </w:rPr>
        <w:t>三</w:t>
      </w:r>
      <w:r>
        <w:rPr>
          <w:rFonts w:hint="eastAsia" w:ascii="宋体" w:hAnsi="宋体"/>
          <w:bCs w:val="0"/>
          <w:szCs w:val="44"/>
          <w:highlight w:val="none"/>
        </w:rPr>
        <w:t>、资格审查部分</w:t>
      </w:r>
      <w:r>
        <w:rPr>
          <w:highlight w:val="none"/>
        </w:rPr>
        <w:tab/>
      </w:r>
      <w:r>
        <w:rPr>
          <w:highlight w:val="none"/>
        </w:rPr>
        <w:fldChar w:fldCharType="begin"/>
      </w:r>
      <w:r>
        <w:rPr>
          <w:highlight w:val="none"/>
        </w:rPr>
        <w:instrText xml:space="preserve"> PAGEREF _Toc26937 \h </w:instrText>
      </w:r>
      <w:r>
        <w:rPr>
          <w:highlight w:val="none"/>
        </w:rPr>
        <w:fldChar w:fldCharType="separate"/>
      </w:r>
      <w:r>
        <w:rPr>
          <w:highlight w:val="none"/>
        </w:rPr>
        <w:t>- 117 -</w:t>
      </w:r>
      <w:r>
        <w:rPr>
          <w:highlight w:val="none"/>
        </w:rPr>
        <w:fldChar w:fldCharType="end"/>
      </w:r>
      <w:r>
        <w:rPr>
          <w:rFonts w:hint="eastAsia" w:ascii="宋体" w:hAnsi="宋体" w:eastAsia="宋体" w:cs="宋体"/>
          <w:bCs/>
          <w:i w:val="0"/>
          <w:iCs w:val="0"/>
          <w:szCs w:val="20"/>
          <w:highlight w:val="none"/>
          <w:lang w:val="zh-CN"/>
        </w:rPr>
        <w:fldChar w:fldCharType="end"/>
      </w:r>
    </w:p>
    <w:p w14:paraId="3C2C8B50">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_Toc12953 </w:instrText>
      </w:r>
      <w:r>
        <w:rPr>
          <w:rFonts w:hint="eastAsia" w:ascii="宋体" w:hAnsi="宋体" w:eastAsia="宋体" w:cs="宋体"/>
          <w:bCs/>
          <w:i w:val="0"/>
          <w:iCs w:val="0"/>
          <w:szCs w:val="20"/>
          <w:highlight w:val="none"/>
          <w:lang w:val="zh-CN"/>
        </w:rPr>
        <w:fldChar w:fldCharType="separate"/>
      </w:r>
      <w:r>
        <w:rPr>
          <w:rFonts w:hint="eastAsia" w:ascii="宋体" w:hAnsi="宋体"/>
          <w:bCs w:val="0"/>
          <w:highlight w:val="none"/>
        </w:rPr>
        <w:t>（一）法定代表人身份证明或授权委托书</w:t>
      </w:r>
      <w:r>
        <w:rPr>
          <w:highlight w:val="none"/>
        </w:rPr>
        <w:tab/>
      </w:r>
      <w:r>
        <w:rPr>
          <w:highlight w:val="none"/>
        </w:rPr>
        <w:fldChar w:fldCharType="begin"/>
      </w:r>
      <w:r>
        <w:rPr>
          <w:highlight w:val="none"/>
        </w:rPr>
        <w:instrText xml:space="preserve"> PAGEREF _Toc12953 \h </w:instrText>
      </w:r>
      <w:r>
        <w:rPr>
          <w:highlight w:val="none"/>
        </w:rPr>
        <w:fldChar w:fldCharType="separate"/>
      </w:r>
      <w:r>
        <w:rPr>
          <w:highlight w:val="none"/>
        </w:rPr>
        <w:t>- 120 -</w:t>
      </w:r>
      <w:r>
        <w:rPr>
          <w:highlight w:val="none"/>
        </w:rPr>
        <w:fldChar w:fldCharType="end"/>
      </w:r>
      <w:r>
        <w:rPr>
          <w:rFonts w:hint="eastAsia" w:ascii="宋体" w:hAnsi="宋体" w:eastAsia="宋体" w:cs="宋体"/>
          <w:bCs/>
          <w:i w:val="0"/>
          <w:iCs w:val="0"/>
          <w:szCs w:val="20"/>
          <w:highlight w:val="none"/>
          <w:lang w:val="zh-CN"/>
        </w:rPr>
        <w:fldChar w:fldCharType="end"/>
      </w:r>
    </w:p>
    <w:p w14:paraId="7E197A58">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_Toc29518 </w:instrText>
      </w:r>
      <w:r>
        <w:rPr>
          <w:rFonts w:hint="eastAsia" w:ascii="宋体" w:hAnsi="宋体" w:eastAsia="宋体" w:cs="宋体"/>
          <w:bCs/>
          <w:i w:val="0"/>
          <w:iCs w:val="0"/>
          <w:szCs w:val="20"/>
          <w:highlight w:val="none"/>
          <w:lang w:val="zh-CN"/>
        </w:rPr>
        <w:fldChar w:fldCharType="separate"/>
      </w:r>
      <w:r>
        <w:rPr>
          <w:rFonts w:ascii="宋体" w:hAnsi="宋体"/>
          <w:highlight w:val="none"/>
        </w:rPr>
        <w:t>（</w:t>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承诺</w:t>
      </w:r>
      <w:r>
        <w:rPr>
          <w:highlight w:val="none"/>
        </w:rPr>
        <w:tab/>
      </w:r>
      <w:r>
        <w:rPr>
          <w:highlight w:val="none"/>
        </w:rPr>
        <w:fldChar w:fldCharType="begin"/>
      </w:r>
      <w:r>
        <w:rPr>
          <w:highlight w:val="none"/>
        </w:rPr>
        <w:instrText xml:space="preserve"> PAGEREF _Toc29518 \h </w:instrText>
      </w:r>
      <w:r>
        <w:rPr>
          <w:highlight w:val="none"/>
        </w:rPr>
        <w:fldChar w:fldCharType="separate"/>
      </w:r>
      <w:r>
        <w:rPr>
          <w:highlight w:val="none"/>
        </w:rPr>
        <w:t>- 122 -</w:t>
      </w:r>
      <w:r>
        <w:rPr>
          <w:highlight w:val="none"/>
        </w:rPr>
        <w:fldChar w:fldCharType="end"/>
      </w:r>
      <w:r>
        <w:rPr>
          <w:rFonts w:hint="eastAsia" w:ascii="宋体" w:hAnsi="宋体" w:eastAsia="宋体" w:cs="宋体"/>
          <w:bCs/>
          <w:i w:val="0"/>
          <w:iCs w:val="0"/>
          <w:szCs w:val="20"/>
          <w:highlight w:val="none"/>
          <w:lang w:val="zh-CN"/>
        </w:rPr>
        <w:fldChar w:fldCharType="end"/>
      </w:r>
    </w:p>
    <w:p w14:paraId="7373BC9F">
      <w:pPr>
        <w:pStyle w:val="22"/>
        <w:tabs>
          <w:tab w:val="right" w:leader="dot" w:pos="9469"/>
        </w:tabs>
        <w:rPr>
          <w:highlight w:val="none"/>
        </w:rPr>
      </w:pPr>
      <w:r>
        <w:rPr>
          <w:rFonts w:hint="eastAsia" w:ascii="宋体" w:hAnsi="宋体" w:eastAsia="宋体" w:cs="宋体"/>
          <w:bCs/>
          <w:i w:val="0"/>
          <w:iCs w:val="0"/>
          <w:szCs w:val="20"/>
          <w:highlight w:val="none"/>
          <w:lang w:val="zh-CN"/>
        </w:rPr>
        <w:fldChar w:fldCharType="begin"/>
      </w:r>
      <w:r>
        <w:rPr>
          <w:rFonts w:hint="eastAsia" w:ascii="宋体" w:hAnsi="宋体" w:eastAsia="宋体" w:cs="宋体"/>
          <w:bCs/>
          <w:i w:val="0"/>
          <w:iCs w:val="0"/>
          <w:szCs w:val="20"/>
          <w:highlight w:val="none"/>
          <w:lang w:val="zh-CN"/>
        </w:rPr>
        <w:instrText xml:space="preserve"> HYPERLINK \l _Toc26978 </w:instrText>
      </w:r>
      <w:r>
        <w:rPr>
          <w:rFonts w:hint="eastAsia" w:ascii="宋体" w:hAnsi="宋体" w:eastAsia="宋体" w:cs="宋体"/>
          <w:bCs/>
          <w:i w:val="0"/>
          <w:iCs w:val="0"/>
          <w:szCs w:val="20"/>
          <w:highlight w:val="none"/>
          <w:lang w:val="zh-CN"/>
        </w:rPr>
        <w:fldChar w:fldCharType="separate"/>
      </w:r>
      <w:r>
        <w:rPr>
          <w:rFonts w:hint="eastAsia" w:ascii="宋体" w:hAnsi="宋体"/>
          <w:highlight w:val="none"/>
        </w:rPr>
        <w:t>（</w:t>
      </w:r>
      <w:r>
        <w:rPr>
          <w:rFonts w:hint="eastAsia" w:ascii="宋体" w:hAnsi="宋体"/>
          <w:highlight w:val="none"/>
          <w:lang w:val="en-US" w:eastAsia="zh-CN"/>
        </w:rPr>
        <w:t>三</w:t>
      </w:r>
      <w:r>
        <w:rPr>
          <w:rFonts w:hint="eastAsia" w:ascii="宋体" w:hAnsi="宋体"/>
          <w:highlight w:val="none"/>
        </w:rPr>
        <w:t>）其他资料</w:t>
      </w:r>
      <w:r>
        <w:rPr>
          <w:highlight w:val="none"/>
        </w:rPr>
        <w:tab/>
      </w:r>
      <w:r>
        <w:rPr>
          <w:highlight w:val="none"/>
        </w:rPr>
        <w:fldChar w:fldCharType="begin"/>
      </w:r>
      <w:r>
        <w:rPr>
          <w:highlight w:val="none"/>
        </w:rPr>
        <w:instrText xml:space="preserve"> PAGEREF _Toc26978 \h </w:instrText>
      </w:r>
      <w:r>
        <w:rPr>
          <w:highlight w:val="none"/>
        </w:rPr>
        <w:fldChar w:fldCharType="separate"/>
      </w:r>
      <w:r>
        <w:rPr>
          <w:highlight w:val="none"/>
        </w:rPr>
        <w:t>- 124 -</w:t>
      </w:r>
      <w:r>
        <w:rPr>
          <w:highlight w:val="none"/>
        </w:rPr>
        <w:fldChar w:fldCharType="end"/>
      </w:r>
      <w:r>
        <w:rPr>
          <w:rFonts w:hint="eastAsia" w:ascii="宋体" w:hAnsi="宋体" w:eastAsia="宋体" w:cs="宋体"/>
          <w:bCs/>
          <w:i w:val="0"/>
          <w:iCs w:val="0"/>
          <w:szCs w:val="20"/>
          <w:highlight w:val="none"/>
          <w:lang w:val="zh-CN"/>
        </w:rPr>
        <w:fldChar w:fldCharType="end"/>
      </w:r>
    </w:p>
    <w:p w14:paraId="583B197C">
      <w:pPr>
        <w:rPr>
          <w:rFonts w:ascii="宋体" w:hAnsi="宋体"/>
          <w:highlight w:val="none"/>
        </w:rPr>
      </w:pPr>
      <w:r>
        <w:rPr>
          <w:rFonts w:hint="eastAsia" w:ascii="宋体" w:hAnsi="宋体" w:eastAsia="宋体" w:cs="宋体"/>
          <w:bCs/>
          <w:i w:val="0"/>
          <w:iCs w:val="0"/>
          <w:szCs w:val="20"/>
          <w:highlight w:val="none"/>
          <w:lang w:val="zh-CN"/>
        </w:rPr>
        <w:fldChar w:fldCharType="end"/>
      </w:r>
    </w:p>
    <w:bookmarkEnd w:id="0"/>
    <w:p w14:paraId="2D1EE02C">
      <w:pPr>
        <w:spacing w:line="20" w:lineRule="exact"/>
        <w:rPr>
          <w:rFonts w:ascii="宋体" w:hAnsi="宋体"/>
          <w:highlight w:val="none"/>
        </w:rPr>
      </w:pPr>
      <w:bookmarkStart w:id="6" w:name="_Toc430530414"/>
    </w:p>
    <w:p w14:paraId="1DE8D4BF">
      <w:pPr>
        <w:spacing w:line="20" w:lineRule="exact"/>
        <w:jc w:val="left"/>
        <w:rPr>
          <w:rFonts w:ascii="宋体" w:hAnsi="宋体"/>
          <w:highlight w:val="none"/>
        </w:rPr>
        <w:sectPr>
          <w:footerReference r:id="rId5" w:type="default"/>
          <w:pgSz w:w="11907" w:h="16840"/>
          <w:pgMar w:top="1304" w:right="1134" w:bottom="1304" w:left="1304" w:header="851" w:footer="992" w:gutter="0"/>
          <w:pgBorders>
            <w:top w:val="none" w:sz="0" w:space="0"/>
            <w:left w:val="none" w:sz="0" w:space="0"/>
            <w:bottom w:val="none" w:sz="0" w:space="0"/>
            <w:right w:val="none" w:sz="0" w:space="0"/>
          </w:pgBorders>
          <w:pgNumType w:fmt="numberInDash" w:start="1"/>
          <w:cols w:space="720" w:num="1"/>
          <w:docGrid w:linePitch="312" w:charSpace="0"/>
        </w:sectPr>
      </w:pPr>
    </w:p>
    <w:bookmarkEnd w:id="6"/>
    <w:p w14:paraId="0DDE8148">
      <w:pPr>
        <w:spacing w:line="360" w:lineRule="auto"/>
        <w:rPr>
          <w:rFonts w:ascii="宋体" w:hAnsi="宋体"/>
          <w:highlight w:val="none"/>
        </w:rPr>
      </w:pPr>
    </w:p>
    <w:p w14:paraId="42BC456F">
      <w:pPr>
        <w:pStyle w:val="3"/>
        <w:spacing w:before="0" w:after="0" w:line="480" w:lineRule="auto"/>
        <w:jc w:val="center"/>
        <w:rPr>
          <w:rFonts w:ascii="宋体" w:hAnsi="宋体"/>
          <w:sz w:val="52"/>
          <w:szCs w:val="52"/>
          <w:highlight w:val="none"/>
        </w:rPr>
      </w:pPr>
      <w:bookmarkStart w:id="7" w:name="_Toc22866"/>
      <w:bookmarkStart w:id="8" w:name="_Toc509218690"/>
      <w:bookmarkStart w:id="9" w:name="_Toc18488"/>
      <w:bookmarkStart w:id="10" w:name="_Toc12023"/>
      <w:bookmarkStart w:id="11" w:name="_Toc10326"/>
      <w:bookmarkStart w:id="12" w:name="_Toc22702"/>
      <w:bookmarkStart w:id="13" w:name="_Toc59810275"/>
      <w:r>
        <w:rPr>
          <w:rFonts w:hint="eastAsia" w:ascii="宋体" w:hAnsi="宋体"/>
          <w:sz w:val="52"/>
          <w:szCs w:val="52"/>
          <w:highlight w:val="none"/>
        </w:rPr>
        <w:t>第 一 卷</w:t>
      </w:r>
      <w:bookmarkEnd w:id="7"/>
      <w:bookmarkEnd w:id="8"/>
      <w:bookmarkEnd w:id="9"/>
      <w:bookmarkEnd w:id="10"/>
      <w:bookmarkEnd w:id="11"/>
      <w:bookmarkEnd w:id="12"/>
      <w:bookmarkEnd w:id="13"/>
    </w:p>
    <w:p w14:paraId="0121EA54">
      <w:pPr>
        <w:spacing w:line="200" w:lineRule="exact"/>
        <w:rPr>
          <w:rFonts w:ascii="宋体" w:hAnsi="宋体"/>
          <w:highlight w:val="none"/>
        </w:rPr>
      </w:pPr>
      <w:r>
        <w:rPr>
          <w:rFonts w:ascii="宋体" w:hAnsi="宋体"/>
          <w:highlight w:val="none"/>
        </w:rPr>
        <w:br w:type="page"/>
      </w:r>
    </w:p>
    <w:p w14:paraId="05597939">
      <w:pPr>
        <w:pStyle w:val="3"/>
        <w:spacing w:line="360" w:lineRule="auto"/>
        <w:jc w:val="center"/>
        <w:rPr>
          <w:rFonts w:ascii="宋体" w:hAnsi="宋体"/>
          <w:snapToGrid w:val="0"/>
          <w:kern w:val="0"/>
          <w:highlight w:val="none"/>
        </w:rPr>
      </w:pPr>
      <w:bookmarkStart w:id="14" w:name="_Toc17942"/>
      <w:bookmarkStart w:id="15" w:name="_Toc3761"/>
      <w:bookmarkStart w:id="16" w:name="_Toc224103298"/>
      <w:bookmarkStart w:id="17" w:name="_Toc59810276"/>
      <w:bookmarkStart w:id="18" w:name="_Toc23823"/>
      <w:bookmarkStart w:id="19" w:name="_Toc287607727"/>
      <w:bookmarkStart w:id="20" w:name="_Toc21435"/>
      <w:bookmarkStart w:id="21" w:name="_Toc287620666"/>
      <w:bookmarkStart w:id="22" w:name="_Toc277082535"/>
      <w:bookmarkStart w:id="23" w:name="_Toc32025"/>
      <w:bookmarkStart w:id="24" w:name="_Toc430530415"/>
      <w:bookmarkStart w:id="25" w:name="_Toc509218691"/>
      <w:r>
        <w:rPr>
          <w:rFonts w:ascii="宋体" w:hAnsi="宋体"/>
          <w:snapToGrid w:val="0"/>
          <w:kern w:val="0"/>
          <w:highlight w:val="none"/>
        </w:rPr>
        <w:t>第一章  招标公告</w:t>
      </w:r>
      <w:bookmarkEnd w:id="14"/>
      <w:bookmarkEnd w:id="15"/>
      <w:bookmarkEnd w:id="16"/>
      <w:bookmarkEnd w:id="17"/>
      <w:bookmarkEnd w:id="18"/>
      <w:bookmarkEnd w:id="19"/>
      <w:bookmarkEnd w:id="20"/>
      <w:bookmarkEnd w:id="21"/>
      <w:bookmarkEnd w:id="22"/>
      <w:bookmarkEnd w:id="23"/>
      <w:bookmarkEnd w:id="24"/>
      <w:bookmarkEnd w:id="25"/>
    </w:p>
    <w:p w14:paraId="6772523A">
      <w:pPr>
        <w:autoSpaceDE w:val="0"/>
        <w:autoSpaceDN w:val="0"/>
        <w:adjustRightInd w:val="0"/>
        <w:snapToGrid w:val="0"/>
        <w:spacing w:line="360" w:lineRule="auto"/>
        <w:jc w:val="center"/>
        <w:rPr>
          <w:rFonts w:ascii="宋体" w:hAnsi="宋体"/>
          <w:snapToGrid w:val="0"/>
          <w:kern w:val="0"/>
          <w:sz w:val="28"/>
          <w:szCs w:val="28"/>
          <w:highlight w:val="none"/>
        </w:rPr>
      </w:pPr>
      <w:r>
        <w:rPr>
          <w:rFonts w:ascii="宋体" w:hAnsi="宋体"/>
          <w:snapToGrid w:val="0"/>
          <w:kern w:val="0"/>
          <w:sz w:val="28"/>
          <w:szCs w:val="28"/>
          <w:highlight w:val="none"/>
          <w:u w:val="single"/>
        </w:rPr>
        <w:t xml:space="preserve"> </w:t>
      </w:r>
      <w:r>
        <w:rPr>
          <w:rFonts w:hint="eastAsia" w:ascii="宋体" w:hAnsi="宋体"/>
          <w:snapToGrid w:val="0"/>
          <w:kern w:val="0"/>
          <w:sz w:val="28"/>
          <w:szCs w:val="28"/>
          <w:highlight w:val="none"/>
          <w:u w:val="single"/>
          <w:lang w:val="en-US" w:eastAsia="zh-CN"/>
        </w:rPr>
        <w:t>垫江县五洞镇卧龙村提灌站项目</w:t>
      </w:r>
      <w:r>
        <w:rPr>
          <w:rFonts w:ascii="宋体" w:hAnsi="宋体"/>
          <w:snapToGrid w:val="0"/>
          <w:w w:val="99"/>
          <w:kern w:val="0"/>
          <w:sz w:val="28"/>
          <w:szCs w:val="28"/>
          <w:highlight w:val="none"/>
        </w:rPr>
        <w:t>招标公告</w:t>
      </w:r>
    </w:p>
    <w:p w14:paraId="242AAB05">
      <w:pPr>
        <w:pStyle w:val="4"/>
        <w:spacing w:before="0" w:after="0" w:line="360" w:lineRule="auto"/>
        <w:rPr>
          <w:rFonts w:ascii="宋体" w:hAnsi="宋体"/>
          <w:snapToGrid w:val="0"/>
          <w:sz w:val="28"/>
          <w:szCs w:val="28"/>
          <w:highlight w:val="none"/>
        </w:rPr>
      </w:pPr>
      <w:bookmarkStart w:id="26" w:name="_Toc287607728"/>
      <w:bookmarkStart w:id="27" w:name="_Toc11413"/>
      <w:bookmarkStart w:id="28" w:name="_Toc32746"/>
      <w:bookmarkStart w:id="29" w:name="_Toc355"/>
      <w:bookmarkStart w:id="30" w:name="_Toc224103299"/>
      <w:bookmarkStart w:id="31" w:name="_Toc22346"/>
      <w:bookmarkStart w:id="32" w:name="_Toc7066"/>
      <w:bookmarkStart w:id="33" w:name="_Toc287620667"/>
      <w:bookmarkStart w:id="34" w:name="_Toc200359427"/>
      <w:bookmarkStart w:id="35" w:name="_Toc430530416"/>
      <w:bookmarkStart w:id="36" w:name="_Toc509218692"/>
      <w:bookmarkStart w:id="37" w:name="_Toc59810277"/>
      <w:bookmarkStart w:id="38" w:name="_Toc277082536"/>
      <w:bookmarkStart w:id="39" w:name="_Toc200359238"/>
      <w:r>
        <w:rPr>
          <w:rFonts w:ascii="宋体" w:hAnsi="宋体"/>
          <w:snapToGrid w:val="0"/>
          <w:sz w:val="28"/>
          <w:szCs w:val="28"/>
          <w:highlight w:val="none"/>
        </w:rPr>
        <w:t xml:space="preserve">1. </w:t>
      </w:r>
      <w:r>
        <w:rPr>
          <w:rFonts w:hint="eastAsia" w:ascii="宋体" w:hAnsi="宋体"/>
          <w:snapToGrid w:val="0"/>
          <w:sz w:val="28"/>
          <w:szCs w:val="28"/>
          <w:highlight w:val="none"/>
        </w:rPr>
        <w:t xml:space="preserve"> </w:t>
      </w:r>
      <w:r>
        <w:rPr>
          <w:rFonts w:ascii="宋体" w:hAnsi="宋体"/>
          <w:snapToGrid w:val="0"/>
          <w:sz w:val="28"/>
          <w:szCs w:val="28"/>
          <w:highlight w:val="none"/>
        </w:rPr>
        <w:t>招标条件</w:t>
      </w:r>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BF3BC13">
      <w:pPr>
        <w:pStyle w:val="2"/>
        <w:spacing w:after="0" w:line="360" w:lineRule="auto"/>
        <w:ind w:firstLine="420" w:firstLineChars="200"/>
        <w:rPr>
          <w:highlight w:val="none"/>
        </w:rPr>
      </w:pPr>
      <w:bookmarkStart w:id="40" w:name="_Toc221949923"/>
      <w:r>
        <w:rPr>
          <w:szCs w:val="21"/>
          <w:highlight w:val="none"/>
        </w:rPr>
        <w:t>本招标项目</w:t>
      </w:r>
      <w:r>
        <w:rPr>
          <w:szCs w:val="21"/>
          <w:highlight w:val="none"/>
          <w:u w:val="single"/>
        </w:rPr>
        <w:t xml:space="preserve"> </w:t>
      </w:r>
      <w:r>
        <w:rPr>
          <w:rFonts w:hint="eastAsia"/>
          <w:szCs w:val="21"/>
          <w:highlight w:val="none"/>
          <w:u w:val="single"/>
          <w:lang w:val="en-US" w:eastAsia="zh-CN"/>
        </w:rPr>
        <w:t>垫江县五洞镇卧龙村提灌站项目</w:t>
      </w:r>
      <w:r>
        <w:rPr>
          <w:rFonts w:hint="eastAsia"/>
          <w:szCs w:val="21"/>
          <w:highlight w:val="none"/>
        </w:rPr>
        <w:t>，</w:t>
      </w:r>
      <w:r>
        <w:rPr>
          <w:rFonts w:ascii="宋体" w:hAnsi="宋体"/>
          <w:snapToGrid w:val="0"/>
          <w:kern w:val="0"/>
          <w:szCs w:val="21"/>
          <w:highlight w:val="none"/>
        </w:rPr>
        <w:t>项目业主为</w:t>
      </w:r>
      <w:r>
        <w:rPr>
          <w:rFonts w:hint="eastAsia" w:ascii="宋体" w:hAnsi="宋体"/>
          <w:snapToGrid w:val="0"/>
          <w:kern w:val="0"/>
          <w:szCs w:val="21"/>
          <w:highlight w:val="none"/>
          <w:u w:val="single"/>
          <w:lang w:val="en-US" w:eastAsia="zh-CN"/>
        </w:rPr>
        <w:t>垫江县五洞镇卧龙村股份经济合作联合社</w:t>
      </w:r>
      <w:r>
        <w:rPr>
          <w:rFonts w:ascii="宋体" w:hAnsi="宋体"/>
          <w:snapToGrid w:val="0"/>
          <w:kern w:val="0"/>
          <w:szCs w:val="21"/>
          <w:highlight w:val="none"/>
        </w:rPr>
        <w:t>，</w:t>
      </w:r>
      <w:r>
        <w:rPr>
          <w:szCs w:val="21"/>
          <w:highlight w:val="none"/>
        </w:rPr>
        <w:t xml:space="preserve">建设资金来自 </w:t>
      </w:r>
      <w:r>
        <w:rPr>
          <w:rFonts w:hint="eastAsia"/>
          <w:szCs w:val="21"/>
          <w:highlight w:val="none"/>
          <w:u w:val="single"/>
          <w:lang w:eastAsia="zh-CN"/>
        </w:rPr>
        <w:t>重庆科技大学帮扶</w:t>
      </w:r>
      <w:r>
        <w:rPr>
          <w:rFonts w:hint="eastAsia" w:ascii="宋体" w:hAnsi="宋体"/>
          <w:snapToGrid w:val="0"/>
          <w:color w:val="auto"/>
          <w:kern w:val="0"/>
          <w:szCs w:val="21"/>
          <w:highlight w:val="none"/>
          <w:u w:val="single"/>
        </w:rPr>
        <w:t>资金</w:t>
      </w:r>
      <w:r>
        <w:rPr>
          <w:szCs w:val="21"/>
          <w:highlight w:val="none"/>
        </w:rPr>
        <w:t>，项目出资比例为</w:t>
      </w:r>
      <w:r>
        <w:rPr>
          <w:szCs w:val="21"/>
          <w:highlight w:val="none"/>
          <w:u w:val="single"/>
        </w:rPr>
        <w:t xml:space="preserve"> </w:t>
      </w:r>
      <w:r>
        <w:rPr>
          <w:rFonts w:hint="eastAsia"/>
          <w:szCs w:val="21"/>
          <w:highlight w:val="none"/>
          <w:u w:val="single"/>
          <w:lang w:val="en-US" w:eastAsia="zh-CN"/>
        </w:rPr>
        <w:t>100%</w:t>
      </w:r>
      <w:r>
        <w:rPr>
          <w:szCs w:val="21"/>
          <w:highlight w:val="none"/>
          <w:u w:val="single"/>
        </w:rPr>
        <w:t xml:space="preserve">  </w:t>
      </w:r>
      <w:r>
        <w:rPr>
          <w:szCs w:val="21"/>
          <w:highlight w:val="none"/>
        </w:rPr>
        <w:t>，</w:t>
      </w:r>
      <w:r>
        <w:rPr>
          <w:rFonts w:hint="eastAsia"/>
          <w:szCs w:val="21"/>
          <w:highlight w:val="none"/>
        </w:rPr>
        <w:t>招标人为</w:t>
      </w:r>
      <w:r>
        <w:rPr>
          <w:rFonts w:hint="eastAsia"/>
          <w:szCs w:val="21"/>
          <w:highlight w:val="none"/>
          <w:u w:val="single"/>
        </w:rPr>
        <w:t xml:space="preserve"> </w:t>
      </w:r>
      <w:r>
        <w:rPr>
          <w:rFonts w:hint="eastAsia"/>
          <w:szCs w:val="21"/>
          <w:highlight w:val="none"/>
          <w:u w:val="single"/>
          <w:lang w:val="en-US" w:eastAsia="zh-CN"/>
        </w:rPr>
        <w:t>垫江县五洞镇卧龙村股份经济合作联合社</w:t>
      </w:r>
      <w:r>
        <w:rPr>
          <w:szCs w:val="21"/>
          <w:highlight w:val="none"/>
        </w:rPr>
        <w:t>。项目已具备招标条件，现对</w:t>
      </w:r>
      <w:r>
        <w:rPr>
          <w:rFonts w:hint="eastAsia"/>
          <w:szCs w:val="21"/>
          <w:highlight w:val="none"/>
          <w:u w:val="single"/>
        </w:rPr>
        <w:t>本</w:t>
      </w:r>
      <w:r>
        <w:rPr>
          <w:szCs w:val="21"/>
          <w:highlight w:val="none"/>
          <w:u w:val="single"/>
        </w:rPr>
        <w:t>项目施工</w:t>
      </w:r>
      <w:r>
        <w:rPr>
          <w:szCs w:val="21"/>
          <w:highlight w:val="none"/>
        </w:rPr>
        <w:t>进行公开</w:t>
      </w:r>
      <w:r>
        <w:rPr>
          <w:rFonts w:hint="eastAsia" w:ascii="宋体" w:hAnsi="宋体"/>
          <w:snapToGrid w:val="0"/>
          <w:color w:val="auto"/>
          <w:kern w:val="0"/>
          <w:szCs w:val="21"/>
          <w:highlight w:val="none"/>
        </w:rPr>
        <w:t>竞争性比选</w:t>
      </w:r>
      <w:r>
        <w:rPr>
          <w:rFonts w:hint="eastAsia" w:ascii="宋体" w:hAnsi="宋体"/>
          <w:snapToGrid w:val="0"/>
          <w:color w:val="auto"/>
          <w:kern w:val="0"/>
          <w:szCs w:val="21"/>
          <w:highlight w:val="none"/>
          <w:lang w:val="en-US" w:eastAsia="zh-CN"/>
        </w:rPr>
        <w:t>招标</w:t>
      </w:r>
      <w:bookmarkEnd w:id="40"/>
      <w:r>
        <w:rPr>
          <w:rFonts w:hint="eastAsia" w:ascii="宋体" w:hAnsi="宋体"/>
          <w:snapToGrid w:val="0"/>
          <w:color w:val="auto"/>
          <w:kern w:val="0"/>
          <w:szCs w:val="21"/>
          <w:highlight w:val="none"/>
          <w:lang w:val="en-US" w:eastAsia="zh-CN"/>
        </w:rPr>
        <w:t>。</w:t>
      </w:r>
    </w:p>
    <w:p w14:paraId="47113D78">
      <w:pPr>
        <w:pStyle w:val="4"/>
        <w:spacing w:before="0" w:after="0" w:line="360" w:lineRule="auto"/>
        <w:rPr>
          <w:rFonts w:ascii="宋体" w:hAnsi="宋体"/>
          <w:snapToGrid w:val="0"/>
          <w:sz w:val="28"/>
          <w:szCs w:val="28"/>
          <w:highlight w:val="none"/>
        </w:rPr>
      </w:pPr>
      <w:bookmarkStart w:id="41" w:name="_Toc6259"/>
      <w:bookmarkStart w:id="42" w:name="_Toc59810278"/>
      <w:bookmarkStart w:id="43" w:name="_Toc13351"/>
      <w:bookmarkStart w:id="44" w:name="_Toc430530417"/>
      <w:bookmarkStart w:id="45" w:name="_Toc277082537"/>
      <w:bookmarkStart w:id="46" w:name="_Toc15497"/>
      <w:bookmarkStart w:id="47" w:name="_Toc287620668"/>
      <w:bookmarkStart w:id="48" w:name="_Toc200359428"/>
      <w:bookmarkStart w:id="49" w:name="_Toc26104"/>
      <w:bookmarkStart w:id="50" w:name="_Toc287607729"/>
      <w:bookmarkStart w:id="51" w:name="_Toc224103300"/>
      <w:bookmarkStart w:id="52" w:name="_Toc18550"/>
      <w:bookmarkStart w:id="53" w:name="_Toc509218693"/>
      <w:bookmarkStart w:id="54" w:name="_Toc200359239"/>
      <w:r>
        <w:rPr>
          <w:rFonts w:ascii="宋体" w:hAnsi="宋体"/>
          <w:snapToGrid w:val="0"/>
          <w:sz w:val="28"/>
          <w:szCs w:val="28"/>
          <w:highlight w:val="none"/>
        </w:rPr>
        <w:t>2.</w:t>
      </w:r>
      <w:r>
        <w:rPr>
          <w:rFonts w:hint="eastAsia" w:ascii="宋体" w:hAnsi="宋体"/>
          <w:snapToGrid w:val="0"/>
          <w:sz w:val="28"/>
          <w:szCs w:val="28"/>
          <w:highlight w:val="none"/>
        </w:rPr>
        <w:t xml:space="preserve"> </w:t>
      </w:r>
      <w:r>
        <w:rPr>
          <w:rFonts w:ascii="宋体" w:hAnsi="宋体"/>
          <w:snapToGrid w:val="0"/>
          <w:sz w:val="28"/>
          <w:szCs w:val="28"/>
          <w:highlight w:val="none"/>
        </w:rPr>
        <w:t xml:space="preserve"> 项目概况与招标范围</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B0ACDA9">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u w:val="single"/>
        </w:rPr>
      </w:pPr>
      <w:r>
        <w:rPr>
          <w:rFonts w:hint="eastAsia" w:ascii="宋体" w:hAnsi="宋体"/>
          <w:snapToGrid w:val="0"/>
          <w:kern w:val="0"/>
          <w:szCs w:val="21"/>
          <w:highlight w:val="none"/>
        </w:rPr>
        <w:t>2.1 建设地点：</w:t>
      </w:r>
      <w:r>
        <w:rPr>
          <w:rFonts w:hint="eastAsia" w:ascii="宋体" w:hAnsi="宋体"/>
          <w:snapToGrid w:val="0"/>
          <w:kern w:val="0"/>
          <w:szCs w:val="21"/>
          <w:highlight w:val="none"/>
          <w:u w:val="single"/>
          <w:lang w:eastAsia="zh-CN"/>
        </w:rPr>
        <w:t>五洞镇卧龙村。</w:t>
      </w:r>
    </w:p>
    <w:p w14:paraId="3C75061D">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2.2 项目概况与建设规模：</w:t>
      </w:r>
    </w:p>
    <w:p w14:paraId="4AD55BFB">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kern w:val="0"/>
          <w:szCs w:val="21"/>
          <w:highlight w:val="none"/>
          <w:u w:val="single"/>
          <w:lang w:eastAsia="zh-CN"/>
        </w:rPr>
      </w:pPr>
      <w:r>
        <w:rPr>
          <w:rFonts w:hint="eastAsia" w:ascii="宋体" w:hAnsi="宋体"/>
          <w:snapToGrid w:val="0"/>
          <w:kern w:val="0"/>
          <w:szCs w:val="21"/>
          <w:highlight w:val="none"/>
          <w:u w:val="single"/>
          <w:lang w:eastAsia="zh-CN"/>
        </w:rPr>
        <w:t>（</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lang w:eastAsia="zh-CN"/>
        </w:rPr>
        <w:t>）新建泵站2座，均位于卧龙河左岸，其中：1#泵站设计取水流量为160 m3/h，2#泵站设计取水流量为50 m3/h。2座泵房均采用砖混结构，建筑高度为一层，尺寸4.0×4.0×4.2m。1#泵站水泵型号：150S78单级双吸离心泵，</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lang w:eastAsia="zh-CN"/>
        </w:rPr>
        <w:t>台；2#泵站水泵型号：ISG80-</w:t>
      </w:r>
      <w:r>
        <w:rPr>
          <w:rFonts w:hint="eastAsia" w:ascii="宋体" w:hAnsi="宋体"/>
          <w:snapToGrid w:val="0"/>
          <w:kern w:val="0"/>
          <w:szCs w:val="21"/>
          <w:highlight w:val="none"/>
          <w:u w:val="single"/>
          <w:lang w:val="en-US" w:eastAsia="zh-CN"/>
        </w:rPr>
        <w:t>160</w:t>
      </w:r>
      <w:r>
        <w:rPr>
          <w:rFonts w:hint="eastAsia" w:ascii="宋体" w:hAnsi="宋体"/>
          <w:snapToGrid w:val="0"/>
          <w:kern w:val="0"/>
          <w:szCs w:val="21"/>
          <w:highlight w:val="none"/>
          <w:u w:val="single"/>
          <w:lang w:eastAsia="zh-CN"/>
        </w:rPr>
        <w:t>单级单吸离心泵，</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lang w:eastAsia="zh-CN"/>
        </w:rPr>
        <w:t>台。</w:t>
      </w:r>
    </w:p>
    <w:p w14:paraId="2930C53A">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kern w:val="0"/>
          <w:szCs w:val="21"/>
          <w:highlight w:val="none"/>
          <w:u w:val="single"/>
          <w:lang w:eastAsia="zh-CN"/>
        </w:rPr>
      </w:pPr>
      <w:r>
        <w:rPr>
          <w:rFonts w:hint="eastAsia" w:ascii="宋体" w:hAnsi="宋体"/>
          <w:snapToGrid w:val="0"/>
          <w:kern w:val="0"/>
          <w:szCs w:val="21"/>
          <w:highlight w:val="none"/>
          <w:u w:val="single"/>
          <w:lang w:eastAsia="zh-CN"/>
        </w:rPr>
        <w:t>（</w:t>
      </w:r>
      <w:r>
        <w:rPr>
          <w:rFonts w:hint="eastAsia" w:ascii="宋体" w:hAnsi="宋体"/>
          <w:snapToGrid w:val="0"/>
          <w:kern w:val="0"/>
          <w:szCs w:val="21"/>
          <w:highlight w:val="none"/>
          <w:u w:val="single"/>
          <w:lang w:val="en-US" w:eastAsia="zh-CN"/>
        </w:rPr>
        <w:t>2</w:t>
      </w:r>
      <w:r>
        <w:rPr>
          <w:rFonts w:hint="eastAsia" w:ascii="宋体" w:hAnsi="宋体"/>
          <w:snapToGrid w:val="0"/>
          <w:kern w:val="0"/>
          <w:szCs w:val="21"/>
          <w:highlight w:val="none"/>
          <w:u w:val="single"/>
          <w:lang w:eastAsia="zh-CN"/>
        </w:rPr>
        <w:t>）新建蓄水池2口，结合本工程实际情况，考虑今后发展需求确定蓄水池容积为50m³。结构型式为矩形钢筋混凝土，水池净空尺寸5.0×5.0×2.5m，设计水深2.0m。</w:t>
      </w:r>
    </w:p>
    <w:p w14:paraId="2BF35E87">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kern w:val="0"/>
          <w:szCs w:val="21"/>
          <w:highlight w:val="none"/>
          <w:u w:val="single"/>
        </w:rPr>
      </w:pPr>
      <w:r>
        <w:rPr>
          <w:rFonts w:hint="eastAsia" w:ascii="宋体" w:hAnsi="宋体"/>
          <w:snapToGrid w:val="0"/>
          <w:kern w:val="0"/>
          <w:szCs w:val="21"/>
          <w:highlight w:val="none"/>
          <w:u w:val="single"/>
          <w:lang w:eastAsia="zh-CN"/>
        </w:rPr>
        <w:t>（</w:t>
      </w:r>
      <w:r>
        <w:rPr>
          <w:rFonts w:hint="eastAsia" w:ascii="宋体" w:hAnsi="宋体"/>
          <w:snapToGrid w:val="0"/>
          <w:kern w:val="0"/>
          <w:szCs w:val="21"/>
          <w:highlight w:val="none"/>
          <w:u w:val="single"/>
          <w:lang w:val="en-US" w:eastAsia="zh-CN"/>
        </w:rPr>
        <w:t>3</w:t>
      </w:r>
      <w:r>
        <w:rPr>
          <w:rFonts w:hint="eastAsia" w:ascii="宋体" w:hAnsi="宋体"/>
          <w:snapToGrid w:val="0"/>
          <w:kern w:val="0"/>
          <w:szCs w:val="21"/>
          <w:highlight w:val="none"/>
          <w:u w:val="single"/>
          <w:lang w:eastAsia="zh-CN"/>
        </w:rPr>
        <w:t>）</w:t>
      </w:r>
      <w:r>
        <w:rPr>
          <w:rFonts w:hint="eastAsia" w:ascii="宋体" w:hAnsi="宋体"/>
          <w:snapToGrid w:val="0"/>
          <w:kern w:val="0"/>
          <w:szCs w:val="21"/>
          <w:highlight w:val="none"/>
          <w:u w:val="single"/>
        </w:rPr>
        <w:t>新建输水管线，连接泵站与蓄水池，并沿途预留</w:t>
      </w:r>
      <w:r>
        <w:rPr>
          <w:rFonts w:hint="eastAsia" w:ascii="宋体" w:hAnsi="宋体"/>
          <w:snapToGrid w:val="0"/>
          <w:kern w:val="0"/>
          <w:szCs w:val="21"/>
          <w:highlight w:val="none"/>
          <w:u w:val="single"/>
          <w:lang w:eastAsia="zh-CN"/>
        </w:rPr>
        <w:t>分</w:t>
      </w:r>
      <w:r>
        <w:rPr>
          <w:rFonts w:hint="eastAsia" w:ascii="宋体" w:hAnsi="宋体"/>
          <w:snapToGrid w:val="0"/>
          <w:kern w:val="0"/>
          <w:szCs w:val="21"/>
          <w:highlight w:val="none"/>
          <w:u w:val="single"/>
        </w:rPr>
        <w:t>水阀井。1#泵站输水管线长474.6m，管道规格：PE100-DN200-1.6MPa；2#泵站输水管线长</w:t>
      </w:r>
      <w:r>
        <w:rPr>
          <w:rFonts w:hint="eastAsia" w:ascii="宋体" w:hAnsi="宋体"/>
          <w:snapToGrid w:val="0"/>
          <w:kern w:val="0"/>
          <w:szCs w:val="21"/>
          <w:highlight w:val="none"/>
          <w:u w:val="single"/>
          <w:lang w:val="en-US" w:eastAsia="zh-CN"/>
        </w:rPr>
        <w:t>743.9</w:t>
      </w:r>
      <w:r>
        <w:rPr>
          <w:rFonts w:hint="eastAsia" w:ascii="宋体" w:hAnsi="宋体"/>
          <w:snapToGrid w:val="0"/>
          <w:kern w:val="0"/>
          <w:szCs w:val="21"/>
          <w:highlight w:val="none"/>
          <w:u w:val="single"/>
        </w:rPr>
        <w:t>m，其中：PE100-DN110-1.0MPa管道长</w:t>
      </w:r>
      <w:r>
        <w:rPr>
          <w:rFonts w:hint="eastAsia" w:ascii="宋体" w:hAnsi="宋体"/>
          <w:snapToGrid w:val="0"/>
          <w:kern w:val="0"/>
          <w:szCs w:val="21"/>
          <w:highlight w:val="none"/>
          <w:u w:val="single"/>
          <w:lang w:val="en-US" w:eastAsia="zh-CN"/>
        </w:rPr>
        <w:t>449.9</w:t>
      </w:r>
      <w:r>
        <w:rPr>
          <w:rFonts w:hint="eastAsia" w:ascii="宋体" w:hAnsi="宋体"/>
          <w:snapToGrid w:val="0"/>
          <w:kern w:val="0"/>
          <w:szCs w:val="21"/>
          <w:highlight w:val="none"/>
          <w:u w:val="single"/>
        </w:rPr>
        <w:t>m，PE100-DN75-1.0MPa管道长294m。共设分水阀井28座，放水阀井1座，均采用M7.5浆砌红砖砌筑，墙厚240mm，阀井尺寸为1×1×0.6m。</w:t>
      </w:r>
    </w:p>
    <w:p w14:paraId="7DCC7349">
      <w:pPr>
        <w:pStyle w:val="2"/>
        <w:ind w:firstLine="420" w:firstLineChars="200"/>
        <w:rPr>
          <w:rFonts w:hint="eastAsia"/>
          <w:lang w:val="en-US" w:eastAsia="zh-CN"/>
        </w:rPr>
      </w:pPr>
      <w:r>
        <w:rPr>
          <w:rFonts w:hint="eastAsia" w:ascii="宋体" w:hAnsi="宋体" w:eastAsia="宋体" w:cs="宋体"/>
          <w:szCs w:val="21"/>
          <w:highlight w:val="none"/>
          <w:lang w:val="en-US" w:eastAsia="zh-CN"/>
        </w:rPr>
        <w:t>注：PE管材、管件须执行国家标准。</w:t>
      </w:r>
    </w:p>
    <w:p w14:paraId="305FC586">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u w:val="single"/>
        </w:rPr>
      </w:pPr>
      <w:r>
        <w:rPr>
          <w:rFonts w:hint="eastAsia" w:ascii="宋体" w:hAnsi="宋体"/>
          <w:snapToGrid w:val="0"/>
          <w:kern w:val="0"/>
          <w:szCs w:val="21"/>
          <w:highlight w:val="none"/>
        </w:rPr>
        <w:t>2.3 本次招标项目合同估算金额：</w:t>
      </w:r>
      <w:r>
        <w:rPr>
          <w:rFonts w:hint="eastAsia" w:ascii="宋体" w:hAnsi="宋体"/>
          <w:snapToGrid w:val="0"/>
          <w:kern w:val="0"/>
          <w:szCs w:val="21"/>
          <w:highlight w:val="none"/>
          <w:u w:val="single"/>
          <w:lang w:val="en-US" w:eastAsia="zh-CN"/>
        </w:rPr>
        <w:t>312352.92元。</w:t>
      </w:r>
    </w:p>
    <w:p w14:paraId="0B90AA2B">
      <w:pPr>
        <w:tabs>
          <w:tab w:val="left" w:pos="3840"/>
          <w:tab w:val="left" w:pos="5300"/>
        </w:tabs>
        <w:autoSpaceDE w:val="0"/>
        <w:autoSpaceDN w:val="0"/>
        <w:adjustRightInd w:val="0"/>
        <w:snapToGrid w:val="0"/>
        <w:spacing w:line="360" w:lineRule="auto"/>
        <w:ind w:firstLine="420" w:firstLineChars="200"/>
        <w:jc w:val="left"/>
        <w:rPr>
          <w:rFonts w:ascii="宋体" w:hAnsi="宋体" w:cs="宋体"/>
          <w:i/>
          <w:iCs/>
          <w:szCs w:val="21"/>
          <w:highlight w:val="none"/>
        </w:rPr>
      </w:pPr>
      <w:r>
        <w:rPr>
          <w:rFonts w:hint="eastAsia" w:ascii="宋体" w:hAnsi="宋体"/>
          <w:snapToGrid w:val="0"/>
          <w:kern w:val="0"/>
          <w:szCs w:val="21"/>
          <w:highlight w:val="none"/>
        </w:rPr>
        <w:t>2.4 招标范围：</w:t>
      </w:r>
      <w:r>
        <w:rPr>
          <w:rFonts w:hint="eastAsia" w:ascii="宋体" w:hAnsi="宋体"/>
          <w:snapToGrid w:val="0"/>
          <w:color w:val="auto"/>
          <w:kern w:val="0"/>
          <w:szCs w:val="21"/>
          <w:highlight w:val="none"/>
          <w:u w:val="single"/>
        </w:rPr>
        <w:t>本项目工程量清单所示的全部工程内容，具体内容详见招标人提供的工程量清单、答疑资料、澄清资料及补遗资料等相关内容。</w:t>
      </w:r>
    </w:p>
    <w:p w14:paraId="0EF6E72B">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2.5 工期要求：工期为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90</w:t>
      </w:r>
      <w:r>
        <w:rPr>
          <w:rFonts w:hint="eastAsia" w:ascii="宋体" w:hAnsi="宋体"/>
          <w:snapToGrid w:val="0"/>
          <w:kern w:val="0"/>
          <w:szCs w:val="21"/>
          <w:highlight w:val="none"/>
          <w:u w:val="single"/>
        </w:rPr>
        <w:t>日历天</w:t>
      </w:r>
      <w:r>
        <w:rPr>
          <w:rFonts w:hint="eastAsia" w:ascii="宋体" w:hAnsi="宋体"/>
          <w:snapToGrid w:val="0"/>
          <w:kern w:val="0"/>
          <w:szCs w:val="21"/>
          <w:highlight w:val="none"/>
        </w:rPr>
        <w:t xml:space="preserve"> ，缺陷责任期为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个月</w:t>
      </w:r>
      <w:r>
        <w:rPr>
          <w:rFonts w:hint="eastAsia" w:ascii="宋体" w:hAnsi="宋体"/>
          <w:snapToGrid w:val="0"/>
          <w:kern w:val="0"/>
          <w:szCs w:val="21"/>
          <w:highlight w:val="none"/>
        </w:rPr>
        <w:t>。</w:t>
      </w:r>
    </w:p>
    <w:p w14:paraId="5E2C7AD4">
      <w:pPr>
        <w:pStyle w:val="4"/>
        <w:spacing w:before="0" w:after="0" w:line="360" w:lineRule="auto"/>
        <w:rPr>
          <w:rFonts w:ascii="宋体" w:hAnsi="宋体"/>
          <w:snapToGrid w:val="0"/>
          <w:sz w:val="28"/>
          <w:szCs w:val="28"/>
          <w:highlight w:val="none"/>
        </w:rPr>
      </w:pPr>
      <w:bookmarkStart w:id="55" w:name="_Toc14202"/>
      <w:bookmarkStart w:id="56" w:name="_Toc31546"/>
      <w:bookmarkStart w:id="57" w:name="_Toc17628"/>
      <w:bookmarkStart w:id="58" w:name="_Toc200359429"/>
      <w:bookmarkStart w:id="59" w:name="_Toc31204"/>
      <w:bookmarkStart w:id="60" w:name="_Toc59810279"/>
      <w:bookmarkStart w:id="61" w:name="_Toc509218694"/>
      <w:bookmarkStart w:id="62" w:name="_Toc287620669"/>
      <w:bookmarkStart w:id="63" w:name="_Toc277082538"/>
      <w:bookmarkStart w:id="64" w:name="_Toc287607730"/>
      <w:bookmarkStart w:id="65" w:name="_Toc18476"/>
      <w:bookmarkStart w:id="66" w:name="_Toc430530418"/>
      <w:bookmarkStart w:id="67" w:name="_Toc19609"/>
      <w:bookmarkStart w:id="68" w:name="_Toc200359240"/>
      <w:bookmarkStart w:id="69" w:name="_Toc224103301"/>
      <w:r>
        <w:rPr>
          <w:rFonts w:hint="eastAsia" w:ascii="宋体" w:hAnsi="宋体"/>
          <w:snapToGrid w:val="0"/>
          <w:sz w:val="28"/>
          <w:szCs w:val="28"/>
          <w:highlight w:val="none"/>
          <w:lang w:val="en-US" w:eastAsia="zh-CN"/>
        </w:rPr>
        <w:t>3</w:t>
      </w:r>
      <w:r>
        <w:rPr>
          <w:rFonts w:ascii="宋体" w:hAnsi="宋体"/>
          <w:snapToGrid w:val="0"/>
          <w:sz w:val="28"/>
          <w:szCs w:val="28"/>
          <w:highlight w:val="none"/>
        </w:rPr>
        <w:t xml:space="preserve">. </w:t>
      </w:r>
      <w:bookmarkEnd w:id="55"/>
      <w:bookmarkEnd w:id="56"/>
      <w:bookmarkEnd w:id="57"/>
      <w:bookmarkStart w:id="70" w:name="_Toc21754"/>
      <w:bookmarkStart w:id="71" w:name="_Toc23335"/>
      <w:r>
        <w:rPr>
          <w:rFonts w:ascii="宋体" w:hAnsi="宋体"/>
          <w:snapToGrid w:val="0"/>
          <w:sz w:val="28"/>
          <w:szCs w:val="28"/>
          <w:highlight w:val="none"/>
        </w:rPr>
        <w:t>投标人资格要求</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F33E037">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3</w:t>
      </w:r>
      <w:r>
        <w:rPr>
          <w:rFonts w:ascii="宋体" w:hAnsi="宋体"/>
          <w:snapToGrid w:val="0"/>
          <w:kern w:val="0"/>
          <w:szCs w:val="21"/>
          <w:highlight w:val="none"/>
        </w:rPr>
        <w:t>.1  本次招标要求投标人须具备</w:t>
      </w:r>
      <w:r>
        <w:rPr>
          <w:rFonts w:hint="eastAsia" w:ascii="宋体" w:hAnsi="宋体"/>
          <w:snapToGrid w:val="0"/>
          <w:kern w:val="0"/>
          <w:szCs w:val="21"/>
          <w:highlight w:val="none"/>
        </w:rPr>
        <w:t>以下条件：</w:t>
      </w:r>
    </w:p>
    <w:p w14:paraId="49A97784">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.1.1 本次招标要求投标人具备的资质条件：</w:t>
      </w:r>
      <w:r>
        <w:rPr>
          <w:rFonts w:hint="eastAsia" w:ascii="宋体" w:hAnsi="宋体" w:cs="Times New Roman"/>
          <w:color w:val="auto"/>
          <w:szCs w:val="21"/>
          <w:highlight w:val="none"/>
          <w:u w:val="single"/>
          <w:lang w:val="en-US" w:eastAsia="zh-CN"/>
        </w:rPr>
        <w:t>须</w:t>
      </w:r>
      <w:r>
        <w:rPr>
          <w:rFonts w:hint="eastAsia" w:ascii="宋体" w:hAnsi="宋体" w:cs="Times New Roman"/>
          <w:color w:val="auto"/>
          <w:szCs w:val="21"/>
          <w:highlight w:val="none"/>
          <w:u w:val="single"/>
        </w:rPr>
        <w:t>具</w:t>
      </w:r>
      <w:r>
        <w:rPr>
          <w:rFonts w:hint="eastAsia" w:ascii="宋体" w:hAnsi="宋体"/>
          <w:color w:val="auto"/>
          <w:szCs w:val="21"/>
          <w:highlight w:val="none"/>
          <w:u w:val="single"/>
        </w:rPr>
        <w:t>备建设行政主管部门颁发的有效的</w:t>
      </w:r>
      <w:r>
        <w:rPr>
          <w:rFonts w:hint="eastAsia" w:ascii="宋体" w:hAnsi="宋体"/>
          <w:color w:val="auto"/>
          <w:szCs w:val="21"/>
          <w:highlight w:val="none"/>
          <w:u w:val="single"/>
          <w:lang w:eastAsia="zh-CN"/>
        </w:rPr>
        <w:t>水利水电工程施工总承包三级及以上资质。</w:t>
      </w:r>
    </w:p>
    <w:p w14:paraId="1CB70C0A">
      <w:pPr>
        <w:tabs>
          <w:tab w:val="left" w:pos="3840"/>
          <w:tab w:val="left" w:pos="5300"/>
        </w:tabs>
        <w:autoSpaceDE w:val="0"/>
        <w:autoSpaceDN w:val="0"/>
        <w:adjustRightInd w:val="0"/>
        <w:snapToGrid w:val="0"/>
        <w:spacing w:line="360" w:lineRule="auto"/>
        <w:ind w:firstLine="420" w:firstLineChars="200"/>
        <w:jc w:val="left"/>
        <w:rPr>
          <w:rFonts w:ascii="宋体" w:hAnsi="宋体"/>
          <w:szCs w:val="21"/>
          <w:highlight w:val="none"/>
        </w:rPr>
      </w:pP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投标人还应在人员、</w:t>
      </w:r>
      <w:r>
        <w:rPr>
          <w:rFonts w:hint="eastAsia" w:ascii="宋体" w:hAnsi="宋体"/>
          <w:snapToGrid w:val="0"/>
          <w:kern w:val="0"/>
          <w:szCs w:val="21"/>
          <w:highlight w:val="none"/>
          <w:lang w:val="en-US" w:eastAsia="zh-CN"/>
        </w:rPr>
        <w:t>业绩、</w:t>
      </w:r>
      <w:r>
        <w:rPr>
          <w:rFonts w:hint="eastAsia" w:ascii="宋体" w:hAnsi="宋体"/>
          <w:snapToGrid w:val="0"/>
          <w:kern w:val="0"/>
          <w:szCs w:val="21"/>
          <w:highlight w:val="none"/>
        </w:rPr>
        <w:t>设备、资金等方面具有相应的施工能力，详见</w:t>
      </w:r>
      <w:r>
        <w:rPr>
          <w:rFonts w:hint="eastAsia" w:ascii="宋体" w:hAnsi="宋体"/>
          <w:snapToGrid w:val="0"/>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napToGrid w:val="0"/>
          <w:kern w:val="0"/>
          <w:szCs w:val="21"/>
          <w:highlight w:val="none"/>
        </w:rPr>
        <w:t>第二章投标人须知前附表第1.4.1条内容。</w:t>
      </w:r>
    </w:p>
    <w:p w14:paraId="610AD959">
      <w:pPr>
        <w:tabs>
          <w:tab w:val="left" w:pos="3045"/>
          <w:tab w:val="left" w:pos="8310"/>
        </w:tabs>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3</w:t>
      </w:r>
      <w:r>
        <w:rPr>
          <w:rFonts w:ascii="宋体" w:hAnsi="宋体"/>
          <w:snapToGrid w:val="0"/>
          <w:kern w:val="0"/>
          <w:szCs w:val="21"/>
          <w:highlight w:val="none"/>
        </w:rPr>
        <w:t>.2  本次招标</w:t>
      </w:r>
      <w:r>
        <w:rPr>
          <w:rFonts w:hint="eastAsia" w:ascii="宋体" w:hAnsi="宋体"/>
          <w:snapToGrid w:val="0"/>
          <w:kern w:val="0"/>
          <w:szCs w:val="21"/>
          <w:highlight w:val="none"/>
        </w:rPr>
        <w:t>不接受</w:t>
      </w:r>
      <w:r>
        <w:rPr>
          <w:rFonts w:ascii="宋体" w:hAnsi="宋体"/>
          <w:snapToGrid w:val="0"/>
          <w:kern w:val="0"/>
          <w:szCs w:val="21"/>
          <w:highlight w:val="none"/>
        </w:rPr>
        <w:t>联合体投标。</w:t>
      </w:r>
    </w:p>
    <w:p w14:paraId="43E4EF9B">
      <w:pPr>
        <w:pStyle w:val="4"/>
        <w:spacing w:before="0" w:after="0" w:line="360" w:lineRule="auto"/>
        <w:rPr>
          <w:rFonts w:ascii="宋体" w:hAnsi="宋体"/>
          <w:snapToGrid w:val="0"/>
          <w:sz w:val="28"/>
          <w:szCs w:val="28"/>
          <w:highlight w:val="none"/>
        </w:rPr>
      </w:pPr>
      <w:bookmarkStart w:id="72" w:name="_Toc10040"/>
      <w:bookmarkStart w:id="73" w:name="_Toc287607731"/>
      <w:bookmarkStart w:id="74" w:name="_Toc10216"/>
      <w:bookmarkStart w:id="75" w:name="_Toc277082539"/>
      <w:bookmarkStart w:id="76" w:name="_Toc200359241"/>
      <w:bookmarkStart w:id="77" w:name="_Toc509218695"/>
      <w:bookmarkStart w:id="78" w:name="_Toc224103302"/>
      <w:bookmarkStart w:id="79" w:name="_Toc30660"/>
      <w:bookmarkStart w:id="80" w:name="_Toc14272"/>
      <w:bookmarkStart w:id="81" w:name="_Toc200359430"/>
      <w:bookmarkStart w:id="82" w:name="_Toc11275"/>
      <w:bookmarkStart w:id="83" w:name="_Toc287620670"/>
      <w:bookmarkStart w:id="84" w:name="_Toc59810280"/>
      <w:bookmarkStart w:id="85" w:name="_Toc430530419"/>
      <w:r>
        <w:rPr>
          <w:rFonts w:hint="eastAsia" w:ascii="宋体" w:hAnsi="宋体"/>
          <w:snapToGrid w:val="0"/>
          <w:sz w:val="28"/>
          <w:szCs w:val="28"/>
          <w:highlight w:val="none"/>
          <w:lang w:val="en-US" w:eastAsia="zh-CN"/>
        </w:rPr>
        <w:t>4</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竞争性比选</w:t>
      </w:r>
      <w:r>
        <w:rPr>
          <w:rFonts w:hint="eastAsia" w:ascii="宋体" w:hAnsi="宋体"/>
          <w:snapToGrid w:val="0"/>
          <w:sz w:val="28"/>
          <w:szCs w:val="28"/>
          <w:highlight w:val="none"/>
          <w:lang w:val="en-US" w:eastAsia="zh-CN"/>
        </w:rPr>
        <w:t>文件</w:t>
      </w:r>
      <w:r>
        <w:rPr>
          <w:rFonts w:ascii="宋体" w:hAnsi="宋体"/>
          <w:snapToGrid w:val="0"/>
          <w:sz w:val="28"/>
          <w:szCs w:val="28"/>
          <w:highlight w:val="none"/>
        </w:rPr>
        <w:t>的获取</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0BE767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snapToGrid w:val="0"/>
          <w:kern w:val="0"/>
          <w:szCs w:val="21"/>
          <w:highlight w:val="none"/>
        </w:rPr>
      </w:pPr>
      <w:r>
        <w:rPr>
          <w:rFonts w:hint="eastAsia" w:ascii="宋体" w:hAnsi="宋体"/>
          <w:snapToGrid w:val="0"/>
          <w:kern w:val="0"/>
          <w:szCs w:val="21"/>
          <w:highlight w:val="none"/>
        </w:rPr>
        <w:t>4.1  凡有意参加投标者，请于202</w:t>
      </w: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年</w:t>
      </w:r>
      <w:r>
        <w:rPr>
          <w:rFonts w:hint="eastAsia" w:ascii="宋体" w:hAnsi="宋体"/>
          <w:snapToGrid w:val="0"/>
          <w:kern w:val="0"/>
          <w:szCs w:val="21"/>
          <w:highlight w:val="none"/>
          <w:lang w:val="en-US" w:eastAsia="zh-CN"/>
        </w:rPr>
        <w:t xml:space="preserve"> 3 </w:t>
      </w:r>
      <w:r>
        <w:rPr>
          <w:rFonts w:hint="eastAsia" w:ascii="宋体" w:hAnsi="宋体"/>
          <w:snapToGrid w:val="0"/>
          <w:kern w:val="0"/>
          <w:szCs w:val="21"/>
          <w:highlight w:val="none"/>
        </w:rPr>
        <w:t>月</w:t>
      </w:r>
      <w:r>
        <w:rPr>
          <w:rFonts w:hint="eastAsia" w:ascii="宋体" w:hAnsi="宋体"/>
          <w:snapToGrid w:val="0"/>
          <w:kern w:val="0"/>
          <w:szCs w:val="21"/>
          <w:highlight w:val="none"/>
          <w:lang w:val="en-US" w:eastAsia="zh-CN"/>
        </w:rPr>
        <w:t>20</w:t>
      </w:r>
      <w:r>
        <w:rPr>
          <w:rFonts w:hint="eastAsia" w:ascii="宋体" w:hAnsi="宋体"/>
          <w:snapToGrid w:val="0"/>
          <w:kern w:val="0"/>
          <w:szCs w:val="21"/>
          <w:highlight w:val="none"/>
        </w:rPr>
        <w:t>日（北京时间，下同）起在</w:t>
      </w:r>
      <w:r>
        <w:rPr>
          <w:rFonts w:hint="eastAsia" w:ascii="宋体" w:hAnsi="宋体"/>
          <w:snapToGrid w:val="0"/>
          <w:kern w:val="0"/>
          <w:szCs w:val="21"/>
          <w:highlight w:val="none"/>
          <w:u w:val="single"/>
          <w:lang w:eastAsia="zh-CN"/>
        </w:rPr>
        <w:t>垫江县人民政府网平台</w:t>
      </w:r>
      <w:r>
        <w:rPr>
          <w:rFonts w:hint="eastAsia" w:ascii="宋体" w:hAnsi="宋体"/>
          <w:snapToGrid w:val="0"/>
          <w:kern w:val="0"/>
          <w:szCs w:val="21"/>
          <w:highlight w:val="none"/>
        </w:rPr>
        <w:t>下载竞争性比选文件、清单、澄清、修改、补充通知、最高限价通知等全部内容。不管下载与否都视为潜在投标人全部知晓有关招投标过程和全部内容。</w:t>
      </w:r>
    </w:p>
    <w:p w14:paraId="6C3F815D">
      <w:pPr>
        <w:pStyle w:val="4"/>
        <w:spacing w:before="0" w:after="0" w:line="360" w:lineRule="auto"/>
        <w:ind w:firstLine="420" w:firstLineChars="200"/>
        <w:rPr>
          <w:rFonts w:hint="eastAsia" w:ascii="宋体" w:hAnsi="宋体" w:cs="Times New Roman"/>
          <w:b w:val="0"/>
          <w:bCs w:val="0"/>
          <w:snapToGrid w:val="0"/>
          <w:kern w:val="0"/>
          <w:sz w:val="21"/>
          <w:szCs w:val="21"/>
          <w:highlight w:val="none"/>
          <w:lang w:val="en-US" w:eastAsia="zh-CN" w:bidi="ar-SA"/>
        </w:rPr>
      </w:pPr>
      <w:bookmarkStart w:id="86" w:name="_Toc3252"/>
      <w:bookmarkStart w:id="87" w:name="_Toc9719"/>
      <w:bookmarkStart w:id="88" w:name="_Toc8540"/>
      <w:bookmarkStart w:id="89" w:name="_Toc200359242"/>
      <w:bookmarkStart w:id="90" w:name="_Toc277082540"/>
      <w:bookmarkStart w:id="91" w:name="_Toc224103303"/>
      <w:bookmarkStart w:id="92" w:name="_Toc200359431"/>
      <w:bookmarkStart w:id="93" w:name="_Toc59810281"/>
      <w:bookmarkStart w:id="94" w:name="_Toc287607732"/>
      <w:bookmarkStart w:id="95" w:name="_Toc430530420"/>
      <w:bookmarkStart w:id="96" w:name="_Toc17615"/>
      <w:bookmarkStart w:id="97" w:name="_Toc287620671"/>
      <w:bookmarkStart w:id="98" w:name="_Toc5456"/>
      <w:bookmarkStart w:id="99" w:name="_Toc509218696"/>
      <w:r>
        <w:rPr>
          <w:rFonts w:hint="eastAsia" w:ascii="宋体" w:hAnsi="宋体" w:eastAsia="宋体" w:cs="Times New Roman"/>
          <w:b w:val="0"/>
          <w:bCs w:val="0"/>
          <w:snapToGrid w:val="0"/>
          <w:kern w:val="0"/>
          <w:sz w:val="21"/>
          <w:szCs w:val="21"/>
          <w:highlight w:val="none"/>
          <w:lang w:val="en-US" w:eastAsia="zh-CN" w:bidi="ar-SA"/>
        </w:rPr>
        <w:t>4.2</w:t>
      </w:r>
      <w:r>
        <w:rPr>
          <w:rFonts w:hint="eastAsia" w:ascii="宋体" w:hAnsi="宋体" w:cs="Times New Roman"/>
          <w:b w:val="0"/>
          <w:bCs w:val="0"/>
          <w:snapToGrid w:val="0"/>
          <w:kern w:val="0"/>
          <w:sz w:val="21"/>
          <w:szCs w:val="21"/>
          <w:highlight w:val="none"/>
          <w:lang w:val="en-US" w:eastAsia="zh-CN" w:bidi="ar-SA"/>
        </w:rPr>
        <w:t xml:space="preserve">  本项目文件费500元，以单位公账转账的形式递交（须备注：垫江县五洞镇卧龙村提灌站项目文件费），递交的截止时间同投标文件递交的截止时间（售后不退）；投标人手持件须附转账回执单。</w:t>
      </w:r>
      <w:bookmarkEnd w:id="86"/>
    </w:p>
    <w:p w14:paraId="7E6B68CD">
      <w:pPr>
        <w:ind w:firstLine="840" w:firstLineChars="400"/>
        <w:rPr>
          <w:rFonts w:hint="eastAsia" w:ascii="宋体" w:hAnsi="宋体" w:eastAsia="宋体" w:cs="Times New Roman"/>
          <w:b w:val="0"/>
          <w:bCs w:val="0"/>
          <w:snapToGrid w:val="0"/>
          <w:kern w:val="0"/>
          <w:sz w:val="21"/>
          <w:szCs w:val="21"/>
          <w:highlight w:val="none"/>
          <w:lang w:val="en-US" w:eastAsia="zh-CN" w:bidi="ar-SA"/>
        </w:rPr>
      </w:pPr>
      <w:r>
        <w:rPr>
          <w:rFonts w:hint="eastAsia" w:ascii="宋体" w:hAnsi="宋体" w:eastAsia="宋体" w:cs="Times New Roman"/>
          <w:b w:val="0"/>
          <w:bCs w:val="0"/>
          <w:snapToGrid w:val="0"/>
          <w:kern w:val="0"/>
          <w:sz w:val="21"/>
          <w:szCs w:val="21"/>
          <w:highlight w:val="none"/>
          <w:lang w:val="en-US" w:eastAsia="zh-CN" w:bidi="ar-SA"/>
        </w:rPr>
        <w:t>户名：垫江县五洞镇卧龙村股份经济合作联合社</w:t>
      </w:r>
    </w:p>
    <w:p w14:paraId="1FC2238A">
      <w:pPr>
        <w:ind w:firstLine="840" w:firstLineChars="400"/>
        <w:rPr>
          <w:rFonts w:hint="default" w:ascii="宋体" w:hAnsi="宋体" w:eastAsia="宋体" w:cs="Times New Roman"/>
          <w:b w:val="0"/>
          <w:bCs w:val="0"/>
          <w:snapToGrid w:val="0"/>
          <w:kern w:val="0"/>
          <w:sz w:val="21"/>
          <w:szCs w:val="21"/>
          <w:highlight w:val="none"/>
          <w:lang w:val="en-US" w:eastAsia="zh-CN" w:bidi="ar-SA"/>
        </w:rPr>
      </w:pPr>
      <w:r>
        <w:rPr>
          <w:rFonts w:hint="eastAsia" w:ascii="宋体" w:hAnsi="宋体" w:eastAsia="宋体" w:cs="Times New Roman"/>
          <w:b w:val="0"/>
          <w:bCs w:val="0"/>
          <w:snapToGrid w:val="0"/>
          <w:kern w:val="0"/>
          <w:sz w:val="21"/>
          <w:szCs w:val="21"/>
          <w:highlight w:val="none"/>
          <w:lang w:val="en-US" w:eastAsia="zh-CN" w:bidi="ar-SA"/>
        </w:rPr>
        <w:t>账号：2509030120010001392</w:t>
      </w:r>
    </w:p>
    <w:p w14:paraId="4AA636FB">
      <w:pPr>
        <w:ind w:firstLine="840" w:firstLineChars="400"/>
        <w:rPr>
          <w:rFonts w:hint="eastAsia" w:ascii="宋体" w:hAnsi="宋体" w:eastAsia="宋体" w:cs="Times New Roman"/>
          <w:b w:val="0"/>
          <w:bCs w:val="0"/>
          <w:snapToGrid w:val="0"/>
          <w:kern w:val="0"/>
          <w:sz w:val="21"/>
          <w:szCs w:val="21"/>
          <w:highlight w:val="none"/>
          <w:lang w:val="en-US" w:eastAsia="zh-CN" w:bidi="ar-SA"/>
        </w:rPr>
      </w:pPr>
      <w:r>
        <w:rPr>
          <w:rFonts w:hint="eastAsia" w:ascii="宋体" w:hAnsi="宋体" w:eastAsia="宋体" w:cs="Times New Roman"/>
          <w:b w:val="0"/>
          <w:bCs w:val="0"/>
          <w:snapToGrid w:val="0"/>
          <w:kern w:val="0"/>
          <w:sz w:val="21"/>
          <w:szCs w:val="21"/>
          <w:highlight w:val="none"/>
          <w:lang w:val="en-US" w:eastAsia="zh-CN" w:bidi="ar-SA"/>
        </w:rPr>
        <w:t>开户行：重庆农村商业银行垫江支行五洞分理处</w:t>
      </w:r>
    </w:p>
    <w:p w14:paraId="4DCEE1E5">
      <w:pPr>
        <w:ind w:firstLine="840" w:firstLineChars="400"/>
        <w:rPr>
          <w:rFonts w:hint="default" w:ascii="宋体" w:hAnsi="宋体" w:eastAsia="宋体" w:cs="Times New Roman"/>
          <w:b w:val="0"/>
          <w:bCs w:val="0"/>
          <w:snapToGrid w:val="0"/>
          <w:kern w:val="0"/>
          <w:sz w:val="21"/>
          <w:szCs w:val="21"/>
          <w:highlight w:val="none"/>
          <w:lang w:val="en-US" w:eastAsia="zh-CN" w:bidi="ar-SA"/>
        </w:rPr>
      </w:pPr>
      <w:r>
        <w:rPr>
          <w:rFonts w:hint="eastAsia" w:ascii="宋体" w:hAnsi="宋体" w:eastAsia="宋体" w:cs="Times New Roman"/>
          <w:b w:val="0"/>
          <w:bCs w:val="0"/>
          <w:snapToGrid w:val="0"/>
          <w:kern w:val="0"/>
          <w:sz w:val="21"/>
          <w:szCs w:val="21"/>
          <w:highlight w:val="none"/>
          <w:lang w:val="en-US" w:eastAsia="zh-CN" w:bidi="ar-SA"/>
        </w:rPr>
        <w:t>注：未递交文件费的投标文件，招标人不予受理。</w:t>
      </w:r>
    </w:p>
    <w:p w14:paraId="54198229">
      <w:pPr>
        <w:pStyle w:val="4"/>
        <w:spacing w:before="0" w:after="0" w:line="360" w:lineRule="auto"/>
        <w:rPr>
          <w:rFonts w:ascii="宋体" w:hAnsi="宋体"/>
          <w:snapToGrid w:val="0"/>
          <w:sz w:val="28"/>
          <w:szCs w:val="28"/>
          <w:highlight w:val="none"/>
        </w:rPr>
      </w:pPr>
      <w:bookmarkStart w:id="100" w:name="_Toc15590"/>
      <w:r>
        <w:rPr>
          <w:rFonts w:hint="eastAsia" w:ascii="宋体" w:hAnsi="宋体"/>
          <w:snapToGrid w:val="0"/>
          <w:sz w:val="28"/>
          <w:szCs w:val="28"/>
          <w:highlight w:val="none"/>
          <w:lang w:val="en-US" w:eastAsia="zh-CN"/>
        </w:rPr>
        <w:t>5</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r>
        <w:rPr>
          <w:rFonts w:ascii="宋体" w:hAnsi="宋体"/>
          <w:snapToGrid w:val="0"/>
          <w:sz w:val="28"/>
          <w:szCs w:val="28"/>
          <w:highlight w:val="none"/>
        </w:rPr>
        <w:t>投标文件的递交</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09B2DA9">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20" w:firstLineChars="200"/>
        <w:rPr>
          <w:rFonts w:hint="eastAsia" w:ascii="宋体" w:hAnsi="宋体"/>
          <w:snapToGrid w:val="0"/>
          <w:kern w:val="0"/>
          <w:szCs w:val="21"/>
          <w:highlight w:val="none"/>
        </w:rPr>
      </w:pPr>
      <w:bookmarkStart w:id="101" w:name="_Toc287620672"/>
      <w:bookmarkStart w:id="102" w:name="_Toc509218697"/>
      <w:bookmarkStart w:id="103" w:name="_Toc224103304"/>
      <w:bookmarkStart w:id="104" w:name="_Toc430530421"/>
      <w:bookmarkStart w:id="105" w:name="_Toc200359432"/>
      <w:bookmarkStart w:id="106" w:name="_Toc287607733"/>
      <w:bookmarkStart w:id="107" w:name="_Toc277082541"/>
      <w:bookmarkStart w:id="108" w:name="_Toc200359243"/>
      <w:r>
        <w:rPr>
          <w:rFonts w:hint="eastAsia" w:ascii="宋体" w:hAnsi="宋体"/>
          <w:snapToGrid w:val="0"/>
          <w:kern w:val="0"/>
          <w:szCs w:val="21"/>
          <w:highlight w:val="none"/>
        </w:rPr>
        <w:t>5.1  投标文件递交的截止时间（投标截止时间，下同）为</w:t>
      </w:r>
      <w:r>
        <w:rPr>
          <w:rFonts w:hint="eastAsia" w:ascii="宋体" w:hAnsi="宋体"/>
          <w:snapToGrid w:val="0"/>
          <w:kern w:val="0"/>
          <w:szCs w:val="21"/>
          <w:highlight w:val="none"/>
          <w:lang w:val="en-US" w:eastAsia="zh-CN"/>
        </w:rPr>
        <w:t xml:space="preserve"> 2026 </w:t>
      </w:r>
      <w:r>
        <w:rPr>
          <w:rFonts w:hint="eastAsia" w:ascii="宋体" w:hAnsi="宋体"/>
          <w:snapToGrid w:val="0"/>
          <w:kern w:val="0"/>
          <w:szCs w:val="21"/>
          <w:highlight w:val="none"/>
        </w:rPr>
        <w:t>年</w:t>
      </w:r>
      <w:r>
        <w:rPr>
          <w:rFonts w:hint="eastAsia" w:ascii="宋体" w:hAnsi="宋体"/>
          <w:snapToGrid w:val="0"/>
          <w:kern w:val="0"/>
          <w:szCs w:val="21"/>
          <w:highlight w:val="none"/>
          <w:lang w:val="en-US" w:eastAsia="zh-CN"/>
        </w:rPr>
        <w:t xml:space="preserve"> 3 </w:t>
      </w:r>
      <w:r>
        <w:rPr>
          <w:rFonts w:hint="eastAsia" w:ascii="宋体" w:hAnsi="宋体"/>
          <w:snapToGrid w:val="0"/>
          <w:kern w:val="0"/>
          <w:szCs w:val="21"/>
          <w:highlight w:val="none"/>
        </w:rPr>
        <w:t>月</w:t>
      </w:r>
      <w:r>
        <w:rPr>
          <w:rFonts w:hint="eastAsia" w:ascii="宋体" w:hAnsi="宋体"/>
          <w:snapToGrid w:val="0"/>
          <w:kern w:val="0"/>
          <w:szCs w:val="21"/>
          <w:highlight w:val="none"/>
          <w:lang w:val="en-US" w:eastAsia="zh-CN"/>
        </w:rPr>
        <w:t xml:space="preserve"> 27 </w:t>
      </w:r>
      <w:r>
        <w:rPr>
          <w:rFonts w:hint="eastAsia" w:ascii="宋体" w:hAnsi="宋体"/>
          <w:snapToGrid w:val="0"/>
          <w:kern w:val="0"/>
          <w:szCs w:val="21"/>
          <w:highlight w:val="none"/>
        </w:rPr>
        <w:t>日</w:t>
      </w:r>
      <w:r>
        <w:rPr>
          <w:rFonts w:hint="eastAsia" w:ascii="宋体" w:hAnsi="宋体"/>
          <w:snapToGrid w:val="0"/>
          <w:kern w:val="0"/>
          <w:szCs w:val="21"/>
          <w:highlight w:val="none"/>
          <w:lang w:val="en-US" w:eastAsia="zh-CN"/>
        </w:rPr>
        <w:t>9:30至10:00截止</w:t>
      </w:r>
      <w:r>
        <w:rPr>
          <w:rFonts w:hint="eastAsia" w:ascii="宋体" w:hAnsi="宋体"/>
          <w:snapToGrid w:val="0"/>
          <w:kern w:val="0"/>
          <w:szCs w:val="21"/>
          <w:highlight w:val="none"/>
        </w:rPr>
        <w:t>，地点为 五洞镇卧龙村委</w:t>
      </w:r>
      <w:r>
        <w:rPr>
          <w:rFonts w:hint="eastAsia" w:ascii="宋体" w:hAnsi="宋体"/>
          <w:snapToGrid w:val="0"/>
          <w:kern w:val="0"/>
          <w:szCs w:val="21"/>
          <w:highlight w:val="none"/>
          <w:lang w:val="en-US" w:eastAsia="zh-CN"/>
        </w:rPr>
        <w:t>2楼会议室</w:t>
      </w:r>
      <w:r>
        <w:rPr>
          <w:rFonts w:hint="eastAsia" w:ascii="宋体" w:hAnsi="宋体"/>
          <w:snapToGrid w:val="0"/>
          <w:kern w:val="0"/>
          <w:szCs w:val="21"/>
          <w:highlight w:val="none"/>
        </w:rPr>
        <w:t>。</w:t>
      </w:r>
    </w:p>
    <w:p w14:paraId="0570AB50">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20" w:firstLineChars="200"/>
        <w:rPr>
          <w:rFonts w:ascii="宋体" w:hAnsi="宋体"/>
          <w:snapToGrid w:val="0"/>
          <w:sz w:val="28"/>
          <w:szCs w:val="28"/>
          <w:highlight w:val="none"/>
        </w:rPr>
      </w:pPr>
      <w:r>
        <w:rPr>
          <w:rFonts w:hint="eastAsia" w:ascii="宋体" w:hAnsi="宋体"/>
          <w:snapToGrid w:val="0"/>
          <w:kern w:val="0"/>
          <w:szCs w:val="21"/>
          <w:highlight w:val="none"/>
        </w:rPr>
        <w:t>5.2  逾期送达的或者未送达指定地点的投标文件，招标人不予受理。</w:t>
      </w:r>
    </w:p>
    <w:p w14:paraId="094B31CE">
      <w:pPr>
        <w:pStyle w:val="4"/>
        <w:spacing w:before="0" w:after="0" w:line="360" w:lineRule="auto"/>
        <w:rPr>
          <w:rFonts w:ascii="宋体" w:hAnsi="宋体"/>
          <w:snapToGrid w:val="0"/>
          <w:sz w:val="28"/>
          <w:szCs w:val="28"/>
          <w:highlight w:val="none"/>
        </w:rPr>
      </w:pPr>
      <w:bookmarkStart w:id="109" w:name="_Toc10708"/>
      <w:bookmarkStart w:id="110" w:name="_Toc59810282"/>
      <w:bookmarkStart w:id="111" w:name="_Toc25456"/>
      <w:bookmarkStart w:id="112" w:name="_Toc10225"/>
      <w:bookmarkStart w:id="113" w:name="_Toc3679"/>
      <w:bookmarkStart w:id="114" w:name="_Toc2123"/>
      <w:r>
        <w:rPr>
          <w:rFonts w:hint="eastAsia" w:ascii="宋体" w:hAnsi="宋体"/>
          <w:snapToGrid w:val="0"/>
          <w:sz w:val="28"/>
          <w:szCs w:val="28"/>
          <w:highlight w:val="none"/>
          <w:lang w:val="en-US" w:eastAsia="zh-CN"/>
        </w:rPr>
        <w:t>6</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56FF728">
      <w:pPr>
        <w:tabs>
          <w:tab w:val="left" w:pos="4950"/>
        </w:tabs>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本次招标公告同时在</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eastAsia="zh-CN"/>
        </w:rPr>
        <w:t>垫江县人民政府网平台</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rPr>
        <w:t>上发布。</w:t>
      </w:r>
    </w:p>
    <w:p w14:paraId="0D788F38">
      <w:pPr>
        <w:pStyle w:val="4"/>
        <w:spacing w:before="0" w:after="0" w:line="360" w:lineRule="auto"/>
        <w:rPr>
          <w:rFonts w:ascii="宋体" w:hAnsi="宋体"/>
          <w:snapToGrid w:val="0"/>
          <w:sz w:val="28"/>
          <w:szCs w:val="28"/>
          <w:highlight w:val="none"/>
        </w:rPr>
      </w:pPr>
      <w:bookmarkStart w:id="115" w:name="_Toc430530422"/>
      <w:bookmarkStart w:id="116" w:name="_Toc277082542"/>
      <w:bookmarkStart w:id="117" w:name="_Toc224103305"/>
      <w:bookmarkStart w:id="118" w:name="_Toc17489"/>
      <w:bookmarkStart w:id="119" w:name="_Toc287607734"/>
      <w:bookmarkStart w:id="120" w:name="_Toc287620673"/>
      <w:bookmarkStart w:id="121" w:name="_Toc22617"/>
      <w:bookmarkStart w:id="122" w:name="_Toc509218698"/>
      <w:bookmarkStart w:id="123" w:name="_Toc19644"/>
      <w:bookmarkStart w:id="124" w:name="_Toc59810283"/>
      <w:bookmarkStart w:id="125" w:name="_Toc17554"/>
      <w:bookmarkStart w:id="126" w:name="_Toc16077"/>
      <w:r>
        <w:rPr>
          <w:rFonts w:hint="eastAsia" w:ascii="宋体" w:hAnsi="宋体"/>
          <w:snapToGrid w:val="0"/>
          <w:sz w:val="28"/>
          <w:szCs w:val="28"/>
          <w:highlight w:val="none"/>
          <w:lang w:val="en-US" w:eastAsia="zh-CN"/>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r>
        <w:rPr>
          <w:rFonts w:ascii="宋体" w:hAnsi="宋体"/>
          <w:snapToGrid w:val="0"/>
          <w:sz w:val="28"/>
          <w:szCs w:val="28"/>
          <w:highlight w:val="none"/>
        </w:rPr>
        <w:t>联系方式</w:t>
      </w:r>
      <w:bookmarkEnd w:id="115"/>
      <w:bookmarkEnd w:id="116"/>
      <w:bookmarkEnd w:id="117"/>
      <w:bookmarkEnd w:id="118"/>
      <w:bookmarkEnd w:id="119"/>
      <w:bookmarkEnd w:id="120"/>
      <w:bookmarkEnd w:id="121"/>
      <w:bookmarkEnd w:id="122"/>
      <w:bookmarkEnd w:id="123"/>
      <w:bookmarkEnd w:id="124"/>
      <w:bookmarkEnd w:id="125"/>
      <w:bookmarkEnd w:id="126"/>
    </w:p>
    <w:p w14:paraId="0B5F213B">
      <w:pPr>
        <w:tabs>
          <w:tab w:val="left" w:pos="5140"/>
          <w:tab w:val="left" w:pos="852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招 标 人：</w:t>
      </w:r>
      <w:r>
        <w:rPr>
          <w:rFonts w:hint="eastAsia" w:ascii="宋体" w:hAnsi="宋体"/>
          <w:snapToGrid w:val="0"/>
          <w:kern w:val="0"/>
          <w:szCs w:val="21"/>
          <w:highlight w:val="none"/>
          <w:lang w:val="en-US" w:eastAsia="zh-CN"/>
        </w:rPr>
        <w:t xml:space="preserve">                               </w:t>
      </w:r>
      <w:r>
        <w:rPr>
          <w:rFonts w:ascii="宋体" w:hAnsi="宋体"/>
          <w:snapToGrid w:val="0"/>
          <w:kern w:val="0"/>
          <w:szCs w:val="21"/>
          <w:highlight w:val="none"/>
        </w:rPr>
        <w:t>招标代理机构：</w:t>
      </w:r>
    </w:p>
    <w:p w14:paraId="07943C39">
      <w:pPr>
        <w:tabs>
          <w:tab w:val="left" w:pos="5140"/>
          <w:tab w:val="left" w:pos="852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u w:val="single"/>
          <w:lang w:val="en-US" w:eastAsia="zh-CN"/>
        </w:rPr>
        <w:t>垫江县五洞镇卧龙村股份经济合作联合社</w:t>
      </w:r>
      <w:r>
        <w:rPr>
          <w:rFonts w:hint="eastAsia" w:ascii="宋体" w:hAnsi="宋体"/>
          <w:snapToGrid w:val="0"/>
          <w:kern w:val="0"/>
          <w:szCs w:val="21"/>
          <w:highlight w:val="none"/>
          <w:u w:val="none"/>
          <w:lang w:val="en-US" w:eastAsia="zh-CN"/>
        </w:rPr>
        <w:t xml:space="preserve">               </w:t>
      </w:r>
      <w:r>
        <w:rPr>
          <w:rFonts w:hint="eastAsia" w:ascii="宋体" w:hAnsi="宋体"/>
          <w:snapToGrid w:val="0"/>
          <w:kern w:val="0"/>
          <w:szCs w:val="21"/>
          <w:highlight w:val="none"/>
          <w:u w:val="single"/>
          <w:lang w:val="en-US" w:eastAsia="zh-CN"/>
        </w:rPr>
        <w:t>重庆市以存项目管理有限公司</w:t>
      </w:r>
      <w:r>
        <w:rPr>
          <w:rFonts w:ascii="宋体" w:hAnsi="宋体"/>
          <w:snapToGrid w:val="0"/>
          <w:kern w:val="0"/>
          <w:szCs w:val="21"/>
          <w:highlight w:val="none"/>
          <w:u w:val="single"/>
        </w:rPr>
        <w:t xml:space="preserve"> </w:t>
      </w:r>
    </w:p>
    <w:p w14:paraId="4636F979">
      <w:pPr>
        <w:tabs>
          <w:tab w:val="left" w:pos="5140"/>
          <w:tab w:val="left" w:pos="8420"/>
        </w:tabs>
        <w:autoSpaceDE w:val="0"/>
        <w:autoSpaceDN w:val="0"/>
        <w:adjustRightInd w:val="0"/>
        <w:snapToGrid w:val="0"/>
        <w:spacing w:line="360" w:lineRule="auto"/>
        <w:ind w:left="5880" w:leftChars="200" w:hanging="5460" w:hangingChars="2600"/>
        <w:jc w:val="left"/>
        <w:rPr>
          <w:rFonts w:ascii="宋体" w:hAnsi="宋体"/>
          <w:snapToGrid w:val="0"/>
          <w:kern w:val="0"/>
          <w:szCs w:val="21"/>
          <w:highlight w:val="none"/>
        </w:rPr>
      </w:pPr>
      <w:r>
        <w:rPr>
          <w:rFonts w:ascii="宋体" w:hAnsi="宋体"/>
          <w:snapToGrid w:val="0"/>
          <w:kern w:val="0"/>
          <w:szCs w:val="21"/>
          <w:highlight w:val="none"/>
        </w:rPr>
        <w:t>地    址：</w:t>
      </w:r>
      <w:r>
        <w:rPr>
          <w:rFonts w:hint="eastAsia" w:ascii="宋体" w:hAnsi="宋体" w:cs="Times New Roman"/>
          <w:snapToGrid w:val="0"/>
          <w:kern w:val="0"/>
          <w:szCs w:val="21"/>
          <w:highlight w:val="none"/>
          <w:u w:val="single"/>
        </w:rPr>
        <w:t>五洞镇镇卧龙村委</w:t>
      </w:r>
      <w:r>
        <w:rPr>
          <w:rFonts w:ascii="宋体" w:hAnsi="宋体" w:cs="Times New Roman"/>
          <w:snapToGrid w:val="0"/>
          <w:kern w:val="0"/>
          <w:szCs w:val="21"/>
          <w:highlight w:val="none"/>
          <w:u w:val="single"/>
        </w:rPr>
        <w:t xml:space="preserve"> </w:t>
      </w:r>
      <w:r>
        <w:rPr>
          <w:rFonts w:hint="eastAsia" w:ascii="宋体" w:hAnsi="宋体" w:cs="Times New Roman"/>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地    址：</w:t>
      </w:r>
      <w:r>
        <w:rPr>
          <w:rFonts w:hint="eastAsia" w:ascii="宋体" w:hAnsi="宋体"/>
          <w:snapToGrid w:val="0"/>
          <w:kern w:val="0"/>
          <w:szCs w:val="21"/>
          <w:highlight w:val="none"/>
          <w:u w:val="single"/>
        </w:rPr>
        <w:t>重庆市九龙坡区正升百老汇广场2单元25-16</w:t>
      </w:r>
    </w:p>
    <w:p w14:paraId="726063B2">
      <w:pPr>
        <w:tabs>
          <w:tab w:val="left" w:pos="5140"/>
          <w:tab w:val="left" w:pos="8420"/>
        </w:tabs>
        <w:autoSpaceDE w:val="0"/>
        <w:autoSpaceDN w:val="0"/>
        <w:adjustRightInd w:val="0"/>
        <w:snapToGrid w:val="0"/>
        <w:spacing w:line="360" w:lineRule="auto"/>
        <w:ind w:left="420" w:leftChars="200" w:firstLine="0" w:firstLineChars="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联 系 人：</w:t>
      </w:r>
      <w:r>
        <w:rPr>
          <w:rFonts w:hint="eastAsia" w:ascii="宋体" w:hAnsi="宋体"/>
          <w:snapToGrid w:val="0"/>
          <w:kern w:val="0"/>
          <w:szCs w:val="21"/>
          <w:highlight w:val="none"/>
          <w:u w:val="single"/>
          <w:lang w:val="en-US" w:eastAsia="zh-CN"/>
        </w:rPr>
        <w:t xml:space="preserve">    冷老师                 </w:t>
      </w:r>
      <w:r>
        <w:rPr>
          <w:rFonts w:hint="eastAsia" w:ascii="宋体" w:hAnsi="宋体"/>
          <w:snapToGrid w:val="0"/>
          <w:kern w:val="0"/>
          <w:szCs w:val="21"/>
          <w:highlight w:val="none"/>
          <w:u w:val="none"/>
          <w:lang w:val="en-US" w:eastAsia="zh-CN"/>
        </w:rPr>
        <w:t xml:space="preserve">    </w:t>
      </w:r>
      <w:r>
        <w:rPr>
          <w:rFonts w:hint="eastAsia" w:ascii="宋体" w:hAnsi="宋体"/>
          <w:snapToGrid w:val="0"/>
          <w:kern w:val="0"/>
          <w:szCs w:val="21"/>
          <w:highlight w:val="none"/>
          <w:lang w:val="en-US" w:eastAsia="zh-CN"/>
        </w:rPr>
        <w:t>联 系 人：</w:t>
      </w:r>
      <w:r>
        <w:rPr>
          <w:rFonts w:hint="eastAsia" w:ascii="宋体" w:hAnsi="宋体"/>
          <w:snapToGrid w:val="0"/>
          <w:kern w:val="0"/>
          <w:szCs w:val="21"/>
          <w:highlight w:val="none"/>
          <w:u w:val="single"/>
          <w:lang w:val="en-US" w:eastAsia="zh-CN"/>
        </w:rPr>
        <w:t xml:space="preserve">     刘老师                     </w:t>
      </w:r>
      <w:r>
        <w:rPr>
          <w:rFonts w:ascii="宋体" w:hAnsi="宋体"/>
          <w:snapToGrid w:val="0"/>
          <w:kern w:val="0"/>
          <w:szCs w:val="21"/>
          <w:highlight w:val="none"/>
        </w:rPr>
        <w:t>电    话：</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023-74562700</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w:t>
      </w:r>
    </w:p>
    <w:p w14:paraId="766973D9">
      <w:pPr>
        <w:autoSpaceDE w:val="0"/>
        <w:autoSpaceDN w:val="0"/>
        <w:adjustRightInd w:val="0"/>
        <w:snapToGrid w:val="0"/>
        <w:spacing w:line="360" w:lineRule="auto"/>
        <w:ind w:right="840" w:firstLine="420" w:firstLineChars="200"/>
        <w:rPr>
          <w:rFonts w:ascii="宋体" w:hAnsi="宋体"/>
          <w:snapToGrid w:val="0"/>
          <w:kern w:val="0"/>
          <w:szCs w:val="21"/>
          <w:highlight w:val="none"/>
          <w:u w:val="single"/>
        </w:rPr>
      </w:pPr>
    </w:p>
    <w:p w14:paraId="0FA10604">
      <w:pPr>
        <w:autoSpaceDE w:val="0"/>
        <w:autoSpaceDN w:val="0"/>
        <w:adjustRightInd w:val="0"/>
        <w:snapToGrid w:val="0"/>
        <w:spacing w:line="360" w:lineRule="auto"/>
        <w:ind w:right="840" w:firstLine="420" w:firstLineChars="200"/>
        <w:rPr>
          <w:rFonts w:ascii="宋体" w:hAnsi="宋体"/>
          <w:snapToGrid w:val="0"/>
          <w:kern w:val="0"/>
          <w:szCs w:val="21"/>
          <w:highlight w:val="none"/>
          <w:u w:val="single"/>
        </w:rPr>
      </w:pPr>
    </w:p>
    <w:p w14:paraId="05114EEE">
      <w:pPr>
        <w:autoSpaceDE w:val="0"/>
        <w:autoSpaceDN w:val="0"/>
        <w:adjustRightInd w:val="0"/>
        <w:snapToGrid w:val="0"/>
        <w:spacing w:before="0" w:after="0" w:line="360" w:lineRule="auto"/>
        <w:jc w:val="right"/>
        <w:rPr>
          <w:rFonts w:ascii="宋体" w:hAnsi="宋体"/>
          <w:snapToGrid w:val="0"/>
          <w:kern w:val="0"/>
          <w:highlight w:val="none"/>
        </w:rPr>
      </w:pPr>
      <w:r>
        <w:rPr>
          <w:rFonts w:ascii="宋体" w:hAnsi="宋体"/>
          <w:snapToGrid w:val="0"/>
          <w:kern w:val="0"/>
          <w:szCs w:val="21"/>
          <w:highlight w:val="none"/>
        </w:rPr>
        <w:br w:type="page"/>
      </w:r>
      <w:bookmarkStart w:id="127" w:name="_Toc287607744"/>
      <w:bookmarkStart w:id="128" w:name="_Toc287620683"/>
      <w:bookmarkStart w:id="129" w:name="_Toc224103315"/>
      <w:bookmarkStart w:id="130" w:name="_Toc430530432"/>
    </w:p>
    <w:p w14:paraId="02104017">
      <w:pPr>
        <w:pStyle w:val="3"/>
        <w:spacing w:before="200" w:after="200" w:line="360" w:lineRule="auto"/>
        <w:jc w:val="center"/>
        <w:rPr>
          <w:rFonts w:ascii="黑体" w:hAnsi="黑体" w:eastAsia="黑体"/>
          <w:b w:val="0"/>
          <w:bCs w:val="0"/>
          <w:sz w:val="32"/>
          <w:highlight w:val="none"/>
        </w:rPr>
      </w:pPr>
      <w:bookmarkStart w:id="131" w:name="_Toc168475642"/>
      <w:bookmarkStart w:id="132" w:name="_Toc16105"/>
      <w:bookmarkStart w:id="133" w:name="_Toc59810293"/>
      <w:bookmarkStart w:id="134" w:name="_Toc222030983"/>
      <w:bookmarkStart w:id="135" w:name="_Toc221950007"/>
      <w:bookmarkStart w:id="136" w:name="_Toc6493"/>
      <w:bookmarkStart w:id="137" w:name="_Toc14387"/>
      <w:bookmarkStart w:id="138" w:name="_Toc229305341"/>
      <w:bookmarkStart w:id="139" w:name="_Toc222032650"/>
      <w:bookmarkStart w:id="140" w:name="_Toc222029481"/>
      <w:bookmarkStart w:id="141" w:name="_Toc24012"/>
      <w:bookmarkStart w:id="142" w:name="_Toc222033832"/>
      <w:bookmarkStart w:id="143" w:name="_Toc229408462"/>
      <w:bookmarkStart w:id="144" w:name="_Toc7141"/>
      <w:bookmarkStart w:id="145" w:name="_Toc168476045"/>
      <w:bookmarkStart w:id="146" w:name="_Toc144974495"/>
      <w:r>
        <w:rPr>
          <w:rFonts w:hint="eastAsia" w:ascii="宋体" w:hAnsi="宋体"/>
          <w:snapToGrid w:val="0"/>
          <w:kern w:val="0"/>
          <w:highlight w:val="none"/>
        </w:rPr>
        <w:t>第二章 投标人须知</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5432728">
      <w:pPr>
        <w:spacing w:line="360" w:lineRule="auto"/>
        <w:jc w:val="center"/>
        <w:outlineLvl w:val="1"/>
        <w:rPr>
          <w:rFonts w:ascii="黑体" w:hAnsi="黑体" w:eastAsia="黑体"/>
          <w:sz w:val="28"/>
          <w:szCs w:val="28"/>
          <w:highlight w:val="none"/>
        </w:rPr>
      </w:pPr>
      <w:bookmarkStart w:id="147" w:name="_Toc11102"/>
      <w:bookmarkStart w:id="148" w:name="_Toc221950008"/>
      <w:bookmarkStart w:id="149" w:name="_Toc32444"/>
      <w:r>
        <w:rPr>
          <w:rFonts w:hint="eastAsia" w:ascii="黑体" w:hAnsi="黑体" w:eastAsia="黑体"/>
          <w:sz w:val="28"/>
          <w:szCs w:val="28"/>
          <w:highlight w:val="none"/>
        </w:rPr>
        <w:t>投标人须知前附表</w:t>
      </w:r>
      <w:bookmarkEnd w:id="147"/>
      <w:bookmarkEnd w:id="148"/>
      <w:bookmarkEnd w:id="149"/>
    </w:p>
    <w:p w14:paraId="108C4401">
      <w:pPr>
        <w:spacing w:line="360" w:lineRule="auto"/>
        <w:ind w:firstLine="420" w:firstLineChars="200"/>
        <w:rPr>
          <w:rFonts w:ascii="宋体" w:hAnsi="宋体"/>
          <w:szCs w:val="21"/>
          <w:highlight w:val="none"/>
        </w:rPr>
      </w:pPr>
      <w:r>
        <w:rPr>
          <w:rFonts w:ascii="宋体" w:hAnsi="宋体"/>
          <w:szCs w:val="21"/>
          <w:highlight w:val="none"/>
        </w:rPr>
        <w:t>正文内容不允许修改。若投标人须知前附表与正文不一致的地方，以投标人须知前附表为准。</w:t>
      </w:r>
    </w:p>
    <w:tbl>
      <w:tblPr>
        <w:tblStyle w:val="46"/>
        <w:tblW w:w="9288" w:type="dxa"/>
        <w:tblInd w:w="0" w:type="dxa"/>
        <w:tblLayout w:type="fixed"/>
        <w:tblCellMar>
          <w:top w:w="0" w:type="dxa"/>
          <w:left w:w="108" w:type="dxa"/>
          <w:bottom w:w="0" w:type="dxa"/>
          <w:right w:w="108" w:type="dxa"/>
        </w:tblCellMar>
      </w:tblPr>
      <w:tblGrid>
        <w:gridCol w:w="1098"/>
        <w:gridCol w:w="2555"/>
        <w:gridCol w:w="19"/>
        <w:gridCol w:w="5616"/>
      </w:tblGrid>
      <w:tr w14:paraId="12655FE9">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39A0691D">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szCs w:val="21"/>
                <w:highlight w:val="none"/>
              </w:rPr>
            </w:pPr>
            <w:bookmarkStart w:id="150" w:name="_Toc221950009"/>
            <w:r>
              <w:rPr>
                <w:rFonts w:hint="eastAsia" w:ascii="宋体" w:hAnsi="宋体" w:eastAsia="宋体" w:cs="宋体"/>
                <w:b/>
                <w:szCs w:val="21"/>
                <w:highlight w:val="none"/>
              </w:rPr>
              <w:t>条款号</w:t>
            </w:r>
            <w:bookmarkEnd w:id="150"/>
          </w:p>
        </w:tc>
        <w:tc>
          <w:tcPr>
            <w:tcW w:w="2555" w:type="dxa"/>
            <w:tcBorders>
              <w:top w:val="single" w:color="auto" w:sz="4" w:space="0"/>
              <w:left w:val="single" w:color="auto" w:sz="4" w:space="0"/>
              <w:bottom w:val="single" w:color="auto" w:sz="4" w:space="0"/>
              <w:right w:val="single" w:color="auto" w:sz="4" w:space="0"/>
            </w:tcBorders>
            <w:vAlign w:val="center"/>
          </w:tcPr>
          <w:p w14:paraId="608C505F">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szCs w:val="21"/>
                <w:highlight w:val="none"/>
              </w:rPr>
            </w:pPr>
            <w:bookmarkStart w:id="151" w:name="_Toc221950010"/>
            <w:r>
              <w:rPr>
                <w:rFonts w:hint="eastAsia" w:ascii="宋体" w:hAnsi="宋体" w:eastAsia="宋体" w:cs="宋体"/>
                <w:b/>
                <w:szCs w:val="21"/>
                <w:highlight w:val="none"/>
              </w:rPr>
              <w:t>条  款  名  称</w:t>
            </w:r>
            <w:bookmarkEnd w:id="151"/>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208455BA">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szCs w:val="21"/>
                <w:highlight w:val="none"/>
              </w:rPr>
            </w:pPr>
            <w:bookmarkStart w:id="152" w:name="_Toc221950011"/>
            <w:r>
              <w:rPr>
                <w:rFonts w:hint="eastAsia" w:ascii="宋体" w:hAnsi="宋体" w:eastAsia="宋体" w:cs="宋体"/>
                <w:b/>
                <w:szCs w:val="21"/>
                <w:highlight w:val="none"/>
              </w:rPr>
              <w:t>编  列  内  容</w:t>
            </w:r>
            <w:bookmarkEnd w:id="152"/>
          </w:p>
        </w:tc>
      </w:tr>
      <w:tr w14:paraId="7FEFABE3">
        <w:tblPrEx>
          <w:tblCellMar>
            <w:top w:w="0" w:type="dxa"/>
            <w:left w:w="108" w:type="dxa"/>
            <w:bottom w:w="0" w:type="dxa"/>
            <w:right w:w="108" w:type="dxa"/>
          </w:tblCellMar>
        </w:tblPrEx>
        <w:trPr>
          <w:trHeight w:val="315" w:hRule="atLeast"/>
        </w:trPr>
        <w:tc>
          <w:tcPr>
            <w:tcW w:w="1098" w:type="dxa"/>
            <w:tcBorders>
              <w:top w:val="single" w:color="auto" w:sz="4" w:space="0"/>
              <w:left w:val="single" w:color="auto" w:sz="4" w:space="0"/>
              <w:bottom w:val="single" w:color="auto" w:sz="4" w:space="0"/>
              <w:right w:val="single" w:color="auto" w:sz="4" w:space="0"/>
            </w:tcBorders>
            <w:vAlign w:val="center"/>
          </w:tcPr>
          <w:p w14:paraId="7BC0E8A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3" w:name="_Toc221950012"/>
            <w:r>
              <w:rPr>
                <w:rFonts w:hint="eastAsia" w:ascii="宋体" w:hAnsi="宋体" w:eastAsia="宋体" w:cs="宋体"/>
                <w:szCs w:val="21"/>
                <w:highlight w:val="none"/>
              </w:rPr>
              <w:t>1.1.2</w:t>
            </w:r>
            <w:bookmarkEnd w:id="153"/>
          </w:p>
        </w:tc>
        <w:tc>
          <w:tcPr>
            <w:tcW w:w="2555" w:type="dxa"/>
            <w:tcBorders>
              <w:top w:val="single" w:color="auto" w:sz="4" w:space="0"/>
              <w:left w:val="single" w:color="auto" w:sz="4" w:space="0"/>
              <w:bottom w:val="single" w:color="auto" w:sz="4" w:space="0"/>
              <w:right w:val="single" w:color="auto" w:sz="4" w:space="0"/>
            </w:tcBorders>
            <w:vAlign w:val="center"/>
          </w:tcPr>
          <w:p w14:paraId="1674100D">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4" w:name="_Toc221950013"/>
            <w:r>
              <w:rPr>
                <w:rFonts w:hint="eastAsia" w:ascii="宋体" w:hAnsi="宋体" w:eastAsia="宋体" w:cs="宋体"/>
                <w:szCs w:val="21"/>
                <w:highlight w:val="none"/>
              </w:rPr>
              <w:t>招标人</w:t>
            </w:r>
            <w:bookmarkEnd w:id="154"/>
            <w:r>
              <w:rPr>
                <w:rFonts w:hint="eastAsia" w:ascii="宋体" w:hAnsi="宋体" w:eastAsia="宋体" w:cs="宋体"/>
                <w:szCs w:val="21"/>
                <w:highlight w:val="none"/>
              </w:rPr>
              <w:t xml:space="preserve"> </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0844B185">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名称：</w:t>
            </w:r>
            <w:r>
              <w:rPr>
                <w:rFonts w:hint="eastAsia" w:ascii="宋体" w:hAnsi="宋体"/>
                <w:snapToGrid w:val="0"/>
                <w:kern w:val="0"/>
                <w:szCs w:val="21"/>
                <w:highlight w:val="none"/>
                <w:u w:val="single"/>
                <w:lang w:val="en-US" w:eastAsia="zh-CN"/>
              </w:rPr>
              <w:t>垫江县五洞镇卧龙村股份经济合作联合社</w:t>
            </w:r>
          </w:p>
          <w:p w14:paraId="37B5077C">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r>
              <w:rPr>
                <w:rFonts w:hint="eastAsia" w:ascii="宋体" w:hAnsi="宋体" w:cs="Times New Roman"/>
                <w:snapToGrid w:val="0"/>
                <w:kern w:val="0"/>
                <w:szCs w:val="21"/>
                <w:highlight w:val="none"/>
                <w:u w:val="single"/>
              </w:rPr>
              <w:t>五洞镇卧龙村委</w:t>
            </w:r>
          </w:p>
          <w:p w14:paraId="7E11ECB1">
            <w:pPr>
              <w:keepNext w:val="0"/>
              <w:keepLines w:val="0"/>
              <w:pageBreakBefore w:val="0"/>
              <w:kinsoku/>
              <w:wordWrap/>
              <w:overflowPunct/>
              <w:topLinePunct w:val="0"/>
              <w:bidi w:val="0"/>
              <w:spacing w:line="400" w:lineRule="exac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lang w:val="en-US" w:eastAsia="zh-CN"/>
              </w:rPr>
              <w:t>联系人：</w:t>
            </w:r>
            <w:r>
              <w:rPr>
                <w:rFonts w:hint="eastAsia" w:ascii="宋体" w:hAnsi="宋体"/>
                <w:snapToGrid w:val="0"/>
                <w:kern w:val="0"/>
                <w:szCs w:val="21"/>
                <w:highlight w:val="none"/>
                <w:u w:val="single"/>
                <w:lang w:val="en-US" w:eastAsia="zh-CN"/>
              </w:rPr>
              <w:t>冷老师</w:t>
            </w:r>
          </w:p>
          <w:p w14:paraId="6C849BF1">
            <w:pPr>
              <w:keepNext w:val="0"/>
              <w:keepLines w:val="0"/>
              <w:pageBreakBefore w:val="0"/>
              <w:kinsoku/>
              <w:wordWrap/>
              <w:overflowPunct/>
              <w:topLinePunct w:val="0"/>
              <w:bidi w:val="0"/>
              <w:spacing w:line="400" w:lineRule="exact"/>
              <w:textAlignment w:val="auto"/>
              <w:rPr>
                <w:rFonts w:hint="default" w:ascii="宋体" w:hAnsi="宋体" w:eastAsia="宋体" w:cs="宋体"/>
                <w:szCs w:val="21"/>
                <w:highlight w:val="none"/>
                <w:lang w:val="en-US" w:eastAsia="zh-CN"/>
              </w:rPr>
            </w:pPr>
            <w:r>
              <w:rPr>
                <w:rFonts w:hint="eastAsia" w:ascii="宋体" w:hAnsi="宋体" w:eastAsia="宋体" w:cs="宋体"/>
                <w:kern w:val="0"/>
                <w:szCs w:val="21"/>
                <w:highlight w:val="none"/>
              </w:rPr>
              <w:t>电话：</w:t>
            </w:r>
            <w:r>
              <w:rPr>
                <w:rFonts w:hint="eastAsia" w:ascii="宋体" w:hAnsi="宋体"/>
                <w:snapToGrid w:val="0"/>
                <w:kern w:val="0"/>
                <w:szCs w:val="21"/>
                <w:highlight w:val="none"/>
                <w:u w:val="single"/>
                <w:lang w:val="en-US" w:eastAsia="zh-CN"/>
              </w:rPr>
              <w:t>023-74562700</w:t>
            </w:r>
          </w:p>
        </w:tc>
      </w:tr>
      <w:tr w14:paraId="7ACC5F2F">
        <w:tblPrEx>
          <w:tblCellMar>
            <w:top w:w="0" w:type="dxa"/>
            <w:left w:w="108" w:type="dxa"/>
            <w:bottom w:w="0" w:type="dxa"/>
            <w:right w:w="108" w:type="dxa"/>
          </w:tblCellMar>
        </w:tblPrEx>
        <w:trPr>
          <w:trHeight w:val="495" w:hRule="atLeast"/>
        </w:trPr>
        <w:tc>
          <w:tcPr>
            <w:tcW w:w="1098" w:type="dxa"/>
            <w:tcBorders>
              <w:top w:val="single" w:color="auto" w:sz="4" w:space="0"/>
              <w:left w:val="single" w:color="auto" w:sz="4" w:space="0"/>
              <w:bottom w:val="single" w:color="auto" w:sz="4" w:space="0"/>
              <w:right w:val="single" w:color="auto" w:sz="4" w:space="0"/>
            </w:tcBorders>
            <w:vAlign w:val="center"/>
          </w:tcPr>
          <w:p w14:paraId="1DE0CFD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5" w:name="_Toc221950014"/>
            <w:r>
              <w:rPr>
                <w:rFonts w:hint="eastAsia" w:ascii="宋体" w:hAnsi="宋体" w:eastAsia="宋体" w:cs="宋体"/>
                <w:szCs w:val="21"/>
                <w:highlight w:val="none"/>
              </w:rPr>
              <w:t>1.1.3</w:t>
            </w:r>
            <w:bookmarkEnd w:id="155"/>
          </w:p>
        </w:tc>
        <w:tc>
          <w:tcPr>
            <w:tcW w:w="2555" w:type="dxa"/>
            <w:tcBorders>
              <w:top w:val="single" w:color="auto" w:sz="4" w:space="0"/>
              <w:left w:val="single" w:color="auto" w:sz="4" w:space="0"/>
              <w:bottom w:val="single" w:color="auto" w:sz="4" w:space="0"/>
              <w:right w:val="single" w:color="auto" w:sz="4" w:space="0"/>
            </w:tcBorders>
            <w:vAlign w:val="center"/>
          </w:tcPr>
          <w:p w14:paraId="2DF7A75D">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6" w:name="_Toc221950015"/>
            <w:r>
              <w:rPr>
                <w:rFonts w:hint="eastAsia" w:ascii="宋体" w:hAnsi="宋体" w:eastAsia="宋体" w:cs="宋体"/>
                <w:szCs w:val="21"/>
                <w:highlight w:val="none"/>
              </w:rPr>
              <w:t>招标代理机构</w:t>
            </w:r>
            <w:bookmarkEnd w:id="156"/>
            <w:r>
              <w:rPr>
                <w:rFonts w:hint="eastAsia" w:ascii="宋体" w:hAnsi="宋体" w:eastAsia="宋体" w:cs="宋体"/>
                <w:szCs w:val="21"/>
                <w:highlight w:val="none"/>
              </w:rPr>
              <w:t xml:space="preserve"> </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698C32D4">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名称：</w:t>
            </w:r>
            <w:r>
              <w:rPr>
                <w:rFonts w:hint="eastAsia" w:ascii="宋体" w:hAnsi="宋体"/>
                <w:snapToGrid w:val="0"/>
                <w:kern w:val="0"/>
                <w:szCs w:val="21"/>
                <w:highlight w:val="none"/>
                <w:u w:val="single"/>
                <w:lang w:val="en-US" w:eastAsia="zh-CN"/>
              </w:rPr>
              <w:t>重庆市以存项目管理有限公司</w:t>
            </w:r>
          </w:p>
          <w:p w14:paraId="1F8CC55A">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r>
              <w:rPr>
                <w:rFonts w:hint="eastAsia" w:ascii="宋体" w:hAnsi="宋体" w:eastAsia="宋体" w:cs="宋体"/>
                <w:kern w:val="0"/>
                <w:szCs w:val="21"/>
                <w:highlight w:val="none"/>
                <w:u w:val="single"/>
              </w:rPr>
              <w:t>重庆市九龙坡区正升百老汇广场2单元25-16</w:t>
            </w:r>
          </w:p>
          <w:p w14:paraId="684BAB52">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snapToGrid w:val="0"/>
                <w:kern w:val="0"/>
                <w:szCs w:val="21"/>
                <w:highlight w:val="none"/>
                <w:lang w:val="en-US" w:eastAsia="zh-CN"/>
              </w:rPr>
              <w:t>联系人</w:t>
            </w:r>
            <w:r>
              <w:rPr>
                <w:rFonts w:hint="eastAsia" w:ascii="宋体" w:hAnsi="宋体" w:eastAsia="宋体" w:cs="宋体"/>
                <w:kern w:val="0"/>
                <w:szCs w:val="21"/>
                <w:highlight w:val="none"/>
              </w:rPr>
              <w:t>：</w:t>
            </w:r>
            <w:r>
              <w:rPr>
                <w:rFonts w:hint="eastAsia" w:ascii="宋体" w:hAnsi="宋体" w:cs="宋体"/>
                <w:color w:val="auto"/>
                <w:szCs w:val="21"/>
                <w:highlight w:val="none"/>
                <w:u w:val="single"/>
                <w:lang w:val="en-US" w:eastAsia="zh-CN"/>
              </w:rPr>
              <w:t>刘老师</w:t>
            </w:r>
            <w:r>
              <w:rPr>
                <w:rFonts w:hint="eastAsia" w:ascii="宋体" w:hAnsi="宋体" w:eastAsia="宋体" w:cs="宋体"/>
                <w:color w:val="auto"/>
                <w:szCs w:val="21"/>
                <w:highlight w:val="none"/>
                <w:u w:val="single"/>
                <w:lang w:val="en-US" w:eastAsia="zh-CN"/>
              </w:rPr>
              <w:t xml:space="preserve"> </w:t>
            </w:r>
          </w:p>
          <w:p w14:paraId="0EA8DBA1">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rPr>
            </w:pPr>
          </w:p>
        </w:tc>
      </w:tr>
      <w:tr w14:paraId="1FAAA8FC">
        <w:tblPrEx>
          <w:tblCellMar>
            <w:top w:w="0" w:type="dxa"/>
            <w:left w:w="108" w:type="dxa"/>
            <w:bottom w:w="0" w:type="dxa"/>
            <w:right w:w="108" w:type="dxa"/>
          </w:tblCellMar>
        </w:tblPrEx>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14:paraId="40F1047C">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7" w:name="_Toc221950016"/>
            <w:r>
              <w:rPr>
                <w:rFonts w:hint="eastAsia" w:ascii="宋体" w:hAnsi="宋体" w:eastAsia="宋体" w:cs="宋体"/>
                <w:szCs w:val="21"/>
                <w:highlight w:val="none"/>
              </w:rPr>
              <w:t>1.1.4</w:t>
            </w:r>
            <w:bookmarkEnd w:id="157"/>
          </w:p>
        </w:tc>
        <w:tc>
          <w:tcPr>
            <w:tcW w:w="2555" w:type="dxa"/>
            <w:tcBorders>
              <w:top w:val="single" w:color="auto" w:sz="4" w:space="0"/>
              <w:left w:val="single" w:color="auto" w:sz="4" w:space="0"/>
              <w:bottom w:val="single" w:color="auto" w:sz="4" w:space="0"/>
              <w:right w:val="single" w:color="auto" w:sz="4" w:space="0"/>
            </w:tcBorders>
            <w:vAlign w:val="center"/>
          </w:tcPr>
          <w:p w14:paraId="7D6DE72D">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8" w:name="_Toc221950017"/>
            <w:r>
              <w:rPr>
                <w:rFonts w:hint="eastAsia" w:ascii="宋体" w:hAnsi="宋体" w:eastAsia="宋体" w:cs="宋体"/>
                <w:szCs w:val="21"/>
                <w:highlight w:val="none"/>
              </w:rPr>
              <w:t>项目名称</w:t>
            </w:r>
            <w:bookmarkEnd w:id="158"/>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4CDA8E0">
            <w:pPr>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垫江县五洞镇卧龙村提灌站项目</w:t>
            </w:r>
          </w:p>
        </w:tc>
      </w:tr>
      <w:tr w14:paraId="6F572283">
        <w:tblPrEx>
          <w:tblCellMar>
            <w:top w:w="0" w:type="dxa"/>
            <w:left w:w="108" w:type="dxa"/>
            <w:bottom w:w="0" w:type="dxa"/>
            <w:right w:w="108" w:type="dxa"/>
          </w:tblCellMar>
        </w:tblPrEx>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14:paraId="066D4BA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59" w:name="_Toc221950018"/>
            <w:r>
              <w:rPr>
                <w:rFonts w:hint="eastAsia" w:ascii="宋体" w:hAnsi="宋体" w:eastAsia="宋体" w:cs="宋体"/>
                <w:szCs w:val="21"/>
                <w:highlight w:val="none"/>
              </w:rPr>
              <w:t>1.1.5</w:t>
            </w:r>
            <w:bookmarkEnd w:id="159"/>
          </w:p>
        </w:tc>
        <w:tc>
          <w:tcPr>
            <w:tcW w:w="2555" w:type="dxa"/>
            <w:tcBorders>
              <w:top w:val="single" w:color="auto" w:sz="4" w:space="0"/>
              <w:left w:val="single" w:color="auto" w:sz="4" w:space="0"/>
              <w:bottom w:val="single" w:color="auto" w:sz="4" w:space="0"/>
              <w:right w:val="single" w:color="auto" w:sz="4" w:space="0"/>
            </w:tcBorders>
            <w:vAlign w:val="center"/>
          </w:tcPr>
          <w:p w14:paraId="14B519FA">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0" w:name="_Toc221950019"/>
            <w:r>
              <w:rPr>
                <w:rFonts w:hint="eastAsia" w:ascii="宋体" w:hAnsi="宋体" w:eastAsia="宋体" w:cs="宋体"/>
                <w:szCs w:val="21"/>
                <w:highlight w:val="none"/>
              </w:rPr>
              <w:t>建设地点</w:t>
            </w:r>
            <w:bookmarkEnd w:id="160"/>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4F5C4EAB">
            <w:pPr>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五洞镇卧龙村</w:t>
            </w:r>
          </w:p>
        </w:tc>
      </w:tr>
      <w:tr w14:paraId="3E2F6E23">
        <w:tblPrEx>
          <w:tblCellMar>
            <w:top w:w="0" w:type="dxa"/>
            <w:left w:w="108" w:type="dxa"/>
            <w:bottom w:w="0" w:type="dxa"/>
            <w:right w:w="108" w:type="dxa"/>
          </w:tblCellMar>
        </w:tblPrEx>
        <w:trPr>
          <w:trHeight w:val="435" w:hRule="atLeast"/>
        </w:trPr>
        <w:tc>
          <w:tcPr>
            <w:tcW w:w="1098" w:type="dxa"/>
            <w:tcBorders>
              <w:top w:val="single" w:color="auto" w:sz="4" w:space="0"/>
              <w:left w:val="single" w:color="auto" w:sz="4" w:space="0"/>
              <w:bottom w:val="single" w:color="auto" w:sz="4" w:space="0"/>
              <w:right w:val="single" w:color="auto" w:sz="4" w:space="0"/>
            </w:tcBorders>
            <w:vAlign w:val="center"/>
          </w:tcPr>
          <w:p w14:paraId="7D8CACC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1" w:name="_Toc221950020"/>
            <w:r>
              <w:rPr>
                <w:rFonts w:hint="eastAsia" w:ascii="宋体" w:hAnsi="宋体" w:eastAsia="宋体" w:cs="宋体"/>
                <w:szCs w:val="21"/>
                <w:highlight w:val="none"/>
              </w:rPr>
              <w:t>1.1.6</w:t>
            </w:r>
            <w:bookmarkEnd w:id="161"/>
          </w:p>
        </w:tc>
        <w:tc>
          <w:tcPr>
            <w:tcW w:w="2555" w:type="dxa"/>
            <w:tcBorders>
              <w:top w:val="single" w:color="auto" w:sz="4" w:space="0"/>
              <w:left w:val="single" w:color="auto" w:sz="4" w:space="0"/>
              <w:bottom w:val="single" w:color="auto" w:sz="4" w:space="0"/>
              <w:right w:val="single" w:color="auto" w:sz="4" w:space="0"/>
            </w:tcBorders>
            <w:vAlign w:val="center"/>
          </w:tcPr>
          <w:p w14:paraId="763C82F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r>
              <w:rPr>
                <w:rFonts w:hint="eastAsia" w:ascii="宋体" w:hAnsi="宋体"/>
                <w:color w:val="auto"/>
                <w:szCs w:val="21"/>
                <w:highlight w:val="none"/>
              </w:rPr>
              <w:t>建设规模</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5B186DC2">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）新建泵站2座，均位于卧龙河左岸，其中：1#泵站设计取水流量为160 m3/h，2#泵站设计取水流量为50 m3/h。2座泵房均采用砖混结构，建筑高度为一层，尺寸4.0×4.0×4.2m。1#泵站水泵型号：150S78单级双吸离心泵，</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台；2#泵站水泵型号：ISG80-</w:t>
            </w:r>
            <w:r>
              <w:rPr>
                <w:rFonts w:hint="eastAsia" w:ascii="宋体" w:hAnsi="宋体" w:eastAsia="宋体" w:cs="宋体"/>
                <w:szCs w:val="21"/>
                <w:highlight w:val="none"/>
                <w:lang w:val="en-US" w:eastAsia="zh-CN"/>
              </w:rPr>
              <w:t>160</w:t>
            </w:r>
            <w:r>
              <w:rPr>
                <w:rFonts w:hint="eastAsia" w:ascii="宋体" w:hAnsi="宋体" w:eastAsia="宋体" w:cs="宋体"/>
                <w:szCs w:val="21"/>
                <w:highlight w:val="none"/>
                <w:lang w:eastAsia="zh-CN"/>
              </w:rPr>
              <w:t>单级单吸离心泵，</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台。</w:t>
            </w:r>
          </w:p>
          <w:p w14:paraId="6F317290">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）新建蓄水池2口，结合本工程实际情况，考虑今后发展需求确定蓄水池容积为50m³。结构型式为矩形钢筋混凝土，水池净空尺寸5.0×5.0×2.5m，设计水深2.0m。</w:t>
            </w:r>
          </w:p>
          <w:p w14:paraId="5CFE682F">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新建输水管线，连接泵站与蓄水池，并沿途预留</w:t>
            </w:r>
            <w:r>
              <w:rPr>
                <w:rFonts w:hint="eastAsia" w:ascii="宋体" w:hAnsi="宋体" w:eastAsia="宋体" w:cs="宋体"/>
                <w:szCs w:val="21"/>
                <w:highlight w:val="none"/>
                <w:lang w:eastAsia="zh-CN"/>
              </w:rPr>
              <w:t>分</w:t>
            </w:r>
            <w:r>
              <w:rPr>
                <w:rFonts w:hint="eastAsia" w:ascii="宋体" w:hAnsi="宋体" w:eastAsia="宋体" w:cs="宋体"/>
                <w:szCs w:val="21"/>
                <w:highlight w:val="none"/>
              </w:rPr>
              <w:t>水阀井。1#泵站输水管线长474.6m，管道规格：PE100-DN200-1.6MPa；2#泵站输水管线长</w:t>
            </w:r>
            <w:r>
              <w:rPr>
                <w:rFonts w:hint="eastAsia" w:ascii="宋体" w:hAnsi="宋体" w:eastAsia="宋体" w:cs="宋体"/>
                <w:szCs w:val="21"/>
                <w:highlight w:val="none"/>
                <w:lang w:val="en-US" w:eastAsia="zh-CN"/>
              </w:rPr>
              <w:t>743.9</w:t>
            </w:r>
            <w:r>
              <w:rPr>
                <w:rFonts w:hint="eastAsia" w:ascii="宋体" w:hAnsi="宋体" w:eastAsia="宋体" w:cs="宋体"/>
                <w:szCs w:val="21"/>
                <w:highlight w:val="none"/>
              </w:rPr>
              <w:t>m，其中：PE100-DN110-1.0MPa管道长</w:t>
            </w:r>
            <w:r>
              <w:rPr>
                <w:rFonts w:hint="eastAsia" w:ascii="宋体" w:hAnsi="宋体" w:eastAsia="宋体" w:cs="宋体"/>
                <w:szCs w:val="21"/>
                <w:highlight w:val="none"/>
                <w:lang w:val="en-US" w:eastAsia="zh-CN"/>
              </w:rPr>
              <w:t>449.9</w:t>
            </w:r>
            <w:r>
              <w:rPr>
                <w:rFonts w:hint="eastAsia" w:ascii="宋体" w:hAnsi="宋体" w:eastAsia="宋体" w:cs="宋体"/>
                <w:szCs w:val="21"/>
                <w:highlight w:val="none"/>
              </w:rPr>
              <w:t>m，PE100-DN75-1.0MPa管道长294m</w:t>
            </w:r>
            <w:r>
              <w:rPr>
                <w:rFonts w:hint="eastAsia" w:ascii="宋体" w:hAnsi="宋体" w:eastAsia="宋体" w:cs="宋体"/>
                <w:szCs w:val="21"/>
                <w:highlight w:val="none"/>
                <w:lang w:eastAsia="zh-CN"/>
              </w:rPr>
              <w:t>。共设分水阀井28座，放水阀井1座，均采用M7.5浆砌红砖砌筑，墙厚240mm，阀井尺寸为1×1×0.6m。</w:t>
            </w:r>
          </w:p>
          <w:p w14:paraId="27A6708E">
            <w:pPr>
              <w:keepNext w:val="0"/>
              <w:keepLines w:val="0"/>
              <w:pageBreakBefore w:val="0"/>
              <w:kinsoku/>
              <w:wordWrap/>
              <w:overflowPunct/>
              <w:topLinePunct w:val="0"/>
              <w:bidi w:val="0"/>
              <w:spacing w:line="400" w:lineRule="exact"/>
              <w:ind w:firstLine="210" w:firstLineChars="100"/>
              <w:textAlignment w:val="auto"/>
              <w:rPr>
                <w:rFonts w:hint="eastAsia" w:eastAsia="宋体"/>
                <w:lang w:val="en-US" w:eastAsia="zh-CN"/>
              </w:rPr>
            </w:pPr>
            <w:r>
              <w:rPr>
                <w:rFonts w:hint="eastAsia" w:ascii="宋体" w:hAnsi="宋体" w:eastAsia="宋体" w:cs="宋体"/>
                <w:szCs w:val="21"/>
                <w:highlight w:val="none"/>
                <w:lang w:val="en-US" w:eastAsia="zh-CN"/>
              </w:rPr>
              <w:t>注：PE管材、管件须执行国家标准。</w:t>
            </w:r>
          </w:p>
        </w:tc>
      </w:tr>
      <w:tr w14:paraId="23DA0A41">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2205329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2" w:name="_Toc221950030"/>
            <w:r>
              <w:rPr>
                <w:rFonts w:hint="eastAsia" w:ascii="宋体" w:hAnsi="宋体" w:eastAsia="宋体" w:cs="宋体"/>
                <w:szCs w:val="21"/>
                <w:highlight w:val="none"/>
              </w:rPr>
              <w:t>1.2.1</w:t>
            </w:r>
            <w:bookmarkEnd w:id="162"/>
          </w:p>
        </w:tc>
        <w:tc>
          <w:tcPr>
            <w:tcW w:w="2555" w:type="dxa"/>
            <w:tcBorders>
              <w:top w:val="single" w:color="auto" w:sz="4" w:space="0"/>
              <w:left w:val="single" w:color="auto" w:sz="4" w:space="0"/>
              <w:bottom w:val="single" w:color="auto" w:sz="4" w:space="0"/>
              <w:right w:val="single" w:color="auto" w:sz="4" w:space="0"/>
            </w:tcBorders>
            <w:vAlign w:val="center"/>
          </w:tcPr>
          <w:p w14:paraId="2946D538">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3" w:name="_Toc221950031"/>
            <w:r>
              <w:rPr>
                <w:rFonts w:hint="eastAsia" w:ascii="宋体" w:hAnsi="宋体" w:eastAsia="宋体" w:cs="宋体"/>
                <w:szCs w:val="21"/>
                <w:highlight w:val="none"/>
              </w:rPr>
              <w:t>资金来源</w:t>
            </w:r>
            <w:bookmarkEnd w:id="163"/>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265A1EAB">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rPr>
            </w:pPr>
            <w:r>
              <w:rPr>
                <w:rFonts w:hint="eastAsia"/>
                <w:szCs w:val="21"/>
                <w:highlight w:val="none"/>
                <w:u w:val="single"/>
                <w:lang w:eastAsia="zh-CN"/>
              </w:rPr>
              <w:t>重庆科技大学帮扶</w:t>
            </w:r>
            <w:r>
              <w:rPr>
                <w:rFonts w:hint="eastAsia" w:ascii="宋体" w:hAnsi="宋体"/>
                <w:snapToGrid w:val="0"/>
                <w:color w:val="auto"/>
                <w:kern w:val="0"/>
                <w:szCs w:val="21"/>
                <w:highlight w:val="none"/>
                <w:u w:val="single"/>
              </w:rPr>
              <w:t>资金</w:t>
            </w:r>
          </w:p>
        </w:tc>
      </w:tr>
      <w:tr w14:paraId="1BAC095D">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7F5E62DA">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4" w:name="_Toc221950032"/>
            <w:r>
              <w:rPr>
                <w:rFonts w:hint="eastAsia" w:ascii="宋体" w:hAnsi="宋体" w:eastAsia="宋体" w:cs="宋体"/>
                <w:szCs w:val="21"/>
                <w:highlight w:val="none"/>
              </w:rPr>
              <w:t>1.2.2</w:t>
            </w:r>
            <w:bookmarkEnd w:id="164"/>
          </w:p>
        </w:tc>
        <w:tc>
          <w:tcPr>
            <w:tcW w:w="2555" w:type="dxa"/>
            <w:tcBorders>
              <w:top w:val="single" w:color="auto" w:sz="4" w:space="0"/>
              <w:left w:val="single" w:color="auto" w:sz="4" w:space="0"/>
              <w:bottom w:val="single" w:color="auto" w:sz="4" w:space="0"/>
              <w:right w:val="single" w:color="auto" w:sz="4" w:space="0"/>
            </w:tcBorders>
            <w:vAlign w:val="center"/>
          </w:tcPr>
          <w:p w14:paraId="20A1552C">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5" w:name="_Toc221950033"/>
            <w:r>
              <w:rPr>
                <w:rFonts w:hint="eastAsia" w:ascii="宋体" w:hAnsi="宋体" w:eastAsia="宋体" w:cs="宋体"/>
                <w:szCs w:val="21"/>
                <w:highlight w:val="none"/>
              </w:rPr>
              <w:t>出资比例</w:t>
            </w:r>
            <w:bookmarkEnd w:id="165"/>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7F44764">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100%</w:t>
            </w:r>
            <w:r>
              <w:rPr>
                <w:rFonts w:hint="eastAsia" w:ascii="宋体" w:hAnsi="宋体" w:eastAsia="宋体" w:cs="宋体"/>
                <w:szCs w:val="21"/>
                <w:highlight w:val="none"/>
                <w:u w:val="single"/>
              </w:rPr>
              <w:t xml:space="preserve"> </w:t>
            </w:r>
          </w:p>
        </w:tc>
      </w:tr>
      <w:tr w14:paraId="6374C818">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206B38E8">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6" w:name="_Toc221950034"/>
            <w:r>
              <w:rPr>
                <w:rFonts w:hint="eastAsia" w:ascii="宋体" w:hAnsi="宋体" w:eastAsia="宋体" w:cs="宋体"/>
                <w:szCs w:val="21"/>
                <w:highlight w:val="none"/>
              </w:rPr>
              <w:t>1.2.3</w:t>
            </w:r>
            <w:bookmarkEnd w:id="166"/>
          </w:p>
        </w:tc>
        <w:tc>
          <w:tcPr>
            <w:tcW w:w="2555" w:type="dxa"/>
            <w:tcBorders>
              <w:top w:val="single" w:color="auto" w:sz="4" w:space="0"/>
              <w:left w:val="single" w:color="auto" w:sz="4" w:space="0"/>
              <w:bottom w:val="single" w:color="auto" w:sz="4" w:space="0"/>
              <w:right w:val="single" w:color="auto" w:sz="4" w:space="0"/>
            </w:tcBorders>
            <w:vAlign w:val="center"/>
          </w:tcPr>
          <w:p w14:paraId="61EC4CA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7" w:name="_Toc221950035"/>
            <w:r>
              <w:rPr>
                <w:rFonts w:hint="eastAsia" w:ascii="宋体" w:hAnsi="宋体" w:eastAsia="宋体" w:cs="宋体"/>
                <w:szCs w:val="21"/>
                <w:highlight w:val="none"/>
              </w:rPr>
              <w:t>资金落实情况</w:t>
            </w:r>
            <w:bookmarkEnd w:id="167"/>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6473C46E">
            <w:pPr>
              <w:keepNext w:val="0"/>
              <w:keepLines w:val="0"/>
              <w:pageBreakBefore w:val="0"/>
              <w:kinsoku/>
              <w:wordWrap/>
              <w:overflowPunct/>
              <w:topLinePunct w:val="0"/>
              <w:bidi w:val="0"/>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已落实</w:t>
            </w:r>
            <w:r>
              <w:rPr>
                <w:rFonts w:hint="eastAsia" w:ascii="宋体" w:hAnsi="宋体" w:eastAsia="宋体" w:cs="宋体"/>
                <w:szCs w:val="21"/>
                <w:highlight w:val="none"/>
                <w:u w:val="single"/>
              </w:rPr>
              <w:t xml:space="preserve"> </w:t>
            </w:r>
          </w:p>
        </w:tc>
      </w:tr>
      <w:tr w14:paraId="3ABB062B">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6EAB91D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8" w:name="_Toc221950036"/>
            <w:r>
              <w:rPr>
                <w:rFonts w:hint="eastAsia" w:ascii="宋体" w:hAnsi="宋体" w:eastAsia="宋体" w:cs="宋体"/>
                <w:szCs w:val="21"/>
                <w:highlight w:val="none"/>
              </w:rPr>
              <w:t>1.3.1</w:t>
            </w:r>
            <w:bookmarkEnd w:id="168"/>
          </w:p>
        </w:tc>
        <w:tc>
          <w:tcPr>
            <w:tcW w:w="2555" w:type="dxa"/>
            <w:tcBorders>
              <w:top w:val="single" w:color="auto" w:sz="4" w:space="0"/>
              <w:left w:val="single" w:color="auto" w:sz="4" w:space="0"/>
              <w:bottom w:val="single" w:color="auto" w:sz="4" w:space="0"/>
              <w:right w:val="single" w:color="auto" w:sz="4" w:space="0"/>
            </w:tcBorders>
            <w:vAlign w:val="center"/>
          </w:tcPr>
          <w:p w14:paraId="71027CA6">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69" w:name="_Toc221950037"/>
            <w:r>
              <w:rPr>
                <w:rFonts w:hint="eastAsia" w:ascii="宋体" w:hAnsi="宋体" w:eastAsia="宋体" w:cs="宋体"/>
                <w:szCs w:val="21"/>
                <w:highlight w:val="none"/>
              </w:rPr>
              <w:t>招标范围</w:t>
            </w:r>
            <w:bookmarkEnd w:id="169"/>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4220A0E1">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kern w:val="0"/>
                <w:szCs w:val="21"/>
                <w:highlight w:val="none"/>
                <w:u w:val="single"/>
                <w:lang w:eastAsia="zh-CN"/>
              </w:rPr>
            </w:pPr>
            <w:r>
              <w:rPr>
                <w:rFonts w:hint="eastAsia" w:ascii="宋体" w:hAnsi="宋体"/>
                <w:snapToGrid w:val="0"/>
                <w:color w:val="auto"/>
                <w:kern w:val="0"/>
                <w:szCs w:val="21"/>
                <w:highlight w:val="none"/>
                <w:u w:val="single"/>
              </w:rPr>
              <w:t>本项目工程量清单所示的全部工程内容，具体内容详见招标人提供的工程量清单、答疑资料、澄清资料及补遗资料等相关内容</w:t>
            </w:r>
            <w:r>
              <w:rPr>
                <w:rFonts w:hint="eastAsia" w:ascii="宋体" w:hAnsi="宋体"/>
                <w:snapToGrid w:val="0"/>
                <w:color w:val="auto"/>
                <w:kern w:val="0"/>
                <w:szCs w:val="21"/>
                <w:highlight w:val="none"/>
                <w:u w:val="single"/>
                <w:lang w:eastAsia="zh-CN"/>
              </w:rPr>
              <w:t>。</w:t>
            </w:r>
          </w:p>
        </w:tc>
      </w:tr>
      <w:tr w14:paraId="10225A30">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38017F4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0" w:name="_Toc221950038"/>
            <w:r>
              <w:rPr>
                <w:rFonts w:hint="eastAsia" w:ascii="宋体" w:hAnsi="宋体" w:eastAsia="宋体" w:cs="宋体"/>
                <w:szCs w:val="21"/>
                <w:highlight w:val="none"/>
              </w:rPr>
              <w:t>1.3.2</w:t>
            </w:r>
            <w:bookmarkEnd w:id="170"/>
          </w:p>
        </w:tc>
        <w:tc>
          <w:tcPr>
            <w:tcW w:w="2555" w:type="dxa"/>
            <w:tcBorders>
              <w:top w:val="single" w:color="auto" w:sz="4" w:space="0"/>
              <w:left w:val="single" w:color="auto" w:sz="4" w:space="0"/>
              <w:bottom w:val="single" w:color="auto" w:sz="4" w:space="0"/>
              <w:right w:val="single" w:color="auto" w:sz="4" w:space="0"/>
            </w:tcBorders>
            <w:vAlign w:val="center"/>
          </w:tcPr>
          <w:p w14:paraId="4FFE26CB">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1" w:name="_Toc221950039"/>
            <w:r>
              <w:rPr>
                <w:rFonts w:hint="eastAsia" w:ascii="宋体" w:hAnsi="宋体" w:eastAsia="宋体" w:cs="宋体"/>
                <w:szCs w:val="21"/>
                <w:highlight w:val="none"/>
              </w:rPr>
              <w:t>计划工期</w:t>
            </w:r>
            <w:bookmarkEnd w:id="171"/>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47019064">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工期：</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90</w:t>
            </w:r>
            <w:r>
              <w:rPr>
                <w:rFonts w:hint="eastAsia" w:ascii="宋体" w:hAnsi="宋体" w:eastAsia="宋体" w:cs="宋体"/>
                <w:kern w:val="0"/>
                <w:szCs w:val="21"/>
                <w:highlight w:val="none"/>
                <w:u w:val="single"/>
              </w:rPr>
              <w:t>日历天</w:t>
            </w:r>
            <w:r>
              <w:rPr>
                <w:rFonts w:hint="eastAsia" w:ascii="宋体" w:hAnsi="宋体" w:eastAsia="宋体" w:cs="宋体"/>
                <w:kern w:val="0"/>
                <w:szCs w:val="21"/>
                <w:highlight w:val="none"/>
              </w:rPr>
              <w:t xml:space="preserve">，缺陷责任期: </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24</w:t>
            </w:r>
            <w:r>
              <w:rPr>
                <w:rFonts w:hint="eastAsia" w:ascii="宋体" w:hAnsi="宋体" w:eastAsia="宋体" w:cs="宋体"/>
                <w:kern w:val="0"/>
                <w:szCs w:val="21"/>
                <w:highlight w:val="none"/>
                <w:u w:val="single"/>
              </w:rPr>
              <w:t>个月</w:t>
            </w:r>
            <w:r>
              <w:rPr>
                <w:rFonts w:hint="eastAsia" w:ascii="宋体" w:hAnsi="宋体" w:eastAsia="宋体" w:cs="宋体"/>
                <w:kern w:val="0"/>
                <w:szCs w:val="21"/>
                <w:highlight w:val="none"/>
              </w:rPr>
              <w:t>。</w:t>
            </w:r>
          </w:p>
        </w:tc>
      </w:tr>
      <w:tr w14:paraId="79278169">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61EE5492">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2" w:name="_Toc221950043"/>
            <w:r>
              <w:rPr>
                <w:rFonts w:hint="eastAsia" w:ascii="宋体" w:hAnsi="宋体" w:eastAsia="宋体" w:cs="宋体"/>
                <w:szCs w:val="21"/>
                <w:highlight w:val="none"/>
              </w:rPr>
              <w:t>1.3.3</w:t>
            </w:r>
            <w:bookmarkEnd w:id="172"/>
          </w:p>
        </w:tc>
        <w:tc>
          <w:tcPr>
            <w:tcW w:w="2555" w:type="dxa"/>
            <w:tcBorders>
              <w:top w:val="single" w:color="auto" w:sz="4" w:space="0"/>
              <w:left w:val="single" w:color="auto" w:sz="4" w:space="0"/>
              <w:bottom w:val="single" w:color="auto" w:sz="4" w:space="0"/>
              <w:right w:val="single" w:color="auto" w:sz="4" w:space="0"/>
            </w:tcBorders>
            <w:vAlign w:val="center"/>
          </w:tcPr>
          <w:p w14:paraId="372591E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3" w:name="_Toc221950044"/>
            <w:r>
              <w:rPr>
                <w:rFonts w:hint="eastAsia" w:ascii="宋体" w:hAnsi="宋体" w:eastAsia="宋体" w:cs="宋体"/>
                <w:szCs w:val="21"/>
                <w:highlight w:val="none"/>
              </w:rPr>
              <w:t>质量要求</w:t>
            </w:r>
            <w:bookmarkEnd w:id="173"/>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258A0A71">
            <w:pPr>
              <w:keepNext w:val="0"/>
              <w:keepLines w:val="0"/>
              <w:pageBreakBefore w:val="0"/>
              <w:kinsoku/>
              <w:wordWrap/>
              <w:overflowPunct/>
              <w:topLinePunct w:val="0"/>
              <w:bidi w:val="0"/>
              <w:spacing w:line="400" w:lineRule="exact"/>
              <w:ind w:firstLine="412"/>
              <w:textAlignment w:val="auto"/>
              <w:rPr>
                <w:rFonts w:hint="eastAsia" w:ascii="宋体" w:hAnsi="宋体" w:eastAsia="宋体" w:cs="宋体"/>
                <w:szCs w:val="21"/>
                <w:highlight w:val="none"/>
              </w:rPr>
            </w:pPr>
            <w:r>
              <w:rPr>
                <w:rFonts w:hint="eastAsia" w:ascii="宋体" w:hAnsi="宋体" w:eastAsia="宋体" w:cs="宋体"/>
                <w:highlight w:val="none"/>
                <w:u w:val="none"/>
              </w:rPr>
              <w:t>符合强制性质量标准，符合</w:t>
            </w:r>
            <w:r>
              <w:rPr>
                <w:rFonts w:hint="eastAsia" w:ascii="宋体" w:hAnsi="宋体" w:eastAsia="宋体" w:cs="宋体"/>
                <w:highlight w:val="none"/>
                <w:u w:val="single"/>
              </w:rPr>
              <w:t>国家和重庆市现行有关施工质量验收规范要求，并达到合格标准</w:t>
            </w:r>
            <w:r>
              <w:rPr>
                <w:rFonts w:hint="eastAsia" w:ascii="宋体" w:hAnsi="宋体" w:cs="宋体"/>
                <w:highlight w:val="none"/>
                <w:u w:val="single"/>
                <w:lang w:eastAsia="zh-CN"/>
              </w:rPr>
              <w:t>。</w:t>
            </w:r>
            <w:r>
              <w:rPr>
                <w:rFonts w:hint="eastAsia" w:ascii="宋体" w:hAnsi="宋体" w:eastAsia="宋体" w:cs="宋体"/>
                <w:szCs w:val="21"/>
                <w:highlight w:val="none"/>
                <w:u w:val="single"/>
                <w:lang w:val="en-US" w:eastAsia="zh-CN"/>
              </w:rPr>
              <w:t>注：PE管材、管件须执行国家标准</w:t>
            </w:r>
            <w:r>
              <w:rPr>
                <w:rFonts w:hint="eastAsia" w:ascii="宋体" w:hAnsi="宋体" w:eastAsia="宋体" w:cs="宋体"/>
                <w:highlight w:val="none"/>
                <w:u w:val="none"/>
              </w:rPr>
              <w:t>。</w:t>
            </w:r>
          </w:p>
        </w:tc>
      </w:tr>
      <w:tr w14:paraId="023DF76A">
        <w:tblPrEx>
          <w:tblCellMar>
            <w:top w:w="0" w:type="dxa"/>
            <w:left w:w="108" w:type="dxa"/>
            <w:bottom w:w="0" w:type="dxa"/>
            <w:right w:w="108" w:type="dxa"/>
          </w:tblCellMar>
        </w:tblPrEx>
        <w:trPr>
          <w:trHeight w:val="1124" w:hRule="atLeast"/>
        </w:trPr>
        <w:tc>
          <w:tcPr>
            <w:tcW w:w="1098" w:type="dxa"/>
            <w:tcBorders>
              <w:top w:val="single" w:color="auto" w:sz="4" w:space="0"/>
              <w:left w:val="single" w:color="auto" w:sz="4" w:space="0"/>
              <w:right w:val="single" w:color="auto" w:sz="4" w:space="0"/>
            </w:tcBorders>
            <w:vAlign w:val="center"/>
          </w:tcPr>
          <w:p w14:paraId="5804610A">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4" w:name="_Toc221950045"/>
            <w:r>
              <w:rPr>
                <w:rFonts w:hint="eastAsia" w:ascii="宋体" w:hAnsi="宋体" w:eastAsia="宋体" w:cs="宋体"/>
                <w:szCs w:val="21"/>
                <w:highlight w:val="none"/>
              </w:rPr>
              <w:t>1.4.1</w:t>
            </w:r>
            <w:bookmarkEnd w:id="174"/>
          </w:p>
        </w:tc>
        <w:tc>
          <w:tcPr>
            <w:tcW w:w="2555" w:type="dxa"/>
            <w:tcBorders>
              <w:top w:val="single" w:color="auto" w:sz="4" w:space="0"/>
              <w:left w:val="single" w:color="auto" w:sz="4" w:space="0"/>
              <w:right w:val="single" w:color="auto" w:sz="4" w:space="0"/>
            </w:tcBorders>
            <w:vAlign w:val="center"/>
          </w:tcPr>
          <w:p w14:paraId="516C6D4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Cs w:val="21"/>
                <w:highlight w:val="none"/>
              </w:rPr>
            </w:pPr>
            <w:bookmarkStart w:id="175" w:name="_Toc221950046"/>
            <w:r>
              <w:rPr>
                <w:rFonts w:hint="eastAsia" w:ascii="宋体" w:hAnsi="宋体" w:eastAsia="宋体" w:cs="宋体"/>
                <w:szCs w:val="21"/>
                <w:highlight w:val="none"/>
              </w:rPr>
              <w:t>投标人资质条件、能力、信誉</w:t>
            </w:r>
            <w:bookmarkEnd w:id="175"/>
          </w:p>
        </w:tc>
        <w:tc>
          <w:tcPr>
            <w:tcW w:w="5635" w:type="dxa"/>
            <w:gridSpan w:val="2"/>
            <w:tcBorders>
              <w:top w:val="single" w:color="auto" w:sz="4" w:space="0"/>
              <w:left w:val="single" w:color="auto" w:sz="4" w:space="0"/>
              <w:right w:val="single" w:color="auto" w:sz="4" w:space="0"/>
            </w:tcBorders>
            <w:vAlign w:val="center"/>
          </w:tcPr>
          <w:p w14:paraId="2E2315D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本工程施工招标实行资格后审，投标人应具备以下资格条件：</w:t>
            </w:r>
          </w:p>
          <w:p w14:paraId="21B2218B">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1.资质条件、</w:t>
            </w:r>
            <w:r>
              <w:rPr>
                <w:rFonts w:hint="eastAsia" w:ascii="宋体" w:hAnsi="宋体" w:cs="宋体"/>
                <w:b/>
                <w:szCs w:val="21"/>
                <w:highlight w:val="none"/>
                <w:lang w:eastAsia="zh-CN"/>
              </w:rPr>
              <w:t>独立法人资格</w:t>
            </w:r>
            <w:r>
              <w:rPr>
                <w:rFonts w:hint="eastAsia" w:ascii="宋体" w:hAnsi="宋体" w:eastAsia="宋体" w:cs="宋体"/>
                <w:b/>
                <w:szCs w:val="21"/>
                <w:highlight w:val="none"/>
              </w:rPr>
              <w:t>及安全生产条件</w:t>
            </w:r>
          </w:p>
          <w:p w14:paraId="1B23DAB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（1）具备建设行政主管部门颁发的有效的</w:t>
            </w:r>
            <w:r>
              <w:rPr>
                <w:rFonts w:hint="eastAsia" w:ascii="宋体" w:hAnsi="宋体" w:eastAsia="宋体" w:cs="宋体"/>
                <w:szCs w:val="21"/>
                <w:highlight w:val="none"/>
                <w:u w:val="single"/>
              </w:rPr>
              <w:t xml:space="preserve"> </w:t>
            </w:r>
            <w:r>
              <w:rPr>
                <w:rFonts w:hint="eastAsia" w:ascii="宋体" w:hAnsi="宋体"/>
                <w:color w:val="auto"/>
                <w:szCs w:val="21"/>
                <w:highlight w:val="none"/>
                <w:u w:val="single"/>
                <w:lang w:eastAsia="zh-CN"/>
              </w:rPr>
              <w:t>水利水电工程施工总承包三级</w:t>
            </w:r>
            <w:r>
              <w:rPr>
                <w:rFonts w:hint="eastAsia" w:ascii="宋体" w:hAnsi="宋体" w:eastAsia="宋体" w:cs="宋体"/>
                <w:szCs w:val="21"/>
                <w:highlight w:val="none"/>
                <w:u w:val="single"/>
              </w:rPr>
              <w:t>及以上</w:t>
            </w:r>
            <w:r>
              <w:rPr>
                <w:rFonts w:hint="eastAsia" w:ascii="宋体" w:hAnsi="宋体" w:eastAsia="宋体" w:cs="宋体"/>
                <w:szCs w:val="21"/>
                <w:highlight w:val="none"/>
              </w:rPr>
              <w:t>资质。</w:t>
            </w:r>
          </w:p>
          <w:p w14:paraId="1A5C2D6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提供</w:t>
            </w:r>
            <w:r>
              <w:rPr>
                <w:rFonts w:hint="eastAsia" w:ascii="宋体" w:hAnsi="宋体" w:eastAsia="宋体" w:cs="宋体"/>
                <w:szCs w:val="21"/>
                <w:highlight w:val="none"/>
                <w:lang w:eastAsia="zh-CN"/>
              </w:rPr>
              <w:t>：</w:t>
            </w:r>
            <w:r>
              <w:rPr>
                <w:rFonts w:hint="eastAsia" w:ascii="宋体" w:hAnsi="宋体" w:eastAsia="宋体" w:cs="宋体"/>
                <w:szCs w:val="21"/>
                <w:highlight w:val="none"/>
              </w:rPr>
              <w:t>有效的资质证书。</w:t>
            </w:r>
          </w:p>
          <w:p w14:paraId="47469B3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（2）具备</w:t>
            </w:r>
            <w:r>
              <w:rPr>
                <w:rFonts w:hint="eastAsia" w:ascii="宋体" w:hAnsi="宋体" w:eastAsia="宋体" w:cs="宋体"/>
                <w:szCs w:val="21"/>
                <w:highlight w:val="none"/>
                <w:lang w:val="en-US" w:eastAsia="zh-CN"/>
              </w:rPr>
              <w:t>独立法人资格</w:t>
            </w:r>
            <w:r>
              <w:rPr>
                <w:rFonts w:hint="eastAsia" w:ascii="宋体" w:hAnsi="宋体" w:eastAsia="宋体" w:cs="宋体"/>
                <w:szCs w:val="21"/>
                <w:highlight w:val="none"/>
              </w:rPr>
              <w:t>。</w:t>
            </w:r>
          </w:p>
          <w:p w14:paraId="341E48E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在投标文件资格审查部分</w:t>
            </w:r>
            <w:r>
              <w:rPr>
                <w:rFonts w:ascii="宋体" w:hAnsi="宋体"/>
                <w:color w:val="auto"/>
                <w:szCs w:val="21"/>
                <w:highlight w:val="none"/>
              </w:rPr>
              <w:t>提供有效的营业执照</w:t>
            </w:r>
            <w:r>
              <w:rPr>
                <w:rFonts w:hint="eastAsia" w:ascii="宋体" w:hAnsi="宋体" w:eastAsia="宋体" w:cs="宋体"/>
                <w:szCs w:val="21"/>
                <w:highlight w:val="none"/>
              </w:rPr>
              <w:t>。</w:t>
            </w:r>
          </w:p>
          <w:p w14:paraId="4A07300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（3）具备建设行政主管部门颁发的有效的安全生产许可证，企业主要负责人、</w:t>
            </w:r>
            <w:r>
              <w:rPr>
                <w:rFonts w:hint="eastAsia" w:ascii="宋体" w:hAnsi="宋体" w:eastAsia="宋体" w:cs="宋体"/>
                <w:szCs w:val="21"/>
                <w:highlight w:val="none"/>
                <w:lang w:val="en-US" w:eastAsia="zh-CN"/>
              </w:rPr>
              <w:t>拟派</w:t>
            </w:r>
            <w:r>
              <w:rPr>
                <w:rFonts w:hint="eastAsia" w:ascii="宋体" w:hAnsi="宋体" w:eastAsia="宋体" w:cs="宋体"/>
                <w:szCs w:val="21"/>
                <w:highlight w:val="none"/>
              </w:rPr>
              <w:t>项目经理具备相应的由水行政主管部门颁发的有效的安全生产考核合格证书。</w:t>
            </w:r>
          </w:p>
          <w:p w14:paraId="24DCDE9E">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提供</w:t>
            </w:r>
            <w:r>
              <w:rPr>
                <w:rFonts w:hint="eastAsia" w:ascii="宋体" w:hAnsi="宋体" w:eastAsia="宋体" w:cs="宋体"/>
                <w:szCs w:val="21"/>
                <w:highlight w:val="none"/>
                <w:lang w:eastAsia="zh-CN"/>
              </w:rPr>
              <w:t>：</w:t>
            </w:r>
            <w:r>
              <w:rPr>
                <w:rFonts w:hint="eastAsia" w:ascii="宋体" w:hAnsi="宋体" w:eastAsia="宋体" w:cs="宋体"/>
                <w:szCs w:val="21"/>
                <w:highlight w:val="none"/>
              </w:rPr>
              <w:t>有效的安全生产许可证及安全生产考核合格证书。</w:t>
            </w:r>
          </w:p>
          <w:p w14:paraId="53AA0424">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2.财务要求</w:t>
            </w:r>
          </w:p>
          <w:p w14:paraId="39B4BF3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cs="宋体"/>
                <w:i w:val="0"/>
                <w:iCs/>
                <w:kern w:val="0"/>
                <w:szCs w:val="21"/>
                <w:highlight w:val="none"/>
                <w:lang w:val="en-US" w:eastAsia="zh-CN"/>
              </w:rPr>
              <w:t>无</w:t>
            </w:r>
            <w:r>
              <w:rPr>
                <w:rFonts w:hint="eastAsia" w:ascii="宋体" w:hAnsi="宋体" w:eastAsia="宋体" w:cs="宋体"/>
                <w:kern w:val="0"/>
                <w:szCs w:val="21"/>
                <w:highlight w:val="none"/>
              </w:rPr>
              <w:t>。</w:t>
            </w:r>
          </w:p>
          <w:p w14:paraId="48F184D9">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3.业绩要求</w:t>
            </w:r>
          </w:p>
          <w:p w14:paraId="400E0F0A">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无</w:t>
            </w:r>
            <w:r>
              <w:rPr>
                <w:rFonts w:hint="eastAsia" w:ascii="宋体" w:hAnsi="宋体" w:eastAsia="宋体" w:cs="宋体"/>
                <w:szCs w:val="21"/>
                <w:highlight w:val="none"/>
                <w:lang w:eastAsia="zh-CN"/>
              </w:rPr>
              <w:t>。</w:t>
            </w:r>
          </w:p>
          <w:p w14:paraId="590F52A8">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4.投标截止日投标资格情况</w:t>
            </w:r>
          </w:p>
          <w:p w14:paraId="5074394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投标人不得存在下列情形之一：</w:t>
            </w:r>
          </w:p>
          <w:p w14:paraId="5C4344E3">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（1）被人民法院列入失信被执行人名单且在被执行期内；</w:t>
            </w:r>
          </w:p>
          <w:p w14:paraId="7876FC9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szCs w:val="21"/>
                <w:highlight w:val="none"/>
                <w:lang w:eastAsia="zh-CN"/>
              </w:rPr>
            </w:pPr>
            <w:r>
              <w:rPr>
                <w:rFonts w:hint="eastAsia" w:ascii="宋体" w:hAnsi="宋体" w:eastAsia="宋体" w:cs="宋体"/>
                <w:szCs w:val="21"/>
                <w:highlight w:val="none"/>
              </w:rPr>
              <w:t>（2）被国家、重庆市（含市或任意区县）有关行政部门处以暂停投标资格行政处罚或暂停在渝承揽新业务，且在暂停期限内</w:t>
            </w:r>
            <w:r>
              <w:rPr>
                <w:rFonts w:hint="eastAsia" w:ascii="宋体" w:hAnsi="宋体"/>
                <w:szCs w:val="21"/>
                <w:highlight w:val="none"/>
                <w:lang w:eastAsia="zh-CN"/>
              </w:rPr>
              <w:t>；</w:t>
            </w:r>
          </w:p>
          <w:p w14:paraId="4C42476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kern w:val="0"/>
                <w:highlight w:val="none"/>
              </w:rPr>
              <w:t>第二章“投标人须知”第1.4.3项规定</w:t>
            </w:r>
            <w:r>
              <w:rPr>
                <w:rFonts w:hint="eastAsia" w:ascii="宋体" w:hAnsi="宋体" w:eastAsia="宋体" w:cs="宋体"/>
                <w:kern w:val="0"/>
                <w:highlight w:val="none"/>
                <w:lang w:val="en-US" w:eastAsia="zh-CN"/>
              </w:rPr>
              <w:t>的情形之一</w:t>
            </w: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第二章“投标人须知”第9.2款规定的情形之一。</w:t>
            </w:r>
          </w:p>
          <w:p w14:paraId="1343DA3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highlight w:val="none"/>
              </w:rPr>
              <w:t>提供</w:t>
            </w:r>
            <w:r>
              <w:rPr>
                <w:rFonts w:hint="eastAsia" w:ascii="宋体" w:hAnsi="宋体" w:eastAsia="宋体" w:cs="宋体"/>
                <w:highlight w:val="none"/>
                <w:lang w:eastAsia="zh-CN"/>
              </w:rPr>
              <w:t>：</w:t>
            </w:r>
            <w:r>
              <w:rPr>
                <w:rFonts w:hint="eastAsia" w:ascii="宋体" w:hAnsi="宋体" w:eastAsia="宋体" w:cs="宋体"/>
                <w:highlight w:val="none"/>
              </w:rPr>
              <w:t>承诺</w:t>
            </w:r>
            <w:r>
              <w:rPr>
                <w:rFonts w:hint="eastAsia" w:ascii="宋体" w:hAnsi="宋体" w:eastAsia="宋体" w:cs="宋体"/>
                <w:highlight w:val="none"/>
                <w:lang w:eastAsia="zh-CN"/>
              </w:rPr>
              <w:t>（</w:t>
            </w:r>
            <w:r>
              <w:rPr>
                <w:rFonts w:hint="eastAsia" w:ascii="宋体" w:hAnsi="宋体" w:eastAsia="宋体" w:cs="宋体"/>
                <w:color w:val="auto"/>
                <w:szCs w:val="21"/>
                <w:highlight w:val="none"/>
                <w:lang w:val="en-US" w:eastAsia="zh-CN"/>
              </w:rPr>
              <w:t>格式见第八章投标文件格式</w:t>
            </w:r>
            <w:r>
              <w:rPr>
                <w:rFonts w:hint="eastAsia" w:ascii="宋体" w:hAnsi="宋体" w:eastAsia="宋体" w:cs="宋体"/>
                <w:highlight w:val="none"/>
                <w:lang w:eastAsia="zh-CN"/>
              </w:rPr>
              <w:t>）</w:t>
            </w:r>
            <w:r>
              <w:rPr>
                <w:rFonts w:hint="eastAsia" w:ascii="宋体" w:hAnsi="宋体" w:eastAsia="宋体" w:cs="宋体"/>
                <w:szCs w:val="21"/>
                <w:highlight w:val="none"/>
              </w:rPr>
              <w:t>。</w:t>
            </w:r>
          </w:p>
          <w:p w14:paraId="44D0712B">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5.项目经理资格要求</w:t>
            </w:r>
          </w:p>
          <w:p w14:paraId="615FEAD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5.1投标人拟派的项目经理须</w:t>
            </w:r>
            <w:r>
              <w:rPr>
                <w:rFonts w:hint="eastAsia" w:ascii="宋体" w:hAnsi="宋体" w:eastAsia="宋体" w:cs="宋体"/>
                <w:szCs w:val="21"/>
                <w:highlight w:val="none"/>
                <w:lang w:val="en-US" w:eastAsia="zh-CN"/>
              </w:rPr>
              <w:t>是投标单位人员，</w:t>
            </w:r>
            <w:r>
              <w:rPr>
                <w:rFonts w:hint="eastAsia" w:ascii="宋体" w:hAnsi="宋体" w:eastAsia="宋体" w:cs="宋体"/>
                <w:szCs w:val="21"/>
                <w:highlight w:val="none"/>
              </w:rPr>
              <w:t>应</w:t>
            </w:r>
            <w:r>
              <w:rPr>
                <w:rFonts w:hint="eastAsia" w:ascii="宋体" w:hAnsi="宋体" w:eastAsia="宋体" w:cs="宋体"/>
                <w:szCs w:val="21"/>
                <w:highlight w:val="none"/>
                <w:lang w:val="en-US" w:eastAsia="zh-CN"/>
              </w:rPr>
              <w:t>具备</w:t>
            </w:r>
          </w:p>
          <w:p w14:paraId="70FC6404">
            <w:pPr>
              <w:keepNext w:val="0"/>
              <w:keepLines w:val="0"/>
              <w:pageBreakBefore w:val="0"/>
              <w:kinsoku/>
              <w:wordWrap/>
              <w:overflowPunct/>
              <w:topLinePunct w:val="0"/>
              <w:bidi w:val="0"/>
              <w:snapToGrid w:val="0"/>
              <w:spacing w:line="400" w:lineRule="exact"/>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水利水电工程 </w:t>
            </w:r>
            <w:r>
              <w:rPr>
                <w:rFonts w:hint="eastAsia" w:ascii="宋体" w:hAnsi="宋体" w:eastAsia="宋体" w:cs="宋体"/>
                <w:szCs w:val="21"/>
                <w:highlight w:val="none"/>
              </w:rPr>
              <w:t>专业</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二</w:t>
            </w:r>
            <w:r>
              <w:rPr>
                <w:rFonts w:hint="eastAsia" w:ascii="宋体" w:hAnsi="宋体" w:eastAsia="宋体" w:cs="宋体"/>
                <w:szCs w:val="21"/>
                <w:highlight w:val="none"/>
                <w:u w:val="single"/>
              </w:rPr>
              <w:t>级及以上</w:t>
            </w:r>
            <w:r>
              <w:rPr>
                <w:rFonts w:hint="eastAsia" w:ascii="宋体" w:hAnsi="宋体" w:eastAsia="宋体" w:cs="宋体"/>
                <w:szCs w:val="21"/>
                <w:highlight w:val="none"/>
              </w:rPr>
              <w:t>注册建造师执业资格</w:t>
            </w:r>
            <w:r>
              <w:rPr>
                <w:rFonts w:hint="eastAsia" w:ascii="宋体" w:hAnsi="宋体" w:eastAsia="宋体" w:cs="宋体"/>
                <w:szCs w:val="21"/>
                <w:highlight w:val="none"/>
                <w:lang w:val="en-US" w:eastAsia="zh-CN"/>
              </w:rPr>
              <w:t>并在投标单位注册</w:t>
            </w:r>
            <w:r>
              <w:rPr>
                <w:rFonts w:hint="eastAsia" w:ascii="宋体" w:hAnsi="宋体" w:eastAsia="宋体" w:cs="宋体"/>
                <w:szCs w:val="21"/>
                <w:highlight w:val="none"/>
              </w:rPr>
              <w:t>。</w:t>
            </w:r>
          </w:p>
          <w:p w14:paraId="4807B81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5.2项目经理要求：投标人须承诺拟派项目经理按注册建造师的相关规定到岗履职和未被禁止参与投标。</w:t>
            </w:r>
          </w:p>
          <w:p w14:paraId="2C35A35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5.2.1到岗履职要求：承诺拟派项目经理中标后在本项目任职，签订合同时拟派的项目经理必须与投标文件中的项目经理一致，并满足办理开工许可手续的相关要求。不能按承诺到岗</w:t>
            </w:r>
            <w:r>
              <w:rPr>
                <w:rFonts w:hint="eastAsia" w:ascii="宋体" w:hAnsi="宋体" w:eastAsia="宋体" w:cs="宋体"/>
                <w:szCs w:val="21"/>
                <w:highlight w:val="none"/>
                <w:lang w:val="en-US" w:eastAsia="zh-CN"/>
              </w:rPr>
              <w:t>履职</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招标人</w:t>
            </w:r>
            <w:r>
              <w:rPr>
                <w:rFonts w:hint="eastAsia" w:ascii="宋体" w:hAnsi="宋体" w:eastAsia="宋体" w:cs="宋体"/>
                <w:szCs w:val="21"/>
                <w:highlight w:val="none"/>
              </w:rPr>
              <w:t>按合同相关条款</w:t>
            </w:r>
            <w:r>
              <w:rPr>
                <w:rFonts w:hint="eastAsia" w:ascii="宋体" w:hAnsi="宋体" w:eastAsia="宋体" w:cs="宋体"/>
                <w:color w:val="000000"/>
                <w:highlight w:val="none"/>
                <w:lang w:val="en-US" w:eastAsia="zh-CN"/>
              </w:rPr>
              <w:t>要求投标人承担责任</w:t>
            </w:r>
            <w:r>
              <w:rPr>
                <w:rFonts w:hint="eastAsia" w:ascii="宋体" w:hAnsi="宋体" w:eastAsia="宋体" w:cs="宋体"/>
                <w:szCs w:val="21"/>
                <w:highlight w:val="none"/>
              </w:rPr>
              <w:t>并上报行政主管部门，给招标人造成损失的，投标人依法承担</w:t>
            </w:r>
            <w:r>
              <w:rPr>
                <w:rFonts w:hint="eastAsia" w:ascii="宋体" w:hAnsi="宋体" w:eastAsia="宋体" w:cs="宋体"/>
                <w:color w:val="000000"/>
                <w:highlight w:val="none"/>
              </w:rPr>
              <w:t>赔偿责任</w:t>
            </w:r>
            <w:r>
              <w:rPr>
                <w:rFonts w:hint="eastAsia" w:ascii="宋体" w:hAnsi="宋体" w:eastAsia="宋体" w:cs="宋体"/>
                <w:color w:val="000000"/>
                <w:highlight w:val="none"/>
                <w:lang w:val="en-US" w:eastAsia="zh-CN"/>
              </w:rPr>
              <w:t>或</w:t>
            </w:r>
            <w:r>
              <w:rPr>
                <w:rFonts w:hint="eastAsia" w:ascii="宋体" w:hAnsi="宋体" w:eastAsia="宋体" w:cs="宋体"/>
                <w:szCs w:val="21"/>
                <w:highlight w:val="none"/>
              </w:rPr>
              <w:t>违约责任。拟派项目经理中标后不得随意更换。</w:t>
            </w:r>
          </w:p>
          <w:p w14:paraId="32684E9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5.2.2未被禁止参与投标要求：承诺拟派项目经理未被</w:t>
            </w:r>
            <w:r>
              <w:rPr>
                <w:rFonts w:hint="eastAsia" w:ascii="宋体" w:hAnsi="宋体" w:eastAsia="宋体" w:cs="宋体"/>
                <w:szCs w:val="21"/>
                <w:highlight w:val="none"/>
                <w:lang w:eastAsia="zh-CN"/>
              </w:rPr>
              <w:t>有关</w:t>
            </w:r>
            <w:r>
              <w:rPr>
                <w:rFonts w:hint="eastAsia" w:ascii="宋体" w:hAnsi="宋体" w:eastAsia="宋体" w:cs="宋体"/>
                <w:szCs w:val="21"/>
                <w:highlight w:val="none"/>
              </w:rPr>
              <w:t>部门暂停</w:t>
            </w:r>
            <w:r>
              <w:rPr>
                <w:rFonts w:hint="eastAsia" w:ascii="宋体" w:hAnsi="宋体" w:eastAsia="宋体" w:cs="宋体"/>
                <w:szCs w:val="21"/>
                <w:highlight w:val="none"/>
                <w:lang w:val="en-US" w:eastAsia="zh-CN"/>
              </w:rPr>
              <w:t>其</w:t>
            </w:r>
            <w:r>
              <w:rPr>
                <w:rFonts w:hint="eastAsia" w:ascii="宋体" w:hAnsi="宋体" w:eastAsia="宋体" w:cs="宋体"/>
                <w:szCs w:val="21"/>
                <w:highlight w:val="none"/>
              </w:rPr>
              <w:t>在渝承揽</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新业务</w:t>
            </w:r>
            <w:r>
              <w:rPr>
                <w:rFonts w:hint="eastAsia" w:ascii="宋体" w:hAnsi="宋体" w:eastAsia="宋体" w:cs="宋体"/>
                <w:szCs w:val="21"/>
                <w:highlight w:val="none"/>
                <w:lang w:val="en-US" w:eastAsia="zh-CN"/>
              </w:rPr>
              <w:t>中任职</w:t>
            </w:r>
            <w:r>
              <w:rPr>
                <w:rFonts w:hint="eastAsia" w:ascii="宋体" w:hAnsi="宋体" w:eastAsia="宋体" w:cs="宋体"/>
                <w:szCs w:val="21"/>
                <w:highlight w:val="none"/>
              </w:rPr>
              <w:t>。若</w:t>
            </w:r>
            <w:r>
              <w:rPr>
                <w:rFonts w:hint="eastAsia" w:ascii="宋体" w:hAnsi="宋体" w:eastAsia="宋体" w:cs="宋体"/>
                <w:szCs w:val="21"/>
                <w:highlight w:val="none"/>
                <w:lang w:val="en-US" w:eastAsia="zh-CN"/>
              </w:rPr>
              <w:t>其</w:t>
            </w:r>
            <w:r>
              <w:rPr>
                <w:rFonts w:hint="eastAsia" w:ascii="宋体" w:hAnsi="宋体" w:eastAsia="宋体" w:cs="宋体"/>
                <w:szCs w:val="21"/>
                <w:highlight w:val="none"/>
              </w:rPr>
              <w:t>被暂停在渝承揽</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新业务</w:t>
            </w:r>
            <w:r>
              <w:rPr>
                <w:rFonts w:hint="eastAsia" w:ascii="宋体" w:hAnsi="宋体" w:eastAsia="宋体" w:cs="宋体"/>
                <w:szCs w:val="21"/>
                <w:highlight w:val="none"/>
                <w:lang w:val="en-US" w:eastAsia="zh-CN"/>
              </w:rPr>
              <w:t>中任职</w:t>
            </w:r>
            <w:r>
              <w:rPr>
                <w:rFonts w:hint="eastAsia" w:ascii="宋体" w:hAnsi="宋体" w:eastAsia="宋体" w:cs="宋体"/>
                <w:szCs w:val="21"/>
                <w:highlight w:val="none"/>
              </w:rPr>
              <w:t>但仍参加投标，将被否决投标；已取得中标候选人资格或中标资格的，招标人有权取消</w:t>
            </w:r>
            <w:r>
              <w:rPr>
                <w:rFonts w:hint="eastAsia" w:ascii="宋体" w:hAnsi="宋体" w:eastAsia="宋体" w:cs="宋体"/>
                <w:szCs w:val="21"/>
                <w:highlight w:val="none"/>
                <w:lang w:val="en-US" w:eastAsia="zh-CN"/>
              </w:rPr>
              <w:t>投标人的</w:t>
            </w:r>
            <w:r>
              <w:rPr>
                <w:rFonts w:hint="eastAsia" w:ascii="宋体" w:hAnsi="宋体" w:eastAsia="宋体" w:cs="宋体"/>
                <w:szCs w:val="21"/>
                <w:highlight w:val="none"/>
              </w:rPr>
              <w:t>中标候选人资格或中标资格；给招标人造成损失的，投标人依法承担赔偿</w:t>
            </w:r>
            <w:r>
              <w:rPr>
                <w:rFonts w:hint="eastAsia" w:ascii="宋体" w:hAnsi="宋体" w:eastAsia="宋体" w:cs="宋体"/>
                <w:szCs w:val="21"/>
                <w:highlight w:val="none"/>
                <w:lang w:val="en-US" w:eastAsia="zh-CN"/>
              </w:rPr>
              <w:t>责任或违约</w:t>
            </w:r>
            <w:r>
              <w:rPr>
                <w:rFonts w:hint="eastAsia" w:ascii="宋体" w:hAnsi="宋体" w:eastAsia="宋体" w:cs="宋体"/>
                <w:szCs w:val="21"/>
                <w:highlight w:val="none"/>
              </w:rPr>
              <w:t>责任。</w:t>
            </w:r>
          </w:p>
          <w:p w14:paraId="5E910BA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5.2.3为保证</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拟派的项目经理到本项目到岗履职，</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还需承诺：</w:t>
            </w:r>
          </w:p>
          <w:p w14:paraId="235F092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若</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拟派本项目的项目经理有在其他项目任职的情形的（或有在其他项目中标或拟中标的情形的），应在收到中标通知书后</w:t>
            </w:r>
            <w:r>
              <w:rPr>
                <w:rFonts w:hint="eastAsia" w:ascii="宋体" w:hAnsi="宋体" w:eastAsia="宋体" w:cs="宋体"/>
                <w:szCs w:val="21"/>
                <w:highlight w:val="none"/>
                <w:u w:val="single"/>
              </w:rPr>
              <w:t xml:space="preserve"> 14 </w:t>
            </w:r>
            <w:r>
              <w:rPr>
                <w:rFonts w:hint="eastAsia" w:ascii="宋体" w:hAnsi="宋体" w:eastAsia="宋体" w:cs="宋体"/>
                <w:szCs w:val="21"/>
                <w:highlight w:val="none"/>
              </w:rPr>
              <w:t>日内，办理完成放弃在其他项目任职的手续（或办理完成放弃在其他项目中标或拟中标的手续），招标人在合同签订前有权对</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拟派项目经理在其他项目的任职情形（或在其他项目的中标或拟中标情形）进行核查，若与</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承诺内容不符或</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未在上述时间内按照</w:t>
            </w:r>
            <w:r>
              <w:rPr>
                <w:rFonts w:hint="eastAsia" w:ascii="宋体" w:hAnsi="宋体" w:cs="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szCs w:val="21"/>
                <w:highlight w:val="none"/>
              </w:rPr>
              <w:t>规定递交放弃在其他项目任职、中标或拟中标的相关资料，视为</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放弃中标资格，招标人不退还其投标保证金。在合同签订时，</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需确保拟派项目经理符合《建筑施工企业项目经理资质管理办法》规定的项目经理任职条件，否则视为</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放弃中标资格，招标人不退还其投标保证金。</w:t>
            </w:r>
          </w:p>
          <w:p w14:paraId="144D9A2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放弃在其他项目任职的需提供：①经业主或建设单位同意任职变更的文件；②负责项目监管的行业行政主管部门出具同意任职变更的证明材料。</w:t>
            </w:r>
          </w:p>
          <w:p w14:paraId="1A546EB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放弃在其他项目中标或拟中标的需提供：①经中标或拟中标的其他项目建设单位同意的放弃中标函。</w:t>
            </w:r>
          </w:p>
          <w:p w14:paraId="2906F9F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提供</w:t>
            </w:r>
            <w:r>
              <w:rPr>
                <w:rFonts w:hint="eastAsia" w:ascii="宋体" w:hAnsi="宋体" w:eastAsia="宋体" w:cs="宋体"/>
                <w:kern w:val="0"/>
                <w:szCs w:val="21"/>
                <w:highlight w:val="none"/>
                <w:lang w:eastAsia="zh-CN"/>
              </w:rPr>
              <w:t>：</w:t>
            </w:r>
            <w:r>
              <w:rPr>
                <w:rFonts w:hint="eastAsia" w:ascii="宋体" w:hAnsi="宋体"/>
                <w:color w:val="auto"/>
                <w:kern w:val="0"/>
                <w:szCs w:val="21"/>
                <w:highlight w:val="none"/>
              </w:rPr>
              <w:t>须在投标文件资格审查部分提供有效的</w:t>
            </w:r>
            <w:r>
              <w:rPr>
                <w:rFonts w:hint="eastAsia" w:ascii="宋体" w:hAnsi="宋体" w:eastAsia="宋体" w:cs="宋体"/>
                <w:kern w:val="0"/>
                <w:szCs w:val="21"/>
                <w:highlight w:val="none"/>
              </w:rPr>
              <w:t>拟派项目经理身份证、建造师注册证、投标人为其缴纳的养老保险证明材料</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承诺（格式见第八章投标文件格式）</w:t>
            </w:r>
            <w:r>
              <w:rPr>
                <w:rFonts w:hint="eastAsia" w:ascii="宋体" w:hAnsi="宋体" w:eastAsia="宋体" w:cs="宋体"/>
                <w:szCs w:val="21"/>
                <w:highlight w:val="none"/>
              </w:rPr>
              <w:t>。</w:t>
            </w:r>
          </w:p>
          <w:p w14:paraId="7BDFE0BA">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6.其他要求</w:t>
            </w:r>
          </w:p>
          <w:p w14:paraId="1F4C3F3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（1）</w:t>
            </w:r>
            <w:r>
              <w:rPr>
                <w:rFonts w:hint="eastAsia" w:ascii="宋体" w:hAnsi="宋体" w:eastAsia="宋体" w:cs="宋体"/>
                <w:szCs w:val="21"/>
                <w:highlight w:val="none"/>
              </w:rPr>
              <w:t>项目技术负责人：</w:t>
            </w:r>
          </w:p>
          <w:p w14:paraId="65A41BA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投标人拟派的技术负责人须是投标单位人员，具备</w:t>
            </w:r>
            <w:r>
              <w:rPr>
                <w:rFonts w:hint="eastAsia" w:ascii="宋体" w:hAnsi="宋体" w:eastAsia="宋体" w:cs="宋体"/>
                <w:szCs w:val="21"/>
                <w:highlight w:val="none"/>
                <w:u w:val="single"/>
              </w:rPr>
              <w:t xml:space="preserve">工程类 </w:t>
            </w:r>
            <w:r>
              <w:rPr>
                <w:rFonts w:hint="eastAsia" w:ascii="宋体" w:hAnsi="宋体" w:cs="宋体"/>
                <w:szCs w:val="21"/>
                <w:highlight w:val="none"/>
                <w:u w:val="single"/>
                <w:lang w:val="en-US" w:eastAsia="zh-CN"/>
              </w:rPr>
              <w:t>中</w:t>
            </w:r>
            <w:r>
              <w:rPr>
                <w:rFonts w:hint="eastAsia" w:ascii="宋体" w:hAnsi="宋体" w:eastAsia="宋体" w:cs="宋体"/>
                <w:szCs w:val="21"/>
                <w:highlight w:val="none"/>
                <w:u w:val="single"/>
              </w:rPr>
              <w:t xml:space="preserve"> 级及以上</w:t>
            </w:r>
            <w:r>
              <w:rPr>
                <w:rFonts w:hint="eastAsia" w:ascii="宋体" w:hAnsi="宋体" w:eastAsia="宋体" w:cs="宋体"/>
                <w:szCs w:val="21"/>
                <w:highlight w:val="none"/>
              </w:rPr>
              <w:t>职称</w:t>
            </w:r>
            <w:r>
              <w:rPr>
                <w:rFonts w:hint="eastAsia" w:ascii="宋体" w:hAnsi="宋体" w:eastAsia="宋体" w:cs="宋体"/>
                <w:szCs w:val="21"/>
                <w:highlight w:val="none"/>
                <w:lang w:eastAsia="zh-CN"/>
              </w:rPr>
              <w:t>。</w:t>
            </w:r>
          </w:p>
          <w:p w14:paraId="68EA5C0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提供：</w:t>
            </w:r>
            <w:r>
              <w:rPr>
                <w:rFonts w:hint="eastAsia" w:ascii="宋体" w:hAnsi="宋体" w:eastAsia="宋体" w:cs="宋体"/>
                <w:kern w:val="0"/>
                <w:szCs w:val="21"/>
                <w:highlight w:val="none"/>
              </w:rPr>
              <w:t>拟派技术负责人</w:t>
            </w:r>
            <w:r>
              <w:rPr>
                <w:rFonts w:hint="eastAsia" w:ascii="宋体" w:hAnsi="宋体" w:eastAsia="宋体" w:cs="宋体"/>
                <w:kern w:val="0"/>
                <w:szCs w:val="21"/>
                <w:highlight w:val="none"/>
                <w:lang w:val="en-US" w:eastAsia="zh-CN"/>
              </w:rPr>
              <w:t>有效的</w:t>
            </w:r>
            <w:r>
              <w:rPr>
                <w:rFonts w:hint="eastAsia" w:ascii="宋体" w:hAnsi="宋体" w:eastAsia="宋体" w:cs="宋体"/>
                <w:kern w:val="0"/>
                <w:szCs w:val="21"/>
                <w:highlight w:val="none"/>
              </w:rPr>
              <w:t>身份证、职称证及投标人本单位为其缴纳的养老保险证明材料。</w:t>
            </w:r>
          </w:p>
          <w:p w14:paraId="5691F50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（2）</w:t>
            </w:r>
            <w:r>
              <w:rPr>
                <w:rFonts w:hint="eastAsia" w:ascii="宋体" w:hAnsi="宋体" w:eastAsia="宋体" w:cs="宋体"/>
                <w:szCs w:val="21"/>
                <w:highlight w:val="none"/>
              </w:rPr>
              <w:t>主要管理人员：</w:t>
            </w:r>
          </w:p>
          <w:p w14:paraId="28A00AC8">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lang w:val="en-US" w:eastAsia="zh-CN"/>
              </w:rPr>
              <w:t>在</w:t>
            </w:r>
            <w:r>
              <w:rPr>
                <w:rFonts w:hint="eastAsia" w:ascii="宋体" w:hAnsi="宋体" w:eastAsia="宋体" w:cs="宋体"/>
                <w:szCs w:val="21"/>
                <w:highlight w:val="none"/>
              </w:rPr>
              <w:t>中标后签订合同之前，须按照</w:t>
            </w:r>
            <w:r>
              <w:rPr>
                <w:rFonts w:hint="eastAsia" w:ascii="宋体" w:hAnsi="宋体" w:cs="宋体"/>
                <w:szCs w:val="21"/>
                <w:highlight w:val="none"/>
                <w:lang w:val="en-US" w:eastAsia="zh-CN"/>
              </w:rPr>
              <w:t>相关</w:t>
            </w:r>
            <w:r>
              <w:rPr>
                <w:rFonts w:hint="eastAsia" w:ascii="宋体" w:hAnsi="宋体" w:eastAsia="宋体" w:cs="宋体"/>
                <w:szCs w:val="21"/>
                <w:highlight w:val="none"/>
              </w:rPr>
              <w:t>行政主管部门的要求组建施工项目部，配置项目管理班子，出具任命文件。任命文件应当明确施工项目部的职责、岗位设置、人员配备，并书面通知</w:t>
            </w:r>
            <w:r>
              <w:rPr>
                <w:rFonts w:hint="eastAsia" w:ascii="宋体" w:hAnsi="宋体" w:eastAsia="宋体" w:cs="宋体"/>
                <w:szCs w:val="21"/>
                <w:highlight w:val="none"/>
                <w:lang w:val="en-US" w:eastAsia="zh-CN"/>
              </w:rPr>
              <w:t>招标人</w:t>
            </w:r>
            <w:r>
              <w:rPr>
                <w:rFonts w:hint="eastAsia" w:ascii="宋体" w:hAnsi="宋体" w:eastAsia="宋体" w:cs="宋体"/>
                <w:szCs w:val="21"/>
                <w:highlight w:val="none"/>
              </w:rPr>
              <w:t>。</w:t>
            </w:r>
            <w:r>
              <w:rPr>
                <w:rFonts w:hint="eastAsia" w:ascii="宋体" w:hAnsi="宋体"/>
                <w:color w:val="auto"/>
                <w:szCs w:val="21"/>
                <w:highlight w:val="none"/>
              </w:rPr>
              <w:t>主要管理人员</w:t>
            </w:r>
            <w:r>
              <w:rPr>
                <w:rFonts w:hint="eastAsia" w:ascii="宋体" w:hAnsi="宋体"/>
                <w:color w:val="auto"/>
                <w:szCs w:val="21"/>
                <w:highlight w:val="none"/>
                <w:lang w:val="en-US" w:eastAsia="zh-CN"/>
              </w:rPr>
              <w:t>应</w:t>
            </w:r>
            <w:r>
              <w:rPr>
                <w:rFonts w:hint="eastAsia" w:ascii="宋体" w:hAnsi="宋体"/>
                <w:color w:val="auto"/>
                <w:szCs w:val="21"/>
                <w:highlight w:val="none"/>
              </w:rPr>
              <w:t>持有相关行政主管部门要求的岗位证书（其中安全员必须具备安全生产考核合格证书）或注册证书或职称证书</w:t>
            </w:r>
            <w:r>
              <w:rPr>
                <w:rFonts w:hint="eastAsia" w:ascii="宋体" w:hAnsi="宋体" w:eastAsia="宋体" w:cs="宋体"/>
                <w:szCs w:val="21"/>
                <w:highlight w:val="none"/>
              </w:rPr>
              <w:t>，并提供投标人为其缴纳的养老保险证明材料。中标后不能满足该要求的，招标人可取消</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中标资格</w:t>
            </w:r>
            <w:r>
              <w:rPr>
                <w:rFonts w:hint="eastAsia" w:ascii="宋体" w:hAnsi="宋体" w:eastAsia="宋体" w:cs="宋体"/>
                <w:color w:val="auto"/>
                <w:szCs w:val="21"/>
                <w:highlight w:val="none"/>
              </w:rPr>
              <w:t>；签订合同后不满足该要求的，</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按合同相关条款</w:t>
            </w:r>
            <w:r>
              <w:rPr>
                <w:rFonts w:hint="eastAsia" w:ascii="宋体" w:hAnsi="宋体" w:eastAsia="宋体" w:cs="宋体"/>
                <w:color w:val="auto"/>
                <w:szCs w:val="21"/>
                <w:highlight w:val="none"/>
                <w:lang w:val="en-US" w:eastAsia="zh-CN"/>
              </w:rPr>
              <w:t>要求投标人承担责任</w:t>
            </w:r>
            <w:r>
              <w:rPr>
                <w:rFonts w:hint="eastAsia" w:ascii="宋体" w:hAnsi="宋体" w:eastAsia="宋体" w:cs="宋体"/>
                <w:color w:val="auto"/>
                <w:szCs w:val="21"/>
                <w:highlight w:val="none"/>
              </w:rPr>
              <w:t>并上报行政主管部门；</w:t>
            </w:r>
            <w:r>
              <w:rPr>
                <w:rFonts w:hint="eastAsia" w:ascii="宋体" w:hAnsi="宋体" w:eastAsia="宋体" w:cs="宋体"/>
                <w:szCs w:val="21"/>
                <w:highlight w:val="none"/>
              </w:rPr>
              <w:t>给招标人造成损失的，投标人依法承担赔偿责任</w:t>
            </w:r>
            <w:r>
              <w:rPr>
                <w:rFonts w:hint="eastAsia" w:ascii="宋体" w:hAnsi="宋体" w:eastAsia="宋体" w:cs="宋体"/>
                <w:szCs w:val="21"/>
                <w:highlight w:val="none"/>
                <w:lang w:val="en-US" w:eastAsia="zh-CN"/>
              </w:rPr>
              <w:t>或违约责任</w:t>
            </w:r>
            <w:r>
              <w:rPr>
                <w:rFonts w:hint="eastAsia" w:ascii="宋体" w:hAnsi="宋体" w:eastAsia="宋体" w:cs="宋体"/>
                <w:szCs w:val="21"/>
                <w:highlight w:val="none"/>
              </w:rPr>
              <w:t>。</w:t>
            </w:r>
          </w:p>
          <w:p w14:paraId="54A705A4">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提供</w:t>
            </w:r>
            <w:r>
              <w:rPr>
                <w:rFonts w:hint="eastAsia" w:ascii="宋体" w:hAnsi="宋体" w:eastAsia="宋体" w:cs="宋体"/>
                <w:szCs w:val="21"/>
                <w:highlight w:val="none"/>
                <w:lang w:eastAsia="zh-CN"/>
              </w:rPr>
              <w:t>：</w:t>
            </w:r>
            <w:r>
              <w:rPr>
                <w:rFonts w:hint="eastAsia" w:ascii="宋体" w:hAnsi="宋体" w:eastAsia="宋体" w:cs="宋体"/>
                <w:szCs w:val="21"/>
                <w:highlight w:val="none"/>
              </w:rPr>
              <w:t>承诺函（格式见第八章投标文件格式）。</w:t>
            </w:r>
          </w:p>
          <w:p w14:paraId="2A64C9C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eastAsia="宋体" w:cs="宋体"/>
                <w:kern w:val="0"/>
                <w:szCs w:val="21"/>
                <w:highlight w:val="none"/>
                <w:lang w:val="en-US" w:eastAsia="zh-CN"/>
              </w:rPr>
              <w:t>法定代表人或</w:t>
            </w:r>
            <w:r>
              <w:rPr>
                <w:rFonts w:hint="eastAsia" w:ascii="宋体" w:hAnsi="宋体" w:eastAsia="宋体" w:cs="宋体"/>
                <w:kern w:val="0"/>
                <w:szCs w:val="21"/>
                <w:highlight w:val="none"/>
              </w:rPr>
              <w:t>委托代理人：</w:t>
            </w:r>
          </w:p>
          <w:p w14:paraId="76F98A5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法定代表人或</w:t>
            </w:r>
            <w:r>
              <w:rPr>
                <w:rFonts w:hint="eastAsia" w:ascii="宋体" w:hAnsi="宋体" w:eastAsia="宋体" w:cs="宋体"/>
                <w:i w:val="0"/>
                <w:iCs/>
                <w:color w:val="auto"/>
                <w:kern w:val="0"/>
                <w:szCs w:val="21"/>
                <w:highlight w:val="none"/>
              </w:rPr>
              <w:t>委托代理人</w:t>
            </w:r>
            <w:r>
              <w:rPr>
                <w:rFonts w:hint="eastAsia" w:ascii="宋体" w:hAnsi="宋体" w:eastAsia="宋体" w:cs="宋体"/>
                <w:i w:val="0"/>
                <w:iCs/>
                <w:color w:val="auto"/>
                <w:kern w:val="0"/>
                <w:szCs w:val="21"/>
                <w:highlight w:val="none"/>
                <w:lang w:val="en-US" w:eastAsia="zh-CN"/>
              </w:rPr>
              <w:t>代表</w:t>
            </w:r>
            <w:r>
              <w:rPr>
                <w:rFonts w:hint="eastAsia" w:ascii="宋体" w:hAnsi="宋体" w:eastAsia="宋体" w:cs="宋体"/>
                <w:i w:val="0"/>
                <w:iCs/>
                <w:color w:val="auto"/>
                <w:kern w:val="0"/>
                <w:szCs w:val="21"/>
                <w:highlight w:val="none"/>
              </w:rPr>
              <w:t>投标人签署、澄清、说明、补正、递交、撤回、修改本项目投标文件、签订合同和处理有关事宜，其法律后果由投标人承担。</w:t>
            </w:r>
            <w:r>
              <w:rPr>
                <w:rFonts w:hint="eastAsia" w:ascii="宋体" w:hAnsi="宋体" w:eastAsia="宋体" w:cs="宋体"/>
                <w:kern w:val="0"/>
                <w:szCs w:val="21"/>
                <w:highlight w:val="none"/>
              </w:rPr>
              <w:t>委托代理人</w:t>
            </w:r>
            <w:r>
              <w:rPr>
                <w:rFonts w:hint="eastAsia" w:ascii="宋体" w:hAnsi="宋体" w:eastAsia="宋体" w:cs="宋体"/>
                <w:kern w:val="0"/>
                <w:szCs w:val="21"/>
                <w:highlight w:val="none"/>
                <w:lang w:val="en-US" w:eastAsia="zh-CN"/>
              </w:rPr>
              <w:t>须是</w:t>
            </w:r>
            <w:r>
              <w:rPr>
                <w:rFonts w:hint="eastAsia" w:ascii="宋体" w:hAnsi="宋体" w:eastAsia="宋体" w:cs="宋体"/>
                <w:kern w:val="0"/>
                <w:szCs w:val="21"/>
                <w:highlight w:val="none"/>
              </w:rPr>
              <w:t>投标单位人员</w:t>
            </w:r>
            <w:r>
              <w:rPr>
                <w:rFonts w:hint="eastAsia" w:ascii="宋体" w:hAnsi="宋体" w:eastAsia="宋体" w:cs="宋体"/>
                <w:kern w:val="0"/>
                <w:szCs w:val="21"/>
                <w:highlight w:val="none"/>
                <w:lang w:eastAsia="zh-CN"/>
              </w:rPr>
              <w:t>。</w:t>
            </w:r>
          </w:p>
          <w:p w14:paraId="127349F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提供：</w:t>
            </w:r>
            <w:r>
              <w:rPr>
                <w:rFonts w:hint="eastAsia" w:ascii="宋体" w:hAnsi="宋体" w:eastAsia="宋体" w:cs="宋体"/>
                <w:kern w:val="0"/>
                <w:szCs w:val="21"/>
                <w:highlight w:val="none"/>
              </w:rPr>
              <w:t>法定代表人身份证明</w:t>
            </w:r>
            <w:r>
              <w:rPr>
                <w:rFonts w:hint="eastAsia" w:ascii="宋体" w:hAnsi="宋体" w:eastAsia="宋体" w:cs="宋体"/>
                <w:szCs w:val="21"/>
                <w:highlight w:val="none"/>
              </w:rPr>
              <w:t>（格式见第八章投标文件格式）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法定代表人委托代理人投标的，还须提供</w:t>
            </w:r>
            <w:r>
              <w:rPr>
                <w:rFonts w:hint="eastAsia" w:ascii="宋体" w:hAnsi="宋体" w:eastAsia="宋体" w:cs="宋体"/>
                <w:kern w:val="0"/>
                <w:szCs w:val="21"/>
                <w:highlight w:val="none"/>
              </w:rPr>
              <w:t>授权委托书</w:t>
            </w:r>
            <w:r>
              <w:rPr>
                <w:rFonts w:hint="eastAsia" w:ascii="宋体" w:hAnsi="宋体" w:eastAsia="宋体" w:cs="宋体"/>
                <w:szCs w:val="21"/>
                <w:highlight w:val="none"/>
              </w:rPr>
              <w:t>（格式见第八章投标文件格式）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投标人为该委托代理人缴纳的养老保险证明。</w:t>
            </w:r>
          </w:p>
          <w:p w14:paraId="4A28839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投标文件真实性：</w:t>
            </w:r>
          </w:p>
          <w:p w14:paraId="08C3D22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投标文件中的所有内容</w:t>
            </w:r>
            <w:r>
              <w:rPr>
                <w:rFonts w:hint="eastAsia" w:ascii="宋体" w:hAnsi="宋体" w:eastAsia="宋体" w:cs="宋体"/>
                <w:color w:val="auto"/>
                <w:kern w:val="0"/>
                <w:szCs w:val="21"/>
                <w:highlight w:val="none"/>
                <w:lang w:val="en-US" w:eastAsia="zh-CN"/>
              </w:rPr>
              <w:t>须</w:t>
            </w:r>
            <w:r>
              <w:rPr>
                <w:rFonts w:hint="eastAsia" w:ascii="宋体" w:hAnsi="宋体" w:eastAsia="宋体" w:cs="宋体"/>
                <w:color w:val="auto"/>
                <w:kern w:val="0"/>
                <w:szCs w:val="21"/>
                <w:highlight w:val="none"/>
              </w:rPr>
              <w:t>真实有效，不存在弄虚作假情形。</w:t>
            </w:r>
          </w:p>
          <w:p w14:paraId="2D2AFA4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承诺（</w:t>
            </w:r>
            <w:r>
              <w:rPr>
                <w:rFonts w:hint="eastAsia" w:ascii="宋体" w:hAnsi="宋体" w:eastAsia="宋体" w:cs="宋体"/>
                <w:color w:val="auto"/>
                <w:szCs w:val="21"/>
                <w:highlight w:val="none"/>
              </w:rPr>
              <w:t>格式见第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章投标文件格式</w:t>
            </w:r>
            <w:r>
              <w:rPr>
                <w:rFonts w:hint="eastAsia" w:ascii="宋体" w:hAnsi="宋体" w:eastAsia="宋体" w:cs="宋体"/>
                <w:color w:val="auto"/>
                <w:kern w:val="0"/>
                <w:szCs w:val="21"/>
                <w:highlight w:val="none"/>
              </w:rPr>
              <w:t>）。</w:t>
            </w:r>
          </w:p>
          <w:p w14:paraId="4B18BF5F">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14:paraId="56EB4BDE">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（1）上述</w:t>
            </w:r>
            <w:r>
              <w:rPr>
                <w:rFonts w:hint="eastAsia" w:ascii="宋体" w:hAnsi="宋体" w:eastAsia="宋体" w:cs="宋体"/>
                <w:color w:val="auto"/>
                <w:szCs w:val="21"/>
                <w:highlight w:val="none"/>
                <w:lang w:val="en-US" w:eastAsia="zh-CN"/>
              </w:rPr>
              <w:t>要求须提供</w:t>
            </w:r>
            <w:r>
              <w:rPr>
                <w:rFonts w:hint="eastAsia" w:ascii="宋体" w:hAnsi="宋体" w:eastAsia="宋体" w:cs="宋体"/>
                <w:color w:val="auto"/>
                <w:szCs w:val="21"/>
                <w:highlight w:val="none"/>
              </w:rPr>
              <w:t>的相关证明材料均为扫描件（</w:t>
            </w:r>
            <w:r>
              <w:rPr>
                <w:rFonts w:hint="eastAsia" w:ascii="宋体" w:hAnsi="宋体" w:eastAsia="宋体" w:cs="宋体"/>
                <w:color w:val="auto"/>
                <w:szCs w:val="21"/>
                <w:highlight w:val="none"/>
                <w:lang w:val="en-US" w:eastAsia="zh-CN"/>
              </w:rPr>
              <w:t>原件或复印件的扫描件均可），</w:t>
            </w:r>
            <w:r>
              <w:rPr>
                <w:rFonts w:hint="eastAsia" w:ascii="宋体" w:hAnsi="宋体" w:eastAsia="宋体" w:cs="宋体"/>
                <w:color w:val="auto"/>
                <w:szCs w:val="21"/>
                <w:highlight w:val="none"/>
              </w:rPr>
              <w:t>扫描件须清晰可辨，</w:t>
            </w:r>
            <w:r>
              <w:rPr>
                <w:rFonts w:hint="eastAsia" w:ascii="宋体" w:hAnsi="宋体" w:eastAsia="宋体" w:cs="宋体"/>
                <w:color w:val="auto"/>
                <w:kern w:val="0"/>
                <w:szCs w:val="21"/>
                <w:highlight w:val="none"/>
              </w:rPr>
              <w:t>有一条不满足，则投标文件由评标委员会</w:t>
            </w:r>
            <w:r>
              <w:rPr>
                <w:rFonts w:hint="eastAsia" w:ascii="宋体" w:hAnsi="宋体" w:eastAsia="宋体" w:cs="宋体"/>
                <w:color w:val="auto"/>
                <w:szCs w:val="21"/>
                <w:highlight w:val="none"/>
              </w:rPr>
              <w:t>作否决投标处理</w:t>
            </w:r>
            <w:r>
              <w:rPr>
                <w:rFonts w:hint="eastAsia" w:ascii="宋体" w:hAnsi="宋体" w:eastAsia="宋体" w:cs="宋体"/>
                <w:color w:val="auto"/>
                <w:kern w:val="0"/>
                <w:szCs w:val="21"/>
                <w:highlight w:val="none"/>
              </w:rPr>
              <w:t>。</w:t>
            </w:r>
          </w:p>
          <w:p w14:paraId="66E0CB7D">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szCs w:val="21"/>
                <w:highlight w:val="none"/>
                <w:u w:val="none"/>
              </w:rPr>
              <w:t>招标人有权对投标人提供的资料进行核实，若发现弄虚作假，</w:t>
            </w:r>
            <w:r>
              <w:rPr>
                <w:rFonts w:hint="eastAsia" w:ascii="宋体" w:hAnsi="宋体" w:eastAsia="宋体" w:cs="宋体"/>
                <w:color w:val="auto"/>
                <w:szCs w:val="21"/>
                <w:highlight w:val="none"/>
                <w:u w:val="none"/>
                <w:lang w:val="en-US" w:eastAsia="zh-CN"/>
              </w:rPr>
              <w:t>按相关规定</w:t>
            </w:r>
            <w:r>
              <w:rPr>
                <w:rFonts w:hint="eastAsia" w:ascii="宋体" w:hAnsi="宋体" w:eastAsia="宋体" w:cs="宋体"/>
                <w:szCs w:val="21"/>
                <w:highlight w:val="none"/>
                <w:u w:val="none"/>
              </w:rPr>
              <w:t>取消其中标资格，并按相关法律法规报招标投标监督部门，其投标保证金</w:t>
            </w:r>
            <w:r>
              <w:rPr>
                <w:rFonts w:hint="eastAsia" w:ascii="宋体" w:hAnsi="宋体" w:eastAsia="宋体" w:cs="宋体"/>
                <w:color w:val="auto"/>
                <w:szCs w:val="21"/>
                <w:highlight w:val="none"/>
                <w:u w:val="none"/>
                <w:lang w:val="en-US" w:eastAsia="zh-CN"/>
              </w:rPr>
              <w:t>以现金形式交纳的</w:t>
            </w:r>
            <w:r>
              <w:rPr>
                <w:rFonts w:hint="eastAsia" w:ascii="宋体" w:hAnsi="宋体" w:eastAsia="宋体" w:cs="宋体"/>
                <w:szCs w:val="21"/>
                <w:highlight w:val="none"/>
                <w:u w:val="none"/>
              </w:rPr>
              <w:t>不予退还</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以保函形式交纳的由保函开立人支付保函担保的与投标保证金等额的款项</w:t>
            </w:r>
            <w:r>
              <w:rPr>
                <w:rFonts w:hint="eastAsia" w:ascii="宋体" w:hAnsi="宋体" w:eastAsia="宋体" w:cs="宋体"/>
                <w:szCs w:val="21"/>
                <w:highlight w:val="none"/>
                <w:u w:val="none"/>
              </w:rPr>
              <w:t>，投标人承担因此造成的相关责任并赔偿相应损失</w:t>
            </w:r>
            <w:r>
              <w:rPr>
                <w:rFonts w:hint="eastAsia" w:ascii="宋体" w:hAnsi="宋体" w:eastAsia="宋体" w:cs="宋体"/>
                <w:color w:val="auto"/>
                <w:szCs w:val="21"/>
                <w:highlight w:val="none"/>
                <w:u w:val="none"/>
              </w:rPr>
              <w:t>。</w:t>
            </w:r>
          </w:p>
          <w:p w14:paraId="7055ED1C">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（3）本</w:t>
            </w:r>
            <w:r>
              <w:rPr>
                <w:rFonts w:hint="eastAsia" w:ascii="宋体" w:hAnsi="宋体" w:cs="宋体"/>
                <w:bCs/>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bCs/>
                <w:color w:val="auto"/>
                <w:kern w:val="0"/>
                <w:szCs w:val="21"/>
                <w:highlight w:val="none"/>
              </w:rPr>
              <w:t>中所要求的人员养老保险证明要求如下：</w:t>
            </w:r>
          </w:p>
          <w:p w14:paraId="69F2A3B5">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w:t>
            </w:r>
            <w:r>
              <w:rPr>
                <w:rFonts w:hint="eastAsia" w:ascii="宋体" w:hAnsi="宋体" w:eastAsia="宋体" w:cs="宋体"/>
                <w:bCs/>
                <w:color w:val="auto"/>
                <w:kern w:val="0"/>
                <w:szCs w:val="21"/>
                <w:highlight w:val="none"/>
                <w:lang w:eastAsia="zh-CN"/>
              </w:rPr>
              <w:t>企业</w:t>
            </w:r>
            <w:r>
              <w:rPr>
                <w:rFonts w:hint="eastAsia" w:ascii="宋体" w:hAnsi="宋体" w:eastAsia="宋体" w:cs="宋体"/>
                <w:bCs/>
                <w:color w:val="auto"/>
                <w:kern w:val="0"/>
                <w:szCs w:val="21"/>
                <w:highlight w:val="none"/>
              </w:rPr>
              <w:t>提供养老保险证明，事业单位提供养老保险证明或行政主管部门在编证明。</w:t>
            </w:r>
          </w:p>
          <w:p w14:paraId="10BFD954">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②</w:t>
            </w:r>
            <w:r>
              <w:rPr>
                <w:rFonts w:hint="eastAsia" w:ascii="宋体" w:hAnsi="宋体" w:eastAsia="宋体" w:cs="宋体"/>
                <w:bCs/>
                <w:snapToGrid w:val="0"/>
                <w:color w:val="auto"/>
                <w:kern w:val="0"/>
                <w:szCs w:val="21"/>
                <w:highlight w:val="none"/>
                <w:lang w:val="en-US" w:eastAsia="zh-CN"/>
              </w:rPr>
              <w:t>拟派人员</w:t>
            </w:r>
            <w:r>
              <w:rPr>
                <w:rFonts w:hint="eastAsia" w:ascii="宋体" w:hAnsi="宋体" w:cs="宋体"/>
                <w:bCs/>
                <w:snapToGrid w:val="0"/>
                <w:color w:val="auto"/>
                <w:kern w:val="0"/>
                <w:szCs w:val="21"/>
                <w:highlight w:val="none"/>
                <w:lang w:val="en-US" w:eastAsia="zh-CN"/>
              </w:rPr>
              <w:t>在投标单位</w:t>
            </w:r>
            <w:r>
              <w:rPr>
                <w:rFonts w:hint="eastAsia" w:ascii="宋体" w:hAnsi="宋体" w:eastAsia="宋体" w:cs="宋体"/>
                <w:bCs/>
                <w:snapToGrid w:val="0"/>
                <w:color w:val="auto"/>
                <w:kern w:val="0"/>
                <w:szCs w:val="21"/>
                <w:highlight w:val="none"/>
              </w:rPr>
              <w:t>的连续养老保险证明期限</w:t>
            </w:r>
            <w:r>
              <w:rPr>
                <w:rFonts w:hint="eastAsia" w:ascii="宋体" w:hAnsi="宋体" w:eastAsia="宋体" w:cs="宋体"/>
                <w:bCs/>
                <w:snapToGrid w:val="0"/>
                <w:color w:val="auto"/>
                <w:kern w:val="0"/>
                <w:szCs w:val="21"/>
                <w:highlight w:val="none"/>
                <w:lang w:val="en-US" w:eastAsia="zh-CN"/>
              </w:rPr>
              <w:t>须包含</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2025</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9</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月至</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2026</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w:t>
            </w:r>
            <w:r>
              <w:rPr>
                <w:rFonts w:hint="eastAsia" w:ascii="宋体" w:hAnsi="宋体" w:eastAsia="宋体" w:cs="宋体"/>
                <w:bCs/>
                <w:color w:val="auto"/>
                <w:szCs w:val="21"/>
                <w:highlight w:val="none"/>
              </w:rPr>
              <w:t>。提供的养老保险参保证明须体现</w:t>
            </w:r>
            <w:r>
              <w:rPr>
                <w:rFonts w:hint="eastAsia" w:ascii="宋体" w:hAnsi="宋体" w:eastAsia="宋体" w:cs="宋体"/>
                <w:bCs/>
                <w:color w:val="auto"/>
                <w:szCs w:val="21"/>
                <w:highlight w:val="none"/>
                <w:lang w:val="en-US" w:eastAsia="zh-CN"/>
              </w:rPr>
              <w:t>拟派</w:t>
            </w:r>
            <w:r>
              <w:rPr>
                <w:rFonts w:hint="eastAsia" w:ascii="宋体" w:hAnsi="宋体" w:eastAsia="宋体" w:cs="宋体"/>
                <w:bCs/>
                <w:color w:val="auto"/>
                <w:szCs w:val="21"/>
                <w:highlight w:val="none"/>
              </w:rPr>
              <w:t>人员的姓名、身份证号（或社保号）、单位名称、</w:t>
            </w:r>
            <w:r>
              <w:rPr>
                <w:rFonts w:hint="eastAsia" w:ascii="宋体" w:hAnsi="宋体" w:cs="宋体"/>
                <w:bCs/>
                <w:snapToGrid w:val="0"/>
                <w:color w:val="auto"/>
                <w:kern w:val="0"/>
                <w:szCs w:val="21"/>
                <w:highlight w:val="none"/>
                <w:lang w:val="en-US" w:eastAsia="zh-CN"/>
              </w:rPr>
              <w:t>在投标单位</w:t>
            </w:r>
            <w:r>
              <w:rPr>
                <w:rFonts w:hint="eastAsia" w:ascii="宋体" w:hAnsi="宋体" w:eastAsia="宋体" w:cs="宋体"/>
                <w:bCs/>
                <w:color w:val="auto"/>
                <w:szCs w:val="21"/>
                <w:highlight w:val="none"/>
              </w:rPr>
              <w:t>参保时间（或起始参保时间），并带有社保部门公章或社保部门的有效电子印章。</w:t>
            </w:r>
          </w:p>
        </w:tc>
      </w:tr>
      <w:tr w14:paraId="083B5096">
        <w:tblPrEx>
          <w:tblCellMar>
            <w:top w:w="0" w:type="dxa"/>
            <w:left w:w="108" w:type="dxa"/>
            <w:bottom w:w="0" w:type="dxa"/>
            <w:right w:w="108" w:type="dxa"/>
          </w:tblCellMar>
        </w:tblPrEx>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14:paraId="2BA861E6">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2555" w:type="dxa"/>
            <w:tcBorders>
              <w:top w:val="single" w:color="auto" w:sz="4" w:space="0"/>
              <w:left w:val="single" w:color="auto" w:sz="4" w:space="0"/>
              <w:bottom w:val="single" w:color="auto" w:sz="4" w:space="0"/>
              <w:right w:val="single" w:color="auto" w:sz="4" w:space="0"/>
            </w:tcBorders>
            <w:vAlign w:val="center"/>
          </w:tcPr>
          <w:p w14:paraId="109E12F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259058EA">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54A92329">
        <w:tblPrEx>
          <w:tblCellMar>
            <w:top w:w="0" w:type="dxa"/>
            <w:left w:w="108" w:type="dxa"/>
            <w:bottom w:w="0" w:type="dxa"/>
            <w:right w:w="108" w:type="dxa"/>
          </w:tblCellMar>
        </w:tblPrEx>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14:paraId="2ABF15CE">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2555" w:type="dxa"/>
            <w:tcBorders>
              <w:top w:val="single" w:color="auto" w:sz="4" w:space="0"/>
              <w:left w:val="single" w:color="auto" w:sz="4" w:space="0"/>
              <w:bottom w:val="single" w:color="auto" w:sz="4" w:space="0"/>
              <w:right w:val="single" w:color="auto" w:sz="4" w:space="0"/>
            </w:tcBorders>
            <w:vAlign w:val="center"/>
          </w:tcPr>
          <w:p w14:paraId="21DF34D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792F5432">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p>
        </w:tc>
      </w:tr>
      <w:tr w14:paraId="7F1FB6D2">
        <w:tblPrEx>
          <w:tblCellMar>
            <w:top w:w="0" w:type="dxa"/>
            <w:left w:w="108" w:type="dxa"/>
            <w:bottom w:w="0" w:type="dxa"/>
            <w:right w:w="108" w:type="dxa"/>
          </w:tblCellMar>
        </w:tblPrEx>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14:paraId="1FB77C38">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w:t>
            </w:r>
          </w:p>
        </w:tc>
        <w:tc>
          <w:tcPr>
            <w:tcW w:w="2555" w:type="dxa"/>
            <w:tcBorders>
              <w:top w:val="single" w:color="auto" w:sz="4" w:space="0"/>
              <w:left w:val="single" w:color="auto" w:sz="4" w:space="0"/>
              <w:bottom w:val="single" w:color="auto" w:sz="4" w:space="0"/>
              <w:right w:val="single" w:color="auto" w:sz="4" w:space="0"/>
            </w:tcBorders>
            <w:vAlign w:val="center"/>
          </w:tcPr>
          <w:p w14:paraId="5C561F8E">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CA62054">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tc>
      </w:tr>
      <w:tr w14:paraId="3B68E7BC">
        <w:tblPrEx>
          <w:tblCellMar>
            <w:top w:w="0" w:type="dxa"/>
            <w:left w:w="108" w:type="dxa"/>
            <w:bottom w:w="0" w:type="dxa"/>
            <w:right w:w="108" w:type="dxa"/>
          </w:tblCellMar>
        </w:tblPrEx>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14:paraId="019B0F0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2555" w:type="dxa"/>
            <w:tcBorders>
              <w:top w:val="single" w:color="auto" w:sz="4" w:space="0"/>
              <w:left w:val="single" w:color="auto" w:sz="4" w:space="0"/>
              <w:bottom w:val="single" w:color="auto" w:sz="4" w:space="0"/>
              <w:right w:val="single" w:color="auto" w:sz="4" w:space="0"/>
            </w:tcBorders>
            <w:vAlign w:val="center"/>
          </w:tcPr>
          <w:p w14:paraId="50A749A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56276DB3">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详见招标公告中规定的投标文件递交截止时间。</w:t>
            </w:r>
          </w:p>
        </w:tc>
      </w:tr>
      <w:tr w14:paraId="36645B0F">
        <w:tblPrEx>
          <w:tblCellMar>
            <w:top w:w="0" w:type="dxa"/>
            <w:left w:w="108" w:type="dxa"/>
            <w:bottom w:w="0" w:type="dxa"/>
            <w:right w:w="108" w:type="dxa"/>
          </w:tblCellMar>
        </w:tblPrEx>
        <w:trPr>
          <w:trHeight w:val="450" w:hRule="atLeast"/>
        </w:trPr>
        <w:tc>
          <w:tcPr>
            <w:tcW w:w="1098" w:type="dxa"/>
            <w:tcBorders>
              <w:top w:val="single" w:color="auto" w:sz="4" w:space="0"/>
              <w:left w:val="single" w:color="auto" w:sz="4" w:space="0"/>
              <w:bottom w:val="single" w:color="auto" w:sz="4" w:space="0"/>
              <w:right w:val="single" w:color="auto" w:sz="4" w:space="0"/>
            </w:tcBorders>
            <w:vAlign w:val="center"/>
          </w:tcPr>
          <w:p w14:paraId="667563FD">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76" w:name="_Toc221950053"/>
            <w:r>
              <w:rPr>
                <w:rFonts w:hint="eastAsia" w:ascii="宋体" w:hAnsi="宋体" w:eastAsia="宋体" w:cs="宋体"/>
                <w:color w:val="auto"/>
                <w:szCs w:val="21"/>
                <w:highlight w:val="none"/>
              </w:rPr>
              <w:t>1.11</w:t>
            </w:r>
            <w:bookmarkEnd w:id="176"/>
          </w:p>
        </w:tc>
        <w:tc>
          <w:tcPr>
            <w:tcW w:w="2555" w:type="dxa"/>
            <w:tcBorders>
              <w:top w:val="single" w:color="auto" w:sz="4" w:space="0"/>
              <w:left w:val="single" w:color="auto" w:sz="4" w:space="0"/>
              <w:bottom w:val="single" w:color="auto" w:sz="4" w:space="0"/>
              <w:right w:val="single" w:color="auto" w:sz="4" w:space="0"/>
            </w:tcBorders>
            <w:vAlign w:val="center"/>
          </w:tcPr>
          <w:p w14:paraId="498BF2E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77" w:name="_Toc221950054"/>
            <w:r>
              <w:rPr>
                <w:rFonts w:hint="eastAsia" w:ascii="宋体" w:hAnsi="宋体" w:eastAsia="宋体" w:cs="宋体"/>
                <w:color w:val="auto"/>
                <w:szCs w:val="21"/>
                <w:highlight w:val="none"/>
              </w:rPr>
              <w:t>分包</w:t>
            </w:r>
            <w:bookmarkEnd w:id="177"/>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28BEFE8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highlight w:val="none"/>
                <w:lang w:val="ru-RU"/>
              </w:rPr>
            </w:pPr>
            <w:r>
              <w:rPr>
                <w:rFonts w:hint="eastAsia" w:ascii="宋体" w:hAnsi="宋体" w:eastAsia="宋体" w:cs="宋体"/>
                <w:color w:val="auto"/>
                <w:szCs w:val="21"/>
                <w:highlight w:val="none"/>
              </w:rPr>
              <w:t>不允许</w:t>
            </w:r>
          </w:p>
        </w:tc>
      </w:tr>
      <w:tr w14:paraId="6802518B">
        <w:tblPrEx>
          <w:tblCellMar>
            <w:top w:w="0" w:type="dxa"/>
            <w:left w:w="108" w:type="dxa"/>
            <w:bottom w:w="0" w:type="dxa"/>
            <w:right w:w="108" w:type="dxa"/>
          </w:tblCellMar>
        </w:tblPrEx>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14:paraId="502F5224">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555" w:type="dxa"/>
            <w:tcBorders>
              <w:top w:val="single" w:color="auto" w:sz="4" w:space="0"/>
              <w:left w:val="single" w:color="auto" w:sz="4" w:space="0"/>
              <w:bottom w:val="single" w:color="auto" w:sz="4" w:space="0"/>
              <w:right w:val="single" w:color="auto" w:sz="4" w:space="0"/>
            </w:tcBorders>
            <w:vAlign w:val="center"/>
          </w:tcPr>
          <w:p w14:paraId="730349AE">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7E53724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偏离允许幅度及其处理办法：</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不允许负偏离</w:t>
            </w:r>
            <w:r>
              <w:rPr>
                <w:rFonts w:hint="eastAsia" w:ascii="宋体" w:hAnsi="宋体" w:eastAsia="宋体" w:cs="宋体"/>
                <w:color w:val="auto"/>
                <w:szCs w:val="21"/>
                <w:highlight w:val="none"/>
                <w:u w:val="single"/>
              </w:rPr>
              <w:t xml:space="preserve">  </w:t>
            </w:r>
          </w:p>
        </w:tc>
      </w:tr>
      <w:tr w14:paraId="0424E48F">
        <w:tblPrEx>
          <w:tblCellMar>
            <w:top w:w="0" w:type="dxa"/>
            <w:left w:w="108" w:type="dxa"/>
            <w:bottom w:w="0" w:type="dxa"/>
            <w:right w:w="108" w:type="dxa"/>
          </w:tblCellMar>
        </w:tblPrEx>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14:paraId="7208D51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2555" w:type="dxa"/>
            <w:tcBorders>
              <w:top w:val="single" w:color="auto" w:sz="4" w:space="0"/>
              <w:left w:val="single" w:color="auto" w:sz="4" w:space="0"/>
              <w:bottom w:val="single" w:color="auto" w:sz="4" w:space="0"/>
              <w:right w:val="single" w:color="auto" w:sz="4" w:space="0"/>
            </w:tcBorders>
            <w:vAlign w:val="center"/>
          </w:tcPr>
          <w:p w14:paraId="151476DA">
            <w:pPr>
              <w:snapToGrid w:val="0"/>
              <w:spacing w:after="15" w:afterLines="5" w:line="400" w:lineRule="exact"/>
              <w:jc w:val="center"/>
              <w:rPr>
                <w:rFonts w:hint="eastAsia" w:ascii="宋体" w:hAnsi="宋体" w:eastAsia="宋体" w:cs="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ascii="宋体" w:hAnsi="宋体"/>
                <w:color w:val="auto"/>
                <w:kern w:val="0"/>
                <w:szCs w:val="21"/>
                <w:highlight w:val="none"/>
              </w:rPr>
              <w:t>的其他材料</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A054AE4">
            <w:pPr>
              <w:snapToGrid w:val="0"/>
              <w:spacing w:line="400" w:lineRule="exact"/>
              <w:ind w:firstLine="420" w:firstLineChars="200"/>
              <w:rPr>
                <w:rFonts w:hint="eastAsia" w:ascii="宋体" w:hAnsi="宋体" w:eastAsia="宋体" w:cs="宋体"/>
                <w:color w:val="auto"/>
                <w:kern w:val="0"/>
                <w:szCs w:val="21"/>
                <w:highlight w:val="none"/>
              </w:rPr>
            </w:pPr>
            <w:r>
              <w:rPr>
                <w:rFonts w:ascii="宋体" w:hAnsi="宋体"/>
                <w:color w:val="auto"/>
                <w:szCs w:val="21"/>
                <w:highlight w:val="none"/>
              </w:rPr>
              <w:t>招标人发出的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59F43926">
        <w:tblPrEx>
          <w:tblCellMar>
            <w:top w:w="0" w:type="dxa"/>
            <w:left w:w="108" w:type="dxa"/>
            <w:bottom w:w="0" w:type="dxa"/>
            <w:right w:w="108" w:type="dxa"/>
          </w:tblCellMar>
        </w:tblPrEx>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14:paraId="3C0C9B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2555" w:type="dxa"/>
            <w:tcBorders>
              <w:top w:val="single" w:color="auto" w:sz="4" w:space="0"/>
              <w:left w:val="single" w:color="auto" w:sz="4" w:space="0"/>
              <w:bottom w:val="single" w:color="auto" w:sz="4" w:space="0"/>
              <w:right w:val="single" w:color="auto" w:sz="4" w:space="0"/>
            </w:tcBorders>
            <w:vAlign w:val="center"/>
          </w:tcPr>
          <w:p w14:paraId="2D264B0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olor w:val="auto"/>
                <w:kern w:val="0"/>
                <w:szCs w:val="21"/>
                <w:highlight w:val="none"/>
              </w:rPr>
              <w:t>投标截止时间</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19C76EF4">
            <w:pPr>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color w:val="auto"/>
                <w:szCs w:val="21"/>
                <w:highlight w:val="none"/>
              </w:rPr>
              <w:t>详见招标公告规定的投标截止时间。</w:t>
            </w:r>
          </w:p>
        </w:tc>
      </w:tr>
      <w:tr w14:paraId="6E01F0E8">
        <w:tblPrEx>
          <w:tblCellMar>
            <w:top w:w="0" w:type="dxa"/>
            <w:left w:w="108" w:type="dxa"/>
            <w:bottom w:w="0" w:type="dxa"/>
            <w:right w:w="108" w:type="dxa"/>
          </w:tblCellMar>
        </w:tblPrEx>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14:paraId="0BA402C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w:t>
            </w:r>
          </w:p>
        </w:tc>
        <w:tc>
          <w:tcPr>
            <w:tcW w:w="2555" w:type="dxa"/>
            <w:tcBorders>
              <w:top w:val="single" w:color="auto" w:sz="4" w:space="0"/>
              <w:left w:val="single" w:color="auto" w:sz="4" w:space="0"/>
              <w:bottom w:val="single" w:color="auto" w:sz="4" w:space="0"/>
              <w:right w:val="single" w:color="auto" w:sz="4" w:space="0"/>
            </w:tcBorders>
            <w:vAlign w:val="center"/>
          </w:tcPr>
          <w:p w14:paraId="4F3D1F9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招标人对</w:t>
            </w:r>
            <w:r>
              <w:rPr>
                <w:rFonts w:hint="eastAsia" w:ascii="宋体" w:hAnsi="宋体" w:cs="宋体"/>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kern w:val="0"/>
                <w:szCs w:val="21"/>
                <w:highlight w:val="none"/>
              </w:rPr>
              <w:t>进行修改的时间</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23DB983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日的，须相应延后投标截止时间。</w:t>
            </w:r>
          </w:p>
        </w:tc>
      </w:tr>
      <w:tr w14:paraId="0C80F3C3">
        <w:tblPrEx>
          <w:tblCellMar>
            <w:top w:w="0" w:type="dxa"/>
            <w:left w:w="108" w:type="dxa"/>
            <w:bottom w:w="0" w:type="dxa"/>
            <w:right w:w="108" w:type="dxa"/>
          </w:tblCellMar>
        </w:tblPrEx>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14:paraId="547DD02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2555" w:type="dxa"/>
            <w:tcBorders>
              <w:top w:val="single" w:color="auto" w:sz="4" w:space="0"/>
              <w:left w:val="single" w:color="auto" w:sz="4" w:space="0"/>
              <w:bottom w:val="single" w:color="auto" w:sz="4" w:space="0"/>
              <w:right w:val="single" w:color="auto" w:sz="4" w:space="0"/>
            </w:tcBorders>
            <w:vAlign w:val="center"/>
          </w:tcPr>
          <w:p w14:paraId="14EAFD2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构成投标文件的其他材料</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03C4661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投标人的书面澄清、说明和补正（但不得改变投标文件的实质性内容）</w:t>
            </w:r>
          </w:p>
        </w:tc>
      </w:tr>
      <w:tr w14:paraId="5AE258C5">
        <w:tblPrEx>
          <w:tblCellMar>
            <w:top w:w="0" w:type="dxa"/>
            <w:left w:w="108" w:type="dxa"/>
            <w:bottom w:w="0" w:type="dxa"/>
            <w:right w:w="108" w:type="dxa"/>
          </w:tblCellMar>
        </w:tblPrEx>
        <w:trPr>
          <w:trHeight w:val="465" w:hRule="atLeast"/>
        </w:trPr>
        <w:tc>
          <w:tcPr>
            <w:tcW w:w="1098" w:type="dxa"/>
            <w:tcBorders>
              <w:top w:val="single" w:color="auto" w:sz="4" w:space="0"/>
              <w:left w:val="single" w:color="auto" w:sz="4" w:space="0"/>
              <w:bottom w:val="single" w:color="auto" w:sz="4" w:space="0"/>
              <w:right w:val="single" w:color="auto" w:sz="4" w:space="0"/>
            </w:tcBorders>
            <w:vAlign w:val="center"/>
          </w:tcPr>
          <w:p w14:paraId="002DCAE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2555" w:type="dxa"/>
            <w:tcBorders>
              <w:top w:val="single" w:color="auto" w:sz="4" w:space="0"/>
              <w:left w:val="single" w:color="auto" w:sz="4" w:space="0"/>
              <w:bottom w:val="single" w:color="auto" w:sz="4" w:space="0"/>
              <w:right w:val="single" w:color="auto" w:sz="4" w:space="0"/>
            </w:tcBorders>
            <w:vAlign w:val="center"/>
          </w:tcPr>
          <w:p w14:paraId="11C933E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16A435B2">
            <w:pPr>
              <w:keepNext w:val="0"/>
              <w:keepLines w:val="0"/>
              <w:pageBreakBefore w:val="0"/>
              <w:numPr>
                <w:ilvl w:val="-1"/>
                <w:numId w:val="0"/>
              </w:numPr>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采用</w:t>
            </w:r>
            <w:r>
              <w:rPr>
                <w:rFonts w:hint="eastAsia" w:ascii="宋体" w:hAnsi="宋体" w:eastAsia="宋体" w:cs="宋体"/>
                <w:color w:val="auto"/>
                <w:szCs w:val="21"/>
                <w:highlight w:val="none"/>
                <w:u w:val="single"/>
              </w:rPr>
              <w:t>单价合同计价方式</w:t>
            </w:r>
            <w:r>
              <w:rPr>
                <w:rFonts w:hint="eastAsia" w:ascii="宋体" w:hAnsi="宋体" w:eastAsia="宋体" w:cs="宋体"/>
                <w:color w:val="auto"/>
                <w:szCs w:val="21"/>
                <w:highlight w:val="none"/>
              </w:rPr>
              <w:t>方式。</w:t>
            </w:r>
          </w:p>
          <w:p w14:paraId="4CD97D0A">
            <w:pPr>
              <w:keepNext w:val="0"/>
              <w:keepLines w:val="0"/>
              <w:pageBreakBefore w:val="0"/>
              <w:tabs>
                <w:tab w:val="left" w:pos="546"/>
                <w:tab w:val="left" w:pos="711"/>
              </w:tabs>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2.使用</w:t>
            </w:r>
            <w:r>
              <w:rPr>
                <w:rFonts w:hint="eastAsia" w:ascii="宋体" w:hAnsi="宋体" w:eastAsia="宋体" w:cs="宋体"/>
                <w:szCs w:val="21"/>
                <w:highlight w:val="none"/>
                <w:lang w:val="en-US" w:eastAsia="zh-CN"/>
              </w:rPr>
              <w:t>财政资金或</w:t>
            </w:r>
            <w:r>
              <w:rPr>
                <w:rFonts w:hint="eastAsia" w:ascii="宋体" w:hAnsi="宋体" w:eastAsia="宋体" w:cs="宋体"/>
                <w:color w:val="auto"/>
                <w:szCs w:val="21"/>
                <w:highlight w:val="none"/>
              </w:rPr>
              <w:t>国有资金投资的水利水电工程发承包，</w:t>
            </w:r>
            <w:r>
              <w:rPr>
                <w:rFonts w:hint="eastAsia" w:ascii="宋体" w:hAnsi="宋体" w:eastAsia="宋体" w:cs="宋体"/>
                <w:szCs w:val="21"/>
                <w:highlight w:val="none"/>
                <w:lang w:val="en-US" w:eastAsia="zh-CN"/>
              </w:rPr>
              <w:t>应按国家及行业工程量计算标准编制工程量清单</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采用工程量清单计价</w:t>
            </w:r>
            <w:r>
              <w:rPr>
                <w:rFonts w:hint="eastAsia" w:ascii="宋体" w:hAnsi="宋体" w:eastAsia="宋体" w:cs="宋体"/>
                <w:color w:val="auto"/>
                <w:szCs w:val="21"/>
                <w:highlight w:val="none"/>
              </w:rPr>
              <w:t>。</w:t>
            </w:r>
          </w:p>
          <w:p w14:paraId="6DE6F285">
            <w:pPr>
              <w:keepNext w:val="0"/>
              <w:keepLines w:val="0"/>
              <w:pageBreakBefore w:val="0"/>
              <w:tabs>
                <w:tab w:val="left" w:pos="546"/>
                <w:tab w:val="left" w:pos="711"/>
              </w:tabs>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投标报价编制参考现行</w:t>
            </w:r>
            <w:r>
              <w:rPr>
                <w:rFonts w:hint="eastAsia" w:ascii="宋体" w:hAnsi="宋体" w:cs="宋体"/>
                <w:szCs w:val="21"/>
                <w:highlight w:val="none"/>
                <w:u w:val="single"/>
              </w:rPr>
              <w:t>行业主管部门政策</w:t>
            </w:r>
            <w:r>
              <w:rPr>
                <w:rFonts w:hint="eastAsia" w:ascii="宋体" w:hAnsi="宋体" w:eastAsia="宋体" w:cs="宋体"/>
                <w:color w:val="auto"/>
                <w:szCs w:val="21"/>
                <w:highlight w:val="none"/>
              </w:rPr>
              <w:t>文件及重庆市相关工程量清单计价规则的要求填写相应清单表格。本工程量清单采用以下第</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(1)+(2))</w:t>
            </w:r>
            <w:r>
              <w:rPr>
                <w:rFonts w:hint="eastAsia" w:ascii="宋体" w:hAnsi="宋体" w:eastAsia="宋体" w:cs="宋体"/>
                <w:color w:val="auto"/>
                <w:szCs w:val="21"/>
                <w:highlight w:val="none"/>
              </w:rPr>
              <w:t>种方式计价。</w:t>
            </w:r>
          </w:p>
          <w:p w14:paraId="0EB9B4E3">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（1）单价子目</w:t>
            </w:r>
          </w:p>
          <w:p w14:paraId="36792174">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单价子目包含的风险范围：</w:t>
            </w:r>
            <w:r>
              <w:rPr>
                <w:rFonts w:hint="eastAsia" w:ascii="宋体" w:hAnsi="宋体" w:eastAsia="宋体" w:cs="宋体"/>
                <w:color w:val="auto"/>
                <w:kern w:val="0"/>
                <w:szCs w:val="21"/>
                <w:highlight w:val="none"/>
                <w:u w:val="single"/>
              </w:rPr>
              <w:t>包括但不限于为实施和完成合同工程所需的人工费、材料费、施工机械费、其他费用、其它直接费、间接费、利润、价差、税金及缺陷修复等费用，以及除专用合同条款第16条〔价格调整〕约定范围外的市场价格波动风险、政策性文件规定的各项应有费用、</w:t>
            </w:r>
            <w:r>
              <w:rPr>
                <w:rFonts w:hint="eastAsia" w:ascii="宋体" w:hAnsi="宋体" w:cs="宋体"/>
                <w:color w:val="auto"/>
                <w:kern w:val="0"/>
                <w:szCs w:val="21"/>
                <w:highlight w:val="none"/>
                <w:u w:val="single"/>
                <w:lang w:eastAsia="zh-CN"/>
              </w:rPr>
              <w:t>竞争性比选</w:t>
            </w:r>
            <w:r>
              <w:rPr>
                <w:rFonts w:hint="eastAsia" w:ascii="宋体" w:hAnsi="宋体" w:cs="宋体"/>
                <w:color w:val="auto"/>
                <w:kern w:val="0"/>
                <w:szCs w:val="21"/>
                <w:highlight w:val="none"/>
                <w:u w:val="single"/>
                <w:lang w:val="en-US" w:eastAsia="zh-CN"/>
              </w:rPr>
              <w:t>文件</w:t>
            </w:r>
            <w:r>
              <w:rPr>
                <w:rFonts w:hint="eastAsia" w:ascii="宋体" w:hAnsi="宋体" w:eastAsia="宋体" w:cs="宋体"/>
                <w:color w:val="auto"/>
                <w:kern w:val="0"/>
                <w:szCs w:val="21"/>
                <w:highlight w:val="none"/>
                <w:u w:val="single"/>
              </w:rPr>
              <w:t>和合同明示或暗示的应由承包人承担的所有责任、义务和风险等所需的费用</w:t>
            </w:r>
            <w:r>
              <w:rPr>
                <w:rFonts w:hint="eastAsia" w:ascii="宋体" w:hAnsi="宋体" w:eastAsia="宋体" w:cs="宋体"/>
                <w:color w:val="auto"/>
                <w:kern w:val="0"/>
                <w:szCs w:val="21"/>
                <w:highlight w:val="none"/>
              </w:rPr>
              <w:t>。</w:t>
            </w:r>
          </w:p>
          <w:p w14:paraId="5E129D65">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风险费用的计算方法：</w:t>
            </w:r>
            <w:r>
              <w:rPr>
                <w:rFonts w:hint="eastAsia" w:ascii="宋体" w:hAnsi="宋体" w:eastAsia="宋体" w:cs="宋体"/>
                <w:color w:val="auto"/>
                <w:kern w:val="0"/>
                <w:szCs w:val="21"/>
                <w:highlight w:val="none"/>
                <w:u w:val="single"/>
              </w:rPr>
              <w:t>除专用合同条款第16条〔价格调整〕约定范围外，由承包人自行综合考虑并计入单价子目价格中，包干使用</w:t>
            </w:r>
            <w:r>
              <w:rPr>
                <w:rFonts w:hint="eastAsia" w:ascii="宋体" w:hAnsi="宋体" w:eastAsia="宋体" w:cs="宋体"/>
                <w:color w:val="auto"/>
                <w:kern w:val="0"/>
                <w:szCs w:val="21"/>
                <w:highlight w:val="none"/>
              </w:rPr>
              <w:t>。</w:t>
            </w:r>
          </w:p>
          <w:p w14:paraId="10ABFD7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风险范围以外合同价格的调整方法：</w:t>
            </w:r>
            <w:r>
              <w:rPr>
                <w:rFonts w:hint="eastAsia" w:ascii="宋体" w:hAnsi="宋体" w:eastAsia="宋体" w:cs="宋体"/>
                <w:color w:val="auto"/>
                <w:kern w:val="0"/>
                <w:szCs w:val="21"/>
                <w:highlight w:val="none"/>
                <w:u w:val="single"/>
              </w:rPr>
              <w:t>按照专用合同条款第16条〔价格调整〕约定执行</w:t>
            </w:r>
            <w:r>
              <w:rPr>
                <w:rFonts w:hint="eastAsia" w:ascii="宋体" w:hAnsi="宋体" w:eastAsia="宋体" w:cs="宋体"/>
                <w:color w:val="auto"/>
                <w:kern w:val="0"/>
                <w:szCs w:val="21"/>
                <w:highlight w:val="none"/>
              </w:rPr>
              <w:t>。</w:t>
            </w:r>
          </w:p>
          <w:p w14:paraId="329A7B54">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单价子目的计量：</w:t>
            </w:r>
            <w:r>
              <w:rPr>
                <w:rFonts w:hint="eastAsia" w:ascii="宋体" w:hAnsi="宋体" w:eastAsia="宋体" w:cs="宋体"/>
                <w:color w:val="auto"/>
                <w:szCs w:val="21"/>
                <w:highlight w:val="none"/>
                <w:u w:val="single"/>
              </w:rPr>
              <w:t>已标价工程量清单中的单价子目工程量为估算工程量。结算工程量是承包人实际完成的，并按合同约定的计量方法进行计量的工程量。</w:t>
            </w:r>
          </w:p>
          <w:p w14:paraId="676891F6">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（2）总价子目</w:t>
            </w:r>
          </w:p>
          <w:p w14:paraId="0D84C414">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总价子目包含的风险范围：</w:t>
            </w:r>
            <w:r>
              <w:rPr>
                <w:rFonts w:hint="eastAsia" w:ascii="宋体" w:hAnsi="宋体" w:eastAsia="宋体" w:cs="宋体"/>
                <w:color w:val="auto"/>
                <w:kern w:val="0"/>
                <w:szCs w:val="21"/>
                <w:highlight w:val="none"/>
                <w:u w:val="single"/>
              </w:rPr>
              <w:t>包括但不限于为实施和完成合同工程所需的人工费、材料费、施工机械费、其他费用、其它直接费、间接费、利润、价差、税金及缺陷修复等费用，以及专业合同条款第16条〔市场价格波动引起的调整〕约定范围内的市场价格波动风险、政策性文件规定的各项应有费用、</w:t>
            </w:r>
            <w:r>
              <w:rPr>
                <w:rFonts w:hint="eastAsia" w:ascii="宋体" w:hAnsi="宋体" w:cs="宋体"/>
                <w:color w:val="auto"/>
                <w:kern w:val="0"/>
                <w:szCs w:val="21"/>
                <w:highlight w:val="none"/>
                <w:u w:val="single"/>
                <w:lang w:eastAsia="zh-CN"/>
              </w:rPr>
              <w:t>竞争性比选</w:t>
            </w:r>
            <w:r>
              <w:rPr>
                <w:rFonts w:hint="eastAsia" w:ascii="宋体" w:hAnsi="宋体" w:cs="宋体"/>
                <w:color w:val="auto"/>
                <w:kern w:val="0"/>
                <w:szCs w:val="21"/>
                <w:highlight w:val="none"/>
                <w:u w:val="single"/>
                <w:lang w:val="en-US" w:eastAsia="zh-CN"/>
              </w:rPr>
              <w:t>文件</w:t>
            </w:r>
            <w:r>
              <w:rPr>
                <w:rFonts w:hint="eastAsia" w:ascii="宋体" w:hAnsi="宋体" w:eastAsia="宋体" w:cs="宋体"/>
                <w:color w:val="auto"/>
                <w:kern w:val="0"/>
                <w:szCs w:val="21"/>
                <w:highlight w:val="none"/>
                <w:u w:val="single"/>
              </w:rPr>
              <w:t>和合同明示或暗示的应由承包人承担的所有责任、义务和风险等所需的费用。</w:t>
            </w:r>
          </w:p>
          <w:p w14:paraId="5CCE9A68">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风险费用的计算方法：</w:t>
            </w:r>
            <w:r>
              <w:rPr>
                <w:rFonts w:hint="eastAsia" w:ascii="宋体" w:hAnsi="宋体" w:eastAsia="宋体" w:cs="宋体"/>
                <w:color w:val="auto"/>
                <w:kern w:val="0"/>
                <w:szCs w:val="21"/>
                <w:highlight w:val="none"/>
                <w:u w:val="single"/>
              </w:rPr>
              <w:t>由承包人自行考虑并计入签约合同价格中，包干使用。</w:t>
            </w:r>
          </w:p>
          <w:p w14:paraId="11896EA0">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风险范围以外合同价格的调整方法：</w:t>
            </w:r>
            <w:r>
              <w:rPr>
                <w:rFonts w:hint="eastAsia" w:ascii="宋体" w:hAnsi="宋体" w:eastAsia="宋体" w:cs="宋体"/>
                <w:color w:val="auto"/>
                <w:kern w:val="0"/>
                <w:szCs w:val="21"/>
                <w:highlight w:val="none"/>
                <w:u w:val="single"/>
              </w:rPr>
              <w:t>除本项目合同第15条（变更）约定外，总价不作调整。</w:t>
            </w:r>
          </w:p>
          <w:p w14:paraId="2FBE782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总价子目的计量与支付：</w:t>
            </w:r>
            <w:r>
              <w:rPr>
                <w:rFonts w:hint="eastAsia" w:ascii="宋体" w:hAnsi="宋体" w:eastAsia="宋体" w:cs="宋体"/>
                <w:color w:val="auto"/>
                <w:kern w:val="0"/>
                <w:szCs w:val="21"/>
                <w:highlight w:val="none"/>
                <w:u w:val="single"/>
              </w:rPr>
              <w:t>总价子目的计量和支付应以总价为基础，不因本项目合同第16.1款中的因素而进行调整。承包人实际完成的工程量，是进行工程目标管理和控制进度支付的依据。总价子目中承包人实际完成工作量只作为中间支付参考，不作为结算审核的依据。</w:t>
            </w:r>
          </w:p>
          <w:p w14:paraId="5CE6143D">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按相关配套文件和第五章“工程量清单”的要求填写相应清单表格。投标人的投标报价应是本章投标人须知前附表1.3.1项中所述的本工程合同段招标范围内的全部工程的投标报价，并以投标人在工程量清单中提出的单价或总价为依据。</w:t>
            </w:r>
          </w:p>
          <w:p w14:paraId="5DBE28B4">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w:t>
            </w:r>
          </w:p>
          <w:p w14:paraId="0A96C48D">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5.投标函中的总报价必须与已标价工程量清单总报价一致，否则由评标委员会作否决投标处理。</w:t>
            </w:r>
          </w:p>
          <w:p w14:paraId="61B887F0">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本项目采用单价合同形式，则分组工程量清单中的临时（或一般）工程实行总价包干，除专用合同条款另有约定外，总价子目不做调整</w:t>
            </w:r>
            <w:r>
              <w:rPr>
                <w:rFonts w:hint="eastAsia" w:ascii="宋体" w:hAnsi="宋体" w:eastAsia="宋体" w:cs="宋体"/>
                <w:color w:val="auto"/>
                <w:szCs w:val="21"/>
                <w:highlight w:val="none"/>
              </w:rPr>
              <w:t>；</w:t>
            </w:r>
          </w:p>
          <w:p w14:paraId="5EF4144B">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7.增值税计税方法由招标人依据国家税法规定选择：</w:t>
            </w:r>
          </w:p>
          <w:p w14:paraId="6214B730">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一般计税法</w:t>
            </w:r>
          </w:p>
          <w:p w14:paraId="5BB738D4">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8.如发现工程量清单中的数量与图纸中数量不一致，应于本须知2.2.1项中规定的时间前书面通知招标人核查，除非招标人以修改书的形式予以更正，否则，应以工程量清单中列出的数量为准。</w:t>
            </w:r>
          </w:p>
          <w:p w14:paraId="2A87B016">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9.招标人在工程量清单中所列出的价格（包括暂列金额、暂估价等），投标人不得修改。否则由评标委员会作否决投标处理。</w:t>
            </w:r>
          </w:p>
          <w:p w14:paraId="6AE19857">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10.本工程招标将设置投标总报价最高限价，投标总报价最高限价</w:t>
            </w:r>
            <w:r>
              <w:rPr>
                <w:rFonts w:hint="eastAsia" w:ascii="宋体" w:hAnsi="宋体" w:eastAsia="宋体" w:cs="宋体"/>
                <w:color w:val="auto"/>
                <w:szCs w:val="21"/>
                <w:highlight w:val="none"/>
                <w:lang w:eastAsia="zh-CN"/>
              </w:rPr>
              <w:t>：</w:t>
            </w:r>
            <w:r>
              <w:rPr>
                <w:rFonts w:hint="eastAsia" w:ascii="宋体" w:hAnsi="宋体" w:cs="宋体"/>
                <w:b/>
                <w:bCs/>
                <w:highlight w:val="none"/>
              </w:rPr>
              <w:t>以所发工程量清单总价下浮1</w:t>
            </w:r>
            <w:r>
              <w:rPr>
                <w:rFonts w:hint="eastAsia" w:cs="宋体"/>
                <w:b/>
                <w:bCs/>
                <w:highlight w:val="none"/>
                <w:lang w:val="en-US" w:eastAsia="zh-CN"/>
              </w:rPr>
              <w:t>0</w:t>
            </w:r>
            <w:r>
              <w:rPr>
                <w:rFonts w:hint="eastAsia" w:ascii="宋体" w:hAnsi="宋体" w:cs="宋体"/>
                <w:b/>
                <w:bCs/>
                <w:highlight w:val="none"/>
              </w:rPr>
              <w:t>%作为最高限价</w:t>
            </w:r>
            <w:r>
              <w:rPr>
                <w:rFonts w:hint="eastAsia" w:ascii="宋体" w:hAnsi="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en-US" w:eastAsia="zh-CN"/>
              </w:rPr>
              <w:t>312352.92元</w:t>
            </w:r>
            <w:r>
              <w:rPr>
                <w:rFonts w:hint="eastAsia" w:ascii="宋体" w:hAnsi="宋体" w:cs="宋体"/>
                <w:b/>
                <w:bCs/>
                <w:color w:val="auto"/>
                <w:szCs w:val="21"/>
                <w:highlight w:val="none"/>
                <w:u w:val="single"/>
                <w:lang w:val="en-US" w:eastAsia="zh-CN"/>
              </w:rPr>
              <w:t>（大写：叁拾壹万贰仟叁佰伍拾贰元玖角贰分）</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投标人的投标总报价不得超过投标总报价最高限价，否则由评标委员会作否决投标处理。</w:t>
            </w:r>
          </w:p>
          <w:p w14:paraId="2695F618">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i/>
                <w:color w:val="auto"/>
                <w:szCs w:val="21"/>
                <w:highlight w:val="none"/>
                <w:lang w:eastAsia="zh-CN"/>
              </w:rPr>
            </w:pPr>
            <w:r>
              <w:rPr>
                <w:rFonts w:hint="eastAsia" w:ascii="宋体" w:hAnsi="宋体" w:eastAsia="宋体" w:cs="宋体"/>
                <w:color w:val="auto"/>
                <w:szCs w:val="21"/>
                <w:highlight w:val="none"/>
              </w:rPr>
              <w:t>本工程招标将设置全部清单综合单价最高限价，全部清单综合单价最高限价</w:t>
            </w:r>
            <w:r>
              <w:rPr>
                <w:rFonts w:hint="eastAsia" w:ascii="宋体" w:hAnsi="宋体" w:cs="宋体"/>
                <w:color w:val="auto"/>
                <w:szCs w:val="21"/>
                <w:highlight w:val="none"/>
                <w:u w:val="single"/>
                <w:lang w:val="en-US" w:eastAsia="zh-CN"/>
              </w:rPr>
              <w:t>随招标工程量清单一并</w:t>
            </w:r>
            <w:r>
              <w:rPr>
                <w:rFonts w:hint="eastAsia" w:ascii="宋体" w:hAnsi="宋体" w:eastAsia="宋体" w:cs="宋体"/>
                <w:color w:val="auto"/>
                <w:szCs w:val="21"/>
                <w:highlight w:val="none"/>
              </w:rPr>
              <w:t>发布</w:t>
            </w:r>
            <w:r>
              <w:rPr>
                <w:rFonts w:hint="eastAsia" w:ascii="宋体" w:hAnsi="宋体" w:cs="宋体"/>
                <w:color w:val="auto"/>
                <w:szCs w:val="21"/>
                <w:highlight w:val="none"/>
                <w:lang w:eastAsia="zh-CN"/>
              </w:rPr>
              <w:t>。</w:t>
            </w:r>
          </w:p>
          <w:p w14:paraId="39DAA0EE">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安全生产费</w:t>
            </w:r>
          </w:p>
          <w:p w14:paraId="69432AC1">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投标人应按照行业主管部门最新要求，在工程总报价中，按建筑安装工程总造价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不含设备费）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%标准计提安全生产费用。</w:t>
            </w:r>
            <w:r>
              <w:rPr>
                <w:rFonts w:hint="eastAsia" w:ascii="宋体" w:hAnsi="宋体" w:eastAsia="宋体" w:cs="宋体"/>
                <w:color w:val="auto"/>
                <w:szCs w:val="21"/>
                <w:highlight w:val="none"/>
                <w:lang w:val="en-US" w:eastAsia="zh-CN"/>
              </w:rPr>
              <w:t>安全生产费具体金额由</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自行计算填报。</w:t>
            </w:r>
          </w:p>
          <w:p w14:paraId="341EF85F">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本工程所需材料（含设备）价格由投标人结合市场行情及自身实力进行自主报价。</w:t>
            </w:r>
          </w:p>
          <w:p w14:paraId="1BCB063B">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13.</w:t>
            </w:r>
            <w:r>
              <w:rPr>
                <w:rFonts w:hint="eastAsia" w:ascii="宋体" w:hAnsi="宋体" w:eastAsia="宋体" w:cs="宋体"/>
                <w:color w:val="auto"/>
                <w:szCs w:val="21"/>
                <w:highlight w:val="none"/>
              </w:rPr>
              <w:t xml:space="preserve"> 投标人投标报价中的各清单子目单价不应高于各清单子目单价最高限价。招标人在合同签订前将对中标人“已标价工程量清单”进行复核，若出现差错则按以下原则进行处理（或结算）：</w:t>
            </w:r>
          </w:p>
          <w:p w14:paraId="0BCF39A6">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总报价汇总计算结果与投标函总报价不一致时，按就低不就高原则进行修正，即：汇总计算结果高于投标函总报价则以投标函总报价为准，按汇总计算结果与投标函总报价相比的降低幅度同比例修正分组报价和各清单子目单价；汇总计算结果低于投标函总报价则以投标总报价汇总计算结果为准进行签约或结算；</w:t>
            </w:r>
          </w:p>
          <w:p w14:paraId="3CDA6E60">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（2）依据单价和数量计算结果与其合价不符的，按不利于投标人原则（就低不就高）对其单价和合价进行修正。</w:t>
            </w:r>
          </w:p>
          <w:p w14:paraId="273E88CE">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（3）单价报价超过工程量清单综合单价最高限价的，以工程量清单综合单价最高限价为基础，按照中标总报价与总价最高限价的下浮比例进行同比例下调修正其单价和合价。</w:t>
            </w:r>
          </w:p>
          <w:p w14:paraId="46C5F3C8">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工程量清单漏项的，按该项单价为0进行修正（即视为该项工作内容的报价已包括在其他项目报价内），超出招标人提供的工程量清单范围的清单项目报价不予认可，按该清单项目报价为0对其单价和合价进行修正。</w:t>
            </w:r>
          </w:p>
          <w:p w14:paraId="4DB40216">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cs="宋体"/>
                <w:color w:val="auto"/>
                <w:szCs w:val="21"/>
                <w:highlight w:val="none"/>
                <w:lang w:val="en-US" w:eastAsia="zh-CN"/>
              </w:rPr>
              <w:t>提供：</w:t>
            </w:r>
            <w:r>
              <w:rPr>
                <w:rFonts w:hint="eastAsia" w:ascii="宋体" w:hAnsi="宋体" w:eastAsia="宋体" w:cs="宋体"/>
                <w:color w:val="auto"/>
                <w:szCs w:val="21"/>
                <w:highlight w:val="none"/>
              </w:rPr>
              <w:t>承诺（格式详见第八章投标文件格式），</w:t>
            </w:r>
            <w:r>
              <w:rPr>
                <w:rFonts w:hint="eastAsia" w:ascii="宋体" w:hAnsi="宋体" w:cs="宋体"/>
                <w:color w:val="auto"/>
                <w:szCs w:val="21"/>
                <w:highlight w:val="none"/>
                <w:lang w:val="en-US" w:eastAsia="zh-CN"/>
              </w:rPr>
              <w:t>并</w:t>
            </w:r>
            <w:r>
              <w:rPr>
                <w:rFonts w:hint="eastAsia" w:ascii="宋体" w:hAnsi="宋体" w:eastAsia="宋体" w:cs="宋体"/>
                <w:color w:val="auto"/>
                <w:szCs w:val="21"/>
                <w:highlight w:val="none"/>
              </w:rPr>
              <w:t>包括以下内容：</w:t>
            </w:r>
          </w:p>
          <w:p w14:paraId="43E0F9D6">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w:t>
            </w:r>
            <w:r>
              <w:rPr>
                <w:rFonts w:hint="eastAsia" w:ascii="宋体" w:hAnsi="宋体" w:cs="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Cs w:val="21"/>
                <w:highlight w:val="none"/>
              </w:rPr>
              <w:t>第二章3.2“投标报价”、第五章“工程量清单”的规定进行报价。</w:t>
            </w:r>
          </w:p>
          <w:p w14:paraId="787805CE">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Cs w:val="21"/>
                <w:highlight w:val="none"/>
              </w:rPr>
              <w:t>中规定工程量清单不允许修改的内容不得修改。</w:t>
            </w:r>
          </w:p>
          <w:p w14:paraId="09A7486C">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）若出现差错，按</w:t>
            </w:r>
            <w:r>
              <w:rPr>
                <w:rFonts w:hint="eastAsia" w:ascii="宋体" w:hAnsi="宋体" w:cs="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Cs w:val="21"/>
                <w:highlight w:val="none"/>
              </w:rPr>
              <w:t>第二章投标人须知前附表第3.2款的第13条规定的原则进行处理（或结算）。</w:t>
            </w:r>
          </w:p>
          <w:p w14:paraId="3C3D08D1">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投标人未按上述要求提供承诺函的，由评标委员会作否决投标处理。</w:t>
            </w:r>
          </w:p>
          <w:p w14:paraId="5D43AFC4">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cs="宋体"/>
                <w:i w:val="0"/>
                <w:iCs w:val="0"/>
                <w:szCs w:val="21"/>
                <w:highlight w:val="none"/>
                <w:u w:val="none"/>
                <w:lang w:val="en-US" w:eastAsia="zh-CN"/>
              </w:rPr>
            </w:pPr>
            <w:r>
              <w:rPr>
                <w:rFonts w:hint="eastAsia" w:ascii="宋体" w:hAnsi="宋体" w:eastAsia="宋体" w:cs="宋体"/>
                <w:szCs w:val="21"/>
                <w:highlight w:val="none"/>
                <w:lang w:val="en-US" w:eastAsia="zh-CN"/>
              </w:rPr>
              <w:t>15.异常低价警戒线要求</w:t>
            </w:r>
          </w:p>
          <w:p w14:paraId="5D21314F">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cs="宋体"/>
                <w:i w:val="0"/>
                <w:iCs w:val="0"/>
                <w:szCs w:val="21"/>
                <w:highlight w:val="none"/>
                <w:u w:val="none"/>
                <w:lang w:val="en-US" w:eastAsia="zh-CN"/>
              </w:rPr>
            </w:pPr>
            <w:r>
              <w:rPr>
                <w:rFonts w:hint="eastAsia" w:ascii="宋体" w:hAnsi="宋体" w:cs="宋体"/>
                <w:sz w:val="21"/>
                <w:szCs w:val="21"/>
                <w:highlight w:val="none"/>
                <w:u w:val="none"/>
                <w:lang w:val="en-US" w:eastAsia="zh-CN"/>
              </w:rPr>
              <w:t>投标总报价异常低价警戒线：最高限价的</w:t>
            </w:r>
            <w:r>
              <w:rPr>
                <w:rFonts w:hint="eastAsia" w:ascii="宋体" w:hAnsi="宋体" w:cs="宋体"/>
                <w:sz w:val="21"/>
                <w:szCs w:val="21"/>
                <w:highlight w:val="none"/>
                <w:u w:val="single"/>
                <w:lang w:val="en-US" w:eastAsia="zh-CN"/>
              </w:rPr>
              <w:t>85%</w:t>
            </w:r>
            <w:r>
              <w:rPr>
                <w:rFonts w:hint="eastAsia" w:ascii="宋体" w:hAnsi="宋体" w:cs="宋体"/>
                <w:i w:val="0"/>
                <w:iCs w:val="0"/>
                <w:szCs w:val="21"/>
                <w:highlight w:val="none"/>
                <w:u w:val="none"/>
                <w:lang w:val="en-US" w:eastAsia="zh-CN"/>
              </w:rPr>
              <w:t>。</w:t>
            </w:r>
          </w:p>
          <w:p w14:paraId="7987ABD7">
            <w:pPr>
              <w:pStyle w:val="2"/>
              <w:tabs>
                <w:tab w:val="left" w:pos="546"/>
                <w:tab w:val="left" w:pos="711"/>
              </w:tabs>
              <w:snapToGrid w:val="0"/>
              <w:spacing w:after="0" w:line="400" w:lineRule="exact"/>
              <w:ind w:firstLine="420" w:firstLineChars="200"/>
              <w:rPr>
                <w:rFonts w:hint="eastAsia"/>
                <w:highlight w:val="none"/>
                <w:lang w:eastAsia="zh-CN"/>
              </w:rPr>
            </w:pPr>
            <w:r>
              <w:rPr>
                <w:rFonts w:hint="eastAsia" w:ascii="宋体" w:hAnsi="宋体" w:cs="宋体"/>
                <w:i w:val="0"/>
                <w:iCs w:val="0"/>
                <w:szCs w:val="21"/>
                <w:highlight w:val="none"/>
                <w:u w:val="none"/>
                <w:lang w:val="en-US" w:eastAsia="zh-CN"/>
              </w:rPr>
              <w:t>投标人投标总报价或者部分单项报价</w:t>
            </w:r>
            <w:r>
              <w:rPr>
                <w:rFonts w:hint="eastAsia" w:ascii="宋体" w:hAnsi="宋体" w:cs="宋体"/>
                <w:szCs w:val="21"/>
                <w:highlight w:val="none"/>
              </w:rPr>
              <w:t>低于</w:t>
            </w:r>
            <w:r>
              <w:rPr>
                <w:rFonts w:hint="eastAsia" w:ascii="宋体" w:hAnsi="宋体" w:cs="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s="宋体"/>
                <w:i w:val="0"/>
                <w:iCs w:val="0"/>
                <w:szCs w:val="21"/>
                <w:highlight w:val="none"/>
                <w:u w:val="none"/>
                <w:lang w:val="en-US" w:eastAsia="zh-CN"/>
              </w:rPr>
              <w:t>规定的对应的异常低价警戒线的</w:t>
            </w:r>
            <w:r>
              <w:rPr>
                <w:rFonts w:hint="eastAsia" w:ascii="宋体" w:hAnsi="宋体" w:cs="宋体"/>
                <w:szCs w:val="21"/>
                <w:highlight w:val="none"/>
              </w:rPr>
              <w:t>，</w:t>
            </w:r>
            <w:r>
              <w:rPr>
                <w:rFonts w:hint="eastAsia" w:ascii="宋体" w:hAnsi="宋体" w:cs="宋体"/>
                <w:i w:val="0"/>
                <w:iCs w:val="0"/>
                <w:color w:val="auto"/>
                <w:szCs w:val="21"/>
                <w:highlight w:val="none"/>
                <w:u w:val="none"/>
                <w:lang w:val="en-US" w:eastAsia="zh-CN"/>
              </w:rPr>
              <w:t>应提供报价合理性说明，</w:t>
            </w:r>
            <w:r>
              <w:rPr>
                <w:rFonts w:hint="eastAsia" w:ascii="宋体" w:hAnsi="宋体" w:cs="宋体"/>
                <w:color w:val="auto"/>
                <w:szCs w:val="21"/>
                <w:highlight w:val="none"/>
              </w:rPr>
              <w:t>并提供必要的证明材料</w:t>
            </w:r>
            <w:r>
              <w:rPr>
                <w:rFonts w:hint="eastAsia" w:ascii="宋体" w:hAnsi="宋体" w:cs="宋体"/>
                <w:i w:val="0"/>
                <w:iCs w:val="0"/>
                <w:color w:val="auto"/>
                <w:szCs w:val="21"/>
                <w:highlight w:val="none"/>
                <w:u w:val="none"/>
                <w:lang w:val="en-US" w:eastAsia="zh-CN"/>
              </w:rPr>
              <w:t>。投标人提供的说明不得降低或者改变原设计方案、技术工艺、施工标准，不得影响项目的质量、安全、工期、结算等正常履约。</w:t>
            </w:r>
          </w:p>
          <w:p w14:paraId="4B910A57">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i w:val="0"/>
                <w:iCs w:val="0"/>
                <w:szCs w:val="21"/>
                <w:highlight w:val="none"/>
                <w:u w:val="none"/>
                <w:lang w:val="en-US" w:eastAsia="zh-CN"/>
              </w:rPr>
              <w:t>投标人投标总报价</w:t>
            </w:r>
            <w:r>
              <w:rPr>
                <w:rFonts w:hint="eastAsia" w:ascii="宋体" w:hAnsi="宋体" w:cs="宋体"/>
                <w:i w:val="0"/>
                <w:iCs w:val="0"/>
                <w:szCs w:val="21"/>
                <w:highlight w:val="none"/>
                <w:u w:val="none"/>
                <w:lang w:val="en-US" w:eastAsia="zh-CN"/>
              </w:rPr>
              <w:t>或者部分单项报价</w:t>
            </w:r>
            <w:r>
              <w:rPr>
                <w:rFonts w:hint="eastAsia" w:ascii="宋体" w:hAnsi="宋体" w:eastAsia="宋体" w:cs="宋体"/>
                <w:szCs w:val="21"/>
                <w:highlight w:val="none"/>
              </w:rPr>
              <w:t>低于</w:t>
            </w:r>
            <w:r>
              <w:rPr>
                <w:rFonts w:hint="eastAsia" w:ascii="宋体" w:hAnsi="宋体" w:cs="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i w:val="0"/>
                <w:iCs w:val="0"/>
                <w:szCs w:val="21"/>
                <w:highlight w:val="none"/>
                <w:u w:val="none"/>
                <w:lang w:val="en-US" w:eastAsia="zh-CN"/>
              </w:rPr>
              <w:t>规定的对应的异常低价警戒线的</w:t>
            </w:r>
            <w:r>
              <w:rPr>
                <w:rFonts w:hint="eastAsia" w:ascii="宋体" w:hAnsi="宋体" w:eastAsia="宋体" w:cs="宋体"/>
                <w:szCs w:val="21"/>
                <w:highlight w:val="none"/>
              </w:rPr>
              <w:t>，投标人未提供</w:t>
            </w:r>
            <w:r>
              <w:rPr>
                <w:rFonts w:hint="eastAsia" w:ascii="宋体" w:hAnsi="宋体" w:eastAsia="宋体" w:cs="宋体"/>
                <w:szCs w:val="21"/>
                <w:highlight w:val="none"/>
                <w:lang w:val="en-US" w:eastAsia="zh-CN"/>
              </w:rPr>
              <w:t>报价合理性</w:t>
            </w:r>
            <w:r>
              <w:rPr>
                <w:rFonts w:hint="eastAsia" w:ascii="宋体" w:hAnsi="宋体" w:eastAsia="宋体" w:cs="宋体"/>
                <w:szCs w:val="21"/>
                <w:highlight w:val="none"/>
              </w:rPr>
              <w:t>说明或者提供的说明不能证明其报价合理性的，</w:t>
            </w:r>
            <w:r>
              <w:rPr>
                <w:rFonts w:hint="eastAsia" w:ascii="宋体" w:hAnsi="宋体" w:eastAsia="宋体" w:cs="宋体"/>
                <w:highlight w:val="none"/>
              </w:rPr>
              <w:t>由评标委员会作否决投标处理</w:t>
            </w:r>
            <w:r>
              <w:rPr>
                <w:rFonts w:hint="eastAsia" w:ascii="宋体" w:hAnsi="宋体" w:eastAsia="宋体" w:cs="宋体"/>
                <w:szCs w:val="21"/>
                <w:highlight w:val="none"/>
              </w:rPr>
              <w:t>。</w:t>
            </w:r>
          </w:p>
        </w:tc>
      </w:tr>
      <w:tr w14:paraId="235E0BB1">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5A65634A">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78" w:name="_Toc221950062"/>
            <w:r>
              <w:rPr>
                <w:rFonts w:hint="eastAsia" w:ascii="宋体" w:hAnsi="宋体" w:eastAsia="宋体" w:cs="宋体"/>
                <w:color w:val="auto"/>
                <w:szCs w:val="21"/>
                <w:highlight w:val="none"/>
              </w:rPr>
              <w:t>3.3.1</w:t>
            </w:r>
            <w:bookmarkEnd w:id="178"/>
          </w:p>
        </w:tc>
        <w:tc>
          <w:tcPr>
            <w:tcW w:w="2555" w:type="dxa"/>
            <w:tcBorders>
              <w:top w:val="single" w:color="auto" w:sz="4" w:space="0"/>
              <w:left w:val="single" w:color="auto" w:sz="4" w:space="0"/>
              <w:bottom w:val="single" w:color="auto" w:sz="4" w:space="0"/>
              <w:right w:val="single" w:color="auto" w:sz="4" w:space="0"/>
            </w:tcBorders>
            <w:vAlign w:val="center"/>
          </w:tcPr>
          <w:p w14:paraId="0A3F2BCD">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79" w:name="_Toc221950063"/>
            <w:r>
              <w:rPr>
                <w:rFonts w:hint="eastAsia" w:ascii="宋体" w:hAnsi="宋体" w:eastAsia="宋体" w:cs="宋体"/>
                <w:color w:val="auto"/>
                <w:szCs w:val="21"/>
                <w:highlight w:val="none"/>
              </w:rPr>
              <w:t>投标有效期</w:t>
            </w:r>
            <w:bookmarkEnd w:id="179"/>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7F78AC8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 （从提交投标文件截止日起计算）</w:t>
            </w:r>
          </w:p>
        </w:tc>
      </w:tr>
      <w:tr w14:paraId="5370955C">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6B786D17">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80" w:name="_Toc221950064"/>
            <w:r>
              <w:rPr>
                <w:rFonts w:hint="eastAsia" w:ascii="宋体" w:hAnsi="宋体" w:eastAsia="宋体" w:cs="宋体"/>
                <w:color w:val="auto"/>
                <w:szCs w:val="21"/>
                <w:highlight w:val="none"/>
              </w:rPr>
              <w:t>3.4.1</w:t>
            </w:r>
            <w:bookmarkEnd w:id="180"/>
          </w:p>
        </w:tc>
        <w:tc>
          <w:tcPr>
            <w:tcW w:w="2555" w:type="dxa"/>
            <w:tcBorders>
              <w:top w:val="single" w:color="auto" w:sz="4" w:space="0"/>
              <w:left w:val="single" w:color="auto" w:sz="4" w:space="0"/>
              <w:bottom w:val="single" w:color="auto" w:sz="4" w:space="0"/>
              <w:right w:val="single" w:color="auto" w:sz="4" w:space="0"/>
            </w:tcBorders>
            <w:vAlign w:val="center"/>
          </w:tcPr>
          <w:p w14:paraId="62DB5EC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81" w:name="_Toc221950065"/>
            <w:r>
              <w:rPr>
                <w:rFonts w:hint="eastAsia" w:ascii="宋体" w:hAnsi="宋体" w:eastAsia="宋体" w:cs="宋体"/>
                <w:color w:val="auto"/>
                <w:szCs w:val="21"/>
                <w:highlight w:val="none"/>
              </w:rPr>
              <w:t>投标保证金</w:t>
            </w:r>
            <w:bookmarkEnd w:id="181"/>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CC0E2C2">
            <w:pPr>
              <w:pStyle w:val="2"/>
              <w:keepNext w:val="0"/>
              <w:keepLines w:val="0"/>
              <w:pageBreakBefore w:val="0"/>
              <w:kinsoku/>
              <w:wordWrap/>
              <w:overflowPunct/>
              <w:topLinePunct w:val="0"/>
              <w:bidi w:val="0"/>
              <w:spacing w:after="0" w:line="400" w:lineRule="exact"/>
              <w:ind w:firstLine="42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金额：</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000元（</w:t>
            </w:r>
            <w:r>
              <w:rPr>
                <w:rFonts w:hint="eastAsia" w:ascii="Times New Roman" w:hAnsi="Times New Roman" w:cs="Times New Roman"/>
                <w:highlight w:val="none"/>
                <w:lang w:val="en-US" w:eastAsia="zh-CN"/>
              </w:rPr>
              <w:t>陆仟</w:t>
            </w:r>
            <w:r>
              <w:rPr>
                <w:rFonts w:hint="eastAsia" w:ascii="Times New Roman" w:hAnsi="Times New Roman" w:cs="Times New Roman"/>
                <w:highlight w:val="none"/>
              </w:rPr>
              <w:t>元整）。</w:t>
            </w:r>
          </w:p>
          <w:p w14:paraId="70317CDC">
            <w:pPr>
              <w:pStyle w:val="2"/>
              <w:keepNext w:val="0"/>
              <w:keepLines w:val="0"/>
              <w:pageBreakBefore w:val="0"/>
              <w:kinsoku/>
              <w:wordWrap/>
              <w:overflowPunct/>
              <w:topLinePunct w:val="0"/>
              <w:bidi w:val="0"/>
              <w:spacing w:after="0" w:line="400" w:lineRule="exact"/>
              <w:ind w:firstLine="42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提交方式：</w:t>
            </w:r>
            <w:r>
              <w:rPr>
                <w:rFonts w:hint="eastAsia" w:ascii="Times New Roman" w:hAnsi="Times New Roman" w:cs="Times New Roman"/>
                <w:highlight w:val="none"/>
                <w:lang w:val="en-US" w:eastAsia="zh-CN"/>
              </w:rPr>
              <w:t>现金</w:t>
            </w:r>
            <w:r>
              <w:rPr>
                <w:rFonts w:hint="eastAsia" w:ascii="Times New Roman" w:hAnsi="Times New Roman" w:cs="Times New Roman"/>
                <w:highlight w:val="none"/>
              </w:rPr>
              <w:t>密封现场提交。</w:t>
            </w:r>
          </w:p>
          <w:p w14:paraId="7C8D14EE">
            <w:pPr>
              <w:pStyle w:val="2"/>
              <w:keepNext w:val="0"/>
              <w:keepLines w:val="0"/>
              <w:pageBreakBefore w:val="0"/>
              <w:kinsoku/>
              <w:wordWrap/>
              <w:overflowPunct/>
              <w:topLinePunct w:val="0"/>
              <w:bidi w:val="0"/>
              <w:spacing w:after="0" w:line="400" w:lineRule="exact"/>
              <w:ind w:firstLine="42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提交截止时间：</w:t>
            </w:r>
            <w:r>
              <w:rPr>
                <w:rFonts w:hint="eastAsia" w:ascii="Times New Roman" w:hAnsi="Times New Roman" w:cs="Times New Roman"/>
                <w:highlight w:val="none"/>
                <w:lang w:val="en-US" w:eastAsia="zh-CN"/>
              </w:rPr>
              <w:t>同投标文件递交时间</w:t>
            </w:r>
            <w:r>
              <w:rPr>
                <w:rFonts w:hint="eastAsia" w:ascii="Times New Roman" w:hAnsi="Times New Roman" w:cs="Times New Roman"/>
                <w:highlight w:val="none"/>
              </w:rPr>
              <w:t>。</w:t>
            </w:r>
          </w:p>
          <w:p w14:paraId="56A87FAB">
            <w:pPr>
              <w:pStyle w:val="2"/>
              <w:keepNext w:val="0"/>
              <w:keepLines w:val="0"/>
              <w:pageBreakBefore w:val="0"/>
              <w:kinsoku/>
              <w:wordWrap/>
              <w:overflowPunct/>
              <w:topLinePunct w:val="0"/>
              <w:bidi w:val="0"/>
              <w:spacing w:after="0" w:line="400" w:lineRule="exact"/>
              <w:ind w:firstLine="420" w:firstLineChars="200"/>
              <w:textAlignment w:val="auto"/>
              <w:rPr>
                <w:rFonts w:hint="eastAsia" w:ascii="Times New Roman" w:hAnsi="Times New Roman" w:cs="Times New Roman"/>
                <w:highlight w:val="none"/>
              </w:rPr>
            </w:pPr>
            <w:r>
              <w:rPr>
                <w:rFonts w:hint="eastAsia" w:ascii="Times New Roman" w:hAnsi="Times New Roman" w:cs="Times New Roman"/>
                <w:highlight w:val="none"/>
                <w:lang w:val="en-US" w:eastAsia="zh-CN"/>
              </w:rPr>
              <w:t>投标人</w:t>
            </w:r>
            <w:r>
              <w:rPr>
                <w:rFonts w:hint="eastAsia" w:ascii="Times New Roman" w:hAnsi="Times New Roman" w:cs="Times New Roman"/>
                <w:highlight w:val="none"/>
              </w:rPr>
              <w:t>自行将</w:t>
            </w:r>
            <w:r>
              <w:rPr>
                <w:rFonts w:hint="eastAsia" w:ascii="Times New Roman" w:hAnsi="Times New Roman" w:cs="Times New Roman"/>
                <w:highlight w:val="none"/>
                <w:lang w:val="en-US" w:eastAsia="zh-CN"/>
              </w:rPr>
              <w:t>投标</w:t>
            </w:r>
            <w:r>
              <w:rPr>
                <w:rFonts w:hint="eastAsia" w:ascii="Times New Roman" w:hAnsi="Times New Roman" w:cs="Times New Roman"/>
                <w:highlight w:val="none"/>
              </w:rPr>
              <w:t>保证金单独密封后</w:t>
            </w:r>
            <w:r>
              <w:rPr>
                <w:rFonts w:hint="eastAsia" w:ascii="Times New Roman" w:hAnsi="Times New Roman" w:cs="Times New Roman"/>
                <w:highlight w:val="none"/>
                <w:lang w:val="en-US" w:eastAsia="zh-CN"/>
              </w:rPr>
              <w:t>与投标</w:t>
            </w:r>
            <w:r>
              <w:rPr>
                <w:rFonts w:hint="eastAsia" w:ascii="Times New Roman" w:hAnsi="Times New Roman" w:cs="Times New Roman"/>
                <w:highlight w:val="none"/>
              </w:rPr>
              <w:t>文件一并提交，密封袋封口处加盖企业公章。</w:t>
            </w:r>
            <w:r>
              <w:rPr>
                <w:rFonts w:hint="eastAsia" w:ascii="Times New Roman" w:hAnsi="Times New Roman" w:cs="Times New Roman"/>
                <w:highlight w:val="none"/>
                <w:lang w:val="en-US" w:eastAsia="zh-CN"/>
              </w:rPr>
              <w:t>投标</w:t>
            </w:r>
            <w:r>
              <w:rPr>
                <w:rFonts w:hint="eastAsia" w:ascii="Times New Roman" w:hAnsi="Times New Roman" w:cs="Times New Roman"/>
                <w:highlight w:val="none"/>
              </w:rPr>
              <w:t>人未按时足额提交比选保证金，视为自动放弃。</w:t>
            </w:r>
          </w:p>
          <w:p w14:paraId="43337830">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highlight w:val="none"/>
                <w:lang w:eastAsia="zh-CN"/>
              </w:rPr>
            </w:pPr>
            <w:r>
              <w:rPr>
                <w:rFonts w:hint="eastAsia" w:ascii="Times New Roman" w:hAnsi="Times New Roman" w:cs="Times New Roman"/>
                <w:highlight w:val="none"/>
                <w:lang w:val="en-US" w:eastAsia="zh-CN"/>
              </w:rPr>
              <w:t>投标</w:t>
            </w:r>
            <w:r>
              <w:rPr>
                <w:rFonts w:hint="eastAsia" w:ascii="Times New Roman" w:hAnsi="Times New Roman" w:cs="Times New Roman"/>
                <w:highlight w:val="none"/>
              </w:rPr>
              <w:t>保证金退还（不计息）：未中选候选人的保证金在</w:t>
            </w:r>
            <w:r>
              <w:rPr>
                <w:rFonts w:hint="eastAsia" w:ascii="Times New Roman" w:hAnsi="Times New Roman" w:cs="Times New Roman"/>
                <w:highlight w:val="none"/>
                <w:lang w:val="en-US" w:eastAsia="zh-CN"/>
              </w:rPr>
              <w:t>中标公示结束后</w:t>
            </w:r>
            <w:r>
              <w:rPr>
                <w:rFonts w:hint="eastAsia" w:ascii="Times New Roman" w:hAnsi="Times New Roman" w:cs="Times New Roman"/>
                <w:highlight w:val="none"/>
              </w:rPr>
              <w:t>退还；中选候选人保证金在签订合同后7日内退还。</w:t>
            </w:r>
          </w:p>
        </w:tc>
      </w:tr>
      <w:tr w14:paraId="56BAB3A0">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7690F57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2555" w:type="dxa"/>
            <w:tcBorders>
              <w:top w:val="single" w:color="auto" w:sz="4" w:space="0"/>
              <w:left w:val="single" w:color="auto" w:sz="4" w:space="0"/>
              <w:bottom w:val="single" w:color="auto" w:sz="4" w:space="0"/>
              <w:right w:val="single" w:color="auto" w:sz="4" w:space="0"/>
            </w:tcBorders>
            <w:vAlign w:val="center"/>
          </w:tcPr>
          <w:p w14:paraId="02559EC8">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14:paraId="34005678">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021A82B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6A45C595">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22B998A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2555" w:type="dxa"/>
            <w:tcBorders>
              <w:top w:val="single" w:color="auto" w:sz="4" w:space="0"/>
              <w:left w:val="single" w:color="auto" w:sz="4" w:space="0"/>
              <w:bottom w:val="single" w:color="auto" w:sz="4" w:space="0"/>
              <w:right w:val="single" w:color="auto" w:sz="4" w:space="0"/>
            </w:tcBorders>
            <w:vAlign w:val="center"/>
          </w:tcPr>
          <w:p w14:paraId="0BCF926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投标文件格式要求</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449C5052">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编制投标文件时不得对第八章“投标文件格式”的相应要素作实质性修改，否则视为重大偏差，由评标委员会作否决投标处理。</w:t>
            </w:r>
          </w:p>
        </w:tc>
      </w:tr>
      <w:tr w14:paraId="17DFE583">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76003C4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2555" w:type="dxa"/>
            <w:tcBorders>
              <w:top w:val="single" w:color="auto" w:sz="4" w:space="0"/>
              <w:left w:val="single" w:color="auto" w:sz="4" w:space="0"/>
              <w:bottom w:val="single" w:color="auto" w:sz="4" w:space="0"/>
              <w:right w:val="single" w:color="auto" w:sz="4" w:space="0"/>
            </w:tcBorders>
            <w:vAlign w:val="center"/>
          </w:tcPr>
          <w:p w14:paraId="61A90A7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盖章要求</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535579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投标文件应用不褪色的材料书写或打印，并由投标人的法定代表人或其委托代理人在</w:t>
            </w:r>
            <w:r>
              <w:rPr>
                <w:rFonts w:hint="eastAsia" w:ascii="宋体" w:hAnsi="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olor w:val="auto"/>
                <w:szCs w:val="21"/>
                <w:highlight w:val="none"/>
              </w:rPr>
              <w:t>规定的位置按</w:t>
            </w:r>
            <w:r>
              <w:rPr>
                <w:rFonts w:hint="eastAsia" w:ascii="宋体" w:hAnsi="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olor w:val="auto"/>
                <w:szCs w:val="21"/>
                <w:highlight w:val="none"/>
              </w:rPr>
              <w:t>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3E77748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1B21FAB4">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51B78CB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2555" w:type="dxa"/>
            <w:tcBorders>
              <w:top w:val="single" w:color="auto" w:sz="4" w:space="0"/>
              <w:left w:val="single" w:color="auto" w:sz="4" w:space="0"/>
              <w:bottom w:val="single" w:color="auto" w:sz="4" w:space="0"/>
              <w:right w:val="single" w:color="auto" w:sz="4" w:space="0"/>
            </w:tcBorders>
            <w:vAlign w:val="center"/>
          </w:tcPr>
          <w:p w14:paraId="2941D4E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投标文件的份数</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DBEBE3F">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ascii="宋体" w:hAnsi="宋体"/>
                <w:color w:val="auto"/>
                <w:kern w:val="0"/>
                <w:szCs w:val="21"/>
                <w:highlight w:val="none"/>
              </w:rPr>
              <w:t>投标文件正本</w:t>
            </w:r>
            <w:r>
              <w:rPr>
                <w:rFonts w:hint="eastAsia" w:ascii="宋体" w:hAnsi="宋体"/>
                <w:color w:val="auto"/>
                <w:kern w:val="0"/>
                <w:szCs w:val="21"/>
                <w:highlight w:val="none"/>
              </w:rPr>
              <w:t>1份、副本2份。当副本和正本不一致时，以正本为准。否则由评标委员会作否决投标处理。</w:t>
            </w:r>
          </w:p>
        </w:tc>
      </w:tr>
      <w:tr w14:paraId="1404D073">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4019777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2555" w:type="dxa"/>
            <w:tcBorders>
              <w:top w:val="single" w:color="auto" w:sz="4" w:space="0"/>
              <w:left w:val="single" w:color="auto" w:sz="4" w:space="0"/>
              <w:bottom w:val="single" w:color="auto" w:sz="4" w:space="0"/>
              <w:right w:val="single" w:color="auto" w:sz="4" w:space="0"/>
            </w:tcBorders>
            <w:vAlign w:val="center"/>
          </w:tcPr>
          <w:p w14:paraId="465BB86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编制要求</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1D47247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具体要求：</w:t>
            </w:r>
          </w:p>
          <w:p w14:paraId="14237074">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，标注页码。</w:t>
            </w:r>
          </w:p>
        </w:tc>
      </w:tr>
      <w:tr w14:paraId="05679C60">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40610FB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2555" w:type="dxa"/>
            <w:tcBorders>
              <w:top w:val="single" w:color="auto" w:sz="4" w:space="0"/>
              <w:left w:val="single" w:color="auto" w:sz="4" w:space="0"/>
              <w:bottom w:val="single" w:color="auto" w:sz="4" w:space="0"/>
              <w:right w:val="single" w:color="auto" w:sz="4" w:space="0"/>
            </w:tcBorders>
            <w:vAlign w:val="center"/>
          </w:tcPr>
          <w:p w14:paraId="4E8251D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pacing w:val="-6"/>
                <w:kern w:val="0"/>
                <w:szCs w:val="21"/>
                <w:highlight w:val="none"/>
              </w:rPr>
              <w:t>投标文件的密封</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4CB983E">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i/>
                <w:color w:val="auto"/>
                <w:szCs w:val="21"/>
                <w:highlight w:val="none"/>
              </w:rPr>
            </w:pPr>
            <w:r>
              <w:rPr>
                <w:rFonts w:ascii="宋体" w:hAnsi="宋体"/>
                <w:color w:val="auto"/>
                <w:szCs w:val="21"/>
                <w:highlight w:val="none"/>
              </w:rPr>
              <w:t>投标文件袋使用“投标文件”大袋。</w:t>
            </w:r>
          </w:p>
        </w:tc>
      </w:tr>
      <w:tr w14:paraId="65AC7351">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39B5361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2555" w:type="dxa"/>
            <w:tcBorders>
              <w:top w:val="single" w:color="auto" w:sz="4" w:space="0"/>
              <w:left w:val="single" w:color="auto" w:sz="4" w:space="0"/>
              <w:bottom w:val="single" w:color="auto" w:sz="4" w:space="0"/>
              <w:right w:val="single" w:color="auto" w:sz="4" w:space="0"/>
            </w:tcBorders>
            <w:vAlign w:val="center"/>
          </w:tcPr>
          <w:p w14:paraId="5EE0779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封套上写明</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16AB9D7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应在“投标文件”袋封套上写明如下内容：</w:t>
            </w:r>
          </w:p>
          <w:p w14:paraId="02A7A37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招标人名称：</w:t>
            </w:r>
            <w:r>
              <w:rPr>
                <w:rFonts w:hint="eastAsia" w:ascii="宋体" w:hAnsi="宋体" w:eastAsia="宋体" w:cs="宋体"/>
                <w:color w:val="auto"/>
                <w:kern w:val="0"/>
                <w:szCs w:val="21"/>
                <w:highlight w:val="none"/>
                <w:u w:val="single"/>
              </w:rPr>
              <w:t xml:space="preserve">                   </w:t>
            </w:r>
          </w:p>
          <w:p w14:paraId="05DDE07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14:paraId="1CEF5BD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（项目名称）</w:t>
            </w:r>
            <w:r>
              <w:rPr>
                <w:rFonts w:hint="eastAsia" w:ascii="宋体" w:hAnsi="宋体" w:eastAsia="宋体" w:cs="宋体"/>
                <w:color w:val="auto"/>
                <w:kern w:val="0"/>
                <w:szCs w:val="21"/>
                <w:highlight w:val="none"/>
              </w:rPr>
              <w:t>投标文件</w:t>
            </w:r>
          </w:p>
          <w:p w14:paraId="1950B1A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分前不得开启</w:t>
            </w:r>
          </w:p>
        </w:tc>
      </w:tr>
      <w:tr w14:paraId="13B36BF6">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754F99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w:t>
            </w:r>
          </w:p>
        </w:tc>
        <w:tc>
          <w:tcPr>
            <w:tcW w:w="2555" w:type="dxa"/>
            <w:tcBorders>
              <w:top w:val="single" w:color="auto" w:sz="4" w:space="0"/>
              <w:left w:val="single" w:color="auto" w:sz="4" w:space="0"/>
              <w:bottom w:val="single" w:color="auto" w:sz="4" w:space="0"/>
              <w:right w:val="single" w:color="auto" w:sz="4" w:space="0"/>
            </w:tcBorders>
            <w:vAlign w:val="center"/>
          </w:tcPr>
          <w:p w14:paraId="7162F24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递交投标文件地点</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5200250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i/>
                <w:color w:val="auto"/>
                <w:szCs w:val="21"/>
                <w:highlight w:val="none"/>
              </w:rPr>
            </w:pPr>
            <w:r>
              <w:rPr>
                <w:rFonts w:hint="eastAsia" w:ascii="宋体" w:hAnsi="宋体"/>
                <w:snapToGrid w:val="0"/>
                <w:kern w:val="0"/>
                <w:szCs w:val="21"/>
                <w:highlight w:val="none"/>
              </w:rPr>
              <w:t>五洞镇卧龙村委</w:t>
            </w:r>
            <w:r>
              <w:rPr>
                <w:rFonts w:hint="eastAsia" w:ascii="宋体" w:hAnsi="宋体"/>
                <w:snapToGrid w:val="0"/>
                <w:kern w:val="0"/>
                <w:szCs w:val="21"/>
                <w:highlight w:val="none"/>
                <w:lang w:val="en-US" w:eastAsia="zh-CN"/>
              </w:rPr>
              <w:t>2楼会议室</w:t>
            </w:r>
          </w:p>
        </w:tc>
      </w:tr>
      <w:tr w14:paraId="1B2EDC49">
        <w:tblPrEx>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14:paraId="52128B28">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2555" w:type="dxa"/>
            <w:tcBorders>
              <w:top w:val="single" w:color="auto" w:sz="4" w:space="0"/>
              <w:left w:val="single" w:color="auto" w:sz="4" w:space="0"/>
              <w:bottom w:val="single" w:color="auto" w:sz="4" w:space="0"/>
              <w:right w:val="single" w:color="auto" w:sz="4" w:space="0"/>
            </w:tcBorders>
            <w:vAlign w:val="center"/>
          </w:tcPr>
          <w:p w14:paraId="14D7A688">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是否退还投标文件</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5DF24E2C">
            <w:pPr>
              <w:keepNext w:val="0"/>
              <w:keepLines w:val="0"/>
              <w:pageBreakBefore w:val="0"/>
              <w:kinsoku/>
              <w:wordWrap/>
              <w:overflowPunct/>
              <w:topLinePunct w:val="0"/>
              <w:bidi w:val="0"/>
              <w:snapToGrid w:val="0"/>
              <w:spacing w:line="40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r>
      <w:tr w14:paraId="61058F75">
        <w:tblPrEx>
          <w:tblCellMar>
            <w:top w:w="0" w:type="dxa"/>
            <w:left w:w="108" w:type="dxa"/>
            <w:bottom w:w="0" w:type="dxa"/>
            <w:right w:w="108" w:type="dxa"/>
          </w:tblCellMar>
        </w:tblPrEx>
        <w:trPr>
          <w:trHeight w:val="880" w:hRule="atLeast"/>
        </w:trPr>
        <w:tc>
          <w:tcPr>
            <w:tcW w:w="1098" w:type="dxa"/>
            <w:tcBorders>
              <w:top w:val="single" w:color="auto" w:sz="4" w:space="0"/>
              <w:left w:val="single" w:color="auto" w:sz="4" w:space="0"/>
              <w:right w:val="single" w:color="auto" w:sz="4" w:space="0"/>
            </w:tcBorders>
            <w:vAlign w:val="center"/>
          </w:tcPr>
          <w:p w14:paraId="2FC3179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w:t>
            </w:r>
          </w:p>
        </w:tc>
        <w:tc>
          <w:tcPr>
            <w:tcW w:w="2555" w:type="dxa"/>
            <w:tcBorders>
              <w:top w:val="single" w:color="auto" w:sz="4" w:space="0"/>
              <w:left w:val="single" w:color="auto" w:sz="4" w:space="0"/>
              <w:right w:val="single" w:color="auto" w:sz="4" w:space="0"/>
            </w:tcBorders>
            <w:vAlign w:val="center"/>
          </w:tcPr>
          <w:p w14:paraId="0BDE33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w:t>
            </w:r>
          </w:p>
          <w:p w14:paraId="565601D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5635" w:type="dxa"/>
            <w:gridSpan w:val="2"/>
            <w:tcBorders>
              <w:top w:val="single" w:color="auto" w:sz="4" w:space="0"/>
              <w:left w:val="single" w:color="auto" w:sz="4" w:space="0"/>
              <w:right w:val="single" w:color="auto" w:sz="4" w:space="0"/>
            </w:tcBorders>
            <w:vAlign w:val="center"/>
          </w:tcPr>
          <w:p w14:paraId="41BF1ED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开标时间：同投标截止时间</w:t>
            </w:r>
          </w:p>
          <w:p w14:paraId="7DFA443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开标地点：</w:t>
            </w:r>
            <w:r>
              <w:rPr>
                <w:rFonts w:hint="eastAsia" w:ascii="宋体" w:hAnsi="宋体"/>
                <w:snapToGrid w:val="0"/>
                <w:kern w:val="0"/>
                <w:szCs w:val="21"/>
                <w:highlight w:val="none"/>
              </w:rPr>
              <w:t>五洞镇卧龙村委</w:t>
            </w:r>
            <w:r>
              <w:rPr>
                <w:rFonts w:hint="eastAsia" w:ascii="宋体" w:hAnsi="宋体"/>
                <w:snapToGrid w:val="0"/>
                <w:kern w:val="0"/>
                <w:szCs w:val="21"/>
                <w:highlight w:val="none"/>
                <w:lang w:val="en-US" w:eastAsia="zh-CN"/>
              </w:rPr>
              <w:t>2楼会议室</w:t>
            </w:r>
            <w:r>
              <w:rPr>
                <w:rFonts w:hint="eastAsia" w:ascii="宋体" w:hAnsi="宋体" w:eastAsia="宋体" w:cs="宋体"/>
                <w:color w:val="auto"/>
                <w:highlight w:val="none"/>
              </w:rPr>
              <w:t>。</w:t>
            </w:r>
          </w:p>
        </w:tc>
      </w:tr>
      <w:tr w14:paraId="7E07C56B">
        <w:tblPrEx>
          <w:tblCellMar>
            <w:top w:w="0" w:type="dxa"/>
            <w:left w:w="108" w:type="dxa"/>
            <w:bottom w:w="0" w:type="dxa"/>
            <w:right w:w="108" w:type="dxa"/>
          </w:tblCellMar>
        </w:tblPrEx>
        <w:trPr>
          <w:trHeight w:val="880" w:hRule="atLeast"/>
        </w:trPr>
        <w:tc>
          <w:tcPr>
            <w:tcW w:w="1098" w:type="dxa"/>
            <w:tcBorders>
              <w:top w:val="single" w:color="auto" w:sz="4" w:space="0"/>
              <w:left w:val="single" w:color="auto" w:sz="4" w:space="0"/>
              <w:bottom w:val="single" w:color="auto" w:sz="4" w:space="0"/>
              <w:right w:val="single" w:color="auto" w:sz="4" w:space="0"/>
            </w:tcBorders>
            <w:vAlign w:val="center"/>
          </w:tcPr>
          <w:p w14:paraId="23D5112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555" w:type="dxa"/>
            <w:tcBorders>
              <w:top w:val="single" w:color="auto" w:sz="4" w:space="0"/>
              <w:left w:val="single" w:color="auto" w:sz="4" w:space="0"/>
              <w:bottom w:val="single" w:color="auto" w:sz="4" w:space="0"/>
              <w:right w:val="single" w:color="auto" w:sz="4" w:space="0"/>
            </w:tcBorders>
            <w:vAlign w:val="center"/>
          </w:tcPr>
          <w:p w14:paraId="36D870B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007AC04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4F59D0A9">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核验参加开标会议的投标人的法定代表人或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lang w:eastAsia="zh-CN"/>
              </w:rPr>
              <w:t>，</w:t>
            </w:r>
            <w:r>
              <w:rPr>
                <w:rFonts w:hint="eastAsia" w:ascii="宋体" w:hAnsi="宋体"/>
                <w:b/>
                <w:bCs/>
                <w:color w:val="auto"/>
                <w:szCs w:val="21"/>
                <w:highlight w:val="none"/>
                <w:lang w:val="en-US" w:eastAsia="zh-CN"/>
              </w:rPr>
              <w:t>及递交</w:t>
            </w:r>
            <w:r>
              <w:rPr>
                <w:rFonts w:hint="eastAsia" w:ascii="宋体" w:hAnsi="宋体" w:eastAsia="宋体" w:cs="Times New Roman"/>
                <w:b/>
                <w:bCs/>
                <w:snapToGrid w:val="0"/>
                <w:kern w:val="0"/>
                <w:sz w:val="21"/>
                <w:szCs w:val="21"/>
                <w:highlight w:val="none"/>
                <w:lang w:val="en-US" w:eastAsia="zh-CN" w:bidi="ar-SA"/>
              </w:rPr>
              <w:t>文件费</w:t>
            </w:r>
            <w:r>
              <w:rPr>
                <w:rFonts w:hint="eastAsia" w:ascii="宋体" w:hAnsi="宋体" w:cs="Times New Roman"/>
                <w:b/>
                <w:bCs/>
                <w:snapToGrid w:val="0"/>
                <w:kern w:val="0"/>
                <w:sz w:val="21"/>
                <w:szCs w:val="21"/>
                <w:highlight w:val="none"/>
                <w:lang w:val="en-US" w:eastAsia="zh-CN" w:bidi="ar-SA"/>
              </w:rPr>
              <w:t>的转账回执单</w:t>
            </w:r>
            <w:r>
              <w:rPr>
                <w:rFonts w:ascii="宋体" w:hAnsi="宋体"/>
                <w:color w:val="auto"/>
                <w:szCs w:val="21"/>
                <w:highlight w:val="none"/>
              </w:rPr>
              <w:t>；</w:t>
            </w:r>
            <w:r>
              <w:rPr>
                <w:rFonts w:hint="eastAsia" w:ascii="宋体" w:hAnsi="宋体"/>
                <w:color w:val="auto"/>
                <w:szCs w:val="21"/>
                <w:highlight w:val="none"/>
              </w:rPr>
              <w:t>若经核实委托代理人提供资料与实际不符</w:t>
            </w:r>
            <w:r>
              <w:rPr>
                <w:rFonts w:hint="eastAsia" w:ascii="宋体" w:hAnsi="宋体"/>
                <w:color w:val="auto"/>
                <w:szCs w:val="21"/>
                <w:highlight w:val="none"/>
                <w:lang w:val="en-US" w:eastAsia="zh-CN"/>
              </w:rPr>
              <w:t>或缺失</w:t>
            </w:r>
            <w:r>
              <w:rPr>
                <w:rFonts w:hint="eastAsia" w:ascii="宋体" w:hAnsi="宋体"/>
                <w:color w:val="auto"/>
                <w:szCs w:val="21"/>
                <w:highlight w:val="none"/>
              </w:rPr>
              <w:t>的，不得参加开标会。核验合格的法定代表人或委托代理人可自行选择是否参加开标会，不参加开标会的视为默认开标结果。</w:t>
            </w:r>
          </w:p>
          <w:p w14:paraId="410D1431">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72CCBE53">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03DC5E91">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公布在投标截止时间前递交投标文件的投标人名称</w:t>
            </w:r>
            <w:r>
              <w:rPr>
                <w:rFonts w:hint="eastAsia" w:ascii="宋体" w:hAnsi="宋体"/>
                <w:color w:val="auto"/>
                <w:szCs w:val="21"/>
                <w:highlight w:val="none"/>
              </w:rPr>
              <w:t>。</w:t>
            </w:r>
          </w:p>
          <w:p w14:paraId="164ABF4B">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投标文件的密封检查：投标人可对自己的投标文件封装情况进行检查，以确认其投标文件密封完好。</w:t>
            </w:r>
          </w:p>
          <w:p w14:paraId="57CD266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14:paraId="476E41AF">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，采用经评审最低投标价法的还需计算最高限价的85%数值，以便评标委员会评审。</w:t>
            </w:r>
          </w:p>
          <w:p w14:paraId="6C29AA9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逐单位随机开启投标文件。开启投标文件大袋；公布投标人名称、投标报价、质量要求、工期及其他内容并记录在案</w:t>
            </w:r>
            <w:r>
              <w:rPr>
                <w:rFonts w:hint="eastAsia" w:ascii="宋体" w:hAnsi="宋体"/>
                <w:color w:val="auto"/>
                <w:szCs w:val="21"/>
                <w:highlight w:val="none"/>
              </w:rPr>
              <w:t>。</w:t>
            </w:r>
          </w:p>
          <w:p w14:paraId="79E150AA">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投标人对开标有异议的，应当场提出，由招标人或代理机构当场答复，并记录到开标记录表中。异议处理完毕后，汇总开标情况，打印开标记录表。</w:t>
            </w:r>
          </w:p>
          <w:p w14:paraId="05FE7594">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ascii="宋体" w:hAnsi="宋体"/>
                <w:color w:val="auto"/>
                <w:szCs w:val="21"/>
                <w:highlight w:val="none"/>
              </w:rPr>
              <w:t>. 投标人代表、招标人代表、监标人、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7E685AB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14:paraId="14049417">
        <w:tblPrEx>
          <w:tblCellMar>
            <w:top w:w="0" w:type="dxa"/>
            <w:left w:w="108" w:type="dxa"/>
            <w:bottom w:w="0" w:type="dxa"/>
            <w:right w:w="108" w:type="dxa"/>
          </w:tblCellMar>
        </w:tblPrEx>
        <w:trPr>
          <w:trHeight w:val="880" w:hRule="atLeast"/>
        </w:trPr>
        <w:tc>
          <w:tcPr>
            <w:tcW w:w="1098" w:type="dxa"/>
            <w:tcBorders>
              <w:top w:val="single" w:color="auto" w:sz="4" w:space="0"/>
              <w:left w:val="single" w:color="auto" w:sz="4" w:space="0"/>
              <w:right w:val="single" w:color="auto" w:sz="4" w:space="0"/>
            </w:tcBorders>
            <w:vAlign w:val="center"/>
          </w:tcPr>
          <w:p w14:paraId="47DE5384">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82" w:name="_Toc221950075"/>
            <w:r>
              <w:rPr>
                <w:rFonts w:hint="eastAsia" w:ascii="宋体" w:hAnsi="宋体" w:eastAsia="宋体" w:cs="宋体"/>
                <w:color w:val="auto"/>
                <w:szCs w:val="21"/>
                <w:highlight w:val="none"/>
              </w:rPr>
              <w:t>6.1.1</w:t>
            </w:r>
            <w:bookmarkEnd w:id="182"/>
          </w:p>
        </w:tc>
        <w:tc>
          <w:tcPr>
            <w:tcW w:w="2555" w:type="dxa"/>
            <w:tcBorders>
              <w:top w:val="single" w:color="auto" w:sz="4" w:space="0"/>
              <w:left w:val="single" w:color="auto" w:sz="4" w:space="0"/>
              <w:right w:val="single" w:color="auto" w:sz="4" w:space="0"/>
            </w:tcBorders>
            <w:vAlign w:val="center"/>
          </w:tcPr>
          <w:p w14:paraId="54FC80E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bookmarkStart w:id="183" w:name="_Toc221950076"/>
            <w:r>
              <w:rPr>
                <w:rFonts w:hint="eastAsia" w:ascii="宋体" w:hAnsi="宋体" w:eastAsia="宋体" w:cs="宋体"/>
                <w:color w:val="auto"/>
                <w:szCs w:val="21"/>
                <w:highlight w:val="none"/>
              </w:rPr>
              <w:t>评标委员会的组建</w:t>
            </w:r>
            <w:bookmarkEnd w:id="183"/>
          </w:p>
        </w:tc>
        <w:tc>
          <w:tcPr>
            <w:tcW w:w="5635" w:type="dxa"/>
            <w:gridSpan w:val="2"/>
            <w:tcBorders>
              <w:top w:val="single" w:color="auto" w:sz="4" w:space="0"/>
              <w:left w:val="single" w:color="auto" w:sz="4" w:space="0"/>
              <w:right w:val="single" w:color="auto" w:sz="4" w:space="0"/>
            </w:tcBorders>
            <w:vAlign w:val="center"/>
          </w:tcPr>
          <w:p w14:paraId="78AAEC16">
            <w:pPr>
              <w:keepNext w:val="0"/>
              <w:keepLines w:val="0"/>
              <w:pageBreakBefore w:val="0"/>
              <w:kinsoku/>
              <w:wordWrap/>
              <w:overflowPunct/>
              <w:topLinePunct w:val="0"/>
              <w:bidi w:val="0"/>
              <w:spacing w:line="400" w:lineRule="exact"/>
              <w:ind w:firstLine="218" w:firstLineChars="100"/>
              <w:textAlignment w:val="auto"/>
              <w:rPr>
                <w:rFonts w:hint="eastAsia" w:ascii="宋体" w:hAnsi="宋体" w:eastAsia="宋体" w:cs="宋体"/>
                <w:color w:val="auto"/>
                <w:szCs w:val="21"/>
                <w:highlight w:val="none"/>
              </w:rPr>
            </w:pPr>
            <w:r>
              <w:rPr>
                <w:rFonts w:hint="eastAsia" w:ascii="宋体" w:hAnsi="宋体"/>
                <w:color w:val="auto"/>
                <w:spacing w:val="4"/>
                <w:kern w:val="0"/>
                <w:szCs w:val="21"/>
                <w:highlight w:val="none"/>
              </w:rPr>
              <w:t>由招标人按法律法规及相关规定依法组建评标委员会</w:t>
            </w:r>
            <w:r>
              <w:rPr>
                <w:rFonts w:hint="eastAsia" w:ascii="宋体" w:hAnsi="宋体"/>
                <w:color w:val="auto"/>
                <w:kern w:val="0"/>
                <w:szCs w:val="21"/>
                <w:highlight w:val="none"/>
              </w:rPr>
              <w:t>。</w:t>
            </w:r>
          </w:p>
        </w:tc>
      </w:tr>
      <w:tr w14:paraId="3E63F534">
        <w:tblPrEx>
          <w:tblCellMar>
            <w:top w:w="0" w:type="dxa"/>
            <w:left w:w="108" w:type="dxa"/>
            <w:bottom w:w="0" w:type="dxa"/>
            <w:right w:w="108" w:type="dxa"/>
          </w:tblCellMar>
        </w:tblPrEx>
        <w:trPr>
          <w:trHeight w:val="880" w:hRule="atLeast"/>
        </w:trPr>
        <w:tc>
          <w:tcPr>
            <w:tcW w:w="1098" w:type="dxa"/>
            <w:tcBorders>
              <w:top w:val="single" w:color="auto" w:sz="4" w:space="0"/>
              <w:left w:val="single" w:color="auto" w:sz="4" w:space="0"/>
              <w:right w:val="single" w:color="auto" w:sz="4" w:space="0"/>
            </w:tcBorders>
            <w:vAlign w:val="center"/>
          </w:tcPr>
          <w:p w14:paraId="1D99A61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2555" w:type="dxa"/>
            <w:tcBorders>
              <w:top w:val="single" w:color="auto" w:sz="4" w:space="0"/>
              <w:left w:val="single" w:color="auto" w:sz="4" w:space="0"/>
              <w:right w:val="single" w:color="auto" w:sz="4" w:space="0"/>
            </w:tcBorders>
            <w:vAlign w:val="center"/>
          </w:tcPr>
          <w:p w14:paraId="5D4645A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5635" w:type="dxa"/>
            <w:gridSpan w:val="2"/>
            <w:tcBorders>
              <w:top w:val="single" w:color="auto" w:sz="4" w:space="0"/>
              <w:left w:val="single" w:color="auto" w:sz="4" w:space="0"/>
              <w:right w:val="single" w:color="auto" w:sz="4" w:space="0"/>
            </w:tcBorders>
            <w:vAlign w:val="center"/>
          </w:tcPr>
          <w:p w14:paraId="23F34B0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推荐经评审合格的报价由低到高排名前</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rPr>
              <w:t>名为中标候选人</w:t>
            </w:r>
            <w:r>
              <w:rPr>
                <w:rFonts w:hint="eastAsia" w:ascii="宋体" w:hAnsi="宋体" w:cs="宋体"/>
                <w:kern w:val="0"/>
                <w:szCs w:val="21"/>
                <w:highlight w:val="none"/>
                <w:lang w:eastAsia="zh-CN"/>
              </w:rPr>
              <w:t>。</w:t>
            </w:r>
          </w:p>
        </w:tc>
      </w:tr>
      <w:tr w14:paraId="737F915B">
        <w:tblPrEx>
          <w:tblCellMar>
            <w:top w:w="0" w:type="dxa"/>
            <w:left w:w="108" w:type="dxa"/>
            <w:bottom w:w="0" w:type="dxa"/>
            <w:right w:w="108" w:type="dxa"/>
          </w:tblCellMar>
        </w:tblPrEx>
        <w:trPr>
          <w:trHeight w:val="880" w:hRule="atLeast"/>
        </w:trPr>
        <w:tc>
          <w:tcPr>
            <w:tcW w:w="1098" w:type="dxa"/>
            <w:tcBorders>
              <w:top w:val="single" w:color="auto" w:sz="4" w:space="0"/>
              <w:left w:val="single" w:color="auto" w:sz="4" w:space="0"/>
              <w:right w:val="single" w:color="auto" w:sz="4" w:space="0"/>
            </w:tcBorders>
            <w:vAlign w:val="center"/>
          </w:tcPr>
          <w:p w14:paraId="7880B088">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2555" w:type="dxa"/>
            <w:tcBorders>
              <w:top w:val="single" w:color="auto" w:sz="4" w:space="0"/>
              <w:left w:val="single" w:color="auto" w:sz="4" w:space="0"/>
              <w:right w:val="single" w:color="auto" w:sz="4" w:space="0"/>
            </w:tcBorders>
            <w:vAlign w:val="center"/>
          </w:tcPr>
          <w:p w14:paraId="60C1F0A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公示</w:t>
            </w:r>
          </w:p>
        </w:tc>
        <w:tc>
          <w:tcPr>
            <w:tcW w:w="5635" w:type="dxa"/>
            <w:gridSpan w:val="2"/>
            <w:tcBorders>
              <w:top w:val="single" w:color="auto" w:sz="4" w:space="0"/>
              <w:left w:val="single" w:color="auto" w:sz="4" w:space="0"/>
              <w:right w:val="single" w:color="auto" w:sz="4" w:space="0"/>
            </w:tcBorders>
            <w:vAlign w:val="center"/>
          </w:tcPr>
          <w:p w14:paraId="314AC0C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招标人在收到评标报告后3日内将评标结果在</w:t>
            </w:r>
            <w:r>
              <w:rPr>
                <w:rFonts w:hint="eastAsia" w:ascii="宋体" w:hAnsi="宋体" w:cs="宋体"/>
                <w:color w:val="auto"/>
                <w:szCs w:val="21"/>
                <w:highlight w:val="none"/>
                <w:u w:val="single"/>
                <w:lang w:eastAsia="zh-CN"/>
              </w:rPr>
              <w:t>垫江县人民政府网</w:t>
            </w:r>
            <w:r>
              <w:rPr>
                <w:rFonts w:hint="eastAsia" w:ascii="宋体" w:hAnsi="宋体" w:cs="宋体"/>
                <w:color w:val="auto"/>
                <w:szCs w:val="21"/>
                <w:highlight w:val="none"/>
              </w:rPr>
              <w:t>上进行公示，公示期为3日。</w:t>
            </w:r>
          </w:p>
        </w:tc>
      </w:tr>
      <w:tr w14:paraId="204CF08C">
        <w:tblPrEx>
          <w:tblCellMar>
            <w:top w:w="0" w:type="dxa"/>
            <w:left w:w="108" w:type="dxa"/>
            <w:bottom w:w="0" w:type="dxa"/>
            <w:right w:w="108" w:type="dxa"/>
          </w:tblCellMar>
        </w:tblPrEx>
        <w:trPr>
          <w:trHeight w:val="558" w:hRule="atLeast"/>
        </w:trPr>
        <w:tc>
          <w:tcPr>
            <w:tcW w:w="1098" w:type="dxa"/>
            <w:tcBorders>
              <w:top w:val="single" w:color="auto" w:sz="4" w:space="0"/>
              <w:left w:val="single" w:color="auto" w:sz="4" w:space="0"/>
              <w:bottom w:val="single" w:color="auto" w:sz="4" w:space="0"/>
              <w:right w:val="single" w:color="auto" w:sz="4" w:space="0"/>
            </w:tcBorders>
            <w:vAlign w:val="center"/>
          </w:tcPr>
          <w:p w14:paraId="1908442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.1</w:t>
            </w:r>
          </w:p>
        </w:tc>
        <w:tc>
          <w:tcPr>
            <w:tcW w:w="2555" w:type="dxa"/>
            <w:tcBorders>
              <w:top w:val="single" w:color="auto" w:sz="4" w:space="0"/>
              <w:left w:val="single" w:color="auto" w:sz="4" w:space="0"/>
              <w:bottom w:val="single" w:color="auto" w:sz="4" w:space="0"/>
              <w:right w:val="single" w:color="auto" w:sz="4" w:space="0"/>
            </w:tcBorders>
            <w:vAlign w:val="center"/>
          </w:tcPr>
          <w:p w14:paraId="7081752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58C57F2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1、中标人是否提供履约担保：</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rPr>
              <w:t>。</w:t>
            </w:r>
          </w:p>
          <w:p w14:paraId="197FB8A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2、中标人提供履约担保的形式、金额及期限：</w:t>
            </w:r>
          </w:p>
          <w:p w14:paraId="67CCB7A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（1）履约担保的形式：现金或</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保函或现金+</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保函的组合</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保函包括银行保函、保证保险和担保保函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其示范文本详见第四章合同条款及格式附件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中标人提交的履约保函应</w:t>
            </w:r>
            <w:r>
              <w:rPr>
                <w:rFonts w:hint="eastAsia" w:ascii="宋体" w:hAnsi="宋体" w:eastAsia="宋体" w:cs="宋体"/>
                <w:color w:val="auto"/>
                <w:kern w:val="0"/>
                <w:szCs w:val="21"/>
                <w:highlight w:val="none"/>
              </w:rPr>
              <w:t>严格执行</w:t>
            </w:r>
            <w:r>
              <w:rPr>
                <w:rFonts w:hint="eastAsia" w:ascii="宋体" w:hAnsi="宋体" w:eastAsia="宋体" w:cs="宋体"/>
                <w:color w:val="auto"/>
                <w:kern w:val="0"/>
                <w:szCs w:val="21"/>
                <w:highlight w:val="none"/>
                <w:lang w:val="en-US" w:eastAsia="zh-CN"/>
              </w:rPr>
              <w:t>其</w:t>
            </w:r>
            <w:r>
              <w:rPr>
                <w:rFonts w:hint="eastAsia" w:ascii="宋体" w:hAnsi="宋体" w:eastAsia="宋体" w:cs="宋体"/>
                <w:color w:val="auto"/>
                <w:kern w:val="0"/>
                <w:szCs w:val="21"/>
                <w:highlight w:val="none"/>
              </w:rPr>
              <w:t>示范文本，不得对示范文本中的实质性内容进行修改</w:t>
            </w:r>
            <w:r>
              <w:rPr>
                <w:rFonts w:hint="eastAsia" w:ascii="宋体" w:hAnsi="宋体" w:eastAsia="宋体" w:cs="宋体"/>
                <w:color w:val="auto"/>
                <w:szCs w:val="21"/>
                <w:highlight w:val="none"/>
                <w:lang w:val="en-US" w:eastAsia="zh-CN"/>
              </w:rPr>
              <w:t>。</w:t>
            </w:r>
          </w:p>
          <w:p w14:paraId="5514390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（2）具体要求：履约保函</w:t>
            </w:r>
            <w:r>
              <w:rPr>
                <w:rFonts w:hint="eastAsia" w:ascii="宋体" w:hAnsi="宋体" w:eastAsia="宋体" w:cs="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履约保函</w:t>
            </w:r>
            <w:r>
              <w:rPr>
                <w:rFonts w:hint="eastAsia" w:ascii="宋体" w:hAnsi="宋体" w:eastAsia="宋体" w:cs="宋体"/>
                <w:color w:val="auto"/>
                <w:kern w:val="0"/>
                <w:szCs w:val="21"/>
                <w:highlight w:val="none"/>
                <w:lang w:eastAsia="zh-CN"/>
              </w:rPr>
              <w:t>应合法合规，符合招投标行政监督部门、行业主管部门和金融监管部门的相关规定，满足</w:t>
            </w:r>
            <w:r>
              <w:rPr>
                <w:rFonts w:hint="eastAsia" w:ascii="宋体" w:hAnsi="宋体" w:cs="宋体"/>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应选择在渝依法设立总部或者设有分支机构的金融机构开具</w:t>
            </w:r>
            <w:r>
              <w:rPr>
                <w:rFonts w:hint="eastAsia" w:ascii="宋体" w:hAnsi="宋体" w:eastAsia="宋体" w:cs="宋体"/>
                <w:color w:val="auto"/>
                <w:kern w:val="0"/>
                <w:szCs w:val="21"/>
                <w:highlight w:val="none"/>
                <w:lang w:val="en-US" w:eastAsia="zh-CN"/>
              </w:rPr>
              <w:t>履约保函（包括纸质保函或电子保函）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履约保函为纸质保函的，纸质保函应注明在</w:t>
            </w:r>
            <w:r>
              <w:rPr>
                <w:rFonts w:hint="eastAsia" w:ascii="宋体" w:hAnsi="宋体" w:eastAsia="宋体" w:cs="宋体"/>
                <w:color w:val="auto"/>
                <w:kern w:val="0"/>
                <w:szCs w:val="21"/>
                <w:highlight w:val="none"/>
              </w:rPr>
              <w:t>重庆市辖区范围内的核验地址和核验方式，并确保该纸质保函能在开立人在渝的总部或者分支机构进行核验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中标人对所提交的履约保函的真实性、合法性、有效性负责</w:t>
            </w:r>
            <w:r>
              <w:rPr>
                <w:rFonts w:hint="eastAsia" w:ascii="宋体" w:hAnsi="宋体" w:eastAsia="宋体" w:cs="宋体"/>
                <w:color w:val="auto"/>
                <w:kern w:val="0"/>
                <w:szCs w:val="21"/>
                <w:highlight w:val="none"/>
              </w:rPr>
              <w:t>。</w:t>
            </w:r>
          </w:p>
          <w:p w14:paraId="60E7EFC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）履约担保的金额：</w:t>
            </w:r>
            <w:r>
              <w:rPr>
                <w:rFonts w:hint="eastAsia" w:ascii="宋体" w:hAnsi="宋体" w:eastAsia="宋体" w:cs="宋体"/>
                <w:color w:val="auto"/>
                <w:kern w:val="0"/>
                <w:szCs w:val="21"/>
                <w:highlight w:val="none"/>
                <w:u w:val="single"/>
              </w:rPr>
              <w:t xml:space="preserve"> 中标合同金额的10%  </w:t>
            </w:r>
            <w:r>
              <w:rPr>
                <w:rFonts w:hint="eastAsia" w:ascii="宋体" w:hAnsi="宋体" w:eastAsia="宋体" w:cs="宋体"/>
                <w:color w:val="auto"/>
                <w:kern w:val="0"/>
                <w:szCs w:val="21"/>
                <w:highlight w:val="none"/>
              </w:rPr>
              <w:t>。</w:t>
            </w:r>
          </w:p>
          <w:p w14:paraId="717193A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）履约担保的提交时间：见专用合同条款。</w:t>
            </w:r>
          </w:p>
          <w:p w14:paraId="0E23547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）履约担保的期限：见专用合同条款。</w:t>
            </w:r>
          </w:p>
          <w:p w14:paraId="0EA4DD5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）履约担保的退还时间：见专用合同条款。</w:t>
            </w:r>
          </w:p>
        </w:tc>
      </w:tr>
      <w:tr w14:paraId="11BCA1AC">
        <w:tblPrEx>
          <w:tblCellMar>
            <w:top w:w="0" w:type="dxa"/>
            <w:left w:w="108" w:type="dxa"/>
            <w:bottom w:w="0" w:type="dxa"/>
            <w:right w:w="108" w:type="dxa"/>
          </w:tblCellMar>
        </w:tblPrEx>
        <w:trPr>
          <w:trHeight w:val="1170" w:hRule="atLeast"/>
        </w:trPr>
        <w:tc>
          <w:tcPr>
            <w:tcW w:w="1098" w:type="dxa"/>
            <w:tcBorders>
              <w:top w:val="single" w:color="auto" w:sz="4" w:space="0"/>
              <w:left w:val="single" w:color="auto" w:sz="4" w:space="0"/>
              <w:bottom w:val="single" w:color="auto" w:sz="4" w:space="0"/>
              <w:right w:val="single" w:color="auto" w:sz="4" w:space="0"/>
            </w:tcBorders>
            <w:vAlign w:val="center"/>
          </w:tcPr>
          <w:p w14:paraId="01F60B6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2555" w:type="dxa"/>
            <w:tcBorders>
              <w:top w:val="single" w:color="auto" w:sz="4" w:space="0"/>
              <w:left w:val="single" w:color="auto" w:sz="4" w:space="0"/>
              <w:bottom w:val="single" w:color="auto" w:sz="4" w:space="0"/>
              <w:right w:val="single" w:color="auto" w:sz="4" w:space="0"/>
            </w:tcBorders>
            <w:vAlign w:val="center"/>
          </w:tcPr>
          <w:p w14:paraId="6291B39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重新招标的情形</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02B9F9E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1</w:t>
            </w:r>
            <w:r>
              <w:rPr>
                <w:rFonts w:hint="eastAsia" w:ascii="宋体" w:hAnsi="宋体"/>
                <w:kern w:val="0"/>
                <w:szCs w:val="21"/>
                <w:highlight w:val="none"/>
                <w:lang w:eastAsia="zh-CN"/>
              </w:rPr>
              <w:t>）</w:t>
            </w:r>
            <w:r>
              <w:rPr>
                <w:rFonts w:hint="eastAsia" w:ascii="宋体" w:hAnsi="宋体"/>
                <w:kern w:val="0"/>
                <w:szCs w:val="21"/>
                <w:highlight w:val="none"/>
              </w:rPr>
              <w:t>投标截止时间止，投标人少于 3 个的</w:t>
            </w:r>
            <w:r>
              <w:rPr>
                <w:rFonts w:hint="eastAsia" w:ascii="宋体" w:hAnsi="宋体"/>
                <w:kern w:val="0"/>
                <w:szCs w:val="21"/>
                <w:highlight w:val="none"/>
                <w:lang w:eastAsia="zh-CN"/>
              </w:rPr>
              <w:t>（</w:t>
            </w:r>
            <w:r>
              <w:rPr>
                <w:rFonts w:hint="eastAsia" w:ascii="宋体" w:hAnsi="宋体"/>
                <w:kern w:val="0"/>
                <w:szCs w:val="21"/>
                <w:highlight w:val="none"/>
              </w:rPr>
              <w:t>本款只适用于首次招标</w:t>
            </w:r>
            <w:r>
              <w:rPr>
                <w:rFonts w:hint="eastAsia" w:ascii="宋体" w:hAnsi="宋体"/>
                <w:kern w:val="0"/>
                <w:szCs w:val="21"/>
                <w:highlight w:val="none"/>
                <w:lang w:eastAsia="zh-CN"/>
              </w:rPr>
              <w:t>）</w:t>
            </w:r>
            <w:r>
              <w:rPr>
                <w:rFonts w:hint="eastAsia" w:ascii="宋体" w:hAnsi="宋体"/>
                <w:kern w:val="0"/>
                <w:szCs w:val="21"/>
                <w:highlight w:val="none"/>
              </w:rPr>
              <w:t>；</w:t>
            </w:r>
          </w:p>
          <w:p w14:paraId="2E7D3E3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rPr>
              <w:t>经评标委员会评审后否决所有投标的；</w:t>
            </w:r>
          </w:p>
          <w:p w14:paraId="009F2E8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3</w:t>
            </w:r>
            <w:r>
              <w:rPr>
                <w:rFonts w:hint="eastAsia" w:ascii="宋体" w:hAnsi="宋体"/>
                <w:kern w:val="0"/>
                <w:szCs w:val="21"/>
                <w:highlight w:val="none"/>
                <w:lang w:eastAsia="zh-CN"/>
              </w:rPr>
              <w:t>）</w:t>
            </w:r>
            <w:r>
              <w:rPr>
                <w:rFonts w:hint="eastAsia" w:ascii="宋体" w:hAnsi="宋体"/>
                <w:kern w:val="0"/>
                <w:szCs w:val="21"/>
                <w:highlight w:val="none"/>
              </w:rPr>
              <w:t>经评标委员会评审后部分投标被否决，因有效投标人不足三个使得投标明显缺乏竞争的</w:t>
            </w:r>
            <w:r>
              <w:rPr>
                <w:rFonts w:hint="eastAsia" w:ascii="宋体" w:hAnsi="宋体"/>
                <w:kern w:val="0"/>
                <w:szCs w:val="21"/>
                <w:highlight w:val="none"/>
                <w:lang w:eastAsia="zh-CN"/>
              </w:rPr>
              <w:t>（</w:t>
            </w:r>
            <w:r>
              <w:rPr>
                <w:rFonts w:hint="eastAsia" w:ascii="宋体" w:hAnsi="宋体"/>
                <w:kern w:val="0"/>
                <w:szCs w:val="21"/>
                <w:highlight w:val="none"/>
              </w:rPr>
              <w:t>本款只适用于首次招标</w:t>
            </w:r>
            <w:r>
              <w:rPr>
                <w:rFonts w:hint="eastAsia" w:ascii="宋体" w:hAnsi="宋体"/>
                <w:kern w:val="0"/>
                <w:szCs w:val="21"/>
                <w:highlight w:val="none"/>
                <w:lang w:eastAsia="zh-CN"/>
              </w:rPr>
              <w:t>）</w:t>
            </w:r>
            <w:r>
              <w:rPr>
                <w:rFonts w:hint="eastAsia" w:ascii="宋体" w:hAnsi="宋体"/>
                <w:kern w:val="0"/>
                <w:szCs w:val="21"/>
                <w:highlight w:val="none"/>
              </w:rPr>
              <w:t>；</w:t>
            </w:r>
          </w:p>
          <w:p w14:paraId="267A715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4</w:t>
            </w:r>
            <w:r>
              <w:rPr>
                <w:rFonts w:hint="eastAsia" w:ascii="宋体" w:hAnsi="宋体"/>
                <w:kern w:val="0"/>
                <w:szCs w:val="21"/>
                <w:highlight w:val="none"/>
                <w:lang w:eastAsia="zh-CN"/>
              </w:rPr>
              <w:t>）</w:t>
            </w:r>
            <w:r>
              <w:rPr>
                <w:rFonts w:hint="eastAsia" w:ascii="宋体" w:hAnsi="宋体"/>
                <w:kern w:val="0"/>
                <w:szCs w:val="21"/>
                <w:highlight w:val="none"/>
              </w:rPr>
              <w:t>法律法规规定的其他情形。</w:t>
            </w:r>
          </w:p>
        </w:tc>
      </w:tr>
      <w:tr w14:paraId="6A2066DA">
        <w:tblPrEx>
          <w:tblCellMar>
            <w:top w:w="0" w:type="dxa"/>
            <w:left w:w="108" w:type="dxa"/>
            <w:bottom w:w="0" w:type="dxa"/>
            <w:right w:w="108" w:type="dxa"/>
          </w:tblCellMar>
        </w:tblPrEx>
        <w:trPr>
          <w:trHeight w:val="98" w:hRule="atLeast"/>
        </w:trPr>
        <w:tc>
          <w:tcPr>
            <w:tcW w:w="1098" w:type="dxa"/>
            <w:tcBorders>
              <w:top w:val="single" w:color="auto" w:sz="4" w:space="0"/>
              <w:left w:val="single" w:color="auto" w:sz="4" w:space="0"/>
              <w:bottom w:val="single" w:color="auto" w:sz="4" w:space="0"/>
              <w:right w:val="single" w:color="auto" w:sz="4" w:space="0"/>
            </w:tcBorders>
            <w:vAlign w:val="center"/>
          </w:tcPr>
          <w:p w14:paraId="5CBE163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2555" w:type="dxa"/>
            <w:tcBorders>
              <w:top w:val="single" w:color="auto" w:sz="4" w:space="0"/>
              <w:left w:val="single" w:color="auto" w:sz="4" w:space="0"/>
              <w:bottom w:val="single" w:color="auto" w:sz="4" w:space="0"/>
              <w:right w:val="single" w:color="auto" w:sz="4" w:space="0"/>
            </w:tcBorders>
            <w:vAlign w:val="center"/>
          </w:tcPr>
          <w:p w14:paraId="17F3CB8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重新招标和不再招标</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5745917B">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p>
        </w:tc>
      </w:tr>
      <w:tr w14:paraId="77D7F678">
        <w:tblPrEx>
          <w:tblCellMar>
            <w:top w:w="0" w:type="dxa"/>
            <w:left w:w="108" w:type="dxa"/>
            <w:bottom w:w="0" w:type="dxa"/>
            <w:right w:w="108" w:type="dxa"/>
          </w:tblCellMar>
        </w:tblPrEx>
        <w:trPr>
          <w:trHeight w:val="375" w:hRule="atLeast"/>
        </w:trPr>
        <w:tc>
          <w:tcPr>
            <w:tcW w:w="1098" w:type="dxa"/>
            <w:tcBorders>
              <w:top w:val="single" w:color="auto" w:sz="4" w:space="0"/>
              <w:left w:val="single" w:color="auto" w:sz="4" w:space="0"/>
              <w:bottom w:val="single" w:color="auto" w:sz="4" w:space="0"/>
              <w:right w:val="single" w:color="auto" w:sz="4" w:space="0"/>
            </w:tcBorders>
            <w:vAlign w:val="center"/>
          </w:tcPr>
          <w:p w14:paraId="3D6E35EC">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190" w:type="dxa"/>
            <w:gridSpan w:val="3"/>
            <w:tcBorders>
              <w:top w:val="single" w:color="auto" w:sz="4" w:space="0"/>
              <w:left w:val="single" w:color="auto" w:sz="4" w:space="0"/>
              <w:bottom w:val="single" w:color="auto" w:sz="4" w:space="0"/>
              <w:right w:val="single" w:color="auto" w:sz="4" w:space="0"/>
            </w:tcBorders>
            <w:vAlign w:val="center"/>
          </w:tcPr>
          <w:p w14:paraId="451B4D63">
            <w:pPr>
              <w:keepNext w:val="0"/>
              <w:keepLines w:val="0"/>
              <w:pageBreakBefore w:val="0"/>
              <w:kinsoku/>
              <w:wordWrap/>
              <w:overflowPunct/>
              <w:topLinePunct w:val="0"/>
              <w:bidi w:val="0"/>
              <w:spacing w:line="400" w:lineRule="exact"/>
              <w:ind w:firstLine="462" w:firstLineChars="22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14:paraId="3FCCDA43">
        <w:tblPrEx>
          <w:tblCellMar>
            <w:top w:w="0" w:type="dxa"/>
            <w:left w:w="108" w:type="dxa"/>
            <w:bottom w:w="0" w:type="dxa"/>
            <w:right w:w="108" w:type="dxa"/>
          </w:tblCellMar>
        </w:tblPrEx>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14:paraId="595BFC9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p>
        </w:tc>
        <w:tc>
          <w:tcPr>
            <w:tcW w:w="2574" w:type="dxa"/>
            <w:gridSpan w:val="2"/>
            <w:tcBorders>
              <w:top w:val="single" w:color="auto" w:sz="4" w:space="0"/>
              <w:left w:val="single" w:color="auto" w:sz="4" w:space="0"/>
              <w:bottom w:val="single" w:color="auto" w:sz="4" w:space="0"/>
              <w:right w:val="single" w:color="auto" w:sz="4" w:space="0"/>
            </w:tcBorders>
            <w:vAlign w:val="center"/>
          </w:tcPr>
          <w:p w14:paraId="6A92D1B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支付担保</w:t>
            </w:r>
          </w:p>
        </w:tc>
        <w:tc>
          <w:tcPr>
            <w:tcW w:w="5616" w:type="dxa"/>
            <w:tcBorders>
              <w:top w:val="single" w:color="auto" w:sz="4" w:space="0"/>
              <w:left w:val="single" w:color="auto" w:sz="4" w:space="0"/>
              <w:bottom w:val="single" w:color="auto" w:sz="4" w:space="0"/>
              <w:right w:val="single" w:color="auto" w:sz="4" w:space="0"/>
            </w:tcBorders>
            <w:vAlign w:val="center"/>
          </w:tcPr>
          <w:p w14:paraId="45F84FF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招标人应按合同专用条款约定向中标人提供相应的支付担保。</w:t>
            </w:r>
          </w:p>
          <w:p w14:paraId="7CFE120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招标人将在中标人提供履约担保后，签订合同协议书后向中标人提交支付担保。</w:t>
            </w:r>
          </w:p>
        </w:tc>
      </w:tr>
      <w:tr w14:paraId="4EB6574D">
        <w:tblPrEx>
          <w:tblCellMar>
            <w:top w:w="0" w:type="dxa"/>
            <w:left w:w="108" w:type="dxa"/>
            <w:bottom w:w="0" w:type="dxa"/>
            <w:right w:w="108" w:type="dxa"/>
          </w:tblCellMar>
        </w:tblPrEx>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14:paraId="305C5DB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2</w:t>
            </w:r>
          </w:p>
        </w:tc>
        <w:tc>
          <w:tcPr>
            <w:tcW w:w="2555" w:type="dxa"/>
            <w:tcBorders>
              <w:top w:val="single" w:color="auto" w:sz="4" w:space="0"/>
              <w:left w:val="single" w:color="auto" w:sz="4" w:space="0"/>
              <w:bottom w:val="single" w:color="auto" w:sz="4" w:space="0"/>
              <w:right w:val="single" w:color="auto" w:sz="4" w:space="0"/>
            </w:tcBorders>
            <w:vAlign w:val="center"/>
          </w:tcPr>
          <w:p w14:paraId="66B6E08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异议、投诉处理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60039C2">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投标人或者其他利害关系人就本项目的就本项目的</w:t>
            </w:r>
            <w:r>
              <w:rPr>
                <w:rFonts w:hint="eastAsia" w:ascii="宋体" w:hAnsi="宋体" w:cs="宋体"/>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kern w:val="0"/>
                <w:szCs w:val="21"/>
                <w:highlight w:val="none"/>
              </w:rPr>
              <w:t>（含澄清修改）、开标情况、评标结果等事项提出投诉的，应当先向招标人提出异议；招标人应当在规定时间内答复；对招标人的答复不满意，可向行政监督部门投诉。</w:t>
            </w:r>
          </w:p>
          <w:p w14:paraId="22682C7B">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提出异议或投诉时应当包括下列内容：</w:t>
            </w:r>
          </w:p>
          <w:p w14:paraId="086D7009">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（1）异议</w:t>
            </w:r>
            <w:r>
              <w:rPr>
                <w:rFonts w:hint="eastAsia" w:ascii="宋体" w:hAnsi="宋体" w:eastAsia="宋体" w:cs="宋体"/>
                <w:color w:val="auto"/>
                <w:kern w:val="0"/>
                <w:szCs w:val="21"/>
                <w:highlight w:val="none"/>
                <w:lang w:eastAsia="zh-CN"/>
              </w:rPr>
              <w:t>人</w:t>
            </w:r>
            <w:r>
              <w:rPr>
                <w:rFonts w:hint="eastAsia" w:ascii="宋体" w:hAnsi="宋体" w:eastAsia="宋体" w:cs="宋体"/>
                <w:color w:val="auto"/>
                <w:kern w:val="0"/>
                <w:szCs w:val="21"/>
                <w:highlight w:val="none"/>
              </w:rPr>
              <w:t>或投诉人的</w:t>
            </w:r>
            <w:r>
              <w:rPr>
                <w:rFonts w:hint="eastAsia" w:ascii="宋体" w:hAnsi="宋体" w:cs="宋体"/>
                <w:color w:val="auto"/>
                <w:kern w:val="0"/>
                <w:szCs w:val="21"/>
                <w:highlight w:val="none"/>
                <w:lang w:val="en-US" w:eastAsia="zh-CN"/>
              </w:rPr>
              <w:t>姓名/</w:t>
            </w:r>
            <w:r>
              <w:rPr>
                <w:rFonts w:hint="eastAsia" w:ascii="宋体" w:hAnsi="宋体" w:eastAsia="宋体" w:cs="宋体"/>
                <w:color w:val="auto"/>
                <w:kern w:val="0"/>
                <w:szCs w:val="21"/>
                <w:highlight w:val="none"/>
              </w:rPr>
              <w:t>名称、地址及有效联系方式；</w:t>
            </w:r>
          </w:p>
          <w:p w14:paraId="11F6206B">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（2）被异议</w:t>
            </w:r>
            <w:r>
              <w:rPr>
                <w:rFonts w:hint="eastAsia" w:ascii="宋体" w:hAnsi="宋体" w:eastAsia="宋体" w:cs="宋体"/>
                <w:color w:val="auto"/>
                <w:kern w:val="0"/>
                <w:szCs w:val="21"/>
                <w:highlight w:val="none"/>
                <w:lang w:eastAsia="zh-CN"/>
              </w:rPr>
              <w:t>人</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eastAsia="zh-CN"/>
              </w:rPr>
              <w:t>被</w:t>
            </w:r>
            <w:r>
              <w:rPr>
                <w:rFonts w:hint="eastAsia" w:ascii="宋体" w:hAnsi="宋体" w:eastAsia="宋体" w:cs="宋体"/>
                <w:color w:val="auto"/>
                <w:kern w:val="0"/>
                <w:szCs w:val="21"/>
                <w:highlight w:val="none"/>
              </w:rPr>
              <w:t>投诉人的名称、地址及有效联系方式；</w:t>
            </w:r>
          </w:p>
          <w:p w14:paraId="46DA26C6">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（3）异议或投诉事项的基本事实；</w:t>
            </w:r>
          </w:p>
          <w:p w14:paraId="24C84854">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（4）请求及主张；</w:t>
            </w:r>
          </w:p>
          <w:p w14:paraId="3B985EBE">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（5）涉及事项的证据、证明材料。</w:t>
            </w:r>
          </w:p>
          <w:p w14:paraId="4EFA6B0B">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异议人或投诉人是法人的，异议书或投诉书必须由其法定代表人或者委托代理人</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并加盖单位公章；异议人或投诉人是其他组织或者自然人的，异议书或投诉书必须由其主要负责人</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或者异议人（或投诉人）本人</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，并附有效身份证明。如有关材料是外文，应当同时提供中文译本。</w:t>
            </w:r>
          </w:p>
          <w:p w14:paraId="2FD84E95">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行政监督部门依照</w:t>
            </w:r>
            <w:r>
              <w:rPr>
                <w:rFonts w:hint="eastAsia" w:ascii="宋体" w:hAnsi="宋体" w:eastAsia="宋体" w:cs="宋体"/>
                <w:color w:val="auto"/>
                <w:kern w:val="0"/>
                <w:szCs w:val="21"/>
                <w:highlight w:val="none"/>
                <w:lang w:val="en-US" w:eastAsia="zh-CN"/>
              </w:rPr>
              <w:t>相关</w:t>
            </w:r>
            <w:r>
              <w:rPr>
                <w:rFonts w:hint="eastAsia" w:ascii="宋体" w:hAnsi="宋体" w:eastAsia="宋体" w:cs="宋体"/>
                <w:color w:val="auto"/>
                <w:kern w:val="0"/>
                <w:szCs w:val="21"/>
                <w:highlight w:val="none"/>
              </w:rPr>
              <w:t>法律法规文件处理投诉。</w:t>
            </w:r>
          </w:p>
          <w:p w14:paraId="275B23D3">
            <w:pPr>
              <w:keepNext w:val="0"/>
              <w:keepLines w:val="0"/>
              <w:pageBreakBefore w:val="0"/>
              <w:widowControl/>
              <w:kinsoku/>
              <w:wordWrap/>
              <w:overflowPunct/>
              <w:topLinePunct w:val="0"/>
              <w:bidi w:val="0"/>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投标人</w:t>
            </w:r>
            <w:r>
              <w:rPr>
                <w:rFonts w:hint="eastAsia" w:ascii="宋体" w:hAnsi="宋体" w:cs="宋体"/>
                <w:color w:val="auto"/>
                <w:kern w:val="0"/>
                <w:szCs w:val="21"/>
                <w:highlight w:val="none"/>
                <w:lang w:val="en-US" w:eastAsia="zh-CN"/>
              </w:rPr>
              <w:t>不得</w:t>
            </w:r>
            <w:r>
              <w:rPr>
                <w:rFonts w:hint="eastAsia" w:ascii="宋体" w:hAnsi="宋体" w:eastAsia="宋体" w:cs="宋体"/>
                <w:color w:val="auto"/>
                <w:kern w:val="0"/>
                <w:szCs w:val="21"/>
                <w:highlight w:val="none"/>
              </w:rPr>
              <w:t>捏造事实、伪造材料，或者以非法手段获取证明材料进行</w:t>
            </w:r>
            <w:r>
              <w:rPr>
                <w:rFonts w:hint="eastAsia" w:ascii="宋体" w:hAnsi="宋体" w:cs="宋体"/>
                <w:color w:val="auto"/>
                <w:kern w:val="0"/>
                <w:szCs w:val="21"/>
                <w:highlight w:val="none"/>
                <w:lang w:val="en-US" w:eastAsia="zh-CN"/>
              </w:rPr>
              <w:t>异议</w:t>
            </w:r>
            <w:r>
              <w:rPr>
                <w:rFonts w:hint="eastAsia" w:ascii="宋体" w:hAnsi="宋体" w:eastAsia="宋体" w:cs="宋体"/>
                <w:color w:val="auto"/>
                <w:kern w:val="0"/>
                <w:szCs w:val="21"/>
                <w:highlight w:val="none"/>
              </w:rPr>
              <w:t>或者投诉；给他人造成损失的，依法承担赔偿责任。</w:t>
            </w:r>
          </w:p>
          <w:p w14:paraId="7E2C5E5E">
            <w:pPr>
              <w:keepNext w:val="0"/>
              <w:keepLines w:val="0"/>
              <w:pageBreakBefore w:val="0"/>
              <w:widowControl/>
              <w:kinsoku/>
              <w:wordWrap/>
              <w:overflowPunct/>
              <w:topLinePunct w:val="0"/>
              <w:bidi w:val="0"/>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异议受理单位：</w:t>
            </w:r>
            <w:r>
              <w:rPr>
                <w:rFonts w:hint="eastAsia" w:asciiTheme="minorEastAsia" w:hAnsiTheme="minorEastAsia" w:eastAsiaTheme="minorEastAsia" w:cstheme="minorEastAsia"/>
                <w:color w:val="auto"/>
                <w:kern w:val="0"/>
                <w:szCs w:val="21"/>
                <w:highlight w:val="none"/>
                <w:u w:val="single"/>
                <w:lang w:val="en-US" w:eastAsia="zh-CN"/>
              </w:rPr>
              <w:t>垫江县五洞镇卧龙村股份经济合作联合社</w:t>
            </w:r>
          </w:p>
          <w:p w14:paraId="5CCD9D8C">
            <w:pPr>
              <w:keepNext w:val="0"/>
              <w:keepLines w:val="0"/>
              <w:pageBreakBefore w:val="0"/>
              <w:widowControl/>
              <w:kinsoku/>
              <w:wordWrap/>
              <w:overflowPunct/>
              <w:topLinePunct w:val="0"/>
              <w:bidi w:val="0"/>
              <w:snapToGrid/>
              <w:spacing w:line="400" w:lineRule="exact"/>
              <w:ind w:firstLine="420" w:firstLineChars="200"/>
              <w:textAlignment w:val="auto"/>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联系电话：</w:t>
            </w:r>
            <w:r>
              <w:rPr>
                <w:rFonts w:hint="eastAsia" w:asciiTheme="minorEastAsia" w:hAnsiTheme="minorEastAsia" w:eastAsiaTheme="minorEastAsia" w:cstheme="minorEastAsia"/>
                <w:color w:val="auto"/>
                <w:kern w:val="0"/>
                <w:szCs w:val="21"/>
                <w:highlight w:val="none"/>
                <w:u w:val="single"/>
                <w:lang w:val="en-US" w:eastAsia="zh-CN"/>
              </w:rPr>
              <w:t>冷老师，023-74562700</w:t>
            </w:r>
          </w:p>
          <w:p w14:paraId="4E0015EC">
            <w:pPr>
              <w:keepNext w:val="0"/>
              <w:keepLines w:val="0"/>
              <w:pageBreakBefore w:val="0"/>
              <w:widowControl/>
              <w:kinsoku/>
              <w:wordWrap/>
              <w:overflowPunct/>
              <w:topLinePunct w:val="0"/>
              <w:bidi w:val="0"/>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投诉受理部门：</w:t>
            </w:r>
            <w:r>
              <w:rPr>
                <w:rFonts w:hint="eastAsia" w:asciiTheme="minorEastAsia" w:hAnsiTheme="minorEastAsia" w:eastAsiaTheme="minorEastAsia" w:cstheme="minorEastAsia"/>
                <w:color w:val="auto"/>
                <w:kern w:val="0"/>
                <w:szCs w:val="21"/>
                <w:highlight w:val="none"/>
                <w:u w:val="single"/>
                <w:lang w:val="en-US" w:eastAsia="zh-CN"/>
              </w:rPr>
              <w:t>垫江县五洞镇卧龙村股份经济合作联合社</w:t>
            </w:r>
          </w:p>
          <w:p w14:paraId="30A3EDAB">
            <w:pPr>
              <w:keepNext w:val="0"/>
              <w:keepLines w:val="0"/>
              <w:pageBreakBefore w:val="0"/>
              <w:widowControl/>
              <w:kinsoku/>
              <w:wordWrap/>
              <w:overflowPunct/>
              <w:topLinePunct w:val="0"/>
              <w:bidi w:val="0"/>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联系电话：</w:t>
            </w:r>
            <w:r>
              <w:rPr>
                <w:rFonts w:hint="eastAsia" w:asciiTheme="minorEastAsia" w:hAnsiTheme="minorEastAsia" w:eastAsiaTheme="minorEastAsia" w:cstheme="minorEastAsia"/>
                <w:color w:val="auto"/>
                <w:kern w:val="0"/>
                <w:szCs w:val="21"/>
                <w:highlight w:val="none"/>
                <w:u w:val="single"/>
                <w:lang w:val="en-US" w:eastAsia="zh-CN"/>
              </w:rPr>
              <w:t>冷老师，023-74562700</w:t>
            </w:r>
          </w:p>
        </w:tc>
      </w:tr>
      <w:tr w14:paraId="4AC933D9">
        <w:tblPrEx>
          <w:tblCellMar>
            <w:top w:w="0" w:type="dxa"/>
            <w:left w:w="108" w:type="dxa"/>
            <w:bottom w:w="0" w:type="dxa"/>
            <w:right w:w="108" w:type="dxa"/>
          </w:tblCellMar>
        </w:tblPrEx>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14:paraId="2773754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3</w:t>
            </w:r>
          </w:p>
        </w:tc>
        <w:tc>
          <w:tcPr>
            <w:tcW w:w="2555" w:type="dxa"/>
            <w:tcBorders>
              <w:top w:val="single" w:color="auto" w:sz="4" w:space="0"/>
              <w:left w:val="single" w:color="auto" w:sz="4" w:space="0"/>
              <w:bottom w:val="single" w:color="auto" w:sz="4" w:space="0"/>
              <w:right w:val="single" w:color="auto" w:sz="4" w:space="0"/>
            </w:tcBorders>
            <w:vAlign w:val="center"/>
          </w:tcPr>
          <w:p w14:paraId="07AF28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工程量清单</w:t>
            </w:r>
          </w:p>
          <w:p w14:paraId="68F738A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编制说明</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06A12106">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i/>
                <w:color w:val="auto"/>
                <w:kern w:val="0"/>
                <w:szCs w:val="21"/>
                <w:highlight w:val="none"/>
                <w:lang w:val="en-US" w:eastAsia="zh-CN"/>
              </w:rPr>
              <w:t>无</w:t>
            </w:r>
          </w:p>
        </w:tc>
      </w:tr>
      <w:tr w14:paraId="53477C59">
        <w:tblPrEx>
          <w:tblCellMar>
            <w:top w:w="0" w:type="dxa"/>
            <w:left w:w="108" w:type="dxa"/>
            <w:bottom w:w="0" w:type="dxa"/>
            <w:right w:w="108" w:type="dxa"/>
          </w:tblCellMar>
        </w:tblPrEx>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14:paraId="4E95253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4</w:t>
            </w:r>
          </w:p>
        </w:tc>
        <w:tc>
          <w:tcPr>
            <w:tcW w:w="2555" w:type="dxa"/>
            <w:tcBorders>
              <w:top w:val="single" w:color="auto" w:sz="4" w:space="0"/>
              <w:left w:val="single" w:color="auto" w:sz="4" w:space="0"/>
              <w:bottom w:val="single" w:color="auto" w:sz="4" w:space="0"/>
              <w:right w:val="single" w:color="auto" w:sz="4" w:space="0"/>
            </w:tcBorders>
            <w:vAlign w:val="center"/>
          </w:tcPr>
          <w:p w14:paraId="0B58ACA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建筑领域实施农民工工资专用账户相关要求</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0F68E55E">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本项目在</w:t>
            </w:r>
            <w:r>
              <w:rPr>
                <w:rFonts w:ascii="宋体" w:hAnsi="宋体"/>
                <w:color w:val="auto"/>
                <w:kern w:val="0"/>
                <w:szCs w:val="21"/>
                <w:highlight w:val="none"/>
              </w:rPr>
              <w:t>实施过程中</w:t>
            </w:r>
            <w:r>
              <w:rPr>
                <w:rFonts w:hint="eastAsia" w:ascii="宋体" w:hAnsi="宋体"/>
                <w:color w:val="auto"/>
                <w:kern w:val="0"/>
                <w:szCs w:val="21"/>
                <w:highlight w:val="none"/>
              </w:rPr>
              <w:t>，中标人</w:t>
            </w:r>
            <w:r>
              <w:rPr>
                <w:rFonts w:ascii="宋体" w:hAnsi="宋体"/>
                <w:color w:val="auto"/>
                <w:kern w:val="0"/>
                <w:szCs w:val="21"/>
                <w:highlight w:val="none"/>
              </w:rPr>
              <w:t>必须执行</w:t>
            </w:r>
            <w:r>
              <w:rPr>
                <w:rFonts w:hint="eastAsia" w:ascii="宋体" w:hAnsi="宋体"/>
                <w:color w:val="auto"/>
                <w:kern w:val="0"/>
                <w:szCs w:val="21"/>
                <w:highlight w:val="none"/>
                <w:u w:val="single"/>
              </w:rPr>
              <w:t>《保障农民工工资支付条例》（中华人民共和国国务院令第724号）、《重庆市人民政府办公厅关于全面治理拖欠农民工工资问题的实施意见》（渝府办发〔2016〕101号）、《重庆市</w:t>
            </w:r>
            <w:r>
              <w:rPr>
                <w:rFonts w:ascii="宋体" w:hAnsi="宋体"/>
                <w:color w:val="auto"/>
                <w:kern w:val="0"/>
                <w:szCs w:val="21"/>
                <w:highlight w:val="none"/>
                <w:u w:val="single"/>
              </w:rPr>
              <w:t>城乡建设</w:t>
            </w:r>
            <w:r>
              <w:rPr>
                <w:rFonts w:hint="eastAsia" w:ascii="宋体" w:hAnsi="宋体"/>
                <w:color w:val="auto"/>
                <w:kern w:val="0"/>
                <w:szCs w:val="21"/>
                <w:highlight w:val="none"/>
                <w:u w:val="single"/>
              </w:rPr>
              <w:t>委员会</w:t>
            </w:r>
            <w:r>
              <w:rPr>
                <w:rFonts w:ascii="宋体" w:hAnsi="宋体"/>
                <w:color w:val="auto"/>
                <w:kern w:val="0"/>
                <w:szCs w:val="21"/>
                <w:highlight w:val="none"/>
                <w:u w:val="single"/>
              </w:rPr>
              <w:t>、中国人民银行重庆营业管理部、中国银行业</w:t>
            </w:r>
            <w:r>
              <w:rPr>
                <w:rFonts w:hint="eastAsia" w:ascii="宋体" w:hAnsi="宋体"/>
                <w:color w:val="auto"/>
                <w:kern w:val="0"/>
                <w:szCs w:val="21"/>
                <w:highlight w:val="none"/>
                <w:u w:val="single"/>
              </w:rPr>
              <w:t>监督</w:t>
            </w:r>
            <w:r>
              <w:rPr>
                <w:rFonts w:ascii="宋体" w:hAnsi="宋体"/>
                <w:color w:val="auto"/>
                <w:kern w:val="0"/>
                <w:szCs w:val="21"/>
                <w:highlight w:val="none"/>
                <w:u w:val="single"/>
              </w:rPr>
              <w:t>管理委员会重庆监管局</w:t>
            </w:r>
            <w:r>
              <w:rPr>
                <w:rFonts w:hint="eastAsia" w:ascii="宋体" w:hAnsi="宋体"/>
                <w:color w:val="auto"/>
                <w:kern w:val="0"/>
                <w:szCs w:val="21"/>
                <w:highlight w:val="none"/>
                <w:u w:val="single"/>
              </w:rPr>
              <w:t>关于</w:t>
            </w:r>
            <w:r>
              <w:rPr>
                <w:rFonts w:ascii="宋体" w:hAnsi="宋体"/>
                <w:color w:val="auto"/>
                <w:kern w:val="0"/>
                <w:szCs w:val="21"/>
                <w:highlight w:val="none"/>
                <w:u w:val="single"/>
              </w:rPr>
              <w:t>建筑领域实施农民工工资专用账户管理及银行代发制度（</w:t>
            </w:r>
            <w:r>
              <w:rPr>
                <w:rFonts w:hint="eastAsia" w:ascii="宋体" w:hAnsi="宋体"/>
                <w:color w:val="auto"/>
                <w:kern w:val="0"/>
                <w:szCs w:val="21"/>
                <w:highlight w:val="none"/>
                <w:u w:val="single"/>
              </w:rPr>
              <w:t>试行</w:t>
            </w:r>
            <w:r>
              <w:rPr>
                <w:rFonts w:ascii="宋体" w:hAnsi="宋体"/>
                <w:color w:val="auto"/>
                <w:kern w:val="0"/>
                <w:szCs w:val="21"/>
                <w:highlight w:val="none"/>
                <w:u w:val="single"/>
              </w:rPr>
              <w:t>）</w:t>
            </w:r>
            <w:r>
              <w:rPr>
                <w:rFonts w:hint="eastAsia" w:ascii="宋体" w:hAnsi="宋体"/>
                <w:color w:val="auto"/>
                <w:kern w:val="0"/>
                <w:szCs w:val="21"/>
                <w:highlight w:val="none"/>
                <w:u w:val="single"/>
              </w:rPr>
              <w:t>的</w:t>
            </w:r>
            <w:r>
              <w:rPr>
                <w:rFonts w:ascii="宋体" w:hAnsi="宋体"/>
                <w:color w:val="auto"/>
                <w:kern w:val="0"/>
                <w:szCs w:val="21"/>
                <w:highlight w:val="none"/>
                <w:u w:val="single"/>
              </w:rPr>
              <w:t>通知</w:t>
            </w:r>
            <w:r>
              <w:rPr>
                <w:rFonts w:hint="eastAsia" w:ascii="宋体" w:hAnsi="宋体"/>
                <w:color w:val="auto"/>
                <w:kern w:val="0"/>
                <w:szCs w:val="21"/>
                <w:highlight w:val="none"/>
                <w:u w:val="single"/>
              </w:rPr>
              <w:t>》（渝</w:t>
            </w:r>
            <w:r>
              <w:rPr>
                <w:rFonts w:ascii="宋体" w:hAnsi="宋体"/>
                <w:color w:val="auto"/>
                <w:kern w:val="0"/>
                <w:szCs w:val="21"/>
                <w:highlight w:val="none"/>
                <w:u w:val="single"/>
              </w:rPr>
              <w:t>建发</w:t>
            </w:r>
            <w:r>
              <w:rPr>
                <w:rFonts w:hint="eastAsia" w:ascii="宋体" w:hAnsi="宋体"/>
                <w:color w:val="auto"/>
                <w:kern w:val="0"/>
                <w:szCs w:val="21"/>
                <w:highlight w:val="none"/>
                <w:u w:val="single"/>
              </w:rPr>
              <w:t>〔201</w:t>
            </w:r>
            <w:r>
              <w:rPr>
                <w:rFonts w:ascii="宋体" w:hAnsi="宋体"/>
                <w:color w:val="auto"/>
                <w:kern w:val="0"/>
                <w:szCs w:val="21"/>
                <w:highlight w:val="none"/>
                <w:u w:val="single"/>
              </w:rPr>
              <w:t>7</w:t>
            </w:r>
            <w:r>
              <w:rPr>
                <w:rFonts w:hint="eastAsia" w:ascii="宋体" w:hAnsi="宋体"/>
                <w:color w:val="auto"/>
                <w:kern w:val="0"/>
                <w:szCs w:val="21"/>
                <w:highlight w:val="none"/>
                <w:u w:val="single"/>
              </w:rPr>
              <w:t>〕13号）、《重庆市住房和城乡建设委员会关于优化调整建筑领域农民工工资专用账户管理及工资保证金制度的通知》（渝建发〔2020〕7号 ）、《重庆市住房和城乡建设委员会关于调整市政及机电安装工程农民工工资专用账户人工费拨付比例有关事宜的通知》（渝建管〔2021〕211号 ）及《重庆市建设工程造价管理总站关于建筑领域农民工工资专户管理网络系统正式运行有关事宜的通知》</w:t>
            </w:r>
            <w:r>
              <w:rPr>
                <w:rFonts w:hint="eastAsia" w:ascii="宋体" w:hAnsi="宋体"/>
                <w:color w:val="auto"/>
                <w:kern w:val="0"/>
                <w:szCs w:val="21"/>
                <w:highlight w:val="none"/>
              </w:rPr>
              <w:t>，实行农民工工资专用账户管理及银行代发制度，填报相应的网络管理系统。</w:t>
            </w:r>
          </w:p>
          <w:p w14:paraId="24B2656A">
            <w:pPr>
              <w:widowControl/>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highlight w:val="none"/>
              </w:rPr>
              <w:t>。</w:t>
            </w:r>
          </w:p>
          <w:p w14:paraId="2BA18BD4">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color w:val="auto"/>
                <w:kern w:val="0"/>
                <w:szCs w:val="21"/>
                <w:highlight w:val="none"/>
                <w:lang w:eastAsia="zh-CN"/>
              </w:rPr>
            </w:pPr>
            <w:r>
              <w:rPr>
                <w:rFonts w:hint="eastAsia" w:ascii="宋体" w:hAnsi="宋体"/>
                <w:color w:val="auto"/>
                <w:kern w:val="0"/>
                <w:szCs w:val="21"/>
                <w:highlight w:val="none"/>
              </w:rPr>
              <w:t>农民工工资保证金金额：中标通知书发出后（含发出当天）10</w:t>
            </w:r>
            <w:r>
              <w:rPr>
                <w:rFonts w:hint="eastAsia" w:ascii="宋体" w:hAnsi="宋体"/>
                <w:color w:val="auto"/>
                <w:kern w:val="0"/>
                <w:szCs w:val="21"/>
                <w:highlight w:val="none"/>
                <w:lang w:val="en-US" w:eastAsia="zh-CN"/>
              </w:rPr>
              <w:t>个工作</w:t>
            </w:r>
            <w:r>
              <w:rPr>
                <w:rFonts w:hint="eastAsia" w:ascii="宋体" w:hAnsi="宋体"/>
                <w:color w:val="auto"/>
                <w:kern w:val="0"/>
                <w:szCs w:val="21"/>
                <w:highlight w:val="none"/>
              </w:rPr>
              <w:t>日内，承包人</w:t>
            </w:r>
            <w:r>
              <w:rPr>
                <w:rFonts w:hint="eastAsia" w:ascii="宋体" w:hAnsi="宋体"/>
                <w:color w:val="auto"/>
                <w:kern w:val="0"/>
                <w:szCs w:val="21"/>
                <w:highlight w:val="none"/>
                <w:lang w:val="en-US" w:eastAsia="zh-CN"/>
              </w:rPr>
              <w:t>以转账或电汇的形式向</w:t>
            </w:r>
            <w:r>
              <w:rPr>
                <w:rFonts w:hint="eastAsia" w:ascii="宋体" w:hAnsi="宋体"/>
                <w:color w:val="auto"/>
                <w:kern w:val="0"/>
                <w:szCs w:val="21"/>
                <w:highlight w:val="none"/>
              </w:rPr>
              <w:t>发包人提交农民工工资保证金</w:t>
            </w:r>
            <w:r>
              <w:rPr>
                <w:rFonts w:hint="eastAsia" w:ascii="宋体" w:hAnsi="宋体"/>
                <w:color w:val="auto"/>
                <w:kern w:val="0"/>
                <w:szCs w:val="21"/>
                <w:highlight w:val="none"/>
                <w:lang w:eastAsia="zh-CN"/>
              </w:rPr>
              <w:t>（</w:t>
            </w:r>
            <w:r>
              <w:rPr>
                <w:rFonts w:hint="eastAsia" w:ascii="宋体" w:hAnsi="宋体" w:eastAsia="宋体" w:cs="宋体"/>
                <w:kern w:val="0"/>
                <w:highlight w:val="none"/>
                <w:u w:val="single"/>
                <w:lang w:val="en-US" w:eastAsia="zh-CN"/>
              </w:rPr>
              <w:t>金额为</w:t>
            </w:r>
            <w:r>
              <w:rPr>
                <w:rFonts w:hint="eastAsia" w:ascii="宋体" w:hAnsi="宋体" w:eastAsia="宋体" w:cs="宋体"/>
                <w:kern w:val="0"/>
                <w:highlight w:val="none"/>
                <w:u w:val="single"/>
              </w:rPr>
              <w:t xml:space="preserve">中标价的2% </w:t>
            </w:r>
            <w:r>
              <w:rPr>
                <w:rFonts w:hint="eastAsia" w:ascii="宋体" w:hAnsi="宋体"/>
                <w:color w:val="auto"/>
                <w:kern w:val="0"/>
                <w:szCs w:val="21"/>
                <w:highlight w:val="none"/>
                <w:lang w:eastAsia="zh-CN"/>
              </w:rPr>
              <w:t>）。</w:t>
            </w:r>
          </w:p>
          <w:p w14:paraId="2D69A2D1">
            <w:pPr>
              <w:widowControl/>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户名：垫江县五洞镇卧龙村股份经济合作联合社</w:t>
            </w:r>
          </w:p>
          <w:p w14:paraId="5A254A08">
            <w:pPr>
              <w:widowControl/>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账号：2509030120010001392</w:t>
            </w:r>
          </w:p>
          <w:p w14:paraId="44C42AB2">
            <w:pPr>
              <w:widowControl/>
              <w:spacing w:line="400" w:lineRule="exact"/>
              <w:ind w:firstLine="420" w:firstLineChars="200"/>
              <w:rPr>
                <w:rFonts w:hint="eastAsia"/>
                <w:highlight w:val="none"/>
                <w:lang w:eastAsia="zh-CN"/>
              </w:rPr>
            </w:pPr>
            <w:r>
              <w:rPr>
                <w:rFonts w:hint="eastAsia" w:ascii="宋体" w:hAnsi="宋体"/>
                <w:color w:val="auto"/>
                <w:kern w:val="0"/>
                <w:szCs w:val="21"/>
                <w:highlight w:val="none"/>
                <w:lang w:val="en-US" w:eastAsia="zh-CN"/>
              </w:rPr>
              <w:t>开户行：重庆农村商业银行垫江支行五洞分理处</w:t>
            </w:r>
          </w:p>
        </w:tc>
      </w:tr>
      <w:tr w14:paraId="5ABCC3BB">
        <w:tblPrEx>
          <w:tblCellMar>
            <w:top w:w="0" w:type="dxa"/>
            <w:left w:w="108" w:type="dxa"/>
            <w:bottom w:w="0" w:type="dxa"/>
            <w:right w:w="108" w:type="dxa"/>
          </w:tblCellMar>
        </w:tblPrEx>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14:paraId="7D766E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5</w:t>
            </w:r>
          </w:p>
        </w:tc>
        <w:tc>
          <w:tcPr>
            <w:tcW w:w="2555" w:type="dxa"/>
            <w:tcBorders>
              <w:top w:val="single" w:color="auto" w:sz="4" w:space="0"/>
              <w:left w:val="single" w:color="auto" w:sz="4" w:space="0"/>
              <w:bottom w:val="single" w:color="auto" w:sz="4" w:space="0"/>
              <w:right w:val="single" w:color="auto" w:sz="4" w:space="0"/>
            </w:tcBorders>
            <w:vAlign w:val="center"/>
          </w:tcPr>
          <w:p w14:paraId="23729C2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关于对</w:t>
            </w:r>
            <w:r>
              <w:rPr>
                <w:rFonts w:hint="eastAsia" w:ascii="宋体" w:hAnsi="宋体" w:cs="宋体"/>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kern w:val="0"/>
                <w:szCs w:val="21"/>
                <w:highlight w:val="none"/>
              </w:rPr>
              <w:t>及投标争议的解释</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7F1DAE8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对资格预审文件或者</w:t>
            </w:r>
            <w:r>
              <w:rPr>
                <w:rFonts w:hint="eastAsia" w:ascii="宋体" w:hAnsi="宋体" w:cs="宋体"/>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kern w:val="0"/>
                <w:szCs w:val="21"/>
                <w:highlight w:val="none"/>
              </w:rPr>
              <w:t>中的条款理解有争议的，应当作出不利于招标人的解释；对投标文件理解有争议的，应当作出不利于投标人的解释。但是，违背国家利益、社会公共利益的除外</w:t>
            </w:r>
            <w:r>
              <w:rPr>
                <w:rFonts w:hint="eastAsia" w:ascii="宋体" w:hAnsi="宋体" w:eastAsia="宋体" w:cs="宋体"/>
                <w:color w:val="auto"/>
                <w:kern w:val="0"/>
                <w:szCs w:val="21"/>
                <w:highlight w:val="none"/>
              </w:rPr>
              <w:t>。</w:t>
            </w:r>
          </w:p>
        </w:tc>
      </w:tr>
      <w:tr w14:paraId="49872C58">
        <w:tblPrEx>
          <w:tblCellMar>
            <w:top w:w="0" w:type="dxa"/>
            <w:left w:w="108" w:type="dxa"/>
            <w:bottom w:w="0" w:type="dxa"/>
            <w:right w:w="108" w:type="dxa"/>
          </w:tblCellMar>
        </w:tblPrEx>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14:paraId="35065E2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6</w:t>
            </w:r>
          </w:p>
        </w:tc>
        <w:tc>
          <w:tcPr>
            <w:tcW w:w="2555" w:type="dxa"/>
            <w:tcBorders>
              <w:top w:val="single" w:color="auto" w:sz="4" w:space="0"/>
              <w:left w:val="single" w:color="auto" w:sz="4" w:space="0"/>
              <w:bottom w:val="single" w:color="auto" w:sz="4" w:space="0"/>
              <w:right w:val="single" w:color="auto" w:sz="4" w:space="0"/>
            </w:tcBorders>
            <w:vAlign w:val="center"/>
          </w:tcPr>
          <w:p w14:paraId="1D23107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40447EF1">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color w:val="auto"/>
                <w:kern w:val="0"/>
                <w:szCs w:val="21"/>
                <w:highlight w:val="none"/>
              </w:rPr>
            </w:pPr>
            <w:r>
              <w:rPr>
                <w:rFonts w:hint="eastAsia" w:ascii="宋体" w:hAnsi="宋体"/>
                <w:color w:val="auto"/>
                <w:kern w:val="0"/>
                <w:szCs w:val="21"/>
                <w:highlight w:val="none"/>
                <w:u w:val="single"/>
              </w:rPr>
              <w:t>招标代理服务费:</w:t>
            </w:r>
            <w:r>
              <w:rPr>
                <w:rFonts w:hint="eastAsia" w:ascii="宋体" w:hAnsi="宋体"/>
                <w:color w:val="auto"/>
                <w:kern w:val="0"/>
                <w:szCs w:val="21"/>
                <w:highlight w:val="none"/>
                <w:u w:val="single"/>
                <w:lang w:val="en-US" w:eastAsia="zh-CN"/>
              </w:rPr>
              <w:t>4000元包干</w:t>
            </w:r>
            <w:r>
              <w:rPr>
                <w:rFonts w:hint="eastAsia" w:ascii="宋体" w:hAnsi="宋体"/>
                <w:color w:val="auto"/>
                <w:kern w:val="0"/>
                <w:szCs w:val="21"/>
                <w:highlight w:val="none"/>
                <w:u w:val="single"/>
              </w:rPr>
              <w:t>计取，由中标人缴纳。中标人领取中标通知书时，一次性足额向招标代理机构缴纳。该费用由投标人自行考虑进项目成本，但不单列。中标后招标人不再另行支付。</w:t>
            </w:r>
          </w:p>
        </w:tc>
      </w:tr>
    </w:tbl>
    <w:p w14:paraId="6F3BF433">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84" w:name="_Toc168476047"/>
      <w:bookmarkStart w:id="185" w:name="_Toc144974497"/>
      <w:bookmarkStart w:id="186" w:name="_Toc168475644"/>
      <w:bookmarkStart w:id="187" w:name="_Toc221950083"/>
      <w:r>
        <w:rPr>
          <w:color w:val="auto"/>
          <w:highlight w:val="none"/>
        </w:rPr>
        <w:br w:type="page"/>
      </w:r>
      <w:bookmarkStart w:id="188" w:name="_Toc222030984"/>
      <w:bookmarkStart w:id="189" w:name="_Toc15791"/>
      <w:bookmarkStart w:id="190" w:name="_Toc229305342"/>
      <w:bookmarkStart w:id="191" w:name="_Toc6477"/>
      <w:bookmarkStart w:id="192" w:name="_Toc229408463"/>
      <w:bookmarkStart w:id="193" w:name="_Toc10311"/>
      <w:bookmarkStart w:id="194" w:name="_Toc222029482"/>
      <w:bookmarkStart w:id="195" w:name="_Toc21195"/>
      <w:bookmarkStart w:id="196" w:name="_Toc222032651"/>
      <w:bookmarkStart w:id="197" w:name="_Toc222033833"/>
      <w:bookmarkStart w:id="198" w:name="_Toc59810294"/>
      <w:bookmarkStart w:id="199" w:name="_Toc22083"/>
      <w:r>
        <w:rPr>
          <w:rFonts w:hint="eastAsia" w:ascii="宋体" w:hAnsi="宋体" w:eastAsia="宋体" w:cs="宋体"/>
          <w:color w:val="auto"/>
          <w:highlight w:val="none"/>
        </w:rPr>
        <w:t>1. 总则</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B1FCD26">
      <w:pPr>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4"/>
          <w:szCs w:val="20"/>
          <w:highlight w:val="none"/>
        </w:rPr>
      </w:pPr>
      <w:bookmarkStart w:id="200" w:name="_Toc30657"/>
      <w:bookmarkStart w:id="201" w:name="_Toc59810295"/>
      <w:bookmarkStart w:id="202" w:name="_Toc25306"/>
      <w:bookmarkStart w:id="203" w:name="_Toc1341"/>
      <w:bookmarkStart w:id="204" w:name="_Toc15042"/>
      <w:bookmarkStart w:id="205" w:name="_Toc832"/>
      <w:bookmarkStart w:id="206" w:name="_Toc221950086"/>
      <w:r>
        <w:rPr>
          <w:rFonts w:hint="eastAsia" w:ascii="宋体" w:hAnsi="宋体" w:eastAsia="宋体" w:cs="宋体"/>
          <w:color w:val="auto"/>
          <w:sz w:val="24"/>
          <w:szCs w:val="20"/>
          <w:highlight w:val="none"/>
        </w:rPr>
        <w:t>1.1项目概况</w:t>
      </w:r>
      <w:bookmarkEnd w:id="200"/>
      <w:bookmarkEnd w:id="201"/>
      <w:bookmarkEnd w:id="202"/>
      <w:bookmarkEnd w:id="203"/>
      <w:bookmarkEnd w:id="204"/>
      <w:bookmarkEnd w:id="205"/>
    </w:p>
    <w:p w14:paraId="69B1DD3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1.1.1根据《中华人民共和国招标投标法》等有关法律、法规和规章的规定，本招标项目已具备招标条件，现对本标段施工进行招标。</w:t>
      </w:r>
    </w:p>
    <w:p w14:paraId="25E110C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1.1.2 本招标项目招标人：见投标人须知前附表。</w:t>
      </w:r>
    </w:p>
    <w:p w14:paraId="3C6449A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1.1.3 本标段招标代理机构：见投标人须知前附表。</w:t>
      </w:r>
    </w:p>
    <w:p w14:paraId="3F8A6F7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1.1.4 本招标项目名称：见投标人须知前附表。</w:t>
      </w:r>
    </w:p>
    <w:p w14:paraId="3EC2D2F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本标段建设地点：见投标人须知前附表。</w:t>
      </w:r>
    </w:p>
    <w:p w14:paraId="2737CC2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建设规模：见投标人须知前附表</w:t>
      </w:r>
      <w:r>
        <w:rPr>
          <w:rFonts w:hint="eastAsia" w:ascii="宋体" w:hAnsi="宋体" w:eastAsia="宋体" w:cs="宋体"/>
          <w:color w:val="auto"/>
          <w:szCs w:val="21"/>
          <w:highlight w:val="none"/>
        </w:rPr>
        <w:t>。</w:t>
      </w:r>
      <w:bookmarkEnd w:id="206"/>
    </w:p>
    <w:p w14:paraId="17DC3E61">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07" w:name="_Toc13874"/>
      <w:bookmarkStart w:id="208" w:name="_Toc7721"/>
      <w:bookmarkStart w:id="209" w:name="_Toc144974499"/>
      <w:bookmarkStart w:id="210" w:name="_Toc9771"/>
      <w:bookmarkStart w:id="211" w:name="_Toc24787"/>
      <w:bookmarkStart w:id="212" w:name="_Toc59810296"/>
      <w:bookmarkStart w:id="213" w:name="_Toc26503"/>
      <w:bookmarkStart w:id="214" w:name="_Toc179632548"/>
      <w:bookmarkStart w:id="215" w:name="_Toc152042307"/>
      <w:bookmarkStart w:id="216" w:name="_Toc152045531"/>
      <w:r>
        <w:rPr>
          <w:rFonts w:hint="eastAsia" w:ascii="宋体" w:hAnsi="宋体" w:eastAsia="宋体" w:cs="宋体"/>
          <w:color w:val="auto"/>
          <w:sz w:val="24"/>
          <w:szCs w:val="20"/>
          <w:highlight w:val="none"/>
        </w:rPr>
        <w:t>1.2 资金来源和落实情况</w:t>
      </w:r>
      <w:bookmarkEnd w:id="207"/>
      <w:bookmarkEnd w:id="208"/>
      <w:bookmarkEnd w:id="209"/>
      <w:bookmarkEnd w:id="210"/>
      <w:bookmarkEnd w:id="211"/>
      <w:bookmarkEnd w:id="212"/>
      <w:bookmarkEnd w:id="213"/>
      <w:bookmarkEnd w:id="214"/>
      <w:bookmarkEnd w:id="215"/>
      <w:bookmarkEnd w:id="216"/>
    </w:p>
    <w:p w14:paraId="020B156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1.2.1 本招标项目的资金来源：见投标人须知前附表。</w:t>
      </w:r>
    </w:p>
    <w:p w14:paraId="31022AA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1.2.2 本招标项目的出资比例：见投标人须知前附表。</w:t>
      </w:r>
    </w:p>
    <w:p w14:paraId="7783EE7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 本招标项目的资金落实情况：见投标人须知前附表。</w:t>
      </w:r>
    </w:p>
    <w:p w14:paraId="7D323D13">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17" w:name="_Toc2214"/>
      <w:bookmarkStart w:id="218" w:name="_Toc2569"/>
      <w:bookmarkStart w:id="219" w:name="_Toc152042308"/>
      <w:bookmarkStart w:id="220" w:name="_Toc144974500"/>
      <w:bookmarkStart w:id="221" w:name="_Toc59810297"/>
      <w:bookmarkStart w:id="222" w:name="_Toc30236"/>
      <w:bookmarkStart w:id="223" w:name="_Toc19099"/>
      <w:bookmarkStart w:id="224" w:name="_Toc152045532"/>
      <w:bookmarkStart w:id="225" w:name="_Toc179632549"/>
      <w:bookmarkStart w:id="226" w:name="_Toc11191"/>
      <w:r>
        <w:rPr>
          <w:rFonts w:hint="eastAsia" w:ascii="宋体" w:hAnsi="宋体" w:eastAsia="宋体" w:cs="宋体"/>
          <w:color w:val="auto"/>
          <w:sz w:val="24"/>
          <w:szCs w:val="20"/>
          <w:highlight w:val="none"/>
        </w:rPr>
        <w:t>1.3 招标范围、计划工期和质量要求</w:t>
      </w:r>
      <w:bookmarkEnd w:id="217"/>
      <w:bookmarkEnd w:id="218"/>
      <w:bookmarkEnd w:id="219"/>
      <w:bookmarkEnd w:id="220"/>
      <w:bookmarkEnd w:id="221"/>
      <w:bookmarkEnd w:id="222"/>
      <w:bookmarkEnd w:id="223"/>
      <w:bookmarkEnd w:id="224"/>
      <w:bookmarkEnd w:id="225"/>
      <w:bookmarkEnd w:id="226"/>
    </w:p>
    <w:p w14:paraId="23AAB5B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 本次招标范围：见投标人须知前附表。</w:t>
      </w:r>
    </w:p>
    <w:p w14:paraId="7D7FAB9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 本标段的计划工期：见投标人须知前附表。</w:t>
      </w:r>
    </w:p>
    <w:p w14:paraId="5705E4B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1.3.3 本标段的质量要求：见投标人须知前附表。</w:t>
      </w:r>
    </w:p>
    <w:p w14:paraId="519BC2A7">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27" w:name="_Toc152045534"/>
      <w:bookmarkStart w:id="228" w:name="_Toc144974502"/>
      <w:bookmarkStart w:id="229" w:name="_Toc27249"/>
      <w:bookmarkStart w:id="230" w:name="_Toc3509"/>
      <w:bookmarkStart w:id="231" w:name="_Toc32287"/>
      <w:bookmarkStart w:id="232" w:name="_Toc5598"/>
      <w:bookmarkStart w:id="233" w:name="_Toc7461"/>
      <w:bookmarkStart w:id="234" w:name="_Toc59810299"/>
      <w:bookmarkStart w:id="235" w:name="_Toc179632551"/>
      <w:bookmarkStart w:id="236" w:name="_Toc152042310"/>
      <w:r>
        <w:rPr>
          <w:rFonts w:hint="eastAsia" w:ascii="宋体" w:hAnsi="宋体" w:eastAsia="宋体" w:cs="宋体"/>
          <w:color w:val="auto"/>
          <w:sz w:val="24"/>
          <w:szCs w:val="20"/>
          <w:highlight w:val="none"/>
        </w:rPr>
        <w:t>1.4</w:t>
      </w:r>
      <w:r>
        <w:rPr>
          <w:rFonts w:hint="eastAsia" w:ascii="宋体" w:hAnsi="宋体" w:eastAsia="宋体" w:cs="宋体"/>
          <w:color w:val="auto"/>
          <w:highlight w:val="none"/>
        </w:rPr>
        <w:t xml:space="preserve"> </w:t>
      </w:r>
      <w:r>
        <w:rPr>
          <w:rFonts w:hint="eastAsia" w:ascii="宋体" w:hAnsi="宋体" w:eastAsia="宋体" w:cs="宋体"/>
          <w:color w:val="auto"/>
          <w:sz w:val="24"/>
          <w:szCs w:val="20"/>
          <w:highlight w:val="none"/>
        </w:rPr>
        <w:t>投标人资格要求</w:t>
      </w:r>
      <w:bookmarkEnd w:id="227"/>
      <w:bookmarkEnd w:id="228"/>
      <w:bookmarkEnd w:id="229"/>
      <w:bookmarkEnd w:id="230"/>
      <w:bookmarkEnd w:id="231"/>
      <w:bookmarkEnd w:id="232"/>
      <w:bookmarkEnd w:id="233"/>
      <w:bookmarkEnd w:id="234"/>
      <w:bookmarkEnd w:id="235"/>
      <w:bookmarkEnd w:id="236"/>
    </w:p>
    <w:p w14:paraId="5A6D501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1.4.1投标人应具备承担本标段施工的资质条件、能力和信誉。</w:t>
      </w:r>
    </w:p>
    <w:p w14:paraId="74E2DA9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（1）资质条件、</w:t>
      </w:r>
      <w:r>
        <w:rPr>
          <w:rFonts w:hint="eastAsia" w:ascii="宋体" w:hAnsi="宋体" w:cs="宋体"/>
          <w:color w:val="auto"/>
          <w:highlight w:val="none"/>
          <w:lang w:eastAsia="zh-CN"/>
        </w:rPr>
        <w:t>独立法人资格</w:t>
      </w:r>
      <w:r>
        <w:rPr>
          <w:rFonts w:hint="eastAsia" w:ascii="宋体" w:hAnsi="宋体" w:eastAsia="宋体" w:cs="宋体"/>
          <w:color w:val="auto"/>
          <w:highlight w:val="none"/>
        </w:rPr>
        <w:t>及安全生产条件：见投标人须知前附表；</w:t>
      </w:r>
    </w:p>
    <w:p w14:paraId="420A617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（2）财务要求：见投标人须知前附表；</w:t>
      </w:r>
    </w:p>
    <w:p w14:paraId="0C34C96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（3）业绩要求：见投标人须知前附表；</w:t>
      </w:r>
    </w:p>
    <w:p w14:paraId="605FCC3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（4）投标截止日投标资格情况要求：见投标人须知前附表；</w:t>
      </w:r>
    </w:p>
    <w:p w14:paraId="7B4DDB1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（5）项目经理资格：见投标人须知前附表；</w:t>
      </w:r>
    </w:p>
    <w:p w14:paraId="45B668E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（6）其他要求：见投标人须知前附表。</w:t>
      </w:r>
    </w:p>
    <w:p w14:paraId="0FDDAE9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1.4.2 投标人须知前附表规定接受联合体投标的，除应符合本章第1.4.1项和投标人须知前附表的要求外，还应遵守以下规定： </w:t>
      </w:r>
    </w:p>
    <w:p w14:paraId="76F0899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（1）联合体各方应按</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提供的格式签订</w:t>
      </w:r>
      <w:r>
        <w:rPr>
          <w:rFonts w:hint="eastAsia" w:ascii="宋体" w:hAnsi="宋体" w:eastAsia="宋体" w:cs="宋体"/>
          <w:color w:val="auto"/>
          <w:highlight w:val="none"/>
          <w:lang w:eastAsia="zh-CN"/>
        </w:rPr>
        <w:t>共同投标协议</w:t>
      </w:r>
      <w:r>
        <w:rPr>
          <w:rFonts w:hint="eastAsia" w:ascii="宋体" w:hAnsi="宋体" w:eastAsia="宋体" w:cs="宋体"/>
          <w:color w:val="auto"/>
          <w:highlight w:val="none"/>
        </w:rPr>
        <w:t>，明确联合体牵头人和各方权利义务</w:t>
      </w:r>
      <w:r>
        <w:rPr>
          <w:rFonts w:hint="eastAsia" w:ascii="宋体" w:hAnsi="宋体" w:eastAsia="宋体" w:cs="宋体"/>
          <w:snapToGrid w:val="0"/>
          <w:kern w:val="0"/>
          <w:szCs w:val="21"/>
          <w:highlight w:val="none"/>
          <w:lang w:eastAsia="zh-CN"/>
        </w:rPr>
        <w:t>，</w:t>
      </w:r>
      <w:r>
        <w:rPr>
          <w:rFonts w:hint="eastAsia" w:ascii="宋体" w:hAnsi="宋体" w:eastAsia="宋体" w:cs="宋体"/>
          <w:color w:val="auto"/>
          <w:highlight w:val="none"/>
        </w:rPr>
        <w:t>并承诺就中标项目向招标人承担连带责任；</w:t>
      </w:r>
    </w:p>
    <w:p w14:paraId="5A3FC5B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（2）联合体各方均应当具备承担招标项目的相应能力，</w:t>
      </w:r>
      <w:r>
        <w:rPr>
          <w:rFonts w:hint="eastAsia" w:ascii="宋体" w:hAnsi="宋体" w:eastAsia="宋体" w:cs="宋体"/>
          <w:color w:val="auto"/>
          <w:highlight w:val="none"/>
          <w:lang w:eastAsia="zh-CN"/>
        </w:rPr>
        <w:t>共同投标协议</w:t>
      </w:r>
      <w:r>
        <w:rPr>
          <w:rFonts w:hint="eastAsia" w:ascii="宋体" w:hAnsi="宋体" w:eastAsia="宋体" w:cs="宋体"/>
          <w:color w:val="auto"/>
          <w:highlight w:val="none"/>
        </w:rPr>
        <w:t>约定同一专业分工由两个及以上单位共同承担的，按照资质等级较低的单位确定资质等级；</w:t>
      </w:r>
    </w:p>
    <w:p w14:paraId="6B34ADB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（3）联合体各方不得再以自己名义单独或参加其他联合体在</w:t>
      </w:r>
      <w:r>
        <w:rPr>
          <w:rFonts w:hint="eastAsia" w:ascii="宋体" w:hAnsi="宋体" w:eastAsia="宋体" w:cs="宋体"/>
          <w:snapToGrid w:val="0"/>
          <w:kern w:val="0"/>
          <w:szCs w:val="21"/>
          <w:highlight w:val="none"/>
          <w:lang w:val="en-US" w:eastAsia="zh-CN"/>
        </w:rPr>
        <w:t>本招标项目</w:t>
      </w:r>
      <w:r>
        <w:rPr>
          <w:rFonts w:hint="eastAsia" w:ascii="宋体" w:hAnsi="宋体" w:eastAsia="宋体" w:cs="宋体"/>
          <w:color w:val="auto"/>
          <w:highlight w:val="none"/>
        </w:rPr>
        <w:t>同一标段中投标</w:t>
      </w:r>
      <w:r>
        <w:rPr>
          <w:rFonts w:hint="eastAsia" w:ascii="宋体" w:hAnsi="宋体" w:eastAsia="宋体" w:cs="宋体"/>
          <w:snapToGrid w:val="0"/>
          <w:kern w:val="0"/>
          <w:szCs w:val="21"/>
          <w:highlight w:val="none"/>
          <w:lang w:eastAsia="zh-CN"/>
        </w:rPr>
        <w:t>，</w:t>
      </w:r>
      <w:r>
        <w:rPr>
          <w:rFonts w:hint="eastAsia" w:ascii="宋体" w:hAnsi="宋体" w:eastAsia="宋体" w:cs="宋体"/>
          <w:snapToGrid w:val="0"/>
          <w:kern w:val="0"/>
          <w:szCs w:val="21"/>
          <w:highlight w:val="none"/>
          <w:lang w:val="en-US" w:eastAsia="zh-CN"/>
        </w:rPr>
        <w:t>否则各相关投标均无效</w:t>
      </w:r>
      <w:r>
        <w:rPr>
          <w:rFonts w:hint="eastAsia" w:ascii="宋体" w:hAnsi="宋体" w:eastAsia="宋体" w:cs="宋体"/>
          <w:color w:val="auto"/>
          <w:highlight w:val="none"/>
        </w:rPr>
        <w:t>；</w:t>
      </w:r>
    </w:p>
    <w:p w14:paraId="5ECA493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1.4.3 投标人不得存在下列情形之一：</w:t>
      </w:r>
    </w:p>
    <w:p w14:paraId="2B61A8F6">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bookmarkStart w:id="237" w:name="_Toc152045535"/>
      <w:bookmarkStart w:id="238" w:name="_Toc144974503"/>
      <w:bookmarkStart w:id="239" w:name="_Toc152042311"/>
      <w:bookmarkStart w:id="240" w:name="_Toc179632552"/>
      <w:r>
        <w:rPr>
          <w:rFonts w:hint="eastAsia" w:ascii="宋体" w:hAnsi="宋体" w:eastAsia="宋体" w:cs="宋体"/>
          <w:color w:val="auto"/>
          <w:highlight w:val="none"/>
        </w:rPr>
        <w:t>（1）与招标人存在利害关系可能影响招标公正性的法人、其他组织或者个人；</w:t>
      </w:r>
    </w:p>
    <w:p w14:paraId="79FC4731">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（2）为本标段前期准备提供设计或咨询服务的，但设计施工总承包的除外；</w:t>
      </w:r>
    </w:p>
    <w:p w14:paraId="5C6845D3">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（3）为本标段的监理人；</w:t>
      </w:r>
    </w:p>
    <w:p w14:paraId="69CE18A5">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（4）为本标段的代建人；</w:t>
      </w:r>
    </w:p>
    <w:p w14:paraId="420F3A19">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（5）为本标段提供招标代理服务的；</w:t>
      </w:r>
    </w:p>
    <w:p w14:paraId="5FED0BBA">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（6）与本标段的监理人或代建人或招标代理机构同为一个法定代表人的；</w:t>
      </w:r>
    </w:p>
    <w:p w14:paraId="136E982C">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（7）与本标段的监理人或代建人或招标代理机构</w:t>
      </w:r>
      <w:r>
        <w:rPr>
          <w:rFonts w:hint="eastAsia" w:ascii="宋体" w:hAnsi="宋体" w:eastAsia="宋体" w:cs="宋体"/>
          <w:color w:val="auto"/>
          <w:highlight w:val="none"/>
          <w:lang w:eastAsia="zh-CN"/>
        </w:rPr>
        <w:t>存在</w:t>
      </w:r>
      <w:r>
        <w:rPr>
          <w:rFonts w:hint="eastAsia" w:ascii="宋体" w:hAnsi="宋体" w:eastAsia="宋体" w:cs="宋体"/>
          <w:color w:val="auto"/>
          <w:highlight w:val="none"/>
        </w:rPr>
        <w:t>控股或参股的；</w:t>
      </w:r>
    </w:p>
    <w:p w14:paraId="0F54687E">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（8）与本标段的监理人或代建人或招标代理机构</w:t>
      </w:r>
      <w:r>
        <w:rPr>
          <w:rFonts w:hint="eastAsia" w:ascii="宋体" w:hAnsi="宋体" w:eastAsia="宋体" w:cs="宋体"/>
          <w:color w:val="auto"/>
          <w:highlight w:val="none"/>
          <w:lang w:eastAsia="zh-CN"/>
        </w:rPr>
        <w:t>存在</w:t>
      </w:r>
      <w:r>
        <w:rPr>
          <w:rFonts w:hint="eastAsia" w:ascii="宋体" w:hAnsi="宋体" w:eastAsia="宋体" w:cs="宋体"/>
          <w:color w:val="auto"/>
          <w:highlight w:val="none"/>
        </w:rPr>
        <w:t>任职或工作的；</w:t>
      </w:r>
    </w:p>
    <w:p w14:paraId="2FB98842">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szCs w:val="21"/>
          <w:highlight w:val="none"/>
        </w:rPr>
        <w:t>被责令停产停业、暂扣或者吊销许可证、暂扣或者吊销执照</w:t>
      </w:r>
      <w:r>
        <w:rPr>
          <w:rFonts w:hint="eastAsia" w:ascii="宋体" w:hAnsi="宋体" w:eastAsia="宋体" w:cs="宋体"/>
          <w:color w:val="auto"/>
          <w:highlight w:val="none"/>
        </w:rPr>
        <w:t>；</w:t>
      </w:r>
    </w:p>
    <w:p w14:paraId="67646D11">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（10）被国家、重庆市（含市或任意区县）有关行政部门处以暂停投标资格行政处罚，且在处罚期限内的；</w:t>
      </w:r>
    </w:p>
    <w:p w14:paraId="3C2E5AFF">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szCs w:val="21"/>
          <w:highlight w:val="none"/>
        </w:rPr>
        <w:t>进入清算程序，或被宣告破产，或其他丧失履约能力的情形</w:t>
      </w:r>
      <w:r>
        <w:rPr>
          <w:rFonts w:hint="eastAsia" w:ascii="宋体" w:hAnsi="宋体" w:eastAsia="宋体" w:cs="宋体"/>
          <w:color w:val="auto"/>
          <w:highlight w:val="none"/>
        </w:rPr>
        <w:t>；</w:t>
      </w:r>
    </w:p>
    <w:p w14:paraId="35265D7A">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w:t>
      </w:r>
      <w:r>
        <w:rPr>
          <w:rFonts w:hint="eastAsia" w:ascii="宋体" w:hAnsi="宋体" w:eastAsia="宋体" w:cs="宋体"/>
          <w:snapToGrid w:val="0"/>
          <w:kern w:val="0"/>
          <w:szCs w:val="21"/>
          <w:highlight w:val="none"/>
        </w:rPr>
        <w:t>被市场监督管理机关在全国企业信用信息公示系统中列入严重违法失信企业名单</w:t>
      </w:r>
      <w:r>
        <w:rPr>
          <w:rFonts w:hint="eastAsia" w:ascii="宋体" w:hAnsi="宋体" w:eastAsia="宋体" w:cs="宋体"/>
          <w:snapToGrid w:val="0"/>
          <w:kern w:val="0"/>
          <w:szCs w:val="21"/>
          <w:highlight w:val="none"/>
          <w:lang w:eastAsia="zh-CN"/>
        </w:rPr>
        <w:t>；</w:t>
      </w:r>
    </w:p>
    <w:p w14:paraId="6604F66F">
      <w:pPr>
        <w:pageBreakBefore w:val="0"/>
        <w:kinsoku/>
        <w:wordWrap/>
        <w:overflowPunct/>
        <w:topLinePunct w:val="0"/>
        <w:bidi w:val="0"/>
        <w:spacing w:line="360" w:lineRule="auto"/>
        <w:ind w:firstLine="718" w:firstLineChars="342"/>
        <w:textAlignment w:val="auto"/>
        <w:rPr>
          <w:rFonts w:hint="eastAsia" w:ascii="宋体" w:hAnsi="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）单位负责人为同一人或者存在控股、管理关系的不同单位，不得在同一标段中同时投标</w:t>
      </w:r>
      <w:r>
        <w:rPr>
          <w:rFonts w:hint="eastAsia" w:ascii="宋体" w:hAnsi="宋体" w:cs="宋体"/>
          <w:color w:val="auto"/>
          <w:highlight w:val="none"/>
          <w:lang w:eastAsia="zh-CN"/>
        </w:rPr>
        <w:t>；</w:t>
      </w:r>
    </w:p>
    <w:p w14:paraId="447F9A21">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14</w:t>
      </w:r>
      <w:r>
        <w:rPr>
          <w:rFonts w:hint="eastAsia" w:ascii="宋体" w:hAnsi="宋体"/>
          <w:snapToGrid w:val="0"/>
          <w:kern w:val="0"/>
          <w:szCs w:val="21"/>
          <w:highlight w:val="none"/>
          <w:lang w:eastAsia="zh-CN"/>
        </w:rPr>
        <w:t>）法律法规或投标人须知前附表规定的其他情形。</w:t>
      </w:r>
    </w:p>
    <w:p w14:paraId="5A1529A8">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41" w:name="_Toc31847"/>
      <w:bookmarkStart w:id="242" w:name="_Toc19042"/>
      <w:bookmarkStart w:id="243" w:name="_Toc23417"/>
      <w:bookmarkStart w:id="244" w:name="_Toc25857"/>
      <w:bookmarkStart w:id="245" w:name="_Toc59810300"/>
      <w:bookmarkStart w:id="246" w:name="_Toc24095"/>
      <w:r>
        <w:rPr>
          <w:rFonts w:hint="eastAsia" w:ascii="宋体" w:hAnsi="宋体" w:eastAsia="宋体" w:cs="宋体"/>
          <w:color w:val="auto"/>
          <w:sz w:val="24"/>
          <w:szCs w:val="20"/>
          <w:highlight w:val="none"/>
        </w:rPr>
        <w:t>1.5 费用承担</w:t>
      </w:r>
      <w:bookmarkEnd w:id="237"/>
      <w:bookmarkEnd w:id="238"/>
      <w:bookmarkEnd w:id="239"/>
      <w:bookmarkEnd w:id="240"/>
      <w:bookmarkEnd w:id="241"/>
      <w:bookmarkEnd w:id="242"/>
      <w:bookmarkEnd w:id="243"/>
      <w:bookmarkEnd w:id="244"/>
      <w:bookmarkEnd w:id="245"/>
      <w:bookmarkEnd w:id="246"/>
    </w:p>
    <w:p w14:paraId="4AC4EE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投标人准备和参加投标活动发生的费用自理。</w:t>
      </w:r>
    </w:p>
    <w:p w14:paraId="79B58672">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47" w:name="_Toc6030"/>
      <w:bookmarkStart w:id="248" w:name="_Toc59810301"/>
      <w:bookmarkStart w:id="249" w:name="_Toc614"/>
      <w:bookmarkStart w:id="250" w:name="_Toc144974504"/>
      <w:bookmarkStart w:id="251" w:name="_Toc179632553"/>
      <w:bookmarkStart w:id="252" w:name="_Toc20933"/>
      <w:bookmarkStart w:id="253" w:name="_Toc152042312"/>
      <w:bookmarkStart w:id="254" w:name="_Toc152045536"/>
      <w:bookmarkStart w:id="255" w:name="_Toc835"/>
      <w:bookmarkStart w:id="256" w:name="_Toc32710"/>
      <w:r>
        <w:rPr>
          <w:rFonts w:hint="eastAsia" w:ascii="宋体" w:hAnsi="宋体" w:eastAsia="宋体" w:cs="宋体"/>
          <w:color w:val="auto"/>
          <w:sz w:val="24"/>
          <w:szCs w:val="20"/>
          <w:highlight w:val="none"/>
        </w:rPr>
        <w:t>1.6 保密</w:t>
      </w:r>
      <w:bookmarkEnd w:id="247"/>
      <w:bookmarkEnd w:id="248"/>
      <w:bookmarkEnd w:id="249"/>
      <w:bookmarkEnd w:id="250"/>
      <w:bookmarkEnd w:id="251"/>
      <w:bookmarkEnd w:id="252"/>
      <w:bookmarkEnd w:id="253"/>
      <w:bookmarkEnd w:id="254"/>
      <w:bookmarkEnd w:id="255"/>
      <w:bookmarkEnd w:id="256"/>
    </w:p>
    <w:p w14:paraId="6A709A4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参与招标投标活动的各方应对</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 xml:space="preserve">和投标文件中的商业和技术等秘密保密，违者应对由此造成的后果承担法律责任。 </w:t>
      </w:r>
    </w:p>
    <w:p w14:paraId="40BCF55A">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57" w:name="_Toc144974505"/>
      <w:bookmarkStart w:id="258" w:name="_Toc28112"/>
      <w:bookmarkStart w:id="259" w:name="_Toc152045537"/>
      <w:bookmarkStart w:id="260" w:name="_Toc179632554"/>
      <w:bookmarkStart w:id="261" w:name="_Toc59810302"/>
      <w:bookmarkStart w:id="262" w:name="_Toc152042313"/>
      <w:bookmarkStart w:id="263" w:name="_Toc26277"/>
      <w:bookmarkStart w:id="264" w:name="_Toc16344"/>
      <w:bookmarkStart w:id="265" w:name="_Toc10005"/>
      <w:bookmarkStart w:id="266" w:name="_Toc4974"/>
      <w:r>
        <w:rPr>
          <w:rFonts w:hint="eastAsia" w:ascii="宋体" w:hAnsi="宋体" w:eastAsia="宋体" w:cs="宋体"/>
          <w:color w:val="auto"/>
          <w:sz w:val="24"/>
          <w:szCs w:val="20"/>
          <w:highlight w:val="none"/>
        </w:rPr>
        <w:t>1.7 语言</w:t>
      </w:r>
      <w:bookmarkEnd w:id="257"/>
      <w:r>
        <w:rPr>
          <w:rFonts w:hint="eastAsia" w:ascii="宋体" w:hAnsi="宋体" w:eastAsia="宋体" w:cs="宋体"/>
          <w:color w:val="auto"/>
          <w:sz w:val="24"/>
          <w:szCs w:val="20"/>
          <w:highlight w:val="none"/>
        </w:rPr>
        <w:t>文字</w:t>
      </w:r>
      <w:bookmarkEnd w:id="258"/>
      <w:bookmarkEnd w:id="259"/>
      <w:bookmarkEnd w:id="260"/>
      <w:bookmarkEnd w:id="261"/>
      <w:bookmarkEnd w:id="262"/>
      <w:bookmarkEnd w:id="263"/>
      <w:bookmarkEnd w:id="264"/>
      <w:bookmarkEnd w:id="265"/>
      <w:bookmarkEnd w:id="266"/>
    </w:p>
    <w:p w14:paraId="00D6213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除专用术语外，与招标投标有关的语言均使用中文。必要时专用术语应附有中文注释。</w:t>
      </w:r>
    </w:p>
    <w:p w14:paraId="67C1494E">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67" w:name="_Toc59810303"/>
      <w:bookmarkStart w:id="268" w:name="_Toc29262"/>
      <w:bookmarkStart w:id="269" w:name="_Toc2083"/>
      <w:bookmarkStart w:id="270" w:name="_Toc8928"/>
      <w:bookmarkStart w:id="271" w:name="_Toc1258"/>
      <w:bookmarkStart w:id="272" w:name="_Toc14413"/>
      <w:bookmarkStart w:id="273" w:name="_Toc152045538"/>
      <w:bookmarkStart w:id="274" w:name="_Toc152042314"/>
      <w:bookmarkStart w:id="275" w:name="_Toc144974506"/>
      <w:bookmarkStart w:id="276" w:name="_Toc179632555"/>
      <w:r>
        <w:rPr>
          <w:rFonts w:hint="eastAsia" w:ascii="宋体" w:hAnsi="宋体" w:eastAsia="宋体" w:cs="宋体"/>
          <w:color w:val="auto"/>
          <w:sz w:val="24"/>
          <w:szCs w:val="20"/>
          <w:highlight w:val="none"/>
        </w:rPr>
        <w:t>1.8 计量单位</w:t>
      </w:r>
      <w:bookmarkEnd w:id="267"/>
      <w:bookmarkEnd w:id="268"/>
      <w:bookmarkEnd w:id="269"/>
      <w:bookmarkEnd w:id="270"/>
      <w:bookmarkEnd w:id="271"/>
      <w:bookmarkEnd w:id="272"/>
      <w:bookmarkEnd w:id="273"/>
      <w:bookmarkEnd w:id="274"/>
      <w:bookmarkEnd w:id="275"/>
      <w:bookmarkEnd w:id="276"/>
    </w:p>
    <w:p w14:paraId="13B1324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34BC7BCA">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77" w:name="_Toc1753"/>
      <w:bookmarkStart w:id="278" w:name="_Toc8330"/>
      <w:bookmarkStart w:id="279" w:name="_Toc18021"/>
      <w:bookmarkStart w:id="280" w:name="_Toc59810304"/>
      <w:bookmarkStart w:id="281" w:name="_Toc23955"/>
      <w:bookmarkStart w:id="282" w:name="_Toc18175"/>
      <w:bookmarkStart w:id="283" w:name="_Toc221950112"/>
      <w:r>
        <w:rPr>
          <w:rFonts w:hint="eastAsia" w:ascii="宋体" w:hAnsi="宋体" w:eastAsia="宋体" w:cs="宋体"/>
          <w:color w:val="auto"/>
          <w:sz w:val="24"/>
          <w:szCs w:val="20"/>
          <w:highlight w:val="none"/>
        </w:rPr>
        <w:t>1.9踏勘现场</w:t>
      </w:r>
      <w:bookmarkEnd w:id="277"/>
      <w:bookmarkEnd w:id="278"/>
      <w:bookmarkEnd w:id="279"/>
      <w:bookmarkEnd w:id="280"/>
      <w:bookmarkEnd w:id="281"/>
      <w:bookmarkEnd w:id="282"/>
    </w:p>
    <w:p w14:paraId="2D605B1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1.9.1投标人须知前附表规定组织踏勘现场的，招标人按投标人须知前附表规定的时间、 地点组织投标人踏勘项目现场。</w:t>
      </w:r>
      <w:bookmarkEnd w:id="283"/>
    </w:p>
    <w:p w14:paraId="2FF1038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 投标人踏勘现场发生的费用自理。</w:t>
      </w:r>
    </w:p>
    <w:p w14:paraId="76D79D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1.9.3 除招标人的原因外，投标人自行负责在踏勘现场中所发生的人员伤亡和财产损失。</w:t>
      </w:r>
    </w:p>
    <w:p w14:paraId="0EAB55B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1.9.4 招标人在踏勘现场中介绍的工程场地和相关的周边环境情况，供投标人在编制投标文件时参考，招标人不对投标人据此作出的判断和决策负责。</w:t>
      </w:r>
    </w:p>
    <w:p w14:paraId="454D4721">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84" w:name="_Toc20611"/>
      <w:bookmarkStart w:id="285" w:name="_Toc59810305"/>
      <w:bookmarkStart w:id="286" w:name="_Toc22914"/>
      <w:bookmarkStart w:id="287" w:name="_Toc32585"/>
      <w:bookmarkStart w:id="288" w:name="_Toc27310"/>
      <w:bookmarkStart w:id="289" w:name="_Toc27120"/>
      <w:r>
        <w:rPr>
          <w:rFonts w:hint="eastAsia" w:ascii="宋体" w:hAnsi="宋体" w:eastAsia="宋体" w:cs="宋体"/>
          <w:color w:val="auto"/>
          <w:sz w:val="24"/>
          <w:szCs w:val="20"/>
          <w:highlight w:val="none"/>
        </w:rPr>
        <w:t>1.10投标预备会</w:t>
      </w:r>
      <w:bookmarkEnd w:id="284"/>
      <w:bookmarkEnd w:id="285"/>
      <w:bookmarkEnd w:id="286"/>
      <w:bookmarkEnd w:id="287"/>
      <w:bookmarkEnd w:id="288"/>
      <w:bookmarkEnd w:id="289"/>
    </w:p>
    <w:p w14:paraId="77114F9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1.10.1投标人须知前附表规定召开投标预备会的，招标人按投标人须知前附表规定的时间和地点召开投标预备会，澄清投标人提出的问题。</w:t>
      </w:r>
    </w:p>
    <w:p w14:paraId="14EC532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在投标预备会召开前，投标人应以书面形式（包括信函、电报、传真等可以有形地表现所载内容的形式，下同）将需要招标人澄清的问题送达招标人。</w:t>
      </w:r>
    </w:p>
    <w:p w14:paraId="755B86A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1.10.3 在投标人须知前附表规定的投标截止时间15天前，招标人将对投标人所提问题进行澄清，以书面形式在指定的投标人提问区或者相应法定网站发布。该澄清通知为</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的组成部分。</w:t>
      </w:r>
    </w:p>
    <w:p w14:paraId="6452A176">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290" w:name="_Toc5137"/>
      <w:bookmarkStart w:id="291" w:name="_Toc31038"/>
      <w:bookmarkStart w:id="292" w:name="_Toc59810306"/>
      <w:bookmarkStart w:id="293" w:name="_Toc25244"/>
      <w:bookmarkStart w:id="294" w:name="_Toc29142"/>
      <w:bookmarkStart w:id="295" w:name="_Toc29838"/>
      <w:r>
        <w:rPr>
          <w:rFonts w:hint="eastAsia" w:ascii="宋体" w:hAnsi="宋体" w:eastAsia="宋体" w:cs="宋体"/>
          <w:color w:val="auto"/>
          <w:sz w:val="24"/>
          <w:szCs w:val="20"/>
          <w:highlight w:val="none"/>
        </w:rPr>
        <w:t>1.11分包</w:t>
      </w:r>
      <w:bookmarkEnd w:id="290"/>
      <w:bookmarkEnd w:id="291"/>
      <w:bookmarkEnd w:id="292"/>
      <w:bookmarkEnd w:id="293"/>
      <w:bookmarkEnd w:id="294"/>
      <w:bookmarkEnd w:id="295"/>
    </w:p>
    <w:p w14:paraId="21A3E40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vanish/>
          <w:color w:val="auto"/>
          <w:highlight w:val="none"/>
        </w:rPr>
        <w:t xml:space="preserve">招要11 </w:t>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r>
        <w:rPr>
          <w:rFonts w:hint="eastAsia" w:ascii="宋体" w:hAnsi="宋体" w:eastAsia="宋体" w:cs="宋体"/>
          <w:vanish/>
          <w:color w:val="auto"/>
          <w:highlight w:val="none"/>
        </w:rPr>
        <w:pgNum/>
      </w:r>
      <w:bookmarkStart w:id="296" w:name="_Toc221950129"/>
      <w:r>
        <w:rPr>
          <w:rFonts w:hint="eastAsia" w:ascii="宋体" w:hAnsi="宋体" w:eastAsia="宋体" w:cs="宋体"/>
          <w:vanish/>
          <w:color w:val="auto"/>
          <w:highlight w:val="none"/>
        </w:rPr>
        <w:t>1.111.11</w:t>
      </w:r>
      <w:r>
        <w:rPr>
          <w:rFonts w:hint="eastAsia" w:ascii="宋体" w:hAnsi="宋体" w:eastAsia="宋体" w:cs="宋体"/>
          <w:color w:val="auto"/>
          <w:highlight w:val="none"/>
        </w:rPr>
        <w:t>在投标人须知前附表规定允许分包的，分包的内容，分包金额，接受分包的第三人资质要求见投标人须知前附表。投标人应在投标文件中明确是否在中标后将中标项目的部分非主体、非关键性工作进行分包。</w:t>
      </w:r>
      <w:bookmarkEnd w:id="296"/>
      <w:bookmarkStart w:id="297" w:name="_Toc221950130"/>
      <w:r>
        <w:rPr>
          <w:rFonts w:hint="eastAsia" w:ascii="宋体" w:hAnsi="宋体" w:eastAsia="宋体" w:cs="宋体"/>
          <w:color w:val="auto"/>
          <w:highlight w:val="none"/>
        </w:rPr>
        <w:t>投标人拟分包时，</w:t>
      </w:r>
      <w:bookmarkStart w:id="298" w:name="_Toc221950131"/>
      <w:r>
        <w:rPr>
          <w:rFonts w:hint="eastAsia" w:ascii="宋体" w:hAnsi="宋体" w:eastAsia="宋体" w:cs="宋体"/>
          <w:color w:val="auto"/>
          <w:highlight w:val="none"/>
        </w:rPr>
        <w:t>分包人应具备与分包工程的标准和规模相适应的资质和业绩，在人力、设备、资金等方面具有承担分包工程施工的能力</w:t>
      </w:r>
      <w:bookmarkEnd w:id="298"/>
      <w:r>
        <w:rPr>
          <w:rFonts w:hint="eastAsia" w:ascii="宋体" w:hAnsi="宋体" w:eastAsia="宋体" w:cs="宋体"/>
          <w:color w:val="auto"/>
          <w:highlight w:val="none"/>
        </w:rPr>
        <w:t>。投标人应在投标文件中提供分包协议、分包人的资质证书及营业执照复印件、人员、设备和业绩资料表、分包的工程项目和工程量。</w:t>
      </w:r>
      <w:bookmarkEnd w:id="297"/>
    </w:p>
    <w:p w14:paraId="4E0AD011">
      <w:pPr>
        <w:keepNext/>
        <w:keepLines/>
        <w:pageBreakBefore w:val="0"/>
        <w:kinsoku/>
        <w:wordWrap/>
        <w:overflowPunct/>
        <w:topLinePunct w:val="0"/>
        <w:bidi w:val="0"/>
        <w:spacing w:line="360" w:lineRule="auto"/>
        <w:textAlignment w:val="auto"/>
        <w:outlineLvl w:val="2"/>
        <w:rPr>
          <w:rFonts w:hint="eastAsia" w:ascii="宋体" w:hAnsi="宋体" w:eastAsia="宋体" w:cs="宋体"/>
          <w:b/>
          <w:color w:val="auto"/>
          <w:sz w:val="24"/>
          <w:highlight w:val="none"/>
        </w:rPr>
      </w:pPr>
      <w:bookmarkStart w:id="299" w:name="_Toc59810307"/>
      <w:bookmarkStart w:id="300" w:name="_Toc31478"/>
      <w:bookmarkStart w:id="301" w:name="_Toc19569"/>
      <w:bookmarkStart w:id="302" w:name="_Toc32275"/>
      <w:bookmarkStart w:id="303" w:name="_Toc26080"/>
      <w:bookmarkStart w:id="304" w:name="_Toc5102"/>
      <w:bookmarkStart w:id="305" w:name="_Toc179632559"/>
      <w:bookmarkStart w:id="306" w:name="_Toc221950134"/>
      <w:r>
        <w:rPr>
          <w:rFonts w:hint="eastAsia" w:ascii="宋体" w:hAnsi="宋体" w:eastAsia="宋体" w:cs="宋体"/>
          <w:color w:val="auto"/>
          <w:sz w:val="24"/>
          <w:szCs w:val="20"/>
          <w:highlight w:val="none"/>
        </w:rPr>
        <w:t>1.12偏离</w:t>
      </w:r>
      <w:bookmarkEnd w:id="299"/>
      <w:bookmarkEnd w:id="300"/>
      <w:bookmarkEnd w:id="301"/>
      <w:bookmarkEnd w:id="302"/>
      <w:bookmarkEnd w:id="303"/>
      <w:bookmarkEnd w:id="304"/>
    </w:p>
    <w:bookmarkEnd w:id="305"/>
    <w:bookmarkEnd w:id="306"/>
    <w:p w14:paraId="1E82FE2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307" w:name="_Toc221950135"/>
      <w:r>
        <w:rPr>
          <w:rFonts w:hint="eastAsia" w:ascii="宋体" w:hAnsi="宋体" w:eastAsia="宋体" w:cs="宋体"/>
          <w:color w:val="auto"/>
          <w:highlight w:val="none"/>
        </w:rPr>
        <w:t>投标文件不允许偏离</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的实质性要求和条件</w:t>
      </w:r>
      <w:bookmarkEnd w:id="307"/>
      <w:r>
        <w:rPr>
          <w:rFonts w:hint="eastAsia" w:ascii="宋体" w:hAnsi="宋体" w:eastAsia="宋体" w:cs="宋体"/>
          <w:color w:val="auto"/>
          <w:highlight w:val="none"/>
        </w:rPr>
        <w:t>。投标文件偏离</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的非实质性要求和条件的，其处理方式见投标人须知前附表。</w:t>
      </w:r>
    </w:p>
    <w:p w14:paraId="6EC395D5">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lang w:eastAsia="zh-CN"/>
        </w:rPr>
      </w:pPr>
      <w:bookmarkStart w:id="308" w:name="_Toc222033834"/>
      <w:bookmarkStart w:id="309" w:name="_Toc144974510"/>
      <w:bookmarkStart w:id="310" w:name="_Toc229408464"/>
      <w:bookmarkStart w:id="311" w:name="_Toc222029483"/>
      <w:bookmarkStart w:id="312" w:name="_Toc31739"/>
      <w:bookmarkStart w:id="313" w:name="_Toc8229"/>
      <w:bookmarkStart w:id="314" w:name="_Toc222030985"/>
      <w:bookmarkStart w:id="315" w:name="_Toc222032652"/>
      <w:bookmarkStart w:id="316" w:name="_Toc229305343"/>
      <w:bookmarkStart w:id="317" w:name="_Toc168476060"/>
      <w:bookmarkStart w:id="318" w:name="_Toc18440"/>
      <w:bookmarkStart w:id="319" w:name="_Toc59810308"/>
      <w:bookmarkStart w:id="320" w:name="_Toc221950136"/>
      <w:bookmarkStart w:id="321" w:name="_Toc14347"/>
      <w:bookmarkStart w:id="322" w:name="_Toc168475657"/>
      <w:bookmarkStart w:id="323" w:name="_Toc1910"/>
      <w:r>
        <w:rPr>
          <w:rFonts w:hint="eastAsia" w:ascii="宋体" w:hAnsi="宋体" w:eastAsia="宋体" w:cs="宋体"/>
          <w:color w:val="auto"/>
          <w:highlight w:val="none"/>
        </w:rPr>
        <w:t xml:space="preserve">2. </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hint="eastAsia" w:ascii="宋体" w:hAnsi="宋体" w:cs="宋体"/>
          <w:color w:val="auto"/>
          <w:highlight w:val="none"/>
          <w:lang w:eastAsia="zh-CN"/>
        </w:rPr>
        <w:t>竞争性比选</w:t>
      </w:r>
      <w:r>
        <w:rPr>
          <w:rFonts w:hint="eastAsia" w:ascii="宋体" w:hAnsi="宋体" w:cs="宋体"/>
          <w:color w:val="auto"/>
          <w:highlight w:val="none"/>
          <w:lang w:val="en-US" w:eastAsia="zh-CN"/>
        </w:rPr>
        <w:t>文件</w:t>
      </w:r>
    </w:p>
    <w:p w14:paraId="082D9091">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24" w:name="_Toc1133"/>
      <w:bookmarkStart w:id="325" w:name="_Toc152042319"/>
      <w:bookmarkStart w:id="326" w:name="_Toc179632561"/>
      <w:bookmarkStart w:id="327" w:name="_Toc6896"/>
      <w:bookmarkStart w:id="328" w:name="_Toc3198"/>
      <w:bookmarkStart w:id="329" w:name="_Toc144974511"/>
      <w:bookmarkStart w:id="330" w:name="_Toc29578"/>
      <w:bookmarkStart w:id="331" w:name="_Toc152045543"/>
      <w:bookmarkStart w:id="332" w:name="_Toc59810309"/>
      <w:bookmarkStart w:id="333" w:name="_Toc22578"/>
      <w:r>
        <w:rPr>
          <w:rFonts w:hint="eastAsia" w:ascii="宋体" w:hAnsi="宋体" w:eastAsia="宋体" w:cs="宋体"/>
          <w:color w:val="auto"/>
          <w:sz w:val="24"/>
          <w:szCs w:val="20"/>
          <w:highlight w:val="none"/>
        </w:rPr>
        <w:t xml:space="preserve">2.1 </w:t>
      </w:r>
      <w:r>
        <w:rPr>
          <w:rFonts w:hint="eastAsia" w:ascii="宋体" w:hAnsi="宋体" w:cs="宋体"/>
          <w:color w:val="auto"/>
          <w:sz w:val="24"/>
          <w:szCs w:val="20"/>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 w:val="24"/>
          <w:szCs w:val="20"/>
          <w:highlight w:val="none"/>
        </w:rPr>
        <w:t>的组成</w:t>
      </w:r>
      <w:bookmarkEnd w:id="324"/>
      <w:bookmarkEnd w:id="325"/>
      <w:bookmarkEnd w:id="326"/>
      <w:bookmarkEnd w:id="327"/>
      <w:bookmarkEnd w:id="328"/>
      <w:bookmarkEnd w:id="329"/>
      <w:bookmarkEnd w:id="330"/>
      <w:bookmarkEnd w:id="331"/>
      <w:bookmarkEnd w:id="332"/>
      <w:bookmarkEnd w:id="333"/>
    </w:p>
    <w:p w14:paraId="11B47468">
      <w:pPr>
        <w:pageBreakBefore w:val="0"/>
        <w:kinsoku/>
        <w:wordWrap/>
        <w:overflowPunct/>
        <w:topLinePunct w:val="0"/>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本</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包括：</w:t>
      </w:r>
    </w:p>
    <w:p w14:paraId="0EDA7FB0">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（1）招标公告（或投标邀请书）；</w:t>
      </w:r>
    </w:p>
    <w:p w14:paraId="6083BE46">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（2）投标人须知；</w:t>
      </w:r>
    </w:p>
    <w:p w14:paraId="600AB763">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（3）评标办法；</w:t>
      </w:r>
    </w:p>
    <w:p w14:paraId="07F9ED13">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（4）合同条款及格式；</w:t>
      </w:r>
    </w:p>
    <w:p w14:paraId="0CAF11B8">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（5）工程量清单； </w:t>
      </w:r>
    </w:p>
    <w:p w14:paraId="360D4421">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（6）图纸； </w:t>
      </w:r>
    </w:p>
    <w:p w14:paraId="40B263F9">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（7）技术标准和要求； </w:t>
      </w:r>
    </w:p>
    <w:p w14:paraId="0E4D090B">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（8）投标文件格式；</w:t>
      </w:r>
    </w:p>
    <w:p w14:paraId="4910EABD">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（9）投标人须知前附表规定的其他材料。</w:t>
      </w:r>
    </w:p>
    <w:p w14:paraId="30E75C2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根据本章第1.10款、第2.2款和第2.3款对</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所作的澄清、修改，构成</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的组成部分。</w:t>
      </w:r>
    </w:p>
    <w:p w14:paraId="7F5A1A1C">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34" w:name="_Toc14072"/>
      <w:bookmarkStart w:id="335" w:name="_Toc11131"/>
      <w:bookmarkStart w:id="336" w:name="_Toc19743"/>
      <w:bookmarkStart w:id="337" w:name="_Toc16510"/>
      <w:bookmarkStart w:id="338" w:name="_Toc59810310"/>
      <w:bookmarkStart w:id="339" w:name="_Toc11197"/>
      <w:bookmarkStart w:id="340" w:name="_Toc221950142"/>
      <w:r>
        <w:rPr>
          <w:rFonts w:hint="eastAsia" w:ascii="宋体" w:hAnsi="宋体" w:eastAsia="宋体" w:cs="宋体"/>
          <w:color w:val="auto"/>
          <w:sz w:val="24"/>
          <w:szCs w:val="20"/>
          <w:highlight w:val="none"/>
        </w:rPr>
        <w:t>2.2</w:t>
      </w:r>
      <w:r>
        <w:rPr>
          <w:rFonts w:hint="eastAsia" w:ascii="宋体" w:hAnsi="宋体" w:cs="宋体"/>
          <w:color w:val="auto"/>
          <w:sz w:val="24"/>
          <w:szCs w:val="20"/>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 w:val="24"/>
          <w:szCs w:val="20"/>
          <w:highlight w:val="none"/>
        </w:rPr>
        <w:t>的澄清</w:t>
      </w:r>
      <w:bookmarkEnd w:id="334"/>
      <w:bookmarkEnd w:id="335"/>
      <w:bookmarkEnd w:id="336"/>
      <w:bookmarkEnd w:id="337"/>
      <w:bookmarkEnd w:id="338"/>
      <w:bookmarkEnd w:id="339"/>
    </w:p>
    <w:bookmarkEnd w:id="340"/>
    <w:p w14:paraId="061A379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2.2.1投标人应仔细阅读和检查</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的全部内容。</w:t>
      </w:r>
      <w:r>
        <w:rPr>
          <w:rFonts w:hint="eastAsia" w:ascii="宋体" w:hAnsi="宋体" w:eastAsia="宋体" w:cs="宋体"/>
          <w:color w:val="auto"/>
          <w:szCs w:val="21"/>
          <w:highlight w:val="none"/>
        </w:rPr>
        <w:t>如发现缺页或附件不全，应及时向招标人提出，以便补齐。</w:t>
      </w:r>
      <w:r>
        <w:rPr>
          <w:rFonts w:hint="eastAsia" w:ascii="宋体" w:hAnsi="宋体" w:eastAsia="宋体" w:cs="宋体"/>
          <w:color w:val="auto"/>
          <w:highlight w:val="none"/>
        </w:rPr>
        <w:t>要求招标人对</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予以澄清。</w:t>
      </w:r>
    </w:p>
    <w:p w14:paraId="43917EDB">
      <w:pPr>
        <w:autoSpaceDE w:val="0"/>
        <w:autoSpaceDN w:val="0"/>
        <w:adjustRightInd w:val="0"/>
        <w:snapToGrid w:val="0"/>
        <w:spacing w:line="360" w:lineRule="auto"/>
        <w:ind w:firstLine="420"/>
        <w:rPr>
          <w:rFonts w:ascii="宋体" w:hAnsi="宋体"/>
          <w:snapToGrid w:val="0"/>
          <w:color w:val="auto"/>
          <w:kern w:val="0"/>
          <w:szCs w:val="21"/>
          <w:highlight w:val="none"/>
        </w:rPr>
      </w:pPr>
      <w:bookmarkStart w:id="341" w:name="_Toc10389"/>
      <w:bookmarkStart w:id="342" w:name="_Toc59810311"/>
      <w:bookmarkStart w:id="343" w:name="_Toc13451"/>
      <w:bookmarkStart w:id="344" w:name="_Toc1665"/>
      <w:bookmarkStart w:id="345" w:name="_Toc15317"/>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的澄清将在投标人须知前附表规定的投标截止时间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天前</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但不指明澄清问题的来源。如果澄清发出的时间距投标截止时间不足</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天，相应延长投标截止时间。</w:t>
      </w:r>
    </w:p>
    <w:p w14:paraId="0537CD5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ascii="宋体" w:hAnsi="宋体"/>
          <w:color w:val="auto"/>
          <w:kern w:val="0"/>
          <w:szCs w:val="21"/>
          <w:highlight w:val="none"/>
        </w:rPr>
        <w:t>招标人对</w:t>
      </w:r>
      <w:r>
        <w:rPr>
          <w:rFonts w:hint="eastAsia" w:ascii="宋体" w:hAnsi="宋体"/>
          <w:color w:val="auto"/>
          <w:kern w:val="0"/>
          <w:szCs w:val="21"/>
          <w:highlight w:val="none"/>
          <w:lang w:eastAsia="zh-CN"/>
        </w:rPr>
        <w:t>竞争性比选文件</w:t>
      </w:r>
      <w:r>
        <w:rPr>
          <w:rFonts w:ascii="宋体" w:hAnsi="宋体"/>
          <w:color w:val="auto"/>
          <w:kern w:val="0"/>
          <w:szCs w:val="21"/>
          <w:highlight w:val="none"/>
        </w:rPr>
        <w:t>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日的，须相应延后投标截止时间。</w:t>
      </w:r>
    </w:p>
    <w:p w14:paraId="02D7BFA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2.2.4  投标人对</w:t>
      </w:r>
      <w:r>
        <w:rPr>
          <w:rFonts w:hint="eastAsia" w:ascii="宋体" w:hAnsi="宋体"/>
          <w:snapToGrid w:val="0"/>
          <w:color w:val="auto"/>
          <w:kern w:val="0"/>
          <w:position w:val="-2"/>
          <w:szCs w:val="21"/>
          <w:highlight w:val="none"/>
          <w:lang w:eastAsia="zh-CN"/>
        </w:rPr>
        <w:t>竞争性比选文件</w:t>
      </w:r>
      <w:r>
        <w:rPr>
          <w:rFonts w:ascii="宋体" w:hAnsi="宋体"/>
          <w:snapToGrid w:val="0"/>
          <w:color w:val="auto"/>
          <w:kern w:val="0"/>
          <w:position w:val="-2"/>
          <w:szCs w:val="21"/>
          <w:highlight w:val="none"/>
        </w:rPr>
        <w:t>和</w:t>
      </w:r>
      <w:r>
        <w:rPr>
          <w:rFonts w:hint="eastAsia" w:ascii="宋体" w:hAnsi="宋体"/>
          <w:snapToGrid w:val="0"/>
          <w:color w:val="auto"/>
          <w:kern w:val="0"/>
          <w:position w:val="-2"/>
          <w:szCs w:val="21"/>
          <w:highlight w:val="none"/>
        </w:rPr>
        <w:t>澄清</w:t>
      </w:r>
      <w:r>
        <w:rPr>
          <w:rFonts w:ascii="宋体" w:hAnsi="宋体"/>
          <w:snapToGrid w:val="0"/>
          <w:color w:val="auto"/>
          <w:kern w:val="0"/>
          <w:position w:val="-2"/>
          <w:szCs w:val="21"/>
          <w:highlight w:val="none"/>
        </w:rPr>
        <w:t>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的，可于投标截止时间</w:t>
      </w:r>
      <w:r>
        <w:rPr>
          <w:rFonts w:hint="eastAsia" w:ascii="宋体" w:hAnsi="宋体"/>
          <w:snapToGrid w:val="0"/>
          <w:color w:val="auto"/>
          <w:kern w:val="0"/>
          <w:position w:val="-2"/>
          <w:szCs w:val="21"/>
          <w:highlight w:val="none"/>
          <w:lang w:val="en-US" w:eastAsia="zh-CN"/>
        </w:rPr>
        <w:t>3</w:t>
      </w:r>
      <w:r>
        <w:rPr>
          <w:rFonts w:ascii="宋体" w:hAnsi="宋体"/>
          <w:snapToGrid w:val="0"/>
          <w:color w:val="auto"/>
          <w:kern w:val="0"/>
          <w:position w:val="-2"/>
          <w:szCs w:val="21"/>
          <w:highlight w:val="none"/>
        </w:rPr>
        <w:t>日前，</w:t>
      </w:r>
      <w:r>
        <w:rPr>
          <w:rFonts w:hint="eastAsia" w:ascii="宋体" w:hAnsi="宋体" w:cs="宋体"/>
          <w:snapToGrid w:val="0"/>
          <w:color w:val="auto"/>
          <w:position w:val="-2"/>
          <w:szCs w:val="21"/>
          <w:highlight w:val="none"/>
        </w:rPr>
        <w:t>通过</w:t>
      </w:r>
      <w:r>
        <w:rPr>
          <w:rFonts w:hint="eastAsia" w:ascii="宋体" w:hAnsi="宋体" w:cs="宋体"/>
          <w:snapToGrid w:val="0"/>
          <w:color w:val="auto"/>
          <w:position w:val="-2"/>
          <w:szCs w:val="21"/>
          <w:highlight w:val="none"/>
          <w:lang w:val="en-US" w:eastAsia="zh-CN"/>
        </w:rPr>
        <w:t>邮件形式</w:t>
      </w:r>
      <w:r>
        <w:rPr>
          <w:rFonts w:hint="eastAsia" w:ascii="宋体" w:hAnsi="宋体" w:cs="宋体"/>
          <w:snapToGrid w:val="0"/>
          <w:color w:val="auto"/>
          <w:position w:val="-2"/>
          <w:szCs w:val="21"/>
          <w:highlight w:val="none"/>
        </w:rPr>
        <w:t>提出</w:t>
      </w:r>
      <w:r>
        <w:rPr>
          <w:rFonts w:ascii="宋体" w:hAnsi="宋体"/>
          <w:snapToGrid w:val="0"/>
          <w:color w:val="auto"/>
          <w:kern w:val="0"/>
          <w:szCs w:val="21"/>
          <w:highlight w:val="none"/>
        </w:rPr>
        <w:t>。招标人应将答复以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日的，须相应延后投标截止时间。</w:t>
      </w:r>
    </w:p>
    <w:p w14:paraId="408A7A0A">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46" w:name="_Toc1566"/>
      <w:r>
        <w:rPr>
          <w:rFonts w:hint="eastAsia" w:ascii="宋体" w:hAnsi="宋体" w:eastAsia="宋体" w:cs="宋体"/>
          <w:color w:val="auto"/>
          <w:sz w:val="24"/>
          <w:szCs w:val="20"/>
          <w:highlight w:val="none"/>
        </w:rPr>
        <w:t>2.3</w:t>
      </w:r>
      <w:r>
        <w:rPr>
          <w:rFonts w:hint="eastAsia" w:ascii="宋体" w:hAnsi="宋体" w:cs="宋体"/>
          <w:color w:val="auto"/>
          <w:sz w:val="24"/>
          <w:szCs w:val="20"/>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 w:val="24"/>
          <w:szCs w:val="20"/>
          <w:highlight w:val="none"/>
        </w:rPr>
        <w:t>的修改</w:t>
      </w:r>
      <w:bookmarkEnd w:id="341"/>
      <w:bookmarkEnd w:id="342"/>
      <w:bookmarkEnd w:id="343"/>
      <w:bookmarkEnd w:id="344"/>
      <w:bookmarkEnd w:id="345"/>
      <w:bookmarkEnd w:id="346"/>
    </w:p>
    <w:p w14:paraId="1DFC76C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347" w:name="_Toc229305344"/>
      <w:bookmarkStart w:id="348" w:name="_Toc144974514"/>
      <w:bookmarkStart w:id="349" w:name="_Toc221950151"/>
      <w:bookmarkStart w:id="350" w:name="_Toc229408465"/>
      <w:bookmarkStart w:id="351" w:name="_Toc222033835"/>
      <w:bookmarkStart w:id="352" w:name="_Toc222032653"/>
      <w:bookmarkStart w:id="353" w:name="_Toc168475661"/>
      <w:bookmarkStart w:id="354" w:name="_Toc222029484"/>
      <w:bookmarkStart w:id="355" w:name="_Toc222030986"/>
      <w:bookmarkStart w:id="356" w:name="_Toc168476064"/>
      <w:r>
        <w:rPr>
          <w:rFonts w:hint="eastAsia" w:ascii="宋体" w:hAnsi="宋体" w:eastAsia="宋体" w:cs="宋体"/>
          <w:color w:val="auto"/>
          <w:highlight w:val="none"/>
        </w:rPr>
        <w:t>按照本章2.2</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的澄清相关内容及方式执行。</w:t>
      </w:r>
    </w:p>
    <w:p w14:paraId="2E9C7656">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57" w:name="_Toc26372"/>
      <w:bookmarkStart w:id="358" w:name="_Toc15275"/>
      <w:bookmarkStart w:id="359" w:name="_Toc59810312"/>
      <w:bookmarkStart w:id="360" w:name="_Toc6020"/>
      <w:bookmarkStart w:id="361" w:name="_Toc20907"/>
      <w:bookmarkStart w:id="362" w:name="_Toc21980"/>
      <w:r>
        <w:rPr>
          <w:rFonts w:hint="eastAsia" w:ascii="宋体" w:hAnsi="宋体" w:eastAsia="宋体" w:cs="宋体"/>
          <w:color w:val="auto"/>
          <w:highlight w:val="none"/>
        </w:rPr>
        <w:t>3. 投标文件</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2704B9EE">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63" w:name="_Toc2630"/>
      <w:bookmarkStart w:id="364" w:name="_Toc144974515"/>
      <w:bookmarkStart w:id="365" w:name="_Toc152045547"/>
      <w:bookmarkStart w:id="366" w:name="_Toc179632565"/>
      <w:bookmarkStart w:id="367" w:name="_Toc9796"/>
      <w:bookmarkStart w:id="368" w:name="_Toc1014"/>
      <w:bookmarkStart w:id="369" w:name="_Toc59810313"/>
      <w:bookmarkStart w:id="370" w:name="_Toc152042323"/>
      <w:bookmarkStart w:id="371" w:name="_Toc19122"/>
      <w:bookmarkStart w:id="372" w:name="_Toc17883"/>
      <w:r>
        <w:rPr>
          <w:rFonts w:hint="eastAsia" w:ascii="宋体" w:hAnsi="宋体" w:eastAsia="宋体" w:cs="宋体"/>
          <w:color w:val="auto"/>
          <w:sz w:val="24"/>
          <w:szCs w:val="20"/>
          <w:highlight w:val="none"/>
        </w:rPr>
        <w:t>3.1 投标文件的组成</w:t>
      </w:r>
      <w:bookmarkEnd w:id="363"/>
      <w:bookmarkEnd w:id="364"/>
      <w:bookmarkEnd w:id="365"/>
      <w:bookmarkEnd w:id="366"/>
      <w:bookmarkEnd w:id="367"/>
      <w:bookmarkEnd w:id="368"/>
      <w:bookmarkEnd w:id="369"/>
      <w:bookmarkEnd w:id="370"/>
      <w:bookmarkEnd w:id="371"/>
      <w:bookmarkEnd w:id="372"/>
    </w:p>
    <w:p w14:paraId="6808808B">
      <w:pPr>
        <w:pageBreakBefore w:val="0"/>
        <w:kinsoku/>
        <w:wordWrap/>
        <w:overflowPunct/>
        <w:topLinePunct w:val="0"/>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3.1.1投标文件应包括下列内容：</w:t>
      </w:r>
    </w:p>
    <w:p w14:paraId="76C1651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3.1.1.1投标函部分</w:t>
      </w:r>
    </w:p>
    <w:p w14:paraId="6A13CD8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（1）投标函</w:t>
      </w:r>
    </w:p>
    <w:p w14:paraId="490A756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（2）投标函附录</w:t>
      </w:r>
    </w:p>
    <w:p w14:paraId="12C167B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ru-RU"/>
        </w:rPr>
        <w:t>）</w:t>
      </w:r>
      <w:r>
        <w:rPr>
          <w:rFonts w:hint="eastAsia" w:ascii="宋体" w:hAnsi="宋体" w:eastAsia="宋体" w:cs="宋体"/>
          <w:highlight w:val="none"/>
        </w:rPr>
        <w:t>投标报价合理性说明</w:t>
      </w:r>
      <w:r>
        <w:rPr>
          <w:rFonts w:hint="eastAsia" w:ascii="宋体" w:hAnsi="宋体" w:eastAsia="宋体" w:cs="宋体"/>
          <w:color w:val="auto"/>
          <w:kern w:val="0"/>
          <w:szCs w:val="21"/>
          <w:highlight w:val="none"/>
          <w:lang w:val="ru-RU"/>
        </w:rPr>
        <w:t>（如有）</w:t>
      </w:r>
    </w:p>
    <w:p w14:paraId="3D43653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ru-RU"/>
        </w:rPr>
        <w:t>）法定代表人身份证明或授权委托书</w:t>
      </w:r>
    </w:p>
    <w:p w14:paraId="4A8EA25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ru-RU"/>
        </w:rPr>
        <w:t>部分</w:t>
      </w:r>
    </w:p>
    <w:p w14:paraId="687C1C9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ru-RU"/>
        </w:rPr>
        <w:t>）已标价工程量清单</w:t>
      </w:r>
    </w:p>
    <w:p w14:paraId="2905B66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3商务</w:t>
      </w:r>
      <w:r>
        <w:rPr>
          <w:rFonts w:hint="eastAsia" w:ascii="宋体" w:hAnsi="宋体" w:eastAsia="宋体" w:cs="宋体"/>
          <w:color w:val="auto"/>
          <w:kern w:val="0"/>
          <w:szCs w:val="21"/>
          <w:highlight w:val="none"/>
          <w:lang w:val="ru-RU"/>
        </w:rPr>
        <w:t>部分（</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val="ru-RU"/>
        </w:rPr>
        <w:t>）</w:t>
      </w:r>
    </w:p>
    <w:p w14:paraId="0201709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ru-RU"/>
        </w:rPr>
        <w:t>技术部分（</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val="ru-RU"/>
        </w:rPr>
        <w:t>）</w:t>
      </w:r>
    </w:p>
    <w:p w14:paraId="4E7142D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ru-RU"/>
        </w:rPr>
        <w:t>资格审查部分</w:t>
      </w:r>
    </w:p>
    <w:p w14:paraId="57D7C9D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（1）法定代表人身份证明或授权委托书</w:t>
      </w:r>
    </w:p>
    <w:p w14:paraId="473A442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ru-RU"/>
        </w:rPr>
        <w:t>）</w:t>
      </w:r>
      <w:r>
        <w:rPr>
          <w:rFonts w:hint="eastAsia" w:ascii="宋体" w:hAnsi="宋体" w:eastAsia="宋体" w:cs="宋体"/>
          <w:color w:val="auto"/>
          <w:kern w:val="0"/>
          <w:szCs w:val="21"/>
          <w:highlight w:val="none"/>
        </w:rPr>
        <w:t>承诺</w:t>
      </w:r>
    </w:p>
    <w:p w14:paraId="4C37392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ru-RU"/>
        </w:rPr>
        <w:t>）其他资料</w:t>
      </w:r>
    </w:p>
    <w:p w14:paraId="76A9DCCD">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3.1.2 投标人须知前附表规定不接受联合体投标的，或投标人没有组成联合体的，投标文件不包括</w:t>
      </w:r>
      <w:r>
        <w:rPr>
          <w:rFonts w:hint="eastAsia" w:ascii="宋体" w:hAnsi="宋体" w:eastAsia="宋体" w:cs="宋体"/>
          <w:color w:val="auto"/>
          <w:highlight w:val="none"/>
          <w:lang w:eastAsia="zh-CN"/>
        </w:rPr>
        <w:t>共同投标协议</w:t>
      </w:r>
      <w:r>
        <w:rPr>
          <w:rFonts w:hint="eastAsia" w:ascii="宋体" w:hAnsi="宋体" w:eastAsia="宋体" w:cs="宋体"/>
          <w:color w:val="auto"/>
          <w:highlight w:val="none"/>
        </w:rPr>
        <w:t xml:space="preserve">。 </w:t>
      </w:r>
    </w:p>
    <w:p w14:paraId="5A232202">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73" w:name="_Toc3441"/>
      <w:bookmarkStart w:id="374" w:name="_Toc179632566"/>
      <w:bookmarkStart w:id="375" w:name="_Toc144974516"/>
      <w:bookmarkStart w:id="376" w:name="_Toc59810314"/>
      <w:bookmarkStart w:id="377" w:name="_Toc375"/>
      <w:bookmarkStart w:id="378" w:name="_Toc11462"/>
      <w:bookmarkStart w:id="379" w:name="_Toc152045548"/>
      <w:bookmarkStart w:id="380" w:name="_Toc904"/>
      <w:bookmarkStart w:id="381" w:name="_Toc31951"/>
      <w:bookmarkStart w:id="382" w:name="_Toc152042324"/>
      <w:r>
        <w:rPr>
          <w:rFonts w:hint="eastAsia" w:ascii="宋体" w:hAnsi="宋体" w:eastAsia="宋体" w:cs="宋体"/>
          <w:color w:val="auto"/>
          <w:sz w:val="24"/>
          <w:szCs w:val="20"/>
          <w:highlight w:val="none"/>
        </w:rPr>
        <w:t>3.2 投标报价</w:t>
      </w:r>
      <w:bookmarkEnd w:id="373"/>
      <w:bookmarkEnd w:id="374"/>
      <w:bookmarkEnd w:id="375"/>
      <w:bookmarkEnd w:id="376"/>
      <w:bookmarkEnd w:id="377"/>
      <w:bookmarkEnd w:id="378"/>
      <w:bookmarkEnd w:id="379"/>
      <w:bookmarkEnd w:id="380"/>
      <w:bookmarkEnd w:id="381"/>
      <w:bookmarkEnd w:id="382"/>
    </w:p>
    <w:p w14:paraId="5F1BAC4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 投标人应按第五章“工程量清单”的要求填写相应表格。</w:t>
      </w:r>
    </w:p>
    <w:p w14:paraId="756D199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 投标人在投标截止时间前修改投标函中的投标总报价，应同时修改第五章“工程量清单”中的相应报价。此修改须符合本章第4.3款的有关要求。　　</w:t>
      </w:r>
    </w:p>
    <w:p w14:paraId="214932D7">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83" w:name="_Toc23083"/>
      <w:bookmarkStart w:id="384" w:name="_Toc144974517"/>
      <w:bookmarkStart w:id="385" w:name="_Toc20533"/>
      <w:bookmarkStart w:id="386" w:name="_Toc152045549"/>
      <w:bookmarkStart w:id="387" w:name="_Toc59810315"/>
      <w:bookmarkStart w:id="388" w:name="_Toc28689"/>
      <w:bookmarkStart w:id="389" w:name="_Toc12541"/>
      <w:bookmarkStart w:id="390" w:name="_Toc152042325"/>
      <w:bookmarkStart w:id="391" w:name="_Toc16994"/>
      <w:bookmarkStart w:id="392" w:name="_Toc179632567"/>
      <w:r>
        <w:rPr>
          <w:rFonts w:hint="eastAsia" w:ascii="宋体" w:hAnsi="宋体" w:eastAsia="宋体" w:cs="宋体"/>
          <w:color w:val="auto"/>
          <w:sz w:val="24"/>
          <w:szCs w:val="20"/>
          <w:highlight w:val="none"/>
        </w:rPr>
        <w:t>3.3 投标有效期</w:t>
      </w:r>
      <w:bookmarkEnd w:id="383"/>
      <w:bookmarkEnd w:id="384"/>
      <w:bookmarkEnd w:id="385"/>
      <w:bookmarkEnd w:id="386"/>
      <w:bookmarkEnd w:id="387"/>
      <w:bookmarkEnd w:id="388"/>
      <w:bookmarkEnd w:id="389"/>
      <w:bookmarkEnd w:id="390"/>
      <w:bookmarkEnd w:id="391"/>
      <w:bookmarkEnd w:id="392"/>
    </w:p>
    <w:p w14:paraId="6ACE500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在投标人须知前附表规定的投标有效期内，投标人不得要求撤销或修改其投标文件。</w:t>
      </w:r>
    </w:p>
    <w:p w14:paraId="5878BEC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4A300BF">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393" w:name="_Toc26704"/>
      <w:bookmarkStart w:id="394" w:name="_Toc25009"/>
      <w:bookmarkStart w:id="395" w:name="_Toc21804"/>
      <w:bookmarkStart w:id="396" w:name="_Toc28711"/>
      <w:bookmarkStart w:id="397" w:name="_Toc59810316"/>
      <w:bookmarkStart w:id="398" w:name="_Toc152042326"/>
      <w:bookmarkStart w:id="399" w:name="_Toc22255"/>
      <w:bookmarkStart w:id="400" w:name="_Toc179632568"/>
      <w:bookmarkStart w:id="401" w:name="_Toc152045550"/>
      <w:bookmarkStart w:id="402" w:name="_Toc144974518"/>
      <w:r>
        <w:rPr>
          <w:rFonts w:hint="eastAsia" w:ascii="宋体" w:hAnsi="宋体" w:eastAsia="宋体" w:cs="宋体"/>
          <w:color w:val="auto"/>
          <w:sz w:val="24"/>
          <w:szCs w:val="20"/>
          <w:highlight w:val="none"/>
        </w:rPr>
        <w:t>3.4 投标保证金</w:t>
      </w:r>
      <w:bookmarkEnd w:id="393"/>
      <w:bookmarkEnd w:id="394"/>
      <w:bookmarkEnd w:id="395"/>
      <w:bookmarkEnd w:id="396"/>
      <w:bookmarkEnd w:id="397"/>
      <w:bookmarkEnd w:id="398"/>
      <w:bookmarkEnd w:id="399"/>
      <w:bookmarkEnd w:id="400"/>
      <w:bookmarkEnd w:id="401"/>
      <w:bookmarkEnd w:id="402"/>
    </w:p>
    <w:p w14:paraId="248669F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投标人在递交投标文件的同时，应按投标人须知前附表规定递交投标保证金，并作为其投标文件的组成部分。</w:t>
      </w:r>
    </w:p>
    <w:p w14:paraId="1DDB1DE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投标人不按本章第3.4.1项要求提交投标保证金的，其投标文件作否决投标处理。</w:t>
      </w:r>
    </w:p>
    <w:p w14:paraId="4EAB8D8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投标保证金退还：见投标人须知前附表。</w:t>
      </w:r>
    </w:p>
    <w:p w14:paraId="5E2D63D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有下列情形之一的，</w:t>
      </w:r>
      <w:r>
        <w:rPr>
          <w:rFonts w:hint="eastAsia" w:ascii="宋体" w:hAnsi="宋体" w:eastAsia="宋体" w:cs="宋体"/>
          <w:snapToGrid w:val="0"/>
          <w:kern w:val="0"/>
          <w:szCs w:val="21"/>
          <w:highlight w:val="none"/>
        </w:rPr>
        <w:t>投标保证金将不予退还</w:t>
      </w:r>
      <w:r>
        <w:rPr>
          <w:rFonts w:hint="eastAsia" w:ascii="宋体" w:hAnsi="宋体" w:eastAsia="宋体" w:cs="宋体"/>
          <w:color w:val="auto"/>
          <w:highlight w:val="none"/>
        </w:rPr>
        <w:t xml:space="preserve">： </w:t>
      </w:r>
    </w:p>
    <w:p w14:paraId="46F74F9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（1）投标人在规定的投标有效期内撤销或修改其投标文件；</w:t>
      </w:r>
    </w:p>
    <w:p w14:paraId="7485014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（2）中标人在收到中标通知书后，无正当理由不与招标人订立合同，在签订合同时向招标人提出附加条件，或者不按照</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要求提交履约保证金；</w:t>
      </w:r>
    </w:p>
    <w:p w14:paraId="6AC35CE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）违反本章9.2</w:t>
      </w:r>
      <w:r>
        <w:rPr>
          <w:rFonts w:hint="eastAsia" w:ascii="宋体" w:hAnsi="宋体" w:eastAsia="宋体" w:cs="宋体"/>
          <w:color w:val="auto"/>
          <w:highlight w:val="none"/>
          <w:lang w:eastAsia="zh-CN"/>
        </w:rPr>
        <w:t>款</w:t>
      </w:r>
      <w:r>
        <w:rPr>
          <w:rFonts w:hint="eastAsia" w:ascii="宋体" w:hAnsi="宋体" w:eastAsia="宋体" w:cs="宋体"/>
          <w:color w:val="auto"/>
          <w:highlight w:val="none"/>
        </w:rPr>
        <w:t>对投标人的纪律要求的；</w:t>
      </w:r>
    </w:p>
    <w:p w14:paraId="5A999A6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）法律法规规定的其他情形。</w:t>
      </w:r>
    </w:p>
    <w:p w14:paraId="6DC6704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3.4.5  投标保证金的其他要求：</w:t>
      </w:r>
    </w:p>
    <w:p w14:paraId="00973CA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（1）投标保证金为无条件担保；</w:t>
      </w:r>
    </w:p>
    <w:p w14:paraId="4F04E9C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（2）投标保证金的受益人为招标人。</w:t>
      </w:r>
    </w:p>
    <w:p w14:paraId="6C8B89EF">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03" w:name="_Toc16531"/>
      <w:bookmarkStart w:id="404" w:name="_Toc144974520"/>
      <w:bookmarkStart w:id="405" w:name="_Toc168475667"/>
      <w:bookmarkStart w:id="406" w:name="_Toc59810318"/>
      <w:bookmarkStart w:id="407" w:name="_Toc168476070"/>
      <w:bookmarkStart w:id="408" w:name="_Toc15268"/>
      <w:bookmarkStart w:id="409" w:name="_Toc10973"/>
      <w:bookmarkStart w:id="410" w:name="_Toc221950166"/>
      <w:bookmarkStart w:id="411" w:name="_Toc27554"/>
      <w:bookmarkStart w:id="412" w:name="_Toc30788"/>
      <w:r>
        <w:rPr>
          <w:rFonts w:hint="eastAsia" w:ascii="宋体" w:hAnsi="宋体" w:eastAsia="宋体" w:cs="宋体"/>
          <w:color w:val="auto"/>
          <w:sz w:val="24"/>
          <w:szCs w:val="20"/>
          <w:highlight w:val="none"/>
        </w:rPr>
        <w:t>3.5 资格审查资料</w:t>
      </w:r>
      <w:bookmarkEnd w:id="403"/>
      <w:bookmarkEnd w:id="404"/>
      <w:bookmarkEnd w:id="405"/>
      <w:bookmarkEnd w:id="406"/>
      <w:bookmarkEnd w:id="407"/>
      <w:bookmarkEnd w:id="408"/>
      <w:bookmarkEnd w:id="409"/>
      <w:bookmarkEnd w:id="410"/>
      <w:bookmarkEnd w:id="411"/>
      <w:bookmarkEnd w:id="412"/>
    </w:p>
    <w:p w14:paraId="0D53CFD1">
      <w:pPr>
        <w:pageBreakBefore w:val="0"/>
        <w:kinsoku/>
        <w:wordWrap/>
        <w:overflowPunct/>
        <w:topLinePunct w:val="0"/>
        <w:autoSpaceDE w:val="0"/>
        <w:autoSpaceDN w:val="0"/>
        <w:bidi w:val="0"/>
        <w:adjustRightInd w:val="0"/>
        <w:snapToGrid w:val="0"/>
        <w:spacing w:line="360" w:lineRule="auto"/>
        <w:ind w:left="103" w:leftChars="49" w:right="37" w:firstLine="420" w:firstLineChars="200"/>
        <w:textAlignment w:val="auto"/>
        <w:rPr>
          <w:rFonts w:hint="eastAsia" w:ascii="宋体" w:hAnsi="宋体" w:eastAsia="宋体" w:cs="宋体"/>
          <w:color w:val="auto"/>
          <w:szCs w:val="21"/>
          <w:highlight w:val="none"/>
        </w:rPr>
      </w:pPr>
      <w:bookmarkStart w:id="413" w:name="_Toc221950172"/>
      <w:r>
        <w:rPr>
          <w:rFonts w:hint="eastAsia" w:ascii="宋体" w:hAnsi="宋体" w:eastAsia="宋体" w:cs="宋体"/>
          <w:color w:val="auto"/>
          <w:szCs w:val="21"/>
          <w:highlight w:val="none"/>
        </w:rPr>
        <w:t>投标人应附</w:t>
      </w:r>
      <w:r>
        <w:rPr>
          <w:rFonts w:hint="eastAsia" w:ascii="宋体" w:hAnsi="宋体" w:eastAsia="宋体" w:cs="宋体"/>
          <w:color w:val="auto"/>
          <w:kern w:val="0"/>
          <w:szCs w:val="21"/>
          <w:highlight w:val="none"/>
        </w:rPr>
        <w:t>投标人须知前附表第1.4.1项中要求的相关证明材料</w:t>
      </w:r>
      <w:r>
        <w:rPr>
          <w:rFonts w:hint="eastAsia" w:ascii="宋体" w:hAnsi="宋体" w:eastAsia="宋体" w:cs="宋体"/>
          <w:color w:val="auto"/>
          <w:szCs w:val="21"/>
          <w:highlight w:val="none"/>
        </w:rPr>
        <w:t>。</w:t>
      </w:r>
    </w:p>
    <w:p w14:paraId="3FA02A23">
      <w:pPr>
        <w:pageBreakBefore w:val="0"/>
        <w:kinsoku/>
        <w:wordWrap/>
        <w:overflowPunct/>
        <w:topLinePunct w:val="0"/>
        <w:autoSpaceDE w:val="0"/>
        <w:autoSpaceDN w:val="0"/>
        <w:bidi w:val="0"/>
        <w:adjustRightInd w:val="0"/>
        <w:snapToGrid w:val="0"/>
        <w:spacing w:line="360" w:lineRule="auto"/>
        <w:ind w:left="103" w:leftChars="49" w:right="37"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投标人须知前附表规定接受联合体投标的，详见投标人须知前附表联合体投标相关内容。</w:t>
      </w:r>
    </w:p>
    <w:p w14:paraId="039C12F1">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14" w:name="_Toc28561"/>
      <w:bookmarkStart w:id="415" w:name="_Toc10141"/>
      <w:bookmarkStart w:id="416" w:name="_Toc19061"/>
      <w:bookmarkStart w:id="417" w:name="_Toc59810319"/>
      <w:bookmarkStart w:id="418" w:name="_Toc32726"/>
      <w:bookmarkStart w:id="419" w:name="_Toc2897"/>
      <w:r>
        <w:rPr>
          <w:rFonts w:hint="eastAsia" w:ascii="宋体" w:hAnsi="宋体" w:eastAsia="宋体" w:cs="宋体"/>
          <w:color w:val="auto"/>
          <w:sz w:val="24"/>
          <w:szCs w:val="20"/>
          <w:highlight w:val="none"/>
        </w:rPr>
        <w:t>3.6备选投标方案</w:t>
      </w:r>
      <w:bookmarkEnd w:id="414"/>
      <w:bookmarkEnd w:id="415"/>
      <w:bookmarkEnd w:id="416"/>
      <w:bookmarkEnd w:id="417"/>
      <w:bookmarkEnd w:id="418"/>
      <w:bookmarkEnd w:id="419"/>
    </w:p>
    <w:bookmarkEnd w:id="413"/>
    <w:p w14:paraId="3E72AC4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要求编制的投标方案的，招标人可以接受该备选投标方案。</w:t>
      </w:r>
    </w:p>
    <w:p w14:paraId="42D07ADD">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20" w:name="_Toc9048"/>
      <w:bookmarkStart w:id="421" w:name="_Toc59810320"/>
      <w:bookmarkStart w:id="422" w:name="_Toc30653"/>
      <w:bookmarkStart w:id="423" w:name="_Toc25711"/>
      <w:bookmarkStart w:id="424" w:name="_Toc10436"/>
      <w:bookmarkStart w:id="425" w:name="_Toc12945"/>
      <w:r>
        <w:rPr>
          <w:rFonts w:hint="eastAsia" w:ascii="宋体" w:hAnsi="宋体" w:eastAsia="宋体" w:cs="宋体"/>
          <w:color w:val="auto"/>
          <w:sz w:val="24"/>
          <w:szCs w:val="20"/>
          <w:highlight w:val="none"/>
        </w:rPr>
        <w:t>3.7投标文件的编制</w:t>
      </w:r>
      <w:bookmarkEnd w:id="420"/>
      <w:bookmarkEnd w:id="421"/>
      <w:bookmarkEnd w:id="422"/>
      <w:bookmarkEnd w:id="423"/>
      <w:bookmarkEnd w:id="424"/>
      <w:bookmarkEnd w:id="425"/>
    </w:p>
    <w:p w14:paraId="47C5BF3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426" w:name="_Toc221950175"/>
      <w:r>
        <w:rPr>
          <w:rFonts w:hint="eastAsia" w:ascii="宋体" w:hAnsi="宋体" w:eastAsia="宋体" w:cs="宋体"/>
          <w:color w:val="auto"/>
          <w:highlight w:val="none"/>
        </w:rPr>
        <w:t>3.7.1投标文件应按第八章“投标文件格式”进行编写，如有必要，可以增加附页，作为投标文件的组成部分。其中，投标函附录在满足</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实质性要求的基础上，可以提出比</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要求更有利于招标人的承诺。</w:t>
      </w:r>
    </w:p>
    <w:p w14:paraId="6D1D7C8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3.7.2 投标文件应当对</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有关</w:t>
      </w:r>
      <w:r>
        <w:rPr>
          <w:rFonts w:hint="eastAsia" w:ascii="宋体" w:hAnsi="宋体" w:eastAsia="宋体" w:cs="宋体"/>
          <w:color w:val="auto"/>
          <w:szCs w:val="24"/>
          <w:highlight w:val="none"/>
        </w:rPr>
        <w:t>工期、投标有效期、质量要求、技术标准和要求、招标范围等实质性内容作出响应。</w:t>
      </w:r>
    </w:p>
    <w:bookmarkEnd w:id="426"/>
    <w:p w14:paraId="270FB87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427" w:name="_Toc229408466"/>
      <w:r>
        <w:rPr>
          <w:rFonts w:hint="eastAsia" w:ascii="宋体" w:hAnsi="宋体" w:eastAsia="宋体" w:cs="宋体"/>
          <w:color w:val="auto"/>
          <w:highlight w:val="none"/>
        </w:rPr>
        <w:t>3.7.3投标文件的</w:t>
      </w:r>
      <w:r>
        <w:rPr>
          <w:rFonts w:hint="eastAsia" w:ascii="宋体" w:hAnsi="宋体" w:eastAsia="宋体" w:cs="宋体"/>
          <w:color w:val="auto"/>
          <w:highlight w:val="none"/>
          <w:lang w:eastAsia="zh-CN"/>
        </w:rPr>
        <w:t>签名</w:t>
      </w:r>
      <w:r>
        <w:rPr>
          <w:rFonts w:hint="eastAsia" w:ascii="宋体" w:hAnsi="宋体" w:eastAsia="宋体" w:cs="宋体"/>
          <w:color w:val="auto"/>
          <w:highlight w:val="none"/>
        </w:rPr>
        <w:t>盖章要求：按本章投标人须知前附表第3.7.3项执行。</w:t>
      </w:r>
    </w:p>
    <w:p w14:paraId="199F9D5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3.7.4投标人</w:t>
      </w:r>
      <w:r>
        <w:rPr>
          <w:rFonts w:hint="eastAsia" w:ascii="宋体" w:hAnsi="宋体" w:cs="宋体"/>
          <w:color w:val="auto"/>
          <w:highlight w:val="none"/>
          <w:lang w:val="en-US" w:eastAsia="zh-CN"/>
        </w:rPr>
        <w:t>按</w:t>
      </w:r>
      <w:r>
        <w:rPr>
          <w:rFonts w:hint="eastAsia" w:ascii="宋体" w:hAnsi="宋体" w:eastAsia="宋体" w:cs="宋体"/>
          <w:color w:val="auto"/>
          <w:highlight w:val="none"/>
        </w:rPr>
        <w:t>投标人须知前附表</w:t>
      </w:r>
      <w:r>
        <w:rPr>
          <w:rFonts w:hint="eastAsia" w:ascii="宋体" w:hAnsi="宋体" w:cs="宋体"/>
          <w:color w:val="auto"/>
          <w:highlight w:val="none"/>
          <w:lang w:val="en-US" w:eastAsia="zh-CN"/>
        </w:rPr>
        <w:t>递交</w:t>
      </w:r>
      <w:r>
        <w:rPr>
          <w:rFonts w:hint="eastAsia" w:ascii="宋体" w:hAnsi="宋体" w:eastAsia="宋体" w:cs="宋体"/>
          <w:color w:val="auto"/>
          <w:highlight w:val="none"/>
        </w:rPr>
        <w:t>投标文件。</w:t>
      </w:r>
    </w:p>
    <w:p w14:paraId="1F3057D9">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napToGrid/>
          <w:color w:val="auto"/>
          <w:kern w:val="2"/>
          <w:szCs w:val="24"/>
          <w:highlight w:val="none"/>
        </w:rPr>
      </w:pPr>
      <w:r>
        <w:rPr>
          <w:rFonts w:hint="eastAsia" w:ascii="宋体" w:hAnsi="宋体" w:eastAsia="宋体" w:cs="宋体"/>
          <w:snapToGrid/>
          <w:color w:val="auto"/>
          <w:kern w:val="2"/>
          <w:szCs w:val="24"/>
          <w:highlight w:val="none"/>
        </w:rPr>
        <w:t>3.7.5  投标文件应按规定格式排版，并编制目录，具体编制要求见投标人须知前附表规定。</w:t>
      </w:r>
    </w:p>
    <w:p w14:paraId="58EADFFE">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428" w:name="_Toc218"/>
      <w:bookmarkStart w:id="429" w:name="_Toc59810321"/>
      <w:bookmarkStart w:id="430" w:name="_Toc12387"/>
      <w:bookmarkStart w:id="431" w:name="_Toc16045"/>
      <w:bookmarkStart w:id="432" w:name="_Toc13912"/>
      <w:bookmarkStart w:id="433" w:name="_Toc1505"/>
      <w:r>
        <w:rPr>
          <w:rFonts w:hint="eastAsia" w:ascii="宋体" w:hAnsi="宋体" w:eastAsia="宋体" w:cs="宋体"/>
          <w:color w:val="auto"/>
          <w:highlight w:val="none"/>
        </w:rPr>
        <w:t>4投标</w:t>
      </w:r>
      <w:bookmarkEnd w:id="427"/>
      <w:bookmarkEnd w:id="428"/>
      <w:bookmarkEnd w:id="429"/>
      <w:bookmarkEnd w:id="430"/>
      <w:bookmarkEnd w:id="431"/>
      <w:bookmarkEnd w:id="432"/>
      <w:bookmarkEnd w:id="433"/>
    </w:p>
    <w:p w14:paraId="38CB3C85">
      <w:pPr>
        <w:pageBreakBefore w:val="0"/>
        <w:kinsoku/>
        <w:wordWrap/>
        <w:overflowPunct/>
        <w:topLinePunct w:val="0"/>
        <w:bidi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4.1投标文件的密封和标记</w:t>
      </w:r>
    </w:p>
    <w:p w14:paraId="542D68B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Cs w:val="21"/>
          <w:highlight w:val="none"/>
        </w:rPr>
      </w:pPr>
      <w:bookmarkStart w:id="434" w:name="_Toc152042333"/>
      <w:bookmarkStart w:id="435" w:name="_Toc179632575"/>
      <w:bookmarkStart w:id="436" w:name="_Toc144974525"/>
      <w:bookmarkStart w:id="437" w:name="_Toc152045557"/>
      <w:r>
        <w:rPr>
          <w:rFonts w:hint="eastAsia" w:ascii="宋体" w:hAnsi="宋体" w:eastAsia="宋体" w:cs="宋体"/>
          <w:snapToGrid w:val="0"/>
          <w:color w:val="auto"/>
          <w:kern w:val="0"/>
          <w:szCs w:val="21"/>
          <w:highlight w:val="none"/>
        </w:rPr>
        <w:t>4.1.1  投标文件的密封：见投标人须知前附表。</w:t>
      </w:r>
    </w:p>
    <w:p w14:paraId="442C990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4.1.2  投标文件的封套上应写明的内容：见投标人须知前附表。</w:t>
      </w:r>
    </w:p>
    <w:p w14:paraId="74AE362A">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38" w:name="_Toc32511"/>
      <w:bookmarkStart w:id="439" w:name="_Toc16419"/>
      <w:bookmarkStart w:id="440" w:name="_Toc2810"/>
      <w:bookmarkStart w:id="441" w:name="_Toc21719"/>
      <w:bookmarkStart w:id="442" w:name="_Toc59810322"/>
      <w:bookmarkStart w:id="443" w:name="_Toc1302"/>
      <w:r>
        <w:rPr>
          <w:rFonts w:hint="eastAsia" w:ascii="宋体" w:hAnsi="宋体" w:eastAsia="宋体" w:cs="宋体"/>
          <w:color w:val="auto"/>
          <w:sz w:val="24"/>
          <w:szCs w:val="20"/>
          <w:highlight w:val="none"/>
        </w:rPr>
        <w:t>4.2 投标文件的递交</w:t>
      </w:r>
      <w:bookmarkEnd w:id="434"/>
      <w:bookmarkEnd w:id="435"/>
      <w:bookmarkEnd w:id="436"/>
      <w:bookmarkEnd w:id="437"/>
      <w:bookmarkEnd w:id="438"/>
      <w:bookmarkEnd w:id="439"/>
      <w:bookmarkEnd w:id="440"/>
      <w:bookmarkEnd w:id="441"/>
      <w:bookmarkEnd w:id="442"/>
      <w:bookmarkEnd w:id="443"/>
    </w:p>
    <w:p w14:paraId="76E7E45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4.2.1 投标人应在本章第2.2.2项规定的投标截止时间前递交投标文件。</w:t>
      </w:r>
    </w:p>
    <w:p w14:paraId="44282D0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4.2.2 投标人递交投标文件的地点：见投标人须知前附表。</w:t>
      </w:r>
    </w:p>
    <w:p w14:paraId="4E225B0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4.2.3 除投标人须知前附表另有规定外，投标人所递交的投标文件不予退还。</w:t>
      </w:r>
    </w:p>
    <w:p w14:paraId="07C959D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4.2.4逾期送达的或者未送达指定地点的投标文件，招标人不予受理。</w:t>
      </w:r>
    </w:p>
    <w:p w14:paraId="31EE867C">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44" w:name="_Toc19534"/>
      <w:bookmarkStart w:id="445" w:name="_Toc152042334"/>
      <w:bookmarkStart w:id="446" w:name="_Toc12577"/>
      <w:bookmarkStart w:id="447" w:name="_Toc59810323"/>
      <w:bookmarkStart w:id="448" w:name="_Toc11007"/>
      <w:bookmarkStart w:id="449" w:name="_Toc144974526"/>
      <w:bookmarkStart w:id="450" w:name="_Toc152045558"/>
      <w:bookmarkStart w:id="451" w:name="_Toc11968"/>
      <w:bookmarkStart w:id="452" w:name="_Toc179632576"/>
      <w:bookmarkStart w:id="453" w:name="_Toc10065"/>
      <w:r>
        <w:rPr>
          <w:rFonts w:hint="eastAsia" w:ascii="宋体" w:hAnsi="宋体" w:eastAsia="宋体" w:cs="宋体"/>
          <w:color w:val="auto"/>
          <w:sz w:val="24"/>
          <w:szCs w:val="20"/>
          <w:highlight w:val="none"/>
        </w:rPr>
        <w:t>4.3 投标文件的修改与撤回</w:t>
      </w:r>
      <w:bookmarkEnd w:id="444"/>
      <w:bookmarkEnd w:id="445"/>
      <w:bookmarkEnd w:id="446"/>
      <w:bookmarkEnd w:id="447"/>
      <w:bookmarkEnd w:id="448"/>
      <w:bookmarkEnd w:id="449"/>
      <w:bookmarkEnd w:id="450"/>
      <w:bookmarkEnd w:id="451"/>
      <w:bookmarkEnd w:id="452"/>
      <w:bookmarkEnd w:id="453"/>
    </w:p>
    <w:p w14:paraId="6515A5D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4.3.1 在投标人须知前附表第2.2.2项规定的投标截止时间前，投标人可以修改或撤回已递交的投标文件。</w:t>
      </w:r>
    </w:p>
    <w:p w14:paraId="41E8076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4.3.2</w:t>
      </w:r>
      <w:r>
        <w:rPr>
          <w:rFonts w:ascii="宋体" w:hAnsi="宋体"/>
          <w:snapToGrid w:val="0"/>
          <w:color w:val="auto"/>
          <w:kern w:val="0"/>
          <w:szCs w:val="21"/>
          <w:highlight w:val="none"/>
        </w:rPr>
        <w:t>投标人修改或撤回已递交投标文件的书面通知应按照本章第3.7.3项的要求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或盖章。招标人收到书面通知后，向投标人出具签收凭证。</w:t>
      </w:r>
    </w:p>
    <w:p w14:paraId="04D3D52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14:paraId="1F1090B1">
      <w:pPr>
        <w:pStyle w:val="2"/>
        <w:rPr>
          <w:rFonts w:hint="eastAsia"/>
          <w:highlight w:val="none"/>
        </w:rPr>
      </w:pPr>
    </w:p>
    <w:p w14:paraId="29666D94">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454" w:name="_Toc222032654"/>
      <w:bookmarkStart w:id="455" w:name="_Toc19517"/>
      <w:bookmarkStart w:id="456" w:name="_Toc4571"/>
      <w:bookmarkStart w:id="457" w:name="_Toc222029485"/>
      <w:bookmarkStart w:id="458" w:name="_Toc25653"/>
      <w:bookmarkStart w:id="459" w:name="_Toc229305345"/>
      <w:bookmarkStart w:id="460" w:name="_Toc59810324"/>
      <w:bookmarkStart w:id="461" w:name="_Toc144974527"/>
      <w:bookmarkStart w:id="462" w:name="_Toc222030987"/>
      <w:bookmarkStart w:id="463" w:name="_Toc221950189"/>
      <w:bookmarkStart w:id="464" w:name="_Toc168475674"/>
      <w:bookmarkStart w:id="465" w:name="_Toc22352"/>
      <w:bookmarkStart w:id="466" w:name="_Toc168476077"/>
      <w:bookmarkStart w:id="467" w:name="_Toc16057"/>
      <w:bookmarkStart w:id="468" w:name="_Toc229408467"/>
      <w:bookmarkStart w:id="469" w:name="_Toc222033836"/>
      <w:r>
        <w:rPr>
          <w:rFonts w:hint="eastAsia" w:ascii="宋体" w:hAnsi="宋体" w:eastAsia="宋体" w:cs="宋体"/>
          <w:color w:val="auto"/>
          <w:highlight w:val="none"/>
        </w:rPr>
        <w:t>5. 开标</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15B568AB">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70" w:name="_Toc18944"/>
      <w:bookmarkStart w:id="471" w:name="_Toc6946"/>
      <w:bookmarkStart w:id="472" w:name="_Toc5611"/>
      <w:bookmarkStart w:id="473" w:name="_Toc1555"/>
      <w:bookmarkStart w:id="474" w:name="_Toc59810325"/>
      <w:bookmarkStart w:id="475" w:name="_Toc16122"/>
      <w:bookmarkStart w:id="476" w:name="_Toc221950192"/>
      <w:r>
        <w:rPr>
          <w:rFonts w:hint="eastAsia" w:ascii="宋体" w:hAnsi="宋体" w:eastAsia="宋体" w:cs="宋体"/>
          <w:color w:val="auto"/>
          <w:sz w:val="24"/>
          <w:szCs w:val="20"/>
          <w:highlight w:val="none"/>
        </w:rPr>
        <w:t>5.1开标时间和地点</w:t>
      </w:r>
      <w:bookmarkEnd w:id="470"/>
      <w:bookmarkEnd w:id="471"/>
      <w:bookmarkEnd w:id="472"/>
      <w:bookmarkEnd w:id="473"/>
      <w:bookmarkEnd w:id="474"/>
      <w:bookmarkEnd w:id="475"/>
    </w:p>
    <w:bookmarkEnd w:id="476"/>
    <w:p w14:paraId="620C65B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477" w:name="_Toc221950196"/>
      <w:r>
        <w:rPr>
          <w:rFonts w:hint="eastAsia" w:ascii="宋体" w:hAnsi="宋体" w:eastAsia="宋体" w:cs="宋体"/>
          <w:color w:val="auto"/>
          <w:highlight w:val="none"/>
        </w:rPr>
        <w:t>5.1.1  招标人在投标人须知前附表第1.10.3款规定的投标截止时间（开标时间）和投标人须知前附表规定的地点公开开标，并邀请所有投标人的法定代表人或其委托代理人准时参加。</w:t>
      </w:r>
    </w:p>
    <w:p w14:paraId="3E2182DF">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78" w:name="_Toc59810326"/>
      <w:bookmarkStart w:id="479" w:name="_Toc11741"/>
      <w:bookmarkStart w:id="480" w:name="_Toc8535"/>
      <w:bookmarkStart w:id="481" w:name="_Toc9822"/>
      <w:bookmarkStart w:id="482" w:name="_Toc30396"/>
      <w:bookmarkStart w:id="483" w:name="_Toc27089"/>
      <w:r>
        <w:rPr>
          <w:rFonts w:hint="eastAsia" w:ascii="宋体" w:hAnsi="宋体" w:eastAsia="宋体" w:cs="宋体"/>
          <w:color w:val="auto"/>
          <w:sz w:val="24"/>
          <w:szCs w:val="20"/>
          <w:highlight w:val="none"/>
        </w:rPr>
        <w:t>5.2开标程序</w:t>
      </w:r>
      <w:bookmarkEnd w:id="478"/>
      <w:bookmarkEnd w:id="479"/>
      <w:bookmarkEnd w:id="480"/>
      <w:bookmarkEnd w:id="481"/>
      <w:bookmarkEnd w:id="482"/>
      <w:bookmarkEnd w:id="483"/>
    </w:p>
    <w:bookmarkEnd w:id="477"/>
    <w:p w14:paraId="7E4BCA3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484" w:name="_Toc222029486"/>
      <w:bookmarkStart w:id="485" w:name="_Toc229408468"/>
      <w:bookmarkStart w:id="486" w:name="_Toc222033837"/>
      <w:bookmarkStart w:id="487" w:name="_Toc168475677"/>
      <w:bookmarkStart w:id="488" w:name="_Toc221950200"/>
      <w:bookmarkStart w:id="489" w:name="_Toc222030988"/>
      <w:bookmarkStart w:id="490" w:name="_Toc222032655"/>
      <w:bookmarkStart w:id="491" w:name="_Toc168476080"/>
      <w:bookmarkStart w:id="492" w:name="_Toc229305346"/>
      <w:bookmarkStart w:id="493" w:name="_Toc144974530"/>
      <w:r>
        <w:rPr>
          <w:rFonts w:hint="eastAsia" w:ascii="宋体" w:hAnsi="宋体" w:eastAsia="宋体" w:cs="宋体"/>
          <w:color w:val="auto"/>
          <w:highlight w:val="none"/>
        </w:rPr>
        <w:t>详见投标人须知前附表开标程序。</w:t>
      </w:r>
    </w:p>
    <w:p w14:paraId="1A4458F1">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494" w:name="_Toc59810327"/>
      <w:bookmarkStart w:id="495" w:name="_Toc19247"/>
      <w:bookmarkStart w:id="496" w:name="_Toc3194"/>
      <w:bookmarkStart w:id="497" w:name="_Toc2607"/>
      <w:bookmarkStart w:id="498" w:name="_Toc28606"/>
      <w:bookmarkStart w:id="499" w:name="_Toc4850"/>
      <w:bookmarkStart w:id="500" w:name="_Toc47779825"/>
      <w:r>
        <w:rPr>
          <w:rFonts w:hint="eastAsia" w:ascii="宋体" w:hAnsi="宋体" w:eastAsia="宋体" w:cs="宋体"/>
          <w:color w:val="auto"/>
          <w:sz w:val="24"/>
          <w:szCs w:val="20"/>
          <w:highlight w:val="none"/>
        </w:rPr>
        <w:t>5.3 开标异议</w:t>
      </w:r>
      <w:bookmarkEnd w:id="494"/>
      <w:bookmarkEnd w:id="495"/>
      <w:bookmarkEnd w:id="496"/>
      <w:bookmarkEnd w:id="497"/>
      <w:bookmarkEnd w:id="498"/>
      <w:bookmarkEnd w:id="499"/>
      <w:bookmarkEnd w:id="500"/>
    </w:p>
    <w:p w14:paraId="750A85A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olor w:val="auto"/>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hint="eastAsia" w:ascii="宋体" w:hAnsi="宋体" w:eastAsia="宋体" w:cs="宋体"/>
          <w:color w:val="auto"/>
          <w:highlight w:val="none"/>
        </w:rPr>
        <w:t>。</w:t>
      </w:r>
    </w:p>
    <w:p w14:paraId="3C964CDE">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501" w:name="_Toc30844"/>
      <w:bookmarkStart w:id="502" w:name="_Toc59810328"/>
      <w:bookmarkStart w:id="503" w:name="_Toc32036"/>
      <w:bookmarkStart w:id="504" w:name="_Toc15854"/>
      <w:bookmarkStart w:id="505" w:name="_Toc6077"/>
      <w:bookmarkStart w:id="506" w:name="_Toc4942"/>
      <w:r>
        <w:rPr>
          <w:rFonts w:hint="eastAsia" w:ascii="宋体" w:hAnsi="宋体" w:eastAsia="宋体" w:cs="宋体"/>
          <w:color w:val="auto"/>
          <w:highlight w:val="none"/>
        </w:rPr>
        <w:t>6. 评标</w:t>
      </w:r>
      <w:bookmarkEnd w:id="484"/>
      <w:bookmarkEnd w:id="485"/>
      <w:bookmarkEnd w:id="486"/>
      <w:bookmarkEnd w:id="487"/>
      <w:bookmarkEnd w:id="488"/>
      <w:bookmarkEnd w:id="489"/>
      <w:bookmarkEnd w:id="490"/>
      <w:bookmarkEnd w:id="491"/>
      <w:bookmarkEnd w:id="492"/>
      <w:bookmarkEnd w:id="493"/>
      <w:bookmarkEnd w:id="501"/>
      <w:bookmarkEnd w:id="502"/>
      <w:bookmarkEnd w:id="503"/>
      <w:bookmarkEnd w:id="504"/>
      <w:bookmarkEnd w:id="505"/>
      <w:bookmarkEnd w:id="506"/>
    </w:p>
    <w:p w14:paraId="567A239C">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507" w:name="_Toc59810329"/>
      <w:bookmarkStart w:id="508" w:name="_Toc6545"/>
      <w:bookmarkStart w:id="509" w:name="_Toc144974531"/>
      <w:bookmarkStart w:id="510" w:name="_Toc11551"/>
      <w:bookmarkStart w:id="511" w:name="_Toc23758"/>
      <w:bookmarkStart w:id="512" w:name="_Toc4810"/>
      <w:bookmarkStart w:id="513" w:name="_Toc152042339"/>
      <w:bookmarkStart w:id="514" w:name="_Toc179632581"/>
      <w:bookmarkStart w:id="515" w:name="_Toc17958"/>
      <w:bookmarkStart w:id="516" w:name="_Toc152045563"/>
      <w:bookmarkStart w:id="517" w:name="_Toc221950207"/>
      <w:r>
        <w:rPr>
          <w:rFonts w:hint="eastAsia" w:ascii="宋体" w:hAnsi="宋体" w:eastAsia="宋体" w:cs="宋体"/>
          <w:color w:val="auto"/>
          <w:sz w:val="24"/>
          <w:szCs w:val="20"/>
          <w:highlight w:val="none"/>
        </w:rPr>
        <w:t>6.1 评标委员会</w:t>
      </w:r>
      <w:bookmarkEnd w:id="507"/>
      <w:bookmarkEnd w:id="508"/>
      <w:bookmarkEnd w:id="509"/>
      <w:bookmarkEnd w:id="510"/>
      <w:bookmarkEnd w:id="511"/>
      <w:bookmarkEnd w:id="512"/>
      <w:bookmarkEnd w:id="513"/>
      <w:bookmarkEnd w:id="514"/>
      <w:bookmarkEnd w:id="515"/>
      <w:bookmarkEnd w:id="516"/>
    </w:p>
    <w:p w14:paraId="485F4C4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6.1.1 </w:t>
      </w:r>
      <w:r>
        <w:rPr>
          <w:rFonts w:ascii="宋体" w:hAnsi="宋体"/>
          <w:snapToGrid w:val="0"/>
          <w:color w:val="auto"/>
          <w:kern w:val="0"/>
          <w:szCs w:val="21"/>
          <w:highlight w:val="none"/>
        </w:rPr>
        <w:t>评标由招标人依据法律法规和相关规范性文件组建的评标委员会负责</w:t>
      </w:r>
      <w:r>
        <w:rPr>
          <w:rFonts w:hint="eastAsia" w:ascii="宋体" w:hAnsi="宋体" w:eastAsia="宋体" w:cs="宋体"/>
          <w:color w:val="auto"/>
          <w:highlight w:val="none"/>
        </w:rPr>
        <w:t>。</w:t>
      </w:r>
    </w:p>
    <w:p w14:paraId="6B2E395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6.1.2 评标委员会成员有下列情形之一的，应当回避：</w:t>
      </w:r>
    </w:p>
    <w:p w14:paraId="66345E28">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（1）招标人或投标人的主要负责人的近亲属；</w:t>
      </w:r>
    </w:p>
    <w:p w14:paraId="6D4CC77F">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（2）项目主管部门或者项目行政监督部门的人员；</w:t>
      </w:r>
    </w:p>
    <w:p w14:paraId="0FE069BA">
      <w:pPr>
        <w:pageBreakBefore w:val="0"/>
        <w:kinsoku/>
        <w:wordWrap/>
        <w:overflowPunct/>
        <w:topLinePunct w:val="0"/>
        <w:bidi w:val="0"/>
        <w:spacing w:line="360" w:lineRule="auto"/>
        <w:ind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（3）与投标人有经济利益关系，可能影响对投标公正评审的；</w:t>
      </w:r>
    </w:p>
    <w:p w14:paraId="579CDCF4">
      <w:pPr>
        <w:pageBreakBefore w:val="0"/>
        <w:widowControl/>
        <w:kinsoku/>
        <w:wordWrap/>
        <w:overflowPunct/>
        <w:topLinePunct w:val="0"/>
        <w:bidi w:val="0"/>
        <w:spacing w:line="360" w:lineRule="auto"/>
        <w:ind w:firstLine="707" w:firstLineChars="337"/>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（4）曾因在招标、评标以及其他与招标投标有关活动中从事违法行为而受过行政处罚或刑事处罚的。</w:t>
      </w:r>
    </w:p>
    <w:p w14:paraId="3F7CE72F">
      <w:pPr>
        <w:pStyle w:val="2"/>
        <w:pageBreakBefore w:val="0"/>
        <w:kinsoku/>
        <w:wordWrap/>
        <w:overflowPunct/>
        <w:topLinePunct w:val="0"/>
        <w:bidi w:val="0"/>
        <w:spacing w:line="360" w:lineRule="auto"/>
        <w:ind w:firstLine="707" w:firstLineChars="337"/>
        <w:textAlignment w:val="auto"/>
        <w:rPr>
          <w:rFonts w:hint="eastAsia" w:ascii="宋体" w:hAnsi="宋体" w:eastAsia="宋体" w:cs="宋体"/>
          <w:color w:val="auto"/>
          <w:highlight w:val="none"/>
        </w:rPr>
      </w:pPr>
      <w:r>
        <w:rPr>
          <w:rFonts w:hint="eastAsia" w:ascii="宋体" w:hAnsi="宋体" w:eastAsia="宋体" w:cs="宋体"/>
          <w:color w:val="auto"/>
          <w:highlight w:val="none"/>
        </w:rPr>
        <w:t>（5）法律法规规定的其他情形。</w:t>
      </w:r>
    </w:p>
    <w:p w14:paraId="15AC3A07">
      <w:pPr>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6.1.3 评标过程中，评标委员会成员有回避事由、擅离职守或因健康等原因不能继续评标的，应当及时更换。被更换的评标委员会成员作出的评审结论无效，由更换后的评标委员会成员重新进行评审。</w:t>
      </w:r>
    </w:p>
    <w:p w14:paraId="5996D8A1">
      <w:pPr>
        <w:keepNext/>
        <w:keepLines/>
        <w:pageBreakBefore w:val="0"/>
        <w:tabs>
          <w:tab w:val="left" w:pos="2620"/>
        </w:tabs>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518" w:name="_Toc179632582"/>
      <w:bookmarkStart w:id="519" w:name="_Toc27465"/>
      <w:bookmarkStart w:id="520" w:name="_Toc152042340"/>
      <w:bookmarkStart w:id="521" w:name="_Toc152045564"/>
      <w:bookmarkStart w:id="522" w:name="_Toc13342"/>
      <w:bookmarkStart w:id="523" w:name="_Toc144974532"/>
      <w:bookmarkStart w:id="524" w:name="_Toc1905"/>
      <w:bookmarkStart w:id="525" w:name="_Toc13620"/>
      <w:bookmarkStart w:id="526" w:name="_Toc59810330"/>
      <w:bookmarkStart w:id="527" w:name="_Toc28417"/>
      <w:r>
        <w:rPr>
          <w:rFonts w:hint="eastAsia" w:ascii="宋体" w:hAnsi="宋体" w:eastAsia="宋体" w:cs="宋体"/>
          <w:color w:val="auto"/>
          <w:sz w:val="24"/>
          <w:szCs w:val="20"/>
          <w:highlight w:val="none"/>
        </w:rPr>
        <w:t>6.2 评标原则</w:t>
      </w:r>
      <w:bookmarkEnd w:id="518"/>
      <w:bookmarkEnd w:id="519"/>
      <w:bookmarkEnd w:id="520"/>
      <w:bookmarkEnd w:id="521"/>
      <w:bookmarkEnd w:id="522"/>
      <w:bookmarkEnd w:id="523"/>
      <w:bookmarkEnd w:id="524"/>
      <w:bookmarkEnd w:id="525"/>
      <w:bookmarkEnd w:id="526"/>
      <w:bookmarkEnd w:id="527"/>
    </w:p>
    <w:p w14:paraId="09569A5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评标活动遵循公平、公正、科学和择优的原则。</w:t>
      </w:r>
    </w:p>
    <w:p w14:paraId="25DC3055">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528" w:name="_Toc152045565"/>
      <w:bookmarkStart w:id="529" w:name="_Toc1688"/>
      <w:bookmarkStart w:id="530" w:name="_Toc59810331"/>
      <w:bookmarkStart w:id="531" w:name="_Toc144974533"/>
      <w:bookmarkStart w:id="532" w:name="_Toc152042341"/>
      <w:bookmarkStart w:id="533" w:name="_Toc17619"/>
      <w:bookmarkStart w:id="534" w:name="_Toc22491"/>
      <w:bookmarkStart w:id="535" w:name="_Toc22308"/>
      <w:bookmarkStart w:id="536" w:name="_Toc18392"/>
      <w:bookmarkStart w:id="537" w:name="_Toc179632583"/>
      <w:r>
        <w:rPr>
          <w:rFonts w:hint="eastAsia" w:ascii="宋体" w:hAnsi="宋体" w:eastAsia="宋体" w:cs="宋体"/>
          <w:color w:val="auto"/>
          <w:sz w:val="24"/>
          <w:szCs w:val="20"/>
          <w:highlight w:val="none"/>
        </w:rPr>
        <w:t>6.3 评标</w:t>
      </w:r>
      <w:bookmarkEnd w:id="528"/>
      <w:bookmarkEnd w:id="529"/>
      <w:bookmarkEnd w:id="530"/>
      <w:bookmarkEnd w:id="531"/>
      <w:bookmarkEnd w:id="532"/>
      <w:bookmarkEnd w:id="533"/>
      <w:bookmarkEnd w:id="534"/>
      <w:bookmarkEnd w:id="535"/>
      <w:bookmarkEnd w:id="536"/>
      <w:bookmarkEnd w:id="537"/>
    </w:p>
    <w:p w14:paraId="7FF31018">
      <w:pPr>
        <w:pStyle w:val="59"/>
        <w:pageBreakBefore w:val="0"/>
        <w:kinsoku/>
        <w:wordWrap/>
        <w:overflowPunct/>
        <w:topLinePunct w:val="0"/>
        <w:bidi w:val="0"/>
        <w:spacing w:before="0" w:after="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6.3.1 评标委员会按照第三章“评标办法”规定的方法、评审因素、标准和程序对投标文件进行评审。第三章“评标办法”没有规定的方法、评审因素和标准，不得作为评标依据。</w:t>
      </w:r>
      <w:bookmarkEnd w:id="517"/>
    </w:p>
    <w:p w14:paraId="4AA2EA5B">
      <w:pPr>
        <w:pStyle w:val="59"/>
        <w:pageBreakBefore w:val="0"/>
        <w:kinsoku/>
        <w:wordWrap/>
        <w:overflowPunct/>
        <w:topLinePunct w:val="0"/>
        <w:bidi w:val="0"/>
        <w:spacing w:before="0" w:after="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6.3.2 评标完成后，评标委员会应向招标人提交书面评标报告和中标候选人名单。评标委员会推荐中标候选人的人数见投标人须知前附表。</w:t>
      </w:r>
      <w:bookmarkStart w:id="538" w:name="_Toc222029487"/>
      <w:bookmarkStart w:id="539" w:name="_Toc221950208"/>
      <w:bookmarkStart w:id="540" w:name="_Toc229305347"/>
      <w:bookmarkStart w:id="541" w:name="_Toc222033838"/>
      <w:bookmarkStart w:id="542" w:name="_Toc222030989"/>
      <w:bookmarkStart w:id="543" w:name="_Toc144974534"/>
      <w:bookmarkStart w:id="544" w:name="_Toc229408469"/>
      <w:bookmarkStart w:id="545" w:name="_Toc168476084"/>
      <w:bookmarkStart w:id="546" w:name="_Toc168475681"/>
      <w:bookmarkStart w:id="547" w:name="_Toc222032656"/>
    </w:p>
    <w:p w14:paraId="77EE66A9">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548" w:name="_Toc32310"/>
      <w:bookmarkStart w:id="549" w:name="_Toc59810332"/>
      <w:bookmarkStart w:id="550" w:name="_Toc1138"/>
      <w:bookmarkStart w:id="551" w:name="_Toc25116"/>
      <w:bookmarkStart w:id="552" w:name="_Toc21352"/>
      <w:bookmarkStart w:id="553" w:name="_Toc10488"/>
      <w:r>
        <w:rPr>
          <w:rFonts w:hint="eastAsia" w:ascii="宋体" w:hAnsi="宋体" w:eastAsia="宋体" w:cs="宋体"/>
          <w:color w:val="auto"/>
          <w:highlight w:val="none"/>
        </w:rPr>
        <w:t>7. 合同授予</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6F7BF8BF">
      <w:pPr>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0"/>
          <w:highlight w:val="none"/>
        </w:rPr>
      </w:pPr>
      <w:bookmarkStart w:id="554" w:name="_Toc58"/>
      <w:bookmarkStart w:id="555" w:name="_Toc547"/>
      <w:bookmarkStart w:id="556" w:name="_Toc10507"/>
      <w:bookmarkStart w:id="557" w:name="_Toc20774"/>
      <w:bookmarkStart w:id="558" w:name="_Toc47779831"/>
      <w:bookmarkStart w:id="559" w:name="_Toc59810333"/>
      <w:bookmarkStart w:id="560" w:name="_Toc221950211"/>
      <w:r>
        <w:rPr>
          <w:rFonts w:hint="eastAsia" w:ascii="宋体" w:hAnsi="宋体" w:eastAsia="宋体" w:cs="宋体"/>
          <w:color w:val="auto"/>
          <w:sz w:val="24"/>
          <w:szCs w:val="20"/>
          <w:highlight w:val="none"/>
        </w:rPr>
        <w:t>7.1</w:t>
      </w:r>
      <w:bookmarkEnd w:id="554"/>
      <w:bookmarkEnd w:id="555"/>
      <w:bookmarkEnd w:id="556"/>
      <w:bookmarkEnd w:id="557"/>
      <w:bookmarkEnd w:id="558"/>
      <w:bookmarkEnd w:id="559"/>
      <w:bookmarkStart w:id="561" w:name="_Toc11558"/>
      <w:bookmarkStart w:id="562" w:name="_Toc2057"/>
      <w:bookmarkStart w:id="563" w:name="_Toc59810336"/>
      <w:bookmarkStart w:id="564" w:name="_Toc3802"/>
      <w:bookmarkStart w:id="565" w:name="_Toc29520"/>
      <w:r>
        <w:rPr>
          <w:rFonts w:hint="eastAsia" w:ascii="宋体" w:hAnsi="宋体" w:eastAsia="宋体" w:cs="宋体"/>
          <w:color w:val="auto"/>
          <w:sz w:val="24"/>
          <w:szCs w:val="20"/>
          <w:highlight w:val="none"/>
        </w:rPr>
        <w:t>定标方式</w:t>
      </w:r>
      <w:bookmarkEnd w:id="561"/>
      <w:bookmarkEnd w:id="562"/>
      <w:bookmarkEnd w:id="563"/>
      <w:bookmarkEnd w:id="564"/>
      <w:bookmarkEnd w:id="565"/>
    </w:p>
    <w:bookmarkEnd w:id="560"/>
    <w:p w14:paraId="5D98B24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566" w:name="_Toc144974536"/>
      <w:bookmarkStart w:id="567" w:name="_Toc179632586"/>
      <w:bookmarkStart w:id="568" w:name="_Toc152042344"/>
      <w:bookmarkStart w:id="569" w:name="_Toc152045568"/>
      <w:r>
        <w:rPr>
          <w:rFonts w:hint="eastAsia" w:ascii="宋体" w:hAnsi="宋体" w:eastAsia="宋体" w:cs="宋体"/>
          <w:color w:val="auto"/>
          <w:szCs w:val="21"/>
          <w:highlight w:val="none"/>
        </w:rPr>
        <w:t>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cs="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szCs w:val="21"/>
          <w:highlight w:val="none"/>
        </w:rPr>
        <w:t>要求提交履约保证金，或者被查实存在影响中标结果的违法行为等情形，不符合中标条件的，招标人可以按照评标委员会提出的中标候选人名单排序依次确定其他中标候选人为中标人，也可以重新招标。</w:t>
      </w:r>
    </w:p>
    <w:p w14:paraId="77E798A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评标委员会推荐中标候选人的人数：见投标人须知前附表。</w:t>
      </w:r>
    </w:p>
    <w:p w14:paraId="0539F9F6">
      <w:pPr>
        <w:pStyle w:val="5"/>
        <w:snapToGrid w:val="0"/>
        <w:spacing w:before="0" w:after="0" w:line="360" w:lineRule="auto"/>
        <w:rPr>
          <w:rFonts w:ascii="宋体" w:hAnsi="宋体"/>
          <w:b w:val="0"/>
          <w:snapToGrid w:val="0"/>
          <w:color w:val="auto"/>
          <w:sz w:val="24"/>
          <w:szCs w:val="24"/>
          <w:highlight w:val="none"/>
        </w:rPr>
      </w:pPr>
      <w:bookmarkStart w:id="570" w:name="_Toc30552"/>
      <w:bookmarkStart w:id="571" w:name="_Toc20784"/>
      <w:bookmarkStart w:id="572" w:name="_Toc19290"/>
      <w:bookmarkStart w:id="573" w:name="_Toc17028"/>
      <w:bookmarkStart w:id="574" w:name="_Toc59810337"/>
      <w:bookmarkStart w:id="575" w:name="_Toc12636"/>
      <w:r>
        <w:rPr>
          <w:rFonts w:hint="eastAsia" w:ascii="宋体" w:hAnsi="宋体" w:eastAsia="宋体" w:cs="宋体"/>
          <w:color w:val="auto"/>
          <w:sz w:val="24"/>
          <w:szCs w:val="20"/>
          <w:highlight w:val="none"/>
        </w:rPr>
        <w:t>7.</w:t>
      </w:r>
      <w:bookmarkEnd w:id="566"/>
      <w:bookmarkEnd w:id="567"/>
      <w:bookmarkEnd w:id="568"/>
      <w:bookmarkEnd w:id="569"/>
      <w:bookmarkEnd w:id="570"/>
      <w:bookmarkEnd w:id="571"/>
      <w:bookmarkEnd w:id="572"/>
      <w:bookmarkEnd w:id="573"/>
      <w:bookmarkEnd w:id="574"/>
      <w:r>
        <w:rPr>
          <w:rFonts w:hint="eastAsia" w:ascii="宋体" w:hAnsi="宋体" w:cs="宋体"/>
          <w:color w:val="auto"/>
          <w:sz w:val="24"/>
          <w:szCs w:val="20"/>
          <w:highlight w:val="none"/>
          <w:lang w:val="en-US" w:eastAsia="zh-CN"/>
        </w:rPr>
        <w:t>2</w:t>
      </w:r>
      <w:r>
        <w:rPr>
          <w:rFonts w:ascii="宋体" w:hAnsi="宋体"/>
          <w:b w:val="0"/>
          <w:snapToGrid w:val="0"/>
          <w:color w:val="auto"/>
          <w:sz w:val="24"/>
          <w:szCs w:val="24"/>
          <w:highlight w:val="none"/>
        </w:rPr>
        <w:t>中标公示及中标通知</w:t>
      </w:r>
      <w:bookmarkEnd w:id="575"/>
    </w:p>
    <w:p w14:paraId="044C3FE2">
      <w:pPr>
        <w:autoSpaceDE w:val="0"/>
        <w:autoSpaceDN w:val="0"/>
        <w:adjustRightInd w:val="0"/>
        <w:snapToGrid w:val="0"/>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招标人在收到评标报告之日起3日内公示中标候选人，公示期不得少于3日</w:t>
      </w:r>
      <w:r>
        <w:rPr>
          <w:rFonts w:hint="eastAsia" w:ascii="宋体" w:hAnsi="宋体"/>
          <w:color w:val="auto"/>
          <w:szCs w:val="21"/>
          <w:highlight w:val="none"/>
        </w:rPr>
        <w:t>。</w:t>
      </w:r>
    </w:p>
    <w:p w14:paraId="2E323C45">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ascii="宋体" w:hAnsi="宋体"/>
          <w:snapToGrid w:val="0"/>
          <w:color w:val="auto"/>
          <w:kern w:val="0"/>
          <w:szCs w:val="21"/>
          <w:highlight w:val="none"/>
        </w:rPr>
        <w:t>在本章第 3.3 款规定的投标有效期内，且未有投标人的异议与投诉，招标人以书面形式向中标人发出中标通知书。</w:t>
      </w:r>
    </w:p>
    <w:p w14:paraId="6FF001C3">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576" w:name="_Toc152045569"/>
      <w:bookmarkStart w:id="577" w:name="_Toc11773"/>
      <w:bookmarkStart w:id="578" w:name="_Toc179632587"/>
      <w:bookmarkStart w:id="579" w:name="_Toc32123"/>
      <w:bookmarkStart w:id="580" w:name="_Toc144974537"/>
      <w:bookmarkStart w:id="581" w:name="_Toc152042345"/>
      <w:bookmarkStart w:id="582" w:name="_Toc59810338"/>
      <w:bookmarkStart w:id="583" w:name="_Toc6060"/>
      <w:bookmarkStart w:id="584" w:name="_Toc23136"/>
      <w:bookmarkStart w:id="585" w:name="_Toc28445"/>
      <w:r>
        <w:rPr>
          <w:rFonts w:hint="eastAsia" w:ascii="宋体" w:hAnsi="宋体" w:eastAsia="宋体" w:cs="宋体"/>
          <w:color w:val="auto"/>
          <w:sz w:val="24"/>
          <w:szCs w:val="20"/>
          <w:highlight w:val="none"/>
        </w:rPr>
        <w:t>7.</w:t>
      </w:r>
      <w:r>
        <w:rPr>
          <w:rFonts w:hint="eastAsia" w:ascii="宋体" w:hAnsi="宋体" w:cs="宋体"/>
          <w:color w:val="auto"/>
          <w:sz w:val="24"/>
          <w:szCs w:val="20"/>
          <w:highlight w:val="none"/>
          <w:lang w:val="en-US" w:eastAsia="zh-CN"/>
        </w:rPr>
        <w:t>3</w:t>
      </w:r>
      <w:r>
        <w:rPr>
          <w:rFonts w:hint="eastAsia" w:ascii="宋体" w:hAnsi="宋体" w:eastAsia="宋体" w:cs="宋体"/>
          <w:color w:val="auto"/>
          <w:sz w:val="24"/>
          <w:szCs w:val="20"/>
          <w:highlight w:val="none"/>
        </w:rPr>
        <w:t xml:space="preserve"> 履约担保</w:t>
      </w:r>
      <w:bookmarkEnd w:id="576"/>
      <w:bookmarkEnd w:id="577"/>
      <w:bookmarkEnd w:id="578"/>
      <w:bookmarkEnd w:id="579"/>
      <w:bookmarkEnd w:id="580"/>
      <w:bookmarkEnd w:id="581"/>
      <w:bookmarkEnd w:id="582"/>
      <w:bookmarkEnd w:id="583"/>
      <w:bookmarkEnd w:id="584"/>
      <w:bookmarkEnd w:id="585"/>
    </w:p>
    <w:p w14:paraId="557C52E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cs="宋体"/>
          <w:color w:val="auto"/>
          <w:highlight w:val="none"/>
          <w:lang w:val="en-US" w:eastAsia="zh-CN"/>
        </w:rPr>
        <w:t>3</w:t>
      </w:r>
      <w:r>
        <w:rPr>
          <w:rFonts w:hint="eastAsia" w:ascii="宋体" w:hAnsi="宋体" w:eastAsia="宋体" w:cs="宋体"/>
          <w:color w:val="auto"/>
          <w:highlight w:val="none"/>
        </w:rPr>
        <w:t>.1在签订合同前，中标人应按投标人须知前附表规定的金额、担保形式和</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第四章“合同条款及格式”规定的履约担保格式向招标人提交履约担保。</w:t>
      </w:r>
    </w:p>
    <w:p w14:paraId="5CA0523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cs="宋体"/>
          <w:color w:val="auto"/>
          <w:highlight w:val="none"/>
          <w:lang w:val="en-US" w:eastAsia="zh-CN"/>
        </w:rPr>
        <w:t>3</w:t>
      </w:r>
      <w:r>
        <w:rPr>
          <w:rFonts w:hint="eastAsia" w:ascii="宋体" w:hAnsi="宋体" w:eastAsia="宋体" w:cs="宋体"/>
          <w:color w:val="auto"/>
          <w:highlight w:val="none"/>
        </w:rPr>
        <w:t>.2 中标人不能按本章第7.3.1项要求提交履约担保的，视为放弃中标，</w:t>
      </w:r>
      <w:r>
        <w:rPr>
          <w:rFonts w:hint="eastAsia" w:ascii="宋体" w:hAnsi="宋体" w:eastAsia="宋体" w:cs="宋体"/>
          <w:snapToGrid w:val="0"/>
          <w:kern w:val="0"/>
          <w:szCs w:val="21"/>
          <w:highlight w:val="none"/>
        </w:rPr>
        <w:t>其投标保证金</w:t>
      </w:r>
      <w:r>
        <w:rPr>
          <w:rFonts w:hint="eastAsia" w:ascii="宋体" w:hAnsi="宋体" w:eastAsia="宋体" w:cs="宋体"/>
          <w:color w:val="auto"/>
          <w:highlight w:val="none"/>
        </w:rPr>
        <w:t>以现金形式交纳的</w:t>
      </w:r>
      <w:r>
        <w:rPr>
          <w:rFonts w:hint="eastAsia" w:ascii="宋体" w:hAnsi="宋体" w:eastAsia="宋体" w:cs="宋体"/>
          <w:snapToGrid w:val="0"/>
          <w:kern w:val="0"/>
          <w:szCs w:val="21"/>
          <w:highlight w:val="none"/>
        </w:rPr>
        <w:t>不予退还</w:t>
      </w:r>
      <w:r>
        <w:rPr>
          <w:rFonts w:hint="eastAsia" w:ascii="宋体" w:hAnsi="宋体" w:cs="宋体"/>
          <w:color w:val="auto"/>
          <w:highlight w:val="none"/>
          <w:lang w:eastAsia="zh-CN"/>
        </w:rPr>
        <w:t>。</w:t>
      </w:r>
      <w:r>
        <w:rPr>
          <w:rFonts w:hint="eastAsia" w:ascii="宋体" w:hAnsi="宋体" w:eastAsia="宋体" w:cs="宋体"/>
          <w:color w:val="auto"/>
          <w:highlight w:val="none"/>
        </w:rPr>
        <w:t>给招标人造成的损失超过投标保证金数额的，中标人还应当对超过部分予以赔偿。</w:t>
      </w:r>
    </w:p>
    <w:p w14:paraId="0B6D1378">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586" w:name="_Toc2649"/>
      <w:bookmarkStart w:id="587" w:name="_Toc32420"/>
      <w:bookmarkStart w:id="588" w:name="_Toc28050"/>
      <w:bookmarkStart w:id="589" w:name="_Toc23524"/>
      <w:bookmarkStart w:id="590" w:name="_Toc7082"/>
      <w:bookmarkStart w:id="591" w:name="_Toc59810339"/>
      <w:r>
        <w:rPr>
          <w:rFonts w:hint="eastAsia" w:ascii="宋体" w:hAnsi="宋体" w:eastAsia="宋体" w:cs="宋体"/>
          <w:color w:val="auto"/>
          <w:sz w:val="24"/>
          <w:szCs w:val="20"/>
          <w:highlight w:val="none"/>
        </w:rPr>
        <w:t>7.</w:t>
      </w:r>
      <w:r>
        <w:rPr>
          <w:rFonts w:hint="eastAsia" w:ascii="宋体" w:hAnsi="宋体" w:cs="宋体"/>
          <w:color w:val="auto"/>
          <w:sz w:val="24"/>
          <w:szCs w:val="20"/>
          <w:highlight w:val="none"/>
          <w:lang w:val="en-US" w:eastAsia="zh-CN"/>
        </w:rPr>
        <w:t>4</w:t>
      </w:r>
      <w:r>
        <w:rPr>
          <w:rFonts w:hint="eastAsia" w:ascii="宋体" w:hAnsi="宋体" w:eastAsia="宋体" w:cs="宋体"/>
          <w:color w:val="auto"/>
          <w:sz w:val="24"/>
          <w:szCs w:val="20"/>
          <w:highlight w:val="none"/>
        </w:rPr>
        <w:t>签订合同</w:t>
      </w:r>
      <w:bookmarkEnd w:id="586"/>
      <w:bookmarkEnd w:id="587"/>
      <w:bookmarkEnd w:id="588"/>
      <w:bookmarkEnd w:id="589"/>
      <w:bookmarkEnd w:id="590"/>
      <w:bookmarkEnd w:id="591"/>
    </w:p>
    <w:p w14:paraId="273AB0E5">
      <w:pPr>
        <w:pageBreakBefore w:val="0"/>
        <w:kinsoku/>
        <w:wordWrap/>
        <w:overflowPunct/>
        <w:topLinePunct w:val="0"/>
        <w:bidi w:val="0"/>
        <w:spacing w:line="360" w:lineRule="auto"/>
        <w:ind w:firstLine="525" w:firstLineChars="250"/>
        <w:textAlignment w:val="auto"/>
        <w:rPr>
          <w:rFonts w:hint="eastAsia" w:ascii="宋体" w:hAnsi="宋体" w:eastAsia="宋体" w:cs="宋体"/>
          <w:color w:val="auto"/>
          <w:highlight w:val="none"/>
        </w:rPr>
      </w:pPr>
      <w:bookmarkStart w:id="592" w:name="_Toc221950219"/>
      <w:r>
        <w:rPr>
          <w:rFonts w:hint="eastAsia" w:ascii="宋体" w:hAnsi="宋体" w:eastAsia="宋体" w:cs="宋体"/>
          <w:color w:val="auto"/>
          <w:highlight w:val="none"/>
        </w:rPr>
        <w:t>7.</w:t>
      </w:r>
      <w:r>
        <w:rPr>
          <w:rFonts w:hint="eastAsia" w:ascii="宋体" w:hAnsi="宋体" w:cs="宋体"/>
          <w:color w:val="auto"/>
          <w:highlight w:val="none"/>
          <w:lang w:val="en-US" w:eastAsia="zh-CN"/>
        </w:rPr>
        <w:t>4</w:t>
      </w:r>
      <w:r>
        <w:rPr>
          <w:rFonts w:hint="eastAsia" w:ascii="宋体" w:hAnsi="宋体" w:eastAsia="宋体" w:cs="宋体"/>
          <w:color w:val="auto"/>
          <w:highlight w:val="none"/>
        </w:rPr>
        <w:t>.1招标人和中标人应当自中标通知书发出之日起30天内，根据</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和中标人的投标文件订立书面合同。中标人无正当理由拒签合同的，招标人取消其中标资格，</w:t>
      </w:r>
      <w:r>
        <w:rPr>
          <w:rFonts w:hint="eastAsia" w:ascii="宋体" w:hAnsi="宋体" w:eastAsia="宋体" w:cs="宋体"/>
          <w:snapToGrid w:val="0"/>
          <w:kern w:val="0"/>
          <w:szCs w:val="21"/>
          <w:highlight w:val="none"/>
        </w:rPr>
        <w:t>其投标保证金以现金形式</w:t>
      </w:r>
      <w:r>
        <w:rPr>
          <w:rFonts w:hint="eastAsia" w:ascii="宋体" w:hAnsi="宋体" w:eastAsia="宋体" w:cs="宋体"/>
          <w:snapToGrid w:val="0"/>
          <w:kern w:val="0"/>
          <w:szCs w:val="21"/>
          <w:highlight w:val="none"/>
          <w:lang w:eastAsia="zh-CN"/>
        </w:rPr>
        <w:t>交纳</w:t>
      </w:r>
      <w:r>
        <w:rPr>
          <w:rFonts w:hint="eastAsia" w:ascii="宋体" w:hAnsi="宋体" w:eastAsia="宋体" w:cs="宋体"/>
          <w:snapToGrid w:val="0"/>
          <w:kern w:val="0"/>
          <w:szCs w:val="21"/>
          <w:highlight w:val="none"/>
        </w:rPr>
        <w:t>的不予退还，以保函形式</w:t>
      </w:r>
      <w:r>
        <w:rPr>
          <w:rFonts w:hint="eastAsia" w:ascii="宋体" w:hAnsi="宋体" w:eastAsia="宋体" w:cs="宋体"/>
          <w:snapToGrid w:val="0"/>
          <w:kern w:val="0"/>
          <w:szCs w:val="21"/>
          <w:highlight w:val="none"/>
          <w:lang w:eastAsia="zh-CN"/>
        </w:rPr>
        <w:t>交纳</w:t>
      </w:r>
      <w:r>
        <w:rPr>
          <w:rFonts w:hint="eastAsia" w:ascii="宋体" w:hAnsi="宋体" w:eastAsia="宋体" w:cs="宋体"/>
          <w:snapToGrid w:val="0"/>
          <w:kern w:val="0"/>
          <w:szCs w:val="21"/>
          <w:highlight w:val="none"/>
        </w:rPr>
        <w:t>的由保函开立人支付保函担保的与投标保证金等额的款项</w:t>
      </w:r>
      <w:r>
        <w:rPr>
          <w:rFonts w:hint="eastAsia" w:ascii="宋体" w:hAnsi="宋体" w:eastAsia="宋体" w:cs="宋体"/>
          <w:color w:val="auto"/>
          <w:highlight w:val="none"/>
        </w:rPr>
        <w:t>；给招标人造成的损失超过投标保证金数额的，中标人还应当对超过部分予以赔偿。</w:t>
      </w:r>
    </w:p>
    <w:p w14:paraId="011AB085">
      <w:pPr>
        <w:pageBreakBefore w:val="0"/>
        <w:kinsoku/>
        <w:wordWrap/>
        <w:overflowPunct/>
        <w:topLinePunct w:val="0"/>
        <w:bidi w:val="0"/>
        <w:spacing w:line="360" w:lineRule="auto"/>
        <w:ind w:firstLine="525"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cs="宋体"/>
          <w:color w:val="auto"/>
          <w:highlight w:val="none"/>
          <w:lang w:val="en-US" w:eastAsia="zh-CN"/>
        </w:rPr>
        <w:t>4</w:t>
      </w:r>
      <w:r>
        <w:rPr>
          <w:rFonts w:hint="eastAsia" w:ascii="宋体" w:hAnsi="宋体" w:eastAsia="宋体" w:cs="宋体"/>
          <w:color w:val="auto"/>
          <w:highlight w:val="none"/>
        </w:rPr>
        <w:t>.2 发出中标通知书后，招标人无正当理由拒签合同的，招标人向中标人退还投标保证金</w:t>
      </w:r>
      <w:bookmarkEnd w:id="592"/>
      <w:r>
        <w:rPr>
          <w:rFonts w:hint="eastAsia" w:ascii="宋体" w:hAnsi="宋体" w:eastAsia="宋体" w:cs="宋体"/>
          <w:color w:val="auto"/>
          <w:highlight w:val="none"/>
        </w:rPr>
        <w:t xml:space="preserve">；给中标人造成损失的，还应当赔偿损失。 </w:t>
      </w:r>
    </w:p>
    <w:p w14:paraId="342BA6BA">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593" w:name="_Toc222030990"/>
      <w:bookmarkStart w:id="594" w:name="_Toc222033839"/>
      <w:bookmarkStart w:id="595" w:name="_Toc9275"/>
      <w:bookmarkStart w:id="596" w:name="_Toc229305348"/>
      <w:bookmarkStart w:id="597" w:name="_Toc144974539"/>
      <w:bookmarkStart w:id="598" w:name="_Toc59810340"/>
      <w:bookmarkStart w:id="599" w:name="_Toc168475686"/>
      <w:bookmarkStart w:id="600" w:name="_Toc20893"/>
      <w:bookmarkStart w:id="601" w:name="_Toc222032657"/>
      <w:bookmarkStart w:id="602" w:name="_Toc221950220"/>
      <w:bookmarkStart w:id="603" w:name="_Toc222029488"/>
      <w:bookmarkStart w:id="604" w:name="_Toc168476089"/>
      <w:bookmarkStart w:id="605" w:name="_Toc8002"/>
      <w:bookmarkStart w:id="606" w:name="_Toc229408470"/>
      <w:bookmarkStart w:id="607" w:name="_Toc22802"/>
      <w:bookmarkStart w:id="608" w:name="_Toc7905"/>
      <w:r>
        <w:rPr>
          <w:rFonts w:hint="eastAsia" w:ascii="宋体" w:hAnsi="宋体" w:eastAsia="宋体" w:cs="宋体"/>
          <w:color w:val="auto"/>
          <w:highlight w:val="none"/>
        </w:rPr>
        <w:t>8. 重新招标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Pr>
          <w:rFonts w:hint="eastAsia" w:ascii="宋体" w:hAnsi="宋体" w:eastAsia="宋体" w:cs="宋体"/>
          <w:color w:val="auto"/>
          <w:highlight w:val="none"/>
        </w:rPr>
        <w:t>和不再招标</w:t>
      </w:r>
      <w:bookmarkEnd w:id="608"/>
    </w:p>
    <w:p w14:paraId="5B7DD2E1">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09" w:name="_Toc144974540"/>
      <w:bookmarkStart w:id="610" w:name="_Toc152045572"/>
      <w:bookmarkStart w:id="611" w:name="_Toc152042348"/>
      <w:bookmarkStart w:id="612" w:name="_Toc59810341"/>
      <w:bookmarkStart w:id="613" w:name="_Toc179632590"/>
      <w:bookmarkStart w:id="614" w:name="_Toc2999"/>
      <w:bookmarkStart w:id="615" w:name="_Toc2371"/>
      <w:bookmarkStart w:id="616" w:name="_Toc24585"/>
      <w:bookmarkStart w:id="617" w:name="_Toc19680"/>
      <w:bookmarkStart w:id="618" w:name="_Toc29000"/>
      <w:bookmarkStart w:id="619" w:name="_Toc221950225"/>
      <w:r>
        <w:rPr>
          <w:rFonts w:hint="eastAsia" w:ascii="宋体" w:hAnsi="宋体" w:eastAsia="宋体" w:cs="宋体"/>
          <w:color w:val="auto"/>
          <w:sz w:val="24"/>
          <w:szCs w:val="20"/>
          <w:highlight w:val="none"/>
        </w:rPr>
        <w:t>8.1 重新招标</w:t>
      </w:r>
      <w:bookmarkEnd w:id="609"/>
      <w:bookmarkEnd w:id="610"/>
      <w:bookmarkEnd w:id="611"/>
      <w:bookmarkEnd w:id="612"/>
      <w:bookmarkEnd w:id="613"/>
      <w:r>
        <w:rPr>
          <w:rFonts w:hint="eastAsia" w:ascii="宋体" w:hAnsi="宋体" w:eastAsia="宋体" w:cs="宋体"/>
          <w:color w:val="auto"/>
          <w:sz w:val="24"/>
          <w:szCs w:val="20"/>
          <w:highlight w:val="none"/>
        </w:rPr>
        <w:t>的情形</w:t>
      </w:r>
      <w:bookmarkEnd w:id="614"/>
      <w:bookmarkEnd w:id="615"/>
      <w:bookmarkEnd w:id="616"/>
      <w:bookmarkEnd w:id="617"/>
      <w:bookmarkEnd w:id="618"/>
    </w:p>
    <w:p w14:paraId="0A90E3C0">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r>
        <w:rPr>
          <w:rFonts w:hint="eastAsia" w:ascii="宋体" w:hAnsi="宋体"/>
          <w:snapToGrid w:val="0"/>
          <w:kern w:val="0"/>
          <w:szCs w:val="21"/>
          <w:highlight w:val="none"/>
        </w:rPr>
        <w:t>重新招标的情形：</w:t>
      </w:r>
      <w:r>
        <w:rPr>
          <w:rFonts w:ascii="宋体" w:hAnsi="宋体"/>
          <w:snapToGrid w:val="0"/>
          <w:kern w:val="0"/>
          <w:szCs w:val="21"/>
          <w:highlight w:val="none"/>
        </w:rPr>
        <w:t>见投标人须知前附表</w:t>
      </w:r>
      <w:r>
        <w:rPr>
          <w:rFonts w:hint="eastAsia" w:ascii="宋体" w:hAnsi="宋体"/>
          <w:snapToGrid w:val="0"/>
          <w:kern w:val="0"/>
          <w:szCs w:val="21"/>
          <w:highlight w:val="none"/>
        </w:rPr>
        <w:t>。</w:t>
      </w:r>
    </w:p>
    <w:p w14:paraId="3D4EFF38">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20" w:name="_Toc179632591"/>
      <w:bookmarkStart w:id="621" w:name="_Toc59810342"/>
      <w:bookmarkStart w:id="622" w:name="_Toc1251"/>
      <w:bookmarkStart w:id="623" w:name="_Toc18964"/>
      <w:bookmarkStart w:id="624" w:name="_Toc18686"/>
      <w:bookmarkStart w:id="625" w:name="_Toc152042349"/>
      <w:bookmarkStart w:id="626" w:name="_Toc210"/>
      <w:bookmarkStart w:id="627" w:name="_Toc152045573"/>
      <w:bookmarkStart w:id="628" w:name="_Toc4153"/>
      <w:bookmarkStart w:id="629" w:name="_Toc144974541"/>
      <w:r>
        <w:rPr>
          <w:rFonts w:hint="eastAsia" w:ascii="宋体" w:hAnsi="宋体" w:eastAsia="宋体" w:cs="宋体"/>
          <w:color w:val="auto"/>
          <w:sz w:val="24"/>
          <w:szCs w:val="20"/>
          <w:highlight w:val="none"/>
        </w:rPr>
        <w:t>8.2 重新招标和不再招标</w:t>
      </w:r>
      <w:bookmarkEnd w:id="620"/>
      <w:bookmarkEnd w:id="621"/>
      <w:bookmarkEnd w:id="622"/>
      <w:bookmarkEnd w:id="623"/>
      <w:bookmarkEnd w:id="624"/>
      <w:bookmarkEnd w:id="625"/>
      <w:bookmarkEnd w:id="626"/>
      <w:bookmarkEnd w:id="627"/>
      <w:bookmarkEnd w:id="628"/>
      <w:bookmarkEnd w:id="629"/>
    </w:p>
    <w:bookmarkEnd w:id="619"/>
    <w:p w14:paraId="10E57764">
      <w:pPr>
        <w:pageBreakBefore w:val="0"/>
        <w:kinsoku/>
        <w:wordWrap/>
        <w:overflowPunct/>
        <w:topLinePunct w:val="0"/>
        <w:bidi w:val="0"/>
        <w:spacing w:line="360" w:lineRule="auto"/>
        <w:ind w:firstLine="359" w:firstLineChars="171"/>
        <w:textAlignment w:val="auto"/>
        <w:rPr>
          <w:rFonts w:hint="eastAsia" w:ascii="宋体" w:hAnsi="宋体" w:eastAsia="宋体" w:cs="宋体"/>
          <w:color w:val="auto"/>
          <w:highlight w:val="none"/>
        </w:rPr>
      </w:pPr>
      <w:bookmarkStart w:id="630" w:name="_Toc168475689"/>
      <w:bookmarkStart w:id="631" w:name="_Toc222032658"/>
      <w:bookmarkStart w:id="632" w:name="_Toc222030991"/>
      <w:bookmarkStart w:id="633" w:name="_Toc222033840"/>
      <w:bookmarkStart w:id="634" w:name="_Toc229305349"/>
      <w:bookmarkStart w:id="635" w:name="_Toc229408471"/>
      <w:bookmarkStart w:id="636" w:name="_Toc168476092"/>
      <w:bookmarkStart w:id="637" w:name="_Toc222029489"/>
      <w:bookmarkStart w:id="638" w:name="_Toc144974542"/>
      <w:bookmarkStart w:id="639" w:name="_Toc221950226"/>
      <w:r>
        <w:rPr>
          <w:rFonts w:hint="eastAsia" w:ascii="宋体" w:hAnsi="宋体" w:eastAsia="宋体" w:cs="宋体"/>
          <w:snapToGrid w:val="0"/>
          <w:color w:val="auto"/>
          <w:kern w:val="0"/>
          <w:szCs w:val="21"/>
          <w:highlight w:val="none"/>
          <w:lang w:val="en"/>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p>
    <w:p w14:paraId="2645C245">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640" w:name="_Toc20671"/>
      <w:bookmarkStart w:id="641" w:name="_Toc22097"/>
      <w:bookmarkStart w:id="642" w:name="_Toc26739"/>
      <w:bookmarkStart w:id="643" w:name="_Toc3187"/>
      <w:bookmarkStart w:id="644" w:name="_Toc27811"/>
      <w:bookmarkStart w:id="645" w:name="_Toc59810343"/>
      <w:r>
        <w:rPr>
          <w:rFonts w:hint="eastAsia" w:ascii="宋体" w:hAnsi="宋体" w:eastAsia="宋体" w:cs="宋体"/>
          <w:color w:val="auto"/>
          <w:highlight w:val="none"/>
        </w:rPr>
        <w:t>9. 纪律和监督</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3BD8DEE">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46" w:name="_Toc22187"/>
      <w:bookmarkStart w:id="647" w:name="_Toc59810344"/>
      <w:bookmarkStart w:id="648" w:name="_Toc144974543"/>
      <w:bookmarkStart w:id="649" w:name="_Toc11034"/>
      <w:bookmarkStart w:id="650" w:name="_Toc179632593"/>
      <w:bookmarkStart w:id="651" w:name="_Toc9863"/>
      <w:bookmarkStart w:id="652" w:name="_Toc2656"/>
      <w:bookmarkStart w:id="653" w:name="_Toc152042351"/>
      <w:bookmarkStart w:id="654" w:name="_Toc18123"/>
      <w:bookmarkStart w:id="655" w:name="_Toc152045575"/>
      <w:r>
        <w:rPr>
          <w:rFonts w:hint="eastAsia" w:ascii="宋体" w:hAnsi="宋体" w:eastAsia="宋体" w:cs="宋体"/>
          <w:color w:val="auto"/>
          <w:sz w:val="24"/>
          <w:szCs w:val="20"/>
          <w:highlight w:val="none"/>
        </w:rPr>
        <w:t>9.1 对招标人的纪律要求</w:t>
      </w:r>
      <w:bookmarkEnd w:id="646"/>
      <w:bookmarkEnd w:id="647"/>
      <w:bookmarkEnd w:id="648"/>
      <w:bookmarkEnd w:id="649"/>
      <w:bookmarkEnd w:id="650"/>
      <w:bookmarkEnd w:id="651"/>
      <w:bookmarkEnd w:id="652"/>
      <w:bookmarkEnd w:id="653"/>
      <w:bookmarkEnd w:id="654"/>
      <w:bookmarkEnd w:id="655"/>
    </w:p>
    <w:p w14:paraId="71BD615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招标人不得泄漏招标投标活动中应当保密的情况和资料，不得与投标人串通损害国家利益、社会公共利益或者他人合法权益，禁止招标人与投标人串通投标。</w:t>
      </w:r>
    </w:p>
    <w:p w14:paraId="59DE3C6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有下列情形之一的，属于招标人与投标人串通投标：</w:t>
      </w:r>
    </w:p>
    <w:p w14:paraId="51AC3D31">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（1）招标人在开标前开启投标文件并将有关信息泄露给其他投标人；</w:t>
      </w:r>
    </w:p>
    <w:p w14:paraId="1112779C">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（2）招标人直接或者间接向投标人泄露标底、评标委员会成员等信息；</w:t>
      </w:r>
    </w:p>
    <w:p w14:paraId="2895852F">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（3）招标人明示或者暗示投标人压低或者抬高投标报价；</w:t>
      </w:r>
    </w:p>
    <w:p w14:paraId="35F77639">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（4）招标人授意投标人撤换、修改投标文件；</w:t>
      </w:r>
    </w:p>
    <w:p w14:paraId="483ECD8F">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（5）招标人明示或者暗示投标人为特定投标人中标提供方便；</w:t>
      </w:r>
    </w:p>
    <w:p w14:paraId="33433920">
      <w:pPr>
        <w:pageBreakBefore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highlight w:val="none"/>
        </w:rPr>
        <w:t>（6）招标人与投标人为谋求特定投标人中标而采取的其他串通行为。</w:t>
      </w:r>
    </w:p>
    <w:p w14:paraId="016C77A5">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56" w:name="_Toc17310"/>
      <w:bookmarkStart w:id="657" w:name="_Toc21665"/>
      <w:bookmarkStart w:id="658" w:name="_Toc17980"/>
      <w:bookmarkStart w:id="659" w:name="_Toc4542"/>
      <w:bookmarkStart w:id="660" w:name="_Toc20190"/>
      <w:bookmarkStart w:id="661" w:name="_Toc59810345"/>
      <w:r>
        <w:rPr>
          <w:rFonts w:hint="eastAsia" w:ascii="宋体" w:hAnsi="宋体" w:eastAsia="宋体" w:cs="宋体"/>
          <w:color w:val="auto"/>
          <w:sz w:val="24"/>
          <w:szCs w:val="20"/>
          <w:highlight w:val="none"/>
        </w:rPr>
        <w:t>9.2 对投标人的纪律要求</w:t>
      </w:r>
      <w:bookmarkEnd w:id="656"/>
      <w:bookmarkEnd w:id="657"/>
      <w:bookmarkEnd w:id="658"/>
      <w:bookmarkEnd w:id="659"/>
      <w:bookmarkEnd w:id="660"/>
      <w:bookmarkEnd w:id="661"/>
    </w:p>
    <w:p w14:paraId="44CD6E5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A1045F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有下列情形之一的，属于投标人相互串通投标：</w:t>
      </w:r>
    </w:p>
    <w:p w14:paraId="69469C9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（1）投标人之间协商投标报价等投标文件的实质性内容；</w:t>
      </w:r>
    </w:p>
    <w:p w14:paraId="4EE5C8B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（2）投标人之间约定中标人；</w:t>
      </w:r>
    </w:p>
    <w:p w14:paraId="4BDAC61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（3）投标人之间约定部分投标人放弃投标或者中标；</w:t>
      </w:r>
    </w:p>
    <w:p w14:paraId="2DC696F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（4）属于同一集团、协会、商会等组织成员的投标人按照该组织要求协同投标；</w:t>
      </w:r>
    </w:p>
    <w:p w14:paraId="64E35CE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（5）投标人之间为谋取中标或者排斥特定投标人而采取的其他联合行动。</w:t>
      </w:r>
    </w:p>
    <w:p w14:paraId="7761FF4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有下列情形之一的，视为投标人相互串通投标：</w:t>
      </w:r>
    </w:p>
    <w:p w14:paraId="30CED06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（1）不同投标人的投标文件由同一单位或者个人编制；</w:t>
      </w:r>
    </w:p>
    <w:p w14:paraId="6C9BD5E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（2）不同投标人委托同一单位或者个人办理投标事宜；</w:t>
      </w:r>
    </w:p>
    <w:p w14:paraId="5FB1D9C1">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（3）不同投标人的投标文件载明的项目管理成员为同一人；</w:t>
      </w:r>
    </w:p>
    <w:p w14:paraId="194DD59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（4）不同投标人的投标文件异常一致或者投标报价呈规律性差异；</w:t>
      </w:r>
    </w:p>
    <w:p w14:paraId="5E1542E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（5）不同投标人的投标文件相互混装；</w:t>
      </w:r>
    </w:p>
    <w:p w14:paraId="211C7FC1">
      <w:pPr>
        <w:pStyle w:val="2"/>
        <w:pageBreakBefore w:val="0"/>
        <w:kinsoku/>
        <w:wordWrap/>
        <w:overflowPunct/>
        <w:topLinePunct w:val="0"/>
        <w:bidi w:val="0"/>
        <w:spacing w:after="0" w:line="360" w:lineRule="auto"/>
        <w:ind w:firstLine="420" w:firstLineChars="200"/>
        <w:textAlignment w:val="auto"/>
        <w:rPr>
          <w:rFonts w:hint="eastAsia" w:ascii="宋体" w:hAnsi="宋体"/>
          <w:color w:val="auto"/>
          <w:highlight w:val="none"/>
        </w:rPr>
      </w:pPr>
      <w:r>
        <w:rPr>
          <w:rFonts w:ascii="宋体" w:hAnsi="宋体"/>
          <w:color w:val="auto"/>
          <w:highlight w:val="none"/>
        </w:rPr>
        <w:t>（6）不同投标人的投标保证金从同一单位或者个人的账户转出</w:t>
      </w:r>
      <w:r>
        <w:rPr>
          <w:rFonts w:hint="eastAsia" w:ascii="宋体" w:hAnsi="宋体"/>
          <w:color w:val="auto"/>
          <w:highlight w:val="none"/>
        </w:rPr>
        <w:t>；</w:t>
      </w:r>
    </w:p>
    <w:p w14:paraId="1004E01C">
      <w:pPr>
        <w:pStyle w:val="2"/>
        <w:pageBreakBefore w:val="0"/>
        <w:kinsoku/>
        <w:wordWrap/>
        <w:overflowPunct/>
        <w:topLinePunct w:val="0"/>
        <w:bidi w:val="0"/>
        <w:spacing w:after="0"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）法律、法规规定的其他情形</w:t>
      </w:r>
      <w:r>
        <w:rPr>
          <w:rFonts w:hint="eastAsia" w:ascii="宋体" w:hAnsi="宋体" w:eastAsia="宋体" w:cs="宋体"/>
          <w:color w:val="auto"/>
          <w:highlight w:val="none"/>
        </w:rPr>
        <w:t>。</w:t>
      </w:r>
    </w:p>
    <w:p w14:paraId="1A371AE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使用通过受让或者租借等方式获取的资格、资质证书投标的，属于以他人名义投标。</w:t>
      </w:r>
    </w:p>
    <w:p w14:paraId="6A6A493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投标人有下列情形之一的，属于以其他方式弄虚作假的行为：</w:t>
      </w:r>
    </w:p>
    <w:p w14:paraId="1DF9663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（1）使用伪造、变造的许可证件；</w:t>
      </w:r>
    </w:p>
    <w:p w14:paraId="651AD07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（2）提供虚假的财务状况或者业绩；</w:t>
      </w:r>
    </w:p>
    <w:p w14:paraId="6AFE0FC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（3）提供虚假的项目负责人或者主要技术人员简历、劳动关系证明；</w:t>
      </w:r>
    </w:p>
    <w:p w14:paraId="7222A88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（4）提供虚假的信用状况；</w:t>
      </w:r>
    </w:p>
    <w:p w14:paraId="61C64FE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highlight w:val="none"/>
        </w:rPr>
        <w:t>（5）其他弄虚作假的行为。</w:t>
      </w:r>
    </w:p>
    <w:p w14:paraId="006D3FBA">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62" w:name="_Toc14454"/>
      <w:bookmarkStart w:id="663" w:name="_Toc31245"/>
      <w:bookmarkStart w:id="664" w:name="_Toc152045577"/>
      <w:bookmarkStart w:id="665" w:name="_Toc144974545"/>
      <w:bookmarkStart w:id="666" w:name="_Toc6212"/>
      <w:bookmarkStart w:id="667" w:name="_Toc152042353"/>
      <w:bookmarkStart w:id="668" w:name="_Toc24649"/>
      <w:bookmarkStart w:id="669" w:name="_Toc25841"/>
      <w:bookmarkStart w:id="670" w:name="_Toc179632595"/>
      <w:bookmarkStart w:id="671" w:name="_Toc59810346"/>
      <w:r>
        <w:rPr>
          <w:rFonts w:hint="eastAsia" w:ascii="宋体" w:hAnsi="宋体" w:eastAsia="宋体" w:cs="宋体"/>
          <w:color w:val="auto"/>
          <w:sz w:val="24"/>
          <w:szCs w:val="20"/>
          <w:highlight w:val="none"/>
        </w:rPr>
        <w:t>9.3 对评标委员会成员的纪律要求</w:t>
      </w:r>
      <w:bookmarkEnd w:id="662"/>
      <w:bookmarkEnd w:id="663"/>
      <w:bookmarkEnd w:id="664"/>
      <w:bookmarkEnd w:id="665"/>
      <w:bookmarkEnd w:id="666"/>
      <w:bookmarkEnd w:id="667"/>
      <w:bookmarkEnd w:id="668"/>
      <w:bookmarkEnd w:id="669"/>
      <w:bookmarkEnd w:id="670"/>
      <w:bookmarkEnd w:id="671"/>
    </w:p>
    <w:p w14:paraId="1C60ED9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不得对</w:t>
      </w:r>
      <w:r>
        <w:rPr>
          <w:rFonts w:hint="eastAsia" w:ascii="宋体" w:hAnsi="宋体" w:cs="宋体"/>
          <w:color w:val="auto"/>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eastAsia="宋体" w:cs="宋体"/>
          <w:color w:val="auto"/>
          <w:highlight w:val="none"/>
        </w:rPr>
        <w:t>中《否决投标情况一览表》以外的内容予以否决投标，否则对评标委员会成员按《重庆市综合评标专家库和评标专家管理暂行办法》进行处理。</w:t>
      </w:r>
    </w:p>
    <w:p w14:paraId="4843F87C">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72" w:name="_Toc152045578"/>
      <w:bookmarkStart w:id="673" w:name="_Toc6386"/>
      <w:bookmarkStart w:id="674" w:name="_Toc59810347"/>
      <w:bookmarkStart w:id="675" w:name="_Toc12397"/>
      <w:bookmarkStart w:id="676" w:name="_Toc3766"/>
      <w:bookmarkStart w:id="677" w:name="_Toc4354"/>
      <w:bookmarkStart w:id="678" w:name="_Toc179632596"/>
      <w:bookmarkStart w:id="679" w:name="_Toc152042354"/>
      <w:bookmarkStart w:id="680" w:name="_Toc20351"/>
      <w:bookmarkStart w:id="681" w:name="_Toc144974546"/>
      <w:r>
        <w:rPr>
          <w:rFonts w:hint="eastAsia" w:ascii="宋体" w:hAnsi="宋体" w:eastAsia="宋体" w:cs="宋体"/>
          <w:color w:val="auto"/>
          <w:sz w:val="24"/>
          <w:szCs w:val="20"/>
          <w:highlight w:val="none"/>
        </w:rPr>
        <w:t>9.4 对与评标活动有关的工作人员的纪律要求</w:t>
      </w:r>
      <w:bookmarkEnd w:id="672"/>
      <w:bookmarkEnd w:id="673"/>
      <w:bookmarkEnd w:id="674"/>
      <w:bookmarkEnd w:id="675"/>
      <w:bookmarkEnd w:id="676"/>
      <w:bookmarkEnd w:id="677"/>
      <w:bookmarkEnd w:id="678"/>
      <w:bookmarkEnd w:id="679"/>
      <w:bookmarkEnd w:id="680"/>
    </w:p>
    <w:p w14:paraId="07BB3E3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bookmarkStart w:id="682" w:name="_Toc152042355"/>
      <w:r>
        <w:rPr>
          <w:rFonts w:hint="eastAsia" w:ascii="宋体" w:hAnsi="宋体" w:eastAsia="宋体" w:cs="宋体"/>
          <w:color w:val="auto"/>
          <w:highlight w:val="none"/>
        </w:rPr>
        <w:t>与评标活动有关的工作人员不得收受他人的财物或者其他好处，不得向他人透漏对投标文件的评审和比较、中标候选人的推荐情况以及</w:t>
      </w:r>
      <w:r>
        <w:rPr>
          <w:rFonts w:hint="eastAsia" w:ascii="宋体" w:hAnsi="宋体" w:eastAsia="宋体" w:cs="宋体"/>
          <w:snapToGrid w:val="0"/>
          <w:color w:val="auto"/>
          <w:kern w:val="0"/>
          <w:szCs w:val="21"/>
          <w:highlight w:val="none"/>
        </w:rPr>
        <w:t>与</w:t>
      </w:r>
      <w:r>
        <w:rPr>
          <w:rFonts w:hint="eastAsia" w:ascii="宋体" w:hAnsi="宋体" w:eastAsia="宋体" w:cs="宋体"/>
          <w:color w:val="auto"/>
          <w:highlight w:val="none"/>
        </w:rPr>
        <w:t>评标有关的其他情况。在评标活动中，与评标活动有关的工作人员不得擅离职守，影响评标程序正常进行。</w:t>
      </w:r>
      <w:bookmarkEnd w:id="682"/>
    </w:p>
    <w:p w14:paraId="11EBDCEE">
      <w:pPr>
        <w:keepNext/>
        <w:keepLines/>
        <w:pageBreakBefore w:val="0"/>
        <w:kinsoku/>
        <w:wordWrap/>
        <w:overflowPunct/>
        <w:topLinePunct w:val="0"/>
        <w:bidi w:val="0"/>
        <w:spacing w:line="360" w:lineRule="auto"/>
        <w:textAlignment w:val="auto"/>
        <w:outlineLvl w:val="2"/>
        <w:rPr>
          <w:rFonts w:hint="eastAsia" w:ascii="宋体" w:hAnsi="宋体" w:eastAsia="宋体" w:cs="宋体"/>
          <w:color w:val="auto"/>
          <w:sz w:val="24"/>
          <w:szCs w:val="20"/>
          <w:highlight w:val="none"/>
        </w:rPr>
      </w:pPr>
      <w:bookmarkStart w:id="683" w:name="_Toc59810348"/>
      <w:bookmarkStart w:id="684" w:name="_Toc9658"/>
      <w:bookmarkStart w:id="685" w:name="_Toc23674"/>
      <w:bookmarkStart w:id="686" w:name="_Toc21287"/>
      <w:bookmarkStart w:id="687" w:name="_Toc152045579"/>
      <w:bookmarkStart w:id="688" w:name="_Toc152042356"/>
      <w:bookmarkStart w:id="689" w:name="_Toc16136"/>
      <w:bookmarkStart w:id="690" w:name="_Toc179632597"/>
      <w:bookmarkStart w:id="691" w:name="_Toc5727"/>
      <w:r>
        <w:rPr>
          <w:rFonts w:hint="eastAsia" w:ascii="宋体" w:hAnsi="宋体" w:eastAsia="宋体" w:cs="宋体"/>
          <w:color w:val="auto"/>
          <w:sz w:val="24"/>
          <w:szCs w:val="20"/>
          <w:highlight w:val="none"/>
        </w:rPr>
        <w:t>9.5 投诉</w:t>
      </w:r>
      <w:bookmarkEnd w:id="681"/>
      <w:bookmarkEnd w:id="683"/>
      <w:bookmarkEnd w:id="684"/>
      <w:bookmarkEnd w:id="685"/>
      <w:bookmarkEnd w:id="686"/>
      <w:bookmarkEnd w:id="687"/>
      <w:bookmarkEnd w:id="688"/>
      <w:bookmarkEnd w:id="689"/>
      <w:bookmarkEnd w:id="690"/>
      <w:bookmarkEnd w:id="691"/>
    </w:p>
    <w:p w14:paraId="7101BC7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投标人和其他利害关系人认为本次招标活动违反法律、法规和规章规定的，有权向有关行政监督部门投诉。</w:t>
      </w:r>
    </w:p>
    <w:p w14:paraId="578042F8">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692" w:name="_Toc5674"/>
      <w:bookmarkStart w:id="693" w:name="_Toc59810349"/>
      <w:bookmarkStart w:id="694" w:name="_Toc11335"/>
      <w:bookmarkStart w:id="695" w:name="_Toc30292"/>
      <w:bookmarkStart w:id="696" w:name="_Toc229408472"/>
      <w:bookmarkStart w:id="697" w:name="_Toc26052"/>
      <w:bookmarkStart w:id="698" w:name="_Toc30756"/>
      <w:r>
        <w:rPr>
          <w:rFonts w:hint="eastAsia" w:ascii="宋体" w:hAnsi="宋体" w:eastAsia="宋体" w:cs="宋体"/>
          <w:color w:val="auto"/>
          <w:highlight w:val="none"/>
        </w:rPr>
        <w:t>10.需要补充的其他内容</w:t>
      </w:r>
      <w:bookmarkEnd w:id="692"/>
      <w:bookmarkEnd w:id="693"/>
      <w:bookmarkEnd w:id="694"/>
      <w:bookmarkEnd w:id="695"/>
      <w:bookmarkEnd w:id="696"/>
      <w:bookmarkEnd w:id="697"/>
      <w:bookmarkEnd w:id="698"/>
    </w:p>
    <w:p w14:paraId="27FB97E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14:paraId="5F87C9EA">
      <w:pPr>
        <w:rPr>
          <w:rFonts w:ascii="Arial" w:hAnsi="Arial" w:eastAsia="黑体"/>
          <w:color w:val="auto"/>
          <w:szCs w:val="21"/>
          <w:highlight w:val="none"/>
        </w:rPr>
      </w:pPr>
      <w:bookmarkStart w:id="699" w:name="_Toc221950256"/>
      <w:bookmarkStart w:id="700" w:name="_Toc168476099"/>
      <w:bookmarkStart w:id="701" w:name="_Toc144974548"/>
      <w:bookmarkStart w:id="702" w:name="_Toc168475696"/>
    </w:p>
    <w:p w14:paraId="3E847F63">
      <w:pPr>
        <w:rPr>
          <w:rFonts w:ascii="Arial" w:hAnsi="Arial" w:eastAsia="黑体"/>
          <w:color w:val="auto"/>
          <w:szCs w:val="21"/>
          <w:highlight w:val="none"/>
        </w:rPr>
      </w:pPr>
    </w:p>
    <w:p w14:paraId="2D1E50B9">
      <w:pPr>
        <w:rPr>
          <w:rFonts w:ascii="Arial" w:hAnsi="Arial" w:eastAsia="黑体"/>
          <w:color w:val="auto"/>
          <w:szCs w:val="21"/>
          <w:highlight w:val="none"/>
        </w:rPr>
      </w:pPr>
    </w:p>
    <w:p w14:paraId="1A63AF4D">
      <w:pPr>
        <w:rPr>
          <w:rFonts w:ascii="Arial" w:hAnsi="Arial" w:eastAsia="黑体"/>
          <w:color w:val="auto"/>
          <w:szCs w:val="21"/>
          <w:highlight w:val="none"/>
        </w:rPr>
      </w:pPr>
    </w:p>
    <w:p w14:paraId="6ABFC842">
      <w:pPr>
        <w:widowControl/>
        <w:jc w:val="left"/>
        <w:rPr>
          <w:rFonts w:ascii="Arial" w:hAnsi="Arial" w:eastAsia="黑体"/>
          <w:color w:val="auto"/>
          <w:szCs w:val="21"/>
          <w:highlight w:val="none"/>
        </w:rPr>
        <w:sectPr>
          <w:pgSz w:w="11907" w:h="16840"/>
          <w:pgMar w:top="1418" w:right="1418" w:bottom="1418" w:left="1418" w:header="851" w:footer="1247" w:gutter="0"/>
          <w:pgBorders>
            <w:top w:val="none" w:sz="0" w:space="0"/>
            <w:left w:val="none" w:sz="0" w:space="0"/>
            <w:bottom w:val="none" w:sz="0" w:space="0"/>
            <w:right w:val="none" w:sz="0" w:space="0"/>
          </w:pgBorders>
          <w:pgNumType w:fmt="numberInDash"/>
          <w:cols w:space="720" w:num="1"/>
          <w:titlePg/>
        </w:sectPr>
      </w:pPr>
    </w:p>
    <w:bookmarkEnd w:id="699"/>
    <w:p w14:paraId="4F1095E1">
      <w:pPr>
        <w:pStyle w:val="4"/>
        <w:rPr>
          <w:color w:val="auto"/>
          <w:sz w:val="21"/>
          <w:szCs w:val="21"/>
          <w:highlight w:val="none"/>
        </w:rPr>
      </w:pPr>
      <w:bookmarkStart w:id="703" w:name="_Toc229408477"/>
      <w:bookmarkStart w:id="704" w:name="_Toc59810350"/>
      <w:bookmarkStart w:id="705" w:name="_Toc221950298"/>
      <w:bookmarkStart w:id="706" w:name="_Toc641"/>
      <w:bookmarkStart w:id="707" w:name="_Toc17064"/>
      <w:bookmarkStart w:id="708" w:name="_Toc1405"/>
      <w:bookmarkStart w:id="709" w:name="_Toc29265"/>
      <w:bookmarkStart w:id="710" w:name="_Toc18887"/>
      <w:bookmarkStart w:id="711" w:name="_Toc30090"/>
      <w:bookmarkStart w:id="712" w:name="_Toc28808"/>
      <w:bookmarkStart w:id="713" w:name="_Toc19205"/>
      <w:r>
        <w:rPr>
          <w:rFonts w:hint="eastAsia"/>
          <w:color w:val="auto"/>
          <w:sz w:val="21"/>
          <w:szCs w:val="21"/>
          <w:highlight w:val="none"/>
        </w:rPr>
        <w:t>附表一：</w:t>
      </w:r>
      <w:bookmarkEnd w:id="700"/>
      <w:bookmarkEnd w:id="701"/>
      <w:bookmarkEnd w:id="702"/>
      <w:bookmarkEnd w:id="703"/>
      <w:bookmarkEnd w:id="704"/>
      <w:bookmarkEnd w:id="705"/>
      <w:r>
        <w:rPr>
          <w:rFonts w:hint="eastAsia"/>
          <w:color w:val="auto"/>
          <w:sz w:val="21"/>
          <w:szCs w:val="21"/>
          <w:highlight w:val="none"/>
        </w:rPr>
        <w:t>开标记录表</w:t>
      </w:r>
      <w:bookmarkEnd w:id="706"/>
      <w:bookmarkEnd w:id="707"/>
      <w:bookmarkEnd w:id="708"/>
      <w:bookmarkEnd w:id="709"/>
      <w:bookmarkEnd w:id="710"/>
      <w:bookmarkEnd w:id="711"/>
      <w:bookmarkEnd w:id="712"/>
      <w:bookmarkEnd w:id="713"/>
    </w:p>
    <w:p w14:paraId="643DEBA9">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w:t>
      </w:r>
      <w:r>
        <w:rPr>
          <w:rFonts w:ascii="宋体" w:hAnsi="宋体"/>
          <w:b/>
          <w:snapToGrid w:val="0"/>
          <w:w w:val="99"/>
          <w:kern w:val="0"/>
          <w:sz w:val="28"/>
          <w:szCs w:val="28"/>
          <w:highlight w:val="none"/>
        </w:rPr>
        <w:t>开标记录表</w:t>
      </w:r>
    </w:p>
    <w:p w14:paraId="2F1C8578">
      <w:pPr>
        <w:tabs>
          <w:tab w:val="left" w:pos="2260"/>
          <w:tab w:val="left" w:pos="5060"/>
        </w:tabs>
        <w:autoSpaceDE w:val="0"/>
        <w:autoSpaceDN w:val="0"/>
        <w:adjustRightInd w:val="0"/>
        <w:snapToGrid w:val="0"/>
        <w:spacing w:line="360" w:lineRule="auto"/>
        <w:jc w:val="right"/>
        <w:rPr>
          <w:rFonts w:ascii="宋体" w:hAnsi="宋体"/>
          <w:snapToGrid w:val="0"/>
          <w:kern w:val="0"/>
          <w:szCs w:val="21"/>
          <w:highlight w:val="none"/>
        </w:rPr>
      </w:pPr>
      <w:r>
        <w:rPr>
          <w:rFonts w:ascii="宋体" w:hAnsi="宋体"/>
          <w:b/>
          <w:snapToGrid w:val="0"/>
          <w:kern w:val="0"/>
          <w:sz w:val="28"/>
          <w:szCs w:val="28"/>
          <w:highlight w:val="none"/>
        </w:rPr>
        <w:t xml:space="preserve">                             </w:t>
      </w:r>
      <w:r>
        <w:rPr>
          <w:rFonts w:ascii="宋体" w:hAnsi="宋体"/>
          <w:snapToGrid w:val="0"/>
          <w:kern w:val="0"/>
          <w:szCs w:val="21"/>
          <w:highlight w:val="none"/>
        </w:rPr>
        <w:t>开标时间：</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6"/>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2693"/>
        <w:gridCol w:w="1560"/>
        <w:gridCol w:w="1275"/>
        <w:gridCol w:w="993"/>
        <w:gridCol w:w="1285"/>
        <w:gridCol w:w="947"/>
        <w:gridCol w:w="1311"/>
      </w:tblGrid>
      <w:tr w14:paraId="55DEE3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13D126A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序号</w:t>
            </w:r>
          </w:p>
        </w:tc>
        <w:tc>
          <w:tcPr>
            <w:tcW w:w="3260" w:type="dxa"/>
            <w:vAlign w:val="center"/>
          </w:tcPr>
          <w:p w14:paraId="28EE878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投标人</w:t>
            </w:r>
          </w:p>
        </w:tc>
        <w:tc>
          <w:tcPr>
            <w:tcW w:w="2693" w:type="dxa"/>
            <w:tcBorders>
              <w:right w:val="single" w:color="auto" w:sz="4" w:space="0"/>
            </w:tcBorders>
            <w:vAlign w:val="center"/>
          </w:tcPr>
          <w:p w14:paraId="6A24FA3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投标总报价</w:t>
            </w:r>
          </w:p>
          <w:p w14:paraId="2CB5595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元</w:t>
            </w:r>
            <w:r>
              <w:rPr>
                <w:rFonts w:hint="eastAsia" w:ascii="宋体" w:hAnsi="宋体"/>
                <w:snapToGrid w:val="0"/>
                <w:kern w:val="0"/>
                <w:szCs w:val="21"/>
                <w:highlight w:val="none"/>
                <w:lang w:eastAsia="zh-CN"/>
              </w:rPr>
              <w:t>）</w:t>
            </w:r>
          </w:p>
        </w:tc>
        <w:tc>
          <w:tcPr>
            <w:tcW w:w="1560" w:type="dxa"/>
            <w:tcBorders>
              <w:left w:val="single" w:color="auto" w:sz="4" w:space="0"/>
            </w:tcBorders>
            <w:vAlign w:val="center"/>
          </w:tcPr>
          <w:p w14:paraId="5259E2A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安全</w:t>
            </w:r>
            <w:r>
              <w:rPr>
                <w:rFonts w:hint="eastAsia" w:ascii="宋体" w:hAnsi="宋体"/>
                <w:snapToGrid w:val="0"/>
                <w:kern w:val="0"/>
                <w:szCs w:val="21"/>
                <w:highlight w:val="none"/>
                <w:lang w:val="en-US" w:eastAsia="zh-CN"/>
              </w:rPr>
              <w:t>生产</w:t>
            </w:r>
            <w:r>
              <w:rPr>
                <w:rFonts w:ascii="宋体" w:hAnsi="宋体"/>
                <w:snapToGrid w:val="0"/>
                <w:kern w:val="0"/>
                <w:szCs w:val="21"/>
                <w:highlight w:val="none"/>
              </w:rPr>
              <w:t>费暂定金额</w:t>
            </w:r>
          </w:p>
        </w:tc>
        <w:tc>
          <w:tcPr>
            <w:tcW w:w="1275" w:type="dxa"/>
            <w:vAlign w:val="center"/>
          </w:tcPr>
          <w:p w14:paraId="102508F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质量目标</w:t>
            </w:r>
          </w:p>
        </w:tc>
        <w:tc>
          <w:tcPr>
            <w:tcW w:w="993" w:type="dxa"/>
            <w:vAlign w:val="center"/>
          </w:tcPr>
          <w:p w14:paraId="40D213D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工期</w:t>
            </w:r>
          </w:p>
        </w:tc>
        <w:tc>
          <w:tcPr>
            <w:tcW w:w="1285" w:type="dxa"/>
            <w:vAlign w:val="center"/>
          </w:tcPr>
          <w:p w14:paraId="3714F7B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项目经理</w:t>
            </w:r>
          </w:p>
        </w:tc>
        <w:tc>
          <w:tcPr>
            <w:tcW w:w="947" w:type="dxa"/>
            <w:vAlign w:val="center"/>
          </w:tcPr>
          <w:p w14:paraId="11DB134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备注</w:t>
            </w:r>
          </w:p>
        </w:tc>
        <w:tc>
          <w:tcPr>
            <w:tcW w:w="1311" w:type="dxa"/>
            <w:vAlign w:val="center"/>
          </w:tcPr>
          <w:p w14:paraId="0BC5F91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highlight w:val="none"/>
              </w:rPr>
            </w:pPr>
            <w:r>
              <w:rPr>
                <w:rFonts w:ascii="宋体" w:hAnsi="宋体"/>
                <w:snapToGrid w:val="0"/>
                <w:kern w:val="0"/>
                <w:szCs w:val="21"/>
                <w:highlight w:val="none"/>
              </w:rPr>
              <w:t>签名</w:t>
            </w:r>
          </w:p>
        </w:tc>
      </w:tr>
      <w:tr w14:paraId="581CAF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FF45FD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3260" w:type="dxa"/>
            <w:vAlign w:val="center"/>
          </w:tcPr>
          <w:p w14:paraId="5CBE850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2693" w:type="dxa"/>
            <w:tcBorders>
              <w:right w:val="single" w:color="auto" w:sz="4" w:space="0"/>
            </w:tcBorders>
            <w:vAlign w:val="center"/>
          </w:tcPr>
          <w:p w14:paraId="6173BA1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560" w:type="dxa"/>
            <w:tcBorders>
              <w:left w:val="single" w:color="auto" w:sz="4" w:space="0"/>
            </w:tcBorders>
            <w:vAlign w:val="center"/>
          </w:tcPr>
          <w:p w14:paraId="33BD9D4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75" w:type="dxa"/>
            <w:vAlign w:val="center"/>
          </w:tcPr>
          <w:p w14:paraId="676AADB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93" w:type="dxa"/>
            <w:vAlign w:val="center"/>
          </w:tcPr>
          <w:p w14:paraId="66BEF26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85" w:type="dxa"/>
            <w:vAlign w:val="center"/>
          </w:tcPr>
          <w:p w14:paraId="57DDEE6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47" w:type="dxa"/>
            <w:vAlign w:val="center"/>
          </w:tcPr>
          <w:p w14:paraId="7446CD2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311" w:type="dxa"/>
            <w:vAlign w:val="center"/>
          </w:tcPr>
          <w:p w14:paraId="24AD424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14:paraId="20139E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1AA5D7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3260" w:type="dxa"/>
            <w:vAlign w:val="center"/>
          </w:tcPr>
          <w:p w14:paraId="368ED6A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2693" w:type="dxa"/>
            <w:tcBorders>
              <w:right w:val="single" w:color="auto" w:sz="4" w:space="0"/>
            </w:tcBorders>
            <w:vAlign w:val="center"/>
          </w:tcPr>
          <w:p w14:paraId="254FE83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560" w:type="dxa"/>
            <w:tcBorders>
              <w:left w:val="single" w:color="auto" w:sz="4" w:space="0"/>
            </w:tcBorders>
            <w:vAlign w:val="center"/>
          </w:tcPr>
          <w:p w14:paraId="4001A38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75" w:type="dxa"/>
            <w:vAlign w:val="center"/>
          </w:tcPr>
          <w:p w14:paraId="0E126CD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93" w:type="dxa"/>
            <w:vAlign w:val="center"/>
          </w:tcPr>
          <w:p w14:paraId="12978F1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85" w:type="dxa"/>
            <w:vAlign w:val="center"/>
          </w:tcPr>
          <w:p w14:paraId="737C851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47" w:type="dxa"/>
            <w:vAlign w:val="center"/>
          </w:tcPr>
          <w:p w14:paraId="0A2C01C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311" w:type="dxa"/>
            <w:vAlign w:val="center"/>
          </w:tcPr>
          <w:p w14:paraId="53C4828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14:paraId="325B0C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0526EB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3260" w:type="dxa"/>
            <w:vAlign w:val="center"/>
          </w:tcPr>
          <w:p w14:paraId="6266B81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2693" w:type="dxa"/>
            <w:tcBorders>
              <w:right w:val="single" w:color="auto" w:sz="4" w:space="0"/>
            </w:tcBorders>
            <w:vAlign w:val="center"/>
          </w:tcPr>
          <w:p w14:paraId="524B8FD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560" w:type="dxa"/>
            <w:tcBorders>
              <w:left w:val="single" w:color="auto" w:sz="4" w:space="0"/>
            </w:tcBorders>
            <w:vAlign w:val="center"/>
          </w:tcPr>
          <w:p w14:paraId="4E78683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75" w:type="dxa"/>
            <w:vAlign w:val="center"/>
          </w:tcPr>
          <w:p w14:paraId="0D063AC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93" w:type="dxa"/>
            <w:vAlign w:val="center"/>
          </w:tcPr>
          <w:p w14:paraId="4E903FE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85" w:type="dxa"/>
            <w:vAlign w:val="center"/>
          </w:tcPr>
          <w:p w14:paraId="13ED94F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47" w:type="dxa"/>
            <w:vAlign w:val="center"/>
          </w:tcPr>
          <w:p w14:paraId="24DBE15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311" w:type="dxa"/>
            <w:vAlign w:val="center"/>
          </w:tcPr>
          <w:p w14:paraId="0EBFD08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14:paraId="061FA3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D436A6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3260" w:type="dxa"/>
            <w:vAlign w:val="center"/>
          </w:tcPr>
          <w:p w14:paraId="5003781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2693" w:type="dxa"/>
            <w:tcBorders>
              <w:right w:val="single" w:color="auto" w:sz="4" w:space="0"/>
            </w:tcBorders>
            <w:vAlign w:val="center"/>
          </w:tcPr>
          <w:p w14:paraId="2D45C2E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560" w:type="dxa"/>
            <w:tcBorders>
              <w:left w:val="single" w:color="auto" w:sz="4" w:space="0"/>
            </w:tcBorders>
            <w:vAlign w:val="center"/>
          </w:tcPr>
          <w:p w14:paraId="790BAAA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75" w:type="dxa"/>
            <w:vAlign w:val="center"/>
          </w:tcPr>
          <w:p w14:paraId="39CC16D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93" w:type="dxa"/>
            <w:vAlign w:val="center"/>
          </w:tcPr>
          <w:p w14:paraId="2B4A857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85" w:type="dxa"/>
            <w:vAlign w:val="center"/>
          </w:tcPr>
          <w:p w14:paraId="639863A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47" w:type="dxa"/>
            <w:vAlign w:val="center"/>
          </w:tcPr>
          <w:p w14:paraId="71E9093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311" w:type="dxa"/>
            <w:vAlign w:val="center"/>
          </w:tcPr>
          <w:p w14:paraId="7876512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14:paraId="7F7C20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9C10CE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3260" w:type="dxa"/>
            <w:vAlign w:val="center"/>
          </w:tcPr>
          <w:p w14:paraId="7F2F34C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2693" w:type="dxa"/>
            <w:tcBorders>
              <w:right w:val="single" w:color="auto" w:sz="4" w:space="0"/>
            </w:tcBorders>
            <w:vAlign w:val="center"/>
          </w:tcPr>
          <w:p w14:paraId="3B61CB9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560" w:type="dxa"/>
            <w:tcBorders>
              <w:left w:val="single" w:color="auto" w:sz="4" w:space="0"/>
            </w:tcBorders>
            <w:vAlign w:val="center"/>
          </w:tcPr>
          <w:p w14:paraId="5F34ECF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75" w:type="dxa"/>
            <w:vAlign w:val="center"/>
          </w:tcPr>
          <w:p w14:paraId="492814B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93" w:type="dxa"/>
            <w:vAlign w:val="center"/>
          </w:tcPr>
          <w:p w14:paraId="0AAF913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285" w:type="dxa"/>
            <w:vAlign w:val="center"/>
          </w:tcPr>
          <w:p w14:paraId="3556069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947" w:type="dxa"/>
            <w:vAlign w:val="center"/>
          </w:tcPr>
          <w:p w14:paraId="65683C1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c>
          <w:tcPr>
            <w:tcW w:w="1311" w:type="dxa"/>
            <w:vAlign w:val="center"/>
          </w:tcPr>
          <w:p w14:paraId="294C72B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14:paraId="713FE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693" w:type="dxa"/>
            <w:gridSpan w:val="2"/>
            <w:vAlign w:val="center"/>
          </w:tcPr>
          <w:p w14:paraId="4946FBD2">
            <w:pPr>
              <w:autoSpaceDE w:val="0"/>
              <w:autoSpaceDN w:val="0"/>
              <w:adjustRightInd w:val="0"/>
              <w:snapToGrid w:val="0"/>
              <w:spacing w:line="400" w:lineRule="exact"/>
              <w:jc w:val="center"/>
              <w:rPr>
                <w:rFonts w:ascii="宋体" w:hAnsi="宋体"/>
                <w:snapToGrid w:val="0"/>
                <w:kern w:val="0"/>
                <w:sz w:val="28"/>
                <w:szCs w:val="28"/>
                <w:highlight w:val="none"/>
              </w:rPr>
            </w:pPr>
            <w:r>
              <w:rPr>
                <w:rFonts w:ascii="宋体" w:hAnsi="宋体"/>
                <w:snapToGrid w:val="0"/>
                <w:kern w:val="0"/>
                <w:szCs w:val="21"/>
                <w:highlight w:val="none"/>
              </w:rPr>
              <w:t>最高限价</w:t>
            </w:r>
          </w:p>
        </w:tc>
        <w:tc>
          <w:tcPr>
            <w:tcW w:w="10064" w:type="dxa"/>
            <w:gridSpan w:val="7"/>
            <w:vAlign w:val="center"/>
          </w:tcPr>
          <w:p w14:paraId="3946812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highlight w:val="none"/>
              </w:rPr>
            </w:pPr>
          </w:p>
        </w:tc>
      </w:tr>
      <w:tr w14:paraId="65D90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597BB87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szCs w:val="21"/>
                <w:highlight w:val="none"/>
              </w:rPr>
            </w:pPr>
            <w:r>
              <w:rPr>
                <w:rFonts w:hint="eastAsia"/>
                <w:szCs w:val="21"/>
                <w:highlight w:val="none"/>
              </w:rPr>
              <w:t>异常情况</w:t>
            </w:r>
          </w:p>
        </w:tc>
        <w:tc>
          <w:tcPr>
            <w:tcW w:w="10064" w:type="dxa"/>
            <w:gridSpan w:val="7"/>
            <w:tcBorders>
              <w:top w:val="single" w:color="auto" w:sz="4" w:space="0"/>
            </w:tcBorders>
            <w:vAlign w:val="center"/>
          </w:tcPr>
          <w:p w14:paraId="0623E41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i/>
                <w:kern w:val="0"/>
                <w:szCs w:val="21"/>
                <w:highlight w:val="none"/>
              </w:rPr>
            </w:pPr>
          </w:p>
        </w:tc>
      </w:tr>
    </w:tbl>
    <w:p w14:paraId="0E429254">
      <w:pPr>
        <w:tabs>
          <w:tab w:val="left" w:pos="2740"/>
          <w:tab w:val="left" w:pos="4940"/>
          <w:tab w:val="left" w:pos="7140"/>
        </w:tabs>
        <w:autoSpaceDE w:val="0"/>
        <w:autoSpaceDN w:val="0"/>
        <w:adjustRightInd w:val="0"/>
        <w:snapToGrid w:val="0"/>
        <w:spacing w:beforeLines="0" w:after="0" w:line="360" w:lineRule="auto"/>
        <w:ind w:firstLine="480" w:firstLineChars="200"/>
        <w:jc w:val="left"/>
        <w:rPr>
          <w:rFonts w:hint="eastAsia" w:ascii="宋体" w:hAnsi="宋体" w:cs="宋体"/>
          <w:snapToGrid w:val="0"/>
          <w:kern w:val="0"/>
          <w:szCs w:val="21"/>
          <w:highlight w:val="none"/>
        </w:rPr>
      </w:pPr>
      <w:r>
        <w:rPr>
          <w:rFonts w:hint="eastAsia" w:ascii="宋体" w:hAnsi="宋体" w:cs="宋体"/>
          <w:snapToGrid w:val="0"/>
          <w:kern w:val="0"/>
          <w:sz w:val="24"/>
          <w:highlight w:val="none"/>
          <w:lang w:val="en-US" w:eastAsia="zh-CN"/>
        </w:rPr>
        <w:t>（注：</w:t>
      </w:r>
      <w:r>
        <w:rPr>
          <w:rFonts w:hint="eastAsia" w:ascii="宋体" w:hAnsi="宋体" w:cs="宋体"/>
          <w:snapToGrid w:val="0"/>
          <w:kern w:val="0"/>
          <w:szCs w:val="21"/>
          <w:highlight w:val="none"/>
        </w:rPr>
        <w:t>招标人</w:t>
      </w:r>
      <w:r>
        <w:rPr>
          <w:rFonts w:hint="eastAsia" w:ascii="宋体" w:hAnsi="宋体" w:cs="宋体"/>
          <w:snapToGrid w:val="0"/>
          <w:kern w:val="0"/>
          <w:szCs w:val="21"/>
          <w:highlight w:val="none"/>
          <w:lang w:eastAsia="zh-CN"/>
        </w:rPr>
        <w:t>、</w:t>
      </w:r>
      <w:r>
        <w:rPr>
          <w:rFonts w:hint="eastAsia" w:ascii="宋体" w:hAnsi="宋体" w:cs="宋体"/>
          <w:snapToGrid w:val="0"/>
          <w:w w:val="100"/>
          <w:kern w:val="0"/>
          <w:szCs w:val="21"/>
          <w:highlight w:val="none"/>
          <w:lang w:eastAsia="zh-CN"/>
        </w:rPr>
        <w:t>招标代理机构、</w:t>
      </w:r>
      <w:r>
        <w:rPr>
          <w:rFonts w:hint="eastAsia" w:ascii="宋体" w:hAnsi="宋体" w:cs="宋体"/>
          <w:snapToGrid w:val="0"/>
          <w:kern w:val="0"/>
          <w:szCs w:val="21"/>
          <w:highlight w:val="none"/>
          <w:lang w:eastAsia="zh-CN"/>
        </w:rPr>
        <w:t>监标人</w:t>
      </w:r>
      <w:r>
        <w:rPr>
          <w:rFonts w:hint="eastAsia" w:ascii="宋体" w:hAnsi="宋体" w:cs="宋体"/>
          <w:snapToGrid w:val="0"/>
          <w:kern w:val="0"/>
          <w:szCs w:val="21"/>
          <w:highlight w:val="none"/>
          <w:lang w:val="en-US" w:eastAsia="zh-CN"/>
        </w:rPr>
        <w:t>栏显示单位名称，</w:t>
      </w:r>
      <w:r>
        <w:rPr>
          <w:rFonts w:hint="eastAsia" w:ascii="宋体" w:hAnsi="宋体" w:cs="宋体"/>
          <w:snapToGrid w:val="0"/>
          <w:kern w:val="0"/>
          <w:szCs w:val="21"/>
          <w:highlight w:val="none"/>
        </w:rPr>
        <w:t>主持人</w:t>
      </w:r>
      <w:r>
        <w:rPr>
          <w:rFonts w:hint="eastAsia" w:ascii="宋体" w:hAnsi="宋体" w:cs="宋体"/>
          <w:snapToGrid w:val="0"/>
          <w:kern w:val="0"/>
          <w:szCs w:val="21"/>
          <w:highlight w:val="none"/>
          <w:lang w:eastAsia="zh-CN"/>
        </w:rPr>
        <w:t>、</w:t>
      </w:r>
      <w:r>
        <w:rPr>
          <w:rFonts w:hint="eastAsia" w:ascii="宋体" w:hAnsi="宋体" w:cs="宋体"/>
          <w:snapToGrid w:val="0"/>
          <w:kern w:val="0"/>
          <w:szCs w:val="21"/>
          <w:highlight w:val="none"/>
        </w:rPr>
        <w:t>记录人</w:t>
      </w:r>
      <w:r>
        <w:rPr>
          <w:rFonts w:hint="eastAsia" w:ascii="宋体" w:hAnsi="宋体" w:cs="宋体"/>
          <w:snapToGrid w:val="0"/>
          <w:kern w:val="0"/>
          <w:szCs w:val="21"/>
          <w:highlight w:val="none"/>
          <w:lang w:val="en-US" w:eastAsia="zh-CN"/>
        </w:rPr>
        <w:t>栏显示人名。</w:t>
      </w:r>
      <w:r>
        <w:rPr>
          <w:rFonts w:hint="eastAsia" w:ascii="宋体" w:hAnsi="宋体" w:cs="宋体"/>
          <w:snapToGrid w:val="0"/>
          <w:kern w:val="0"/>
          <w:sz w:val="24"/>
          <w:highlight w:val="none"/>
          <w:lang w:val="en-US" w:eastAsia="zh-CN"/>
        </w:rPr>
        <w:t>）</w:t>
      </w:r>
    </w:p>
    <w:p w14:paraId="7B968F06">
      <w:pPr>
        <w:tabs>
          <w:tab w:val="left" w:pos="2740"/>
          <w:tab w:val="left" w:pos="4940"/>
          <w:tab w:val="left" w:pos="6930"/>
        </w:tabs>
        <w:autoSpaceDE w:val="0"/>
        <w:autoSpaceDN w:val="0"/>
        <w:adjustRightInd w:val="0"/>
        <w:snapToGrid w:val="0"/>
        <w:spacing w:beforeLines="0" w:after="0" w:line="360" w:lineRule="auto"/>
        <w:ind w:firstLine="420" w:firstLineChars="200"/>
        <w:jc w:val="left"/>
        <w:rPr>
          <w:rFonts w:hint="eastAsia" w:ascii="宋体" w:hAnsi="宋体" w:cs="宋体"/>
          <w:snapToGrid w:val="0"/>
          <w:w w:val="200"/>
          <w:kern w:val="0"/>
          <w:szCs w:val="21"/>
          <w:highlight w:val="none"/>
        </w:rPr>
      </w:pPr>
      <w:r>
        <w:rPr>
          <w:rFonts w:hint="eastAsia" w:ascii="宋体" w:hAnsi="宋体" w:cs="宋体"/>
          <w:snapToGrid w:val="0"/>
          <w:kern w:val="0"/>
          <w:szCs w:val="21"/>
          <w:highlight w:val="none"/>
        </w:rPr>
        <w:t>招标人：</w:t>
      </w:r>
      <w:r>
        <w:rPr>
          <w:rFonts w:hint="eastAsia" w:ascii="宋体" w:hAnsi="宋体" w:cs="宋体"/>
          <w:snapToGrid w:val="0"/>
          <w:w w:val="200"/>
          <w:kern w:val="0"/>
          <w:szCs w:val="21"/>
          <w:highlight w:val="none"/>
          <w:u w:val="single"/>
        </w:rPr>
        <w:t xml:space="preserve">      </w:t>
      </w:r>
      <w:r>
        <w:rPr>
          <w:rFonts w:hint="eastAsia" w:ascii="宋体" w:hAnsi="宋体" w:cs="宋体"/>
          <w:snapToGrid w:val="0"/>
          <w:w w:val="200"/>
          <w:kern w:val="0"/>
          <w:szCs w:val="21"/>
          <w:highlight w:val="none"/>
        </w:rPr>
        <w:t xml:space="preserve">      </w:t>
      </w:r>
      <w:r>
        <w:rPr>
          <w:rFonts w:hint="eastAsia" w:ascii="宋体" w:hAnsi="宋体" w:cs="宋体"/>
          <w:snapToGrid w:val="0"/>
          <w:kern w:val="0"/>
          <w:szCs w:val="21"/>
          <w:highlight w:val="none"/>
          <w:lang w:val="en-US" w:eastAsia="zh-CN"/>
        </w:rPr>
        <w:t>招标代理机构</w:t>
      </w:r>
      <w:r>
        <w:rPr>
          <w:rFonts w:hint="eastAsia" w:ascii="宋体" w:hAnsi="宋体" w:cs="宋体"/>
          <w:snapToGrid w:val="0"/>
          <w:kern w:val="0"/>
          <w:szCs w:val="21"/>
          <w:highlight w:val="none"/>
        </w:rPr>
        <w:t>：</w:t>
      </w:r>
      <w:r>
        <w:rPr>
          <w:rFonts w:hint="eastAsia" w:ascii="宋体" w:hAnsi="宋体" w:cs="宋体"/>
          <w:snapToGrid w:val="0"/>
          <w:w w:val="200"/>
          <w:kern w:val="0"/>
          <w:szCs w:val="21"/>
          <w:highlight w:val="none"/>
          <w:u w:val="single"/>
        </w:rPr>
        <w:t xml:space="preserve">      </w:t>
      </w:r>
      <w:r>
        <w:rPr>
          <w:rFonts w:hint="eastAsia" w:ascii="宋体" w:hAnsi="宋体" w:cs="宋体"/>
          <w:snapToGrid w:val="0"/>
          <w:w w:val="200"/>
          <w:kern w:val="0"/>
          <w:szCs w:val="21"/>
          <w:highlight w:val="none"/>
        </w:rPr>
        <w:t xml:space="preserve">      </w:t>
      </w:r>
      <w:r>
        <w:rPr>
          <w:rFonts w:hint="eastAsia" w:ascii="宋体" w:hAnsi="宋体" w:cs="宋体"/>
          <w:snapToGrid w:val="0"/>
          <w:kern w:val="0"/>
          <w:szCs w:val="21"/>
          <w:highlight w:val="none"/>
          <w:lang w:val="en-US" w:eastAsia="zh-CN"/>
        </w:rPr>
        <w:t>监标人</w:t>
      </w:r>
      <w:r>
        <w:rPr>
          <w:rFonts w:hint="eastAsia" w:ascii="宋体" w:hAnsi="宋体" w:cs="宋体"/>
          <w:snapToGrid w:val="0"/>
          <w:kern w:val="0"/>
          <w:szCs w:val="21"/>
          <w:highlight w:val="none"/>
        </w:rPr>
        <w:t>：</w:t>
      </w:r>
      <w:r>
        <w:rPr>
          <w:rFonts w:hint="eastAsia" w:ascii="宋体" w:hAnsi="宋体" w:cs="宋体"/>
          <w:snapToGrid w:val="0"/>
          <w:w w:val="200"/>
          <w:kern w:val="0"/>
          <w:szCs w:val="21"/>
          <w:highlight w:val="none"/>
          <w:u w:val="single"/>
        </w:rPr>
        <w:t xml:space="preserve">      </w:t>
      </w:r>
    </w:p>
    <w:p w14:paraId="2EF4DFCD">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snapToGrid w:val="0"/>
          <w:kern w:val="0"/>
          <w:szCs w:val="21"/>
          <w:highlight w:val="none"/>
        </w:rPr>
      </w:pPr>
      <w:r>
        <w:rPr>
          <w:rFonts w:hint="eastAsia" w:ascii="宋体" w:hAnsi="宋体" w:cs="宋体"/>
          <w:snapToGrid w:val="0"/>
          <w:kern w:val="0"/>
          <w:szCs w:val="21"/>
          <w:highlight w:val="none"/>
        </w:rPr>
        <w:t>主持人：</w:t>
      </w:r>
      <w:r>
        <w:rPr>
          <w:rFonts w:hint="eastAsia" w:ascii="宋体" w:hAnsi="宋体" w:cs="宋体"/>
          <w:snapToGrid w:val="0"/>
          <w:w w:val="200"/>
          <w:kern w:val="0"/>
          <w:szCs w:val="21"/>
          <w:highlight w:val="none"/>
          <w:u w:val="single"/>
        </w:rPr>
        <w:t xml:space="preserve">      </w:t>
      </w:r>
      <w:r>
        <w:rPr>
          <w:rFonts w:hint="eastAsia" w:ascii="宋体" w:hAnsi="宋体" w:cs="宋体"/>
          <w:snapToGrid w:val="0"/>
          <w:w w:val="200"/>
          <w:kern w:val="0"/>
          <w:szCs w:val="21"/>
          <w:highlight w:val="none"/>
        </w:rPr>
        <w:t xml:space="preserve">      </w:t>
      </w:r>
      <w:r>
        <w:rPr>
          <w:rFonts w:hint="eastAsia" w:ascii="宋体" w:hAnsi="宋体" w:cs="宋体"/>
          <w:snapToGrid w:val="0"/>
          <w:kern w:val="0"/>
          <w:szCs w:val="21"/>
          <w:highlight w:val="none"/>
        </w:rPr>
        <w:t>记录人：</w:t>
      </w:r>
      <w:r>
        <w:rPr>
          <w:rFonts w:hint="eastAsia" w:ascii="宋体" w:hAnsi="宋体" w:cs="宋体"/>
          <w:snapToGrid w:val="0"/>
          <w:w w:val="200"/>
          <w:kern w:val="0"/>
          <w:szCs w:val="21"/>
          <w:highlight w:val="none"/>
          <w:u w:val="single"/>
        </w:rPr>
        <w:t xml:space="preserve">      </w:t>
      </w:r>
    </w:p>
    <w:p w14:paraId="4E7DB34D">
      <w:pPr>
        <w:autoSpaceDE w:val="0"/>
        <w:autoSpaceDN w:val="0"/>
        <w:adjustRightInd w:val="0"/>
        <w:snapToGrid w:val="0"/>
        <w:spacing w:before="48" w:beforeLines="20" w:line="360" w:lineRule="auto"/>
        <w:jc w:val="right"/>
        <w:rPr>
          <w:rFonts w:ascii="宋体" w:hAnsi="宋体"/>
          <w:snapToGrid w:val="0"/>
          <w:color w:val="auto"/>
          <w:kern w:val="0"/>
          <w:sz w:val="24"/>
          <w:highlight w:val="none"/>
        </w:rPr>
      </w:pPr>
      <w:r>
        <w:rPr>
          <w:rFonts w:ascii="宋体" w:hAnsi="宋体"/>
          <w:snapToGrid w:val="0"/>
          <w:kern w:val="0"/>
          <w:sz w:val="24"/>
          <w:highlight w:val="none"/>
        </w:rPr>
        <w:t xml:space="preserve">                                       </w:t>
      </w: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68FAA940">
      <w:pPr>
        <w:rPr>
          <w:rFonts w:ascii="宋体" w:hAnsi="宋体"/>
          <w:b/>
          <w:snapToGrid w:val="0"/>
          <w:kern w:val="0"/>
          <w:highlight w:val="none"/>
        </w:rPr>
      </w:pPr>
      <w:r>
        <w:rPr>
          <w:rFonts w:ascii="宋体" w:hAnsi="宋体"/>
          <w:b/>
          <w:snapToGrid w:val="0"/>
          <w:kern w:val="0"/>
          <w:highlight w:val="none"/>
        </w:rPr>
        <w:br w:type="page"/>
      </w:r>
    </w:p>
    <w:p w14:paraId="0B7AFC2C">
      <w:pPr>
        <w:autoSpaceDE w:val="0"/>
        <w:autoSpaceDN w:val="0"/>
        <w:adjustRightInd w:val="0"/>
        <w:snapToGrid w:val="0"/>
        <w:spacing w:before="62" w:beforeLines="20" w:line="360" w:lineRule="auto"/>
        <w:rPr>
          <w:rFonts w:ascii="宋体" w:hAnsi="宋体"/>
          <w:snapToGrid w:val="0"/>
          <w:kern w:val="0"/>
          <w:sz w:val="24"/>
          <w:highlight w:val="none"/>
        </w:rPr>
      </w:pPr>
      <w:r>
        <w:rPr>
          <w:rFonts w:ascii="宋体" w:hAnsi="宋体"/>
          <w:b/>
          <w:snapToGrid w:val="0"/>
          <w:kern w:val="0"/>
          <w:highlight w:val="none"/>
        </w:rPr>
        <w:t>附表</w:t>
      </w:r>
      <w:r>
        <w:rPr>
          <w:rFonts w:hint="eastAsia" w:ascii="宋体" w:hAnsi="宋体"/>
          <w:b/>
          <w:snapToGrid w:val="0"/>
          <w:kern w:val="0"/>
          <w:highlight w:val="none"/>
        </w:rPr>
        <w:t>二</w:t>
      </w:r>
      <w:r>
        <w:rPr>
          <w:rFonts w:ascii="宋体" w:hAnsi="宋体"/>
          <w:b/>
          <w:snapToGrid w:val="0"/>
          <w:kern w:val="0"/>
          <w:highlight w:val="none"/>
        </w:rPr>
        <w:t>：投标</w:t>
      </w:r>
      <w:r>
        <w:rPr>
          <w:rFonts w:hint="eastAsia" w:ascii="宋体" w:hAnsi="宋体"/>
          <w:b/>
          <w:snapToGrid w:val="0"/>
          <w:kern w:val="0"/>
          <w:highlight w:val="none"/>
          <w:lang w:val="en-US" w:eastAsia="zh-CN"/>
        </w:rPr>
        <w:t>保证金</w:t>
      </w:r>
      <w:r>
        <w:rPr>
          <w:rFonts w:hint="eastAsia" w:ascii="宋体" w:hAnsi="宋体"/>
          <w:b/>
          <w:snapToGrid w:val="0"/>
          <w:kern w:val="0"/>
          <w:highlight w:val="none"/>
        </w:rPr>
        <w:t>递交</w:t>
      </w:r>
      <w:r>
        <w:rPr>
          <w:rFonts w:ascii="宋体" w:hAnsi="宋体"/>
          <w:b/>
          <w:snapToGrid w:val="0"/>
          <w:kern w:val="0"/>
          <w:highlight w:val="none"/>
        </w:rPr>
        <w:t>情况一览表（如有）</w:t>
      </w:r>
    </w:p>
    <w:p w14:paraId="7A732AA4">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（项目名称）投标</w:t>
      </w:r>
      <w:r>
        <w:rPr>
          <w:rFonts w:hint="eastAsia" w:ascii="宋体" w:hAnsi="宋体"/>
          <w:b/>
          <w:snapToGrid w:val="0"/>
          <w:w w:val="99"/>
          <w:kern w:val="0"/>
          <w:sz w:val="28"/>
          <w:szCs w:val="28"/>
          <w:highlight w:val="none"/>
          <w:u w:val="single"/>
          <w:lang w:val="en-US" w:eastAsia="zh-CN"/>
        </w:rPr>
        <w:t>保证金</w:t>
      </w:r>
      <w:r>
        <w:rPr>
          <w:rFonts w:hint="eastAsia" w:ascii="宋体" w:hAnsi="宋体"/>
          <w:b/>
          <w:snapToGrid w:val="0"/>
          <w:w w:val="99"/>
          <w:kern w:val="0"/>
          <w:sz w:val="28"/>
          <w:szCs w:val="28"/>
          <w:highlight w:val="none"/>
          <w:u w:val="single"/>
        </w:rPr>
        <w:t>递交</w:t>
      </w:r>
      <w:r>
        <w:rPr>
          <w:rFonts w:ascii="宋体" w:hAnsi="宋体"/>
          <w:b/>
          <w:snapToGrid w:val="0"/>
          <w:w w:val="99"/>
          <w:kern w:val="0"/>
          <w:sz w:val="28"/>
          <w:szCs w:val="28"/>
          <w:highlight w:val="none"/>
          <w:u w:val="single"/>
        </w:rPr>
        <w:t>情况一览表</w:t>
      </w:r>
    </w:p>
    <w:p w14:paraId="5C6D1ACD">
      <w:pPr>
        <w:autoSpaceDE w:val="0"/>
        <w:autoSpaceDN w:val="0"/>
        <w:adjustRightInd w:val="0"/>
        <w:snapToGrid w:val="0"/>
        <w:spacing w:before="62" w:beforeLines="20" w:line="360" w:lineRule="auto"/>
        <w:ind w:firstLine="0" w:firstLineChars="0"/>
        <w:jc w:val="right"/>
        <w:rPr>
          <w:rFonts w:ascii="宋体" w:hAnsi="宋体"/>
          <w:szCs w:val="21"/>
          <w:highlight w:val="none"/>
        </w:rPr>
      </w:pPr>
      <w:r>
        <w:rPr>
          <w:rFonts w:hint="eastAsia" w:ascii="宋体" w:hAnsi="宋体"/>
          <w:snapToGrid w:val="0"/>
          <w:kern w:val="0"/>
          <w:szCs w:val="21"/>
          <w:highlight w:val="none"/>
        </w:rPr>
        <w:t>投标截止时间</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6"/>
        <w:tblW w:w="14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64"/>
        <w:gridCol w:w="2103"/>
        <w:gridCol w:w="2987"/>
        <w:gridCol w:w="3175"/>
        <w:gridCol w:w="3175"/>
      </w:tblGrid>
      <w:tr w14:paraId="14BD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CABC447">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rPr>
              <w:t>序号</w:t>
            </w:r>
          </w:p>
        </w:tc>
        <w:tc>
          <w:tcPr>
            <w:tcW w:w="2264" w:type="dxa"/>
            <w:vAlign w:val="center"/>
          </w:tcPr>
          <w:p w14:paraId="509F6166">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rPr>
              <w:t>投标人</w:t>
            </w:r>
          </w:p>
        </w:tc>
        <w:tc>
          <w:tcPr>
            <w:tcW w:w="2103" w:type="dxa"/>
            <w:vAlign w:val="center"/>
          </w:tcPr>
          <w:p w14:paraId="01B42A56">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rPr>
              <w:t>金额（元）</w:t>
            </w:r>
          </w:p>
        </w:tc>
        <w:tc>
          <w:tcPr>
            <w:tcW w:w="2987" w:type="dxa"/>
            <w:vAlign w:val="center"/>
          </w:tcPr>
          <w:p w14:paraId="16B26961">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rPr>
              <w:t>递交时间</w:t>
            </w:r>
          </w:p>
        </w:tc>
        <w:tc>
          <w:tcPr>
            <w:tcW w:w="3175" w:type="dxa"/>
            <w:vAlign w:val="center"/>
          </w:tcPr>
          <w:p w14:paraId="0C735016">
            <w:pPr>
              <w:autoSpaceDE w:val="0"/>
              <w:autoSpaceDN w:val="0"/>
              <w:adjustRightInd w:val="0"/>
              <w:snapToGrid w:val="0"/>
              <w:spacing w:before="0" w:beforeLines="0" w:line="40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法定代表人或授权代表人（签字）</w:t>
            </w:r>
          </w:p>
        </w:tc>
        <w:tc>
          <w:tcPr>
            <w:tcW w:w="3175" w:type="dxa"/>
            <w:vAlign w:val="center"/>
          </w:tcPr>
          <w:p w14:paraId="33F8E93E">
            <w:pPr>
              <w:autoSpaceDE w:val="0"/>
              <w:autoSpaceDN w:val="0"/>
              <w:adjustRightInd w:val="0"/>
              <w:snapToGrid w:val="0"/>
              <w:spacing w:before="0" w:beforeLines="0" w:line="400" w:lineRule="exact"/>
              <w:jc w:val="center"/>
              <w:rPr>
                <w:rFonts w:hint="eastAsia" w:ascii="宋体" w:hAnsi="宋体"/>
                <w:szCs w:val="21"/>
                <w:highlight w:val="none"/>
              </w:rPr>
            </w:pPr>
            <w:r>
              <w:rPr>
                <w:rFonts w:hint="eastAsia" w:ascii="宋体" w:hAnsi="宋体"/>
                <w:szCs w:val="21"/>
                <w:highlight w:val="none"/>
              </w:rPr>
              <w:t>备注</w:t>
            </w:r>
          </w:p>
        </w:tc>
      </w:tr>
      <w:tr w14:paraId="33BB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A91C6D8">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14:paraId="60640912">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14:paraId="12A6B987">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14:paraId="247680FD">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lang w:val="en-US" w:eastAsia="zh-CN"/>
              </w:rPr>
              <w:t>投标截止时间前</w:t>
            </w:r>
          </w:p>
        </w:tc>
        <w:tc>
          <w:tcPr>
            <w:tcW w:w="3175" w:type="dxa"/>
            <w:vAlign w:val="center"/>
          </w:tcPr>
          <w:p w14:paraId="2CD03DEE">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14:paraId="2958B429">
            <w:pPr>
              <w:autoSpaceDE w:val="0"/>
              <w:autoSpaceDN w:val="0"/>
              <w:adjustRightInd w:val="0"/>
              <w:snapToGrid w:val="0"/>
              <w:spacing w:before="0" w:beforeLines="0" w:line="400" w:lineRule="exact"/>
              <w:jc w:val="center"/>
              <w:rPr>
                <w:rFonts w:ascii="宋体" w:hAnsi="宋体"/>
                <w:szCs w:val="21"/>
                <w:highlight w:val="none"/>
              </w:rPr>
            </w:pPr>
          </w:p>
        </w:tc>
      </w:tr>
      <w:tr w14:paraId="0260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2B8AC07E">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14:paraId="3203FAD8">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14:paraId="6B46E947">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14:paraId="6B2F38F2">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14:paraId="39334407">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14:paraId="2995CF6D">
            <w:pPr>
              <w:autoSpaceDE w:val="0"/>
              <w:autoSpaceDN w:val="0"/>
              <w:adjustRightInd w:val="0"/>
              <w:snapToGrid w:val="0"/>
              <w:spacing w:before="0" w:beforeLines="0" w:line="400" w:lineRule="exact"/>
              <w:jc w:val="center"/>
              <w:rPr>
                <w:rFonts w:ascii="宋体" w:hAnsi="宋体"/>
                <w:szCs w:val="21"/>
                <w:highlight w:val="none"/>
              </w:rPr>
            </w:pPr>
          </w:p>
        </w:tc>
      </w:tr>
      <w:tr w14:paraId="00BD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019B94A">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14:paraId="44183DEA">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14:paraId="2F2FA72D">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14:paraId="7FBC0739">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14:paraId="39BF54E6">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14:paraId="25474D67">
            <w:pPr>
              <w:autoSpaceDE w:val="0"/>
              <w:autoSpaceDN w:val="0"/>
              <w:adjustRightInd w:val="0"/>
              <w:snapToGrid w:val="0"/>
              <w:spacing w:before="0" w:beforeLines="0" w:line="400" w:lineRule="exact"/>
              <w:jc w:val="center"/>
              <w:rPr>
                <w:rFonts w:ascii="宋体" w:hAnsi="宋体"/>
                <w:szCs w:val="21"/>
                <w:highlight w:val="none"/>
              </w:rPr>
            </w:pPr>
          </w:p>
        </w:tc>
      </w:tr>
      <w:tr w14:paraId="2C40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BDBA51D">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14:paraId="7BCD44A7">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14:paraId="13338BA9">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14:paraId="13D9EEDB">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14:paraId="591007CA">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14:paraId="4A927CBB">
            <w:pPr>
              <w:autoSpaceDE w:val="0"/>
              <w:autoSpaceDN w:val="0"/>
              <w:adjustRightInd w:val="0"/>
              <w:snapToGrid w:val="0"/>
              <w:spacing w:before="0" w:beforeLines="0" w:line="400" w:lineRule="exact"/>
              <w:jc w:val="center"/>
              <w:rPr>
                <w:rFonts w:ascii="宋体" w:hAnsi="宋体"/>
                <w:szCs w:val="21"/>
                <w:highlight w:val="none"/>
              </w:rPr>
            </w:pPr>
          </w:p>
        </w:tc>
      </w:tr>
      <w:tr w14:paraId="4D58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B4DA343">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14:paraId="256CB9E5">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14:paraId="0B57ABCF">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14:paraId="470803BE">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14:paraId="5009F289">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14:paraId="0BC67830">
            <w:pPr>
              <w:autoSpaceDE w:val="0"/>
              <w:autoSpaceDN w:val="0"/>
              <w:adjustRightInd w:val="0"/>
              <w:snapToGrid w:val="0"/>
              <w:spacing w:before="0" w:beforeLines="0" w:line="400" w:lineRule="exact"/>
              <w:jc w:val="center"/>
              <w:rPr>
                <w:rFonts w:ascii="宋体" w:hAnsi="宋体"/>
                <w:szCs w:val="21"/>
                <w:highlight w:val="none"/>
              </w:rPr>
            </w:pPr>
          </w:p>
        </w:tc>
      </w:tr>
      <w:tr w14:paraId="7BAD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2A08EAE2">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14:paraId="5540D6B6">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14:paraId="6F45CA9C">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14:paraId="24E24D8C">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14:paraId="0D226232">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14:paraId="6A67311E">
            <w:pPr>
              <w:autoSpaceDE w:val="0"/>
              <w:autoSpaceDN w:val="0"/>
              <w:adjustRightInd w:val="0"/>
              <w:snapToGrid w:val="0"/>
              <w:spacing w:before="0" w:beforeLines="0" w:line="400" w:lineRule="exact"/>
              <w:jc w:val="center"/>
              <w:rPr>
                <w:rFonts w:ascii="宋体" w:hAnsi="宋体"/>
                <w:szCs w:val="21"/>
                <w:highlight w:val="none"/>
              </w:rPr>
            </w:pPr>
          </w:p>
        </w:tc>
      </w:tr>
      <w:tr w14:paraId="51AF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9D33722">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14:paraId="12467C07">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14:paraId="646ED1F4">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14:paraId="797C1221">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14:paraId="4A91FD62">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14:paraId="29CBC07D">
            <w:pPr>
              <w:autoSpaceDE w:val="0"/>
              <w:autoSpaceDN w:val="0"/>
              <w:adjustRightInd w:val="0"/>
              <w:snapToGrid w:val="0"/>
              <w:spacing w:before="0" w:beforeLines="0" w:line="400" w:lineRule="exact"/>
              <w:jc w:val="center"/>
              <w:rPr>
                <w:rFonts w:ascii="宋体" w:hAnsi="宋体"/>
                <w:szCs w:val="21"/>
                <w:highlight w:val="none"/>
              </w:rPr>
            </w:pPr>
          </w:p>
        </w:tc>
      </w:tr>
      <w:tr w14:paraId="7B68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B74F8B7">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14:paraId="44961E3E">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14:paraId="289687C4">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14:paraId="17FE4DFF">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14:paraId="70A85CCC">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14:paraId="1DFA3111">
            <w:pPr>
              <w:autoSpaceDE w:val="0"/>
              <w:autoSpaceDN w:val="0"/>
              <w:adjustRightInd w:val="0"/>
              <w:snapToGrid w:val="0"/>
              <w:spacing w:before="0" w:beforeLines="0" w:line="400" w:lineRule="exact"/>
              <w:jc w:val="center"/>
              <w:rPr>
                <w:rFonts w:ascii="宋体" w:hAnsi="宋体"/>
                <w:szCs w:val="21"/>
                <w:highlight w:val="none"/>
              </w:rPr>
            </w:pPr>
          </w:p>
        </w:tc>
      </w:tr>
      <w:tr w14:paraId="1149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F4E4E1E">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14:paraId="51549092">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14:paraId="6566EEA7">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14:paraId="7DDFB4A6">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14:paraId="5E15D34F">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14:paraId="41A0A6C9">
            <w:pPr>
              <w:autoSpaceDE w:val="0"/>
              <w:autoSpaceDN w:val="0"/>
              <w:adjustRightInd w:val="0"/>
              <w:snapToGrid w:val="0"/>
              <w:spacing w:before="0" w:beforeLines="0" w:line="400" w:lineRule="exact"/>
              <w:jc w:val="center"/>
              <w:rPr>
                <w:rFonts w:ascii="宋体" w:hAnsi="宋体"/>
                <w:szCs w:val="21"/>
                <w:highlight w:val="none"/>
              </w:rPr>
            </w:pPr>
          </w:p>
        </w:tc>
      </w:tr>
      <w:tr w14:paraId="2E17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5B2286A">
            <w:pPr>
              <w:autoSpaceDE w:val="0"/>
              <w:autoSpaceDN w:val="0"/>
              <w:adjustRightInd w:val="0"/>
              <w:snapToGrid w:val="0"/>
              <w:spacing w:before="0" w:beforeLines="0" w:line="400" w:lineRule="exact"/>
              <w:jc w:val="center"/>
              <w:rPr>
                <w:rFonts w:ascii="宋体" w:hAnsi="宋体"/>
                <w:szCs w:val="21"/>
                <w:highlight w:val="none"/>
              </w:rPr>
            </w:pPr>
          </w:p>
        </w:tc>
        <w:tc>
          <w:tcPr>
            <w:tcW w:w="2264" w:type="dxa"/>
            <w:vAlign w:val="center"/>
          </w:tcPr>
          <w:p w14:paraId="635C0399">
            <w:pPr>
              <w:autoSpaceDE w:val="0"/>
              <w:autoSpaceDN w:val="0"/>
              <w:adjustRightInd w:val="0"/>
              <w:snapToGrid w:val="0"/>
              <w:spacing w:before="0" w:beforeLines="0" w:line="400" w:lineRule="exact"/>
              <w:jc w:val="center"/>
              <w:rPr>
                <w:rFonts w:ascii="宋体" w:hAnsi="宋体"/>
                <w:szCs w:val="21"/>
                <w:highlight w:val="none"/>
              </w:rPr>
            </w:pPr>
          </w:p>
        </w:tc>
        <w:tc>
          <w:tcPr>
            <w:tcW w:w="2103" w:type="dxa"/>
            <w:vAlign w:val="center"/>
          </w:tcPr>
          <w:p w14:paraId="7FC9DEEC">
            <w:pPr>
              <w:autoSpaceDE w:val="0"/>
              <w:autoSpaceDN w:val="0"/>
              <w:adjustRightInd w:val="0"/>
              <w:snapToGrid w:val="0"/>
              <w:spacing w:before="0" w:beforeLines="0" w:line="400" w:lineRule="exact"/>
              <w:jc w:val="center"/>
              <w:rPr>
                <w:rFonts w:ascii="宋体" w:hAnsi="宋体"/>
                <w:szCs w:val="21"/>
                <w:highlight w:val="none"/>
              </w:rPr>
            </w:pPr>
          </w:p>
        </w:tc>
        <w:tc>
          <w:tcPr>
            <w:tcW w:w="2987" w:type="dxa"/>
            <w:vAlign w:val="center"/>
          </w:tcPr>
          <w:p w14:paraId="21B7C93F">
            <w:pPr>
              <w:autoSpaceDE w:val="0"/>
              <w:autoSpaceDN w:val="0"/>
              <w:adjustRightInd w:val="0"/>
              <w:snapToGrid w:val="0"/>
              <w:spacing w:before="0" w:beforeLines="0" w:line="400" w:lineRule="exact"/>
              <w:jc w:val="center"/>
              <w:rPr>
                <w:rFonts w:ascii="宋体" w:hAnsi="宋体"/>
                <w:szCs w:val="21"/>
                <w:highlight w:val="none"/>
              </w:rPr>
            </w:pPr>
            <w:r>
              <w:rPr>
                <w:rFonts w:hint="eastAsia" w:ascii="宋体" w:hAnsi="宋体"/>
                <w:szCs w:val="21"/>
                <w:highlight w:val="none"/>
                <w:u w:val="single"/>
              </w:rPr>
              <w:t>……</w:t>
            </w:r>
          </w:p>
        </w:tc>
        <w:tc>
          <w:tcPr>
            <w:tcW w:w="3175" w:type="dxa"/>
            <w:vAlign w:val="center"/>
          </w:tcPr>
          <w:p w14:paraId="3BFC58EA">
            <w:pPr>
              <w:autoSpaceDE w:val="0"/>
              <w:autoSpaceDN w:val="0"/>
              <w:adjustRightInd w:val="0"/>
              <w:snapToGrid w:val="0"/>
              <w:spacing w:before="0" w:beforeLines="0" w:line="400" w:lineRule="exact"/>
              <w:jc w:val="center"/>
              <w:rPr>
                <w:rFonts w:ascii="宋体" w:hAnsi="宋体"/>
                <w:szCs w:val="21"/>
                <w:highlight w:val="none"/>
              </w:rPr>
            </w:pPr>
          </w:p>
        </w:tc>
        <w:tc>
          <w:tcPr>
            <w:tcW w:w="3175" w:type="dxa"/>
            <w:vAlign w:val="center"/>
          </w:tcPr>
          <w:p w14:paraId="61A628BF">
            <w:pPr>
              <w:autoSpaceDE w:val="0"/>
              <w:autoSpaceDN w:val="0"/>
              <w:adjustRightInd w:val="0"/>
              <w:snapToGrid w:val="0"/>
              <w:spacing w:before="0" w:beforeLines="0" w:line="400" w:lineRule="exact"/>
              <w:jc w:val="center"/>
              <w:rPr>
                <w:rFonts w:ascii="宋体" w:hAnsi="宋体"/>
                <w:szCs w:val="21"/>
                <w:highlight w:val="none"/>
              </w:rPr>
            </w:pPr>
          </w:p>
        </w:tc>
      </w:tr>
    </w:tbl>
    <w:p w14:paraId="25864A0B">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宋体" w:hAnsi="宋体" w:cs="宋体"/>
          <w:snapToGrid w:val="0"/>
          <w:kern w:val="0"/>
          <w:szCs w:val="21"/>
          <w:highlight w:val="none"/>
        </w:rPr>
      </w:pPr>
      <w:r>
        <w:rPr>
          <w:rFonts w:hint="eastAsia" w:ascii="宋体" w:hAnsi="宋体" w:cs="宋体"/>
          <w:snapToGrid w:val="0"/>
          <w:kern w:val="0"/>
          <w:sz w:val="24"/>
          <w:highlight w:val="none"/>
          <w:lang w:val="en-US" w:eastAsia="zh-CN"/>
        </w:rPr>
        <w:t>（注：</w:t>
      </w:r>
      <w:r>
        <w:rPr>
          <w:rFonts w:hint="eastAsia" w:ascii="宋体" w:hAnsi="宋体" w:cs="宋体"/>
          <w:snapToGrid w:val="0"/>
          <w:kern w:val="0"/>
          <w:szCs w:val="21"/>
          <w:highlight w:val="none"/>
        </w:rPr>
        <w:t>招标人</w:t>
      </w:r>
      <w:r>
        <w:rPr>
          <w:rFonts w:hint="eastAsia" w:ascii="宋体" w:hAnsi="宋体" w:cs="宋体"/>
          <w:snapToGrid w:val="0"/>
          <w:kern w:val="0"/>
          <w:szCs w:val="21"/>
          <w:highlight w:val="none"/>
          <w:lang w:eastAsia="zh-CN"/>
        </w:rPr>
        <w:t>、监标人</w:t>
      </w:r>
      <w:r>
        <w:rPr>
          <w:rFonts w:hint="eastAsia" w:ascii="宋体" w:hAnsi="宋体" w:cs="宋体"/>
          <w:snapToGrid w:val="0"/>
          <w:kern w:val="0"/>
          <w:szCs w:val="21"/>
          <w:highlight w:val="none"/>
          <w:lang w:val="en-US" w:eastAsia="zh-CN"/>
        </w:rPr>
        <w:t>栏显示单位名称，</w:t>
      </w:r>
      <w:r>
        <w:rPr>
          <w:rFonts w:hint="eastAsia" w:ascii="宋体" w:hAnsi="宋体" w:cs="宋体"/>
          <w:snapToGrid w:val="0"/>
          <w:kern w:val="0"/>
          <w:szCs w:val="21"/>
          <w:highlight w:val="none"/>
        </w:rPr>
        <w:t>记录人</w:t>
      </w:r>
      <w:r>
        <w:rPr>
          <w:rFonts w:hint="eastAsia" w:ascii="宋体" w:hAnsi="宋体" w:cs="宋体"/>
          <w:snapToGrid w:val="0"/>
          <w:kern w:val="0"/>
          <w:szCs w:val="21"/>
          <w:highlight w:val="none"/>
          <w:lang w:val="en-US" w:eastAsia="zh-CN"/>
        </w:rPr>
        <w:t>栏显示人名。</w:t>
      </w:r>
      <w:r>
        <w:rPr>
          <w:rFonts w:hint="eastAsia" w:ascii="宋体" w:hAnsi="宋体" w:cs="宋体"/>
          <w:snapToGrid w:val="0"/>
          <w:kern w:val="0"/>
          <w:sz w:val="24"/>
          <w:highlight w:val="none"/>
          <w:lang w:val="en-US" w:eastAsia="zh-CN"/>
        </w:rPr>
        <w:t>）</w:t>
      </w:r>
    </w:p>
    <w:p w14:paraId="144FD2BE">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cs="MingLiU"/>
          <w:snapToGrid w:val="0"/>
          <w:w w:val="200"/>
          <w:kern w:val="0"/>
          <w:szCs w:val="21"/>
          <w:highlight w:val="none"/>
          <w:u w:val="single"/>
        </w:rPr>
      </w:pPr>
      <w:r>
        <w:rPr>
          <w:rFonts w:hint="eastAsia" w:ascii="宋体" w:hAnsi="宋体" w:cs="宋体"/>
          <w:snapToGrid w:val="0"/>
          <w:kern w:val="0"/>
          <w:szCs w:val="21"/>
          <w:highlight w:val="none"/>
        </w:rPr>
        <w:t>招标人：</w:t>
      </w:r>
      <w:r>
        <w:rPr>
          <w:rFonts w:hint="eastAsia" w:ascii="宋体" w:hAnsi="宋体" w:cs="宋体"/>
          <w:snapToGrid w:val="0"/>
          <w:w w:val="200"/>
          <w:kern w:val="0"/>
          <w:szCs w:val="21"/>
          <w:highlight w:val="none"/>
          <w:u w:val="single"/>
        </w:rPr>
        <w:t xml:space="preserve">      </w:t>
      </w:r>
      <w:r>
        <w:rPr>
          <w:rFonts w:hint="eastAsia" w:ascii="宋体" w:hAnsi="宋体" w:cs="宋体"/>
          <w:snapToGrid w:val="0"/>
          <w:w w:val="200"/>
          <w:kern w:val="0"/>
          <w:szCs w:val="21"/>
          <w:highlight w:val="none"/>
        </w:rPr>
        <w:t xml:space="preserve">      </w:t>
      </w:r>
      <w:r>
        <w:rPr>
          <w:rFonts w:hint="eastAsia" w:ascii="宋体" w:hAnsi="宋体" w:cs="宋体"/>
          <w:snapToGrid w:val="0"/>
          <w:kern w:val="0"/>
          <w:szCs w:val="21"/>
          <w:highlight w:val="none"/>
        </w:rPr>
        <w:t>监标人：</w:t>
      </w:r>
      <w:r>
        <w:rPr>
          <w:rFonts w:hint="eastAsia" w:ascii="宋体" w:hAnsi="宋体" w:cs="宋体"/>
          <w:snapToGrid w:val="0"/>
          <w:w w:val="200"/>
          <w:kern w:val="0"/>
          <w:szCs w:val="21"/>
          <w:highlight w:val="none"/>
          <w:u w:val="single"/>
        </w:rPr>
        <w:t xml:space="preserve">      </w:t>
      </w:r>
      <w:r>
        <w:rPr>
          <w:rFonts w:hint="eastAsia" w:ascii="宋体" w:hAnsi="宋体" w:cs="宋体"/>
          <w:snapToGrid w:val="0"/>
          <w:w w:val="200"/>
          <w:kern w:val="0"/>
          <w:szCs w:val="21"/>
          <w:highlight w:val="none"/>
        </w:rPr>
        <w:t xml:space="preserve">      </w:t>
      </w:r>
      <w:r>
        <w:rPr>
          <w:rFonts w:hint="eastAsia" w:ascii="宋体" w:hAnsi="宋体" w:cs="宋体"/>
          <w:snapToGrid w:val="0"/>
          <w:kern w:val="0"/>
          <w:szCs w:val="21"/>
          <w:highlight w:val="none"/>
        </w:rPr>
        <w:t>记录人：</w:t>
      </w:r>
      <w:r>
        <w:rPr>
          <w:rFonts w:hint="eastAsia" w:ascii="宋体" w:hAnsi="宋体" w:cs="宋体"/>
          <w:snapToGrid w:val="0"/>
          <w:w w:val="200"/>
          <w:kern w:val="0"/>
          <w:szCs w:val="21"/>
          <w:highlight w:val="none"/>
          <w:u w:val="single"/>
        </w:rPr>
        <w:t xml:space="preserve">      </w:t>
      </w:r>
    </w:p>
    <w:p w14:paraId="38B4EFE2">
      <w:pPr>
        <w:autoSpaceDE w:val="0"/>
        <w:autoSpaceDN w:val="0"/>
        <w:adjustRightInd w:val="0"/>
        <w:snapToGrid w:val="0"/>
        <w:spacing w:before="48" w:beforeLines="20" w:line="360" w:lineRule="auto"/>
        <w:jc w:val="right"/>
        <w:rPr>
          <w:rFonts w:ascii="宋体" w:hAnsi="宋体"/>
          <w:snapToGrid w:val="0"/>
          <w:color w:val="auto"/>
          <w:kern w:val="0"/>
          <w:sz w:val="24"/>
          <w:highlight w:val="none"/>
        </w:rPr>
        <w:sectPr>
          <w:pgSz w:w="16840" w:h="11907" w:orient="landscape"/>
          <w:pgMar w:top="1418" w:right="1418" w:bottom="1418" w:left="1418" w:header="851" w:footer="1247" w:gutter="0"/>
          <w:pgBorders>
            <w:top w:val="none" w:sz="0" w:space="0"/>
            <w:left w:val="none" w:sz="0" w:space="0"/>
            <w:bottom w:val="none" w:sz="0" w:space="0"/>
            <w:right w:val="none" w:sz="0" w:space="0"/>
          </w:pgBorders>
          <w:pgNumType w:fmt="numberInDash"/>
          <w:cols w:space="720" w:num="1"/>
          <w:titlePg/>
        </w:sectPr>
      </w:pP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6B51F9A5">
      <w:pPr>
        <w:pStyle w:val="4"/>
        <w:rPr>
          <w:color w:val="auto"/>
          <w:highlight w:val="none"/>
        </w:rPr>
      </w:pPr>
      <w:bookmarkStart w:id="714" w:name="_Toc59810351"/>
      <w:bookmarkStart w:id="715" w:name="_Toc14451"/>
      <w:bookmarkStart w:id="716" w:name="_Toc16903"/>
      <w:bookmarkStart w:id="717" w:name="_Toc27147"/>
      <w:bookmarkStart w:id="718" w:name="_Toc17876"/>
      <w:bookmarkStart w:id="719" w:name="_Toc30784"/>
      <w:bookmarkStart w:id="720" w:name="_Toc24980"/>
      <w:bookmarkStart w:id="721" w:name="_Toc1011"/>
      <w:bookmarkStart w:id="722" w:name="_Toc20232"/>
      <w:r>
        <w:rPr>
          <w:color w:val="auto"/>
          <w:sz w:val="21"/>
          <w:szCs w:val="21"/>
          <w:highlight w:val="none"/>
        </w:rPr>
        <w:t>附</w:t>
      </w:r>
      <w:r>
        <w:rPr>
          <w:rFonts w:hint="eastAsia"/>
          <w:color w:val="auto"/>
          <w:sz w:val="21"/>
          <w:szCs w:val="21"/>
          <w:highlight w:val="none"/>
        </w:rPr>
        <w:t>表</w:t>
      </w:r>
      <w:r>
        <w:rPr>
          <w:rFonts w:hint="default"/>
          <w:color w:val="auto"/>
          <w:sz w:val="21"/>
          <w:szCs w:val="21"/>
          <w:highlight w:val="none"/>
          <w:lang w:val="en-US"/>
        </w:rPr>
        <w:t>三</w:t>
      </w:r>
      <w:r>
        <w:rPr>
          <w:color w:val="auto"/>
          <w:sz w:val="21"/>
          <w:szCs w:val="21"/>
          <w:highlight w:val="none"/>
        </w:rPr>
        <w:t>：</w:t>
      </w:r>
      <w:bookmarkEnd w:id="714"/>
      <w:r>
        <w:rPr>
          <w:rFonts w:hint="eastAsia"/>
          <w:color w:val="auto"/>
          <w:sz w:val="21"/>
          <w:szCs w:val="21"/>
          <w:highlight w:val="none"/>
        </w:rPr>
        <w:t>问题澄清通知</w:t>
      </w:r>
      <w:bookmarkEnd w:id="715"/>
      <w:bookmarkEnd w:id="716"/>
      <w:bookmarkEnd w:id="717"/>
      <w:bookmarkEnd w:id="718"/>
      <w:bookmarkEnd w:id="719"/>
      <w:bookmarkEnd w:id="720"/>
      <w:bookmarkEnd w:id="721"/>
      <w:bookmarkEnd w:id="722"/>
      <w:r>
        <w:rPr>
          <w:color w:val="auto"/>
          <w:highlight w:val="none"/>
        </w:rPr>
        <w:t xml:space="preserve"> </w:t>
      </w:r>
    </w:p>
    <w:p w14:paraId="19A4AA3C">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14:paraId="015BC228">
      <w:pPr>
        <w:autoSpaceDE w:val="0"/>
        <w:autoSpaceDN w:val="0"/>
        <w:adjustRightInd w:val="0"/>
        <w:snapToGrid w:val="0"/>
        <w:spacing w:line="360" w:lineRule="auto"/>
        <w:jc w:val="left"/>
        <w:rPr>
          <w:rFonts w:ascii="宋体" w:hAnsi="宋体"/>
          <w:b/>
          <w:snapToGrid w:val="0"/>
          <w:color w:val="auto"/>
          <w:kern w:val="0"/>
          <w:sz w:val="24"/>
          <w:highlight w:val="none"/>
        </w:rPr>
      </w:pPr>
    </w:p>
    <w:p w14:paraId="3092A9B9">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7B9B2D72">
      <w:pPr>
        <w:autoSpaceDE w:val="0"/>
        <w:autoSpaceDN w:val="0"/>
        <w:adjustRightInd w:val="0"/>
        <w:snapToGrid w:val="0"/>
        <w:spacing w:line="360" w:lineRule="auto"/>
        <w:jc w:val="left"/>
        <w:rPr>
          <w:rFonts w:ascii="宋体" w:hAnsi="宋体"/>
          <w:b/>
          <w:snapToGrid w:val="0"/>
          <w:color w:val="auto"/>
          <w:kern w:val="0"/>
          <w:sz w:val="24"/>
          <w:highlight w:val="none"/>
        </w:rPr>
      </w:pPr>
    </w:p>
    <w:p w14:paraId="1018B882">
      <w:pPr>
        <w:autoSpaceDE w:val="0"/>
        <w:autoSpaceDN w:val="0"/>
        <w:adjustRightInd w:val="0"/>
        <w:snapToGrid w:val="0"/>
        <w:spacing w:line="360" w:lineRule="auto"/>
        <w:ind w:firstLine="140" w:firstLineChars="50"/>
        <w:rPr>
          <w:rFonts w:ascii="宋体" w:hAnsi="宋体"/>
          <w:snapToGrid w:val="0"/>
          <w:color w:val="auto"/>
          <w:kern w:val="0"/>
          <w:sz w:val="28"/>
          <w:szCs w:val="28"/>
          <w:highlight w:val="none"/>
        </w:rPr>
      </w:pPr>
    </w:p>
    <w:p w14:paraId="2BE24F38">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（投标人名称）：</w:t>
      </w:r>
    </w:p>
    <w:p w14:paraId="40772B22">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招标的评标委员会，对你方的投标文件进行了仔细的审查，现需你方对下列问题予以澄清：</w:t>
      </w:r>
    </w:p>
    <w:p w14:paraId="50DDA9CD">
      <w:pPr>
        <w:autoSpaceDE w:val="0"/>
        <w:autoSpaceDN w:val="0"/>
        <w:adjustRightInd w:val="0"/>
        <w:snapToGrid w:val="0"/>
        <w:spacing w:line="360" w:lineRule="auto"/>
        <w:jc w:val="left"/>
        <w:rPr>
          <w:rFonts w:ascii="宋体" w:hAnsi="宋体"/>
          <w:snapToGrid w:val="0"/>
          <w:color w:val="auto"/>
          <w:kern w:val="0"/>
          <w:sz w:val="24"/>
          <w:highlight w:val="none"/>
        </w:rPr>
      </w:pPr>
    </w:p>
    <w:p w14:paraId="10DFC088">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4F618321">
      <w:pPr>
        <w:autoSpaceDE w:val="0"/>
        <w:autoSpaceDN w:val="0"/>
        <w:adjustRightInd w:val="0"/>
        <w:snapToGrid w:val="0"/>
        <w:spacing w:line="360" w:lineRule="auto"/>
        <w:jc w:val="left"/>
        <w:rPr>
          <w:rFonts w:ascii="宋体" w:hAnsi="宋体"/>
          <w:snapToGrid w:val="0"/>
          <w:color w:val="auto"/>
          <w:kern w:val="0"/>
          <w:szCs w:val="21"/>
          <w:highlight w:val="none"/>
        </w:rPr>
      </w:pPr>
    </w:p>
    <w:p w14:paraId="1742B665">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19871FA5">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5FEF5DF6">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7BD4F6FA">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42B77E92">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30F48F8E">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4CB08F2D">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3B73D78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w:t>
      </w:r>
      <w:r>
        <w:rPr>
          <w:rFonts w:hint="eastAsia" w:ascii="宋体" w:hAnsi="宋体"/>
          <w:snapToGrid w:val="0"/>
          <w:color w:val="auto"/>
          <w:kern w:val="0"/>
          <w:szCs w:val="21"/>
          <w:highlight w:val="none"/>
        </w:rPr>
        <w:t>提交</w:t>
      </w:r>
      <w:r>
        <w:rPr>
          <w:rFonts w:ascii="宋体" w:hAnsi="宋体"/>
          <w:snapToGrid w:val="0"/>
          <w:color w:val="auto"/>
          <w:kern w:val="0"/>
          <w:szCs w:val="21"/>
          <w:highlight w:val="none"/>
        </w:rPr>
        <w:t>。</w:t>
      </w:r>
    </w:p>
    <w:p w14:paraId="13D8093F">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1BE641F">
      <w:pPr>
        <w:autoSpaceDE w:val="0"/>
        <w:autoSpaceDN w:val="0"/>
        <w:adjustRightInd w:val="0"/>
        <w:snapToGrid w:val="0"/>
        <w:spacing w:line="360" w:lineRule="auto"/>
        <w:jc w:val="left"/>
        <w:rPr>
          <w:rFonts w:ascii="宋体" w:hAnsi="宋体"/>
          <w:snapToGrid w:val="0"/>
          <w:color w:val="auto"/>
          <w:kern w:val="0"/>
          <w:sz w:val="28"/>
          <w:szCs w:val="28"/>
          <w:highlight w:val="none"/>
        </w:rPr>
      </w:pPr>
    </w:p>
    <w:p w14:paraId="6679B464">
      <w:pPr>
        <w:tabs>
          <w:tab w:val="left" w:pos="640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w:t>
      </w:r>
    </w:p>
    <w:p w14:paraId="00794665">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14:paraId="2FD63E33">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52D88B3C">
      <w:pPr>
        <w:pStyle w:val="4"/>
        <w:rPr>
          <w:rFonts w:ascii="宋体" w:hAnsi="宋体"/>
          <w:b w:val="0"/>
          <w:snapToGrid w:val="0"/>
          <w:color w:val="auto"/>
          <w:kern w:val="0"/>
          <w:highlight w:val="none"/>
        </w:rPr>
      </w:pPr>
      <w:r>
        <w:rPr>
          <w:rFonts w:ascii="宋体" w:hAnsi="宋体"/>
          <w:snapToGrid w:val="0"/>
          <w:color w:val="auto"/>
          <w:kern w:val="0"/>
          <w:sz w:val="24"/>
          <w:highlight w:val="none"/>
        </w:rPr>
        <w:br w:type="page"/>
      </w:r>
      <w:bookmarkStart w:id="723" w:name="_Toc59810352"/>
      <w:bookmarkStart w:id="724" w:name="_Toc705"/>
      <w:bookmarkStart w:id="725" w:name="_Toc4134"/>
      <w:bookmarkStart w:id="726" w:name="_Toc4834"/>
      <w:bookmarkStart w:id="727" w:name="_Toc7802"/>
      <w:bookmarkStart w:id="728" w:name="_Toc1144"/>
      <w:bookmarkStart w:id="729" w:name="_Toc29962"/>
      <w:bookmarkStart w:id="730" w:name="_Toc32411"/>
      <w:bookmarkStart w:id="731" w:name="_Toc26057"/>
      <w:r>
        <w:rPr>
          <w:color w:val="auto"/>
          <w:sz w:val="21"/>
          <w:szCs w:val="21"/>
          <w:highlight w:val="none"/>
        </w:rPr>
        <w:t>附</w:t>
      </w:r>
      <w:r>
        <w:rPr>
          <w:rFonts w:hint="eastAsia"/>
          <w:color w:val="auto"/>
          <w:sz w:val="21"/>
          <w:szCs w:val="21"/>
          <w:highlight w:val="none"/>
        </w:rPr>
        <w:t>表</w:t>
      </w:r>
      <w:r>
        <w:rPr>
          <w:rFonts w:hint="default"/>
          <w:color w:val="auto"/>
          <w:sz w:val="21"/>
          <w:szCs w:val="21"/>
          <w:highlight w:val="none"/>
          <w:lang w:val="en-US"/>
        </w:rPr>
        <w:t>四</w:t>
      </w:r>
      <w:r>
        <w:rPr>
          <w:color w:val="auto"/>
          <w:sz w:val="21"/>
          <w:szCs w:val="21"/>
          <w:highlight w:val="none"/>
        </w:rPr>
        <w:t>：</w:t>
      </w:r>
      <w:bookmarkEnd w:id="723"/>
      <w:r>
        <w:rPr>
          <w:rFonts w:hint="eastAsia"/>
          <w:color w:val="auto"/>
          <w:sz w:val="21"/>
          <w:szCs w:val="21"/>
          <w:highlight w:val="none"/>
        </w:rPr>
        <w:t>问题的澄清</w:t>
      </w:r>
      <w:bookmarkEnd w:id="724"/>
      <w:bookmarkEnd w:id="725"/>
      <w:bookmarkEnd w:id="726"/>
      <w:bookmarkEnd w:id="727"/>
      <w:bookmarkEnd w:id="728"/>
      <w:bookmarkEnd w:id="729"/>
      <w:bookmarkEnd w:id="730"/>
      <w:bookmarkEnd w:id="731"/>
    </w:p>
    <w:p w14:paraId="0155ECF1">
      <w:pPr>
        <w:autoSpaceDE w:val="0"/>
        <w:autoSpaceDN w:val="0"/>
        <w:adjustRightInd w:val="0"/>
        <w:snapToGrid w:val="0"/>
        <w:spacing w:line="360" w:lineRule="auto"/>
        <w:jc w:val="left"/>
        <w:rPr>
          <w:rFonts w:ascii="宋体" w:hAnsi="宋体"/>
          <w:b/>
          <w:snapToGrid w:val="0"/>
          <w:color w:val="auto"/>
          <w:kern w:val="0"/>
          <w:sz w:val="10"/>
          <w:szCs w:val="10"/>
          <w:highlight w:val="none"/>
        </w:rPr>
      </w:pPr>
    </w:p>
    <w:p w14:paraId="263C03EF">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14:paraId="4EFF7BFD">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14:paraId="4BFE09F8">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1705EEA6">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6BF19FC1">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5584F836">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（项目名称）招标评标委员会：</w:t>
      </w:r>
    </w:p>
    <w:p w14:paraId="4315E303">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14:paraId="21313120">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4ECC637A">
      <w:pPr>
        <w:autoSpaceDE w:val="0"/>
        <w:autoSpaceDN w:val="0"/>
        <w:adjustRightInd w:val="0"/>
        <w:snapToGrid w:val="0"/>
        <w:spacing w:line="360" w:lineRule="auto"/>
        <w:jc w:val="left"/>
        <w:rPr>
          <w:rFonts w:ascii="宋体" w:hAnsi="宋体"/>
          <w:snapToGrid w:val="0"/>
          <w:color w:val="auto"/>
          <w:kern w:val="0"/>
          <w:szCs w:val="21"/>
          <w:highlight w:val="none"/>
        </w:rPr>
      </w:pPr>
    </w:p>
    <w:p w14:paraId="26953209">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01A919AE">
      <w:pPr>
        <w:autoSpaceDE w:val="0"/>
        <w:autoSpaceDN w:val="0"/>
        <w:adjustRightInd w:val="0"/>
        <w:snapToGrid w:val="0"/>
        <w:spacing w:line="360" w:lineRule="auto"/>
        <w:jc w:val="left"/>
        <w:rPr>
          <w:rFonts w:ascii="宋体" w:hAnsi="宋体"/>
          <w:snapToGrid w:val="0"/>
          <w:color w:val="auto"/>
          <w:kern w:val="0"/>
          <w:szCs w:val="21"/>
          <w:highlight w:val="none"/>
        </w:rPr>
      </w:pPr>
    </w:p>
    <w:p w14:paraId="660D53E8">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15D8CCFA">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2C959E33">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7271C412">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2E264AB">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4BDCC000">
      <w:pPr>
        <w:autoSpaceDE w:val="0"/>
        <w:autoSpaceDN w:val="0"/>
        <w:adjustRightInd w:val="0"/>
        <w:snapToGrid w:val="0"/>
        <w:spacing w:line="360" w:lineRule="auto"/>
        <w:jc w:val="right"/>
        <w:rPr>
          <w:rFonts w:ascii="宋体" w:hAnsi="宋体"/>
          <w:snapToGrid w:val="0"/>
          <w:color w:val="auto"/>
          <w:kern w:val="0"/>
          <w:sz w:val="20"/>
          <w:szCs w:val="20"/>
          <w:highlight w:val="none"/>
        </w:rPr>
      </w:pPr>
    </w:p>
    <w:p w14:paraId="1A44A15C">
      <w:pPr>
        <w:tabs>
          <w:tab w:val="left" w:pos="7040"/>
        </w:tabs>
        <w:autoSpaceDE w:val="0"/>
        <w:autoSpaceDN w:val="0"/>
        <w:adjustRightInd w:val="0"/>
        <w:snapToGrid w:val="0"/>
        <w:spacing w:line="480" w:lineRule="auto"/>
        <w:ind w:right="1260"/>
        <w:jc w:val="right"/>
        <w:rPr>
          <w:rFonts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（盖单位法人章）</w:t>
      </w:r>
    </w:p>
    <w:p w14:paraId="22404266">
      <w:pPr>
        <w:tabs>
          <w:tab w:val="left" w:pos="7040"/>
        </w:tabs>
        <w:autoSpaceDE w:val="0"/>
        <w:autoSpaceDN w:val="0"/>
        <w:adjustRightInd w:val="0"/>
        <w:snapToGrid w:val="0"/>
        <w:spacing w:line="480" w:lineRule="auto"/>
        <w:ind w:right="1260"/>
        <w:jc w:val="right"/>
        <w:rPr>
          <w:rFonts w:ascii="宋体" w:hAnsi="宋体"/>
          <w:snapToGrid w:val="0"/>
          <w:color w:val="auto"/>
          <w:kern w:val="0"/>
          <w:szCs w:val="21"/>
          <w:highlight w:val="none"/>
        </w:rPr>
      </w:pPr>
    </w:p>
    <w:p w14:paraId="61A139B9">
      <w:pPr>
        <w:tabs>
          <w:tab w:val="left" w:pos="7040"/>
        </w:tabs>
        <w:autoSpaceDE w:val="0"/>
        <w:autoSpaceDN w:val="0"/>
        <w:adjustRightInd w:val="0"/>
        <w:snapToGrid w:val="0"/>
        <w:spacing w:line="480" w:lineRule="auto"/>
        <w:ind w:right="1260"/>
        <w:jc w:val="right"/>
        <w:rPr>
          <w:rFonts w:ascii="宋体" w:hAnsi="宋体"/>
          <w:snapToGrid w:val="0"/>
          <w:color w:val="auto"/>
          <w:kern w:val="0"/>
          <w:sz w:val="20"/>
          <w:szCs w:val="20"/>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或盖章）</w:t>
      </w:r>
    </w:p>
    <w:p w14:paraId="33F87BF8">
      <w:pPr>
        <w:spacing w:after="120"/>
        <w:rPr>
          <w:color w:val="auto"/>
          <w:highlight w:val="none"/>
        </w:rPr>
      </w:pPr>
    </w:p>
    <w:p w14:paraId="1D3A2C04">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502D3E31">
      <w:pPr>
        <w:spacing w:line="400" w:lineRule="exact"/>
        <w:rPr>
          <w:color w:val="auto"/>
          <w:highlight w:val="none"/>
        </w:rPr>
      </w:pPr>
    </w:p>
    <w:p w14:paraId="5048CAA0">
      <w:pPr>
        <w:spacing w:line="400" w:lineRule="exact"/>
        <w:rPr>
          <w:color w:val="auto"/>
          <w:highlight w:val="none"/>
        </w:rPr>
      </w:pPr>
    </w:p>
    <w:p w14:paraId="09B4F53D">
      <w:pPr>
        <w:rPr>
          <w:rFonts w:hint="eastAsia"/>
          <w:color w:val="auto"/>
          <w:sz w:val="21"/>
          <w:szCs w:val="21"/>
          <w:highlight w:val="none"/>
        </w:rPr>
      </w:pPr>
      <w:bookmarkStart w:id="732" w:name="_Toc221950335"/>
      <w:bookmarkStart w:id="733" w:name="_Toc144974551"/>
      <w:bookmarkStart w:id="734" w:name="_Toc59810353"/>
      <w:bookmarkStart w:id="735" w:name="_Toc168476102"/>
      <w:bookmarkStart w:id="736" w:name="_Toc168475699"/>
      <w:bookmarkStart w:id="737" w:name="_Toc229408478"/>
      <w:bookmarkStart w:id="738" w:name="_Toc2579"/>
      <w:bookmarkStart w:id="739" w:name="_Toc21048"/>
      <w:bookmarkStart w:id="740" w:name="_Toc11504"/>
      <w:bookmarkStart w:id="741" w:name="_Toc7462"/>
      <w:bookmarkStart w:id="742" w:name="_Toc18987"/>
      <w:bookmarkStart w:id="743" w:name="_Toc14192"/>
      <w:r>
        <w:rPr>
          <w:rFonts w:hint="eastAsia"/>
          <w:color w:val="auto"/>
          <w:sz w:val="21"/>
          <w:szCs w:val="21"/>
          <w:highlight w:val="none"/>
        </w:rPr>
        <w:br w:type="page"/>
      </w:r>
    </w:p>
    <w:p w14:paraId="7A9C19A4">
      <w:pPr>
        <w:pStyle w:val="4"/>
        <w:rPr>
          <w:color w:val="auto"/>
          <w:highlight w:val="none"/>
        </w:rPr>
      </w:pPr>
      <w:bookmarkStart w:id="744" w:name="_Toc2101"/>
      <w:bookmarkStart w:id="745" w:name="_Toc7544"/>
      <w:r>
        <w:rPr>
          <w:rFonts w:hint="eastAsia"/>
          <w:color w:val="auto"/>
          <w:sz w:val="21"/>
          <w:szCs w:val="21"/>
          <w:highlight w:val="none"/>
        </w:rPr>
        <w:t>附表</w:t>
      </w:r>
      <w:r>
        <w:rPr>
          <w:rFonts w:hint="default"/>
          <w:color w:val="auto"/>
          <w:sz w:val="21"/>
          <w:szCs w:val="21"/>
          <w:highlight w:val="none"/>
          <w:lang w:val="en-US"/>
        </w:rPr>
        <w:t>五</w:t>
      </w:r>
      <w:r>
        <w:rPr>
          <w:rFonts w:hint="eastAsia"/>
          <w:color w:val="auto"/>
          <w:sz w:val="21"/>
          <w:szCs w:val="21"/>
          <w:highlight w:val="none"/>
        </w:rPr>
        <w:t>：</w:t>
      </w:r>
      <w:bookmarkEnd w:id="732"/>
      <w:bookmarkEnd w:id="733"/>
      <w:bookmarkEnd w:id="734"/>
      <w:bookmarkEnd w:id="735"/>
      <w:bookmarkEnd w:id="736"/>
      <w:bookmarkEnd w:id="737"/>
      <w:r>
        <w:rPr>
          <w:rFonts w:hint="eastAsia"/>
          <w:color w:val="auto"/>
          <w:sz w:val="21"/>
          <w:szCs w:val="21"/>
          <w:highlight w:val="none"/>
        </w:rPr>
        <w:t>中标通知书</w:t>
      </w:r>
      <w:bookmarkEnd w:id="738"/>
      <w:bookmarkEnd w:id="739"/>
      <w:bookmarkEnd w:id="740"/>
      <w:bookmarkEnd w:id="741"/>
      <w:bookmarkEnd w:id="742"/>
      <w:bookmarkEnd w:id="743"/>
      <w:bookmarkEnd w:id="744"/>
      <w:bookmarkEnd w:id="745"/>
      <w:r>
        <w:rPr>
          <w:rFonts w:hint="eastAsia"/>
          <w:color w:val="auto"/>
          <w:highlight w:val="none"/>
        </w:rPr>
        <w:t xml:space="preserve"> </w:t>
      </w:r>
    </w:p>
    <w:p w14:paraId="4C2E5C99">
      <w:pPr>
        <w:spacing w:line="400" w:lineRule="exact"/>
        <w:jc w:val="center"/>
        <w:rPr>
          <w:rFonts w:ascii="黑体" w:eastAsia="黑体"/>
          <w:color w:val="auto"/>
          <w:sz w:val="32"/>
          <w:szCs w:val="32"/>
          <w:highlight w:val="none"/>
        </w:rPr>
      </w:pPr>
      <w:bookmarkStart w:id="746" w:name="_Toc221950336"/>
      <w:r>
        <w:rPr>
          <w:rFonts w:hint="eastAsia" w:ascii="黑体" w:eastAsia="黑体"/>
          <w:color w:val="auto"/>
          <w:sz w:val="32"/>
          <w:szCs w:val="32"/>
          <w:highlight w:val="none"/>
        </w:rPr>
        <w:t>中标通知书</w:t>
      </w:r>
      <w:bookmarkEnd w:id="746"/>
    </w:p>
    <w:p w14:paraId="12DDD32D">
      <w:pPr>
        <w:spacing w:line="400" w:lineRule="exact"/>
        <w:jc w:val="center"/>
        <w:rPr>
          <w:rFonts w:ascii="宋体" w:hAnsi="宋体"/>
          <w:color w:val="auto"/>
          <w:sz w:val="24"/>
          <w:highlight w:val="none"/>
        </w:rPr>
      </w:pPr>
      <w:r>
        <w:rPr>
          <w:rFonts w:hint="eastAsia" w:ascii="宋体" w:hAnsi="宋体"/>
          <w:color w:val="auto"/>
          <w:sz w:val="24"/>
          <w:highlight w:val="none"/>
        </w:rPr>
        <w:t>编号：</w:t>
      </w:r>
    </w:p>
    <w:p w14:paraId="6177C176">
      <w:pPr>
        <w:spacing w:line="400" w:lineRule="exact"/>
        <w:rPr>
          <w:color w:val="auto"/>
          <w:highlight w:val="none"/>
        </w:rPr>
      </w:pPr>
      <w:r>
        <w:rPr>
          <w:color w:val="auto"/>
          <w:highlight w:val="none"/>
        </w:rPr>
        <w:t xml:space="preserve">                              </w:t>
      </w:r>
    </w:p>
    <w:p w14:paraId="5A4CA055">
      <w:pPr>
        <w:spacing w:line="440" w:lineRule="exact"/>
        <w:rPr>
          <w:color w:val="auto"/>
          <w:szCs w:val="21"/>
          <w:highlight w:val="none"/>
        </w:rPr>
      </w:pPr>
      <w:r>
        <w:rPr>
          <w:color w:val="auto"/>
          <w:szCs w:val="21"/>
          <w:highlight w:val="none"/>
          <w:u w:val="single"/>
        </w:rPr>
        <w:t xml:space="preserve">                   </w:t>
      </w:r>
      <w:bookmarkStart w:id="747" w:name="_Toc221950337"/>
      <w:r>
        <w:rPr>
          <w:color w:val="auto"/>
          <w:szCs w:val="21"/>
          <w:highlight w:val="none"/>
        </w:rPr>
        <w:t>（中标人名称）：</w:t>
      </w:r>
      <w:bookmarkEnd w:id="747"/>
    </w:p>
    <w:p w14:paraId="2EF9A0AE">
      <w:pPr>
        <w:spacing w:line="440" w:lineRule="exact"/>
        <w:rPr>
          <w:color w:val="auto"/>
          <w:szCs w:val="21"/>
          <w:highlight w:val="none"/>
        </w:rPr>
      </w:pPr>
    </w:p>
    <w:p w14:paraId="1F0C710F">
      <w:pPr>
        <w:spacing w:line="440" w:lineRule="exact"/>
        <w:rPr>
          <w:color w:val="auto"/>
          <w:szCs w:val="21"/>
          <w:highlight w:val="none"/>
        </w:rPr>
      </w:pPr>
      <w:r>
        <w:rPr>
          <w:color w:val="auto"/>
          <w:szCs w:val="21"/>
          <w:highlight w:val="none"/>
        </w:rPr>
        <w:t>　　</w:t>
      </w:r>
      <w:bookmarkStart w:id="748" w:name="_Toc221950338"/>
      <w:r>
        <w:rPr>
          <w:color w:val="auto"/>
          <w:szCs w:val="21"/>
          <w:highlight w:val="none"/>
        </w:rPr>
        <w:t>你方于</w:t>
      </w:r>
      <w:r>
        <w:rPr>
          <w:color w:val="auto"/>
          <w:szCs w:val="21"/>
          <w:highlight w:val="none"/>
          <w:u w:val="single"/>
        </w:rPr>
        <w:t xml:space="preserve">         </w:t>
      </w:r>
      <w:r>
        <w:rPr>
          <w:color w:val="auto"/>
          <w:szCs w:val="21"/>
          <w:highlight w:val="none"/>
        </w:rPr>
        <w:t>（</w:t>
      </w:r>
      <w:r>
        <w:rPr>
          <w:rFonts w:hint="eastAsia" w:ascii="仿宋_GB2312" w:eastAsia="仿宋_GB2312"/>
          <w:color w:val="auto"/>
          <w:szCs w:val="21"/>
          <w:highlight w:val="none"/>
        </w:rPr>
        <w:t>投标日期</w:t>
      </w:r>
      <w:r>
        <w:rPr>
          <w:color w:val="auto"/>
          <w:szCs w:val="21"/>
          <w:highlight w:val="none"/>
        </w:rPr>
        <w:t>）所递交的</w:t>
      </w:r>
      <w:r>
        <w:rPr>
          <w:color w:val="auto"/>
          <w:szCs w:val="21"/>
          <w:highlight w:val="none"/>
          <w:u w:val="single"/>
        </w:rPr>
        <w:t xml:space="preserve">              </w:t>
      </w:r>
      <w:r>
        <w:rPr>
          <w:color w:val="auto"/>
          <w:szCs w:val="21"/>
          <w:highlight w:val="none"/>
        </w:rPr>
        <w:t>（项目名称）投标文件已被我方接受，</w:t>
      </w:r>
      <w:r>
        <w:rPr>
          <w:rFonts w:hint="eastAsia"/>
          <w:color w:val="auto"/>
          <w:szCs w:val="21"/>
          <w:highlight w:val="none"/>
        </w:rPr>
        <w:t>并</w:t>
      </w:r>
      <w:r>
        <w:rPr>
          <w:color w:val="auto"/>
          <w:szCs w:val="21"/>
          <w:highlight w:val="none"/>
        </w:rPr>
        <w:t>被确定为中标人。</w:t>
      </w:r>
      <w:bookmarkEnd w:id="748"/>
    </w:p>
    <w:p w14:paraId="53C7ED1A">
      <w:pPr>
        <w:spacing w:line="440" w:lineRule="exact"/>
        <w:rPr>
          <w:color w:val="auto"/>
          <w:szCs w:val="21"/>
          <w:highlight w:val="none"/>
        </w:rPr>
      </w:pPr>
      <w:r>
        <w:rPr>
          <w:color w:val="auto"/>
          <w:szCs w:val="21"/>
          <w:highlight w:val="none"/>
        </w:rPr>
        <w:t>　　</w:t>
      </w:r>
      <w:bookmarkStart w:id="749" w:name="_Toc221950339"/>
      <w:r>
        <w:rPr>
          <w:color w:val="auto"/>
          <w:szCs w:val="21"/>
          <w:highlight w:val="none"/>
        </w:rPr>
        <w:t>中标价：</w:t>
      </w:r>
      <w:r>
        <w:rPr>
          <w:color w:val="auto"/>
          <w:szCs w:val="21"/>
          <w:highlight w:val="none"/>
          <w:u w:val="single"/>
        </w:rPr>
        <w:t xml:space="preserve">                </w:t>
      </w:r>
      <w:r>
        <w:rPr>
          <w:color w:val="auto"/>
          <w:szCs w:val="21"/>
          <w:highlight w:val="none"/>
        </w:rPr>
        <w:t>元。</w:t>
      </w:r>
      <w:bookmarkEnd w:id="749"/>
    </w:p>
    <w:p w14:paraId="608FFB98">
      <w:pPr>
        <w:spacing w:line="440" w:lineRule="exact"/>
        <w:rPr>
          <w:color w:val="auto"/>
          <w:szCs w:val="21"/>
          <w:highlight w:val="none"/>
        </w:rPr>
      </w:pPr>
      <w:r>
        <w:rPr>
          <w:color w:val="auto"/>
          <w:szCs w:val="21"/>
          <w:highlight w:val="none"/>
        </w:rPr>
        <w:t>　　</w:t>
      </w:r>
      <w:bookmarkStart w:id="750" w:name="_Toc221950340"/>
      <w:r>
        <w:rPr>
          <w:color w:val="auto"/>
          <w:szCs w:val="21"/>
          <w:highlight w:val="none"/>
        </w:rPr>
        <w:t>工期：</w:t>
      </w:r>
      <w:r>
        <w:rPr>
          <w:color w:val="auto"/>
          <w:szCs w:val="21"/>
          <w:highlight w:val="none"/>
          <w:u w:val="single"/>
        </w:rPr>
        <w:t xml:space="preserve">      </w:t>
      </w:r>
      <w:r>
        <w:rPr>
          <w:color w:val="auto"/>
          <w:szCs w:val="21"/>
          <w:highlight w:val="none"/>
        </w:rPr>
        <w:t>日历天。</w:t>
      </w:r>
      <w:bookmarkEnd w:id="750"/>
    </w:p>
    <w:p w14:paraId="4C0FDF7A">
      <w:pPr>
        <w:spacing w:line="440" w:lineRule="exact"/>
        <w:rPr>
          <w:color w:val="auto"/>
          <w:szCs w:val="21"/>
          <w:highlight w:val="none"/>
        </w:rPr>
      </w:pPr>
      <w:r>
        <w:rPr>
          <w:color w:val="auto"/>
          <w:szCs w:val="21"/>
          <w:highlight w:val="none"/>
        </w:rPr>
        <w:t xml:space="preserve">　  </w:t>
      </w:r>
      <w:bookmarkStart w:id="751" w:name="_Toc221950341"/>
      <w:r>
        <w:rPr>
          <w:color w:val="auto"/>
          <w:szCs w:val="21"/>
          <w:highlight w:val="none"/>
        </w:rPr>
        <w:t>工程质量：符合</w:t>
      </w:r>
      <w:r>
        <w:rPr>
          <w:color w:val="auto"/>
          <w:szCs w:val="21"/>
          <w:highlight w:val="none"/>
          <w:u w:val="single"/>
        </w:rPr>
        <w:t xml:space="preserve">                      </w:t>
      </w:r>
      <w:r>
        <w:rPr>
          <w:color w:val="auto"/>
          <w:szCs w:val="21"/>
          <w:highlight w:val="none"/>
        </w:rPr>
        <w:t>标准。</w:t>
      </w:r>
      <w:bookmarkEnd w:id="751"/>
    </w:p>
    <w:p w14:paraId="173EB34D">
      <w:pPr>
        <w:spacing w:line="440" w:lineRule="exact"/>
        <w:rPr>
          <w:color w:val="auto"/>
          <w:szCs w:val="21"/>
          <w:highlight w:val="none"/>
        </w:rPr>
      </w:pPr>
      <w:r>
        <w:rPr>
          <w:color w:val="auto"/>
          <w:szCs w:val="21"/>
          <w:highlight w:val="none"/>
        </w:rPr>
        <w:t>　　</w:t>
      </w:r>
      <w:bookmarkStart w:id="752" w:name="_Toc221950342"/>
      <w:r>
        <w:rPr>
          <w:color w:val="auto"/>
          <w:szCs w:val="21"/>
          <w:highlight w:val="none"/>
        </w:rPr>
        <w:t>项目经理：</w:t>
      </w:r>
      <w:r>
        <w:rPr>
          <w:color w:val="auto"/>
          <w:szCs w:val="21"/>
          <w:highlight w:val="none"/>
          <w:u w:val="single"/>
        </w:rPr>
        <w:t xml:space="preserve">              </w:t>
      </w:r>
      <w:r>
        <w:rPr>
          <w:color w:val="auto"/>
          <w:szCs w:val="21"/>
          <w:highlight w:val="none"/>
        </w:rPr>
        <w:t>（姓名）。</w:t>
      </w:r>
      <w:bookmarkEnd w:id="752"/>
    </w:p>
    <w:p w14:paraId="3BA1F383">
      <w:pPr>
        <w:spacing w:line="440" w:lineRule="exact"/>
        <w:rPr>
          <w:color w:val="auto"/>
          <w:szCs w:val="21"/>
          <w:highlight w:val="none"/>
        </w:rPr>
      </w:pPr>
      <w:r>
        <w:rPr>
          <w:color w:val="auto"/>
          <w:szCs w:val="21"/>
          <w:highlight w:val="none"/>
        </w:rPr>
        <w:t>　　</w:t>
      </w:r>
      <w:bookmarkStart w:id="753" w:name="_Toc221950343"/>
      <w:r>
        <w:rPr>
          <w:color w:val="auto"/>
          <w:szCs w:val="21"/>
          <w:highlight w:val="none"/>
        </w:rPr>
        <w:t>请你方在接到本通知书后的</w:t>
      </w:r>
      <w:r>
        <w:rPr>
          <w:color w:val="auto"/>
          <w:szCs w:val="21"/>
          <w:highlight w:val="none"/>
          <w:u w:val="single"/>
        </w:rPr>
        <w:t xml:space="preserve">     </w:t>
      </w:r>
      <w:r>
        <w:rPr>
          <w:color w:val="auto"/>
          <w:szCs w:val="21"/>
          <w:highlight w:val="none"/>
        </w:rPr>
        <w:t>日内到</w:t>
      </w:r>
      <w:r>
        <w:rPr>
          <w:color w:val="auto"/>
          <w:szCs w:val="21"/>
          <w:highlight w:val="none"/>
          <w:u w:val="single"/>
        </w:rPr>
        <w:t xml:space="preserve">                </w:t>
      </w:r>
      <w:r>
        <w:rPr>
          <w:color w:val="auto"/>
          <w:szCs w:val="21"/>
          <w:highlight w:val="none"/>
        </w:rPr>
        <w:t>（</w:t>
      </w:r>
      <w:r>
        <w:rPr>
          <w:rFonts w:hint="eastAsia" w:ascii="仿宋_GB2312" w:eastAsia="仿宋_GB2312"/>
          <w:color w:val="auto"/>
          <w:szCs w:val="21"/>
          <w:highlight w:val="none"/>
        </w:rPr>
        <w:t>详细地点</w:t>
      </w:r>
      <w:r>
        <w:rPr>
          <w:color w:val="auto"/>
          <w:szCs w:val="21"/>
          <w:highlight w:val="none"/>
        </w:rPr>
        <w:t>）与我方签订施工合同</w:t>
      </w:r>
      <w:r>
        <w:rPr>
          <w:rFonts w:hint="eastAsia"/>
          <w:color w:val="auto"/>
          <w:szCs w:val="21"/>
          <w:highlight w:val="none"/>
        </w:rPr>
        <w:t>协议书</w:t>
      </w:r>
      <w:r>
        <w:rPr>
          <w:color w:val="auto"/>
          <w:szCs w:val="21"/>
          <w:highlight w:val="none"/>
        </w:rPr>
        <w:t>，在此之前按</w:t>
      </w:r>
      <w:r>
        <w:rPr>
          <w:rFonts w:hint="eastAsia"/>
          <w:color w:val="auto"/>
          <w:szCs w:val="21"/>
          <w:highlight w:val="none"/>
          <w:lang w:eastAsia="zh-CN"/>
        </w:rPr>
        <w:t>竞争性比选</w:t>
      </w:r>
      <w:r>
        <w:rPr>
          <w:rFonts w:hint="eastAsia" w:ascii="宋体" w:hAnsi="宋体"/>
          <w:snapToGrid w:val="0"/>
          <w:szCs w:val="28"/>
          <w:highlight w:val="none"/>
          <w:lang w:val="en-US" w:eastAsia="zh-CN"/>
        </w:rPr>
        <w:t>文件</w:t>
      </w:r>
      <w:r>
        <w:rPr>
          <w:color w:val="auto"/>
          <w:szCs w:val="21"/>
          <w:highlight w:val="none"/>
        </w:rPr>
        <w:t>第</w:t>
      </w:r>
      <w:r>
        <w:rPr>
          <w:rFonts w:hint="eastAsia"/>
          <w:color w:val="auto"/>
          <w:szCs w:val="21"/>
          <w:highlight w:val="none"/>
        </w:rPr>
        <w:t>二</w:t>
      </w:r>
      <w:r>
        <w:rPr>
          <w:color w:val="auto"/>
          <w:szCs w:val="21"/>
          <w:highlight w:val="none"/>
        </w:rPr>
        <w:t>章投标人须知第7.</w:t>
      </w:r>
      <w:r>
        <w:rPr>
          <w:rFonts w:hint="eastAsia"/>
          <w:color w:val="auto"/>
          <w:szCs w:val="21"/>
          <w:highlight w:val="none"/>
        </w:rPr>
        <w:t>6条</w:t>
      </w:r>
      <w:r>
        <w:rPr>
          <w:color w:val="auto"/>
          <w:szCs w:val="21"/>
          <w:highlight w:val="none"/>
        </w:rPr>
        <w:t>规定向我方提交履约担保。</w:t>
      </w:r>
      <w:bookmarkEnd w:id="753"/>
    </w:p>
    <w:p w14:paraId="0417183E">
      <w:pPr>
        <w:spacing w:line="440" w:lineRule="exact"/>
        <w:rPr>
          <w:color w:val="auto"/>
          <w:szCs w:val="21"/>
          <w:highlight w:val="none"/>
        </w:rPr>
      </w:pPr>
      <w:r>
        <w:rPr>
          <w:color w:val="auto"/>
          <w:szCs w:val="21"/>
          <w:highlight w:val="none"/>
        </w:rPr>
        <w:t>　　</w:t>
      </w:r>
      <w:bookmarkStart w:id="754" w:name="_Toc221950344"/>
      <w:r>
        <w:rPr>
          <w:color w:val="auto"/>
          <w:szCs w:val="21"/>
          <w:highlight w:val="none"/>
        </w:rPr>
        <w:t>特此通知。</w:t>
      </w:r>
      <w:bookmarkEnd w:id="754"/>
    </w:p>
    <w:p w14:paraId="02C04E30">
      <w:pPr>
        <w:spacing w:line="440" w:lineRule="exact"/>
        <w:rPr>
          <w:color w:val="auto"/>
          <w:szCs w:val="21"/>
          <w:highlight w:val="none"/>
        </w:rPr>
      </w:pPr>
    </w:p>
    <w:p w14:paraId="7A99E314">
      <w:pPr>
        <w:spacing w:line="440" w:lineRule="exact"/>
        <w:rPr>
          <w:color w:val="auto"/>
          <w:szCs w:val="21"/>
          <w:highlight w:val="none"/>
        </w:rPr>
      </w:pPr>
    </w:p>
    <w:p w14:paraId="27209B69">
      <w:pPr>
        <w:spacing w:line="440" w:lineRule="exact"/>
        <w:rPr>
          <w:color w:val="auto"/>
          <w:szCs w:val="21"/>
          <w:highlight w:val="none"/>
        </w:rPr>
      </w:pPr>
    </w:p>
    <w:p w14:paraId="0B742914">
      <w:pPr>
        <w:spacing w:line="440" w:lineRule="exact"/>
        <w:rPr>
          <w:color w:val="auto"/>
          <w:szCs w:val="21"/>
          <w:highlight w:val="none"/>
        </w:rPr>
      </w:pPr>
    </w:p>
    <w:p w14:paraId="1709638A">
      <w:pPr>
        <w:spacing w:line="440" w:lineRule="exact"/>
        <w:rPr>
          <w:color w:val="auto"/>
          <w:szCs w:val="21"/>
          <w:highlight w:val="none"/>
        </w:rPr>
      </w:pPr>
    </w:p>
    <w:p w14:paraId="7F6EE9D3">
      <w:pPr>
        <w:spacing w:line="440" w:lineRule="exact"/>
        <w:rPr>
          <w:color w:val="auto"/>
          <w:szCs w:val="21"/>
          <w:highlight w:val="none"/>
        </w:rPr>
      </w:pPr>
    </w:p>
    <w:p w14:paraId="273E27AC">
      <w:pPr>
        <w:spacing w:line="440" w:lineRule="exact"/>
        <w:rPr>
          <w:color w:val="auto"/>
          <w:szCs w:val="21"/>
          <w:highlight w:val="none"/>
        </w:rPr>
      </w:pPr>
    </w:p>
    <w:p w14:paraId="37658EA8">
      <w:pPr>
        <w:wordWrap w:val="0"/>
        <w:spacing w:line="480" w:lineRule="auto"/>
        <w:ind w:firstLine="3238" w:firstLineChars="1542"/>
        <w:jc w:val="right"/>
        <w:rPr>
          <w:color w:val="auto"/>
          <w:szCs w:val="21"/>
          <w:highlight w:val="none"/>
        </w:rPr>
      </w:pPr>
      <w:bookmarkStart w:id="755" w:name="_Toc221950345"/>
      <w:r>
        <w:rPr>
          <w:rFonts w:hint="eastAsia"/>
          <w:color w:val="auto"/>
          <w:szCs w:val="21"/>
          <w:highlight w:val="none"/>
        </w:rPr>
        <w:t xml:space="preserve"> </w:t>
      </w:r>
      <w:r>
        <w:rPr>
          <w:color w:val="auto"/>
          <w:szCs w:val="21"/>
          <w:highlight w:val="none"/>
        </w:rPr>
        <w:t>招标人：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（盖单位章）</w:t>
      </w:r>
      <w:bookmarkEnd w:id="755"/>
      <w:bookmarkStart w:id="756" w:name="_Toc221950346"/>
    </w:p>
    <w:p w14:paraId="52B52AAC">
      <w:pPr>
        <w:spacing w:line="480" w:lineRule="auto"/>
        <w:ind w:firstLine="3238" w:firstLineChars="1542"/>
        <w:jc w:val="right"/>
        <w:rPr>
          <w:color w:val="auto"/>
          <w:szCs w:val="21"/>
          <w:highlight w:val="none"/>
        </w:rPr>
      </w:pPr>
      <w:r>
        <w:rPr>
          <w:rFonts w:hint="eastAsia"/>
          <w:color w:val="auto"/>
          <w:szCs w:val="21"/>
          <w:highlight w:val="none"/>
        </w:rPr>
        <w:t xml:space="preserve"> </w:t>
      </w:r>
      <w:r>
        <w:rPr>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lang w:eastAsia="zh-CN"/>
        </w:rPr>
        <w:t>签名</w:t>
      </w:r>
      <w:r>
        <w:rPr>
          <w:rFonts w:hint="eastAsia"/>
          <w:color w:val="auto"/>
          <w:szCs w:val="21"/>
          <w:highlight w:val="none"/>
        </w:rPr>
        <w:t>或盖章</w:t>
      </w:r>
      <w:r>
        <w:rPr>
          <w:color w:val="auto"/>
          <w:szCs w:val="21"/>
          <w:highlight w:val="none"/>
        </w:rPr>
        <w:t>）</w:t>
      </w:r>
      <w:bookmarkEnd w:id="756"/>
    </w:p>
    <w:p w14:paraId="5D8F6D78">
      <w:pPr>
        <w:pStyle w:val="2"/>
        <w:spacing w:line="480" w:lineRule="auto"/>
        <w:ind w:firstLine="5040" w:firstLineChars="2400"/>
        <w:rPr>
          <w:color w:val="auto"/>
          <w:highlight w:val="none"/>
        </w:rPr>
      </w:pPr>
      <w:r>
        <w:rPr>
          <w:rFonts w:hint="eastAsia"/>
          <w:color w:val="auto"/>
          <w:highlight w:val="none"/>
        </w:rPr>
        <w:t>联系人：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66D3DDCB">
      <w:pPr>
        <w:pStyle w:val="2"/>
        <w:spacing w:line="480" w:lineRule="auto"/>
        <w:ind w:firstLine="5040" w:firstLineChars="2400"/>
        <w:rPr>
          <w:color w:val="auto"/>
          <w:highlight w:val="none"/>
        </w:rPr>
      </w:pPr>
      <w:r>
        <w:rPr>
          <w:rFonts w:hint="eastAsia"/>
          <w:color w:val="auto"/>
          <w:highlight w:val="none"/>
        </w:rPr>
        <w:t>联系电话：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DC56E53">
      <w:pPr>
        <w:wordWrap w:val="0"/>
        <w:spacing w:line="540" w:lineRule="exact"/>
        <w:ind w:firstLine="3548" w:firstLineChars="1690"/>
        <w:jc w:val="right"/>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bookmarkStart w:id="757" w:name="_Toc221950347"/>
      <w:r>
        <w:rPr>
          <w:color w:val="auto"/>
          <w:szCs w:val="21"/>
          <w:highlight w:val="none"/>
        </w:rPr>
        <w:t>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 xml:space="preserve"> 日</w:t>
      </w:r>
      <w:bookmarkEnd w:id="757"/>
    </w:p>
    <w:p w14:paraId="482833FE">
      <w:pPr>
        <w:spacing w:line="400" w:lineRule="exact"/>
        <w:rPr>
          <w:color w:val="auto"/>
          <w:highlight w:val="none"/>
        </w:rPr>
      </w:pPr>
    </w:p>
    <w:p w14:paraId="5167F4F3">
      <w:pPr>
        <w:spacing w:line="400" w:lineRule="exact"/>
        <w:rPr>
          <w:color w:val="auto"/>
          <w:highlight w:val="none"/>
        </w:rPr>
      </w:pPr>
    </w:p>
    <w:bookmarkEnd w:id="127"/>
    <w:bookmarkEnd w:id="128"/>
    <w:bookmarkEnd w:id="129"/>
    <w:bookmarkEnd w:id="130"/>
    <w:p w14:paraId="2D95C741">
      <w:pPr>
        <w:pStyle w:val="3"/>
        <w:spacing w:line="360" w:lineRule="auto"/>
        <w:jc w:val="center"/>
        <w:rPr>
          <w:rFonts w:ascii="宋体" w:hAnsi="宋体"/>
          <w:snapToGrid w:val="0"/>
          <w:color w:val="auto"/>
          <w:kern w:val="0"/>
          <w:highlight w:val="none"/>
        </w:rPr>
      </w:pPr>
      <w:bookmarkStart w:id="758" w:name="_Toc30674"/>
      <w:bookmarkStart w:id="759" w:name="_Toc14949"/>
      <w:bookmarkStart w:id="760" w:name="_Toc22299"/>
      <w:bookmarkStart w:id="761" w:name="_Toc822"/>
      <w:bookmarkStart w:id="762" w:name="_Toc59810354"/>
      <w:bookmarkStart w:id="763" w:name="_Toc30324"/>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bookmarkEnd w:id="758"/>
      <w:bookmarkEnd w:id="759"/>
      <w:bookmarkEnd w:id="760"/>
      <w:bookmarkEnd w:id="761"/>
      <w:bookmarkEnd w:id="762"/>
      <w:bookmarkEnd w:id="763"/>
    </w:p>
    <w:p w14:paraId="4A5EE21D">
      <w:pPr>
        <w:keepNext/>
        <w:keepLines/>
        <w:spacing w:before="100" w:after="100" w:line="360" w:lineRule="auto"/>
        <w:jc w:val="center"/>
        <w:outlineLvl w:val="1"/>
        <w:rPr>
          <w:rFonts w:ascii="宋体" w:hAnsi="宋体"/>
          <w:b/>
          <w:color w:val="auto"/>
          <w:sz w:val="32"/>
          <w:szCs w:val="32"/>
          <w:highlight w:val="none"/>
        </w:rPr>
      </w:pPr>
      <w:bookmarkStart w:id="764" w:name="_Toc7504"/>
      <w:bookmarkStart w:id="765" w:name="_Toc3656"/>
      <w:bookmarkStart w:id="766" w:name="_Toc59810355"/>
      <w:bookmarkStart w:id="767" w:name="_Toc26875"/>
      <w:bookmarkStart w:id="768" w:name="_Toc12289"/>
      <w:bookmarkStart w:id="769" w:name="_Toc5702"/>
      <w:r>
        <w:rPr>
          <w:rFonts w:hint="eastAsia" w:ascii="宋体" w:hAnsi="宋体"/>
          <w:b/>
          <w:color w:val="auto"/>
          <w:sz w:val="32"/>
          <w:szCs w:val="32"/>
          <w:highlight w:val="none"/>
        </w:rPr>
        <w:t>评标办法前附表</w:t>
      </w:r>
      <w:bookmarkEnd w:id="764"/>
      <w:bookmarkEnd w:id="765"/>
      <w:bookmarkEnd w:id="766"/>
      <w:bookmarkEnd w:id="767"/>
      <w:bookmarkEnd w:id="768"/>
      <w:bookmarkEnd w:id="769"/>
    </w:p>
    <w:p w14:paraId="60119789">
      <w:pPr>
        <w:spacing w:line="400" w:lineRule="exact"/>
        <w:ind w:firstLine="427" w:firstLineChars="196"/>
        <w:rPr>
          <w:rFonts w:ascii="宋体" w:hAnsi="宋体"/>
          <w:color w:val="auto"/>
          <w:spacing w:val="4"/>
          <w:kern w:val="0"/>
          <w:szCs w:val="21"/>
          <w:highlight w:val="none"/>
        </w:rPr>
      </w:pPr>
      <w:bookmarkStart w:id="770" w:name="_Toc13210726"/>
      <w:r>
        <w:rPr>
          <w:rFonts w:hint="eastAsia" w:ascii="宋体" w:hAnsi="宋体"/>
          <w:color w:val="auto"/>
          <w:spacing w:val="4"/>
          <w:kern w:val="0"/>
          <w:szCs w:val="21"/>
          <w:highlight w:val="none"/>
        </w:rPr>
        <w:t>评标办法中的评审内容必须和投标人须知中的对应内容一致，若投标人须知中未作要求的内容，不得列入评标办法作为评定依据。</w:t>
      </w:r>
      <w:bookmarkEnd w:id="770"/>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2C051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715806CA">
            <w:pPr>
              <w:spacing w:afterLines="0" w:line="400" w:lineRule="exact"/>
              <w:jc w:val="center"/>
              <w:rPr>
                <w:rFonts w:ascii="宋体" w:hAnsi="宋体"/>
                <w:b/>
                <w:kern w:val="0"/>
                <w:highlight w:val="none"/>
              </w:rPr>
            </w:pPr>
            <w:r>
              <w:rPr>
                <w:rFonts w:ascii="宋体" w:hAnsi="宋体"/>
                <w:b/>
                <w:kern w:val="0"/>
                <w:highlight w:val="none"/>
              </w:rPr>
              <w:t>条款号</w:t>
            </w:r>
          </w:p>
        </w:tc>
        <w:tc>
          <w:tcPr>
            <w:tcW w:w="1560" w:type="dxa"/>
            <w:tcBorders>
              <w:left w:val="single" w:color="auto" w:sz="4" w:space="0"/>
            </w:tcBorders>
            <w:vAlign w:val="center"/>
          </w:tcPr>
          <w:p w14:paraId="59C56346">
            <w:pPr>
              <w:spacing w:afterLines="0" w:line="400" w:lineRule="exact"/>
              <w:jc w:val="center"/>
              <w:rPr>
                <w:rFonts w:ascii="宋体" w:hAnsi="宋体"/>
                <w:b/>
                <w:kern w:val="0"/>
                <w:highlight w:val="none"/>
              </w:rPr>
            </w:pPr>
            <w:r>
              <w:rPr>
                <w:rFonts w:ascii="宋体" w:hAnsi="宋体"/>
                <w:b/>
                <w:kern w:val="0"/>
                <w:highlight w:val="none"/>
              </w:rPr>
              <w:t>评审因素</w:t>
            </w:r>
          </w:p>
        </w:tc>
        <w:tc>
          <w:tcPr>
            <w:tcW w:w="6882" w:type="dxa"/>
            <w:gridSpan w:val="2"/>
            <w:vAlign w:val="center"/>
          </w:tcPr>
          <w:p w14:paraId="5FF51B77">
            <w:pPr>
              <w:spacing w:afterLines="0" w:line="400" w:lineRule="exact"/>
              <w:jc w:val="center"/>
              <w:rPr>
                <w:rFonts w:ascii="宋体" w:hAnsi="宋体"/>
                <w:b/>
                <w:kern w:val="0"/>
                <w:highlight w:val="none"/>
              </w:rPr>
            </w:pPr>
            <w:r>
              <w:rPr>
                <w:rFonts w:ascii="宋体" w:hAnsi="宋体"/>
                <w:b/>
                <w:kern w:val="0"/>
                <w:highlight w:val="none"/>
              </w:rPr>
              <w:t>评审标准</w:t>
            </w:r>
          </w:p>
        </w:tc>
      </w:tr>
      <w:tr w14:paraId="3EC6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14062700">
            <w:pPr>
              <w:spacing w:afterLines="0"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2.1.1</w:t>
            </w:r>
          </w:p>
        </w:tc>
        <w:tc>
          <w:tcPr>
            <w:tcW w:w="1560" w:type="dxa"/>
            <w:vMerge w:val="restart"/>
            <w:tcBorders>
              <w:left w:val="single" w:color="auto" w:sz="4" w:space="0"/>
              <w:right w:val="single" w:color="auto" w:sz="4" w:space="0"/>
            </w:tcBorders>
            <w:vAlign w:val="center"/>
          </w:tcPr>
          <w:p w14:paraId="1CC2F4CE">
            <w:pPr>
              <w:spacing w:afterLines="0" w:line="400" w:lineRule="exact"/>
              <w:jc w:val="center"/>
              <w:rPr>
                <w:rFonts w:ascii="宋体" w:hAnsi="宋体"/>
                <w:kern w:val="0"/>
                <w:highlight w:val="none"/>
              </w:rPr>
            </w:pPr>
            <w:r>
              <w:rPr>
                <w:rFonts w:hint="eastAsia" w:ascii="宋体" w:hAnsi="宋体"/>
                <w:kern w:val="0"/>
                <w:highlight w:val="none"/>
              </w:rPr>
              <w:t>资格评审标准</w:t>
            </w:r>
          </w:p>
        </w:tc>
        <w:tc>
          <w:tcPr>
            <w:tcW w:w="2267" w:type="dxa"/>
            <w:tcBorders>
              <w:top w:val="single" w:color="auto" w:sz="4" w:space="0"/>
              <w:left w:val="single" w:color="auto" w:sz="4" w:space="0"/>
              <w:right w:val="single" w:color="auto" w:sz="4" w:space="0"/>
            </w:tcBorders>
            <w:vAlign w:val="center"/>
          </w:tcPr>
          <w:p w14:paraId="46E710F5">
            <w:pPr>
              <w:snapToGrid w:val="0"/>
              <w:spacing w:afterLines="0" w:line="400" w:lineRule="exact"/>
              <w:jc w:val="left"/>
              <w:rPr>
                <w:rFonts w:ascii="宋体" w:hAnsi="宋体" w:cs="宋体"/>
                <w:kern w:val="0"/>
                <w:highlight w:val="none"/>
              </w:rPr>
            </w:pPr>
            <w:r>
              <w:rPr>
                <w:rFonts w:hint="eastAsia" w:ascii="宋体" w:hAnsi="宋体" w:cs="宋体"/>
                <w:kern w:val="0"/>
                <w:highlight w:val="none"/>
              </w:rPr>
              <w:t>资质条件</w:t>
            </w:r>
          </w:p>
        </w:tc>
        <w:tc>
          <w:tcPr>
            <w:tcW w:w="4615" w:type="dxa"/>
            <w:tcBorders>
              <w:top w:val="single" w:color="auto" w:sz="4" w:space="0"/>
              <w:left w:val="single" w:color="auto" w:sz="4" w:space="0"/>
            </w:tcBorders>
            <w:vAlign w:val="center"/>
          </w:tcPr>
          <w:p w14:paraId="0803A448">
            <w:pPr>
              <w:snapToGrid w:val="0"/>
              <w:spacing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14:paraId="6BB4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6CBDDBB">
            <w:pPr>
              <w:spacing w:afterLines="0"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14:paraId="09465AA4">
            <w:pPr>
              <w:spacing w:afterLines="0"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14:paraId="0E84464D">
            <w:pPr>
              <w:snapToGrid w:val="0"/>
              <w:spacing w:afterLines="0" w:line="400" w:lineRule="exact"/>
              <w:jc w:val="left"/>
              <w:rPr>
                <w:rFonts w:hint="eastAsia" w:ascii="宋体" w:hAnsi="宋体" w:eastAsia="宋体" w:cs="宋体"/>
                <w:kern w:val="0"/>
                <w:highlight w:val="none"/>
                <w:lang w:eastAsia="zh-CN"/>
              </w:rPr>
            </w:pPr>
            <w:r>
              <w:rPr>
                <w:rFonts w:hint="eastAsia" w:ascii="宋体" w:hAnsi="宋体" w:cs="宋体"/>
                <w:kern w:val="0"/>
                <w:highlight w:val="none"/>
                <w:lang w:eastAsia="zh-CN"/>
              </w:rPr>
              <w:t>独立法人资格</w:t>
            </w:r>
          </w:p>
        </w:tc>
        <w:tc>
          <w:tcPr>
            <w:tcW w:w="4615" w:type="dxa"/>
            <w:tcBorders>
              <w:top w:val="single" w:color="auto" w:sz="4" w:space="0"/>
              <w:left w:val="single" w:color="auto" w:sz="4" w:space="0"/>
            </w:tcBorders>
            <w:vAlign w:val="center"/>
          </w:tcPr>
          <w:p w14:paraId="49C9FB03">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14:paraId="7AACA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C9C7294">
            <w:pPr>
              <w:spacing w:afterLines="0"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14:paraId="7CEDE464">
            <w:pPr>
              <w:spacing w:afterLines="0"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14:paraId="6413BAE3">
            <w:pPr>
              <w:snapToGrid w:val="0"/>
              <w:spacing w:afterLines="0" w:line="400" w:lineRule="exact"/>
              <w:jc w:val="left"/>
              <w:rPr>
                <w:rFonts w:ascii="宋体" w:hAnsi="宋体" w:cs="宋体"/>
                <w:kern w:val="0"/>
                <w:highlight w:val="none"/>
              </w:rPr>
            </w:pPr>
            <w:r>
              <w:rPr>
                <w:rFonts w:hint="eastAsia" w:ascii="宋体" w:hAnsi="宋体" w:cs="宋体"/>
                <w:kern w:val="0"/>
                <w:highlight w:val="none"/>
              </w:rPr>
              <w:t>安全生产条件</w:t>
            </w:r>
          </w:p>
        </w:tc>
        <w:tc>
          <w:tcPr>
            <w:tcW w:w="4615" w:type="dxa"/>
            <w:tcBorders>
              <w:top w:val="single" w:color="auto" w:sz="4" w:space="0"/>
              <w:left w:val="single" w:color="auto" w:sz="4" w:space="0"/>
            </w:tcBorders>
            <w:vAlign w:val="center"/>
          </w:tcPr>
          <w:p w14:paraId="513B1EA5">
            <w:pPr>
              <w:snapToGrid w:val="0"/>
              <w:spacing w:afterLines="0" w:line="400" w:lineRule="exact"/>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符合第二章“投标人须知”第1.4.1项规定</w:t>
            </w:r>
            <w:r>
              <w:rPr>
                <w:rFonts w:hint="eastAsia" w:ascii="宋体" w:hAnsi="宋体" w:cs="宋体"/>
                <w:kern w:val="0"/>
                <w:highlight w:val="none"/>
                <w:lang w:eastAsia="zh-CN"/>
              </w:rPr>
              <w:t>。</w:t>
            </w:r>
          </w:p>
        </w:tc>
      </w:tr>
      <w:tr w14:paraId="75A5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049459B">
            <w:pPr>
              <w:spacing w:afterLines="0"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14:paraId="5E5C6C9B">
            <w:pPr>
              <w:spacing w:afterLines="0"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14:paraId="6E6DF3CF">
            <w:pPr>
              <w:snapToGrid w:val="0"/>
              <w:spacing w:after="0" w:afterLines="0" w:line="400" w:lineRule="exact"/>
              <w:jc w:val="left"/>
              <w:rPr>
                <w:rFonts w:ascii="宋体" w:hAnsi="宋体" w:cs="宋体"/>
                <w:kern w:val="0"/>
                <w:highlight w:val="none"/>
              </w:rPr>
            </w:pPr>
            <w:r>
              <w:rPr>
                <w:rFonts w:hint="eastAsia" w:ascii="宋体" w:hAnsi="宋体" w:cs="宋体"/>
                <w:szCs w:val="21"/>
                <w:highlight w:val="none"/>
              </w:rPr>
              <w:t>投标截止日投标资格情况</w:t>
            </w:r>
          </w:p>
        </w:tc>
        <w:tc>
          <w:tcPr>
            <w:tcW w:w="4615" w:type="dxa"/>
            <w:tcBorders>
              <w:top w:val="single" w:color="auto" w:sz="4" w:space="0"/>
              <w:left w:val="single" w:color="auto" w:sz="4" w:space="0"/>
            </w:tcBorders>
            <w:vAlign w:val="center"/>
          </w:tcPr>
          <w:p w14:paraId="160D84E5">
            <w:pPr>
              <w:snapToGrid w:val="0"/>
              <w:spacing w:afterLines="0" w:line="400" w:lineRule="exact"/>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符合第二章“投标人须知”第1.4.1项规定</w:t>
            </w:r>
            <w:r>
              <w:rPr>
                <w:rFonts w:hint="eastAsia" w:ascii="宋体" w:hAnsi="宋体" w:cs="宋体"/>
                <w:kern w:val="0"/>
                <w:highlight w:val="none"/>
                <w:lang w:eastAsia="zh-CN"/>
              </w:rPr>
              <w:t>。</w:t>
            </w:r>
          </w:p>
        </w:tc>
      </w:tr>
      <w:tr w14:paraId="1F4B3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88BC85D">
            <w:pPr>
              <w:spacing w:afterLines="0"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14:paraId="6E2909A6">
            <w:pPr>
              <w:spacing w:afterLines="0"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14:paraId="4DC78F19">
            <w:pPr>
              <w:snapToGrid w:val="0"/>
              <w:spacing w:afterLines="0" w:line="400" w:lineRule="exact"/>
              <w:jc w:val="left"/>
              <w:rPr>
                <w:rFonts w:ascii="宋体" w:hAnsi="宋体" w:cs="宋体"/>
                <w:kern w:val="0"/>
                <w:highlight w:val="none"/>
              </w:rPr>
            </w:pPr>
            <w:r>
              <w:rPr>
                <w:rFonts w:hint="eastAsia" w:ascii="宋体" w:hAnsi="宋体" w:cs="宋体"/>
                <w:kern w:val="0"/>
                <w:highlight w:val="none"/>
              </w:rPr>
              <w:t>项目经理资格要求</w:t>
            </w:r>
          </w:p>
        </w:tc>
        <w:tc>
          <w:tcPr>
            <w:tcW w:w="4615" w:type="dxa"/>
            <w:tcBorders>
              <w:top w:val="single" w:color="auto" w:sz="4" w:space="0"/>
              <w:left w:val="single" w:color="auto" w:sz="4" w:space="0"/>
            </w:tcBorders>
            <w:vAlign w:val="center"/>
          </w:tcPr>
          <w:p w14:paraId="68274E1E">
            <w:pPr>
              <w:snapToGrid w:val="0"/>
              <w:spacing w:afterLines="0" w:line="400" w:lineRule="exact"/>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符合第二章“投标人须知”第1.4.1项规定</w:t>
            </w:r>
            <w:r>
              <w:rPr>
                <w:rFonts w:hint="eastAsia" w:ascii="宋体" w:hAnsi="宋体" w:cs="宋体"/>
                <w:kern w:val="0"/>
                <w:highlight w:val="none"/>
                <w:lang w:eastAsia="zh-CN"/>
              </w:rPr>
              <w:t>。</w:t>
            </w:r>
          </w:p>
        </w:tc>
      </w:tr>
      <w:tr w14:paraId="2D0EF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DD0DEC7">
            <w:pPr>
              <w:spacing w:afterLines="0"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14:paraId="370AA38C">
            <w:pPr>
              <w:spacing w:afterLines="0"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14:paraId="16EB0EEE">
            <w:pPr>
              <w:snapToGrid w:val="0"/>
              <w:spacing w:afterLines="0" w:line="400" w:lineRule="exact"/>
              <w:jc w:val="left"/>
              <w:rPr>
                <w:rFonts w:ascii="宋体" w:hAnsi="宋体" w:cs="宋体"/>
                <w:kern w:val="0"/>
                <w:highlight w:val="none"/>
              </w:rPr>
            </w:pPr>
            <w:r>
              <w:rPr>
                <w:rFonts w:hint="eastAsia" w:ascii="宋体" w:hAnsi="宋体" w:cs="宋体"/>
                <w:kern w:val="0"/>
                <w:highlight w:val="none"/>
              </w:rPr>
              <w:t>其他要求</w:t>
            </w:r>
          </w:p>
        </w:tc>
        <w:tc>
          <w:tcPr>
            <w:tcW w:w="4615" w:type="dxa"/>
            <w:tcBorders>
              <w:top w:val="single" w:color="auto" w:sz="4" w:space="0"/>
              <w:left w:val="single" w:color="auto" w:sz="4" w:space="0"/>
            </w:tcBorders>
            <w:vAlign w:val="center"/>
          </w:tcPr>
          <w:p w14:paraId="57CF2F2F">
            <w:pPr>
              <w:snapToGrid w:val="0"/>
              <w:spacing w:afterLines="0" w:line="400" w:lineRule="exact"/>
              <w:ind w:firstLine="420" w:firstLineChars="200"/>
              <w:rPr>
                <w:rFonts w:hint="eastAsia" w:ascii="宋体" w:hAnsi="宋体" w:eastAsia="宋体" w:cs="宋体"/>
                <w:kern w:val="0"/>
                <w:highlight w:val="none"/>
                <w:u w:val="single"/>
                <w:lang w:eastAsia="zh-CN"/>
              </w:rPr>
            </w:pPr>
            <w:r>
              <w:rPr>
                <w:rFonts w:hint="eastAsia" w:ascii="宋体" w:hAnsi="宋体" w:cs="宋体"/>
                <w:kern w:val="0"/>
                <w:highlight w:val="none"/>
              </w:rPr>
              <w:t>符合第二章“投标人须知”第1.4.1项规定</w:t>
            </w:r>
            <w:r>
              <w:rPr>
                <w:rFonts w:hint="eastAsia" w:ascii="宋体" w:hAnsi="宋体" w:cs="宋体"/>
                <w:kern w:val="0"/>
                <w:highlight w:val="none"/>
                <w:lang w:eastAsia="zh-CN"/>
              </w:rPr>
              <w:t>。</w:t>
            </w:r>
          </w:p>
        </w:tc>
      </w:tr>
      <w:tr w14:paraId="54507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0C40F561">
            <w:pPr>
              <w:spacing w:afterLines="0" w:line="400" w:lineRule="exact"/>
              <w:jc w:val="center"/>
              <w:rPr>
                <w:rFonts w:hint="default" w:ascii="宋体" w:hAnsi="宋体" w:eastAsia="宋体"/>
                <w:kern w:val="0"/>
                <w:highlight w:val="none"/>
                <w:lang w:val="en-US" w:eastAsia="zh-CN"/>
              </w:rPr>
            </w:pPr>
            <w:r>
              <w:rPr>
                <w:rFonts w:hint="eastAsia" w:ascii="宋体" w:hAnsi="宋体"/>
                <w:kern w:val="0"/>
                <w:highlight w:val="none"/>
                <w:lang w:val="en-US" w:eastAsia="zh-CN"/>
              </w:rPr>
              <w:t>2.1.2</w:t>
            </w:r>
          </w:p>
        </w:tc>
        <w:tc>
          <w:tcPr>
            <w:tcW w:w="1560" w:type="dxa"/>
            <w:vMerge w:val="restart"/>
            <w:tcBorders>
              <w:left w:val="single" w:color="auto" w:sz="4" w:space="0"/>
            </w:tcBorders>
            <w:vAlign w:val="center"/>
          </w:tcPr>
          <w:p w14:paraId="75D1F8A7">
            <w:pPr>
              <w:spacing w:afterLines="0" w:line="400" w:lineRule="exact"/>
              <w:jc w:val="center"/>
              <w:rPr>
                <w:rFonts w:ascii="宋体" w:hAnsi="宋体"/>
                <w:kern w:val="0"/>
                <w:highlight w:val="none"/>
              </w:rPr>
            </w:pPr>
            <w:r>
              <w:rPr>
                <w:rFonts w:hint="eastAsia" w:ascii="宋体" w:hAnsi="宋体"/>
                <w:kern w:val="0"/>
                <w:highlight w:val="none"/>
              </w:rPr>
              <w:t>形式评审标准</w:t>
            </w:r>
          </w:p>
        </w:tc>
        <w:tc>
          <w:tcPr>
            <w:tcW w:w="2267" w:type="dxa"/>
            <w:tcBorders>
              <w:right w:val="single" w:color="auto" w:sz="4" w:space="0"/>
            </w:tcBorders>
            <w:vAlign w:val="center"/>
          </w:tcPr>
          <w:p w14:paraId="4E40B6B7">
            <w:pPr>
              <w:spacing w:afterLines="0" w:line="400" w:lineRule="exact"/>
              <w:jc w:val="left"/>
              <w:rPr>
                <w:rFonts w:ascii="宋体" w:hAnsi="宋体" w:cs="宋体"/>
                <w:kern w:val="0"/>
                <w:highlight w:val="none"/>
              </w:rPr>
            </w:pPr>
            <w:r>
              <w:rPr>
                <w:rFonts w:hint="eastAsia" w:ascii="宋体" w:hAnsi="宋体" w:cs="宋体"/>
                <w:kern w:val="0"/>
                <w:highlight w:val="none"/>
              </w:rPr>
              <w:t>投标人名称</w:t>
            </w:r>
          </w:p>
        </w:tc>
        <w:tc>
          <w:tcPr>
            <w:tcW w:w="4615" w:type="dxa"/>
            <w:tcBorders>
              <w:left w:val="single" w:color="auto" w:sz="4" w:space="0"/>
            </w:tcBorders>
            <w:vAlign w:val="center"/>
          </w:tcPr>
          <w:p w14:paraId="48D7C5BD">
            <w:pPr>
              <w:snapToGrid w:val="0"/>
              <w:spacing w:afterLines="0" w:line="400" w:lineRule="exact"/>
              <w:ind w:firstLine="420" w:firstLineChars="200"/>
              <w:rPr>
                <w:rFonts w:ascii="宋体" w:hAnsi="宋体" w:cs="宋体"/>
                <w:kern w:val="0"/>
                <w:highlight w:val="none"/>
              </w:rPr>
            </w:pPr>
            <w:r>
              <w:rPr>
                <w:rFonts w:hint="eastAsia" w:ascii="宋体" w:hAnsi="宋体" w:cs="宋体"/>
                <w:kern w:val="0"/>
                <w:highlight w:val="none"/>
              </w:rPr>
              <w:t>与营业执照、资质证书、安全生产许可证一致。</w:t>
            </w:r>
          </w:p>
        </w:tc>
      </w:tr>
      <w:tr w14:paraId="4173D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66353D0">
            <w:pPr>
              <w:spacing w:afterLines="0" w:line="400" w:lineRule="exact"/>
              <w:jc w:val="center"/>
              <w:rPr>
                <w:rFonts w:ascii="宋体" w:hAnsi="宋体"/>
                <w:b/>
                <w:kern w:val="0"/>
                <w:highlight w:val="none"/>
              </w:rPr>
            </w:pPr>
          </w:p>
        </w:tc>
        <w:tc>
          <w:tcPr>
            <w:tcW w:w="1560" w:type="dxa"/>
            <w:vMerge w:val="continue"/>
            <w:tcBorders>
              <w:left w:val="single" w:color="auto" w:sz="4" w:space="0"/>
            </w:tcBorders>
            <w:vAlign w:val="center"/>
          </w:tcPr>
          <w:p w14:paraId="6D4A0734">
            <w:pPr>
              <w:spacing w:afterLines="0" w:line="400" w:lineRule="exact"/>
              <w:jc w:val="center"/>
              <w:rPr>
                <w:rFonts w:ascii="宋体" w:hAnsi="宋体"/>
                <w:b/>
                <w:kern w:val="0"/>
                <w:highlight w:val="none"/>
              </w:rPr>
            </w:pPr>
          </w:p>
        </w:tc>
        <w:tc>
          <w:tcPr>
            <w:tcW w:w="2267" w:type="dxa"/>
            <w:tcBorders>
              <w:right w:val="single" w:color="auto" w:sz="4" w:space="0"/>
            </w:tcBorders>
            <w:vAlign w:val="center"/>
          </w:tcPr>
          <w:p w14:paraId="3C97FA0D">
            <w:pPr>
              <w:spacing w:afterLines="0" w:line="400" w:lineRule="exact"/>
              <w:jc w:val="left"/>
              <w:rPr>
                <w:rFonts w:ascii="宋体" w:hAnsi="宋体" w:cs="宋体"/>
                <w:kern w:val="0"/>
                <w:highlight w:val="none"/>
              </w:rPr>
            </w:pPr>
            <w:r>
              <w:rPr>
                <w:rFonts w:hint="eastAsia" w:ascii="宋体" w:hAnsi="宋体" w:cs="宋体"/>
                <w:kern w:val="0"/>
                <w:highlight w:val="none"/>
              </w:rPr>
              <w:t>投标文件格式</w:t>
            </w:r>
          </w:p>
        </w:tc>
        <w:tc>
          <w:tcPr>
            <w:tcW w:w="4615" w:type="dxa"/>
            <w:tcBorders>
              <w:left w:val="single" w:color="auto" w:sz="4" w:space="0"/>
            </w:tcBorders>
            <w:vAlign w:val="center"/>
          </w:tcPr>
          <w:p w14:paraId="47FF2A7C">
            <w:pPr>
              <w:snapToGrid w:val="0"/>
              <w:spacing w:afterLines="0" w:line="400" w:lineRule="exact"/>
              <w:ind w:firstLine="380" w:firstLineChars="181"/>
              <w:rPr>
                <w:rFonts w:hint="eastAsia" w:ascii="宋体" w:hAnsi="宋体" w:cs="宋体"/>
                <w:kern w:val="0"/>
                <w:highlight w:val="none"/>
              </w:rPr>
            </w:pPr>
            <w:r>
              <w:rPr>
                <w:rFonts w:hint="eastAsia" w:ascii="宋体" w:hAnsi="宋体" w:cs="宋体"/>
                <w:kern w:val="0"/>
                <w:highlight w:val="none"/>
              </w:rPr>
              <w:t>符合第二章“投标人须知”第3.7款的要求（不含投标函部分）。</w:t>
            </w:r>
          </w:p>
          <w:p w14:paraId="7974CF27">
            <w:pPr>
              <w:snapToGrid w:val="0"/>
              <w:spacing w:afterLines="0" w:line="400" w:lineRule="exact"/>
              <w:ind w:firstLine="380" w:firstLineChars="181"/>
              <w:rPr>
                <w:rFonts w:hint="eastAsia" w:ascii="宋体" w:hAnsi="宋体" w:eastAsia="宋体" w:cs="宋体"/>
                <w:kern w:val="0"/>
                <w:highlight w:val="none"/>
                <w:lang w:eastAsia="zh-CN"/>
              </w:rPr>
            </w:pPr>
            <w:r>
              <w:rPr>
                <w:rFonts w:hint="eastAsia" w:ascii="宋体" w:hAnsi="宋体" w:cs="宋体"/>
                <w:color w:val="auto"/>
                <w:szCs w:val="21"/>
                <w:highlight w:val="none"/>
              </w:rPr>
              <w:t>编制投标文件时</w:t>
            </w:r>
            <w:r>
              <w:rPr>
                <w:rFonts w:hint="eastAsia" w:ascii="宋体" w:hAnsi="宋体" w:cs="宋体"/>
                <w:color w:val="auto"/>
                <w:szCs w:val="21"/>
                <w:highlight w:val="none"/>
                <w:lang w:val="en-US" w:eastAsia="zh-CN"/>
              </w:rPr>
              <w:t>不得</w:t>
            </w:r>
            <w:r>
              <w:rPr>
                <w:rFonts w:hint="eastAsia" w:ascii="宋体" w:hAnsi="宋体" w:cs="宋体"/>
                <w:color w:val="auto"/>
                <w:szCs w:val="21"/>
                <w:highlight w:val="none"/>
              </w:rPr>
              <w:t>对第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章“投标文件格式”的相应要素作实质性修改</w:t>
            </w:r>
            <w:r>
              <w:rPr>
                <w:rFonts w:hint="eastAsia" w:ascii="宋体" w:hAnsi="宋体" w:cs="宋体"/>
                <w:color w:val="auto"/>
                <w:szCs w:val="21"/>
                <w:highlight w:val="none"/>
                <w:lang w:eastAsia="zh-CN"/>
              </w:rPr>
              <w:t>。</w:t>
            </w:r>
          </w:p>
        </w:tc>
      </w:tr>
      <w:tr w14:paraId="62871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69391F0">
            <w:pPr>
              <w:spacing w:afterLines="0" w:line="400" w:lineRule="exact"/>
              <w:jc w:val="center"/>
              <w:rPr>
                <w:rFonts w:ascii="宋体" w:hAnsi="宋体"/>
                <w:b/>
                <w:kern w:val="0"/>
                <w:highlight w:val="none"/>
              </w:rPr>
            </w:pPr>
          </w:p>
        </w:tc>
        <w:tc>
          <w:tcPr>
            <w:tcW w:w="1560" w:type="dxa"/>
            <w:vMerge w:val="continue"/>
            <w:tcBorders>
              <w:left w:val="single" w:color="auto" w:sz="4" w:space="0"/>
            </w:tcBorders>
            <w:vAlign w:val="center"/>
          </w:tcPr>
          <w:p w14:paraId="3B1D2761">
            <w:pPr>
              <w:spacing w:afterLines="0" w:line="400" w:lineRule="exact"/>
              <w:jc w:val="center"/>
              <w:rPr>
                <w:rFonts w:ascii="宋体" w:hAnsi="宋体"/>
                <w:b/>
                <w:kern w:val="0"/>
                <w:highlight w:val="none"/>
              </w:rPr>
            </w:pPr>
          </w:p>
        </w:tc>
        <w:tc>
          <w:tcPr>
            <w:tcW w:w="2267" w:type="dxa"/>
            <w:tcBorders>
              <w:right w:val="single" w:color="auto" w:sz="4" w:space="0"/>
            </w:tcBorders>
            <w:vAlign w:val="center"/>
          </w:tcPr>
          <w:p w14:paraId="4C558059">
            <w:pPr>
              <w:spacing w:afterLines="0" w:line="400" w:lineRule="exact"/>
              <w:jc w:val="left"/>
              <w:rPr>
                <w:rFonts w:ascii="宋体" w:hAnsi="宋体" w:cs="宋体"/>
                <w:kern w:val="0"/>
                <w:highlight w:val="none"/>
              </w:rPr>
            </w:pPr>
            <w:r>
              <w:rPr>
                <w:rFonts w:hint="eastAsia" w:ascii="宋体" w:hAnsi="宋体" w:cs="宋体"/>
                <w:kern w:val="0"/>
                <w:highlight w:val="none"/>
              </w:rPr>
              <w:t>投标文件的签署</w:t>
            </w:r>
          </w:p>
        </w:tc>
        <w:tc>
          <w:tcPr>
            <w:tcW w:w="4615" w:type="dxa"/>
            <w:tcBorders>
              <w:left w:val="single" w:color="auto" w:sz="4" w:space="0"/>
            </w:tcBorders>
            <w:vAlign w:val="center"/>
          </w:tcPr>
          <w:p w14:paraId="137B6522">
            <w:pPr>
              <w:autoSpaceDE w:val="0"/>
              <w:autoSpaceDN w:val="0"/>
              <w:adjustRightInd w:val="0"/>
              <w:snapToGrid w:val="0"/>
              <w:spacing w:afterLines="0" w:line="400" w:lineRule="exact"/>
              <w:ind w:firstLine="420" w:firstLineChars="200"/>
              <w:rPr>
                <w:rFonts w:ascii="宋体" w:hAnsi="宋体" w:cs="宋体"/>
                <w:kern w:val="0"/>
                <w:highlight w:val="none"/>
              </w:rPr>
            </w:pPr>
            <w:r>
              <w:rPr>
                <w:rFonts w:hint="eastAsia" w:ascii="宋体" w:hAnsi="宋体" w:cs="宋体"/>
                <w:color w:val="auto"/>
                <w:kern w:val="0"/>
                <w:highlight w:val="none"/>
              </w:rPr>
              <w:t>第八章 投标文件格式要求法定代表人或其委托代理人签名（或盖章）的须齐全。</w:t>
            </w:r>
          </w:p>
        </w:tc>
      </w:tr>
      <w:tr w14:paraId="1C69E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A9ADC46">
            <w:pPr>
              <w:spacing w:afterLines="0" w:line="400" w:lineRule="exact"/>
              <w:jc w:val="center"/>
              <w:rPr>
                <w:rFonts w:ascii="宋体" w:hAnsi="宋体"/>
                <w:b/>
                <w:kern w:val="0"/>
                <w:highlight w:val="none"/>
              </w:rPr>
            </w:pPr>
          </w:p>
        </w:tc>
        <w:tc>
          <w:tcPr>
            <w:tcW w:w="1560" w:type="dxa"/>
            <w:vMerge w:val="continue"/>
            <w:tcBorders>
              <w:left w:val="single" w:color="auto" w:sz="4" w:space="0"/>
            </w:tcBorders>
            <w:vAlign w:val="center"/>
          </w:tcPr>
          <w:p w14:paraId="1A9F4FA8">
            <w:pPr>
              <w:spacing w:afterLines="0" w:line="400" w:lineRule="exact"/>
              <w:jc w:val="center"/>
              <w:rPr>
                <w:rFonts w:ascii="宋体" w:hAnsi="宋体"/>
                <w:b/>
                <w:kern w:val="0"/>
                <w:highlight w:val="none"/>
              </w:rPr>
            </w:pPr>
          </w:p>
        </w:tc>
        <w:tc>
          <w:tcPr>
            <w:tcW w:w="2267" w:type="dxa"/>
            <w:tcBorders>
              <w:right w:val="single" w:color="auto" w:sz="4" w:space="0"/>
            </w:tcBorders>
            <w:vAlign w:val="center"/>
          </w:tcPr>
          <w:p w14:paraId="008FB7B9">
            <w:pPr>
              <w:spacing w:afterLines="0" w:line="400" w:lineRule="exact"/>
              <w:jc w:val="left"/>
              <w:rPr>
                <w:rFonts w:ascii="宋体" w:hAnsi="宋体" w:cs="宋体"/>
                <w:kern w:val="0"/>
                <w:highlight w:val="none"/>
              </w:rPr>
            </w:pPr>
            <w:r>
              <w:rPr>
                <w:rFonts w:hint="eastAsia" w:ascii="宋体" w:hAnsi="宋体" w:cs="宋体"/>
                <w:kern w:val="0"/>
                <w:highlight w:val="none"/>
              </w:rPr>
              <w:t>委托代理人</w:t>
            </w:r>
          </w:p>
        </w:tc>
        <w:tc>
          <w:tcPr>
            <w:tcW w:w="4615" w:type="dxa"/>
            <w:tcBorders>
              <w:left w:val="single" w:color="auto" w:sz="4" w:space="0"/>
            </w:tcBorders>
            <w:vAlign w:val="center"/>
          </w:tcPr>
          <w:p w14:paraId="41598E62">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投标人法定代表人的委托代理人有法定代表人签署的授权委托书和投标人为其缴纳的养老保险</w:t>
            </w:r>
            <w:r>
              <w:rPr>
                <w:rFonts w:hint="eastAsia" w:ascii="宋体" w:hAnsi="宋体" w:cs="宋体"/>
                <w:kern w:val="0"/>
                <w:highlight w:val="none"/>
                <w:lang w:val="en-US" w:eastAsia="zh-CN"/>
              </w:rPr>
              <w:t>证明材料</w:t>
            </w:r>
            <w:r>
              <w:rPr>
                <w:rFonts w:hint="eastAsia" w:ascii="宋体" w:hAnsi="宋体" w:cs="宋体"/>
                <w:kern w:val="0"/>
                <w:highlight w:val="none"/>
              </w:rPr>
              <w:t>。</w:t>
            </w:r>
          </w:p>
        </w:tc>
      </w:tr>
      <w:tr w14:paraId="2B1EA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063F1DAA">
            <w:pPr>
              <w:spacing w:afterLines="0" w:line="400" w:lineRule="exact"/>
              <w:jc w:val="center"/>
              <w:rPr>
                <w:rFonts w:hint="default" w:ascii="宋体" w:hAnsi="宋体" w:eastAsia="宋体"/>
                <w:kern w:val="0"/>
                <w:highlight w:val="none"/>
                <w:lang w:val="en-US" w:eastAsia="zh-CN"/>
              </w:rPr>
            </w:pPr>
            <w:r>
              <w:rPr>
                <w:rFonts w:hint="eastAsia" w:ascii="宋体" w:hAnsi="宋体"/>
                <w:kern w:val="0"/>
                <w:highlight w:val="none"/>
                <w:lang w:val="en-US" w:eastAsia="zh-CN"/>
              </w:rPr>
              <w:t>2.1.3</w:t>
            </w:r>
          </w:p>
        </w:tc>
        <w:tc>
          <w:tcPr>
            <w:tcW w:w="1560" w:type="dxa"/>
            <w:vMerge w:val="restart"/>
            <w:tcBorders>
              <w:top w:val="single" w:color="auto" w:sz="4" w:space="0"/>
              <w:left w:val="single" w:color="auto" w:sz="4" w:space="0"/>
            </w:tcBorders>
            <w:vAlign w:val="center"/>
          </w:tcPr>
          <w:p w14:paraId="1F165D64">
            <w:pPr>
              <w:spacing w:afterLines="0" w:line="400" w:lineRule="exact"/>
              <w:jc w:val="center"/>
              <w:rPr>
                <w:rFonts w:ascii="宋体" w:hAnsi="宋体"/>
                <w:kern w:val="0"/>
                <w:highlight w:val="none"/>
              </w:rPr>
            </w:pPr>
            <w:r>
              <w:rPr>
                <w:rFonts w:ascii="宋体" w:hAnsi="宋体"/>
                <w:kern w:val="0"/>
                <w:highlight w:val="none"/>
              </w:rPr>
              <w:t>响应性评审标准</w:t>
            </w:r>
          </w:p>
        </w:tc>
        <w:tc>
          <w:tcPr>
            <w:tcW w:w="2267" w:type="dxa"/>
            <w:tcBorders>
              <w:right w:val="single" w:color="auto" w:sz="4" w:space="0"/>
            </w:tcBorders>
            <w:vAlign w:val="center"/>
          </w:tcPr>
          <w:p w14:paraId="256DD7E2">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投标内容</w:t>
            </w:r>
          </w:p>
        </w:tc>
        <w:tc>
          <w:tcPr>
            <w:tcW w:w="4615" w:type="dxa"/>
            <w:tcBorders>
              <w:left w:val="single" w:color="auto" w:sz="4" w:space="0"/>
            </w:tcBorders>
            <w:vAlign w:val="center"/>
          </w:tcPr>
          <w:p w14:paraId="76B36153">
            <w:pPr>
              <w:snapToGrid w:val="0"/>
              <w:spacing w:afterLines="0" w:line="400" w:lineRule="exact"/>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符合第二章“投标人须知”第1.3.1项规定</w:t>
            </w:r>
            <w:r>
              <w:rPr>
                <w:rFonts w:hint="eastAsia" w:ascii="宋体" w:hAnsi="宋体" w:cs="宋体"/>
                <w:kern w:val="0"/>
                <w:highlight w:val="none"/>
                <w:lang w:eastAsia="zh-CN"/>
              </w:rPr>
              <w:t>。</w:t>
            </w:r>
          </w:p>
        </w:tc>
      </w:tr>
      <w:tr w14:paraId="38D0B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4440F5C">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55FFCBCC">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205F1C94">
            <w:pPr>
              <w:spacing w:afterLines="0" w:line="400" w:lineRule="exact"/>
              <w:jc w:val="left"/>
              <w:rPr>
                <w:rFonts w:ascii="宋体" w:hAnsi="宋体" w:cs="宋体"/>
                <w:kern w:val="0"/>
                <w:highlight w:val="none"/>
              </w:rPr>
            </w:pPr>
            <w:r>
              <w:rPr>
                <w:rFonts w:hint="eastAsia" w:ascii="宋体" w:hAnsi="宋体" w:cs="宋体"/>
                <w:kern w:val="0"/>
                <w:highlight w:val="none"/>
              </w:rPr>
              <w:t>投标保证金</w:t>
            </w:r>
          </w:p>
        </w:tc>
        <w:tc>
          <w:tcPr>
            <w:tcW w:w="4615" w:type="dxa"/>
            <w:tcBorders>
              <w:left w:val="single" w:color="auto" w:sz="4" w:space="0"/>
            </w:tcBorders>
            <w:vAlign w:val="center"/>
          </w:tcPr>
          <w:p w14:paraId="3ADAA4A3">
            <w:pPr>
              <w:tabs>
                <w:tab w:val="left" w:pos="611"/>
                <w:tab w:val="left" w:pos="669"/>
              </w:tabs>
              <w:snapToGrid w:val="0"/>
              <w:spacing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符合第二章“投标人须知前附表”第3.4款规定。</w:t>
            </w:r>
          </w:p>
        </w:tc>
      </w:tr>
      <w:tr w14:paraId="10440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9BC9C41">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0FDFA42F">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221EF513">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权利义务</w:t>
            </w:r>
          </w:p>
        </w:tc>
        <w:tc>
          <w:tcPr>
            <w:tcW w:w="4615" w:type="dxa"/>
            <w:tcBorders>
              <w:left w:val="single" w:color="auto" w:sz="4" w:space="0"/>
            </w:tcBorders>
            <w:vAlign w:val="center"/>
          </w:tcPr>
          <w:p w14:paraId="71CBA3B9">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符合第四章“合同条款及格式”规定，投标文件不应附有招标人不能接受的条件。（由投标人承诺，承诺书格式详见第八章投标文件格式。）</w:t>
            </w:r>
          </w:p>
        </w:tc>
      </w:tr>
      <w:tr w14:paraId="2D131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71C77BA">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47208D34">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10D963BE">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技术标准和要求</w:t>
            </w:r>
          </w:p>
        </w:tc>
        <w:tc>
          <w:tcPr>
            <w:tcW w:w="4615" w:type="dxa"/>
            <w:tcBorders>
              <w:left w:val="single" w:color="auto" w:sz="4" w:space="0"/>
            </w:tcBorders>
            <w:vAlign w:val="center"/>
          </w:tcPr>
          <w:p w14:paraId="735A5E31">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符合第七章“技术标准和要求”规定。（由投标人承诺，承诺书格式详见第八章投标文件格式。）</w:t>
            </w:r>
          </w:p>
        </w:tc>
      </w:tr>
      <w:tr w14:paraId="16B07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23F0C4C2">
            <w:pPr>
              <w:spacing w:afterLines="0" w:line="400" w:lineRule="exact"/>
              <w:jc w:val="center"/>
              <w:rPr>
                <w:rFonts w:ascii="宋体" w:hAnsi="宋体"/>
                <w:kern w:val="0"/>
                <w:highlight w:val="none"/>
              </w:rPr>
            </w:pPr>
          </w:p>
        </w:tc>
        <w:tc>
          <w:tcPr>
            <w:tcW w:w="1560" w:type="dxa"/>
            <w:vMerge w:val="continue"/>
            <w:tcBorders>
              <w:left w:val="single" w:color="auto" w:sz="4" w:space="0"/>
              <w:bottom w:val="single" w:color="auto" w:sz="4" w:space="0"/>
            </w:tcBorders>
            <w:vAlign w:val="center"/>
          </w:tcPr>
          <w:p w14:paraId="312852C4">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2182D454">
            <w:pPr>
              <w:snapToGrid w:val="0"/>
              <w:spacing w:afterLines="0" w:line="400" w:lineRule="exact"/>
              <w:jc w:val="left"/>
              <w:rPr>
                <w:rFonts w:ascii="宋体" w:hAnsi="宋体" w:cs="宋体"/>
                <w:kern w:val="0"/>
                <w:highlight w:val="none"/>
              </w:rPr>
            </w:pPr>
            <w:r>
              <w:rPr>
                <w:rFonts w:hint="eastAsia" w:ascii="宋体" w:hAnsi="宋体" w:cs="宋体"/>
                <w:kern w:val="0"/>
                <w:highlight w:val="none"/>
                <w:lang w:val="en-US" w:eastAsia="zh-CN"/>
              </w:rPr>
              <w:t>其他</w:t>
            </w:r>
            <w:r>
              <w:rPr>
                <w:rFonts w:hint="eastAsia" w:ascii="宋体" w:hAnsi="宋体" w:cs="宋体"/>
                <w:kern w:val="0"/>
                <w:highlight w:val="none"/>
              </w:rPr>
              <w:t>实质性要求</w:t>
            </w:r>
          </w:p>
        </w:tc>
        <w:tc>
          <w:tcPr>
            <w:tcW w:w="4615" w:type="dxa"/>
            <w:tcBorders>
              <w:left w:val="single" w:color="auto" w:sz="4" w:space="0"/>
            </w:tcBorders>
            <w:vAlign w:val="center"/>
          </w:tcPr>
          <w:p w14:paraId="00B46093">
            <w:pPr>
              <w:spacing w:after="0" w:afterLines="0" w:line="400" w:lineRule="exact"/>
              <w:ind w:firstLine="420" w:firstLineChars="200"/>
              <w:rPr>
                <w:rFonts w:ascii="宋体" w:hAnsi="宋体"/>
                <w:kern w:val="0"/>
                <w:highlight w:val="none"/>
              </w:rPr>
            </w:pPr>
            <w:r>
              <w:rPr>
                <w:rFonts w:hint="eastAsia" w:ascii="宋体" w:hAnsi="宋体"/>
                <w:kern w:val="0"/>
                <w:highlight w:val="none"/>
              </w:rPr>
              <w:t>本次投标不得</w:t>
            </w:r>
            <w:r>
              <w:rPr>
                <w:rFonts w:hint="eastAsia" w:ascii="宋体" w:hAnsi="宋体"/>
                <w:kern w:val="0"/>
                <w:highlight w:val="none"/>
                <w:lang w:val="en-US" w:eastAsia="zh-CN"/>
              </w:rPr>
              <w:t>存在弄虚作假等</w:t>
            </w:r>
            <w:r>
              <w:rPr>
                <w:rFonts w:ascii="宋体" w:hAnsi="宋体"/>
                <w:kern w:val="0"/>
                <w:highlight w:val="none"/>
              </w:rPr>
              <w:t>其他违反招投标相关法律、法规</w:t>
            </w:r>
            <w:r>
              <w:rPr>
                <w:rFonts w:hint="eastAsia" w:ascii="宋体" w:hAnsi="宋体"/>
                <w:kern w:val="0"/>
                <w:highlight w:val="none"/>
                <w:lang w:val="en-US" w:eastAsia="zh-CN"/>
              </w:rPr>
              <w:t>的</w:t>
            </w:r>
            <w:r>
              <w:rPr>
                <w:rFonts w:ascii="宋体" w:hAnsi="宋体"/>
                <w:kern w:val="0"/>
                <w:highlight w:val="none"/>
              </w:rPr>
              <w:t>行为。</w:t>
            </w:r>
          </w:p>
          <w:p w14:paraId="231144F9">
            <w:pPr>
              <w:snapToGrid/>
              <w:spacing w:after="0" w:afterLines="0" w:line="400" w:lineRule="exact"/>
              <w:ind w:firstLine="420" w:firstLineChars="200"/>
              <w:rPr>
                <w:rFonts w:ascii="宋体" w:hAnsi="宋体" w:cs="宋体"/>
                <w:kern w:val="0"/>
                <w:highlight w:val="none"/>
              </w:rPr>
            </w:pPr>
            <w:r>
              <w:rPr>
                <w:rFonts w:hint="eastAsia" w:ascii="宋体" w:hAnsi="宋体"/>
                <w:kern w:val="0"/>
                <w:highlight w:val="none"/>
              </w:rPr>
              <w:t>按评标委员会要求澄清、说明或补正。</w:t>
            </w:r>
          </w:p>
        </w:tc>
      </w:tr>
      <w:tr w14:paraId="2B203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054DB05A">
            <w:pPr>
              <w:spacing w:afterLines="0" w:line="400" w:lineRule="exact"/>
              <w:jc w:val="center"/>
              <w:rPr>
                <w:rFonts w:hint="eastAsia" w:ascii="宋体" w:hAnsi="宋体" w:eastAsia="宋体"/>
                <w:kern w:val="0"/>
                <w:highlight w:val="none"/>
                <w:lang w:eastAsia="zh-CN"/>
              </w:rPr>
            </w:pPr>
            <w:r>
              <w:rPr>
                <w:rFonts w:hint="eastAsia" w:ascii="宋体" w:hAnsi="宋体"/>
                <w:kern w:val="0"/>
                <w:highlight w:val="none"/>
              </w:rPr>
              <w:t>2.2.</w:t>
            </w:r>
            <w:r>
              <w:rPr>
                <w:rFonts w:hint="eastAsia" w:ascii="宋体" w:hAnsi="宋体"/>
                <w:kern w:val="0"/>
                <w:highlight w:val="none"/>
                <w:lang w:val="en-US" w:eastAsia="zh-CN"/>
              </w:rPr>
              <w:t>3</w:t>
            </w:r>
          </w:p>
        </w:tc>
        <w:tc>
          <w:tcPr>
            <w:tcW w:w="1560" w:type="dxa"/>
            <w:vMerge w:val="restart"/>
            <w:tcBorders>
              <w:top w:val="single" w:color="auto" w:sz="4" w:space="0"/>
              <w:left w:val="single" w:color="auto" w:sz="4" w:space="0"/>
            </w:tcBorders>
            <w:vAlign w:val="center"/>
          </w:tcPr>
          <w:p w14:paraId="553B1E10">
            <w:pPr>
              <w:spacing w:afterLines="0" w:line="400" w:lineRule="exact"/>
              <w:jc w:val="center"/>
              <w:rPr>
                <w:rFonts w:ascii="宋体" w:hAnsi="宋体"/>
                <w:kern w:val="0"/>
                <w:highlight w:val="none"/>
              </w:rPr>
            </w:pPr>
            <w:r>
              <w:rPr>
                <w:rFonts w:hint="eastAsia" w:ascii="宋体" w:hAnsi="宋体"/>
                <w:kern w:val="0"/>
                <w:highlight w:val="none"/>
              </w:rPr>
              <w:t>投标函</w:t>
            </w:r>
            <w:r>
              <w:rPr>
                <w:rFonts w:hint="eastAsia" w:ascii="宋体" w:hAnsi="宋体"/>
                <w:kern w:val="0"/>
                <w:highlight w:val="none"/>
                <w:lang w:val="en-US" w:eastAsia="zh-CN"/>
              </w:rPr>
              <w:t>部分</w:t>
            </w:r>
            <w:r>
              <w:rPr>
                <w:rFonts w:hint="eastAsia" w:ascii="宋体" w:hAnsi="宋体"/>
                <w:kern w:val="0"/>
                <w:highlight w:val="none"/>
              </w:rPr>
              <w:t>评审标准</w:t>
            </w:r>
          </w:p>
        </w:tc>
        <w:tc>
          <w:tcPr>
            <w:tcW w:w="2267" w:type="dxa"/>
            <w:tcBorders>
              <w:right w:val="single" w:color="auto" w:sz="4" w:space="0"/>
            </w:tcBorders>
            <w:vAlign w:val="center"/>
          </w:tcPr>
          <w:p w14:paraId="104DBC22">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投标函部分的签名盖章</w:t>
            </w:r>
          </w:p>
        </w:tc>
        <w:tc>
          <w:tcPr>
            <w:tcW w:w="4615" w:type="dxa"/>
            <w:tcBorders>
              <w:left w:val="single" w:color="auto" w:sz="4" w:space="0"/>
            </w:tcBorders>
            <w:vAlign w:val="center"/>
          </w:tcPr>
          <w:p w14:paraId="1DB45081">
            <w:pPr>
              <w:snapToGrid w:val="0"/>
              <w:spacing w:after="0" w:afterLines="0" w:line="400" w:lineRule="exact"/>
              <w:ind w:firstLine="420" w:firstLineChars="200"/>
              <w:rPr>
                <w:rFonts w:ascii="宋体" w:hAnsi="宋体" w:cs="宋体"/>
                <w:kern w:val="0"/>
                <w:highlight w:val="none"/>
              </w:rPr>
            </w:pPr>
            <w:r>
              <w:rPr>
                <w:rFonts w:hint="eastAsia" w:ascii="宋体" w:hAnsi="宋体" w:cs="宋体"/>
                <w:color w:val="auto"/>
                <w:kern w:val="0"/>
                <w:highlight w:val="none"/>
              </w:rPr>
              <w:t>投标函部分的格式要求法定代表人或其委托代理人签名（或盖章）的须齐全，</w:t>
            </w:r>
            <w:r>
              <w:rPr>
                <w:rFonts w:hint="eastAsia" w:ascii="宋体" w:hAnsi="宋体" w:cs="宋体"/>
                <w:color w:val="auto"/>
                <w:szCs w:val="21"/>
                <w:highlight w:val="none"/>
              </w:rPr>
              <w:t>要求签名的，</w:t>
            </w:r>
            <w:r>
              <w:rPr>
                <w:rFonts w:hint="eastAsia" w:ascii="宋体" w:hAnsi="宋体" w:cs="宋体"/>
                <w:color w:val="auto"/>
                <w:kern w:val="0"/>
                <w:highlight w:val="none"/>
              </w:rPr>
              <w:t>签名采用手写签名或签章均可，要求加盖单位法人章的，应</w:t>
            </w:r>
            <w:r>
              <w:rPr>
                <w:rFonts w:hint="eastAsia" w:ascii="宋体" w:hAnsi="宋体" w:cs="宋体"/>
                <w:color w:val="auto"/>
                <w:kern w:val="0"/>
                <w:highlight w:val="none"/>
                <w:lang w:val="en-US" w:eastAsia="zh-CN"/>
              </w:rPr>
              <w:t>按要求</w:t>
            </w:r>
            <w:r>
              <w:rPr>
                <w:rFonts w:hint="eastAsia" w:ascii="宋体" w:hAnsi="宋体" w:cs="宋体"/>
                <w:color w:val="auto"/>
                <w:kern w:val="0"/>
                <w:highlight w:val="none"/>
              </w:rPr>
              <w:t>加盖投标人的单位法人章。</w:t>
            </w:r>
          </w:p>
        </w:tc>
      </w:tr>
      <w:tr w14:paraId="7D5A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BFC96C5">
            <w:pPr>
              <w:spacing w:afterLines="0" w:line="400" w:lineRule="exact"/>
              <w:jc w:val="center"/>
              <w:rPr>
                <w:rFonts w:hint="eastAsia" w:ascii="宋体" w:hAnsi="宋体"/>
                <w:kern w:val="0"/>
                <w:highlight w:val="none"/>
              </w:rPr>
            </w:pPr>
          </w:p>
        </w:tc>
        <w:tc>
          <w:tcPr>
            <w:tcW w:w="1560" w:type="dxa"/>
            <w:vMerge w:val="continue"/>
            <w:tcBorders>
              <w:left w:val="single" w:color="auto" w:sz="4" w:space="0"/>
            </w:tcBorders>
            <w:vAlign w:val="center"/>
          </w:tcPr>
          <w:p w14:paraId="4207B315">
            <w:pPr>
              <w:spacing w:afterLines="0" w:line="400" w:lineRule="exact"/>
              <w:jc w:val="center"/>
              <w:rPr>
                <w:rFonts w:hint="eastAsia" w:ascii="宋体" w:hAnsi="宋体"/>
                <w:kern w:val="0"/>
                <w:highlight w:val="none"/>
              </w:rPr>
            </w:pPr>
          </w:p>
        </w:tc>
        <w:tc>
          <w:tcPr>
            <w:tcW w:w="2267" w:type="dxa"/>
            <w:tcBorders>
              <w:right w:val="single" w:color="auto" w:sz="4" w:space="0"/>
            </w:tcBorders>
            <w:vAlign w:val="center"/>
          </w:tcPr>
          <w:p w14:paraId="5FFE24A5">
            <w:pPr>
              <w:snapToGrid w:val="0"/>
              <w:spacing w:afterLines="0" w:line="400" w:lineRule="exact"/>
              <w:jc w:val="left"/>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人员</w:t>
            </w:r>
          </w:p>
        </w:tc>
        <w:tc>
          <w:tcPr>
            <w:tcW w:w="4615" w:type="dxa"/>
            <w:tcBorders>
              <w:left w:val="single" w:color="auto" w:sz="4" w:space="0"/>
            </w:tcBorders>
            <w:vAlign w:val="center"/>
          </w:tcPr>
          <w:p w14:paraId="2133FDAD">
            <w:pPr>
              <w:snapToGrid w:val="0"/>
              <w:spacing w:after="0" w:afterLines="0" w:line="400" w:lineRule="exact"/>
              <w:ind w:firstLine="420" w:firstLineChars="200"/>
              <w:rPr>
                <w:rFonts w:hint="eastAsia" w:ascii="宋体" w:hAnsi="宋体" w:cs="宋体"/>
                <w:kern w:val="0"/>
                <w:highlight w:val="none"/>
              </w:rPr>
            </w:pPr>
            <w:r>
              <w:rPr>
                <w:rFonts w:hint="eastAsia" w:ascii="宋体" w:hAnsi="宋体" w:cs="宋体"/>
                <w:kern w:val="0"/>
                <w:highlight w:val="none"/>
                <w:lang w:val="en-US" w:eastAsia="zh-CN"/>
              </w:rPr>
              <w:t>《投标函》中填写的项目经理应与拟派项目经理的信息一致。</w:t>
            </w:r>
          </w:p>
        </w:tc>
      </w:tr>
      <w:tr w14:paraId="72BA8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1A99241">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79C9B9E0">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3E62F929">
            <w:pPr>
              <w:snapToGrid w:val="0"/>
              <w:spacing w:afterLines="0" w:line="400" w:lineRule="exact"/>
              <w:jc w:val="left"/>
              <w:rPr>
                <w:rFonts w:ascii="宋体" w:hAnsi="宋体" w:cs="宋体"/>
                <w:kern w:val="0"/>
                <w:highlight w:val="none"/>
              </w:rPr>
            </w:pPr>
            <w:r>
              <w:rPr>
                <w:rFonts w:hint="eastAsia" w:ascii="宋体" w:hAnsi="宋体" w:cs="宋体"/>
                <w:kern w:val="0"/>
                <w:highlight w:val="none"/>
              </w:rPr>
              <w:t>工期</w:t>
            </w:r>
          </w:p>
        </w:tc>
        <w:tc>
          <w:tcPr>
            <w:tcW w:w="4615" w:type="dxa"/>
            <w:tcBorders>
              <w:left w:val="single" w:color="auto" w:sz="4" w:space="0"/>
            </w:tcBorders>
            <w:vAlign w:val="center"/>
          </w:tcPr>
          <w:p w14:paraId="246CA414">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符合第二章“投标人须知”第1.3.2项规定</w:t>
            </w:r>
          </w:p>
        </w:tc>
      </w:tr>
      <w:tr w14:paraId="0089A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BC22DE5">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74647EFE">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07A857E5">
            <w:pPr>
              <w:snapToGrid w:val="0"/>
              <w:spacing w:afterLines="0" w:line="400" w:lineRule="exact"/>
              <w:jc w:val="left"/>
              <w:rPr>
                <w:rFonts w:ascii="宋体" w:hAnsi="宋体" w:cs="宋体"/>
                <w:kern w:val="0"/>
                <w:highlight w:val="none"/>
              </w:rPr>
            </w:pPr>
            <w:r>
              <w:rPr>
                <w:rFonts w:hint="eastAsia" w:ascii="宋体" w:hAnsi="宋体" w:cs="宋体"/>
                <w:kern w:val="0"/>
                <w:highlight w:val="none"/>
              </w:rPr>
              <w:t>工程质量</w:t>
            </w:r>
          </w:p>
        </w:tc>
        <w:tc>
          <w:tcPr>
            <w:tcW w:w="4615" w:type="dxa"/>
            <w:tcBorders>
              <w:left w:val="single" w:color="auto" w:sz="4" w:space="0"/>
            </w:tcBorders>
            <w:vAlign w:val="center"/>
          </w:tcPr>
          <w:p w14:paraId="38DB91CD">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符合第二章“投标人须知”第1.3.3项规定</w:t>
            </w:r>
          </w:p>
        </w:tc>
      </w:tr>
      <w:tr w14:paraId="3F52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D731293">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7FF33003">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7A6845CD">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投标有效期</w:t>
            </w:r>
          </w:p>
        </w:tc>
        <w:tc>
          <w:tcPr>
            <w:tcW w:w="4615" w:type="dxa"/>
            <w:tcBorders>
              <w:left w:val="single" w:color="auto" w:sz="4" w:space="0"/>
            </w:tcBorders>
            <w:vAlign w:val="center"/>
          </w:tcPr>
          <w:p w14:paraId="6BCC7843">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符合第二章“投标人须知”第3.3.1项规定</w:t>
            </w:r>
          </w:p>
        </w:tc>
      </w:tr>
      <w:tr w14:paraId="11BA9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5E15C89">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759E05E8">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7E38A02B">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投标总报价</w:t>
            </w:r>
          </w:p>
        </w:tc>
        <w:tc>
          <w:tcPr>
            <w:tcW w:w="4615" w:type="dxa"/>
            <w:tcBorders>
              <w:left w:val="single" w:color="auto" w:sz="4" w:space="0"/>
            </w:tcBorders>
            <w:vAlign w:val="center"/>
          </w:tcPr>
          <w:p w14:paraId="7238D034">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color w:val="auto"/>
                <w:kern w:val="0"/>
                <w:highlight w:val="none"/>
              </w:rPr>
              <w:t>投标总报价不得高于招标人公布的投标总报价最高限价。投标函中的总报价必须与已标价工程量清单中的投标总报价一致</w:t>
            </w:r>
            <w:r>
              <w:rPr>
                <w:rFonts w:hint="eastAsia" w:ascii="宋体" w:hAnsi="宋体" w:cs="宋体"/>
                <w:kern w:val="0"/>
                <w:highlight w:val="none"/>
              </w:rPr>
              <w:t>。</w:t>
            </w:r>
          </w:p>
          <w:p w14:paraId="2CDB67A5">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.投标人投标总报价</w:t>
            </w:r>
            <w:r>
              <w:rPr>
                <w:rFonts w:hint="eastAsia" w:ascii="宋体" w:hAnsi="宋体" w:cs="宋体"/>
                <w:i w:val="0"/>
                <w:iCs w:val="0"/>
                <w:szCs w:val="21"/>
                <w:highlight w:val="none"/>
                <w:u w:val="none"/>
                <w:lang w:val="en-US" w:eastAsia="zh-CN"/>
              </w:rPr>
              <w:t>或者部分单项报价</w:t>
            </w:r>
            <w:r>
              <w:rPr>
                <w:rFonts w:hint="eastAsia" w:ascii="宋体" w:hAnsi="宋体" w:cs="宋体"/>
                <w:kern w:val="0"/>
                <w:highlight w:val="none"/>
              </w:rPr>
              <w:t>低于</w:t>
            </w:r>
            <w:r>
              <w:rPr>
                <w:rFonts w:hint="eastAsia" w:ascii="宋体" w:hAnsi="宋体" w:cs="宋体"/>
                <w:kern w:val="0"/>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s="宋体"/>
                <w:kern w:val="0"/>
                <w:highlight w:val="none"/>
              </w:rPr>
              <w:t>规定的对应的异常低价警戒线的，应提供报价合理性说明，并提供必要的证明材料</w:t>
            </w:r>
            <w:r>
              <w:rPr>
                <w:rFonts w:hint="eastAsia" w:ascii="宋体" w:hAnsi="宋体" w:eastAsia="宋体" w:cs="宋体"/>
                <w:color w:val="auto"/>
                <w:kern w:val="0"/>
                <w:szCs w:val="21"/>
                <w:highlight w:val="none"/>
                <w:lang w:val="en-US" w:eastAsia="zh-CN"/>
              </w:rPr>
              <w:t>，以说明其报价的合理性</w:t>
            </w:r>
            <w:r>
              <w:rPr>
                <w:rFonts w:hint="eastAsia" w:ascii="宋体" w:hAnsi="宋体" w:cs="宋体"/>
                <w:kern w:val="0"/>
                <w:highlight w:val="none"/>
              </w:rPr>
              <w:t>。</w:t>
            </w:r>
          </w:p>
        </w:tc>
      </w:tr>
      <w:tr w14:paraId="62B8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4C6D060">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48E7EBDB">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4EEDFA3F">
            <w:pPr>
              <w:snapToGrid w:val="0"/>
              <w:spacing w:afterLines="0" w:line="400" w:lineRule="exact"/>
              <w:jc w:val="left"/>
              <w:rPr>
                <w:rFonts w:ascii="宋体" w:hAnsi="宋体" w:cs="宋体"/>
                <w:kern w:val="0"/>
                <w:highlight w:val="none"/>
              </w:rPr>
            </w:pPr>
            <w:r>
              <w:rPr>
                <w:rFonts w:hint="eastAsia" w:ascii="宋体" w:hAnsi="宋体" w:eastAsia="宋体" w:cs="宋体"/>
                <w:color w:val="auto"/>
                <w:szCs w:val="21"/>
                <w:highlight w:val="none"/>
                <w:lang w:val="en-US" w:eastAsia="zh-CN"/>
              </w:rPr>
              <w:t>安全生产费</w:t>
            </w:r>
          </w:p>
        </w:tc>
        <w:tc>
          <w:tcPr>
            <w:tcW w:w="4615" w:type="dxa"/>
            <w:tcBorders>
              <w:left w:val="single" w:color="auto" w:sz="4" w:space="0"/>
            </w:tcBorders>
            <w:vAlign w:val="center"/>
          </w:tcPr>
          <w:p w14:paraId="2E38F1ED">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ascii="宋体" w:hAnsi="宋体" w:cs="宋体"/>
                <w:kern w:val="0"/>
                <w:highlight w:val="none"/>
              </w:rPr>
            </w:pPr>
            <w:r>
              <w:rPr>
                <w:rFonts w:hint="eastAsia" w:ascii="宋体" w:hAnsi="宋体" w:eastAsia="宋体" w:cs="宋体"/>
                <w:color w:val="auto"/>
                <w:szCs w:val="21"/>
                <w:highlight w:val="none"/>
              </w:rPr>
              <w:t>投标人应按照行业主管部门最新要求，在工程总报价中，按建筑安装工程总造价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不含设备费）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%标准计提安全生产费用。</w:t>
            </w:r>
            <w:r>
              <w:rPr>
                <w:rFonts w:hint="eastAsia" w:ascii="宋体" w:hAnsi="宋体" w:eastAsia="宋体" w:cs="宋体"/>
                <w:color w:val="auto"/>
                <w:szCs w:val="21"/>
                <w:highlight w:val="none"/>
                <w:lang w:val="en-US" w:eastAsia="zh-CN"/>
              </w:rPr>
              <w:t>安全生产费具体金额由</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自行计算填报。</w:t>
            </w:r>
          </w:p>
        </w:tc>
      </w:tr>
      <w:tr w14:paraId="0853A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8EEF98C">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081EAA1D">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38FD5B71">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报价唯一</w:t>
            </w:r>
          </w:p>
        </w:tc>
        <w:tc>
          <w:tcPr>
            <w:tcW w:w="4615" w:type="dxa"/>
            <w:tcBorders>
              <w:left w:val="single" w:color="auto" w:sz="4" w:space="0"/>
            </w:tcBorders>
            <w:vAlign w:val="center"/>
          </w:tcPr>
          <w:p w14:paraId="3E5278FF">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只能有一个有效报价。在</w:t>
            </w:r>
            <w:r>
              <w:rPr>
                <w:rFonts w:hint="eastAsia" w:ascii="宋体" w:hAnsi="宋体" w:cs="宋体"/>
                <w:kern w:val="0"/>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s="宋体"/>
                <w:kern w:val="0"/>
                <w:highlight w:val="none"/>
              </w:rPr>
              <w:t>没有规定的情况下，不得提交选择性报价。</w:t>
            </w:r>
          </w:p>
        </w:tc>
      </w:tr>
      <w:tr w14:paraId="1DB13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5DFD234">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532EFE9A">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1DB879CE">
            <w:pPr>
              <w:snapToGrid w:val="0"/>
              <w:spacing w:afterLines="0" w:line="400" w:lineRule="exact"/>
              <w:jc w:val="left"/>
              <w:rPr>
                <w:rFonts w:ascii="宋体" w:hAnsi="宋体" w:cs="宋体"/>
                <w:kern w:val="0"/>
                <w:highlight w:val="none"/>
              </w:rPr>
            </w:pPr>
            <w:r>
              <w:rPr>
                <w:rFonts w:hint="eastAsia" w:ascii="宋体" w:hAnsi="宋体" w:cs="宋体"/>
                <w:kern w:val="0"/>
                <w:highlight w:val="none"/>
              </w:rPr>
              <w:t>已标价工程量清单</w:t>
            </w:r>
          </w:p>
        </w:tc>
        <w:tc>
          <w:tcPr>
            <w:tcW w:w="4615" w:type="dxa"/>
            <w:tcBorders>
              <w:left w:val="single" w:color="auto" w:sz="4" w:space="0"/>
            </w:tcBorders>
            <w:vAlign w:val="center"/>
          </w:tcPr>
          <w:p w14:paraId="7CB4E5D1">
            <w:pPr>
              <w:snapToGrid w:val="0"/>
              <w:spacing w:line="400" w:lineRule="exact"/>
              <w:ind w:firstLine="420" w:firstLineChars="200"/>
              <w:rPr>
                <w:rFonts w:hint="eastAsia" w:ascii="宋体" w:hAnsi="宋体" w:cs="宋体"/>
                <w:color w:val="auto"/>
                <w:kern w:val="0"/>
                <w:highlight w:val="none"/>
                <w:lang w:eastAsia="zh-CN"/>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投标人承诺已标价工程量清单满足第二章“投标人须知前附表”第3.2款第14条要求，如有差错则按第二章“投标人须知前附表”第3.2款第13条要求原则进行处理（或结算），承诺书格式详见第八章投标文件格式</w:t>
            </w:r>
            <w:r>
              <w:rPr>
                <w:rFonts w:hint="eastAsia" w:ascii="宋体" w:hAnsi="宋体" w:cs="宋体"/>
                <w:color w:val="auto"/>
                <w:kern w:val="0"/>
                <w:highlight w:val="none"/>
                <w:lang w:eastAsia="zh-CN"/>
              </w:rPr>
              <w:t>。</w:t>
            </w:r>
          </w:p>
          <w:p w14:paraId="4E78EF9C">
            <w:pPr>
              <w:snapToGrid w:val="0"/>
              <w:spacing w:line="400" w:lineRule="exact"/>
              <w:ind w:firstLine="420" w:firstLineChars="200"/>
              <w:rPr>
                <w:rFonts w:hint="eastAsia" w:ascii="宋体" w:hAnsi="宋体"/>
                <w:kern w:val="0"/>
                <w:szCs w:val="21"/>
                <w:highlight w:val="none"/>
                <w:u w:val="none"/>
                <w:lang w:val="en-US" w:eastAsia="zh-CN"/>
              </w:rPr>
            </w:pPr>
            <w:r>
              <w:rPr>
                <w:rFonts w:hint="eastAsia" w:ascii="宋体" w:hAnsi="宋体" w:cs="宋体"/>
                <w:color w:val="auto"/>
                <w:kern w:val="0"/>
                <w:highlight w:val="none"/>
                <w:lang w:val="en-US" w:eastAsia="zh-CN"/>
              </w:rPr>
              <w:t>2.</w:t>
            </w:r>
            <w:r>
              <w:rPr>
                <w:rFonts w:hint="default" w:ascii="宋体" w:hAnsi="宋体"/>
                <w:kern w:val="0"/>
                <w:szCs w:val="21"/>
                <w:highlight w:val="none"/>
                <w:u w:val="none"/>
              </w:rPr>
              <w:t>投标人的</w:t>
            </w:r>
            <w:r>
              <w:rPr>
                <w:rFonts w:hint="eastAsia" w:ascii="宋体" w:hAnsi="宋体"/>
                <w:kern w:val="0"/>
                <w:szCs w:val="21"/>
                <w:highlight w:val="none"/>
                <w:u w:val="none"/>
                <w:lang w:val="en-US" w:eastAsia="zh-CN"/>
              </w:rPr>
              <w:t>工程量清单单项报价</w:t>
            </w:r>
            <w:r>
              <w:rPr>
                <w:rFonts w:hint="default" w:ascii="宋体" w:hAnsi="宋体"/>
                <w:kern w:val="0"/>
                <w:szCs w:val="21"/>
                <w:highlight w:val="none"/>
                <w:u w:val="none"/>
              </w:rPr>
              <w:t>不得</w:t>
            </w:r>
            <w:r>
              <w:rPr>
                <w:rFonts w:hint="eastAsia" w:ascii="宋体" w:hAnsi="宋体"/>
                <w:kern w:val="0"/>
                <w:szCs w:val="21"/>
                <w:highlight w:val="none"/>
                <w:u w:val="none"/>
                <w:lang w:val="en-US" w:eastAsia="zh-CN"/>
              </w:rPr>
              <w:t>为零报价（招标人提供的工程量清单单项最高限价中金额为零的除外）或者负数报价（如有）。</w:t>
            </w:r>
          </w:p>
          <w:p w14:paraId="1000B665">
            <w:pPr>
              <w:snapToGrid w:val="0"/>
              <w:spacing w:after="0" w:afterLines="0" w:line="400" w:lineRule="exact"/>
              <w:ind w:firstLine="420" w:firstLineChars="200"/>
              <w:rPr>
                <w:rFonts w:hint="default" w:ascii="宋体" w:hAnsi="宋体" w:eastAsia="宋体" w:cs="宋体"/>
                <w:kern w:val="0"/>
                <w:highlight w:val="none"/>
                <w:lang w:val="en-US" w:eastAsia="zh-CN"/>
              </w:rPr>
            </w:pPr>
            <w:r>
              <w:rPr>
                <w:rFonts w:hint="eastAsia" w:ascii="宋体" w:hAnsi="宋体"/>
                <w:kern w:val="0"/>
                <w:szCs w:val="21"/>
                <w:highlight w:val="none"/>
                <w:u w:val="none"/>
                <w:lang w:val="en-US" w:eastAsia="zh-CN"/>
              </w:rPr>
              <w:t>3.投标人的工程量清单中有不平衡报价的，应符合第二章“投标人须知前附表”第3.2款关于不平衡报价的要求（如有）。</w:t>
            </w:r>
          </w:p>
        </w:tc>
      </w:tr>
      <w:tr w14:paraId="3C66A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E2A0D10">
            <w:pPr>
              <w:spacing w:afterLines="0"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3101FBFB">
            <w:pPr>
              <w:spacing w:afterLines="0" w:line="400" w:lineRule="exact"/>
              <w:jc w:val="center"/>
              <w:rPr>
                <w:rFonts w:ascii="宋体" w:hAnsi="宋体"/>
                <w:kern w:val="0"/>
                <w:highlight w:val="none"/>
              </w:rPr>
            </w:pPr>
          </w:p>
        </w:tc>
        <w:tc>
          <w:tcPr>
            <w:tcW w:w="2267" w:type="dxa"/>
            <w:tcBorders>
              <w:right w:val="single" w:color="auto" w:sz="4" w:space="0"/>
            </w:tcBorders>
            <w:vAlign w:val="center"/>
          </w:tcPr>
          <w:p w14:paraId="5A5FF958">
            <w:pPr>
              <w:snapToGrid w:val="0"/>
              <w:spacing w:afterLines="0" w:line="400" w:lineRule="exact"/>
              <w:jc w:val="left"/>
              <w:rPr>
                <w:rFonts w:ascii="宋体" w:hAnsi="宋体" w:cs="宋体"/>
                <w:kern w:val="0"/>
                <w:highlight w:val="none"/>
              </w:rPr>
            </w:pPr>
            <w:r>
              <w:rPr>
                <w:rFonts w:hint="eastAsia" w:ascii="宋体" w:hAnsi="宋体" w:cs="宋体"/>
                <w:kern w:val="0"/>
                <w:highlight w:val="none"/>
              </w:rPr>
              <w:t>投标报价大小写不一致修正</w:t>
            </w:r>
          </w:p>
        </w:tc>
        <w:tc>
          <w:tcPr>
            <w:tcW w:w="4615" w:type="dxa"/>
            <w:tcBorders>
              <w:left w:val="single" w:color="auto" w:sz="4" w:space="0"/>
            </w:tcBorders>
            <w:vAlign w:val="center"/>
          </w:tcPr>
          <w:p w14:paraId="3F409F80">
            <w:pPr>
              <w:snapToGrid w:val="0"/>
              <w:spacing w:after="0" w:afterLines="0" w:line="400" w:lineRule="exact"/>
              <w:ind w:firstLine="420" w:firstLineChars="200"/>
              <w:rPr>
                <w:rFonts w:ascii="宋体" w:hAnsi="宋体" w:cs="宋体"/>
                <w:kern w:val="0"/>
                <w:highlight w:val="none"/>
              </w:rPr>
            </w:pPr>
            <w:r>
              <w:rPr>
                <w:rFonts w:hint="eastAsia" w:ascii="宋体" w:hAnsi="宋体" w:cs="宋体"/>
                <w:kern w:val="0"/>
                <w:highlight w:val="none"/>
              </w:rPr>
              <w:t>符合第三章“评标办法”第3.2.</w:t>
            </w:r>
            <w:r>
              <w:rPr>
                <w:rFonts w:hint="eastAsia" w:ascii="宋体" w:hAnsi="宋体" w:cs="宋体"/>
                <w:kern w:val="0"/>
                <w:highlight w:val="none"/>
                <w:lang w:val="en-US" w:eastAsia="zh-CN"/>
              </w:rPr>
              <w:t>2</w:t>
            </w:r>
            <w:r>
              <w:rPr>
                <w:rFonts w:hint="eastAsia" w:ascii="宋体" w:hAnsi="宋体" w:cs="宋体"/>
                <w:kern w:val="0"/>
                <w:highlight w:val="none"/>
              </w:rPr>
              <w:t>项规定。</w:t>
            </w:r>
          </w:p>
        </w:tc>
      </w:tr>
      <w:tr w14:paraId="16260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71BE5DF3">
            <w:pPr>
              <w:spacing w:afterLines="0" w:line="400" w:lineRule="exact"/>
              <w:jc w:val="center"/>
              <w:rPr>
                <w:rFonts w:ascii="宋体" w:hAnsi="宋体"/>
                <w:highlight w:val="none"/>
              </w:rPr>
            </w:pPr>
            <w:r>
              <w:rPr>
                <w:rFonts w:ascii="宋体" w:hAnsi="宋体"/>
                <w:highlight w:val="none"/>
              </w:rPr>
              <w:t>3</w:t>
            </w:r>
          </w:p>
        </w:tc>
        <w:tc>
          <w:tcPr>
            <w:tcW w:w="1560" w:type="dxa"/>
            <w:tcBorders>
              <w:left w:val="single" w:color="auto" w:sz="4" w:space="0"/>
              <w:right w:val="single" w:color="auto" w:sz="4" w:space="0"/>
            </w:tcBorders>
            <w:vAlign w:val="center"/>
          </w:tcPr>
          <w:p w14:paraId="7ED92E6C">
            <w:pPr>
              <w:spacing w:afterLines="0" w:line="400" w:lineRule="exact"/>
              <w:jc w:val="center"/>
              <w:rPr>
                <w:rFonts w:ascii="宋体" w:hAnsi="宋体"/>
                <w:highlight w:val="none"/>
              </w:rPr>
            </w:pPr>
            <w:r>
              <w:rPr>
                <w:rFonts w:hint="eastAsia" w:ascii="宋体" w:hAnsi="宋体"/>
                <w:highlight w:val="none"/>
              </w:rPr>
              <w:t>评标程序</w:t>
            </w:r>
          </w:p>
        </w:tc>
        <w:tc>
          <w:tcPr>
            <w:tcW w:w="6882" w:type="dxa"/>
            <w:gridSpan w:val="2"/>
            <w:tcBorders>
              <w:left w:val="single" w:color="auto" w:sz="4" w:space="0"/>
            </w:tcBorders>
            <w:vAlign w:val="center"/>
          </w:tcPr>
          <w:p w14:paraId="3AF8F81E">
            <w:pPr>
              <w:spacing w:after="0" w:afterLines="0" w:line="400" w:lineRule="exact"/>
              <w:ind w:firstLine="420" w:firstLineChars="200"/>
              <w:jc w:val="left"/>
              <w:rPr>
                <w:rFonts w:ascii="宋体" w:hAnsi="宋体"/>
                <w:kern w:val="0"/>
                <w:szCs w:val="21"/>
                <w:highlight w:val="none"/>
              </w:rPr>
            </w:pPr>
            <w:r>
              <w:rPr>
                <w:rFonts w:hint="eastAsia" w:ascii="宋体" w:hAnsi="宋体"/>
                <w:kern w:val="0"/>
                <w:szCs w:val="21"/>
                <w:highlight w:val="none"/>
              </w:rPr>
              <w:t>1.对报价不高于最高限价的所有投标人的投标文件，按照报价由低到高的顺序排序。在投标函</w:t>
            </w:r>
            <w:r>
              <w:rPr>
                <w:rFonts w:hint="eastAsia" w:ascii="宋体" w:hAnsi="宋体"/>
                <w:kern w:val="0"/>
                <w:szCs w:val="21"/>
                <w:highlight w:val="none"/>
                <w:lang w:val="en-US" w:eastAsia="zh-CN"/>
              </w:rPr>
              <w:t>部分</w:t>
            </w:r>
            <w:r>
              <w:rPr>
                <w:rFonts w:hint="eastAsia" w:ascii="宋体" w:hAnsi="宋体"/>
                <w:kern w:val="0"/>
                <w:szCs w:val="21"/>
                <w:highlight w:val="none"/>
              </w:rPr>
              <w:t>评审前，推送给评标委员会的投标文件不得显示排序。</w:t>
            </w:r>
          </w:p>
          <w:p w14:paraId="5FC6D87B">
            <w:pPr>
              <w:spacing w:after="0" w:afterLines="0" w:line="400" w:lineRule="exact"/>
              <w:ind w:firstLine="420" w:firstLineChars="200"/>
              <w:jc w:val="left"/>
              <w:rPr>
                <w:rFonts w:ascii="宋体" w:hAnsi="宋体"/>
                <w:kern w:val="0"/>
                <w:szCs w:val="21"/>
                <w:highlight w:val="none"/>
              </w:rPr>
            </w:pPr>
            <w:r>
              <w:rPr>
                <w:rFonts w:hint="eastAsia" w:ascii="宋体" w:hAnsi="宋体"/>
                <w:kern w:val="0"/>
                <w:szCs w:val="21"/>
                <w:highlight w:val="none"/>
              </w:rPr>
              <w:t>2.取</w:t>
            </w:r>
            <w:r>
              <w:rPr>
                <w:rFonts w:hint="eastAsia" w:ascii="宋体" w:hAnsi="宋体"/>
                <w:kern w:val="0"/>
                <w:szCs w:val="21"/>
                <w:highlight w:val="none"/>
                <w:lang w:val="en-US" w:eastAsia="zh-CN"/>
              </w:rPr>
              <w:t>投标</w:t>
            </w:r>
            <w:r>
              <w:rPr>
                <w:rFonts w:hint="eastAsia" w:ascii="宋体" w:hAnsi="宋体"/>
                <w:kern w:val="0"/>
                <w:szCs w:val="21"/>
                <w:highlight w:val="none"/>
              </w:rPr>
              <w:t>报价排序前</w:t>
            </w:r>
            <w:r>
              <w:rPr>
                <w:rFonts w:hint="eastAsia" w:ascii="宋体" w:hAnsi="宋体"/>
                <w:kern w:val="0"/>
                <w:szCs w:val="21"/>
                <w:highlight w:val="none"/>
                <w:u w:val="single"/>
                <w:lang w:val="en-US" w:eastAsia="zh-CN"/>
              </w:rPr>
              <w:t>5</w:t>
            </w:r>
            <w:r>
              <w:rPr>
                <w:rFonts w:hint="eastAsia" w:ascii="宋体" w:hAnsi="宋体"/>
                <w:kern w:val="0"/>
                <w:szCs w:val="21"/>
                <w:highlight w:val="none"/>
                <w:lang w:val="en-US" w:eastAsia="zh-CN"/>
              </w:rPr>
              <w:t>名</w:t>
            </w:r>
            <w:r>
              <w:rPr>
                <w:rFonts w:hint="eastAsia" w:ascii="宋体" w:hAnsi="宋体"/>
                <w:i w:val="0"/>
                <w:iCs w:val="0"/>
                <w:kern w:val="0"/>
                <w:szCs w:val="21"/>
                <w:highlight w:val="none"/>
                <w:lang w:val="en-US" w:eastAsia="zh-CN"/>
              </w:rPr>
              <w:t>（注：</w:t>
            </w:r>
            <w:r>
              <w:rPr>
                <w:rFonts w:hint="eastAsia" w:ascii="宋体" w:hAnsi="宋体" w:cs="宋体"/>
                <w:szCs w:val="21"/>
                <w:highlight w:val="none"/>
                <w:lang w:eastAsia="zh-CN"/>
              </w:rPr>
              <w:t>与第</w:t>
            </w:r>
            <w:r>
              <w:rPr>
                <w:rFonts w:hint="eastAsia" w:ascii="宋体" w:hAnsi="宋体" w:cs="宋体"/>
                <w:szCs w:val="21"/>
                <w:highlight w:val="none"/>
                <w:u w:val="single"/>
                <w:lang w:val="en-US" w:eastAsia="zh-CN"/>
              </w:rPr>
              <w:t>5</w:t>
            </w:r>
            <w:r>
              <w:rPr>
                <w:rFonts w:hint="eastAsia" w:ascii="宋体" w:hAnsi="宋体" w:cs="宋体"/>
                <w:szCs w:val="21"/>
                <w:highlight w:val="none"/>
                <w:u w:val="none"/>
                <w:lang w:val="en-US" w:eastAsia="zh-CN"/>
              </w:rPr>
              <w:t>名</w:t>
            </w:r>
            <w:r>
              <w:rPr>
                <w:rFonts w:hint="eastAsia" w:ascii="宋体" w:hAnsi="宋体" w:cs="宋体"/>
                <w:szCs w:val="21"/>
                <w:highlight w:val="none"/>
              </w:rPr>
              <w:t>投标文件</w:t>
            </w:r>
            <w:r>
              <w:rPr>
                <w:rFonts w:hint="eastAsia" w:ascii="宋体" w:hAnsi="宋体" w:cs="宋体"/>
                <w:szCs w:val="21"/>
                <w:highlight w:val="none"/>
                <w:lang w:eastAsia="zh-CN"/>
              </w:rPr>
              <w:t>的报价相同的所有投标文件</w:t>
            </w:r>
            <w:r>
              <w:rPr>
                <w:rFonts w:hint="eastAsia" w:ascii="宋体" w:hAnsi="宋体" w:cs="宋体"/>
                <w:szCs w:val="21"/>
                <w:highlight w:val="none"/>
                <w:lang w:val="en-US" w:eastAsia="zh-CN"/>
              </w:rPr>
              <w:t>应全部纳入；</w:t>
            </w:r>
            <w:r>
              <w:rPr>
                <w:rFonts w:hint="eastAsia" w:ascii="宋体" w:hAnsi="宋体"/>
                <w:i w:val="0"/>
                <w:iCs w:val="0"/>
                <w:kern w:val="0"/>
                <w:szCs w:val="21"/>
                <w:highlight w:val="none"/>
              </w:rPr>
              <w:t>若实际投标人数量小于</w:t>
            </w:r>
            <w:r>
              <w:rPr>
                <w:rFonts w:hint="eastAsia" w:ascii="宋体" w:hAnsi="宋体"/>
                <w:i w:val="0"/>
                <w:iCs w:val="0"/>
                <w:kern w:val="0"/>
                <w:szCs w:val="21"/>
                <w:highlight w:val="none"/>
                <w:u w:val="single"/>
                <w:lang w:val="en-US" w:eastAsia="zh-CN"/>
              </w:rPr>
              <w:t>5</w:t>
            </w:r>
            <w:r>
              <w:rPr>
                <w:rFonts w:hint="eastAsia" w:ascii="宋体" w:hAnsi="宋体"/>
                <w:i w:val="0"/>
                <w:iCs w:val="0"/>
                <w:kern w:val="0"/>
                <w:szCs w:val="21"/>
                <w:highlight w:val="none"/>
                <w:u w:val="none"/>
                <w:lang w:val="en-US" w:eastAsia="zh-CN"/>
              </w:rPr>
              <w:t>名</w:t>
            </w:r>
            <w:r>
              <w:rPr>
                <w:rFonts w:hint="eastAsia" w:ascii="宋体" w:hAnsi="宋体"/>
                <w:i w:val="0"/>
                <w:iCs w:val="0"/>
                <w:kern w:val="0"/>
                <w:szCs w:val="21"/>
                <w:highlight w:val="none"/>
                <w:lang w:val="en-US" w:eastAsia="zh-CN"/>
              </w:rPr>
              <w:t>时应</w:t>
            </w:r>
            <w:r>
              <w:rPr>
                <w:rFonts w:hint="eastAsia" w:ascii="宋体" w:hAnsi="宋体"/>
                <w:i w:val="0"/>
                <w:iCs w:val="0"/>
                <w:kern w:val="0"/>
                <w:szCs w:val="21"/>
                <w:highlight w:val="none"/>
              </w:rPr>
              <w:t>全部纳入</w:t>
            </w:r>
            <w:r>
              <w:rPr>
                <w:rFonts w:hint="eastAsia" w:ascii="宋体" w:hAnsi="宋体"/>
                <w:i w:val="0"/>
                <w:iCs w:val="0"/>
                <w:kern w:val="0"/>
                <w:szCs w:val="21"/>
                <w:highlight w:val="none"/>
                <w:lang w:eastAsia="zh-CN"/>
              </w:rPr>
              <w:t>）</w:t>
            </w:r>
            <w:r>
              <w:rPr>
                <w:rFonts w:hint="eastAsia" w:ascii="宋体" w:hAnsi="宋体"/>
                <w:kern w:val="0"/>
                <w:szCs w:val="21"/>
                <w:highlight w:val="none"/>
                <w:lang w:val="en-US" w:eastAsia="zh-CN"/>
              </w:rPr>
              <w:t>的投标文件</w:t>
            </w:r>
            <w:r>
              <w:rPr>
                <w:rFonts w:hint="eastAsia" w:ascii="宋体" w:hAnsi="宋体"/>
                <w:kern w:val="0"/>
                <w:szCs w:val="21"/>
                <w:highlight w:val="none"/>
              </w:rPr>
              <w:t>进行</w:t>
            </w:r>
            <w:r>
              <w:rPr>
                <w:rFonts w:hint="eastAsia" w:ascii="宋体" w:hAnsi="宋体"/>
                <w:kern w:val="0"/>
                <w:szCs w:val="21"/>
                <w:highlight w:val="none"/>
                <w:lang w:val="en-US" w:eastAsia="zh-CN"/>
              </w:rPr>
              <w:t>评审</w:t>
            </w:r>
            <w:r>
              <w:rPr>
                <w:rFonts w:hint="eastAsia" w:ascii="宋体" w:hAnsi="宋体"/>
                <w:kern w:val="0"/>
                <w:szCs w:val="21"/>
                <w:highlight w:val="none"/>
              </w:rPr>
              <w:t>。</w:t>
            </w:r>
            <w:r>
              <w:rPr>
                <w:rFonts w:hint="eastAsia" w:ascii="宋体" w:hAnsi="宋体"/>
                <w:kern w:val="0"/>
                <w:szCs w:val="21"/>
                <w:highlight w:val="none"/>
                <w:lang w:eastAsia="zh-CN"/>
              </w:rPr>
              <w:t>评审顺序为</w:t>
            </w:r>
            <w:r>
              <w:rPr>
                <w:rFonts w:hint="eastAsia" w:ascii="宋体" w:hAnsi="宋体"/>
                <w:kern w:val="0"/>
                <w:szCs w:val="21"/>
                <w:highlight w:val="none"/>
              </w:rPr>
              <w:t>：</w:t>
            </w:r>
            <w:r>
              <w:rPr>
                <w:rFonts w:hint="eastAsia" w:ascii="宋体" w:hAnsi="宋体"/>
                <w:kern w:val="0"/>
                <w:szCs w:val="21"/>
                <w:highlight w:val="none"/>
                <w:lang w:val="en-US" w:eastAsia="zh-CN"/>
              </w:rPr>
              <w:t>初步评审（包括</w:t>
            </w:r>
            <w:r>
              <w:rPr>
                <w:rFonts w:hint="eastAsia" w:ascii="宋体" w:hAnsi="宋体"/>
                <w:kern w:val="0"/>
                <w:szCs w:val="21"/>
                <w:highlight w:val="none"/>
              </w:rPr>
              <w:t>资格评审、形式评审、响应性评审</w:t>
            </w:r>
            <w:r>
              <w:rPr>
                <w:rFonts w:hint="eastAsia" w:ascii="宋体" w:hAnsi="宋体"/>
                <w:kern w:val="0"/>
                <w:szCs w:val="21"/>
                <w:highlight w:val="none"/>
                <w:lang w:eastAsia="zh-CN"/>
              </w:rPr>
              <w:t>）</w:t>
            </w:r>
            <w:r>
              <w:rPr>
                <w:rFonts w:hint="eastAsia" w:ascii="宋体" w:hAnsi="宋体"/>
                <w:kern w:val="0"/>
                <w:szCs w:val="21"/>
                <w:highlight w:val="none"/>
              </w:rPr>
              <w:t>、投标函</w:t>
            </w:r>
            <w:r>
              <w:rPr>
                <w:rFonts w:hint="eastAsia" w:ascii="宋体" w:hAnsi="宋体"/>
                <w:kern w:val="0"/>
                <w:szCs w:val="21"/>
                <w:highlight w:val="none"/>
                <w:lang w:val="en-US" w:eastAsia="zh-CN"/>
              </w:rPr>
              <w:t>部分</w:t>
            </w:r>
            <w:r>
              <w:rPr>
                <w:rFonts w:hint="eastAsia" w:ascii="宋体" w:hAnsi="宋体"/>
                <w:kern w:val="0"/>
                <w:szCs w:val="21"/>
                <w:highlight w:val="none"/>
              </w:rPr>
              <w:t>评审。</w:t>
            </w:r>
            <w:r>
              <w:rPr>
                <w:rFonts w:hint="eastAsia" w:ascii="宋体" w:hAnsi="宋体"/>
                <w:kern w:val="0"/>
                <w:szCs w:val="21"/>
                <w:highlight w:val="none"/>
                <w:lang w:eastAsia="zh-CN"/>
              </w:rPr>
              <w:t>初步评审、</w:t>
            </w:r>
            <w:r>
              <w:rPr>
                <w:rFonts w:hint="eastAsia" w:ascii="宋体" w:hAnsi="宋体"/>
                <w:kern w:val="0"/>
                <w:szCs w:val="21"/>
                <w:highlight w:val="none"/>
                <w:lang w:val="en-US" w:eastAsia="zh-CN"/>
              </w:rPr>
              <w:t>和投标函部分评审</w:t>
            </w:r>
            <w:r>
              <w:rPr>
                <w:rFonts w:hint="eastAsia" w:ascii="宋体" w:hAnsi="宋体"/>
                <w:kern w:val="0"/>
                <w:szCs w:val="21"/>
                <w:highlight w:val="none"/>
                <w:lang w:eastAsia="zh-CN"/>
              </w:rPr>
              <w:t>均</w:t>
            </w:r>
            <w:r>
              <w:rPr>
                <w:rFonts w:hint="eastAsia" w:ascii="宋体" w:hAnsi="宋体"/>
                <w:kern w:val="0"/>
                <w:szCs w:val="21"/>
                <w:highlight w:val="none"/>
              </w:rPr>
              <w:t>合格的投标人中，</w:t>
            </w:r>
            <w:r>
              <w:rPr>
                <w:rFonts w:hint="eastAsia" w:ascii="宋体" w:hAnsi="宋体"/>
                <w:kern w:val="0"/>
                <w:highlight w:val="none"/>
              </w:rPr>
              <w:t>经评审的投标价格最低的投标人</w:t>
            </w:r>
            <w:r>
              <w:rPr>
                <w:rFonts w:hint="eastAsia" w:ascii="宋体" w:hAnsi="宋体"/>
                <w:kern w:val="0"/>
                <w:szCs w:val="21"/>
                <w:highlight w:val="none"/>
              </w:rPr>
              <w:t>为第一中标候选人，</w:t>
            </w:r>
            <w:r>
              <w:rPr>
                <w:rFonts w:hint="eastAsia" w:ascii="宋体" w:hAnsi="宋体"/>
                <w:kern w:val="0"/>
                <w:highlight w:val="none"/>
              </w:rPr>
              <w:t>经评审的投标价格</w:t>
            </w:r>
            <w:r>
              <w:rPr>
                <w:rFonts w:hint="eastAsia" w:ascii="宋体" w:hAnsi="宋体"/>
                <w:kern w:val="0"/>
                <w:szCs w:val="21"/>
                <w:highlight w:val="none"/>
              </w:rPr>
              <w:t>次低的为第二中标候选人，</w:t>
            </w:r>
            <w:r>
              <w:rPr>
                <w:rFonts w:hint="eastAsia" w:ascii="宋体" w:hAnsi="宋体"/>
                <w:kern w:val="0"/>
                <w:szCs w:val="21"/>
                <w:highlight w:val="none"/>
                <w:lang w:eastAsia="zh-CN"/>
              </w:rPr>
              <w:t>以此类推</w:t>
            </w:r>
            <w:r>
              <w:rPr>
                <w:rFonts w:hint="eastAsia" w:ascii="宋体" w:hAnsi="宋体"/>
                <w:kern w:val="0"/>
                <w:szCs w:val="21"/>
                <w:highlight w:val="none"/>
              </w:rPr>
              <w:t>。</w:t>
            </w:r>
          </w:p>
          <w:p w14:paraId="7291AEED">
            <w:pPr>
              <w:keepNext w:val="0"/>
              <w:keepLines w:val="0"/>
              <w:pageBreakBefore w:val="0"/>
              <w:kinsoku/>
              <w:wordWrap/>
              <w:overflowPunct/>
              <w:topLinePunct w:val="0"/>
              <w:bidi w:val="0"/>
              <w:spacing w:afterLines="0" w:line="400" w:lineRule="exact"/>
              <w:ind w:firstLine="420" w:firstLineChars="200"/>
              <w:jc w:val="left"/>
              <w:textAlignment w:val="auto"/>
              <w:rPr>
                <w:rFonts w:hint="eastAsia" w:ascii="宋体" w:hAnsi="宋体" w:eastAsia="宋体" w:cs="宋体"/>
                <w:i/>
                <w:color w:val="auto"/>
                <w:kern w:val="0"/>
                <w:szCs w:val="21"/>
                <w:highlight w:val="none"/>
              </w:rPr>
            </w:pPr>
            <w:r>
              <w:rPr>
                <w:rFonts w:hint="eastAsia" w:ascii="宋体" w:hAnsi="宋体"/>
                <w:kern w:val="0"/>
                <w:highlight w:val="none"/>
                <w:lang w:val="en-US" w:eastAsia="zh-CN"/>
              </w:rPr>
              <w:t>注：</w:t>
            </w:r>
            <w:r>
              <w:rPr>
                <w:rFonts w:hint="eastAsia" w:ascii="宋体" w:hAnsi="宋体"/>
                <w:kern w:val="0"/>
                <w:highlight w:val="none"/>
              </w:rPr>
              <w:t>经评审的投标价格</w:t>
            </w:r>
            <w:r>
              <w:rPr>
                <w:rFonts w:hint="eastAsia" w:ascii="宋体" w:hAnsi="宋体"/>
                <w:kern w:val="0"/>
                <w:highlight w:val="none"/>
                <w:lang w:val="en-US" w:eastAsia="zh-CN"/>
              </w:rPr>
              <w:t>=投标报价﹣商务评审折算的价格。</w:t>
            </w:r>
          </w:p>
          <w:p w14:paraId="44DD41C2">
            <w:pPr>
              <w:spacing w:after="0" w:afterLines="0" w:line="400" w:lineRule="exact"/>
              <w:ind w:firstLine="420" w:firstLineChars="200"/>
              <w:jc w:val="left"/>
              <w:rPr>
                <w:rFonts w:ascii="宋体" w:hAnsi="宋体"/>
                <w:kern w:val="0"/>
                <w:szCs w:val="21"/>
                <w:highlight w:val="none"/>
              </w:rPr>
            </w:pPr>
            <w:r>
              <w:rPr>
                <w:rFonts w:hint="eastAsia" w:ascii="宋体" w:hAnsi="宋体" w:eastAsia="宋体" w:cs="宋体"/>
                <w:color w:val="auto"/>
                <w:kern w:val="0"/>
                <w:szCs w:val="21"/>
                <w:highlight w:val="none"/>
              </w:rPr>
              <w:t>3.</w:t>
            </w:r>
            <w:r>
              <w:rPr>
                <w:rFonts w:hint="eastAsia" w:ascii="宋体" w:hAnsi="宋体"/>
                <w:kern w:val="0"/>
                <w:szCs w:val="21"/>
                <w:highlight w:val="none"/>
                <w:lang w:eastAsia="zh-CN"/>
              </w:rPr>
              <w:t>如果初步评审均</w:t>
            </w:r>
            <w:r>
              <w:rPr>
                <w:rFonts w:hint="eastAsia" w:ascii="宋体" w:hAnsi="宋体"/>
                <w:kern w:val="0"/>
                <w:szCs w:val="21"/>
                <w:highlight w:val="none"/>
              </w:rPr>
              <w:t>合格</w:t>
            </w:r>
            <w:r>
              <w:rPr>
                <w:rFonts w:hint="eastAsia" w:ascii="宋体" w:hAnsi="宋体"/>
                <w:kern w:val="0"/>
                <w:szCs w:val="21"/>
                <w:highlight w:val="none"/>
                <w:lang w:eastAsia="zh-CN"/>
              </w:rPr>
              <w:t>的投标人数量少</w:t>
            </w:r>
            <w:r>
              <w:rPr>
                <w:rFonts w:hint="eastAsia" w:ascii="宋体" w:hAnsi="宋体"/>
                <w:kern w:val="0"/>
                <w:szCs w:val="21"/>
                <w:highlight w:val="none"/>
              </w:rPr>
              <w:t>于</w:t>
            </w:r>
            <w:r>
              <w:rPr>
                <w:rFonts w:hint="eastAsia" w:ascii="宋体" w:hAnsi="宋体"/>
                <w:kern w:val="0"/>
                <w:szCs w:val="21"/>
                <w:highlight w:val="none"/>
                <w:lang w:val="en-US" w:eastAsia="zh-CN"/>
              </w:rPr>
              <w:t>3</w:t>
            </w:r>
            <w:r>
              <w:rPr>
                <w:rFonts w:hint="eastAsia" w:ascii="宋体" w:hAnsi="宋体"/>
                <w:kern w:val="0"/>
                <w:szCs w:val="21"/>
                <w:highlight w:val="none"/>
              </w:rPr>
              <w:t>名，按</w:t>
            </w:r>
            <w:r>
              <w:rPr>
                <w:rFonts w:hint="eastAsia" w:ascii="宋体" w:hAnsi="宋体"/>
                <w:spacing w:val="4"/>
                <w:kern w:val="0"/>
                <w:szCs w:val="21"/>
                <w:highlight w:val="none"/>
                <w:lang w:val="en-US" w:eastAsia="zh-CN"/>
              </w:rPr>
              <w:t>投标报价顺序每次增补（3</w:t>
            </w:r>
            <w:r>
              <w:rPr>
                <w:rFonts w:hint="eastAsia" w:ascii="宋体" w:hAnsi="宋体"/>
                <w:kern w:val="0"/>
                <w:highlight w:val="none"/>
                <w:lang w:val="en-US" w:eastAsia="zh-CN"/>
              </w:rPr>
              <w:t>﹣</w:t>
            </w:r>
            <w:r>
              <w:rPr>
                <w:rFonts w:hint="eastAsia" w:ascii="宋体" w:hAnsi="宋体"/>
                <w:spacing w:val="4"/>
                <w:kern w:val="0"/>
                <w:szCs w:val="21"/>
                <w:highlight w:val="none"/>
                <w:lang w:val="en-US" w:eastAsia="zh-CN"/>
              </w:rPr>
              <w:t>合格投标人数量）（注：与增补数量末位的投标报价相同的所有投标文件应全部纳入）个</w:t>
            </w:r>
            <w:r>
              <w:rPr>
                <w:rFonts w:hint="eastAsia" w:ascii="宋体" w:hAnsi="宋体"/>
                <w:kern w:val="0"/>
                <w:highlight w:val="none"/>
                <w:lang w:val="en-US" w:eastAsia="zh-CN"/>
              </w:rPr>
              <w:t>投标文件进行</w:t>
            </w:r>
            <w:r>
              <w:rPr>
                <w:rFonts w:hint="eastAsia" w:ascii="宋体" w:hAnsi="宋体"/>
                <w:spacing w:val="4"/>
                <w:kern w:val="0"/>
                <w:szCs w:val="21"/>
                <w:highlight w:val="none"/>
                <w:lang w:val="en-US" w:eastAsia="zh-CN"/>
              </w:rPr>
              <w:t>初步评审</w:t>
            </w:r>
            <w:r>
              <w:rPr>
                <w:rFonts w:hint="eastAsia" w:ascii="宋体" w:hAnsi="宋体"/>
                <w:kern w:val="0"/>
                <w:highlight w:val="none"/>
                <w:lang w:val="en-US" w:eastAsia="zh-CN"/>
              </w:rPr>
              <w:t>，直至</w:t>
            </w:r>
            <w:r>
              <w:rPr>
                <w:rFonts w:hint="eastAsia" w:ascii="宋体" w:hAnsi="宋体"/>
                <w:kern w:val="0"/>
                <w:highlight w:val="none"/>
              </w:rPr>
              <w:t>评出3名中标候选人</w:t>
            </w:r>
            <w:r>
              <w:rPr>
                <w:rFonts w:hint="eastAsia" w:ascii="宋体" w:hAnsi="宋体"/>
                <w:kern w:val="0"/>
                <w:szCs w:val="21"/>
                <w:highlight w:val="none"/>
              </w:rPr>
              <w:t>，或者评审完所有投标文件。</w:t>
            </w:r>
          </w:p>
          <w:p w14:paraId="79316B80">
            <w:pPr>
              <w:spacing w:after="0" w:afterLines="0" w:line="400" w:lineRule="exact"/>
              <w:ind w:firstLine="420" w:firstLineChars="200"/>
              <w:jc w:val="left"/>
              <w:rPr>
                <w:rFonts w:ascii="宋体" w:hAnsi="宋体"/>
                <w:kern w:val="0"/>
                <w:szCs w:val="21"/>
                <w:highlight w:val="none"/>
              </w:rPr>
            </w:pPr>
            <w:r>
              <w:rPr>
                <w:rFonts w:hint="eastAsia" w:ascii="宋体" w:hAnsi="宋体" w:eastAsia="宋体" w:cs="宋体"/>
                <w:highlight w:val="none"/>
                <w:lang w:val="en-US" w:eastAsia="zh-CN"/>
              </w:rPr>
              <w:t>注：1.</w:t>
            </w:r>
            <w:r>
              <w:rPr>
                <w:rFonts w:hint="eastAsia" w:ascii="宋体" w:hAnsi="宋体"/>
                <w:kern w:val="0"/>
                <w:szCs w:val="21"/>
                <w:highlight w:val="none"/>
              </w:rPr>
              <w:t>因评标委员会作否决投标处理，导致有效投标人不足三个的，评标委员会应当对有效投标人是否仍具有竞争性进行论证。评标委员会认为有效投标人的经济、技术等指标仍然具有市场竞争力，并满足</w:t>
            </w:r>
            <w:r>
              <w:rPr>
                <w:rFonts w:hint="eastAsia" w:ascii="宋体" w:hAnsi="宋体"/>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kern w:val="0"/>
                <w:szCs w:val="21"/>
                <w:highlight w:val="none"/>
              </w:rPr>
              <w:t>要求的，评标委员会可以继续评标并确定中标候选人。</w:t>
            </w:r>
            <w:r>
              <w:rPr>
                <w:rFonts w:hint="eastAsia" w:asciiTheme="minorEastAsia" w:hAnsiTheme="minorEastAsia" w:eastAsiaTheme="minorEastAsia" w:cstheme="minorEastAsia"/>
                <w:i w:val="0"/>
                <w:iCs w:val="0"/>
                <w:color w:val="auto"/>
                <w:kern w:val="0"/>
                <w:szCs w:val="21"/>
                <w:highlight w:val="none"/>
                <w:lang w:val="en-US" w:eastAsia="zh-CN"/>
              </w:rPr>
              <w:t>（注：本款只适用于首次招标。）</w:t>
            </w:r>
          </w:p>
          <w:p w14:paraId="58867273">
            <w:pPr>
              <w:spacing w:after="0" w:afterLines="0" w:line="400" w:lineRule="exact"/>
              <w:ind w:firstLine="420" w:firstLineChars="200"/>
              <w:jc w:val="left"/>
              <w:rPr>
                <w:rFonts w:ascii="宋体" w:hAnsi="宋体"/>
                <w:kern w:val="0"/>
                <w:szCs w:val="21"/>
                <w:highlight w:val="none"/>
              </w:rPr>
            </w:pPr>
            <w:r>
              <w:rPr>
                <w:rFonts w:hint="eastAsia" w:ascii="宋体" w:hAnsi="宋体"/>
                <w:kern w:val="0"/>
                <w:szCs w:val="21"/>
                <w:highlight w:val="none"/>
                <w:lang w:val="en-US" w:eastAsia="zh-CN"/>
              </w:rPr>
              <w:t>2.</w:t>
            </w:r>
            <w:r>
              <w:rPr>
                <w:rFonts w:hint="eastAsia" w:ascii="宋体" w:hAnsi="宋体"/>
                <w:kern w:val="0"/>
                <w:szCs w:val="21"/>
                <w:highlight w:val="none"/>
              </w:rPr>
              <w:t>若出现投标人投标报价相同的，</w:t>
            </w:r>
            <w:r>
              <w:rPr>
                <w:rFonts w:hint="eastAsia" w:ascii="宋体" w:hAnsi="宋体"/>
                <w:kern w:val="0"/>
                <w:szCs w:val="21"/>
                <w:highlight w:val="none"/>
                <w:lang w:eastAsia="zh-CN"/>
              </w:rPr>
              <w:t>以</w:t>
            </w:r>
            <w:r>
              <w:rPr>
                <w:rFonts w:hint="eastAsia" w:ascii="宋体" w:hAnsi="宋体"/>
                <w:kern w:val="0"/>
                <w:szCs w:val="21"/>
                <w:highlight w:val="none"/>
                <w:u w:val="single"/>
                <w:lang w:val="en-US" w:eastAsia="zh-CN"/>
              </w:rPr>
              <w:t xml:space="preserve">  资质高低  </w:t>
            </w:r>
            <w:r>
              <w:rPr>
                <w:rFonts w:hint="eastAsia" w:ascii="宋体" w:hAnsi="宋体"/>
                <w:kern w:val="0"/>
                <w:szCs w:val="21"/>
                <w:highlight w:val="none"/>
                <w:u w:val="none"/>
                <w:lang w:val="en-US" w:eastAsia="zh-CN"/>
              </w:rPr>
              <w:t>优先；</w:t>
            </w:r>
            <w:r>
              <w:rPr>
                <w:rFonts w:hint="eastAsia" w:ascii="宋体" w:hAnsi="宋体"/>
                <w:kern w:val="0"/>
                <w:szCs w:val="21"/>
                <w:highlight w:val="none"/>
                <w:u w:val="single"/>
                <w:lang w:val="en-US" w:eastAsia="zh-CN"/>
              </w:rPr>
              <w:t xml:space="preserve">  资质高低  </w:t>
            </w:r>
            <w:r>
              <w:rPr>
                <w:rFonts w:hint="eastAsia" w:ascii="宋体" w:hAnsi="宋体"/>
                <w:kern w:val="0"/>
                <w:szCs w:val="21"/>
                <w:highlight w:val="none"/>
                <w:u w:val="none"/>
                <w:lang w:val="en-US" w:eastAsia="zh-CN"/>
              </w:rPr>
              <w:t>也相同的，</w:t>
            </w:r>
            <w:r>
              <w:rPr>
                <w:rFonts w:hint="eastAsia" w:ascii="宋体" w:hAnsi="宋体"/>
                <w:kern w:val="0"/>
                <w:szCs w:val="21"/>
                <w:highlight w:val="none"/>
              </w:rPr>
              <w:t>由评标委员</w:t>
            </w:r>
            <w:r>
              <w:rPr>
                <w:rFonts w:hint="eastAsia" w:ascii="宋体" w:hAnsi="宋体"/>
                <w:kern w:val="0"/>
                <w:szCs w:val="21"/>
                <w:highlight w:val="none"/>
                <w:lang w:val="en-US" w:eastAsia="zh-CN"/>
              </w:rPr>
              <w:t>会</w:t>
            </w:r>
            <w:r>
              <w:rPr>
                <w:rFonts w:hint="eastAsia" w:ascii="宋体" w:hAnsi="宋体"/>
                <w:kern w:val="0"/>
                <w:szCs w:val="21"/>
                <w:highlight w:val="none"/>
                <w:lang w:eastAsia="zh-CN"/>
              </w:rPr>
              <w:t>投票</w:t>
            </w:r>
            <w:r>
              <w:rPr>
                <w:rFonts w:hint="eastAsia" w:ascii="宋体" w:hAnsi="宋体"/>
                <w:kern w:val="0"/>
                <w:szCs w:val="21"/>
                <w:highlight w:val="none"/>
              </w:rPr>
              <w:t>排序。</w:t>
            </w:r>
          </w:p>
        </w:tc>
      </w:tr>
      <w:tr w14:paraId="0F897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5B173030">
            <w:pPr>
              <w:spacing w:afterLines="0" w:line="400" w:lineRule="exact"/>
              <w:jc w:val="center"/>
              <w:rPr>
                <w:rFonts w:ascii="宋体" w:hAnsi="宋体"/>
                <w:highlight w:val="none"/>
              </w:rPr>
            </w:pPr>
            <w:r>
              <w:rPr>
                <w:rFonts w:hint="eastAsia" w:ascii="宋体" w:hAnsi="宋体"/>
                <w:highlight w:val="none"/>
              </w:rPr>
              <w:t>3.4</w:t>
            </w:r>
          </w:p>
        </w:tc>
        <w:tc>
          <w:tcPr>
            <w:tcW w:w="1560" w:type="dxa"/>
            <w:tcBorders>
              <w:left w:val="single" w:color="auto" w:sz="4" w:space="0"/>
              <w:right w:val="single" w:color="auto" w:sz="4" w:space="0"/>
            </w:tcBorders>
            <w:vAlign w:val="center"/>
          </w:tcPr>
          <w:p w14:paraId="7CABD1AA">
            <w:pPr>
              <w:spacing w:afterLines="0" w:line="400" w:lineRule="exact"/>
              <w:jc w:val="center"/>
              <w:rPr>
                <w:rFonts w:ascii="宋体" w:hAnsi="宋体"/>
                <w:highlight w:val="none"/>
              </w:rPr>
            </w:pPr>
            <w:r>
              <w:rPr>
                <w:rFonts w:ascii="宋体" w:hAnsi="宋体"/>
                <w:highlight w:val="none"/>
              </w:rPr>
              <w:t>评标结果</w:t>
            </w:r>
          </w:p>
        </w:tc>
        <w:tc>
          <w:tcPr>
            <w:tcW w:w="6882" w:type="dxa"/>
            <w:gridSpan w:val="2"/>
            <w:tcBorders>
              <w:left w:val="single" w:color="auto" w:sz="4" w:space="0"/>
            </w:tcBorders>
            <w:vAlign w:val="center"/>
          </w:tcPr>
          <w:p w14:paraId="46A92DE8">
            <w:pPr>
              <w:autoSpaceDE w:val="0"/>
              <w:autoSpaceDN w:val="0"/>
              <w:adjustRightInd w:val="0"/>
              <w:snapToGrid w:val="0"/>
              <w:spacing w:afterLines="0" w:line="400" w:lineRule="exact"/>
              <w:ind w:firstLine="420"/>
              <w:jc w:val="left"/>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除第二章“投标</w:t>
            </w:r>
            <w:r>
              <w:rPr>
                <w:rFonts w:ascii="宋体" w:hAnsi="宋体"/>
                <w:spacing w:val="1"/>
                <w:kern w:val="0"/>
                <w:szCs w:val="21"/>
                <w:highlight w:val="none"/>
              </w:rPr>
              <w:t>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w:t>
            </w:r>
            <w:r>
              <w:rPr>
                <w:rFonts w:hint="eastAsia" w:ascii="宋体" w:hAnsi="宋体"/>
                <w:kern w:val="0"/>
                <w:szCs w:val="21"/>
                <w:highlight w:val="none"/>
              </w:rPr>
              <w:t>按经评审的最低投标价法</w:t>
            </w:r>
            <w:r>
              <w:rPr>
                <w:rFonts w:ascii="宋体" w:hAnsi="宋体"/>
                <w:kern w:val="0"/>
                <w:szCs w:val="21"/>
                <w:highlight w:val="none"/>
              </w:rPr>
              <w:t>推荐中标候选人。</w:t>
            </w:r>
          </w:p>
          <w:p w14:paraId="65467850">
            <w:pPr>
              <w:spacing w:afterLines="0" w:line="400" w:lineRule="exact"/>
              <w:ind w:firstLine="424" w:firstLineChars="200"/>
              <w:rPr>
                <w:rFonts w:ascii="宋体" w:hAnsi="宋体"/>
                <w:highlight w:val="none"/>
              </w:rPr>
            </w:pPr>
            <w:r>
              <w:rPr>
                <w:rFonts w:ascii="宋体" w:hAnsi="宋体"/>
                <w:spacing w:val="1"/>
                <w:kern w:val="0"/>
                <w:szCs w:val="21"/>
                <w:highlight w:val="none"/>
              </w:rPr>
              <w:t>3</w:t>
            </w:r>
            <w:r>
              <w:rPr>
                <w:rFonts w:ascii="宋体" w:hAnsi="宋体"/>
                <w:kern w:val="0"/>
                <w:szCs w:val="21"/>
                <w:highlight w:val="none"/>
              </w:rPr>
              <w:t>.4.2</w:t>
            </w:r>
            <w:r>
              <w:rPr>
                <w:rFonts w:hint="eastAsia" w:ascii="宋体" w:hAnsi="宋体"/>
                <w:kern w:val="0"/>
                <w:szCs w:val="21"/>
                <w:highlight w:val="none"/>
              </w:rPr>
              <w:t xml:space="preserve"> </w:t>
            </w:r>
            <w:r>
              <w:rPr>
                <w:rFonts w:ascii="宋体" w:hAnsi="宋体"/>
                <w:kern w:val="0"/>
                <w:szCs w:val="21"/>
                <w:highlight w:val="none"/>
              </w:rPr>
              <w:t>评标</w:t>
            </w:r>
            <w:r>
              <w:rPr>
                <w:rFonts w:ascii="宋体" w:hAnsi="宋体"/>
                <w:spacing w:val="-1"/>
                <w:kern w:val="0"/>
                <w:szCs w:val="21"/>
                <w:highlight w:val="none"/>
              </w:rPr>
              <w:t>委</w:t>
            </w:r>
            <w:r>
              <w:rPr>
                <w:rFonts w:ascii="宋体" w:hAnsi="宋体"/>
                <w:kern w:val="0"/>
                <w:szCs w:val="21"/>
                <w:highlight w:val="none"/>
              </w:rPr>
              <w:t>员会完成评标后，应当向招标人提交书面评标报告</w:t>
            </w:r>
            <w:r>
              <w:rPr>
                <w:rFonts w:hint="eastAsia" w:ascii="宋体" w:hAnsi="宋体"/>
                <w:color w:val="auto"/>
                <w:kern w:val="0"/>
                <w:szCs w:val="21"/>
                <w:highlight w:val="none"/>
              </w:rPr>
              <w:t>和中标候选人名单</w:t>
            </w:r>
            <w:r>
              <w:rPr>
                <w:rFonts w:ascii="宋体" w:hAnsi="宋体"/>
                <w:kern w:val="0"/>
                <w:szCs w:val="21"/>
                <w:highlight w:val="none"/>
              </w:rPr>
              <w:t>。</w:t>
            </w:r>
          </w:p>
        </w:tc>
      </w:tr>
    </w:tbl>
    <w:p w14:paraId="330904B5">
      <w:pPr>
        <w:pStyle w:val="4"/>
        <w:spacing w:before="0" w:after="0" w:line="360" w:lineRule="auto"/>
        <w:rPr>
          <w:rFonts w:ascii="宋体" w:hAnsi="宋体"/>
          <w:bCs w:val="0"/>
          <w:snapToGrid w:val="0"/>
          <w:highlight w:val="none"/>
        </w:rPr>
      </w:pPr>
      <w:r>
        <w:rPr>
          <w:rFonts w:ascii="宋体" w:hAnsi="宋体"/>
          <w:bCs w:val="0"/>
          <w:snapToGrid w:val="0"/>
          <w:color w:val="auto"/>
          <w:highlight w:val="none"/>
        </w:rPr>
        <w:br w:type="page"/>
      </w:r>
      <w:bookmarkStart w:id="771" w:name="_Toc18528"/>
      <w:bookmarkStart w:id="772" w:name="_Toc57820616"/>
      <w:bookmarkStart w:id="773" w:name="_Toc4902"/>
      <w:bookmarkStart w:id="774" w:name="_Toc10234"/>
      <w:bookmarkStart w:id="775" w:name="_Toc11871"/>
      <w:bookmarkStart w:id="776" w:name="_Toc16233"/>
      <w:bookmarkStart w:id="777" w:name="_Toc16335"/>
      <w:bookmarkStart w:id="778" w:name="_Toc59810356"/>
      <w:r>
        <w:rPr>
          <w:rFonts w:ascii="宋体" w:hAnsi="宋体"/>
          <w:b w:val="0"/>
          <w:snapToGrid w:val="0"/>
          <w:highlight w:val="none"/>
        </w:rPr>
        <w:t>1.  评标方法</w:t>
      </w:r>
      <w:bookmarkEnd w:id="771"/>
      <w:bookmarkEnd w:id="772"/>
      <w:bookmarkEnd w:id="773"/>
    </w:p>
    <w:p w14:paraId="2A76295E">
      <w:pPr>
        <w:spacing w:line="360" w:lineRule="auto"/>
        <w:ind w:firstLine="420" w:firstLineChars="200"/>
        <w:rPr>
          <w:rFonts w:ascii="宋体" w:hAnsi="宋体"/>
          <w:highlight w:val="none"/>
        </w:rPr>
      </w:pPr>
      <w:r>
        <w:rPr>
          <w:rFonts w:hint="eastAsia" w:ascii="宋体" w:hAnsi="宋体"/>
          <w:highlight w:val="none"/>
        </w:rPr>
        <w:t>本次评标采用经评审的最低投标价法，评标委员会对满足</w:t>
      </w:r>
      <w:r>
        <w:rPr>
          <w:rFonts w:hint="eastAsia" w:ascii="宋体" w:hAnsi="宋体"/>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highlight w:val="none"/>
        </w:rPr>
        <w:t>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14:paraId="53030F6C">
      <w:pPr>
        <w:pStyle w:val="4"/>
        <w:spacing w:before="0" w:after="0" w:line="360" w:lineRule="auto"/>
        <w:rPr>
          <w:rFonts w:ascii="宋体" w:hAnsi="宋体"/>
          <w:b w:val="0"/>
          <w:snapToGrid w:val="0"/>
          <w:highlight w:val="none"/>
        </w:rPr>
      </w:pPr>
      <w:bookmarkStart w:id="779" w:name="_Toc57820617"/>
      <w:bookmarkStart w:id="780" w:name="_Toc19580"/>
      <w:bookmarkStart w:id="781" w:name="_Toc12983"/>
      <w:r>
        <w:rPr>
          <w:rFonts w:ascii="宋体" w:hAnsi="宋体"/>
          <w:b w:val="0"/>
          <w:snapToGrid w:val="0"/>
          <w:highlight w:val="none"/>
        </w:rPr>
        <w:t>2.  评审标准</w:t>
      </w:r>
      <w:bookmarkEnd w:id="779"/>
      <w:bookmarkEnd w:id="780"/>
      <w:bookmarkEnd w:id="781"/>
    </w:p>
    <w:p w14:paraId="09C409F5">
      <w:pPr>
        <w:pStyle w:val="5"/>
        <w:spacing w:before="0" w:after="0" w:line="360" w:lineRule="auto"/>
        <w:rPr>
          <w:rFonts w:ascii="宋体" w:hAnsi="宋体" w:cs="宋体"/>
          <w:sz w:val="21"/>
          <w:szCs w:val="21"/>
          <w:highlight w:val="none"/>
        </w:rPr>
      </w:pPr>
      <w:bookmarkStart w:id="782" w:name="_Toc15055"/>
      <w:bookmarkStart w:id="783" w:name="_Toc370"/>
      <w:bookmarkStart w:id="784" w:name="_Toc57820618"/>
      <w:r>
        <w:rPr>
          <w:rFonts w:ascii="宋体" w:hAnsi="宋体" w:cs="宋体"/>
          <w:sz w:val="21"/>
          <w:szCs w:val="21"/>
          <w:highlight w:val="none"/>
        </w:rPr>
        <w:t>2.1</w:t>
      </w:r>
      <w:r>
        <w:rPr>
          <w:rFonts w:hint="eastAsia" w:ascii="宋体" w:hAnsi="宋体" w:cs="宋体"/>
          <w:sz w:val="21"/>
          <w:szCs w:val="21"/>
          <w:highlight w:val="none"/>
        </w:rPr>
        <w:t>初步评审标准</w:t>
      </w:r>
      <w:bookmarkEnd w:id="782"/>
      <w:bookmarkEnd w:id="783"/>
      <w:bookmarkEnd w:id="784"/>
    </w:p>
    <w:p w14:paraId="1851E3DC">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2.1.1 资格评审标准：见评标办法前附表。</w:t>
      </w:r>
    </w:p>
    <w:p w14:paraId="0AEE7BFF">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2.1.2 形式评审标准：见评标办法前附表。</w:t>
      </w:r>
    </w:p>
    <w:p w14:paraId="3B9F0D49">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2.1.3 响应性评审标准：见评标办法前附表。</w:t>
      </w:r>
    </w:p>
    <w:p w14:paraId="3233E0FC">
      <w:pPr>
        <w:pStyle w:val="5"/>
        <w:spacing w:before="0" w:after="0" w:line="360" w:lineRule="auto"/>
        <w:rPr>
          <w:rFonts w:ascii="宋体" w:hAnsi="宋体" w:cs="宋体"/>
          <w:sz w:val="21"/>
          <w:szCs w:val="21"/>
          <w:highlight w:val="none"/>
        </w:rPr>
      </w:pPr>
      <w:bookmarkStart w:id="785" w:name="_Toc26142"/>
      <w:bookmarkStart w:id="786" w:name="_Toc57820619"/>
      <w:bookmarkStart w:id="787" w:name="_Toc21552"/>
      <w:r>
        <w:rPr>
          <w:rFonts w:ascii="宋体" w:hAnsi="宋体" w:cs="宋体"/>
          <w:sz w:val="21"/>
          <w:szCs w:val="21"/>
          <w:highlight w:val="none"/>
        </w:rPr>
        <w:t>2.</w:t>
      </w:r>
      <w:r>
        <w:rPr>
          <w:rFonts w:hint="eastAsia" w:ascii="宋体" w:hAnsi="宋体" w:cs="宋体"/>
          <w:sz w:val="21"/>
          <w:szCs w:val="21"/>
          <w:highlight w:val="none"/>
        </w:rPr>
        <w:t>2详细评审标准</w:t>
      </w:r>
      <w:bookmarkEnd w:id="785"/>
      <w:bookmarkEnd w:id="786"/>
      <w:bookmarkEnd w:id="787"/>
    </w:p>
    <w:p w14:paraId="702C9F70">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2.2.1 技术评审标准：见评标办法前附表。</w:t>
      </w:r>
    </w:p>
    <w:p w14:paraId="3248072D">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2.2.2 商务评审标准：见评标办法前附表。</w:t>
      </w:r>
    </w:p>
    <w:p w14:paraId="7001447C">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2.2.3 投标函</w:t>
      </w:r>
      <w:r>
        <w:rPr>
          <w:rFonts w:hint="eastAsia" w:ascii="宋体" w:hAnsi="宋体" w:cs="宋体"/>
          <w:szCs w:val="21"/>
          <w:highlight w:val="none"/>
          <w:lang w:val="en-US" w:eastAsia="zh-CN"/>
        </w:rPr>
        <w:t>部分</w:t>
      </w:r>
      <w:r>
        <w:rPr>
          <w:rFonts w:hint="eastAsia" w:ascii="宋体" w:hAnsi="宋体" w:cs="宋体"/>
          <w:szCs w:val="21"/>
          <w:highlight w:val="none"/>
        </w:rPr>
        <w:t>评审标准：见评标办法前附表。</w:t>
      </w:r>
    </w:p>
    <w:p w14:paraId="647C4A63">
      <w:pPr>
        <w:pStyle w:val="4"/>
        <w:spacing w:before="0" w:after="0" w:line="360" w:lineRule="auto"/>
        <w:rPr>
          <w:rFonts w:ascii="宋体" w:hAnsi="宋体"/>
          <w:b w:val="0"/>
          <w:snapToGrid w:val="0"/>
          <w:highlight w:val="none"/>
        </w:rPr>
      </w:pPr>
      <w:bookmarkStart w:id="788" w:name="_Toc21826"/>
      <w:bookmarkStart w:id="789" w:name="_Toc5919"/>
      <w:bookmarkStart w:id="790" w:name="_Toc57820620"/>
      <w:r>
        <w:rPr>
          <w:rFonts w:ascii="宋体" w:hAnsi="宋体"/>
          <w:b w:val="0"/>
          <w:snapToGrid w:val="0"/>
          <w:highlight w:val="none"/>
        </w:rPr>
        <w:t>3.  评标程序</w:t>
      </w:r>
      <w:bookmarkEnd w:id="788"/>
      <w:bookmarkEnd w:id="789"/>
      <w:bookmarkEnd w:id="790"/>
    </w:p>
    <w:p w14:paraId="4DA77D6D">
      <w:pPr>
        <w:pStyle w:val="5"/>
        <w:spacing w:before="0" w:after="0" w:line="360" w:lineRule="auto"/>
        <w:rPr>
          <w:rFonts w:ascii="宋体" w:hAnsi="宋体" w:cs="宋体"/>
          <w:sz w:val="21"/>
          <w:szCs w:val="21"/>
          <w:highlight w:val="none"/>
        </w:rPr>
      </w:pPr>
      <w:bookmarkStart w:id="791" w:name="_Toc21019"/>
      <w:bookmarkStart w:id="792" w:name="_Toc27136"/>
      <w:bookmarkStart w:id="793" w:name="_Toc57820621"/>
      <w:r>
        <w:rPr>
          <w:rFonts w:ascii="宋体" w:hAnsi="宋体" w:cs="宋体"/>
          <w:sz w:val="21"/>
          <w:szCs w:val="21"/>
          <w:highlight w:val="none"/>
        </w:rPr>
        <w:t>3.1</w:t>
      </w:r>
      <w:r>
        <w:rPr>
          <w:rFonts w:hint="eastAsia" w:ascii="宋体" w:hAnsi="宋体" w:cs="宋体"/>
          <w:sz w:val="21"/>
          <w:szCs w:val="21"/>
          <w:highlight w:val="none"/>
        </w:rPr>
        <w:t>投标报价排序</w:t>
      </w:r>
      <w:bookmarkEnd w:id="791"/>
      <w:bookmarkEnd w:id="792"/>
      <w:bookmarkEnd w:id="793"/>
    </w:p>
    <w:p w14:paraId="27DD06E1">
      <w:pPr>
        <w:spacing w:line="360" w:lineRule="auto"/>
        <w:ind w:firstLine="413" w:firstLineChars="197"/>
        <w:rPr>
          <w:rFonts w:ascii="宋体" w:hAnsi="宋体" w:cs="宋体"/>
          <w:szCs w:val="21"/>
          <w:highlight w:val="none"/>
        </w:rPr>
      </w:pPr>
      <w:r>
        <w:rPr>
          <w:rFonts w:hint="eastAsia" w:ascii="宋体" w:hAnsi="宋体" w:cs="宋体"/>
          <w:szCs w:val="21"/>
          <w:highlight w:val="none"/>
        </w:rPr>
        <w:t>对报价不高于最高限价的所有投标人的投标文件，按照报价由低到高的顺序排序。在投标函</w:t>
      </w:r>
      <w:r>
        <w:rPr>
          <w:rFonts w:hint="eastAsia" w:ascii="宋体" w:hAnsi="宋体" w:cs="宋体"/>
          <w:szCs w:val="21"/>
          <w:highlight w:val="none"/>
          <w:lang w:val="en-US" w:eastAsia="zh-CN"/>
        </w:rPr>
        <w:t>部分</w:t>
      </w:r>
      <w:r>
        <w:rPr>
          <w:rFonts w:hint="eastAsia" w:ascii="宋体" w:hAnsi="宋体" w:cs="宋体"/>
          <w:szCs w:val="21"/>
          <w:highlight w:val="none"/>
        </w:rPr>
        <w:t>评审前，推送给评标委员会的投标文件不得显示排序。</w:t>
      </w:r>
    </w:p>
    <w:p w14:paraId="57C477A1">
      <w:pPr>
        <w:pStyle w:val="5"/>
        <w:spacing w:before="0" w:after="0" w:line="360" w:lineRule="auto"/>
        <w:rPr>
          <w:rFonts w:ascii="宋体" w:hAnsi="宋体" w:cs="宋体"/>
          <w:sz w:val="21"/>
          <w:szCs w:val="21"/>
          <w:highlight w:val="none"/>
        </w:rPr>
      </w:pPr>
      <w:bookmarkStart w:id="794" w:name="_Toc25686"/>
      <w:bookmarkStart w:id="795" w:name="_Toc57820622"/>
      <w:bookmarkStart w:id="796" w:name="_Toc30434"/>
      <w:r>
        <w:rPr>
          <w:rFonts w:ascii="宋体" w:hAnsi="宋体" w:cs="宋体"/>
          <w:sz w:val="21"/>
          <w:szCs w:val="21"/>
          <w:highlight w:val="none"/>
        </w:rPr>
        <w:t>3.</w:t>
      </w:r>
      <w:r>
        <w:rPr>
          <w:rFonts w:hint="eastAsia" w:ascii="宋体" w:hAnsi="宋体" w:cs="宋体"/>
          <w:sz w:val="21"/>
          <w:szCs w:val="21"/>
          <w:highlight w:val="none"/>
        </w:rPr>
        <w:t>2初步评审和详细评审</w:t>
      </w:r>
      <w:bookmarkEnd w:id="794"/>
      <w:bookmarkEnd w:id="795"/>
      <w:bookmarkEnd w:id="796"/>
    </w:p>
    <w:p w14:paraId="4DF903EA">
      <w:pPr>
        <w:spacing w:line="360" w:lineRule="auto"/>
        <w:ind w:firstLine="413" w:firstLineChars="197"/>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.1</w:t>
      </w:r>
      <w:r>
        <w:rPr>
          <w:rFonts w:hint="eastAsia" w:ascii="宋体" w:hAnsi="宋体" w:cs="宋体"/>
          <w:szCs w:val="21"/>
          <w:highlight w:val="none"/>
          <w:lang w:val="en-US" w:eastAsia="zh-CN"/>
        </w:rPr>
        <w:t xml:space="preserve"> </w:t>
      </w:r>
      <w:r>
        <w:rPr>
          <w:rFonts w:hint="eastAsia" w:ascii="宋体" w:hAnsi="宋体" w:cs="宋体"/>
          <w:color w:val="auto"/>
          <w:szCs w:val="21"/>
          <w:highlight w:val="none"/>
          <w:lang w:val="en-US" w:eastAsia="zh-CN"/>
        </w:rPr>
        <w:t>评审</w:t>
      </w:r>
      <w:r>
        <w:rPr>
          <w:rFonts w:hint="eastAsia" w:ascii="宋体" w:hAnsi="宋体" w:cs="宋体"/>
          <w:color w:val="auto"/>
          <w:szCs w:val="22"/>
          <w:highlight w:val="none"/>
          <w:lang w:val="en-US" w:eastAsia="zh-CN"/>
        </w:rPr>
        <w:t>程序：</w:t>
      </w:r>
      <w:r>
        <w:rPr>
          <w:rFonts w:hint="eastAsia" w:ascii="宋体" w:hAnsi="宋体" w:eastAsia="宋体" w:cs="宋体"/>
          <w:color w:val="auto"/>
          <w:kern w:val="2"/>
          <w:szCs w:val="22"/>
          <w:highlight w:val="none"/>
        </w:rPr>
        <w:t>见评标办法前附表</w:t>
      </w:r>
      <w:r>
        <w:rPr>
          <w:rFonts w:hint="eastAsia" w:ascii="宋体" w:hAnsi="宋体" w:cs="宋体"/>
          <w:szCs w:val="21"/>
          <w:highlight w:val="none"/>
        </w:rPr>
        <w:t>。</w:t>
      </w:r>
    </w:p>
    <w:p w14:paraId="38176AF8">
      <w:pPr>
        <w:spacing w:line="360" w:lineRule="auto"/>
        <w:ind w:firstLine="420" w:firstLineChars="200"/>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2</w:t>
      </w:r>
      <w:r>
        <w:rPr>
          <w:rFonts w:hint="eastAsia" w:ascii="宋体" w:hAnsi="宋体" w:cs="宋体"/>
          <w:szCs w:val="21"/>
          <w:highlight w:val="none"/>
        </w:rPr>
        <w:t xml:space="preserve"> 投标文件中的大写金额与小写金额不一致的，评标委员会按</w:t>
      </w:r>
      <w:r>
        <w:rPr>
          <w:rFonts w:hint="eastAsia" w:ascii="宋体" w:hAnsi="宋体" w:cs="宋体"/>
          <w:szCs w:val="21"/>
          <w:highlight w:val="none"/>
          <w:lang w:val="en-US" w:eastAsia="zh-CN"/>
        </w:rPr>
        <w:t>照以大写金额为准的</w:t>
      </w:r>
      <w:r>
        <w:rPr>
          <w:rFonts w:hint="eastAsia" w:ascii="宋体" w:hAnsi="宋体" w:cs="宋体"/>
          <w:szCs w:val="21"/>
          <w:highlight w:val="none"/>
        </w:rPr>
        <w:t>原则对投标报价进行修正，修正的价格经投标人书面确认后具有约束力。</w:t>
      </w:r>
    </w:p>
    <w:p w14:paraId="0FE9424E">
      <w:pPr>
        <w:pStyle w:val="5"/>
        <w:spacing w:before="0" w:after="0" w:line="360" w:lineRule="auto"/>
        <w:rPr>
          <w:rFonts w:ascii="宋体" w:hAnsi="宋体" w:cs="宋体"/>
          <w:sz w:val="21"/>
          <w:szCs w:val="21"/>
          <w:highlight w:val="none"/>
        </w:rPr>
      </w:pPr>
      <w:bookmarkStart w:id="797" w:name="_Toc14463"/>
      <w:bookmarkStart w:id="798" w:name="_Toc57820623"/>
      <w:bookmarkStart w:id="799" w:name="_Toc23071"/>
      <w:r>
        <w:rPr>
          <w:rFonts w:ascii="宋体" w:hAnsi="宋体" w:cs="宋体"/>
          <w:sz w:val="21"/>
          <w:szCs w:val="21"/>
          <w:highlight w:val="none"/>
        </w:rPr>
        <w:t>3.</w:t>
      </w:r>
      <w:r>
        <w:rPr>
          <w:rFonts w:hint="eastAsia" w:ascii="宋体" w:hAnsi="宋体" w:cs="宋体"/>
          <w:sz w:val="21"/>
          <w:szCs w:val="21"/>
          <w:highlight w:val="none"/>
        </w:rPr>
        <w:t>3</w:t>
      </w:r>
      <w:r>
        <w:rPr>
          <w:rFonts w:ascii="宋体" w:hAnsi="宋体" w:cs="宋体"/>
          <w:sz w:val="21"/>
          <w:szCs w:val="21"/>
          <w:highlight w:val="none"/>
        </w:rPr>
        <w:t xml:space="preserve"> </w:t>
      </w:r>
      <w:r>
        <w:rPr>
          <w:rFonts w:hint="eastAsia" w:ascii="宋体" w:hAnsi="宋体" w:cs="宋体"/>
          <w:sz w:val="21"/>
          <w:szCs w:val="21"/>
          <w:highlight w:val="none"/>
        </w:rPr>
        <w:t>投标文件的澄清和补正</w:t>
      </w:r>
      <w:bookmarkEnd w:id="797"/>
      <w:bookmarkEnd w:id="798"/>
      <w:bookmarkEnd w:id="799"/>
    </w:p>
    <w:p w14:paraId="728D8D9E">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.1 </w:t>
      </w:r>
      <w:r>
        <w:rPr>
          <w:rFonts w:hint="eastAsia" w:ascii="宋体" w:hAnsi="宋体" w:cs="宋体"/>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14:paraId="01B83B65">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.2 </w:t>
      </w:r>
      <w:r>
        <w:rPr>
          <w:rFonts w:hint="eastAsia" w:ascii="宋体" w:hAnsi="宋体" w:cs="宋体"/>
          <w:szCs w:val="21"/>
          <w:highlight w:val="none"/>
        </w:rPr>
        <w:t>澄清、说明和补正不得改变投标文件的实质性内容。投标人的书面澄清、说明和补正属于投标文件的组成部分。</w:t>
      </w:r>
    </w:p>
    <w:p w14:paraId="524DC5BB">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.3 </w:t>
      </w:r>
      <w:r>
        <w:rPr>
          <w:rFonts w:hint="eastAsia" w:ascii="宋体" w:hAnsi="宋体" w:cs="宋体"/>
          <w:szCs w:val="21"/>
          <w:highlight w:val="none"/>
        </w:rPr>
        <w:t>评标委员会对投标人提交的澄清、说明或补正有疑问的，可以要求投标人进一步澄清、说明或补正，直至满足评标委员会的要求。</w:t>
      </w:r>
    </w:p>
    <w:p w14:paraId="53F0E149">
      <w:pPr>
        <w:pStyle w:val="5"/>
        <w:spacing w:before="0" w:after="0" w:line="360" w:lineRule="auto"/>
        <w:rPr>
          <w:rFonts w:ascii="宋体" w:hAnsi="宋体" w:cs="宋体"/>
          <w:sz w:val="21"/>
          <w:szCs w:val="21"/>
          <w:highlight w:val="none"/>
        </w:rPr>
      </w:pPr>
      <w:bookmarkStart w:id="800" w:name="_Toc27624"/>
      <w:bookmarkStart w:id="801" w:name="_Toc57820624"/>
      <w:bookmarkStart w:id="802" w:name="_Toc875"/>
      <w:r>
        <w:rPr>
          <w:rFonts w:ascii="宋体" w:hAnsi="宋体" w:cs="宋体"/>
          <w:sz w:val="21"/>
          <w:szCs w:val="21"/>
          <w:highlight w:val="none"/>
        </w:rPr>
        <w:t>3.</w:t>
      </w:r>
      <w:r>
        <w:rPr>
          <w:rFonts w:hint="eastAsia" w:ascii="宋体" w:hAnsi="宋体" w:cs="宋体"/>
          <w:sz w:val="21"/>
          <w:szCs w:val="21"/>
          <w:highlight w:val="none"/>
        </w:rPr>
        <w:t>4</w:t>
      </w:r>
      <w:r>
        <w:rPr>
          <w:rFonts w:ascii="宋体" w:hAnsi="宋体" w:cs="宋体"/>
          <w:sz w:val="21"/>
          <w:szCs w:val="21"/>
          <w:highlight w:val="none"/>
        </w:rPr>
        <w:t xml:space="preserve"> </w:t>
      </w:r>
      <w:r>
        <w:rPr>
          <w:rFonts w:hint="eastAsia" w:ascii="宋体" w:hAnsi="宋体" w:cs="宋体"/>
          <w:sz w:val="21"/>
          <w:szCs w:val="21"/>
          <w:highlight w:val="none"/>
        </w:rPr>
        <w:t>评标结果</w:t>
      </w:r>
      <w:bookmarkEnd w:id="800"/>
      <w:bookmarkEnd w:id="801"/>
      <w:bookmarkEnd w:id="802"/>
    </w:p>
    <w:p w14:paraId="6ACE2DED">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 xml:space="preserve"> 除第二章“投标人须知”前附表授权直接确定中标人外，评标委员会按经评审的最低投标价法推荐中标候选人。</w:t>
      </w:r>
    </w:p>
    <w:p w14:paraId="6A20E36B">
      <w:pPr>
        <w:pStyle w:val="4"/>
        <w:spacing w:before="0" w:after="0" w:line="360" w:lineRule="auto"/>
        <w:ind w:firstLine="420" w:firstLineChars="200"/>
        <w:rPr>
          <w:rFonts w:hint="eastAsia" w:ascii="宋体" w:hAnsi="宋体" w:cs="宋体"/>
          <w:b w:val="0"/>
          <w:bCs w:val="0"/>
          <w:sz w:val="21"/>
          <w:szCs w:val="21"/>
          <w:highlight w:val="none"/>
        </w:rPr>
      </w:pPr>
      <w:bookmarkStart w:id="803" w:name="_Toc7887"/>
      <w:bookmarkStart w:id="804" w:name="_Toc4273"/>
      <w:r>
        <w:rPr>
          <w:rFonts w:ascii="宋体" w:hAnsi="宋体" w:cs="宋体"/>
          <w:b w:val="0"/>
          <w:bCs w:val="0"/>
          <w:sz w:val="21"/>
          <w:szCs w:val="21"/>
          <w:highlight w:val="none"/>
        </w:rPr>
        <w:t>3.</w:t>
      </w:r>
      <w:r>
        <w:rPr>
          <w:rFonts w:hint="eastAsia" w:ascii="宋体" w:hAnsi="宋体" w:cs="宋体"/>
          <w:b w:val="0"/>
          <w:bCs w:val="0"/>
          <w:sz w:val="21"/>
          <w:szCs w:val="21"/>
          <w:highlight w:val="none"/>
        </w:rPr>
        <w:t>4</w:t>
      </w:r>
      <w:r>
        <w:rPr>
          <w:rFonts w:ascii="宋体" w:hAnsi="宋体" w:cs="宋体"/>
          <w:b w:val="0"/>
          <w:bCs w:val="0"/>
          <w:sz w:val="21"/>
          <w:szCs w:val="21"/>
          <w:highlight w:val="none"/>
        </w:rPr>
        <w:t>.2</w:t>
      </w:r>
      <w:r>
        <w:rPr>
          <w:rFonts w:hint="eastAsia" w:ascii="宋体" w:hAnsi="宋体" w:cs="宋体"/>
          <w:b w:val="0"/>
          <w:bCs w:val="0"/>
          <w:sz w:val="21"/>
          <w:szCs w:val="21"/>
          <w:highlight w:val="none"/>
        </w:rPr>
        <w:t xml:space="preserve"> 评标委员会完成评标后，应当向招标人提交书面评标报告和中标候选人名单。</w:t>
      </w:r>
      <w:bookmarkEnd w:id="803"/>
      <w:bookmarkEnd w:id="804"/>
    </w:p>
    <w:p w14:paraId="05C40B0A">
      <w:pPr>
        <w:spacing w:line="360" w:lineRule="auto"/>
        <w:ind w:firstLine="420" w:firstLineChars="200"/>
        <w:jc w:val="left"/>
        <w:rPr>
          <w:rFonts w:ascii="宋体" w:hAnsi="宋体" w:cs="宋体"/>
          <w:color w:val="auto"/>
          <w:szCs w:val="21"/>
          <w:highlight w:val="none"/>
        </w:rPr>
      </w:pPr>
      <w:r>
        <w:rPr>
          <w:rFonts w:hint="eastAsia" w:asciiTheme="minorEastAsia" w:hAnsiTheme="minorEastAsia" w:eastAsiaTheme="minorEastAsia"/>
          <w:b w:val="0"/>
          <w:bCs w:val="0"/>
          <w:color w:val="auto"/>
          <w:kern w:val="0"/>
          <w:sz w:val="21"/>
          <w:szCs w:val="21"/>
          <w:highlight w:val="none"/>
          <w:lang w:val="en-US" w:eastAsia="zh-CN"/>
        </w:rPr>
        <w:t>3.4.3 有效投标人不足三个的，</w:t>
      </w:r>
      <w:r>
        <w:rPr>
          <w:rFonts w:hint="eastAsia" w:asciiTheme="minorEastAsia" w:hAnsiTheme="minorEastAsia" w:eastAsiaTheme="minorEastAsia"/>
          <w:b w:val="0"/>
          <w:bCs w:val="0"/>
          <w:color w:val="auto"/>
          <w:kern w:val="0"/>
          <w:sz w:val="21"/>
          <w:szCs w:val="21"/>
          <w:highlight w:val="none"/>
        </w:rPr>
        <w:t>评标委员会应当对有效投标人是否仍具有竞争性进行论证</w:t>
      </w:r>
      <w:r>
        <w:rPr>
          <w:rFonts w:hint="eastAsia" w:asciiTheme="minorEastAsia" w:hAnsiTheme="minorEastAsia" w:eastAsiaTheme="minorEastAsia"/>
          <w:b w:val="0"/>
          <w:bCs w:val="0"/>
          <w:color w:val="auto"/>
          <w:kern w:val="0"/>
          <w:sz w:val="21"/>
          <w:szCs w:val="21"/>
          <w:highlight w:val="none"/>
          <w:lang w:val="en-US" w:eastAsia="zh-CN"/>
        </w:rPr>
        <w:t>，并在评标报告中记载论证过程和结果。</w:t>
      </w:r>
      <w:bookmarkEnd w:id="774"/>
      <w:bookmarkEnd w:id="775"/>
      <w:bookmarkEnd w:id="776"/>
      <w:bookmarkEnd w:id="777"/>
      <w:bookmarkEnd w:id="778"/>
    </w:p>
    <w:p w14:paraId="0BC6D2F8">
      <w:pPr>
        <w:pStyle w:val="33"/>
        <w:spacing w:line="360" w:lineRule="auto"/>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14:paraId="1DCB12CF">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p>
    <w:tbl>
      <w:tblPr>
        <w:tblStyle w:val="46"/>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7D0562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23CA2011">
            <w:pPr>
              <w:spacing w:line="400" w:lineRule="exact"/>
              <w:jc w:val="center"/>
              <w:rPr>
                <w:rFonts w:ascii="宋体" w:hAnsi="宋体"/>
                <w:b/>
                <w:szCs w:val="21"/>
                <w:highlight w:val="none"/>
              </w:rPr>
            </w:pPr>
            <w:r>
              <w:rPr>
                <w:rFonts w:ascii="宋体" w:hAnsi="宋体"/>
                <w:b/>
                <w:szCs w:val="21"/>
                <w:highlight w:val="none"/>
              </w:rPr>
              <w:t>章节号</w:t>
            </w:r>
          </w:p>
        </w:tc>
        <w:tc>
          <w:tcPr>
            <w:tcW w:w="1515" w:type="dxa"/>
            <w:vAlign w:val="center"/>
          </w:tcPr>
          <w:p w14:paraId="72086852">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14:paraId="472B800F">
            <w:pPr>
              <w:spacing w:line="400" w:lineRule="exact"/>
              <w:jc w:val="center"/>
              <w:rPr>
                <w:rFonts w:ascii="宋体" w:hAnsi="宋体"/>
                <w:b/>
                <w:szCs w:val="21"/>
                <w:highlight w:val="none"/>
              </w:rPr>
            </w:pPr>
            <w:r>
              <w:rPr>
                <w:rFonts w:ascii="宋体" w:hAnsi="宋体"/>
                <w:b/>
                <w:szCs w:val="21"/>
                <w:highlight w:val="none"/>
              </w:rPr>
              <w:t>否决投标条件</w:t>
            </w:r>
          </w:p>
        </w:tc>
      </w:tr>
      <w:tr w14:paraId="13BD73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961" w:type="dxa"/>
            <w:vMerge w:val="restart"/>
            <w:vAlign w:val="center"/>
          </w:tcPr>
          <w:p w14:paraId="417F8845">
            <w:pPr>
              <w:spacing w:line="400" w:lineRule="exact"/>
              <w:jc w:val="center"/>
              <w:rPr>
                <w:rFonts w:ascii="宋体" w:hAnsi="宋体"/>
                <w:szCs w:val="21"/>
                <w:highlight w:val="none"/>
              </w:rPr>
            </w:pPr>
            <w:r>
              <w:rPr>
                <w:rFonts w:hint="eastAsia" w:ascii="宋体" w:hAnsi="宋体"/>
                <w:szCs w:val="21"/>
                <w:highlight w:val="none"/>
              </w:rPr>
              <w:t>第三章</w:t>
            </w:r>
          </w:p>
        </w:tc>
        <w:tc>
          <w:tcPr>
            <w:tcW w:w="1515" w:type="dxa"/>
            <w:vMerge w:val="restart"/>
            <w:vAlign w:val="center"/>
          </w:tcPr>
          <w:p w14:paraId="054FA5D9">
            <w:pPr>
              <w:spacing w:line="400" w:lineRule="exact"/>
              <w:jc w:val="center"/>
              <w:rPr>
                <w:rFonts w:ascii="宋体" w:hAnsi="宋体"/>
                <w:szCs w:val="21"/>
                <w:highlight w:val="none"/>
              </w:rPr>
            </w:pPr>
            <w:r>
              <w:rPr>
                <w:rFonts w:hint="eastAsia" w:ascii="宋体" w:hAnsi="宋体"/>
                <w:szCs w:val="21"/>
                <w:highlight w:val="none"/>
              </w:rPr>
              <w:t>资格评审</w:t>
            </w:r>
          </w:p>
        </w:tc>
        <w:tc>
          <w:tcPr>
            <w:tcW w:w="6333" w:type="dxa"/>
            <w:vAlign w:val="center"/>
          </w:tcPr>
          <w:p w14:paraId="09923F29">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w:t>
            </w:r>
            <w:r>
              <w:rPr>
                <w:rFonts w:hint="eastAsia" w:ascii="宋体" w:hAnsi="宋体"/>
                <w:szCs w:val="21"/>
                <w:highlight w:val="none"/>
              </w:rPr>
              <w:t>投标人的资质条件、</w:t>
            </w:r>
            <w:r>
              <w:rPr>
                <w:rFonts w:hint="eastAsia" w:ascii="宋体" w:hAnsi="宋体"/>
                <w:szCs w:val="21"/>
                <w:highlight w:val="none"/>
                <w:lang w:eastAsia="zh-CN"/>
              </w:rPr>
              <w:t>独立法人资格</w:t>
            </w:r>
            <w:r>
              <w:rPr>
                <w:rFonts w:hint="eastAsia" w:ascii="宋体" w:hAnsi="宋体"/>
                <w:szCs w:val="21"/>
                <w:highlight w:val="none"/>
              </w:rPr>
              <w:t>及安全生产条件</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w:t>
            </w:r>
          </w:p>
        </w:tc>
      </w:tr>
      <w:tr w14:paraId="592DB3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6BB6ABAC">
            <w:pPr>
              <w:spacing w:line="400" w:lineRule="exact"/>
              <w:jc w:val="center"/>
              <w:rPr>
                <w:rFonts w:ascii="宋体" w:hAnsi="宋体"/>
                <w:szCs w:val="21"/>
                <w:highlight w:val="none"/>
              </w:rPr>
            </w:pPr>
          </w:p>
        </w:tc>
        <w:tc>
          <w:tcPr>
            <w:tcW w:w="1515" w:type="dxa"/>
            <w:vMerge w:val="continue"/>
            <w:vAlign w:val="center"/>
          </w:tcPr>
          <w:p w14:paraId="7F17D3E7">
            <w:pPr>
              <w:spacing w:line="400" w:lineRule="exact"/>
              <w:jc w:val="center"/>
              <w:rPr>
                <w:rFonts w:ascii="宋体" w:hAnsi="宋体"/>
                <w:szCs w:val="21"/>
                <w:highlight w:val="none"/>
              </w:rPr>
            </w:pPr>
          </w:p>
        </w:tc>
        <w:tc>
          <w:tcPr>
            <w:tcW w:w="6333" w:type="dxa"/>
            <w:vAlign w:val="center"/>
          </w:tcPr>
          <w:p w14:paraId="6A45DB5F">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w:t>
            </w:r>
            <w:r>
              <w:rPr>
                <w:rFonts w:hint="eastAsia" w:ascii="宋体" w:hAnsi="宋体"/>
                <w:szCs w:val="21"/>
                <w:highlight w:val="none"/>
              </w:rPr>
              <w:t>投标人的财务</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满足投标人须知前附表第1.4.1项的要求（如有）。</w:t>
            </w:r>
          </w:p>
        </w:tc>
      </w:tr>
      <w:tr w14:paraId="00190B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1CF59C8F">
            <w:pPr>
              <w:spacing w:line="400" w:lineRule="exact"/>
              <w:jc w:val="center"/>
              <w:rPr>
                <w:rFonts w:ascii="宋体" w:hAnsi="宋体"/>
                <w:szCs w:val="21"/>
                <w:highlight w:val="none"/>
              </w:rPr>
            </w:pPr>
          </w:p>
        </w:tc>
        <w:tc>
          <w:tcPr>
            <w:tcW w:w="1515" w:type="dxa"/>
            <w:vMerge w:val="continue"/>
            <w:vAlign w:val="center"/>
          </w:tcPr>
          <w:p w14:paraId="240D933F">
            <w:pPr>
              <w:spacing w:line="400" w:lineRule="exact"/>
              <w:jc w:val="center"/>
              <w:rPr>
                <w:rFonts w:ascii="宋体" w:hAnsi="宋体"/>
                <w:szCs w:val="21"/>
                <w:highlight w:val="none"/>
              </w:rPr>
            </w:pPr>
          </w:p>
        </w:tc>
        <w:tc>
          <w:tcPr>
            <w:tcW w:w="6333" w:type="dxa"/>
            <w:vAlign w:val="center"/>
          </w:tcPr>
          <w:p w14:paraId="7AC77F43">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3</w:t>
            </w:r>
            <w:r>
              <w:rPr>
                <w:rFonts w:hint="eastAsia" w:ascii="宋体" w:hAnsi="宋体"/>
                <w:szCs w:val="21"/>
                <w:highlight w:val="none"/>
              </w:rPr>
              <w:t>投标人的业绩</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满足投标人须知前附表第1.4.1项的要求（如有）。</w:t>
            </w:r>
          </w:p>
        </w:tc>
      </w:tr>
      <w:tr w14:paraId="5BE01E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340E1DD6">
            <w:pPr>
              <w:spacing w:line="400" w:lineRule="exact"/>
              <w:jc w:val="center"/>
              <w:rPr>
                <w:rFonts w:ascii="宋体" w:hAnsi="宋体"/>
                <w:szCs w:val="21"/>
                <w:highlight w:val="none"/>
              </w:rPr>
            </w:pPr>
          </w:p>
        </w:tc>
        <w:tc>
          <w:tcPr>
            <w:tcW w:w="1515" w:type="dxa"/>
            <w:vMerge w:val="continue"/>
            <w:vAlign w:val="center"/>
          </w:tcPr>
          <w:p w14:paraId="191CF708">
            <w:pPr>
              <w:spacing w:line="400" w:lineRule="exact"/>
              <w:jc w:val="center"/>
              <w:rPr>
                <w:rFonts w:ascii="宋体" w:hAnsi="宋体"/>
                <w:szCs w:val="21"/>
                <w:highlight w:val="none"/>
              </w:rPr>
            </w:pPr>
          </w:p>
        </w:tc>
        <w:tc>
          <w:tcPr>
            <w:tcW w:w="6333" w:type="dxa"/>
            <w:vAlign w:val="center"/>
          </w:tcPr>
          <w:p w14:paraId="5D807670">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4</w:t>
            </w:r>
            <w:r>
              <w:rPr>
                <w:rFonts w:hint="eastAsia" w:ascii="宋体" w:hAnsi="宋体"/>
                <w:szCs w:val="21"/>
                <w:highlight w:val="none"/>
              </w:rPr>
              <w:t>投标人的投标截止日投标资格情况</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w:t>
            </w:r>
          </w:p>
        </w:tc>
      </w:tr>
      <w:tr w14:paraId="13ADE3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5878169C">
            <w:pPr>
              <w:spacing w:line="400" w:lineRule="exact"/>
              <w:jc w:val="center"/>
              <w:rPr>
                <w:rFonts w:ascii="宋体" w:hAnsi="宋体"/>
                <w:szCs w:val="21"/>
                <w:highlight w:val="none"/>
              </w:rPr>
            </w:pPr>
          </w:p>
        </w:tc>
        <w:tc>
          <w:tcPr>
            <w:tcW w:w="1515" w:type="dxa"/>
            <w:vMerge w:val="continue"/>
            <w:vAlign w:val="center"/>
          </w:tcPr>
          <w:p w14:paraId="2E9954C4">
            <w:pPr>
              <w:spacing w:line="400" w:lineRule="exact"/>
              <w:jc w:val="center"/>
              <w:rPr>
                <w:rFonts w:ascii="宋体" w:hAnsi="宋体"/>
                <w:szCs w:val="21"/>
                <w:highlight w:val="none"/>
              </w:rPr>
            </w:pPr>
          </w:p>
        </w:tc>
        <w:tc>
          <w:tcPr>
            <w:tcW w:w="6333" w:type="dxa"/>
            <w:vAlign w:val="center"/>
          </w:tcPr>
          <w:p w14:paraId="19D63173">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5</w:t>
            </w:r>
            <w:r>
              <w:rPr>
                <w:rFonts w:hint="eastAsia" w:ascii="宋体" w:hAnsi="宋体"/>
                <w:szCs w:val="21"/>
                <w:highlight w:val="none"/>
              </w:rPr>
              <w:t>投标人的项目经理资格</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w:t>
            </w:r>
          </w:p>
        </w:tc>
      </w:tr>
      <w:tr w14:paraId="27F930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7F8301F0">
            <w:pPr>
              <w:spacing w:line="400" w:lineRule="exact"/>
              <w:jc w:val="center"/>
              <w:rPr>
                <w:rFonts w:ascii="宋体" w:hAnsi="宋体"/>
                <w:szCs w:val="21"/>
                <w:highlight w:val="none"/>
              </w:rPr>
            </w:pPr>
          </w:p>
        </w:tc>
        <w:tc>
          <w:tcPr>
            <w:tcW w:w="1515" w:type="dxa"/>
            <w:vMerge w:val="continue"/>
            <w:vAlign w:val="center"/>
          </w:tcPr>
          <w:p w14:paraId="08FB5EAD">
            <w:pPr>
              <w:spacing w:line="400" w:lineRule="exact"/>
              <w:jc w:val="center"/>
              <w:rPr>
                <w:rFonts w:ascii="宋体" w:hAnsi="宋体"/>
                <w:szCs w:val="21"/>
                <w:highlight w:val="none"/>
              </w:rPr>
            </w:pPr>
          </w:p>
        </w:tc>
        <w:tc>
          <w:tcPr>
            <w:tcW w:w="6333" w:type="dxa"/>
            <w:vAlign w:val="center"/>
          </w:tcPr>
          <w:p w14:paraId="36964547">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6</w:t>
            </w:r>
            <w:r>
              <w:rPr>
                <w:rFonts w:hint="eastAsia" w:ascii="宋体" w:hAnsi="宋体"/>
                <w:szCs w:val="21"/>
                <w:highlight w:val="none"/>
              </w:rPr>
              <w:t>投标人的其他要求</w:t>
            </w:r>
            <w:r>
              <w:rPr>
                <w:rFonts w:hint="eastAsia" w:ascii="宋体" w:hAnsi="宋体"/>
                <w:szCs w:val="21"/>
                <w:highlight w:val="none"/>
                <w:lang w:val="en-US" w:eastAsia="zh-CN"/>
              </w:rPr>
              <w:t>不</w:t>
            </w:r>
            <w:r>
              <w:rPr>
                <w:rFonts w:hint="eastAsia" w:ascii="宋体" w:hAnsi="宋体"/>
                <w:szCs w:val="21"/>
                <w:highlight w:val="none"/>
              </w:rPr>
              <w:t>满足投标人须知前附表第1.4.1项的要求。</w:t>
            </w:r>
          </w:p>
        </w:tc>
      </w:tr>
      <w:tr w14:paraId="596670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76F81FF">
            <w:pPr>
              <w:spacing w:line="400" w:lineRule="exact"/>
              <w:jc w:val="center"/>
              <w:rPr>
                <w:rFonts w:ascii="宋体" w:hAnsi="宋体"/>
                <w:szCs w:val="21"/>
                <w:highlight w:val="none"/>
              </w:rPr>
            </w:pPr>
          </w:p>
        </w:tc>
        <w:tc>
          <w:tcPr>
            <w:tcW w:w="1515" w:type="dxa"/>
            <w:vMerge w:val="restart"/>
            <w:vAlign w:val="center"/>
          </w:tcPr>
          <w:p w14:paraId="0D353F9A">
            <w:pPr>
              <w:spacing w:line="400" w:lineRule="exact"/>
              <w:jc w:val="center"/>
              <w:rPr>
                <w:rFonts w:ascii="宋体" w:hAnsi="宋体"/>
                <w:szCs w:val="21"/>
                <w:highlight w:val="none"/>
              </w:rPr>
            </w:pPr>
            <w:r>
              <w:rPr>
                <w:rFonts w:hint="eastAsia" w:ascii="宋体" w:hAnsi="宋体"/>
                <w:szCs w:val="21"/>
                <w:highlight w:val="none"/>
              </w:rPr>
              <w:t>形式评审</w:t>
            </w:r>
          </w:p>
        </w:tc>
        <w:tc>
          <w:tcPr>
            <w:tcW w:w="6333" w:type="dxa"/>
          </w:tcPr>
          <w:p w14:paraId="14C53A1F">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7</w:t>
            </w:r>
            <w:r>
              <w:rPr>
                <w:rFonts w:hint="eastAsia" w:ascii="宋体" w:hAnsi="宋体"/>
                <w:szCs w:val="21"/>
                <w:highlight w:val="none"/>
              </w:rPr>
              <w:t>投标人名称与营业执照、资质证书、安全生产许可证</w:t>
            </w:r>
            <w:r>
              <w:rPr>
                <w:rFonts w:hint="eastAsia" w:ascii="宋体" w:hAnsi="宋体"/>
                <w:szCs w:val="21"/>
                <w:highlight w:val="none"/>
                <w:lang w:val="en-US" w:eastAsia="zh-CN"/>
              </w:rPr>
              <w:t>不</w:t>
            </w:r>
            <w:r>
              <w:rPr>
                <w:rFonts w:hint="eastAsia" w:ascii="宋体" w:hAnsi="宋体"/>
                <w:szCs w:val="21"/>
                <w:highlight w:val="none"/>
              </w:rPr>
              <w:t>一致</w:t>
            </w:r>
            <w:r>
              <w:rPr>
                <w:rFonts w:ascii="宋体" w:hAnsi="宋体"/>
                <w:szCs w:val="21"/>
                <w:highlight w:val="none"/>
              </w:rPr>
              <w:t>。</w:t>
            </w:r>
          </w:p>
        </w:tc>
      </w:tr>
      <w:tr w14:paraId="593C14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5168514">
            <w:pPr>
              <w:spacing w:line="400" w:lineRule="exact"/>
              <w:jc w:val="center"/>
              <w:rPr>
                <w:rFonts w:ascii="宋体" w:hAnsi="宋体"/>
                <w:szCs w:val="21"/>
                <w:highlight w:val="none"/>
              </w:rPr>
            </w:pPr>
          </w:p>
        </w:tc>
        <w:tc>
          <w:tcPr>
            <w:tcW w:w="1515" w:type="dxa"/>
            <w:vMerge w:val="continue"/>
            <w:vAlign w:val="center"/>
          </w:tcPr>
          <w:p w14:paraId="29CFABF0">
            <w:pPr>
              <w:spacing w:line="400" w:lineRule="exact"/>
              <w:jc w:val="center"/>
              <w:rPr>
                <w:rFonts w:ascii="宋体" w:hAnsi="宋体"/>
                <w:szCs w:val="21"/>
                <w:highlight w:val="none"/>
              </w:rPr>
            </w:pPr>
          </w:p>
        </w:tc>
        <w:tc>
          <w:tcPr>
            <w:tcW w:w="6333" w:type="dxa"/>
          </w:tcPr>
          <w:p w14:paraId="3703E218">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8</w:t>
            </w:r>
            <w:r>
              <w:rPr>
                <w:rFonts w:hint="eastAsia" w:ascii="宋体" w:hAnsi="宋体"/>
                <w:szCs w:val="21"/>
                <w:highlight w:val="none"/>
              </w:rPr>
              <w:t>投标文件格式（不含投标函部分）</w:t>
            </w:r>
            <w:r>
              <w:rPr>
                <w:rFonts w:hint="eastAsia" w:ascii="宋体" w:hAnsi="宋体"/>
                <w:szCs w:val="21"/>
                <w:highlight w:val="none"/>
                <w:lang w:val="en-US" w:eastAsia="zh-CN"/>
              </w:rPr>
              <w:t>不</w:t>
            </w:r>
            <w:r>
              <w:rPr>
                <w:rFonts w:hint="eastAsia" w:ascii="宋体" w:hAnsi="宋体"/>
                <w:szCs w:val="21"/>
                <w:highlight w:val="none"/>
              </w:rPr>
              <w:t>符合第二章“投标人须知”第3.7款的要求。</w:t>
            </w:r>
          </w:p>
          <w:p w14:paraId="4A67ABCE">
            <w:pPr>
              <w:spacing w:line="400" w:lineRule="exact"/>
              <w:ind w:firstLine="420" w:firstLineChars="200"/>
              <w:rPr>
                <w:rFonts w:ascii="宋体" w:hAnsi="宋体"/>
                <w:szCs w:val="21"/>
                <w:highlight w:val="none"/>
              </w:rPr>
            </w:pPr>
            <w:r>
              <w:rPr>
                <w:rFonts w:hint="eastAsia" w:ascii="宋体" w:hAnsi="宋体"/>
                <w:kern w:val="0"/>
                <w:szCs w:val="21"/>
                <w:highlight w:val="none"/>
              </w:rPr>
              <w:t>编制投标文件时对第八章“投标文件格式”的相应要素作实质性修改。</w:t>
            </w:r>
          </w:p>
        </w:tc>
      </w:tr>
      <w:tr w14:paraId="7BB7B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D357DA2">
            <w:pPr>
              <w:spacing w:line="400" w:lineRule="exact"/>
              <w:jc w:val="center"/>
              <w:rPr>
                <w:rFonts w:ascii="宋体" w:hAnsi="宋体"/>
                <w:szCs w:val="21"/>
                <w:highlight w:val="none"/>
              </w:rPr>
            </w:pPr>
          </w:p>
        </w:tc>
        <w:tc>
          <w:tcPr>
            <w:tcW w:w="1515" w:type="dxa"/>
            <w:vMerge w:val="continue"/>
            <w:vAlign w:val="center"/>
          </w:tcPr>
          <w:p w14:paraId="5288AE97">
            <w:pPr>
              <w:spacing w:line="400" w:lineRule="exact"/>
              <w:jc w:val="center"/>
              <w:rPr>
                <w:rFonts w:ascii="宋体" w:hAnsi="宋体"/>
                <w:szCs w:val="21"/>
                <w:highlight w:val="none"/>
              </w:rPr>
            </w:pPr>
          </w:p>
        </w:tc>
        <w:tc>
          <w:tcPr>
            <w:tcW w:w="6333" w:type="dxa"/>
          </w:tcPr>
          <w:p w14:paraId="22AA5949">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9</w:t>
            </w:r>
            <w:r>
              <w:rPr>
                <w:rFonts w:hint="eastAsia" w:ascii="宋体" w:hAnsi="宋体"/>
                <w:color w:val="auto"/>
                <w:szCs w:val="21"/>
                <w:highlight w:val="none"/>
              </w:rPr>
              <w:t>投标</w:t>
            </w:r>
            <w:r>
              <w:rPr>
                <w:rFonts w:hint="eastAsia" w:ascii="宋体" w:hAnsi="宋体"/>
                <w:color w:val="auto"/>
                <w:szCs w:val="21"/>
                <w:highlight w:val="none"/>
                <w:lang w:val="en-US" w:eastAsia="zh-CN"/>
              </w:rPr>
              <w:t>文件</w:t>
            </w:r>
            <w:r>
              <w:rPr>
                <w:rFonts w:hint="eastAsia" w:ascii="宋体" w:hAnsi="宋体"/>
                <w:color w:val="auto"/>
                <w:szCs w:val="21"/>
                <w:highlight w:val="none"/>
              </w:rPr>
              <w:t>格式规定签名、盖章的位置有法定代表人或其委托代理人签名（或盖章）、加盖单位法人章，否则由评标委员会作否决投标处理。</w:t>
            </w:r>
            <w:r>
              <w:rPr>
                <w:rFonts w:hint="eastAsia" w:ascii="宋体" w:hAnsi="宋体"/>
                <w:szCs w:val="21"/>
                <w:highlight w:val="none"/>
              </w:rPr>
              <w:t>。</w:t>
            </w:r>
          </w:p>
        </w:tc>
      </w:tr>
      <w:tr w14:paraId="118215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51D646E">
            <w:pPr>
              <w:spacing w:line="400" w:lineRule="exact"/>
              <w:jc w:val="center"/>
              <w:rPr>
                <w:rFonts w:ascii="宋体" w:hAnsi="宋体"/>
                <w:szCs w:val="21"/>
                <w:highlight w:val="none"/>
              </w:rPr>
            </w:pPr>
          </w:p>
        </w:tc>
        <w:tc>
          <w:tcPr>
            <w:tcW w:w="1515" w:type="dxa"/>
            <w:vMerge w:val="continue"/>
            <w:vAlign w:val="center"/>
          </w:tcPr>
          <w:p w14:paraId="0CC59DF4">
            <w:pPr>
              <w:spacing w:line="400" w:lineRule="exact"/>
              <w:jc w:val="center"/>
              <w:rPr>
                <w:rFonts w:ascii="宋体" w:hAnsi="宋体"/>
                <w:szCs w:val="21"/>
                <w:highlight w:val="none"/>
              </w:rPr>
            </w:pPr>
          </w:p>
        </w:tc>
        <w:tc>
          <w:tcPr>
            <w:tcW w:w="6333" w:type="dxa"/>
          </w:tcPr>
          <w:p w14:paraId="5491FF97">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10</w:t>
            </w:r>
            <w:r>
              <w:rPr>
                <w:rFonts w:hint="eastAsia" w:ascii="宋体" w:hAnsi="宋体"/>
                <w:szCs w:val="21"/>
                <w:highlight w:val="none"/>
              </w:rPr>
              <w:t>投标人法定代表人的委托代理人</w:t>
            </w:r>
            <w:r>
              <w:rPr>
                <w:rFonts w:hint="eastAsia" w:ascii="宋体" w:hAnsi="宋体"/>
                <w:szCs w:val="21"/>
                <w:highlight w:val="none"/>
                <w:lang w:val="en-US" w:eastAsia="zh-CN"/>
              </w:rPr>
              <w:t>无</w:t>
            </w:r>
            <w:r>
              <w:rPr>
                <w:rFonts w:hint="eastAsia" w:ascii="宋体" w:hAnsi="宋体"/>
                <w:szCs w:val="21"/>
                <w:highlight w:val="none"/>
              </w:rPr>
              <w:t>法定代表人签署的授权委托书</w:t>
            </w:r>
            <w:r>
              <w:rPr>
                <w:rFonts w:hint="eastAsia" w:ascii="宋体" w:hAnsi="宋体"/>
                <w:szCs w:val="21"/>
                <w:highlight w:val="none"/>
                <w:lang w:eastAsia="zh-CN"/>
              </w:rPr>
              <w:t>，</w:t>
            </w:r>
            <w:r>
              <w:rPr>
                <w:rFonts w:hint="eastAsia" w:ascii="宋体" w:hAnsi="宋体"/>
                <w:szCs w:val="21"/>
                <w:highlight w:val="none"/>
                <w:lang w:val="en-US" w:eastAsia="zh-CN"/>
              </w:rPr>
              <w:t>或无</w:t>
            </w:r>
            <w:r>
              <w:rPr>
                <w:rFonts w:hint="eastAsia" w:ascii="宋体" w:hAnsi="宋体"/>
                <w:szCs w:val="21"/>
                <w:highlight w:val="none"/>
              </w:rPr>
              <w:t>投标人为其缴纳的养老保险证明材料。</w:t>
            </w:r>
          </w:p>
        </w:tc>
      </w:tr>
      <w:tr w14:paraId="68E24A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1523432">
            <w:pPr>
              <w:spacing w:line="400" w:lineRule="exact"/>
              <w:jc w:val="center"/>
              <w:rPr>
                <w:rFonts w:ascii="宋体" w:hAnsi="宋体"/>
                <w:szCs w:val="21"/>
                <w:highlight w:val="none"/>
              </w:rPr>
            </w:pPr>
          </w:p>
        </w:tc>
        <w:tc>
          <w:tcPr>
            <w:tcW w:w="1515" w:type="dxa"/>
            <w:vMerge w:val="restart"/>
            <w:vAlign w:val="center"/>
          </w:tcPr>
          <w:p w14:paraId="00F488CE">
            <w:pPr>
              <w:spacing w:line="400" w:lineRule="exact"/>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14:paraId="2A0913CA">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11</w:t>
            </w:r>
            <w:r>
              <w:rPr>
                <w:rFonts w:hint="eastAsia" w:ascii="宋体" w:hAnsi="宋体"/>
                <w:szCs w:val="21"/>
                <w:highlight w:val="none"/>
              </w:rPr>
              <w:t>投标内容</w:t>
            </w:r>
            <w:r>
              <w:rPr>
                <w:rFonts w:hint="eastAsia" w:ascii="宋体" w:hAnsi="宋体"/>
                <w:szCs w:val="21"/>
                <w:highlight w:val="none"/>
                <w:lang w:val="en-US" w:eastAsia="zh-CN"/>
              </w:rPr>
              <w:t>不</w:t>
            </w:r>
            <w:r>
              <w:rPr>
                <w:rFonts w:hint="eastAsia" w:ascii="宋体" w:hAnsi="宋体"/>
                <w:szCs w:val="21"/>
                <w:highlight w:val="none"/>
              </w:rPr>
              <w:t>符合第二章“投标人须知”第1.3.1项规定。</w:t>
            </w:r>
          </w:p>
        </w:tc>
      </w:tr>
      <w:tr w14:paraId="2DB9A1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61" w:type="dxa"/>
            <w:vMerge w:val="continue"/>
            <w:vAlign w:val="center"/>
          </w:tcPr>
          <w:p w14:paraId="6119A9EA">
            <w:pPr>
              <w:spacing w:line="400" w:lineRule="exact"/>
              <w:jc w:val="center"/>
              <w:rPr>
                <w:rFonts w:ascii="宋体" w:hAnsi="宋体"/>
                <w:szCs w:val="21"/>
                <w:highlight w:val="none"/>
              </w:rPr>
            </w:pPr>
          </w:p>
        </w:tc>
        <w:tc>
          <w:tcPr>
            <w:tcW w:w="1515" w:type="dxa"/>
            <w:vMerge w:val="continue"/>
            <w:vAlign w:val="center"/>
          </w:tcPr>
          <w:p w14:paraId="2797C81A">
            <w:pPr>
              <w:spacing w:line="400" w:lineRule="exact"/>
              <w:jc w:val="center"/>
              <w:rPr>
                <w:rFonts w:ascii="宋体" w:hAnsi="宋体"/>
                <w:szCs w:val="21"/>
                <w:highlight w:val="none"/>
              </w:rPr>
            </w:pPr>
          </w:p>
        </w:tc>
        <w:tc>
          <w:tcPr>
            <w:tcW w:w="6333" w:type="dxa"/>
            <w:vAlign w:val="center"/>
          </w:tcPr>
          <w:p w14:paraId="15FA1C11">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12</w:t>
            </w:r>
            <w:r>
              <w:rPr>
                <w:rFonts w:hint="eastAsia" w:ascii="宋体" w:hAnsi="宋体" w:cs="宋体"/>
                <w:color w:val="auto"/>
                <w:szCs w:val="21"/>
                <w:highlight w:val="none"/>
              </w:rPr>
              <w:t>投标保证金</w:t>
            </w:r>
            <w:r>
              <w:rPr>
                <w:rFonts w:hint="eastAsia" w:ascii="宋体" w:hAnsi="宋体" w:cs="宋体"/>
                <w:color w:val="auto"/>
                <w:szCs w:val="21"/>
                <w:highlight w:val="none"/>
                <w:lang w:val="en-US" w:eastAsia="zh-CN"/>
              </w:rPr>
              <w:t>不</w:t>
            </w:r>
            <w:r>
              <w:rPr>
                <w:rFonts w:hint="eastAsia" w:ascii="宋体" w:hAnsi="宋体" w:cs="宋体"/>
                <w:kern w:val="0"/>
                <w:highlight w:val="none"/>
              </w:rPr>
              <w:t>符合第二章“投标人须知前附表”第3.4款规定</w:t>
            </w:r>
            <w:r>
              <w:rPr>
                <w:rFonts w:hint="eastAsia" w:ascii="宋体" w:hAnsi="宋体"/>
                <w:szCs w:val="21"/>
                <w:highlight w:val="none"/>
              </w:rPr>
              <w:t>。</w:t>
            </w:r>
          </w:p>
        </w:tc>
      </w:tr>
      <w:tr w14:paraId="28AEE8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4AECF8A">
            <w:pPr>
              <w:spacing w:line="400" w:lineRule="exact"/>
              <w:jc w:val="center"/>
              <w:rPr>
                <w:rFonts w:ascii="宋体" w:hAnsi="宋体"/>
                <w:szCs w:val="21"/>
                <w:highlight w:val="none"/>
              </w:rPr>
            </w:pPr>
          </w:p>
        </w:tc>
        <w:tc>
          <w:tcPr>
            <w:tcW w:w="1515" w:type="dxa"/>
            <w:vMerge w:val="continue"/>
            <w:vAlign w:val="center"/>
          </w:tcPr>
          <w:p w14:paraId="7337CEF7">
            <w:pPr>
              <w:spacing w:line="400" w:lineRule="exact"/>
              <w:jc w:val="center"/>
              <w:rPr>
                <w:rFonts w:ascii="宋体" w:hAnsi="宋体"/>
                <w:szCs w:val="21"/>
                <w:highlight w:val="none"/>
              </w:rPr>
            </w:pPr>
          </w:p>
        </w:tc>
        <w:tc>
          <w:tcPr>
            <w:tcW w:w="6333" w:type="dxa"/>
            <w:vAlign w:val="center"/>
          </w:tcPr>
          <w:p w14:paraId="5399EEAD">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13不</w:t>
            </w:r>
            <w:r>
              <w:rPr>
                <w:rFonts w:hint="eastAsia" w:ascii="宋体" w:hAnsi="宋体"/>
                <w:szCs w:val="21"/>
                <w:highlight w:val="none"/>
              </w:rPr>
              <w:t>符合第四章“合同条款及格式”规定，投标文件附有招标人不能接受的条件。（由投标人承诺，承诺书格式详见第八章投标文件格式。）</w:t>
            </w:r>
          </w:p>
        </w:tc>
      </w:tr>
      <w:tr w14:paraId="17922D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E9A7BB0">
            <w:pPr>
              <w:spacing w:line="400" w:lineRule="exact"/>
              <w:jc w:val="center"/>
              <w:rPr>
                <w:rFonts w:ascii="宋体" w:hAnsi="宋体"/>
                <w:szCs w:val="21"/>
                <w:highlight w:val="none"/>
              </w:rPr>
            </w:pPr>
          </w:p>
        </w:tc>
        <w:tc>
          <w:tcPr>
            <w:tcW w:w="1515" w:type="dxa"/>
            <w:vMerge w:val="continue"/>
            <w:vAlign w:val="center"/>
          </w:tcPr>
          <w:p w14:paraId="3B619476">
            <w:pPr>
              <w:spacing w:line="400" w:lineRule="exact"/>
              <w:jc w:val="center"/>
              <w:rPr>
                <w:rFonts w:ascii="宋体" w:hAnsi="宋体"/>
                <w:szCs w:val="21"/>
                <w:highlight w:val="none"/>
              </w:rPr>
            </w:pPr>
          </w:p>
        </w:tc>
        <w:tc>
          <w:tcPr>
            <w:tcW w:w="6333" w:type="dxa"/>
            <w:vAlign w:val="center"/>
          </w:tcPr>
          <w:p w14:paraId="76436D3B">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14不</w:t>
            </w:r>
            <w:r>
              <w:rPr>
                <w:rFonts w:hint="eastAsia" w:ascii="宋体" w:hAnsi="宋体"/>
                <w:szCs w:val="21"/>
                <w:highlight w:val="none"/>
              </w:rPr>
              <w:t>符合第七章“技术标准和要求”规定（如有）。（由投标人承诺，承诺书格式详见第八章投标文件格式。）</w:t>
            </w:r>
          </w:p>
        </w:tc>
      </w:tr>
      <w:tr w14:paraId="338796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30" w:hRule="atLeast"/>
          <w:jc w:val="center"/>
        </w:trPr>
        <w:tc>
          <w:tcPr>
            <w:tcW w:w="961" w:type="dxa"/>
            <w:vMerge w:val="continue"/>
            <w:vAlign w:val="center"/>
          </w:tcPr>
          <w:p w14:paraId="4DF4732E">
            <w:pPr>
              <w:spacing w:line="400" w:lineRule="exact"/>
              <w:jc w:val="center"/>
              <w:rPr>
                <w:rFonts w:ascii="宋体" w:hAnsi="宋体"/>
                <w:szCs w:val="21"/>
                <w:highlight w:val="none"/>
              </w:rPr>
            </w:pPr>
          </w:p>
        </w:tc>
        <w:tc>
          <w:tcPr>
            <w:tcW w:w="1515" w:type="dxa"/>
            <w:vMerge w:val="continue"/>
            <w:vAlign w:val="center"/>
          </w:tcPr>
          <w:p w14:paraId="79E4EE89">
            <w:pPr>
              <w:spacing w:line="400" w:lineRule="exact"/>
              <w:jc w:val="center"/>
              <w:rPr>
                <w:rFonts w:ascii="宋体" w:hAnsi="宋体"/>
                <w:szCs w:val="21"/>
                <w:highlight w:val="none"/>
              </w:rPr>
            </w:pPr>
          </w:p>
        </w:tc>
        <w:tc>
          <w:tcPr>
            <w:tcW w:w="6333" w:type="dxa"/>
            <w:vAlign w:val="center"/>
          </w:tcPr>
          <w:p w14:paraId="56C96F45">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15</w:t>
            </w:r>
            <w:r>
              <w:rPr>
                <w:rFonts w:hint="eastAsia" w:ascii="宋体" w:hAnsi="宋体"/>
                <w:szCs w:val="21"/>
                <w:highlight w:val="none"/>
              </w:rPr>
              <w:t>投标人有以下情形之一的：</w:t>
            </w:r>
          </w:p>
          <w:p w14:paraId="7A9B0546">
            <w:pPr>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本次投标</w:t>
            </w:r>
            <w:r>
              <w:rPr>
                <w:rFonts w:hint="eastAsia" w:ascii="宋体" w:hAnsi="宋体"/>
                <w:kern w:val="0"/>
                <w:highlight w:val="none"/>
                <w:lang w:val="en-US" w:eastAsia="zh-CN"/>
              </w:rPr>
              <w:t>存在弄虚作假等其他</w:t>
            </w:r>
            <w:r>
              <w:rPr>
                <w:rFonts w:hint="eastAsia" w:ascii="宋体" w:hAnsi="宋体"/>
                <w:szCs w:val="21"/>
                <w:highlight w:val="none"/>
              </w:rPr>
              <w:t>违反招投标相关法律、法规的行为的；</w:t>
            </w:r>
          </w:p>
          <w:p w14:paraId="194B4341">
            <w:pPr>
              <w:spacing w:line="400" w:lineRule="exact"/>
              <w:ind w:firstLine="42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.拒绝按评标委员会要求澄清、说明或补正的。</w:t>
            </w:r>
          </w:p>
        </w:tc>
      </w:tr>
      <w:tr w14:paraId="37178D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E57B15B">
            <w:pPr>
              <w:spacing w:line="400" w:lineRule="exact"/>
              <w:jc w:val="center"/>
              <w:rPr>
                <w:rFonts w:ascii="宋体" w:hAnsi="宋体"/>
                <w:szCs w:val="21"/>
                <w:highlight w:val="none"/>
              </w:rPr>
            </w:pPr>
          </w:p>
        </w:tc>
        <w:tc>
          <w:tcPr>
            <w:tcW w:w="1515" w:type="dxa"/>
            <w:vMerge w:val="restart"/>
            <w:vAlign w:val="center"/>
          </w:tcPr>
          <w:p w14:paraId="06F95C9A">
            <w:pPr>
              <w:spacing w:line="400" w:lineRule="exact"/>
              <w:jc w:val="center"/>
              <w:rPr>
                <w:rFonts w:ascii="宋体" w:hAnsi="宋体"/>
                <w:szCs w:val="21"/>
                <w:highlight w:val="none"/>
              </w:rPr>
            </w:pPr>
            <w:r>
              <w:rPr>
                <w:rFonts w:ascii="宋体" w:hAnsi="宋体"/>
                <w:szCs w:val="21"/>
                <w:highlight w:val="none"/>
              </w:rPr>
              <w:t>投标函</w:t>
            </w:r>
            <w:r>
              <w:rPr>
                <w:rFonts w:hint="eastAsia" w:ascii="宋体" w:hAnsi="宋体"/>
                <w:szCs w:val="21"/>
                <w:highlight w:val="none"/>
                <w:lang w:val="en-US" w:eastAsia="zh-CN"/>
              </w:rPr>
              <w:t>部分</w:t>
            </w:r>
            <w:r>
              <w:rPr>
                <w:rFonts w:ascii="宋体" w:hAnsi="宋体"/>
                <w:szCs w:val="21"/>
                <w:highlight w:val="none"/>
              </w:rPr>
              <w:t>评审</w:t>
            </w:r>
          </w:p>
        </w:tc>
        <w:tc>
          <w:tcPr>
            <w:tcW w:w="6333" w:type="dxa"/>
            <w:vAlign w:val="center"/>
          </w:tcPr>
          <w:p w14:paraId="096678F6">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6</w:t>
            </w:r>
            <w:r>
              <w:rPr>
                <w:rFonts w:hint="eastAsia" w:ascii="宋体" w:hAnsi="宋体" w:cs="宋体"/>
                <w:color w:val="auto"/>
                <w:kern w:val="0"/>
                <w:highlight w:val="none"/>
              </w:rPr>
              <w:t>投标函部分的格式要求法定代表人或其委托代理人签名（或盖章）的须齐全，</w:t>
            </w:r>
            <w:r>
              <w:rPr>
                <w:rFonts w:hint="eastAsia" w:ascii="宋体" w:hAnsi="宋体" w:cs="宋体"/>
                <w:color w:val="auto"/>
                <w:szCs w:val="21"/>
                <w:highlight w:val="none"/>
              </w:rPr>
              <w:t>要求签名的，</w:t>
            </w:r>
            <w:r>
              <w:rPr>
                <w:rFonts w:hint="eastAsia" w:ascii="宋体" w:hAnsi="宋体" w:cs="宋体"/>
                <w:color w:val="auto"/>
                <w:kern w:val="0"/>
                <w:highlight w:val="none"/>
              </w:rPr>
              <w:t>签名采用手写签名或签章均可，要求加盖单位法人章的，应</w:t>
            </w:r>
            <w:r>
              <w:rPr>
                <w:rFonts w:hint="eastAsia" w:ascii="宋体" w:hAnsi="宋体" w:cs="宋体"/>
                <w:color w:val="auto"/>
                <w:kern w:val="0"/>
                <w:highlight w:val="none"/>
                <w:lang w:val="en-US" w:eastAsia="zh-CN"/>
              </w:rPr>
              <w:t>按要求</w:t>
            </w:r>
            <w:r>
              <w:rPr>
                <w:rFonts w:hint="eastAsia" w:ascii="宋体" w:hAnsi="宋体" w:cs="宋体"/>
                <w:color w:val="auto"/>
                <w:kern w:val="0"/>
                <w:highlight w:val="none"/>
              </w:rPr>
              <w:t>加盖投标人的单位法人章。</w:t>
            </w:r>
          </w:p>
        </w:tc>
      </w:tr>
      <w:tr w14:paraId="2E14F1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961" w:type="dxa"/>
            <w:vMerge w:val="continue"/>
            <w:vAlign w:val="center"/>
          </w:tcPr>
          <w:p w14:paraId="6BA46A4F">
            <w:pPr>
              <w:spacing w:line="400" w:lineRule="exact"/>
              <w:jc w:val="center"/>
              <w:rPr>
                <w:rFonts w:ascii="宋体" w:hAnsi="宋体"/>
                <w:szCs w:val="21"/>
                <w:highlight w:val="none"/>
              </w:rPr>
            </w:pPr>
          </w:p>
        </w:tc>
        <w:tc>
          <w:tcPr>
            <w:tcW w:w="1515" w:type="dxa"/>
            <w:vMerge w:val="continue"/>
            <w:vAlign w:val="center"/>
          </w:tcPr>
          <w:p w14:paraId="7F88A1A6">
            <w:pPr>
              <w:spacing w:line="400" w:lineRule="exact"/>
              <w:jc w:val="center"/>
              <w:rPr>
                <w:rFonts w:ascii="宋体" w:hAnsi="宋体"/>
                <w:szCs w:val="21"/>
                <w:highlight w:val="none"/>
              </w:rPr>
            </w:pPr>
          </w:p>
        </w:tc>
        <w:tc>
          <w:tcPr>
            <w:tcW w:w="6333" w:type="dxa"/>
            <w:vAlign w:val="center"/>
          </w:tcPr>
          <w:p w14:paraId="2636EB8D">
            <w:pPr>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A-17</w:t>
            </w:r>
            <w:r>
              <w:rPr>
                <w:rFonts w:hint="eastAsia" w:ascii="宋体" w:hAnsi="宋体"/>
                <w:szCs w:val="21"/>
                <w:highlight w:val="none"/>
              </w:rPr>
              <w:t>《投标函》中填写的项目经理与拟派项目经理的信息</w:t>
            </w:r>
            <w:r>
              <w:rPr>
                <w:rFonts w:hint="eastAsia" w:ascii="宋体" w:hAnsi="宋体"/>
                <w:szCs w:val="21"/>
                <w:highlight w:val="none"/>
                <w:lang w:val="en-US" w:eastAsia="zh-CN"/>
              </w:rPr>
              <w:t>不</w:t>
            </w:r>
            <w:r>
              <w:rPr>
                <w:rFonts w:hint="eastAsia" w:ascii="宋体" w:hAnsi="宋体"/>
                <w:szCs w:val="21"/>
                <w:highlight w:val="none"/>
              </w:rPr>
              <w:t>一致</w:t>
            </w:r>
          </w:p>
        </w:tc>
      </w:tr>
      <w:tr w14:paraId="689239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961" w:type="dxa"/>
            <w:vMerge w:val="continue"/>
            <w:vAlign w:val="center"/>
          </w:tcPr>
          <w:p w14:paraId="09FD17CC">
            <w:pPr>
              <w:spacing w:line="400" w:lineRule="exact"/>
              <w:jc w:val="center"/>
              <w:rPr>
                <w:rFonts w:ascii="宋体" w:hAnsi="宋体"/>
                <w:szCs w:val="21"/>
                <w:highlight w:val="none"/>
              </w:rPr>
            </w:pPr>
          </w:p>
        </w:tc>
        <w:tc>
          <w:tcPr>
            <w:tcW w:w="1515" w:type="dxa"/>
            <w:vMerge w:val="continue"/>
            <w:vAlign w:val="center"/>
          </w:tcPr>
          <w:p w14:paraId="764246EC">
            <w:pPr>
              <w:spacing w:line="400" w:lineRule="exact"/>
              <w:jc w:val="center"/>
              <w:rPr>
                <w:rFonts w:ascii="宋体" w:hAnsi="宋体"/>
                <w:szCs w:val="21"/>
                <w:highlight w:val="none"/>
              </w:rPr>
            </w:pPr>
          </w:p>
        </w:tc>
        <w:tc>
          <w:tcPr>
            <w:tcW w:w="6333" w:type="dxa"/>
            <w:vAlign w:val="center"/>
          </w:tcPr>
          <w:p w14:paraId="1FFEB50F">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18</w:t>
            </w:r>
            <w:r>
              <w:rPr>
                <w:rFonts w:hint="eastAsia" w:ascii="宋体" w:hAnsi="宋体"/>
                <w:szCs w:val="21"/>
                <w:highlight w:val="none"/>
              </w:rPr>
              <w:t>工期</w:t>
            </w:r>
            <w:r>
              <w:rPr>
                <w:rFonts w:hint="eastAsia" w:ascii="宋体" w:hAnsi="宋体"/>
                <w:szCs w:val="21"/>
                <w:highlight w:val="none"/>
                <w:lang w:val="en-US" w:eastAsia="zh-CN"/>
              </w:rPr>
              <w:t>不</w:t>
            </w:r>
            <w:r>
              <w:rPr>
                <w:rFonts w:hint="eastAsia" w:ascii="宋体" w:hAnsi="宋体"/>
                <w:szCs w:val="21"/>
                <w:highlight w:val="none"/>
              </w:rPr>
              <w:t>符合第二章“投标人须知”第1.3.2项规定。</w:t>
            </w:r>
          </w:p>
        </w:tc>
      </w:tr>
      <w:tr w14:paraId="483CB8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90FB9B4">
            <w:pPr>
              <w:spacing w:line="400" w:lineRule="exact"/>
              <w:jc w:val="center"/>
              <w:rPr>
                <w:rFonts w:ascii="宋体" w:hAnsi="宋体"/>
                <w:szCs w:val="21"/>
                <w:highlight w:val="none"/>
              </w:rPr>
            </w:pPr>
          </w:p>
        </w:tc>
        <w:tc>
          <w:tcPr>
            <w:tcW w:w="1515" w:type="dxa"/>
            <w:vMerge w:val="continue"/>
            <w:vAlign w:val="center"/>
          </w:tcPr>
          <w:p w14:paraId="0A145CD5">
            <w:pPr>
              <w:spacing w:line="400" w:lineRule="exact"/>
              <w:jc w:val="center"/>
              <w:rPr>
                <w:rFonts w:ascii="宋体" w:hAnsi="宋体"/>
                <w:szCs w:val="21"/>
                <w:highlight w:val="none"/>
              </w:rPr>
            </w:pPr>
          </w:p>
        </w:tc>
        <w:tc>
          <w:tcPr>
            <w:tcW w:w="6333" w:type="dxa"/>
            <w:vAlign w:val="center"/>
          </w:tcPr>
          <w:p w14:paraId="5AA3F794">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19</w:t>
            </w:r>
            <w:r>
              <w:rPr>
                <w:rFonts w:hint="eastAsia" w:ascii="宋体" w:hAnsi="宋体"/>
                <w:szCs w:val="21"/>
                <w:highlight w:val="none"/>
              </w:rPr>
              <w:t>工程质量</w:t>
            </w:r>
            <w:r>
              <w:rPr>
                <w:rFonts w:hint="eastAsia" w:ascii="宋体" w:hAnsi="宋体"/>
                <w:szCs w:val="21"/>
                <w:highlight w:val="none"/>
                <w:lang w:val="en-US" w:eastAsia="zh-CN"/>
              </w:rPr>
              <w:t>不</w:t>
            </w:r>
            <w:r>
              <w:rPr>
                <w:rFonts w:hint="eastAsia" w:ascii="宋体" w:hAnsi="宋体"/>
                <w:szCs w:val="21"/>
                <w:highlight w:val="none"/>
              </w:rPr>
              <w:t>符合第二章“投标人须知”第1.3.3项规定。</w:t>
            </w:r>
          </w:p>
        </w:tc>
      </w:tr>
      <w:tr w14:paraId="71845B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30C648B">
            <w:pPr>
              <w:spacing w:line="400" w:lineRule="exact"/>
              <w:jc w:val="center"/>
              <w:rPr>
                <w:rFonts w:ascii="宋体" w:hAnsi="宋体"/>
                <w:szCs w:val="21"/>
                <w:highlight w:val="none"/>
              </w:rPr>
            </w:pPr>
          </w:p>
        </w:tc>
        <w:tc>
          <w:tcPr>
            <w:tcW w:w="1515" w:type="dxa"/>
            <w:vMerge w:val="continue"/>
            <w:vAlign w:val="center"/>
          </w:tcPr>
          <w:p w14:paraId="3FF277BE">
            <w:pPr>
              <w:spacing w:line="400" w:lineRule="exact"/>
              <w:jc w:val="center"/>
              <w:rPr>
                <w:rFonts w:ascii="宋体" w:hAnsi="宋体"/>
                <w:szCs w:val="21"/>
                <w:highlight w:val="none"/>
              </w:rPr>
            </w:pPr>
          </w:p>
        </w:tc>
        <w:tc>
          <w:tcPr>
            <w:tcW w:w="6333" w:type="dxa"/>
            <w:vAlign w:val="center"/>
          </w:tcPr>
          <w:p w14:paraId="1C3FEC6A">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20</w:t>
            </w:r>
            <w:r>
              <w:rPr>
                <w:rFonts w:hint="eastAsia" w:ascii="宋体" w:hAnsi="宋体"/>
                <w:szCs w:val="21"/>
                <w:highlight w:val="none"/>
              </w:rPr>
              <w:t>投标有效期</w:t>
            </w:r>
            <w:r>
              <w:rPr>
                <w:rFonts w:hint="eastAsia" w:ascii="宋体" w:hAnsi="宋体"/>
                <w:szCs w:val="21"/>
                <w:highlight w:val="none"/>
                <w:lang w:val="en-US" w:eastAsia="zh-CN"/>
              </w:rPr>
              <w:t>不</w:t>
            </w:r>
            <w:r>
              <w:rPr>
                <w:rFonts w:hint="eastAsia" w:ascii="宋体" w:hAnsi="宋体"/>
                <w:szCs w:val="21"/>
                <w:highlight w:val="none"/>
              </w:rPr>
              <w:t>符合第二章“投标人须知”第3.3.1项规定。</w:t>
            </w:r>
          </w:p>
        </w:tc>
      </w:tr>
      <w:tr w14:paraId="165933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961" w:type="dxa"/>
            <w:vMerge w:val="continue"/>
            <w:vAlign w:val="center"/>
          </w:tcPr>
          <w:p w14:paraId="3578EE8D">
            <w:pPr>
              <w:spacing w:line="400" w:lineRule="exact"/>
              <w:jc w:val="center"/>
              <w:rPr>
                <w:rFonts w:ascii="宋体" w:hAnsi="宋体"/>
                <w:szCs w:val="21"/>
                <w:highlight w:val="none"/>
              </w:rPr>
            </w:pPr>
          </w:p>
        </w:tc>
        <w:tc>
          <w:tcPr>
            <w:tcW w:w="1515" w:type="dxa"/>
            <w:vMerge w:val="continue"/>
            <w:vAlign w:val="center"/>
          </w:tcPr>
          <w:p w14:paraId="68B46E4D">
            <w:pPr>
              <w:spacing w:line="400" w:lineRule="exact"/>
              <w:jc w:val="center"/>
              <w:rPr>
                <w:rFonts w:ascii="宋体" w:hAnsi="宋体"/>
                <w:szCs w:val="21"/>
                <w:highlight w:val="none"/>
              </w:rPr>
            </w:pPr>
          </w:p>
        </w:tc>
        <w:tc>
          <w:tcPr>
            <w:tcW w:w="6333" w:type="dxa"/>
            <w:vAlign w:val="center"/>
          </w:tcPr>
          <w:p w14:paraId="6EEB31DC">
            <w:pPr>
              <w:spacing w:line="40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A-</w:t>
            </w:r>
            <w:r>
              <w:rPr>
                <w:rFonts w:hint="eastAsia" w:ascii="宋体" w:hAnsi="宋体"/>
                <w:szCs w:val="21"/>
                <w:highlight w:val="none"/>
                <w:lang w:val="en-US" w:eastAsia="zh-CN"/>
              </w:rPr>
              <w:t>21</w:t>
            </w:r>
            <w:r>
              <w:rPr>
                <w:rFonts w:hint="eastAsia" w:ascii="宋体" w:hAnsi="宋体"/>
                <w:szCs w:val="21"/>
                <w:highlight w:val="none"/>
              </w:rPr>
              <w:t xml:space="preserve"> 投标函中的</w:t>
            </w:r>
            <w:r>
              <w:rPr>
                <w:rFonts w:hint="eastAsia" w:ascii="宋体" w:hAnsi="宋体"/>
                <w:szCs w:val="21"/>
                <w:highlight w:val="none"/>
                <w:lang w:val="en-US" w:eastAsia="zh-CN"/>
              </w:rPr>
              <w:t>投标</w:t>
            </w:r>
            <w:r>
              <w:rPr>
                <w:rFonts w:hint="eastAsia" w:ascii="宋体" w:hAnsi="宋体"/>
                <w:szCs w:val="21"/>
                <w:highlight w:val="none"/>
              </w:rPr>
              <w:t>总报价高于招标人公布的投标总报价最高限价。</w:t>
            </w:r>
            <w:r>
              <w:rPr>
                <w:rFonts w:hint="eastAsia" w:ascii="宋体" w:hAnsi="宋体" w:cs="宋体"/>
                <w:color w:val="auto"/>
                <w:kern w:val="0"/>
                <w:highlight w:val="none"/>
              </w:rPr>
              <w:t>投标函中的总报价与已标价工程量清单中的投标总报价</w:t>
            </w:r>
            <w:r>
              <w:rPr>
                <w:rFonts w:hint="eastAsia" w:ascii="宋体" w:hAnsi="宋体" w:cs="宋体"/>
                <w:color w:val="auto"/>
                <w:kern w:val="0"/>
                <w:highlight w:val="none"/>
                <w:lang w:val="en-US" w:eastAsia="zh-CN"/>
              </w:rPr>
              <w:t>不</w:t>
            </w:r>
            <w:r>
              <w:rPr>
                <w:rFonts w:hint="eastAsia" w:ascii="宋体" w:hAnsi="宋体" w:cs="宋体"/>
                <w:color w:val="auto"/>
                <w:kern w:val="0"/>
                <w:highlight w:val="none"/>
              </w:rPr>
              <w:t>一致</w:t>
            </w:r>
            <w:r>
              <w:rPr>
                <w:rFonts w:hint="eastAsia" w:ascii="宋体" w:hAnsi="宋体" w:cs="宋体"/>
                <w:color w:val="auto"/>
                <w:kern w:val="0"/>
                <w:highlight w:val="none"/>
                <w:lang w:eastAsia="zh-CN"/>
              </w:rPr>
              <w:t>。</w:t>
            </w:r>
          </w:p>
        </w:tc>
      </w:tr>
      <w:tr w14:paraId="207E23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351DA71">
            <w:pPr>
              <w:spacing w:line="400" w:lineRule="exact"/>
              <w:jc w:val="center"/>
              <w:rPr>
                <w:rFonts w:ascii="宋体" w:hAnsi="宋体"/>
                <w:szCs w:val="21"/>
                <w:highlight w:val="none"/>
              </w:rPr>
            </w:pPr>
          </w:p>
        </w:tc>
        <w:tc>
          <w:tcPr>
            <w:tcW w:w="1515" w:type="dxa"/>
            <w:vMerge w:val="continue"/>
            <w:vAlign w:val="center"/>
          </w:tcPr>
          <w:p w14:paraId="368F21CB">
            <w:pPr>
              <w:spacing w:line="400" w:lineRule="exact"/>
              <w:jc w:val="center"/>
              <w:rPr>
                <w:rFonts w:ascii="宋体" w:hAnsi="宋体"/>
                <w:szCs w:val="21"/>
                <w:highlight w:val="none"/>
              </w:rPr>
            </w:pPr>
          </w:p>
        </w:tc>
        <w:tc>
          <w:tcPr>
            <w:tcW w:w="6333" w:type="dxa"/>
            <w:vAlign w:val="center"/>
          </w:tcPr>
          <w:p w14:paraId="41FC0FD2">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22</w:t>
            </w:r>
            <w:r>
              <w:rPr>
                <w:rFonts w:hint="eastAsia" w:ascii="宋体" w:hAnsi="宋体"/>
                <w:szCs w:val="21"/>
                <w:highlight w:val="none"/>
              </w:rPr>
              <w:t>投标人投标总报价</w:t>
            </w:r>
            <w:r>
              <w:rPr>
                <w:rFonts w:hint="eastAsia" w:ascii="宋体" w:hAnsi="宋体" w:cs="宋体"/>
                <w:i w:val="0"/>
                <w:iCs w:val="0"/>
                <w:szCs w:val="21"/>
                <w:highlight w:val="none"/>
                <w:u w:val="none"/>
                <w:lang w:val="en-US" w:eastAsia="zh-CN"/>
              </w:rPr>
              <w:t>或者部分单项报价</w:t>
            </w:r>
            <w:r>
              <w:rPr>
                <w:rFonts w:hint="eastAsia" w:ascii="宋体" w:hAnsi="宋体"/>
                <w:szCs w:val="21"/>
                <w:highlight w:val="none"/>
              </w:rPr>
              <w:t>低于</w:t>
            </w:r>
            <w:r>
              <w:rPr>
                <w:rFonts w:hint="eastAsia" w:ascii="宋体" w:hAnsi="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zCs w:val="21"/>
                <w:highlight w:val="none"/>
              </w:rPr>
              <w:t>规定的对应的异常低价警戒线的，</w:t>
            </w:r>
            <w:r>
              <w:rPr>
                <w:rFonts w:hint="eastAsia" w:ascii="宋体" w:hAnsi="宋体" w:eastAsia="宋体" w:cs="宋体"/>
                <w:kern w:val="0"/>
                <w:szCs w:val="21"/>
                <w:highlight w:val="none"/>
                <w:lang w:val="en-US" w:eastAsia="zh-CN"/>
              </w:rPr>
              <w:t>未</w:t>
            </w:r>
            <w:r>
              <w:rPr>
                <w:rFonts w:hint="eastAsia" w:ascii="宋体" w:hAnsi="宋体" w:eastAsia="宋体" w:cs="宋体"/>
                <w:kern w:val="0"/>
                <w:szCs w:val="21"/>
                <w:highlight w:val="none"/>
              </w:rPr>
              <w:t>提供报价合理性说明，</w:t>
            </w:r>
            <w:r>
              <w:rPr>
                <w:rFonts w:hint="eastAsia" w:ascii="宋体" w:hAnsi="宋体" w:eastAsia="宋体" w:cs="宋体"/>
                <w:kern w:val="0"/>
                <w:szCs w:val="21"/>
                <w:highlight w:val="none"/>
                <w:lang w:val="en-US" w:eastAsia="zh-CN"/>
              </w:rPr>
              <w:t>或未</w:t>
            </w:r>
            <w:r>
              <w:rPr>
                <w:rFonts w:hint="eastAsia" w:ascii="宋体" w:hAnsi="宋体" w:eastAsia="宋体" w:cs="宋体"/>
                <w:kern w:val="0"/>
                <w:szCs w:val="21"/>
                <w:highlight w:val="none"/>
              </w:rPr>
              <w:t>提供必要的证明材料</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或提供的证明材料</w:t>
            </w:r>
            <w:r>
              <w:rPr>
                <w:rFonts w:hint="eastAsia" w:ascii="宋体" w:hAnsi="宋体" w:cs="宋体"/>
                <w:color w:val="auto"/>
                <w:kern w:val="0"/>
                <w:szCs w:val="21"/>
                <w:highlight w:val="none"/>
                <w:lang w:val="en-US" w:eastAsia="zh-CN"/>
              </w:rPr>
              <w:t>不能</w:t>
            </w:r>
            <w:r>
              <w:rPr>
                <w:rFonts w:hint="eastAsia" w:ascii="宋体" w:hAnsi="宋体" w:eastAsia="宋体" w:cs="宋体"/>
                <w:color w:val="auto"/>
                <w:kern w:val="0"/>
                <w:szCs w:val="21"/>
                <w:highlight w:val="none"/>
                <w:lang w:val="en-US" w:eastAsia="zh-CN"/>
              </w:rPr>
              <w:t>说明其报价的合理性</w:t>
            </w:r>
            <w:r>
              <w:rPr>
                <w:rFonts w:hint="eastAsia" w:ascii="宋体" w:hAnsi="宋体"/>
                <w:szCs w:val="21"/>
                <w:highlight w:val="none"/>
              </w:rPr>
              <w:t>。</w:t>
            </w:r>
          </w:p>
        </w:tc>
      </w:tr>
      <w:tr w14:paraId="4FFE78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DD4DFA0">
            <w:pPr>
              <w:spacing w:line="400" w:lineRule="exact"/>
              <w:jc w:val="center"/>
              <w:rPr>
                <w:rFonts w:ascii="宋体" w:hAnsi="宋体"/>
                <w:szCs w:val="21"/>
                <w:highlight w:val="none"/>
              </w:rPr>
            </w:pPr>
          </w:p>
        </w:tc>
        <w:tc>
          <w:tcPr>
            <w:tcW w:w="1515" w:type="dxa"/>
            <w:vMerge w:val="continue"/>
            <w:vAlign w:val="center"/>
          </w:tcPr>
          <w:p w14:paraId="5C3074DF">
            <w:pPr>
              <w:spacing w:line="400" w:lineRule="exact"/>
              <w:jc w:val="center"/>
              <w:rPr>
                <w:rFonts w:ascii="宋体" w:hAnsi="宋体"/>
                <w:szCs w:val="21"/>
                <w:highlight w:val="none"/>
              </w:rPr>
            </w:pPr>
          </w:p>
        </w:tc>
        <w:tc>
          <w:tcPr>
            <w:tcW w:w="6333" w:type="dxa"/>
            <w:vAlign w:val="center"/>
          </w:tcPr>
          <w:p w14:paraId="21A63BAE">
            <w:pPr>
              <w:spacing w:line="400" w:lineRule="exact"/>
              <w:ind w:firstLine="420" w:firstLineChars="200"/>
              <w:rPr>
                <w:rFonts w:hint="eastAsia" w:ascii="宋体" w:hAnsi="宋体" w:eastAsia="宋体"/>
                <w:szCs w:val="21"/>
                <w:highlight w:val="none"/>
                <w:lang w:val="en-US" w:eastAsia="zh-CN"/>
              </w:rPr>
            </w:pPr>
            <w:r>
              <w:rPr>
                <w:rFonts w:hint="eastAsia" w:ascii="宋体" w:hAnsi="宋体"/>
                <w:szCs w:val="21"/>
                <w:highlight w:val="none"/>
              </w:rPr>
              <w:t>A-</w:t>
            </w:r>
            <w:r>
              <w:rPr>
                <w:rFonts w:hint="eastAsia" w:ascii="宋体" w:hAnsi="宋体"/>
                <w:szCs w:val="21"/>
                <w:highlight w:val="none"/>
                <w:lang w:val="en-US" w:eastAsia="zh-CN"/>
              </w:rPr>
              <w:t>23</w:t>
            </w:r>
            <w:r>
              <w:rPr>
                <w:rFonts w:hint="eastAsia" w:ascii="宋体" w:hAnsi="宋体" w:eastAsia="宋体" w:cs="宋体"/>
                <w:color w:val="auto"/>
                <w:szCs w:val="21"/>
                <w:highlight w:val="none"/>
              </w:rPr>
              <w:t>投标人应按照行业主管部门最新要求，在工程总报价中，按建筑安装工程总造价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不含设备费）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%标准计提安全生产费用。</w:t>
            </w:r>
            <w:r>
              <w:rPr>
                <w:rFonts w:hint="eastAsia" w:ascii="宋体" w:hAnsi="宋体" w:eastAsia="宋体" w:cs="宋体"/>
                <w:color w:val="auto"/>
                <w:szCs w:val="21"/>
                <w:highlight w:val="none"/>
                <w:lang w:val="en-US" w:eastAsia="zh-CN"/>
              </w:rPr>
              <w:t>安全生产费具体金额由</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自行计算填报。</w:t>
            </w:r>
          </w:p>
        </w:tc>
      </w:tr>
      <w:tr w14:paraId="535C16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81B5814">
            <w:pPr>
              <w:spacing w:line="400" w:lineRule="exact"/>
              <w:jc w:val="center"/>
              <w:rPr>
                <w:rFonts w:ascii="宋体" w:hAnsi="宋体"/>
                <w:szCs w:val="21"/>
                <w:highlight w:val="none"/>
              </w:rPr>
            </w:pPr>
          </w:p>
        </w:tc>
        <w:tc>
          <w:tcPr>
            <w:tcW w:w="1515" w:type="dxa"/>
            <w:vMerge w:val="continue"/>
            <w:vAlign w:val="center"/>
          </w:tcPr>
          <w:p w14:paraId="22942C8B">
            <w:pPr>
              <w:spacing w:line="400" w:lineRule="exact"/>
              <w:jc w:val="center"/>
              <w:rPr>
                <w:rFonts w:ascii="宋体" w:hAnsi="宋体"/>
                <w:szCs w:val="21"/>
                <w:highlight w:val="none"/>
              </w:rPr>
            </w:pPr>
          </w:p>
        </w:tc>
        <w:tc>
          <w:tcPr>
            <w:tcW w:w="6333" w:type="dxa"/>
            <w:vAlign w:val="center"/>
          </w:tcPr>
          <w:p w14:paraId="6D1BBDD0">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24</w:t>
            </w:r>
            <w:r>
              <w:rPr>
                <w:rFonts w:hint="eastAsia" w:ascii="宋体" w:hAnsi="宋体"/>
                <w:szCs w:val="21"/>
                <w:highlight w:val="none"/>
              </w:rPr>
              <w:t>有</w:t>
            </w:r>
            <w:r>
              <w:rPr>
                <w:rFonts w:hint="eastAsia" w:ascii="宋体" w:hAnsi="宋体"/>
                <w:szCs w:val="21"/>
                <w:highlight w:val="none"/>
                <w:lang w:val="en-US" w:eastAsia="zh-CN"/>
              </w:rPr>
              <w:t>多</w:t>
            </w:r>
            <w:r>
              <w:rPr>
                <w:rFonts w:hint="eastAsia" w:ascii="宋体" w:hAnsi="宋体"/>
                <w:szCs w:val="21"/>
                <w:highlight w:val="none"/>
              </w:rPr>
              <w:t>个有效报价。在</w:t>
            </w:r>
            <w:r>
              <w:rPr>
                <w:rFonts w:hint="eastAsia" w:ascii="宋体" w:hAnsi="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zCs w:val="21"/>
                <w:highlight w:val="none"/>
              </w:rPr>
              <w:t>没有规定的情况下，提交选择性报价。</w:t>
            </w:r>
          </w:p>
        </w:tc>
      </w:tr>
      <w:tr w14:paraId="3740A7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3DA193F">
            <w:pPr>
              <w:spacing w:line="400" w:lineRule="exact"/>
              <w:jc w:val="center"/>
              <w:rPr>
                <w:rFonts w:ascii="宋体" w:hAnsi="宋体"/>
                <w:szCs w:val="21"/>
                <w:highlight w:val="none"/>
              </w:rPr>
            </w:pPr>
          </w:p>
        </w:tc>
        <w:tc>
          <w:tcPr>
            <w:tcW w:w="1515" w:type="dxa"/>
            <w:vMerge w:val="continue"/>
            <w:vAlign w:val="center"/>
          </w:tcPr>
          <w:p w14:paraId="6552899C">
            <w:pPr>
              <w:spacing w:line="400" w:lineRule="exact"/>
              <w:jc w:val="center"/>
              <w:rPr>
                <w:rFonts w:ascii="宋体" w:hAnsi="宋体"/>
                <w:szCs w:val="21"/>
                <w:highlight w:val="none"/>
              </w:rPr>
            </w:pPr>
          </w:p>
        </w:tc>
        <w:tc>
          <w:tcPr>
            <w:tcW w:w="6333" w:type="dxa"/>
            <w:vAlign w:val="center"/>
          </w:tcPr>
          <w:p w14:paraId="4D181117">
            <w:pPr>
              <w:spacing w:line="40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A-</w:t>
            </w:r>
            <w:r>
              <w:rPr>
                <w:rFonts w:hint="eastAsia" w:ascii="宋体" w:hAnsi="宋体"/>
                <w:szCs w:val="21"/>
                <w:highlight w:val="none"/>
                <w:lang w:val="en-US" w:eastAsia="zh-CN"/>
              </w:rPr>
              <w:t>25</w:t>
            </w:r>
            <w:r>
              <w:rPr>
                <w:rFonts w:hint="eastAsia" w:ascii="宋体" w:hAnsi="宋体" w:cs="宋体"/>
                <w:color w:val="auto"/>
                <w:kern w:val="0"/>
                <w:highlight w:val="none"/>
              </w:rPr>
              <w:t>投标人承诺</w:t>
            </w:r>
            <w:r>
              <w:rPr>
                <w:rFonts w:hint="eastAsia" w:ascii="宋体" w:hAnsi="宋体" w:cs="宋体"/>
                <w:color w:val="auto"/>
                <w:kern w:val="0"/>
                <w:highlight w:val="none"/>
                <w:lang w:val="en-US" w:eastAsia="zh-CN"/>
              </w:rPr>
              <w:t>的</w:t>
            </w:r>
            <w:r>
              <w:rPr>
                <w:rFonts w:hint="eastAsia" w:ascii="宋体" w:hAnsi="宋体" w:cs="宋体"/>
                <w:color w:val="auto"/>
                <w:kern w:val="0"/>
                <w:highlight w:val="none"/>
              </w:rPr>
              <w:t>已标价工程量清单</w:t>
            </w:r>
            <w:r>
              <w:rPr>
                <w:rFonts w:hint="eastAsia" w:ascii="宋体" w:hAnsi="宋体" w:cs="宋体"/>
                <w:color w:val="auto"/>
                <w:kern w:val="0"/>
                <w:highlight w:val="none"/>
                <w:lang w:val="en-US" w:eastAsia="zh-CN"/>
              </w:rPr>
              <w:t>不</w:t>
            </w:r>
            <w:r>
              <w:rPr>
                <w:rFonts w:hint="eastAsia" w:ascii="宋体" w:hAnsi="宋体" w:cs="宋体"/>
                <w:color w:val="auto"/>
                <w:kern w:val="0"/>
                <w:highlight w:val="none"/>
              </w:rPr>
              <w:t>满足第二章“投标人须知前附表”第3.2款第14条要求</w:t>
            </w:r>
            <w:r>
              <w:rPr>
                <w:rFonts w:hint="eastAsia" w:ascii="宋体" w:hAnsi="宋体" w:cs="宋体"/>
                <w:color w:val="auto"/>
                <w:kern w:val="0"/>
                <w:highlight w:val="none"/>
                <w:lang w:eastAsia="zh-CN"/>
              </w:rPr>
              <w:t>。</w:t>
            </w:r>
            <w:r>
              <w:rPr>
                <w:rFonts w:hint="eastAsia" w:ascii="宋体" w:hAnsi="宋体" w:cs="宋体"/>
                <w:color w:val="auto"/>
                <w:kern w:val="0"/>
                <w:highlight w:val="none"/>
              </w:rPr>
              <w:t>如有差错</w:t>
            </w:r>
            <w:r>
              <w:rPr>
                <w:rFonts w:hint="eastAsia" w:ascii="宋体" w:hAnsi="宋体" w:cs="宋体"/>
                <w:color w:val="auto"/>
                <w:kern w:val="0"/>
                <w:highlight w:val="none"/>
                <w:lang w:val="en-US" w:eastAsia="zh-CN"/>
              </w:rPr>
              <w:t>不</w:t>
            </w:r>
            <w:r>
              <w:rPr>
                <w:rFonts w:hint="eastAsia" w:ascii="宋体" w:hAnsi="宋体" w:cs="宋体"/>
                <w:color w:val="auto"/>
                <w:kern w:val="0"/>
                <w:highlight w:val="none"/>
              </w:rPr>
              <w:t>按第二章“投标人须知前附表”第3.2款第13条要求原则进行处理（或结算）</w:t>
            </w:r>
            <w:r>
              <w:rPr>
                <w:rFonts w:hint="eastAsia" w:ascii="宋体" w:hAnsi="宋体"/>
                <w:szCs w:val="21"/>
                <w:highlight w:val="none"/>
              </w:rPr>
              <w:t>。</w:t>
            </w:r>
          </w:p>
        </w:tc>
      </w:tr>
      <w:tr w14:paraId="2905C6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74EABBC">
            <w:pPr>
              <w:spacing w:line="400" w:lineRule="exact"/>
              <w:jc w:val="center"/>
              <w:rPr>
                <w:rFonts w:ascii="宋体" w:hAnsi="宋体"/>
                <w:szCs w:val="21"/>
                <w:highlight w:val="none"/>
              </w:rPr>
            </w:pPr>
          </w:p>
        </w:tc>
        <w:tc>
          <w:tcPr>
            <w:tcW w:w="1515" w:type="dxa"/>
            <w:vMerge w:val="continue"/>
            <w:vAlign w:val="center"/>
          </w:tcPr>
          <w:p w14:paraId="2ADBF7FE">
            <w:pPr>
              <w:spacing w:line="400" w:lineRule="exact"/>
              <w:jc w:val="center"/>
              <w:rPr>
                <w:rFonts w:ascii="宋体" w:hAnsi="宋体"/>
                <w:szCs w:val="21"/>
                <w:highlight w:val="none"/>
              </w:rPr>
            </w:pPr>
          </w:p>
        </w:tc>
        <w:tc>
          <w:tcPr>
            <w:tcW w:w="6333" w:type="dxa"/>
            <w:vAlign w:val="center"/>
          </w:tcPr>
          <w:p w14:paraId="14945FA4">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A-26</w:t>
            </w:r>
            <w:r>
              <w:rPr>
                <w:rFonts w:hint="default" w:ascii="宋体" w:hAnsi="宋体"/>
                <w:kern w:val="0"/>
                <w:szCs w:val="21"/>
                <w:highlight w:val="none"/>
                <w:u w:val="none"/>
              </w:rPr>
              <w:t>投标人的</w:t>
            </w:r>
            <w:r>
              <w:rPr>
                <w:rFonts w:hint="eastAsia" w:ascii="宋体" w:hAnsi="宋体"/>
                <w:kern w:val="0"/>
                <w:szCs w:val="21"/>
                <w:highlight w:val="none"/>
                <w:u w:val="none"/>
                <w:lang w:val="en-US" w:eastAsia="zh-CN"/>
              </w:rPr>
              <w:t>工程量清单单项报价为零报价（招标人提供的工程量清单单项最高限价中金额为零的除外）或者负数报价（如有）。</w:t>
            </w:r>
          </w:p>
        </w:tc>
      </w:tr>
      <w:tr w14:paraId="03C624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71C409D">
            <w:pPr>
              <w:spacing w:line="400" w:lineRule="exact"/>
              <w:jc w:val="center"/>
              <w:rPr>
                <w:rFonts w:ascii="宋体" w:hAnsi="宋体"/>
                <w:szCs w:val="21"/>
                <w:highlight w:val="none"/>
              </w:rPr>
            </w:pPr>
          </w:p>
        </w:tc>
        <w:tc>
          <w:tcPr>
            <w:tcW w:w="1515" w:type="dxa"/>
            <w:vMerge w:val="continue"/>
            <w:vAlign w:val="center"/>
          </w:tcPr>
          <w:p w14:paraId="4D608376">
            <w:pPr>
              <w:spacing w:line="400" w:lineRule="exact"/>
              <w:jc w:val="center"/>
              <w:rPr>
                <w:rFonts w:ascii="宋体" w:hAnsi="宋体"/>
                <w:szCs w:val="21"/>
                <w:highlight w:val="none"/>
              </w:rPr>
            </w:pPr>
          </w:p>
        </w:tc>
        <w:tc>
          <w:tcPr>
            <w:tcW w:w="6333" w:type="dxa"/>
            <w:vAlign w:val="center"/>
          </w:tcPr>
          <w:p w14:paraId="3FE224AF">
            <w:pPr>
              <w:spacing w:line="40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A-27</w:t>
            </w:r>
            <w:r>
              <w:rPr>
                <w:rFonts w:hint="eastAsia" w:ascii="宋体" w:hAnsi="宋体"/>
                <w:kern w:val="0"/>
                <w:szCs w:val="21"/>
                <w:highlight w:val="none"/>
                <w:u w:val="none"/>
                <w:lang w:val="en-US" w:eastAsia="zh-CN"/>
              </w:rPr>
              <w:t>投标人的工程量清单中有不平衡报价的，不符合第二章“投标人须知前附表”第3.2款关于不平衡报价的要求（如有）。</w:t>
            </w:r>
          </w:p>
        </w:tc>
      </w:tr>
      <w:tr w14:paraId="523F2F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76380E1">
            <w:pPr>
              <w:spacing w:line="400" w:lineRule="exact"/>
              <w:jc w:val="center"/>
              <w:rPr>
                <w:rFonts w:ascii="宋体" w:hAnsi="宋体"/>
                <w:szCs w:val="21"/>
                <w:highlight w:val="none"/>
              </w:rPr>
            </w:pPr>
          </w:p>
        </w:tc>
        <w:tc>
          <w:tcPr>
            <w:tcW w:w="1515" w:type="dxa"/>
            <w:vMerge w:val="continue"/>
            <w:vAlign w:val="center"/>
          </w:tcPr>
          <w:p w14:paraId="27827476">
            <w:pPr>
              <w:spacing w:line="400" w:lineRule="exact"/>
              <w:jc w:val="center"/>
              <w:rPr>
                <w:rFonts w:ascii="宋体" w:hAnsi="宋体"/>
                <w:szCs w:val="21"/>
                <w:highlight w:val="none"/>
              </w:rPr>
            </w:pPr>
          </w:p>
        </w:tc>
        <w:tc>
          <w:tcPr>
            <w:tcW w:w="6333" w:type="dxa"/>
            <w:vAlign w:val="center"/>
          </w:tcPr>
          <w:p w14:paraId="0C93BCCF">
            <w:pPr>
              <w:spacing w:line="400" w:lineRule="exact"/>
              <w:ind w:firstLine="420" w:firstLineChars="200"/>
              <w:rPr>
                <w:rFonts w:hint="eastAsia" w:ascii="宋体" w:hAnsi="宋体"/>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8</w:t>
            </w:r>
            <w:r>
              <w:rPr>
                <w:rFonts w:hint="eastAsia" w:ascii="宋体" w:hAnsi="宋体"/>
                <w:color w:val="auto"/>
                <w:szCs w:val="21"/>
                <w:highlight w:val="none"/>
              </w:rPr>
              <w:t>投标人的每项清单综合单价报价不得超过每项清单综合单价最高限价，否则由评标委员会作否决投标处理。</w:t>
            </w:r>
          </w:p>
        </w:tc>
      </w:tr>
      <w:tr w14:paraId="780E76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050BEEF">
            <w:pPr>
              <w:spacing w:line="400" w:lineRule="exact"/>
              <w:jc w:val="center"/>
              <w:rPr>
                <w:rFonts w:ascii="宋体" w:hAnsi="宋体"/>
                <w:szCs w:val="21"/>
                <w:highlight w:val="none"/>
              </w:rPr>
            </w:pPr>
          </w:p>
        </w:tc>
        <w:tc>
          <w:tcPr>
            <w:tcW w:w="1515" w:type="dxa"/>
            <w:vMerge w:val="continue"/>
            <w:vAlign w:val="center"/>
          </w:tcPr>
          <w:p w14:paraId="2B1B3546">
            <w:pPr>
              <w:spacing w:line="400" w:lineRule="exact"/>
              <w:jc w:val="center"/>
              <w:rPr>
                <w:rFonts w:ascii="宋体" w:hAnsi="宋体"/>
                <w:szCs w:val="21"/>
                <w:highlight w:val="none"/>
              </w:rPr>
            </w:pPr>
          </w:p>
        </w:tc>
        <w:tc>
          <w:tcPr>
            <w:tcW w:w="6333" w:type="dxa"/>
            <w:vAlign w:val="center"/>
          </w:tcPr>
          <w:p w14:paraId="2E31918E">
            <w:pPr>
              <w:spacing w:line="400" w:lineRule="exact"/>
              <w:ind w:firstLine="420" w:firstLineChars="200"/>
              <w:rPr>
                <w:rFonts w:hint="eastAsia"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29</w:t>
            </w:r>
            <w:r>
              <w:rPr>
                <w:rFonts w:hint="eastAsia" w:ascii="宋体" w:hAnsi="宋体"/>
                <w:szCs w:val="21"/>
                <w:highlight w:val="none"/>
              </w:rPr>
              <w:t>投标报价有</w:t>
            </w:r>
            <w:r>
              <w:rPr>
                <w:rFonts w:hint="eastAsia" w:ascii="宋体" w:hAnsi="宋体"/>
                <w:szCs w:val="21"/>
                <w:highlight w:val="none"/>
                <w:lang w:val="en-US" w:eastAsia="zh-CN"/>
              </w:rPr>
              <w:t>大小写不一致</w:t>
            </w:r>
            <w:r>
              <w:rPr>
                <w:rFonts w:hint="eastAsia" w:ascii="宋体" w:hAnsi="宋体"/>
                <w:szCs w:val="21"/>
                <w:highlight w:val="none"/>
              </w:rPr>
              <w:t>的，</w:t>
            </w:r>
            <w:r>
              <w:rPr>
                <w:rFonts w:hint="eastAsia" w:ascii="宋体" w:hAnsi="宋体"/>
                <w:szCs w:val="21"/>
                <w:highlight w:val="none"/>
                <w:lang w:val="en-US" w:eastAsia="zh-CN"/>
              </w:rPr>
              <w:t>未</w:t>
            </w:r>
            <w:r>
              <w:rPr>
                <w:rFonts w:hint="eastAsia" w:ascii="宋体" w:hAnsi="宋体"/>
                <w:szCs w:val="21"/>
                <w:highlight w:val="none"/>
              </w:rPr>
              <w:t>按照第三章“评标办法”第3.2.</w:t>
            </w:r>
            <w:r>
              <w:rPr>
                <w:rFonts w:hint="eastAsia" w:ascii="宋体" w:hAnsi="宋体"/>
                <w:szCs w:val="21"/>
                <w:highlight w:val="none"/>
                <w:lang w:val="en-US" w:eastAsia="zh-CN"/>
              </w:rPr>
              <w:t>2</w:t>
            </w:r>
            <w:r>
              <w:rPr>
                <w:rFonts w:hint="eastAsia" w:ascii="宋体" w:hAnsi="宋体"/>
                <w:szCs w:val="21"/>
                <w:highlight w:val="none"/>
              </w:rPr>
              <w:t>项规定执行。</w:t>
            </w:r>
          </w:p>
        </w:tc>
      </w:tr>
      <w:tr w14:paraId="516414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2D1BE284">
            <w:pPr>
              <w:spacing w:line="400" w:lineRule="exact"/>
              <w:jc w:val="center"/>
              <w:rPr>
                <w:rFonts w:ascii="宋体" w:hAnsi="宋体"/>
                <w:szCs w:val="21"/>
                <w:highlight w:val="none"/>
              </w:rPr>
            </w:pPr>
            <w:r>
              <w:rPr>
                <w:rFonts w:ascii="宋体" w:hAnsi="宋体"/>
                <w:szCs w:val="21"/>
                <w:highlight w:val="none"/>
              </w:rPr>
              <w:t>其他</w:t>
            </w:r>
          </w:p>
        </w:tc>
        <w:tc>
          <w:tcPr>
            <w:tcW w:w="1515" w:type="dxa"/>
            <w:vAlign w:val="center"/>
          </w:tcPr>
          <w:p w14:paraId="3049756E">
            <w:pPr>
              <w:spacing w:line="400" w:lineRule="exact"/>
              <w:jc w:val="center"/>
              <w:rPr>
                <w:rFonts w:ascii="宋体" w:hAnsi="宋体"/>
                <w:szCs w:val="21"/>
                <w:highlight w:val="none"/>
              </w:rPr>
            </w:pPr>
          </w:p>
        </w:tc>
        <w:tc>
          <w:tcPr>
            <w:tcW w:w="6333" w:type="dxa"/>
          </w:tcPr>
          <w:p w14:paraId="330D74BC">
            <w:pPr>
              <w:spacing w:line="400" w:lineRule="exact"/>
              <w:ind w:firstLine="420" w:firstLineChars="200"/>
              <w:rPr>
                <w:rFonts w:hint="eastAsia" w:ascii="宋体" w:hAnsi="宋体" w:eastAsia="宋体"/>
                <w:i/>
                <w:szCs w:val="21"/>
                <w:highlight w:val="none"/>
                <w:lang w:val="en-US" w:eastAsia="zh-CN"/>
              </w:rPr>
            </w:pPr>
            <w:r>
              <w:rPr>
                <w:rFonts w:hint="eastAsia" w:ascii="宋体" w:hAnsi="宋体"/>
                <w:i/>
                <w:szCs w:val="21"/>
                <w:highlight w:val="none"/>
                <w:lang w:val="en-US" w:eastAsia="zh-CN"/>
              </w:rPr>
              <w:t>无</w:t>
            </w:r>
          </w:p>
        </w:tc>
      </w:tr>
    </w:tbl>
    <w:p w14:paraId="151E0FC1">
      <w:pPr>
        <w:spacing w:line="200" w:lineRule="exact"/>
        <w:rPr>
          <w:rFonts w:ascii="宋体" w:hAnsi="宋体"/>
          <w:color w:val="auto"/>
          <w:kern w:val="0"/>
          <w:highlight w:val="none"/>
        </w:rPr>
      </w:pPr>
      <w:bookmarkStart w:id="805" w:name="招标文件03章02评标办法综合评估法"/>
      <w:bookmarkEnd w:id="805"/>
      <w:bookmarkStart w:id="806" w:name="招标文件03章02评标办法综合评估法00"/>
      <w:bookmarkEnd w:id="806"/>
      <w:bookmarkStart w:id="807" w:name="_Toc200513198"/>
      <w:bookmarkStart w:id="808" w:name="_Toc287607812"/>
      <w:bookmarkStart w:id="809" w:name="_Toc224103384"/>
      <w:bookmarkStart w:id="810" w:name="_Toc287620751"/>
      <w:bookmarkStart w:id="811" w:name="_Toc277082618"/>
      <w:bookmarkStart w:id="812" w:name="_Toc430530500"/>
    </w:p>
    <w:bookmarkEnd w:id="807"/>
    <w:bookmarkEnd w:id="808"/>
    <w:bookmarkEnd w:id="809"/>
    <w:bookmarkEnd w:id="810"/>
    <w:bookmarkEnd w:id="811"/>
    <w:bookmarkEnd w:id="812"/>
    <w:p w14:paraId="384697B9">
      <w:pPr>
        <w:rPr>
          <w:rFonts w:hint="eastAsia" w:ascii="宋体" w:hAnsi="宋体"/>
          <w:color w:val="auto"/>
          <w:kern w:val="0"/>
          <w:highlight w:val="none"/>
        </w:rPr>
      </w:pPr>
      <w:bookmarkStart w:id="813" w:name="招标文件03章02评标办法综合评估法02附件02"/>
      <w:bookmarkEnd w:id="813"/>
      <w:bookmarkStart w:id="814" w:name="招标文件04章合同条款及格式"/>
      <w:bookmarkEnd w:id="814"/>
      <w:bookmarkStart w:id="815" w:name="_Toc7343"/>
      <w:bookmarkStart w:id="816" w:name="_Toc509218785"/>
      <w:bookmarkStart w:id="817" w:name="_Toc59810376"/>
      <w:bookmarkStart w:id="818" w:name="_Toc430530509"/>
      <w:bookmarkStart w:id="819" w:name="_Toc6951"/>
      <w:bookmarkStart w:id="820" w:name="_Toc6396"/>
      <w:bookmarkStart w:id="821" w:name="_Toc20410"/>
      <w:bookmarkStart w:id="822" w:name="_Toc14650"/>
      <w:r>
        <w:rPr>
          <w:rFonts w:hint="eastAsia" w:ascii="宋体" w:hAnsi="宋体"/>
          <w:color w:val="auto"/>
          <w:kern w:val="0"/>
          <w:highlight w:val="none"/>
        </w:rPr>
        <w:br w:type="page"/>
      </w:r>
    </w:p>
    <w:p w14:paraId="175E3F8A">
      <w:pPr>
        <w:pStyle w:val="3"/>
        <w:spacing w:line="360" w:lineRule="auto"/>
        <w:jc w:val="center"/>
        <w:rPr>
          <w:rFonts w:ascii="宋体" w:hAnsi="宋体"/>
          <w:color w:val="auto"/>
          <w:kern w:val="0"/>
          <w:highlight w:val="none"/>
        </w:rPr>
      </w:pPr>
      <w:r>
        <w:rPr>
          <w:rFonts w:hint="eastAsia" w:ascii="宋体" w:hAnsi="宋体"/>
          <w:color w:val="auto"/>
          <w:kern w:val="0"/>
          <w:highlight w:val="none"/>
        </w:rPr>
        <w:t>第四章  合同条款及格式</w:t>
      </w:r>
      <w:bookmarkEnd w:id="815"/>
      <w:bookmarkEnd w:id="816"/>
      <w:bookmarkEnd w:id="817"/>
      <w:bookmarkEnd w:id="818"/>
      <w:bookmarkEnd w:id="819"/>
      <w:bookmarkEnd w:id="820"/>
      <w:bookmarkEnd w:id="821"/>
      <w:bookmarkEnd w:id="822"/>
    </w:p>
    <w:p w14:paraId="569A82C7">
      <w:pPr>
        <w:spacing w:line="500" w:lineRule="exact"/>
        <w:ind w:firstLine="420" w:firstLineChars="200"/>
        <w:rPr>
          <w:rFonts w:ascii="仿宋_GB2312" w:hAnsi="华文仿宋" w:eastAsia="仿宋_GB2312"/>
          <w:iCs/>
          <w:color w:val="auto"/>
          <w:sz w:val="28"/>
          <w:szCs w:val="28"/>
          <w:highlight w:val="none"/>
        </w:rPr>
      </w:pPr>
      <w:r>
        <w:rPr>
          <w:rFonts w:ascii="宋体" w:hAnsi="宋体"/>
          <w:color w:val="auto"/>
          <w:highlight w:val="none"/>
        </w:rPr>
        <w:br w:type="page"/>
      </w:r>
      <w:bookmarkStart w:id="823" w:name="_Toc351203632"/>
      <w:bookmarkStart w:id="824" w:name="_Toc296890982"/>
      <w:bookmarkStart w:id="825" w:name="_Toc351203480"/>
      <w:bookmarkStart w:id="826" w:name="_Toc296503025"/>
    </w:p>
    <w:p w14:paraId="6509FB67">
      <w:pPr>
        <w:keepNext/>
        <w:keepLines/>
        <w:snapToGrid w:val="0"/>
        <w:spacing w:line="360" w:lineRule="auto"/>
        <w:jc w:val="center"/>
        <w:outlineLvl w:val="1"/>
        <w:rPr>
          <w:rFonts w:ascii="华文中宋" w:hAnsi="华文中宋" w:eastAsia="华文中宋" w:cs="Microsoft Sans Serif"/>
          <w:bCs/>
          <w:color w:val="auto"/>
          <w:sz w:val="44"/>
          <w:szCs w:val="44"/>
          <w:highlight w:val="none"/>
          <w:lang w:val="zh-CN"/>
        </w:rPr>
      </w:pPr>
      <w:bookmarkStart w:id="827" w:name="_Toc303538973"/>
      <w:bookmarkEnd w:id="827"/>
      <w:bookmarkStart w:id="828" w:name="baidusnap7"/>
      <w:bookmarkEnd w:id="828"/>
      <w:bookmarkStart w:id="829" w:name="_Toc303538972"/>
      <w:bookmarkEnd w:id="829"/>
      <w:bookmarkStart w:id="830" w:name="_Toc303538974"/>
      <w:bookmarkEnd w:id="830"/>
      <w:bookmarkStart w:id="831" w:name="_Toc303538975"/>
      <w:bookmarkEnd w:id="831"/>
      <w:bookmarkStart w:id="832" w:name="_Toc303538976"/>
      <w:bookmarkEnd w:id="832"/>
      <w:bookmarkStart w:id="833" w:name="baidusnap3"/>
      <w:bookmarkEnd w:id="833"/>
      <w:bookmarkStart w:id="834" w:name="_Toc16166"/>
      <w:r>
        <w:rPr>
          <w:rFonts w:hint="eastAsia" w:ascii="华文中宋" w:hAnsi="华文中宋" w:eastAsia="华文中宋" w:cs="Microsoft Sans Serif"/>
          <w:b/>
          <w:bCs/>
          <w:color w:val="auto"/>
          <w:sz w:val="44"/>
          <w:szCs w:val="44"/>
          <w:highlight w:val="none"/>
          <w:lang w:val="zh-CN"/>
        </w:rPr>
        <w:t>第1节 通用合同条款</w:t>
      </w:r>
      <w:bookmarkEnd w:id="834"/>
    </w:p>
    <w:p w14:paraId="783144C9">
      <w:pPr>
        <w:snapToGrid w:val="0"/>
        <w:spacing w:line="600" w:lineRule="exact"/>
        <w:ind w:firstLine="482" w:firstLineChars="200"/>
        <w:rPr>
          <w:rFonts w:ascii="仿宋_GB2312" w:hAnsi="华文仿宋" w:eastAsia="仿宋_GB2312" w:cs="Microsoft Sans Serif"/>
          <w:b/>
          <w:color w:val="auto"/>
          <w:sz w:val="24"/>
          <w:highlight w:val="none"/>
        </w:rPr>
      </w:pPr>
    </w:p>
    <w:p w14:paraId="2041DEAE">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835" w:name="_Toc14206"/>
      <w:bookmarkStart w:id="836" w:name="_Toc8766"/>
      <w:r>
        <w:rPr>
          <w:rFonts w:hint="eastAsia" w:ascii="宋体" w:hAnsi="宋体" w:eastAsia="宋体" w:cs="宋体"/>
          <w:b/>
          <w:bCs w:val="0"/>
          <w:color w:val="auto"/>
          <w:sz w:val="28"/>
          <w:szCs w:val="28"/>
          <w:highlight w:val="none"/>
        </w:rPr>
        <w:t>1. 一般约定</w:t>
      </w:r>
      <w:bookmarkEnd w:id="835"/>
      <w:bookmarkEnd w:id="836"/>
    </w:p>
    <w:p w14:paraId="51FB4D9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837" w:name="_Toc12"/>
      <w:bookmarkStart w:id="838" w:name="_Toc12240"/>
      <w:r>
        <w:rPr>
          <w:rFonts w:hint="eastAsia" w:ascii="宋体" w:hAnsi="宋体" w:eastAsia="宋体" w:cs="宋体"/>
          <w:b/>
          <w:bCs w:val="0"/>
          <w:color w:val="auto"/>
          <w:sz w:val="24"/>
          <w:szCs w:val="24"/>
          <w:highlight w:val="none"/>
        </w:rPr>
        <w:t>1.1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词语定义</w:t>
      </w:r>
      <w:bookmarkEnd w:id="837"/>
      <w:bookmarkEnd w:id="838"/>
    </w:p>
    <w:p w14:paraId="1B1652D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14:paraId="75DF037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合同</w:t>
      </w:r>
    </w:p>
    <w:p w14:paraId="33E79710">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合同文件（或称合同）：指合同协议书、中标通知书、投标函及投标函附录、专用合同条款、通用合同条款、技术标准和要求、图纸、已标价工程量清单，以及其他合同文件。</w:t>
      </w:r>
    </w:p>
    <w:p w14:paraId="488D7B2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合同协议书：指第1.5款所指的合同协议书。</w:t>
      </w:r>
    </w:p>
    <w:p w14:paraId="26A08FCF">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中标通知书：指发包人通知承包人中标的函件。</w:t>
      </w:r>
    </w:p>
    <w:p w14:paraId="2B20A17F">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dstrike/>
          <w:color w:val="auto"/>
          <w:szCs w:val="21"/>
          <w:highlight w:val="none"/>
        </w:rPr>
      </w:pPr>
      <w:r>
        <w:rPr>
          <w:rFonts w:hint="eastAsia" w:ascii="宋体" w:hAnsi="宋体" w:eastAsia="宋体" w:cs="宋体"/>
          <w:color w:val="auto"/>
          <w:highlight w:val="none"/>
        </w:rPr>
        <w:t>1.1.1.4 投标函：指构成合同文件组成部分的由承包人填写并签署的投标函。</w:t>
      </w:r>
    </w:p>
    <w:p w14:paraId="399E1ED1">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1.1.1.5 投标函附录：指附在投标函后构成合同文件的投标函附录。</w:t>
      </w:r>
    </w:p>
    <w:p w14:paraId="2B0AC6F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1.1.1.6 技术标准和要求：指构成合同文件组成部分的名为技术标准和要求（合同技术条款）的文件，包括合同双方当事人约定对其所做的修改或补充。</w:t>
      </w:r>
    </w:p>
    <w:p w14:paraId="37192A7F">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1.1.1.7 图纸：指列入合同的招标图纸、投标图纸和发包人按合同约定向承包人提供的施工图纸和其他图纸</w:t>
      </w:r>
      <w:r>
        <w:rPr>
          <w:rFonts w:hint="eastAsia" w:ascii="宋体" w:hAnsi="宋体" w:cs="宋体"/>
          <w:color w:val="auto"/>
          <w:highlight w:val="none"/>
          <w:lang w:eastAsia="zh-CN"/>
        </w:rPr>
        <w:t>（</w:t>
      </w:r>
      <w:r>
        <w:rPr>
          <w:rFonts w:hint="eastAsia" w:ascii="宋体" w:hAnsi="宋体" w:eastAsia="宋体" w:cs="宋体"/>
          <w:color w:val="auto"/>
          <w:highlight w:val="none"/>
        </w:rPr>
        <w:t>包括配套说明和有关资料</w:t>
      </w:r>
      <w:r>
        <w:rPr>
          <w:rFonts w:hint="eastAsia" w:ascii="宋体" w:hAnsi="宋体" w:cs="宋体"/>
          <w:color w:val="auto"/>
          <w:highlight w:val="none"/>
          <w:lang w:eastAsia="zh-CN"/>
        </w:rPr>
        <w:t>）</w:t>
      </w:r>
      <w:r>
        <w:rPr>
          <w:rFonts w:hint="eastAsia" w:ascii="宋体" w:hAnsi="宋体" w:eastAsia="宋体" w:cs="宋体"/>
          <w:color w:val="auto"/>
          <w:highlight w:val="none"/>
        </w:rPr>
        <w:t>。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6961CFA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1.1.1.8 已标价工程量清单：指构成合同文件组成部分的由承包人按照规定的格式和要求填写并标明价格的工程量清单。</w:t>
      </w:r>
    </w:p>
    <w:p w14:paraId="4052CB41">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1.1.1.9 其他合同文件：指经合同双方当事人确认构成合同文件的其他文件。</w:t>
      </w:r>
    </w:p>
    <w:p w14:paraId="4C742C9C">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 合同当事人和人员。</w:t>
      </w:r>
    </w:p>
    <w:p w14:paraId="33912BE4">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合同当事人:指发包人和（或）承包人。</w:t>
      </w:r>
    </w:p>
    <w:p w14:paraId="774C69B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发包人：指专用合同条款中指明并与承包人在合同协议书中签字的当事人。</w:t>
      </w:r>
    </w:p>
    <w:p w14:paraId="171BFD88">
      <w:pPr>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firstLine="707" w:firstLineChars="337"/>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1.1.2.3 承包人：指专用条款中指明并与发包人在合同协议书中签字的当事人。</w:t>
      </w:r>
    </w:p>
    <w:p w14:paraId="7FC9A464">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1.1.2.4 承包人项目经理：指承包人派驻施工场地的全权负责人。</w:t>
      </w:r>
    </w:p>
    <w:p w14:paraId="76945048">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1.1.2.5 分包人：指专用条款中指明的，从承包人处分包合同中某一部分工程，并与其签订分包合同的分包人。</w:t>
      </w:r>
    </w:p>
    <w:p w14:paraId="3CD7E861">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1.1.2.6 监理人：指在专用合同条款中指明的，受发包人委托对合同履行实施管理的法人或其他组织。</w:t>
      </w:r>
    </w:p>
    <w:p w14:paraId="2509853A">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1.1.2.7 总监理工程师（总监）：指由监理人委派常驻施工场地对合同履行实施管理的全权负责人。</w:t>
      </w:r>
    </w:p>
    <w:p w14:paraId="68CECAE1">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1.1.3工程和设备</w:t>
      </w:r>
    </w:p>
    <w:p w14:paraId="0E266174">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1.1.3.1 工程：指永久工程和（或）临时工程。</w:t>
      </w:r>
    </w:p>
    <w:p w14:paraId="6A59D3A2">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1.1.3.2 永久工程：指按合同约定建造并移交给发包人的工程，包括工程设备。</w:t>
      </w:r>
    </w:p>
    <w:p w14:paraId="4A228908">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1.1.3.3 临时工程：指为完成合同约定的永久工程所修建的各类临时性工程，不包括施工设备。</w:t>
      </w:r>
    </w:p>
    <w:p w14:paraId="2F2BEC3C">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1.1.3.4 单位工程：指专用合同条款中指明特定范围的永久工程。</w:t>
      </w:r>
    </w:p>
    <w:p w14:paraId="73DA275A">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1.1.3.5 工程设备：指构成或计划构成永久工程一部分的机电设备、金属结构设备、仪器装置及其他类似的设备和装置。</w:t>
      </w:r>
    </w:p>
    <w:p w14:paraId="13AAFB6E">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1.1.3.6 施工设备：指为完成合同约定的各项工作所需的设备、器具和其他物品，不包括临时工程和材料。</w:t>
      </w:r>
    </w:p>
    <w:p w14:paraId="672B63B4">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1.1.3.7 临时设施：指为完成合同约定的各项工作所服务的临时性生产和生活设施。</w:t>
      </w:r>
    </w:p>
    <w:p w14:paraId="3E775520">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1.1.3.8 承包人设备：指承包人自带的施工设备。</w:t>
      </w:r>
    </w:p>
    <w:p w14:paraId="2EFF10F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1.1.3.9 施工场地（或称工地、现场）：指用于合同工程施工的场所，以及在合同中指定作为施工场地组成部分的其他场所，包括永久占地和临时占地。</w:t>
      </w:r>
    </w:p>
    <w:p w14:paraId="3587E602">
      <w:pPr>
        <w:pageBreakBefore w:val="0"/>
        <w:widowControl w:val="0"/>
        <w:kinsoku/>
        <w:wordWrap/>
        <w:overflowPunct/>
        <w:topLinePunct w:val="0"/>
        <w:bidi w:val="0"/>
        <w:snapToGrid/>
        <w:spacing w:beforeAutospacing="0" w:afterAutospacing="0" w:line="360" w:lineRule="auto"/>
        <w:ind w:left="0" w:leftChars="0" w:right="0" w:firstLine="707" w:firstLineChars="337"/>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1.1.3.10</w:t>
      </w:r>
      <w:r>
        <w:rPr>
          <w:rFonts w:hint="eastAsia" w:ascii="宋体" w:hAnsi="宋体" w:eastAsia="宋体" w:cs="宋体"/>
          <w:color w:val="auto"/>
          <w:szCs w:val="21"/>
          <w:highlight w:val="none"/>
        </w:rPr>
        <w:t xml:space="preserve"> 永久占地：指发包人为建设本合同工程永久征用的场地。</w:t>
      </w:r>
    </w:p>
    <w:p w14:paraId="44FC2C65">
      <w:pPr>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firstLine="707" w:firstLineChars="3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1.1.3.11</w:t>
      </w:r>
      <w:r>
        <w:rPr>
          <w:rFonts w:hint="eastAsia" w:ascii="宋体" w:hAnsi="宋体" w:eastAsia="宋体" w:cs="宋体"/>
          <w:color w:val="auto"/>
          <w:szCs w:val="21"/>
          <w:highlight w:val="none"/>
        </w:rPr>
        <w:t xml:space="preserve"> 临时占地：指发包人为建设本合同工程临时征用，并应在完工后须按合同要求退还的场地</w:t>
      </w:r>
    </w:p>
    <w:p w14:paraId="1DA3EA1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1.1.4</w:t>
      </w:r>
      <w:r>
        <w:rPr>
          <w:rFonts w:hint="eastAsia" w:ascii="宋体" w:hAnsi="宋体" w:eastAsia="宋体" w:cs="宋体"/>
          <w:color w:val="auto"/>
          <w:szCs w:val="21"/>
          <w:highlight w:val="none"/>
        </w:rPr>
        <w:t xml:space="preserve"> 日期： </w:t>
      </w:r>
    </w:p>
    <w:p w14:paraId="1490A1D0">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1.1.4.1 开工通知：指监理人按第11.1款通知承包人开工的函件。</w:t>
      </w:r>
    </w:p>
    <w:p w14:paraId="7FFBCA1C">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1.1.4.2 开工日期：指监理人按第11.1款发出的开工通知中写明的开工日期。</w:t>
      </w:r>
    </w:p>
    <w:p w14:paraId="64CF4D7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1.1.4.3工期：指承包人在投标函中承诺的完成合同工程所需的期限，包括按第11.3款、第11.4款和第11.6款约定所作的变更。</w:t>
      </w:r>
    </w:p>
    <w:p w14:paraId="05DF6FB8">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1.1.4.4 竣工日期：即合同工程完工日期，指第1.1.4.3目约定工期届满时的日期。实际完工日期以合同工程完工证书中写明的日期为准。</w:t>
      </w:r>
    </w:p>
    <w:p w14:paraId="1FB38010">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1.1.4.5 缺陷责任期：即工程质量保修期，指履行第19.2款约定的缺陷责任的期限，包括根据第19.3款约定所作的延长，具体期限由专用合同条款约定。</w:t>
      </w:r>
    </w:p>
    <w:p w14:paraId="190A80EA">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1.1.4.6 基准日期：指投标截止时间前28天的日期。</w:t>
      </w:r>
    </w:p>
    <w:p w14:paraId="575521AA">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1.1.4.7 天：除特别指明外，指日历天。合同中按天计算时间的，开始当天不计入，从次日开始计算。期限最后一天的截止时间为当天24:00。</w:t>
      </w:r>
    </w:p>
    <w:p w14:paraId="67897F0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合同价格和费用</w:t>
      </w:r>
    </w:p>
    <w:p w14:paraId="53238268">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1.1.5.1 签约合同价：指</w:t>
      </w:r>
      <w:r>
        <w:rPr>
          <w:rFonts w:hint="eastAsia" w:ascii="宋体" w:hAnsi="宋体" w:cs="宋体"/>
          <w:color w:val="auto"/>
          <w:highlight w:val="none"/>
          <w:lang w:eastAsia="zh-CN"/>
        </w:rPr>
        <w:t>签订合同</w:t>
      </w:r>
      <w:r>
        <w:rPr>
          <w:rFonts w:hint="eastAsia" w:ascii="宋体" w:hAnsi="宋体" w:eastAsia="宋体" w:cs="宋体"/>
          <w:color w:val="auto"/>
          <w:highlight w:val="none"/>
        </w:rPr>
        <w:t>时合同协议书中写明的，包括了暂列金额、暂估价的合同总金额。</w:t>
      </w:r>
    </w:p>
    <w:p w14:paraId="3DFC3996">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1.1.5.2 合同价格：指承包人按合同约定完成了包括缺陷责任期内的全部承包工作后，发包人应付给承包人的金额，包括在履行合同过程中按合同约定进行的变更和调整。</w:t>
      </w:r>
    </w:p>
    <w:p w14:paraId="7C32A991">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1.1.5.3 费用：指为履行合同所发生的或将要发生的所有合理开支，包括管理费和应分摊的其他费用，但不包括利润。</w:t>
      </w:r>
    </w:p>
    <w:p w14:paraId="22745D05">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14:paraId="7AF59EA9">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1.1.5.5暂估价：指发包人在工程量清单中给定的用于支付必然发生但暂时不能确定价格的材料、设备以及专业工程的金额。</w:t>
      </w:r>
    </w:p>
    <w:p w14:paraId="47C10B8D">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1.1.5.6 计日工：指对零星工作采取的一种计价方式，按合同中的计日工子目及其单价计价付款。</w:t>
      </w:r>
    </w:p>
    <w:p w14:paraId="31D49A54">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1.1.5.7 质量保证金（或称保留金）：指按第17.4.1项约定用于保证在缺陷责任期内履行缺陷修复义务的金额。</w:t>
      </w:r>
    </w:p>
    <w:p w14:paraId="36E2786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1.1.6 其他</w:t>
      </w:r>
    </w:p>
    <w:p w14:paraId="7F79AFF4">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1.1.6.1 书面形式：指合同文件、信函、电报、传真等可以有形地表现所载内容的形式。</w:t>
      </w:r>
    </w:p>
    <w:p w14:paraId="0BB8A77E">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39" w:name="_Toc8700"/>
      <w:bookmarkStart w:id="840" w:name="_Toc24655"/>
      <w:r>
        <w:rPr>
          <w:rFonts w:hint="eastAsia" w:ascii="宋体" w:hAnsi="宋体" w:eastAsia="宋体" w:cs="宋体"/>
          <w:b/>
          <w:bCs/>
          <w:color w:val="auto"/>
          <w:sz w:val="24"/>
          <w:szCs w:val="20"/>
          <w:highlight w:val="none"/>
        </w:rPr>
        <w:t>1.2 语言文字</w:t>
      </w:r>
      <w:bookmarkEnd w:id="839"/>
      <w:bookmarkEnd w:id="840"/>
    </w:p>
    <w:p w14:paraId="4093C03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14:paraId="22A40B69">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41" w:name="_Toc26037"/>
      <w:bookmarkStart w:id="842" w:name="_Toc20285"/>
      <w:r>
        <w:rPr>
          <w:rFonts w:hint="eastAsia" w:ascii="宋体" w:hAnsi="宋体" w:eastAsia="宋体" w:cs="宋体"/>
          <w:b/>
          <w:bCs/>
          <w:color w:val="auto"/>
          <w:sz w:val="24"/>
          <w:szCs w:val="20"/>
          <w:highlight w:val="none"/>
        </w:rPr>
        <w:t>1.3 法律</w:t>
      </w:r>
      <w:bookmarkEnd w:id="841"/>
      <w:bookmarkEnd w:id="842"/>
    </w:p>
    <w:p w14:paraId="235CF5E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14:paraId="4AA0FD83">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43" w:name="_Toc26980"/>
      <w:bookmarkStart w:id="844" w:name="_Toc15514"/>
      <w:r>
        <w:rPr>
          <w:rFonts w:hint="eastAsia" w:ascii="宋体" w:hAnsi="宋体" w:eastAsia="宋体" w:cs="宋体"/>
          <w:b/>
          <w:bCs/>
          <w:color w:val="auto"/>
          <w:sz w:val="24"/>
          <w:szCs w:val="20"/>
          <w:highlight w:val="none"/>
        </w:rPr>
        <w:t>1.4 合同文件的优先顺序</w:t>
      </w:r>
      <w:bookmarkEnd w:id="843"/>
      <w:bookmarkEnd w:id="844"/>
    </w:p>
    <w:p w14:paraId="389E5CA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14:paraId="4C038848">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534664EB">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6542370C">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（3）投标函及投标函附录；</w:t>
      </w:r>
    </w:p>
    <w:p w14:paraId="0DCEBCF6">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（4）专用合同条款；</w:t>
      </w:r>
    </w:p>
    <w:p w14:paraId="07C21985">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（5）通用合同条款；</w:t>
      </w:r>
    </w:p>
    <w:p w14:paraId="02CC0115">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（6）技术标准和要求；</w:t>
      </w:r>
    </w:p>
    <w:p w14:paraId="7D665DDA">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（7）图纸；</w:t>
      </w:r>
    </w:p>
    <w:p w14:paraId="6FA2E318">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（8）已标价工程量清单；</w:t>
      </w:r>
    </w:p>
    <w:p w14:paraId="43052CF0">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（9）其他合同文件。</w:t>
      </w:r>
    </w:p>
    <w:p w14:paraId="2D063841">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45" w:name="_Toc21460"/>
      <w:bookmarkStart w:id="846" w:name="_Toc20318"/>
      <w:r>
        <w:rPr>
          <w:rFonts w:hint="eastAsia" w:ascii="宋体" w:hAnsi="宋体" w:eastAsia="宋体" w:cs="宋体"/>
          <w:b/>
          <w:bCs/>
          <w:color w:val="auto"/>
          <w:sz w:val="24"/>
          <w:szCs w:val="20"/>
          <w:highlight w:val="none"/>
        </w:rPr>
        <w:t>1.5 合同协议书</w:t>
      </w:r>
      <w:bookmarkEnd w:id="845"/>
      <w:bookmarkEnd w:id="846"/>
    </w:p>
    <w:p w14:paraId="262DD2F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3D9A4B0C">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47" w:name="_Toc29733"/>
      <w:bookmarkStart w:id="848" w:name="_Toc1104"/>
      <w:r>
        <w:rPr>
          <w:rFonts w:hint="eastAsia" w:ascii="宋体" w:hAnsi="宋体" w:eastAsia="宋体" w:cs="宋体"/>
          <w:color w:val="auto"/>
          <w:sz w:val="24"/>
          <w:szCs w:val="24"/>
          <w:highlight w:val="none"/>
        </w:rPr>
        <w:t>1.6</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图纸和承包人文件</w:t>
      </w:r>
      <w:bookmarkEnd w:id="847"/>
      <w:bookmarkEnd w:id="848"/>
    </w:p>
    <w:p w14:paraId="5851384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1.6.1图纸的提供</w:t>
      </w:r>
    </w:p>
    <w:p w14:paraId="6F6F9BB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发包人应按技术标准和要求（合同技术条款）约定的期限和数量将施工图纸以及其它图纸（包括配套说明和有关资料）提供给承包人。由于发包人未按时提供图纸造成工期延误的，按第11.3款的约定办理。</w:t>
      </w:r>
    </w:p>
    <w:p w14:paraId="13164C8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承包人提供的文件</w:t>
      </w:r>
    </w:p>
    <w:p w14:paraId="6DDE71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承包人提供的文件应按技术标准和要求（合同技术条款）约定的期限和数量提供给监理人。监理人应按技术标准和要求（合同技术条款）约定的期限批复承包人。</w:t>
      </w:r>
    </w:p>
    <w:p w14:paraId="28300BA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1.6.3 图纸的修改</w:t>
      </w:r>
    </w:p>
    <w:p w14:paraId="1BB1CDF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AF59A0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图纸的错误</w:t>
      </w:r>
    </w:p>
    <w:p w14:paraId="15A1975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14:paraId="5B68004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图纸和承包人文件的保管</w:t>
      </w:r>
    </w:p>
    <w:p w14:paraId="570DD3E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监理人和承包人均应在施工场地各保存一套完整的包含第1.6.1项、第1.6.2项、第1.6.3项约定内容的图纸和承包人文件。</w:t>
      </w:r>
    </w:p>
    <w:p w14:paraId="468BB29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49" w:name="_Toc17166"/>
      <w:bookmarkStart w:id="850" w:name="_Toc5475"/>
      <w:r>
        <w:rPr>
          <w:rFonts w:hint="eastAsia" w:ascii="宋体" w:hAnsi="宋体" w:eastAsia="宋体" w:cs="宋体"/>
          <w:color w:val="auto"/>
          <w:sz w:val="24"/>
          <w:szCs w:val="24"/>
          <w:highlight w:val="none"/>
        </w:rPr>
        <w:t>1.7</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联络</w:t>
      </w:r>
      <w:bookmarkEnd w:id="849"/>
      <w:bookmarkEnd w:id="850"/>
    </w:p>
    <w:p w14:paraId="692FF5D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 与合同有关的通知、批准、证明、证书、指示、要求、请求、同意、意见、确定和决定等，均应采用书面形式。</w:t>
      </w:r>
    </w:p>
    <w:p w14:paraId="26CDE2B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1.7.2</w:t>
      </w:r>
      <w:r>
        <w:rPr>
          <w:rFonts w:hint="eastAsia" w:ascii="宋体" w:hAnsi="宋体" w:eastAsia="宋体" w:cs="宋体"/>
          <w:color w:val="auto"/>
          <w:szCs w:val="21"/>
          <w:highlight w:val="none"/>
        </w:rPr>
        <w:t xml:space="preserve"> 第1.7.1项中的</w:t>
      </w:r>
      <w:r>
        <w:rPr>
          <w:rFonts w:hint="eastAsia" w:ascii="宋体" w:hAnsi="宋体" w:eastAsia="宋体" w:cs="宋体"/>
          <w:color w:val="auto"/>
          <w:highlight w:val="none"/>
        </w:rPr>
        <w:t>通知、批准、证明、证书、指示、要求、请求、同意、意见、确定和决定等</w:t>
      </w:r>
      <w:r>
        <w:rPr>
          <w:rFonts w:hint="eastAsia" w:ascii="宋体" w:hAnsi="宋体" w:eastAsia="宋体" w:cs="宋体"/>
          <w:color w:val="auto"/>
          <w:szCs w:val="21"/>
          <w:highlight w:val="none"/>
        </w:rPr>
        <w:t>来往函件，均应在合同约定的期限内送达指定地点和接收人，并办理签收手续。来往函件的送期限在技术标准和要求（合同技术条款）中约定，送达地点在专用合同条款中约定。</w:t>
      </w:r>
    </w:p>
    <w:p w14:paraId="26804EA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1.7.3 来往函件均应按合同约定的期限及时发出和答复，不得无故扣压和拖延，亦不得拒</w:t>
      </w:r>
      <w:r>
        <w:rPr>
          <w:rFonts w:hint="eastAsia" w:ascii="宋体" w:hAnsi="宋体" w:eastAsia="宋体" w:cs="宋体"/>
          <w:color w:val="auto"/>
          <w:szCs w:val="21"/>
          <w:highlight w:val="none"/>
        </w:rPr>
        <w:t>收。否则，由此造成的后果由责任方负责。</w:t>
      </w:r>
    </w:p>
    <w:p w14:paraId="7ABD3D2E">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51" w:name="_Toc20099"/>
      <w:bookmarkStart w:id="852" w:name="_Toc30600"/>
      <w:r>
        <w:rPr>
          <w:rFonts w:hint="eastAsia" w:ascii="宋体" w:hAnsi="宋体" w:eastAsia="宋体" w:cs="宋体"/>
          <w:b/>
          <w:bCs/>
          <w:color w:val="auto"/>
          <w:sz w:val="24"/>
          <w:szCs w:val="20"/>
          <w:highlight w:val="none"/>
        </w:rPr>
        <w:t>1.8 转让</w:t>
      </w:r>
      <w:bookmarkEnd w:id="851"/>
      <w:bookmarkEnd w:id="852"/>
    </w:p>
    <w:p w14:paraId="039CC5A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14:paraId="22D91DFE">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53" w:name="_Toc11179"/>
      <w:bookmarkStart w:id="854" w:name="_Toc8776"/>
      <w:r>
        <w:rPr>
          <w:rFonts w:hint="eastAsia" w:ascii="宋体" w:hAnsi="宋体" w:eastAsia="宋体" w:cs="宋体"/>
          <w:b/>
          <w:bCs/>
          <w:color w:val="auto"/>
          <w:sz w:val="24"/>
          <w:szCs w:val="20"/>
          <w:highlight w:val="none"/>
        </w:rPr>
        <w:t>1.9 严禁贿赂</w:t>
      </w:r>
      <w:bookmarkEnd w:id="853"/>
      <w:bookmarkEnd w:id="854"/>
    </w:p>
    <w:p w14:paraId="4312153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14:paraId="62DDBD47">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55" w:name="_Toc28544"/>
      <w:bookmarkStart w:id="856" w:name="_Toc26750"/>
      <w:r>
        <w:rPr>
          <w:rFonts w:hint="eastAsia" w:ascii="宋体" w:hAnsi="宋体" w:eastAsia="宋体" w:cs="宋体"/>
          <w:b/>
          <w:bCs/>
          <w:color w:val="auto"/>
          <w:sz w:val="24"/>
          <w:szCs w:val="20"/>
          <w:highlight w:val="none"/>
        </w:rPr>
        <w:t>1.10 化石、文物</w:t>
      </w:r>
      <w:bookmarkEnd w:id="855"/>
      <w:bookmarkEnd w:id="856"/>
    </w:p>
    <w:p w14:paraId="79A2364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48AC71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承包人发现文物后不及时报告或隐瞒不报，致使文物丢失或损坏的，应赔偿损失，并承担相应的法律责任。</w:t>
      </w:r>
    </w:p>
    <w:p w14:paraId="2119F7F2">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57" w:name="_Toc17524"/>
      <w:bookmarkStart w:id="858" w:name="_Toc21624"/>
      <w:r>
        <w:rPr>
          <w:rFonts w:hint="eastAsia" w:ascii="宋体" w:hAnsi="宋体" w:eastAsia="宋体" w:cs="宋体"/>
          <w:color w:val="auto"/>
          <w:sz w:val="24"/>
          <w:szCs w:val="24"/>
          <w:highlight w:val="none"/>
        </w:rPr>
        <w:t>1.11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专利技术</w:t>
      </w:r>
      <w:bookmarkEnd w:id="857"/>
      <w:bookmarkEnd w:id="858"/>
    </w:p>
    <w:p w14:paraId="1F74205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2EBA310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承包人在投标文件中采用专利技术的，专利技术的使用费包含在投标报价内。</w:t>
      </w:r>
    </w:p>
    <w:p w14:paraId="0C3915E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承包人的技术秘密和声明需要保密的资料和信息，发包人和监理人不得为合同以外的目的泄露给他人。</w:t>
      </w:r>
    </w:p>
    <w:p w14:paraId="34F1BCE5">
      <w:pPr>
        <w:pStyle w:val="26"/>
        <w:pageBreakBefore w:val="0"/>
        <w:widowControl w:val="0"/>
        <w:kinsoku/>
        <w:wordWrap/>
        <w:overflowPunct/>
        <w:topLinePunct w:val="0"/>
        <w:bidi w:val="0"/>
        <w:snapToGrid/>
        <w:spacing w:beforeAutospacing="0" w:after="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1.11.4 合同实施过程中，发包人要求承包人采用专利技术的，发包人应办理相应的使用手续，承包人应按发包人约定的条件使用，并承担使用专利技术的相关试验工作。所需的费用由发包人承担。</w:t>
      </w:r>
    </w:p>
    <w:p w14:paraId="1CA25B32">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59" w:name="_Toc2859"/>
      <w:bookmarkStart w:id="860" w:name="_Toc24747"/>
      <w:r>
        <w:rPr>
          <w:rFonts w:hint="eastAsia" w:ascii="宋体" w:hAnsi="宋体" w:eastAsia="宋体" w:cs="宋体"/>
          <w:b/>
          <w:bCs/>
          <w:color w:val="auto"/>
          <w:sz w:val="24"/>
          <w:szCs w:val="20"/>
          <w:highlight w:val="none"/>
        </w:rPr>
        <w:t>1.12 图纸和文件的保密</w:t>
      </w:r>
      <w:bookmarkEnd w:id="859"/>
      <w:bookmarkEnd w:id="860"/>
    </w:p>
    <w:p w14:paraId="20762F1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发包人提供的图纸和文件，未经发包人同意，承包人不得为合同以外的目的泄露给他人或公开发表与引用。</w:t>
      </w:r>
    </w:p>
    <w:p w14:paraId="7E1452A8">
      <w:pPr>
        <w:pStyle w:val="26"/>
        <w:pageBreakBefore w:val="0"/>
        <w:widowControl w:val="0"/>
        <w:kinsoku/>
        <w:wordWrap/>
        <w:overflowPunct/>
        <w:topLinePunct w:val="0"/>
        <w:bidi w:val="0"/>
        <w:snapToGrid/>
        <w:spacing w:beforeAutospacing="0" w:after="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1.12.2 承包人提供的文件，未经承包人同意，发包人和监理人不得为合同以外的目的泄露给他人或公开发表与引用。</w:t>
      </w:r>
    </w:p>
    <w:p w14:paraId="47769169">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861" w:name="_Toc5091"/>
      <w:bookmarkStart w:id="862" w:name="_Toc2706"/>
      <w:r>
        <w:rPr>
          <w:rFonts w:hint="eastAsia" w:ascii="宋体" w:hAnsi="宋体" w:eastAsia="宋体" w:cs="宋体"/>
          <w:b/>
          <w:bCs w:val="0"/>
          <w:color w:val="auto"/>
          <w:sz w:val="28"/>
          <w:szCs w:val="28"/>
          <w:highlight w:val="none"/>
        </w:rPr>
        <w:t>2. 发包人义务</w:t>
      </w:r>
      <w:bookmarkEnd w:id="861"/>
      <w:bookmarkEnd w:id="862"/>
    </w:p>
    <w:p w14:paraId="165F74A7">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863" w:name="_Toc16613"/>
      <w:bookmarkStart w:id="864" w:name="_Toc23861"/>
      <w:r>
        <w:rPr>
          <w:rFonts w:hint="eastAsia" w:ascii="宋体" w:hAnsi="宋体" w:eastAsia="宋体" w:cs="宋体"/>
          <w:b/>
          <w:bCs w:val="0"/>
          <w:color w:val="auto"/>
          <w:sz w:val="24"/>
          <w:szCs w:val="20"/>
          <w:highlight w:val="none"/>
        </w:rPr>
        <w:t>2.1 遵守法律</w:t>
      </w:r>
      <w:bookmarkEnd w:id="863"/>
      <w:bookmarkEnd w:id="864"/>
    </w:p>
    <w:p w14:paraId="39038CA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14:paraId="335331BF">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65" w:name="_Toc11432"/>
      <w:bookmarkStart w:id="866" w:name="_Toc22782"/>
      <w:r>
        <w:rPr>
          <w:rFonts w:hint="eastAsia" w:ascii="宋体" w:hAnsi="宋体" w:eastAsia="宋体" w:cs="宋体"/>
          <w:b/>
          <w:bCs/>
          <w:color w:val="auto"/>
          <w:sz w:val="24"/>
          <w:szCs w:val="20"/>
          <w:highlight w:val="none"/>
        </w:rPr>
        <w:t>2.2 发出开工通知</w:t>
      </w:r>
      <w:bookmarkEnd w:id="865"/>
      <w:bookmarkEnd w:id="866"/>
    </w:p>
    <w:p w14:paraId="5961B06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发包人应委托监理人按第11.1款的约定向承包人发出开工通知。</w:t>
      </w:r>
    </w:p>
    <w:p w14:paraId="51DD2F74">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67" w:name="_Toc24282"/>
      <w:bookmarkStart w:id="868" w:name="_Toc6101"/>
      <w:r>
        <w:rPr>
          <w:rFonts w:hint="eastAsia" w:ascii="宋体" w:hAnsi="宋体" w:eastAsia="宋体" w:cs="宋体"/>
          <w:color w:val="auto"/>
          <w:sz w:val="24"/>
          <w:szCs w:val="24"/>
          <w:highlight w:val="none"/>
        </w:rPr>
        <w:t>2.3</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提供施工场地</w:t>
      </w:r>
      <w:bookmarkEnd w:id="867"/>
      <w:bookmarkEnd w:id="868"/>
    </w:p>
    <w:p w14:paraId="6ABFAE2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2.3.1发包人应在合同双方</w:t>
      </w:r>
      <w:r>
        <w:rPr>
          <w:rFonts w:hint="eastAsia" w:ascii="宋体" w:hAnsi="宋体" w:cs="宋体"/>
          <w:color w:val="auto"/>
          <w:highlight w:val="none"/>
          <w:lang w:eastAsia="zh-CN"/>
        </w:rPr>
        <w:t>签订合同</w:t>
      </w:r>
      <w:r>
        <w:rPr>
          <w:rFonts w:hint="eastAsia" w:ascii="宋体" w:hAnsi="宋体" w:eastAsia="宋体" w:cs="宋体"/>
          <w:color w:val="auto"/>
          <w:highlight w:val="none"/>
        </w:rPr>
        <w:t>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 。</w:t>
      </w:r>
    </w:p>
    <w:p w14:paraId="6044613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2.3.2发包人提供的施工用地范围在专用合同条款中约定。</w:t>
      </w:r>
    </w:p>
    <w:p w14:paraId="18C76D2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2.3.3除专用合同条款另有约定外，发包人应按技术标准和要求（合同技术条款）的约定，向承包人提供施工场地内的工程地质图纸和报告，以及地下障碍物图纸等施工场地有关资料，并保证资料的真实、准确、完整。</w:t>
      </w:r>
    </w:p>
    <w:p w14:paraId="398AAB1D">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69" w:name="_Toc22636"/>
      <w:bookmarkStart w:id="870" w:name="_Toc17094"/>
      <w:r>
        <w:rPr>
          <w:rFonts w:hint="eastAsia" w:ascii="宋体" w:hAnsi="宋体" w:eastAsia="宋体" w:cs="宋体"/>
          <w:b/>
          <w:bCs/>
          <w:color w:val="auto"/>
          <w:sz w:val="24"/>
          <w:szCs w:val="20"/>
          <w:highlight w:val="none"/>
        </w:rPr>
        <w:t>2.4 协助承包人办理证件和批件</w:t>
      </w:r>
      <w:bookmarkEnd w:id="869"/>
      <w:bookmarkEnd w:id="870"/>
    </w:p>
    <w:p w14:paraId="60EB83C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14:paraId="0A781825">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71" w:name="_Toc9282"/>
      <w:bookmarkStart w:id="872" w:name="_Toc22186"/>
      <w:r>
        <w:rPr>
          <w:rFonts w:hint="eastAsia" w:ascii="宋体" w:hAnsi="宋体" w:eastAsia="宋体" w:cs="宋体"/>
          <w:b/>
          <w:bCs/>
          <w:color w:val="auto"/>
          <w:sz w:val="24"/>
          <w:szCs w:val="20"/>
          <w:highlight w:val="none"/>
        </w:rPr>
        <w:t>2.5 组织设计交底</w:t>
      </w:r>
      <w:bookmarkEnd w:id="871"/>
      <w:bookmarkEnd w:id="872"/>
    </w:p>
    <w:p w14:paraId="60C7D04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14:paraId="7B362004">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73" w:name="_Toc18719"/>
      <w:bookmarkStart w:id="874" w:name="_Toc3698"/>
      <w:r>
        <w:rPr>
          <w:rFonts w:hint="eastAsia" w:ascii="宋体" w:hAnsi="宋体" w:eastAsia="宋体" w:cs="宋体"/>
          <w:b/>
          <w:bCs/>
          <w:color w:val="auto"/>
          <w:sz w:val="24"/>
          <w:szCs w:val="20"/>
          <w:highlight w:val="none"/>
        </w:rPr>
        <w:t>2.6 支付合同价款</w:t>
      </w:r>
      <w:bookmarkEnd w:id="873"/>
      <w:bookmarkEnd w:id="874"/>
    </w:p>
    <w:p w14:paraId="72E0BBE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14:paraId="7F5628DF">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75" w:name="_Toc28120"/>
      <w:bookmarkStart w:id="876" w:name="_Toc13683"/>
      <w:r>
        <w:rPr>
          <w:rFonts w:hint="eastAsia" w:ascii="宋体" w:hAnsi="宋体" w:eastAsia="宋体" w:cs="宋体"/>
          <w:b/>
          <w:bCs/>
          <w:color w:val="auto"/>
          <w:sz w:val="24"/>
          <w:szCs w:val="20"/>
          <w:highlight w:val="none"/>
        </w:rPr>
        <w:t>2.7 组织竣工验收（组织法人验收）</w:t>
      </w:r>
      <w:bookmarkEnd w:id="875"/>
      <w:bookmarkEnd w:id="876"/>
    </w:p>
    <w:p w14:paraId="3F68DB0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发包人应按合同约定及时组织法人验收。</w:t>
      </w:r>
    </w:p>
    <w:p w14:paraId="12441D4B">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77" w:name="_Toc113"/>
      <w:bookmarkStart w:id="878" w:name="_Toc6998"/>
      <w:r>
        <w:rPr>
          <w:rFonts w:hint="eastAsia" w:ascii="宋体" w:hAnsi="宋体" w:eastAsia="宋体" w:cs="宋体"/>
          <w:b/>
          <w:bCs/>
          <w:color w:val="auto"/>
          <w:sz w:val="24"/>
          <w:szCs w:val="20"/>
          <w:highlight w:val="none"/>
        </w:rPr>
        <w:t>2.8 其它义务</w:t>
      </w:r>
      <w:bookmarkEnd w:id="877"/>
      <w:bookmarkEnd w:id="878"/>
    </w:p>
    <w:p w14:paraId="58304F5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其它义务在专用合同条款中补充约定。</w:t>
      </w:r>
    </w:p>
    <w:p w14:paraId="37544C93">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879" w:name="_Toc18220"/>
      <w:bookmarkStart w:id="880" w:name="_Toc22090"/>
      <w:r>
        <w:rPr>
          <w:rFonts w:hint="eastAsia" w:ascii="宋体" w:hAnsi="宋体" w:eastAsia="宋体" w:cs="宋体"/>
          <w:b/>
          <w:bCs w:val="0"/>
          <w:color w:val="auto"/>
          <w:sz w:val="28"/>
          <w:szCs w:val="28"/>
          <w:highlight w:val="none"/>
        </w:rPr>
        <w:t>3. 监理人</w:t>
      </w:r>
      <w:bookmarkEnd w:id="879"/>
      <w:bookmarkEnd w:id="880"/>
    </w:p>
    <w:p w14:paraId="4E2FC59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881" w:name="_Toc8349"/>
      <w:bookmarkStart w:id="882" w:name="_Toc15356"/>
      <w:r>
        <w:rPr>
          <w:rFonts w:hint="eastAsia" w:ascii="宋体" w:hAnsi="宋体" w:eastAsia="宋体" w:cs="宋体"/>
          <w:b/>
          <w:bCs w:val="0"/>
          <w:color w:val="auto"/>
          <w:sz w:val="24"/>
          <w:szCs w:val="24"/>
          <w:highlight w:val="none"/>
        </w:rPr>
        <w:t>3.1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监理人的职责和权利</w:t>
      </w:r>
      <w:bookmarkEnd w:id="881"/>
      <w:bookmarkEnd w:id="882"/>
    </w:p>
    <w:p w14:paraId="7881DF02">
      <w:pPr>
        <w:pageBreakBefore w:val="0"/>
        <w:widowControl w:val="0"/>
        <w:kinsoku/>
        <w:wordWrap/>
        <w:overflowPunct/>
        <w:topLinePunct w:val="0"/>
        <w:bidi w:val="0"/>
        <w:snapToGrid/>
        <w:spacing w:beforeAutospacing="0" w:afterAutospacing="0" w:line="360" w:lineRule="auto"/>
        <w:ind w:left="0" w:leftChars="0" w:right="0" w:firstLine="447" w:firstLineChars="21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340C968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 监理人发出的任何指示应视为已得到发包人的批准，但监理人无权免除或变更合同约定的发包人和承包人的权利、义务和责任。</w:t>
      </w:r>
    </w:p>
    <w:p w14:paraId="1E336C0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14:paraId="5ED159D0">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83" w:name="_Toc23838"/>
      <w:bookmarkStart w:id="884" w:name="_Toc25759"/>
      <w:r>
        <w:rPr>
          <w:rFonts w:hint="eastAsia" w:ascii="宋体" w:hAnsi="宋体" w:eastAsia="宋体" w:cs="宋体"/>
          <w:b/>
          <w:bCs/>
          <w:color w:val="auto"/>
          <w:sz w:val="24"/>
          <w:szCs w:val="20"/>
          <w:highlight w:val="none"/>
        </w:rPr>
        <w:t>3.2 总监理工程师</w:t>
      </w:r>
      <w:bookmarkEnd w:id="883"/>
      <w:bookmarkEnd w:id="884"/>
    </w:p>
    <w:p w14:paraId="5192A3A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2D09E755">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85" w:name="_Toc28476"/>
      <w:bookmarkStart w:id="886" w:name="_Toc28176"/>
      <w:r>
        <w:rPr>
          <w:rFonts w:hint="eastAsia" w:ascii="宋体" w:hAnsi="宋体" w:eastAsia="宋体" w:cs="宋体"/>
          <w:b/>
          <w:bCs/>
          <w:color w:val="auto"/>
          <w:sz w:val="24"/>
          <w:szCs w:val="20"/>
          <w:highlight w:val="none"/>
        </w:rPr>
        <w:t>3.3 监理人员</w:t>
      </w:r>
      <w:bookmarkEnd w:id="885"/>
      <w:bookmarkEnd w:id="886"/>
    </w:p>
    <w:p w14:paraId="7153045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FE0CF1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766C163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3.3.3 承包人对总监理工程师授权的监理人员发出的指示有疑问的，可向总监理工程师提出书面异议，总监理工程师应在48小时内对该指示予以确认、更改或撤销。</w:t>
      </w:r>
    </w:p>
    <w:p w14:paraId="10D7CF5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3.3.4 除专用合同条款另有约定外，总监理工程师不应将第3.5款约定应由总监理工程师作出确定的权力授权或委托给其他监理人员。</w:t>
      </w:r>
    </w:p>
    <w:p w14:paraId="71B49F41">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87" w:name="_Toc17673"/>
      <w:bookmarkStart w:id="888" w:name="_Toc19652"/>
      <w:r>
        <w:rPr>
          <w:rFonts w:hint="eastAsia" w:ascii="宋体" w:hAnsi="宋体" w:eastAsia="宋体" w:cs="宋体"/>
          <w:b/>
          <w:bCs/>
          <w:color w:val="auto"/>
          <w:sz w:val="24"/>
          <w:szCs w:val="20"/>
          <w:highlight w:val="none"/>
        </w:rPr>
        <w:t>3.4 监理人的指示</w:t>
      </w:r>
      <w:bookmarkEnd w:id="887"/>
      <w:bookmarkEnd w:id="888"/>
    </w:p>
    <w:p w14:paraId="1FB4031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监理人应按第3.1款的约定向承包人发出指示，监理人的指示应盖有监理人授权的施工场地机构章，并由总监理工程师或总监理工程师按第3.3.1项约定授权的监理人员签字。</w:t>
      </w:r>
    </w:p>
    <w:p w14:paraId="43A6C29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承包人收到监理人按第3.4.1项作出的指示后应遵照执行。指示构成变更的，应按第15条处理。</w:t>
      </w:r>
    </w:p>
    <w:p w14:paraId="22354DA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4A5338F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除合同另有约定外，承包人只从总监理工程师或按第3.3.1项被授权的监理人员处取得指示。</w:t>
      </w:r>
    </w:p>
    <w:p w14:paraId="3C64960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3.4.5 由于监理人未能按合同约定发出指示、指示延误或指示错误而导致承包人费用增加和（或）工期延误的，由发包人承担赔偿责任。 </w:t>
      </w:r>
    </w:p>
    <w:p w14:paraId="410DAAA6">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89" w:name="_Toc19232"/>
      <w:bookmarkStart w:id="890" w:name="_Toc23363"/>
      <w:r>
        <w:rPr>
          <w:rFonts w:hint="eastAsia" w:ascii="宋体" w:hAnsi="宋体" w:eastAsia="宋体" w:cs="宋体"/>
          <w:b/>
          <w:bCs/>
          <w:color w:val="auto"/>
          <w:sz w:val="24"/>
          <w:szCs w:val="20"/>
          <w:highlight w:val="none"/>
        </w:rPr>
        <w:t>3.5 商定或确定</w:t>
      </w:r>
      <w:bookmarkEnd w:id="889"/>
      <w:bookmarkEnd w:id="890"/>
    </w:p>
    <w:p w14:paraId="585B492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3.5.1合同约定总监理工程师应按照本款对任何事项进行商定或确定时，总监理工程师应与合同当事人协商，尽量达成一致。不能达成一致的，总监理工程师应认真研究后审慎确定。</w:t>
      </w:r>
    </w:p>
    <w:p w14:paraId="6D1C1E4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036F483">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891" w:name="_Toc24198"/>
      <w:bookmarkStart w:id="892" w:name="_Toc7413"/>
      <w:r>
        <w:rPr>
          <w:rFonts w:hint="eastAsia" w:ascii="宋体" w:hAnsi="宋体" w:eastAsia="宋体" w:cs="宋体"/>
          <w:b/>
          <w:bCs w:val="0"/>
          <w:color w:val="auto"/>
          <w:sz w:val="28"/>
          <w:szCs w:val="28"/>
          <w:highlight w:val="none"/>
        </w:rPr>
        <w:t>4. 承包人</w:t>
      </w:r>
      <w:bookmarkEnd w:id="891"/>
      <w:bookmarkEnd w:id="892"/>
    </w:p>
    <w:p w14:paraId="2E363BEA">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893" w:name="_Toc10499"/>
      <w:bookmarkStart w:id="894" w:name="_Toc8004"/>
      <w:r>
        <w:rPr>
          <w:rFonts w:hint="eastAsia" w:ascii="宋体" w:hAnsi="宋体" w:eastAsia="宋体" w:cs="宋体"/>
          <w:b/>
          <w:bCs w:val="0"/>
          <w:color w:val="auto"/>
          <w:sz w:val="24"/>
          <w:szCs w:val="24"/>
          <w:highlight w:val="none"/>
        </w:rPr>
        <w:t>4.1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承包人的一般义务</w:t>
      </w:r>
      <w:bookmarkEnd w:id="893"/>
      <w:bookmarkEnd w:id="894"/>
    </w:p>
    <w:p w14:paraId="32F7ECE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4.1.1 遵守法律</w:t>
      </w:r>
    </w:p>
    <w:p w14:paraId="6B182B0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14:paraId="5C1F215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4.1.2 依法纳税</w:t>
      </w:r>
    </w:p>
    <w:p w14:paraId="67B52DC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14:paraId="6E99CD8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4.1.3 完成各项承包工作</w:t>
      </w:r>
    </w:p>
    <w:p w14:paraId="018322E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3.4款作出的指示，实施、完成全部工程，并修补工程中的任何缺陷。除第5.2款、第6.2款另有外，承包人应提供为完成合同工作所需的劳务、材料、施工设备、工程设备和其它物品，并按合同约定负责临时设施的设计、建造、运行、维护、管理和拆除。</w:t>
      </w:r>
    </w:p>
    <w:p w14:paraId="484EDA9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4.1.4 对施工作业和施工方法的完备性负责</w:t>
      </w:r>
    </w:p>
    <w:p w14:paraId="1CCA21C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14:paraId="7E2D590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4.1.5 保证工程施工和人员的安全</w:t>
      </w:r>
    </w:p>
    <w:p w14:paraId="1DC0171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承包人应按第9.2款约定采取施工安全措施，确保工程及其人员、材料、设备和设施的安全，防止因工程施工造成的人身伤害和财产损失。</w:t>
      </w:r>
    </w:p>
    <w:p w14:paraId="5A82B0B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4.1.6 负责施工场地及其周边环境与生态的保护工作</w:t>
      </w:r>
    </w:p>
    <w:p w14:paraId="4C6B421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承包人应按照第9.4款约定负责施工场地及其周边环境与生态的保护工作。</w:t>
      </w:r>
    </w:p>
    <w:p w14:paraId="3C6871A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4.1.7 避免施工对公众与他人的利益造成损害</w:t>
      </w:r>
    </w:p>
    <w:p w14:paraId="7EB0C7F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F0750D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4.1.8 为他人提供方便</w:t>
      </w:r>
    </w:p>
    <w:p w14:paraId="629CA19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6B3AF1C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4.1.9 工程的维护和照管</w:t>
      </w:r>
    </w:p>
    <w:p w14:paraId="7B983B7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除合同另有约定外，工程完工证书颁发前，承包人应负责照管和维护工程。合同工程完工证书颁发时尚有部分未完工程的，承包人还应负责该未完工程的照管和维护工作，直至完工后移交给发包人为止。</w:t>
      </w:r>
    </w:p>
    <w:p w14:paraId="6EA9970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4.1.10 其它义务</w:t>
      </w:r>
    </w:p>
    <w:p w14:paraId="68BC4A2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其它义务在专用合同条款中补充约定。</w:t>
      </w:r>
    </w:p>
    <w:p w14:paraId="3D2FDA6D">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95" w:name="_Toc1882"/>
      <w:bookmarkStart w:id="896" w:name="_Toc26727"/>
      <w:r>
        <w:rPr>
          <w:rFonts w:hint="eastAsia" w:ascii="宋体" w:hAnsi="宋体" w:eastAsia="宋体" w:cs="宋体"/>
          <w:color w:val="auto"/>
          <w:sz w:val="24"/>
          <w:szCs w:val="24"/>
          <w:highlight w:val="none"/>
        </w:rPr>
        <w:t>4.2 履约担保</w:t>
      </w:r>
      <w:bookmarkEnd w:id="895"/>
      <w:bookmarkEnd w:id="896"/>
    </w:p>
    <w:p w14:paraId="392A48A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承包人应保证其履约担保在发包人颁发合同工程完工证书前一直有效。发包人应在合同工程完工证书颁布发后28天内将履约担保退还给承包人。</w:t>
      </w:r>
    </w:p>
    <w:p w14:paraId="0200CF3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897" w:name="_Toc13913"/>
      <w:bookmarkStart w:id="898" w:name="_Toc17151"/>
      <w:r>
        <w:rPr>
          <w:rFonts w:hint="eastAsia" w:ascii="宋体" w:hAnsi="宋体" w:eastAsia="宋体" w:cs="宋体"/>
          <w:color w:val="auto"/>
          <w:sz w:val="24"/>
          <w:szCs w:val="24"/>
          <w:highlight w:val="none"/>
        </w:rPr>
        <w:t>4.3</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w:t>
      </w:r>
      <w:bookmarkEnd w:id="897"/>
      <w:bookmarkEnd w:id="898"/>
    </w:p>
    <w:p w14:paraId="1172B2C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4.3.1 承包人不得将其承包的全部工程转包给第三人，或将其承包的全部工程肢解后以分包的名义转包给第三人。</w:t>
      </w:r>
    </w:p>
    <w:p w14:paraId="07A64C9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4.3.2 承包人不得将工程主体、关键性工作分包给第三人。除专用合同条款另有约定外，未经发包人同意，承包人不得将工程的其他部分或工作分包给第三人。</w:t>
      </w:r>
    </w:p>
    <w:p w14:paraId="70C5C97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4.3.3 分包人的资格能力应与其分包工程的标准和规模相适应。</w:t>
      </w:r>
    </w:p>
    <w:p w14:paraId="2183FEC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4.3.4 按投标函附录约定分包工程的，承包人应向发包人和监理人提交分包合同副本。</w:t>
      </w:r>
    </w:p>
    <w:p w14:paraId="4F099E9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4.3.5 承包人应与分包人就分包工程向发包人承担连带责任。</w:t>
      </w:r>
    </w:p>
    <w:p w14:paraId="03865EC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4.3.6分包工程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369DCE6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w:t>
      </w:r>
    </w:p>
    <w:p w14:paraId="22EB9E5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由指定分包人造成的与其分包工作有关的一切索赔、诉讼和损失赔偿由指定分包人直接对发包人负责，承包人不对此承担责任。</w:t>
      </w:r>
    </w:p>
    <w:p w14:paraId="2669249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4.3.8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4A0C87F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4.3.9除4.3.7项规定的指定分包外，承包人对其分包项目的实施以及分包人的行为向发包人负全部责任。承包人应对分包项目的工程进度、质量、安全、计量和验收等实施监督和管理。</w:t>
      </w:r>
    </w:p>
    <w:p w14:paraId="7E985B0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4.3.10分包人应按专用合同条款的约定设立项目管理机构组织管理分包工程的施工活动。</w:t>
      </w:r>
    </w:p>
    <w:p w14:paraId="54AA657C">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899" w:name="_Toc11809"/>
      <w:bookmarkStart w:id="900" w:name="_Toc12671"/>
      <w:r>
        <w:rPr>
          <w:rFonts w:hint="eastAsia" w:ascii="宋体" w:hAnsi="宋体" w:eastAsia="宋体" w:cs="宋体"/>
          <w:b/>
          <w:bCs/>
          <w:color w:val="auto"/>
          <w:sz w:val="24"/>
          <w:szCs w:val="20"/>
          <w:highlight w:val="none"/>
        </w:rPr>
        <w:t>4.4 联合体</w:t>
      </w:r>
      <w:bookmarkEnd w:id="899"/>
      <w:bookmarkEnd w:id="900"/>
    </w:p>
    <w:p w14:paraId="61A2A15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4.4.1 联合体各方应共同与发包人签订合同协议书。联合体各方应为履行合同承担连带责任。</w:t>
      </w:r>
    </w:p>
    <w:p w14:paraId="5F86A52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4.4.2 联合体协议经发包人确认后作为合同附件。在履行合同过程中，未经发包人同意，不得修改联合体协议。</w:t>
      </w:r>
    </w:p>
    <w:p w14:paraId="37A845D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4.4.3 联合体牵头人负责与发包人和监理人联系，并接受指示，负责组织联合体各成员全面履行合同。</w:t>
      </w:r>
    </w:p>
    <w:p w14:paraId="62C004F7">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01" w:name="_Toc18656"/>
      <w:bookmarkStart w:id="902" w:name="_Toc20831"/>
      <w:r>
        <w:rPr>
          <w:rFonts w:hint="eastAsia" w:ascii="宋体" w:hAnsi="宋体" w:eastAsia="宋体" w:cs="宋体"/>
          <w:b/>
          <w:bCs/>
          <w:color w:val="auto"/>
          <w:sz w:val="24"/>
          <w:szCs w:val="20"/>
          <w:highlight w:val="none"/>
        </w:rPr>
        <w:t>4.5 承包人项目经理</w:t>
      </w:r>
      <w:bookmarkEnd w:id="901"/>
      <w:bookmarkEnd w:id="902"/>
    </w:p>
    <w:p w14:paraId="4570B17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564FCE3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9E1F7A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4.5.3承包人为履行合同发出的一切函件均应盖有承包人授权的施工场地管理机构章，并由承包人项目经理或其授权代表签字。</w:t>
      </w:r>
    </w:p>
    <w:p w14:paraId="332933B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4.5.4 承包人项目经理可以授权其下属人员履行其某项职责，但事先应将这些人员的姓名和授权范围通知监理人。</w:t>
      </w:r>
    </w:p>
    <w:p w14:paraId="1FAA9512">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03" w:name="_Toc15753"/>
      <w:bookmarkStart w:id="904" w:name="_Toc146"/>
      <w:r>
        <w:rPr>
          <w:rFonts w:hint="eastAsia" w:ascii="宋体" w:hAnsi="宋体" w:eastAsia="宋体" w:cs="宋体"/>
          <w:b/>
          <w:bCs/>
          <w:color w:val="auto"/>
          <w:sz w:val="24"/>
          <w:szCs w:val="20"/>
          <w:highlight w:val="none"/>
        </w:rPr>
        <w:t>4.6 承包人人员的管理</w:t>
      </w:r>
      <w:bookmarkEnd w:id="903"/>
      <w:bookmarkEnd w:id="904"/>
    </w:p>
    <w:p w14:paraId="5820360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F95063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4.6.2 为完成合同约定的各项工作，承包人应向施工场地派遣或雇佣足够数量的下列人员：</w:t>
      </w:r>
    </w:p>
    <w:p w14:paraId="3E411549">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（1）具有相应资格的专业技工和合格的普工；</w:t>
      </w:r>
    </w:p>
    <w:p w14:paraId="458D2CC0">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（2）具有相应施工经验的技术人员；</w:t>
      </w:r>
    </w:p>
    <w:p w14:paraId="780C421C">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（3）具有相应岗位资格的各级管理人员。</w:t>
      </w:r>
    </w:p>
    <w:p w14:paraId="49D47FB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4.6.3 承包人安排在施工场地的主要管理人员和技术骨干应相对稳定。承包人更换主要管理人员和技术骨干时，应取得监理人的同意。</w:t>
      </w:r>
    </w:p>
    <w:p w14:paraId="7687D9E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4.6.4 特殊岗位的工作人员均应持有相应的资格证明，监理人有权随时检查。监理人认为有必要时，可进行现场考核。</w:t>
      </w:r>
    </w:p>
    <w:p w14:paraId="4E676EF6">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05" w:name="_Toc5045"/>
      <w:bookmarkStart w:id="906" w:name="_Toc28497"/>
      <w:r>
        <w:rPr>
          <w:rFonts w:hint="eastAsia" w:ascii="宋体" w:hAnsi="宋体" w:eastAsia="宋体" w:cs="宋体"/>
          <w:b/>
          <w:bCs/>
          <w:color w:val="auto"/>
          <w:sz w:val="24"/>
          <w:szCs w:val="20"/>
          <w:highlight w:val="none"/>
        </w:rPr>
        <w:t>4.7 撤换承包人项目经理和其他人员</w:t>
      </w:r>
      <w:bookmarkEnd w:id="905"/>
      <w:bookmarkEnd w:id="906"/>
    </w:p>
    <w:p w14:paraId="521E24A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14:paraId="22BEEDD1">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07" w:name="_Toc20618"/>
      <w:bookmarkStart w:id="908" w:name="_Toc20323"/>
      <w:r>
        <w:rPr>
          <w:rFonts w:hint="eastAsia" w:ascii="宋体" w:hAnsi="宋体" w:eastAsia="宋体" w:cs="宋体"/>
          <w:b/>
          <w:bCs/>
          <w:color w:val="auto"/>
          <w:sz w:val="24"/>
          <w:szCs w:val="20"/>
          <w:highlight w:val="none"/>
        </w:rPr>
        <w:t>4.8 保障承包人人员的合法权益</w:t>
      </w:r>
      <w:bookmarkEnd w:id="907"/>
      <w:bookmarkEnd w:id="908"/>
    </w:p>
    <w:p w14:paraId="7B21C58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4.8.1 承包人应与其雇佣的人员签订劳动合同，并按时发放工资。</w:t>
      </w:r>
    </w:p>
    <w:p w14:paraId="6A62428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54D6889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4.8.3 承包人应为其雇佣人员提供必要的食宿条件，以及符合环境保护和卫生要求的生活环境，在远离城镇的施工场地，还应配备必要的伤病防治和急救的医务人员与医疗设施。</w:t>
      </w:r>
    </w:p>
    <w:p w14:paraId="5E2EB63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CC0DF0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4.8.5 承包人应按有关法律规定和合同约定，为其雇佣人员办理保险。</w:t>
      </w:r>
    </w:p>
    <w:p w14:paraId="381891F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4.8.6 承包人应负责处理其雇佣人员因工伤亡事故的善后事宜。</w:t>
      </w:r>
    </w:p>
    <w:p w14:paraId="28637CD3">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09" w:name="_Toc8410"/>
      <w:bookmarkStart w:id="910" w:name="_Toc28159"/>
      <w:r>
        <w:rPr>
          <w:rFonts w:hint="eastAsia" w:ascii="宋体" w:hAnsi="宋体" w:eastAsia="宋体" w:cs="宋体"/>
          <w:b/>
          <w:bCs/>
          <w:color w:val="auto"/>
          <w:sz w:val="24"/>
          <w:szCs w:val="20"/>
          <w:highlight w:val="none"/>
        </w:rPr>
        <w:t>4.9 工程价款应专款专用</w:t>
      </w:r>
      <w:bookmarkEnd w:id="909"/>
      <w:bookmarkEnd w:id="910"/>
    </w:p>
    <w:p w14:paraId="3E5769D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14:paraId="1163E5B1">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11" w:name="_Toc8608"/>
      <w:bookmarkStart w:id="912" w:name="_Toc13741"/>
      <w:r>
        <w:rPr>
          <w:rFonts w:hint="eastAsia" w:ascii="宋体" w:hAnsi="宋体" w:eastAsia="宋体" w:cs="宋体"/>
          <w:b/>
          <w:bCs/>
          <w:color w:val="auto"/>
          <w:sz w:val="24"/>
          <w:szCs w:val="20"/>
          <w:highlight w:val="none"/>
        </w:rPr>
        <w:t>4.10 承包人现场查勘</w:t>
      </w:r>
      <w:bookmarkEnd w:id="911"/>
      <w:bookmarkEnd w:id="912"/>
    </w:p>
    <w:p w14:paraId="7CD2F7F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4.10.1 发包人应将其持有的现场地质勘探资料、水文气象资料提供给承包人，并对其准确性负责。但承包人应对其阅读上述有关资料后所作出的解释和推断负责。</w:t>
      </w:r>
    </w:p>
    <w:p w14:paraId="28326A8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248423DD">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13" w:name="_Toc8514"/>
      <w:bookmarkStart w:id="914" w:name="_Toc27308"/>
      <w:r>
        <w:rPr>
          <w:rFonts w:hint="eastAsia" w:ascii="宋体" w:hAnsi="宋体" w:eastAsia="宋体" w:cs="宋体"/>
          <w:color w:val="auto"/>
          <w:sz w:val="24"/>
          <w:szCs w:val="24"/>
          <w:highlight w:val="none"/>
        </w:rPr>
        <w:t>4.11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不利物质条件</w:t>
      </w:r>
      <w:bookmarkEnd w:id="913"/>
      <w:bookmarkEnd w:id="914"/>
    </w:p>
    <w:p w14:paraId="4F254B3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4.11.1除专用合同条款另有约定外，不利的物质条件是指在施工中遭遇不可预见的外界障碍或自然条件造成施工受阻。</w:t>
      </w:r>
    </w:p>
    <w:p w14:paraId="50C5E36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4.11.2 承包人遇到不利物质条件时，应采取适应不利物质条件的合理措施继续施工，并及时通知监理人。承包人应有权根据第23.1款的约定，要求延长工期及增加费用。监理人收到此类要求后，应在分析上述外界障碍或自然条件是否不可预见及不可预见程度的基础上，按照通用合同条款第15条的约定办理． </w:t>
      </w:r>
    </w:p>
    <w:p w14:paraId="195D4459">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15" w:name="_Toc8968"/>
      <w:bookmarkStart w:id="916" w:name="_Toc14386"/>
      <w:r>
        <w:rPr>
          <w:rFonts w:hint="eastAsia" w:ascii="宋体" w:hAnsi="宋体" w:eastAsia="宋体" w:cs="宋体"/>
          <w:b/>
          <w:bCs w:val="0"/>
          <w:color w:val="auto"/>
          <w:sz w:val="28"/>
          <w:szCs w:val="28"/>
          <w:highlight w:val="none"/>
        </w:rPr>
        <w:t>5. 材料和工程设备</w:t>
      </w:r>
      <w:bookmarkEnd w:id="915"/>
      <w:bookmarkEnd w:id="916"/>
    </w:p>
    <w:p w14:paraId="017E64DA">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17" w:name="_Toc26064"/>
      <w:bookmarkStart w:id="918" w:name="_Toc7886"/>
      <w:r>
        <w:rPr>
          <w:rFonts w:hint="eastAsia" w:ascii="宋体" w:hAnsi="宋体" w:eastAsia="宋体" w:cs="宋体"/>
          <w:b/>
          <w:bCs w:val="0"/>
          <w:color w:val="auto"/>
          <w:sz w:val="24"/>
          <w:szCs w:val="24"/>
          <w:highlight w:val="none"/>
        </w:rPr>
        <w:t>5.1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承包人提供的材料和工程设备</w:t>
      </w:r>
      <w:bookmarkEnd w:id="917"/>
      <w:bookmarkEnd w:id="918"/>
    </w:p>
    <w:p w14:paraId="2E6CEAB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5.1.1 除5.2款约定由发包人提供的材料和工程设备外，承包人负责采购、验收、运输和保管完成本合同工作所需的材料和工程设备。承包人应对其采购的材料和工程设备负责。 </w:t>
      </w:r>
    </w:p>
    <w:p w14:paraId="5571388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264C75F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C737F6F">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19" w:name="_Toc25059"/>
      <w:bookmarkStart w:id="920" w:name="_Toc13452"/>
      <w:r>
        <w:rPr>
          <w:rFonts w:hint="eastAsia" w:ascii="宋体" w:hAnsi="宋体" w:eastAsia="宋体" w:cs="宋体"/>
          <w:color w:val="auto"/>
          <w:sz w:val="24"/>
          <w:szCs w:val="24"/>
          <w:highlight w:val="none"/>
        </w:rPr>
        <w:t>5.2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发包人提供的材料和工程设备</w:t>
      </w:r>
      <w:bookmarkEnd w:id="919"/>
      <w:bookmarkEnd w:id="920"/>
    </w:p>
    <w:p w14:paraId="4C01741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5.2.1 发包人提供的材料和工程设备，应在专用合同条款中写明材料和工程设备的名称、规格、数量、价格、交货方式、交货地点和计划交货日期等。</w:t>
      </w:r>
    </w:p>
    <w:p w14:paraId="5AC3615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5.2.2 承包人应根据合同进度计划的安排，向监理人报送要求发包人交货的日期计划。发包人应按照监理人与合同双方当事人商定的交货日期，向承包人提交材料和工程设备。</w:t>
      </w:r>
    </w:p>
    <w:p w14:paraId="0A91EA5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4E834DB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5.2.4 发包人要求向承包人提前交货的，承包人不得拒绝，但发包人应承担承包人由此增加的费用。 </w:t>
      </w:r>
    </w:p>
    <w:p w14:paraId="5142357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5.2.5 承包人要求更改交货日期或地点的，应事先报请监理人批准。由于承包人要求更改交货时间或地点所增加的费用和（或）工期延误由承包人承担。 </w:t>
      </w:r>
    </w:p>
    <w:p w14:paraId="180A399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9265936">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21" w:name="_Toc9428"/>
      <w:bookmarkStart w:id="922" w:name="_Toc2134"/>
      <w:r>
        <w:rPr>
          <w:rFonts w:hint="eastAsia" w:ascii="宋体" w:hAnsi="宋体" w:eastAsia="宋体" w:cs="宋体"/>
          <w:b/>
          <w:bCs/>
          <w:color w:val="auto"/>
          <w:sz w:val="24"/>
          <w:szCs w:val="20"/>
          <w:highlight w:val="none"/>
        </w:rPr>
        <w:t>5.3 材料和工程设备专用于合同工程</w:t>
      </w:r>
      <w:bookmarkEnd w:id="921"/>
      <w:bookmarkEnd w:id="922"/>
    </w:p>
    <w:p w14:paraId="2B2C551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5.3.1运入施工场地的材料、工程设备，包括备品备件、安装专用工器具与随机资料，必须专用于合同工程，未经监理人同意，承包人不得运出施工场地或挪作他用。</w:t>
      </w:r>
    </w:p>
    <w:p w14:paraId="0F45DCB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2FC5CD24">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23" w:name="_Toc21298"/>
      <w:bookmarkStart w:id="924" w:name="_Toc2201"/>
      <w:r>
        <w:rPr>
          <w:rFonts w:hint="eastAsia" w:ascii="宋体" w:hAnsi="宋体" w:eastAsia="宋体" w:cs="宋体"/>
          <w:b/>
          <w:bCs/>
          <w:color w:val="auto"/>
          <w:sz w:val="24"/>
          <w:szCs w:val="20"/>
          <w:highlight w:val="none"/>
        </w:rPr>
        <w:t>5.4 禁止使用不合格的材料和工程设备</w:t>
      </w:r>
      <w:bookmarkEnd w:id="923"/>
      <w:bookmarkEnd w:id="924"/>
    </w:p>
    <w:p w14:paraId="39D443F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5.4.1 监理人有权拒绝承包人提供的不合格材料或工程设备，并要求承包人立即进行更换。监理人应在更换后再次进行检查和检验，由此增加的费用和（或）工期延误由承包人承担。</w:t>
      </w:r>
    </w:p>
    <w:p w14:paraId="18BC4A8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5.4.2 监理人发现承包人使用了不合格的材料和工程设备，应即时发出指示要求承包人立即改正，并禁止在工程中继续使用不合格的材料和工程设备。</w:t>
      </w:r>
    </w:p>
    <w:p w14:paraId="7A1336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5.4.3 发包人提供的材料或工程设备不符合合同要求的，承包人有权拒绝，并可要求发包人更换，由此增加的费用和（或）工期延误由发包人承担。</w:t>
      </w:r>
    </w:p>
    <w:p w14:paraId="24DBF94C">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25" w:name="_Toc9449"/>
      <w:bookmarkStart w:id="926" w:name="_Toc19553"/>
      <w:r>
        <w:rPr>
          <w:rFonts w:hint="eastAsia" w:ascii="宋体" w:hAnsi="宋体" w:eastAsia="宋体" w:cs="宋体"/>
          <w:b/>
          <w:bCs w:val="0"/>
          <w:color w:val="auto"/>
          <w:sz w:val="28"/>
          <w:szCs w:val="28"/>
          <w:highlight w:val="none"/>
        </w:rPr>
        <w:t>6. 施工设备和临时设施</w:t>
      </w:r>
      <w:bookmarkEnd w:id="925"/>
      <w:bookmarkEnd w:id="926"/>
    </w:p>
    <w:p w14:paraId="7B2E6570">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927" w:name="_Toc20705"/>
      <w:bookmarkStart w:id="928" w:name="_Toc3627"/>
      <w:r>
        <w:rPr>
          <w:rFonts w:hint="eastAsia" w:ascii="宋体" w:hAnsi="宋体" w:eastAsia="宋体" w:cs="宋体"/>
          <w:b/>
          <w:bCs w:val="0"/>
          <w:color w:val="auto"/>
          <w:sz w:val="24"/>
          <w:szCs w:val="20"/>
          <w:highlight w:val="none"/>
        </w:rPr>
        <w:t>6.1 承包人提供的施工设备和临时设施</w:t>
      </w:r>
      <w:bookmarkEnd w:id="927"/>
      <w:bookmarkEnd w:id="928"/>
    </w:p>
    <w:p w14:paraId="5750F05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6CCDFD4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6.1.2除专用合同条款另有约定外，承包人应自行承担修建临时设施的费用，需要临时占地的，应由发包人办理申请手续并承担相应费用。</w:t>
      </w:r>
    </w:p>
    <w:p w14:paraId="5C300616">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29" w:name="_Toc434"/>
      <w:bookmarkStart w:id="930" w:name="_Toc21054"/>
      <w:r>
        <w:rPr>
          <w:rFonts w:hint="eastAsia" w:ascii="宋体" w:hAnsi="宋体" w:eastAsia="宋体" w:cs="宋体"/>
          <w:b/>
          <w:bCs/>
          <w:color w:val="auto"/>
          <w:sz w:val="24"/>
          <w:szCs w:val="20"/>
          <w:highlight w:val="none"/>
        </w:rPr>
        <w:t>6.2 发包人提供的施工设备和临时设施</w:t>
      </w:r>
      <w:bookmarkEnd w:id="929"/>
      <w:bookmarkEnd w:id="930"/>
    </w:p>
    <w:p w14:paraId="322BDC5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14:paraId="439953A7">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31" w:name="_Toc27328"/>
      <w:bookmarkStart w:id="932" w:name="_Toc30055"/>
      <w:r>
        <w:rPr>
          <w:rFonts w:hint="eastAsia" w:ascii="宋体" w:hAnsi="宋体" w:eastAsia="宋体" w:cs="宋体"/>
          <w:b/>
          <w:bCs/>
          <w:color w:val="auto"/>
          <w:sz w:val="24"/>
          <w:szCs w:val="20"/>
          <w:highlight w:val="none"/>
        </w:rPr>
        <w:t>6.3 要求承包人增加或更换施工设备</w:t>
      </w:r>
      <w:bookmarkEnd w:id="931"/>
      <w:bookmarkEnd w:id="932"/>
    </w:p>
    <w:p w14:paraId="1B6B26A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288E4502">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33" w:name="_Toc12293"/>
      <w:bookmarkStart w:id="934" w:name="_Toc23220"/>
      <w:r>
        <w:rPr>
          <w:rFonts w:hint="eastAsia" w:ascii="宋体" w:hAnsi="宋体" w:eastAsia="宋体" w:cs="宋体"/>
          <w:b/>
          <w:bCs/>
          <w:color w:val="auto"/>
          <w:sz w:val="24"/>
          <w:szCs w:val="20"/>
          <w:highlight w:val="none"/>
        </w:rPr>
        <w:t>6.4 施工设备和临时设施专用于合同工程</w:t>
      </w:r>
      <w:bookmarkEnd w:id="933"/>
      <w:bookmarkEnd w:id="934"/>
    </w:p>
    <w:p w14:paraId="1071992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5B78FE3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6.4.2 经监理人同意，承包人可根据合同进度计划撤走闲置的施工设备。</w:t>
      </w:r>
    </w:p>
    <w:p w14:paraId="4CBE0A3A">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35" w:name="_Toc10147"/>
      <w:bookmarkStart w:id="936" w:name="_Toc23731"/>
      <w:r>
        <w:rPr>
          <w:rFonts w:hint="eastAsia" w:ascii="宋体" w:hAnsi="宋体" w:eastAsia="宋体" w:cs="宋体"/>
          <w:b/>
          <w:bCs w:val="0"/>
          <w:color w:val="auto"/>
          <w:sz w:val="28"/>
          <w:szCs w:val="28"/>
          <w:highlight w:val="none"/>
        </w:rPr>
        <w:t>7. 交通运输</w:t>
      </w:r>
      <w:bookmarkEnd w:id="935"/>
      <w:bookmarkEnd w:id="936"/>
    </w:p>
    <w:p w14:paraId="2D215A4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37" w:name="_Toc20163"/>
      <w:bookmarkStart w:id="938" w:name="_Toc12060"/>
      <w:r>
        <w:rPr>
          <w:rFonts w:hint="eastAsia" w:ascii="宋体" w:hAnsi="宋体" w:eastAsia="宋体" w:cs="宋体"/>
          <w:b/>
          <w:bCs w:val="0"/>
          <w:color w:val="auto"/>
          <w:sz w:val="24"/>
          <w:szCs w:val="24"/>
          <w:highlight w:val="none"/>
        </w:rPr>
        <w:t>7.1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道路通行权和场外设施</w:t>
      </w:r>
      <w:bookmarkEnd w:id="937"/>
      <w:bookmarkEnd w:id="938"/>
    </w:p>
    <w:p w14:paraId="282BC4B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138EB70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39" w:name="_Toc25163"/>
      <w:bookmarkStart w:id="940" w:name="_Toc21269"/>
      <w:r>
        <w:rPr>
          <w:rFonts w:hint="eastAsia" w:ascii="宋体" w:hAnsi="宋体" w:eastAsia="宋体" w:cs="宋体"/>
          <w:color w:val="auto"/>
          <w:sz w:val="24"/>
          <w:szCs w:val="24"/>
          <w:highlight w:val="none"/>
        </w:rPr>
        <w:t>7.2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场内施工道路</w:t>
      </w:r>
      <w:bookmarkEnd w:id="939"/>
      <w:bookmarkEnd w:id="940"/>
    </w:p>
    <w:p w14:paraId="15C693F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7.2.1 除本合同约定由发包人提供的部分道路和交通设施外，承包人应负责修建、维修、养护和管理其施工所需的全部临时道路和交通设施</w:t>
      </w:r>
      <w:r>
        <w:rPr>
          <w:rFonts w:hint="eastAsia" w:ascii="宋体" w:hAnsi="宋体" w:cs="宋体"/>
          <w:color w:val="auto"/>
          <w:highlight w:val="none"/>
          <w:lang w:eastAsia="zh-CN"/>
        </w:rPr>
        <w:t>（</w:t>
      </w:r>
      <w:r>
        <w:rPr>
          <w:rFonts w:hint="eastAsia" w:ascii="宋体" w:hAnsi="宋体" w:eastAsia="宋体" w:cs="宋体"/>
          <w:color w:val="auto"/>
          <w:highlight w:val="none"/>
        </w:rPr>
        <w:t>包括合同约定由发包人提供的部分道路和交通设施维修、养护和管理</w:t>
      </w:r>
      <w:r>
        <w:rPr>
          <w:rFonts w:hint="eastAsia" w:ascii="宋体" w:hAnsi="宋体" w:cs="宋体"/>
          <w:color w:val="auto"/>
          <w:highlight w:val="none"/>
          <w:lang w:eastAsia="zh-CN"/>
        </w:rPr>
        <w:t>）</w:t>
      </w:r>
      <w:r>
        <w:rPr>
          <w:rFonts w:hint="eastAsia" w:ascii="宋体" w:hAnsi="宋体" w:eastAsia="宋体" w:cs="宋体"/>
          <w:color w:val="auto"/>
          <w:highlight w:val="none"/>
        </w:rPr>
        <w:t>,并承担相应费用。</w:t>
      </w:r>
    </w:p>
    <w:p w14:paraId="7CA8DF8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7.2.2 承包人修建的临时道路和交通设施,应免费提供发包人、监理人，以及与本合同有关的其他承包人使用。</w:t>
      </w:r>
    </w:p>
    <w:p w14:paraId="2ACFA0CB">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41" w:name="_Toc15293"/>
      <w:bookmarkStart w:id="942" w:name="_Toc13543"/>
      <w:r>
        <w:rPr>
          <w:rFonts w:hint="eastAsia" w:ascii="宋体" w:hAnsi="宋体" w:eastAsia="宋体" w:cs="宋体"/>
          <w:b/>
          <w:bCs/>
          <w:color w:val="auto"/>
          <w:sz w:val="24"/>
          <w:szCs w:val="20"/>
          <w:highlight w:val="none"/>
        </w:rPr>
        <w:t>7.3 场外交通</w:t>
      </w:r>
      <w:bookmarkEnd w:id="941"/>
      <w:bookmarkEnd w:id="942"/>
    </w:p>
    <w:p w14:paraId="5CB126A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7.3.1 承包人车辆外出行驶所需的场外公共道路的通行费、养路费和税款等由承包人承担。</w:t>
      </w:r>
    </w:p>
    <w:p w14:paraId="05CEC70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7.3.2 承包人应遵守有关交通法规，严格按照道路和桥梁的限制荷重安全行驶，并服从交通管理部门的检查和监督。</w:t>
      </w:r>
    </w:p>
    <w:p w14:paraId="1FD824CE">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43" w:name="_Toc20855"/>
      <w:bookmarkStart w:id="944" w:name="_Toc23976"/>
      <w:r>
        <w:rPr>
          <w:rFonts w:hint="eastAsia" w:ascii="宋体" w:hAnsi="宋体" w:eastAsia="宋体" w:cs="宋体"/>
          <w:b/>
          <w:bCs/>
          <w:color w:val="auto"/>
          <w:sz w:val="24"/>
          <w:szCs w:val="20"/>
          <w:highlight w:val="none"/>
        </w:rPr>
        <w:t>7.4 超大件和超重件的运输</w:t>
      </w:r>
      <w:bookmarkEnd w:id="943"/>
      <w:bookmarkEnd w:id="944"/>
    </w:p>
    <w:p w14:paraId="24935C1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063D88C">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45" w:name="_Toc26908"/>
      <w:bookmarkStart w:id="946" w:name="_Toc30947"/>
      <w:r>
        <w:rPr>
          <w:rFonts w:hint="eastAsia" w:ascii="宋体" w:hAnsi="宋体" w:eastAsia="宋体" w:cs="宋体"/>
          <w:b/>
          <w:bCs/>
          <w:color w:val="auto"/>
          <w:sz w:val="24"/>
          <w:szCs w:val="20"/>
          <w:highlight w:val="none"/>
        </w:rPr>
        <w:t>7.5 道路和桥梁的损坏责任</w:t>
      </w:r>
      <w:bookmarkEnd w:id="945"/>
      <w:bookmarkEnd w:id="946"/>
    </w:p>
    <w:p w14:paraId="557D285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14:paraId="47D72381">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47" w:name="_Toc16203"/>
      <w:bookmarkStart w:id="948" w:name="_Toc452"/>
      <w:r>
        <w:rPr>
          <w:rFonts w:hint="eastAsia" w:ascii="宋体" w:hAnsi="宋体" w:eastAsia="宋体" w:cs="宋体"/>
          <w:b/>
          <w:bCs/>
          <w:color w:val="auto"/>
          <w:sz w:val="24"/>
          <w:szCs w:val="20"/>
          <w:highlight w:val="none"/>
        </w:rPr>
        <w:t>7.6 水路和航空运输</w:t>
      </w:r>
      <w:bookmarkEnd w:id="947"/>
      <w:bookmarkEnd w:id="948"/>
    </w:p>
    <w:p w14:paraId="65CB169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1AF7361C">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49" w:name="_Toc32486"/>
      <w:bookmarkStart w:id="950" w:name="_Toc30218"/>
      <w:r>
        <w:rPr>
          <w:rFonts w:hint="eastAsia" w:ascii="宋体" w:hAnsi="宋体" w:eastAsia="宋体" w:cs="宋体"/>
          <w:b/>
          <w:bCs w:val="0"/>
          <w:color w:val="auto"/>
          <w:sz w:val="28"/>
          <w:szCs w:val="28"/>
          <w:highlight w:val="none"/>
        </w:rPr>
        <w:t>8. 测量放线</w:t>
      </w:r>
      <w:bookmarkEnd w:id="949"/>
      <w:bookmarkEnd w:id="950"/>
    </w:p>
    <w:p w14:paraId="5E3138A7">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51" w:name="_Toc32024"/>
      <w:bookmarkStart w:id="952" w:name="_Toc16544"/>
      <w:r>
        <w:rPr>
          <w:rFonts w:hint="eastAsia" w:ascii="宋体" w:hAnsi="宋体" w:eastAsia="宋体" w:cs="宋体"/>
          <w:b/>
          <w:bCs w:val="0"/>
          <w:color w:val="auto"/>
          <w:sz w:val="24"/>
          <w:szCs w:val="24"/>
          <w:highlight w:val="none"/>
        </w:rPr>
        <w:t>8.1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施工控制网</w:t>
      </w:r>
      <w:bookmarkEnd w:id="951"/>
      <w:bookmarkEnd w:id="952"/>
    </w:p>
    <w:p w14:paraId="08340C2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8.1.1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0892BE7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8.1.2承包人应负责管理施工控制网点。施工控制网点丢失或损坏的，承包人应及时修复。承包人应承担施工控制网点的管理与修复费用，并在工程竣工后将施工控制网点移交发包人。</w:t>
      </w:r>
    </w:p>
    <w:p w14:paraId="4171CFE8">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53" w:name="_Toc3779"/>
      <w:bookmarkStart w:id="954" w:name="_Toc8315"/>
      <w:r>
        <w:rPr>
          <w:rFonts w:hint="eastAsia" w:ascii="宋体" w:hAnsi="宋体" w:eastAsia="宋体" w:cs="宋体"/>
          <w:b/>
          <w:bCs/>
          <w:color w:val="auto"/>
          <w:sz w:val="24"/>
          <w:szCs w:val="20"/>
          <w:highlight w:val="none"/>
        </w:rPr>
        <w:t>8.2 施工测量</w:t>
      </w:r>
      <w:bookmarkEnd w:id="953"/>
      <w:bookmarkEnd w:id="954"/>
    </w:p>
    <w:p w14:paraId="4A84078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8.2.1承包人应负责施工过程中的全部施工测量放线工作，并配置合格的人员、仪器、设备和其他物品。</w:t>
      </w:r>
    </w:p>
    <w:p w14:paraId="4157C08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8.2.2监理人可以指示承包人进行抽样复测，当复测中发现错误或出现超过合同约定的误差时，承包人应按监理人指示进行修正或补测，并承担相应的复测费用。</w:t>
      </w:r>
    </w:p>
    <w:p w14:paraId="62F3D2E7">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55" w:name="_Toc28249"/>
      <w:bookmarkStart w:id="956" w:name="_Toc7518"/>
      <w:r>
        <w:rPr>
          <w:rFonts w:hint="eastAsia" w:ascii="宋体" w:hAnsi="宋体" w:eastAsia="宋体" w:cs="宋体"/>
          <w:b/>
          <w:bCs/>
          <w:color w:val="auto"/>
          <w:sz w:val="24"/>
          <w:szCs w:val="20"/>
          <w:highlight w:val="none"/>
        </w:rPr>
        <w:t>8.3 基准资料错误的责任</w:t>
      </w:r>
      <w:bookmarkEnd w:id="955"/>
      <w:bookmarkEnd w:id="956"/>
    </w:p>
    <w:p w14:paraId="6DC08AF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70E8FF3">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57" w:name="_Toc9672"/>
      <w:bookmarkStart w:id="958" w:name="_Toc32643"/>
      <w:r>
        <w:rPr>
          <w:rFonts w:hint="eastAsia" w:ascii="宋体" w:hAnsi="宋体" w:eastAsia="宋体" w:cs="宋体"/>
          <w:b/>
          <w:bCs/>
          <w:color w:val="auto"/>
          <w:sz w:val="24"/>
          <w:szCs w:val="20"/>
          <w:highlight w:val="none"/>
        </w:rPr>
        <w:t>8.4 监理人使用施工控制网</w:t>
      </w:r>
      <w:bookmarkEnd w:id="957"/>
      <w:bookmarkEnd w:id="958"/>
    </w:p>
    <w:p w14:paraId="61BFBB6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dstrike/>
          <w:color w:val="auto"/>
          <w:szCs w:val="21"/>
          <w:highlight w:val="none"/>
        </w:rPr>
      </w:pPr>
      <w:r>
        <w:rPr>
          <w:rFonts w:hint="eastAsia" w:ascii="宋体" w:hAnsi="宋体" w:eastAsia="宋体" w:cs="宋体"/>
          <w:color w:val="auto"/>
          <w:highlight w:val="none"/>
        </w:rPr>
        <w:t>监理人需要使用施工控制网的，承包人应提供必要的协助，发包人不再为此支付费用。</w:t>
      </w:r>
    </w:p>
    <w:p w14:paraId="2722E35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color w:val="auto"/>
          <w:sz w:val="24"/>
          <w:szCs w:val="24"/>
          <w:highlight w:val="none"/>
        </w:rPr>
      </w:pPr>
      <w:bookmarkStart w:id="959" w:name="_Toc25812"/>
      <w:bookmarkStart w:id="960" w:name="_Toc8276"/>
      <w:r>
        <w:rPr>
          <w:rFonts w:hint="eastAsia" w:ascii="宋体" w:hAnsi="宋体" w:eastAsia="宋体" w:cs="宋体"/>
          <w:b/>
          <w:bCs/>
          <w:color w:val="auto"/>
          <w:sz w:val="24"/>
          <w:szCs w:val="24"/>
          <w:highlight w:val="none"/>
        </w:rPr>
        <w:t>8.5</w:t>
      </w:r>
      <w:r>
        <w:rPr>
          <w:rFonts w:hint="eastAsia"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补充地质勘探</w:t>
      </w:r>
      <w:bookmarkEnd w:id="959"/>
      <w:bookmarkEnd w:id="960"/>
    </w:p>
    <w:p w14:paraId="2971E97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所需进行的补充地质勘探，其费用由承包人承担。</w:t>
      </w:r>
    </w:p>
    <w:p w14:paraId="6F9D224F">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61" w:name="_Toc9171"/>
      <w:bookmarkStart w:id="962" w:name="_Toc3857"/>
      <w:r>
        <w:rPr>
          <w:rFonts w:hint="eastAsia" w:ascii="宋体" w:hAnsi="宋体" w:eastAsia="宋体" w:cs="宋体"/>
          <w:b/>
          <w:bCs w:val="0"/>
          <w:color w:val="auto"/>
          <w:sz w:val="28"/>
          <w:szCs w:val="28"/>
          <w:highlight w:val="none"/>
        </w:rPr>
        <w:t>9. 施工安全、治安保卫和环境保护</w:t>
      </w:r>
      <w:bookmarkEnd w:id="961"/>
      <w:bookmarkEnd w:id="962"/>
    </w:p>
    <w:p w14:paraId="66875364">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63" w:name="_Toc18816"/>
      <w:bookmarkStart w:id="964" w:name="_Toc32478"/>
      <w:r>
        <w:rPr>
          <w:rFonts w:hint="eastAsia" w:ascii="宋体" w:hAnsi="宋体" w:eastAsia="宋体" w:cs="宋体"/>
          <w:b/>
          <w:bCs w:val="0"/>
          <w:color w:val="auto"/>
          <w:sz w:val="24"/>
          <w:szCs w:val="24"/>
          <w:highlight w:val="none"/>
        </w:rPr>
        <w:t>9.1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发包人的施工安全责任</w:t>
      </w:r>
      <w:bookmarkEnd w:id="963"/>
      <w:bookmarkEnd w:id="964"/>
    </w:p>
    <w:p w14:paraId="68C17D2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9.1.1 发包人应按合同约定履行安全职责，发包人委托监理人根据国家有关安全的法律、法规、强制性标准以及部门规章，对承包人的安全责任改选情况进行监督和检查。监理人的监督检查不减轻承包人应负的安全责任。</w:t>
      </w:r>
    </w:p>
    <w:p w14:paraId="77A52B2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9.1.2 发包人应对其现场机构雇佣的全部人员的工伤事故承担责任，但由于承包人原因造成发包人人员工伤的，应由承包人承担责任。</w:t>
      </w:r>
    </w:p>
    <w:p w14:paraId="418F99A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9.1.3 发包人应负责赔偿以下各种情况造成的第三者人身伤亡和财产损失：</w:t>
      </w:r>
    </w:p>
    <w:p w14:paraId="0A6121D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工程或工程的任何部分对土地的占用所造成的第三者财产损失；</w:t>
      </w:r>
    </w:p>
    <w:p w14:paraId="17C4F3F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由于发包人原因在施工场地及其毗邻地带造成的第三者人身伤亡和财产损失。</w:t>
      </w:r>
    </w:p>
    <w:p w14:paraId="4C7C2CF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9.1.4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48DB8E0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9.1.5发包人按照已标价工程量清单所列金额和合同约定的计量支付规定，支付安全作业环境及安全施工措施所需费用。</w:t>
      </w:r>
    </w:p>
    <w:p w14:paraId="3E979E3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9.1.6发包人负责组织工程参建单位编制保证安全生产的措施方案。工程开工前，就落实安全生产的措施进行全面系统的布置，进一步明确承包人的安全生产责任。</w:t>
      </w:r>
    </w:p>
    <w:p w14:paraId="6FBA19E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9.1.7发包人负责在拆除工程和爆破工程施工14天前向有关部门或机构报送相关备案资料。</w:t>
      </w:r>
    </w:p>
    <w:p w14:paraId="622B2B2F">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65" w:name="_Toc22449"/>
      <w:bookmarkStart w:id="966" w:name="_Toc16472"/>
      <w:r>
        <w:rPr>
          <w:rFonts w:hint="eastAsia" w:ascii="宋体" w:hAnsi="宋体" w:eastAsia="宋体" w:cs="宋体"/>
          <w:color w:val="auto"/>
          <w:sz w:val="24"/>
          <w:szCs w:val="24"/>
          <w:highlight w:val="none"/>
        </w:rPr>
        <w:t>9.2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承包人的施工安全责任</w:t>
      </w:r>
      <w:bookmarkEnd w:id="965"/>
      <w:bookmarkEnd w:id="966"/>
    </w:p>
    <w:p w14:paraId="7C5685A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批复承包人。</w:t>
      </w:r>
    </w:p>
    <w:p w14:paraId="7AF4C1A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承包人应加强施工作业安全管理，特别应加强易燃、易爆材料、火工器材、有毒与腐蚀性材料和其他危险品的管理，以及对爆破作业和地下工程施工等危险作业的管理。</w:t>
      </w:r>
    </w:p>
    <w:p w14:paraId="39B7FEC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承包人应严格按照国家安全标准制定施工安全操作规程，配备必要的安全生产和劳动保护设施，加强对承包人人员的安全教育，并发放安全工作手册和劳动保护用具。</w:t>
      </w:r>
    </w:p>
    <w:p w14:paraId="1277D67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承包人应按监理人的指示制定应对灾害的紧急预案，报送监理人审批。承包人还应按预案做好安全检查，配置必要的救助物资和器材，切实保护好有关人员的人身和财产安全。</w:t>
      </w:r>
    </w:p>
    <w:p w14:paraId="5DDB9CF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2BF814C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9.2.6 承包人应对其履行合同所雇佣的全部人员，包括分包人人员的工伤事故承担责任，但由于发包人原因造成承包人人员工伤事故的，应由发包人承担责任。</w:t>
      </w:r>
    </w:p>
    <w:p w14:paraId="05D69E7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9.2.7 由于承包人原因在施工场地内及其毗邻地带造成的第三者人员伤亡和财产损失，由承包人负责赔偿。</w:t>
      </w:r>
    </w:p>
    <w:p w14:paraId="150ED39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9.2.8承包人已标价工程量清单应包含工程安全作业环境及安全施工措施所需费用。</w:t>
      </w:r>
    </w:p>
    <w:p w14:paraId="02E26AA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9.2.9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2061FDB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9.2.10承包人应设立安全生产管理机构，施工现场应有专职安全生产管理人员。</w:t>
      </w:r>
    </w:p>
    <w:p w14:paraId="4BE4B1D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9.2.11承包人应负责对特种作业人员进行专门的安全作业培训，并保证特种作业人员持证上岗。</w:t>
      </w:r>
    </w:p>
    <w:p w14:paraId="52C0A1B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9.2.12承包人应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3DE22DA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9.2.13承包人在使用施工起重机构和整体提升脚手架、模板等自升式架设设施前，应组织有关单位进行验收。</w:t>
      </w:r>
    </w:p>
    <w:p w14:paraId="47F4C080">
      <w:pPr>
        <w:pStyle w:val="13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color w:val="auto"/>
          <w:highlight w:val="none"/>
        </w:rPr>
      </w:pPr>
      <w:bookmarkStart w:id="967" w:name="_Toc14984"/>
      <w:bookmarkStart w:id="968" w:name="_Toc31183"/>
      <w:r>
        <w:rPr>
          <w:rFonts w:hint="eastAsia" w:ascii="宋体" w:hAnsi="宋体" w:eastAsia="宋体" w:cs="宋体"/>
          <w:b/>
          <w:bCs/>
          <w:color w:val="auto"/>
          <w:highlight w:val="none"/>
        </w:rPr>
        <w:t>9.3 治安保卫</w:t>
      </w:r>
      <w:bookmarkEnd w:id="967"/>
      <w:bookmarkEnd w:id="968"/>
    </w:p>
    <w:p w14:paraId="40992B5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9.3.1 除合同另有约定外，发包人应与当地公安部门协商，在现场建立治安管理机构或联防组织，统一管理施工场地的治安保卫事项，履行合同工程的治安保卫职责。</w:t>
      </w:r>
    </w:p>
    <w:p w14:paraId="57BF496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9.3.2 发包人和承包人除应协助现场治安管理机构或联防组织维护施工场地的社会治安外，还应做好包括生活区在内的各自管辖区的治安保卫工作。</w:t>
      </w:r>
    </w:p>
    <w:p w14:paraId="7FCDE6E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C3E3BE4">
      <w:pPr>
        <w:pStyle w:val="13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color w:val="auto"/>
          <w:highlight w:val="none"/>
        </w:rPr>
      </w:pPr>
      <w:bookmarkStart w:id="969" w:name="_Toc24019"/>
      <w:bookmarkStart w:id="970" w:name="_Toc11466"/>
      <w:r>
        <w:rPr>
          <w:rFonts w:hint="eastAsia" w:ascii="宋体" w:hAnsi="宋体" w:eastAsia="宋体" w:cs="宋体"/>
          <w:b/>
          <w:bCs/>
          <w:color w:val="auto"/>
          <w:highlight w:val="none"/>
        </w:rPr>
        <w:t>9.4 环境保护</w:t>
      </w:r>
      <w:bookmarkEnd w:id="969"/>
      <w:bookmarkEnd w:id="970"/>
    </w:p>
    <w:p w14:paraId="6AF31E2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9.4.1 承包人在施工过程中，应遵守有关环境保护的法律，履行合同约定的环境保护义务，并对违反法律和合同约定义务所造成的环境破坏、人身伤害和财产损失负责。</w:t>
      </w:r>
    </w:p>
    <w:p w14:paraId="15A85C3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9.4.2 承包人应按合同约定的环保工作内容，编制施工环保措施计划，报送监理人审批。</w:t>
      </w:r>
    </w:p>
    <w:p w14:paraId="7F5A41E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5E0267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9.4.4 承包人应按合同约定采取有效措施，对施工开挖的边坡及时进行支护,维护排水设施，并进行水土保护，避免因施工造成的地质灾害。</w:t>
      </w:r>
    </w:p>
    <w:p w14:paraId="09F82BE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9.4.5 承包人应按国家饮用水管理标准定期对饮用水源进行监测，防止施工活动污染饮用水源。</w:t>
      </w:r>
    </w:p>
    <w:p w14:paraId="33AD6A5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9.4.6 承包人应按合同约定，加强对噪声、粉尘、废气、废水和废油的控制，努力降低噪声，控制粉尘和废气浓度，做好废水和废油的治理和排放。</w:t>
      </w:r>
    </w:p>
    <w:p w14:paraId="5C446DD7">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71" w:name="_Toc354"/>
      <w:bookmarkStart w:id="972" w:name="_Toc7553"/>
      <w:r>
        <w:rPr>
          <w:rFonts w:hint="eastAsia" w:ascii="宋体" w:hAnsi="宋体" w:eastAsia="宋体" w:cs="宋体"/>
          <w:color w:val="auto"/>
          <w:sz w:val="24"/>
          <w:szCs w:val="24"/>
          <w:highlight w:val="none"/>
        </w:rPr>
        <w:t>9.5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事故处理</w:t>
      </w:r>
      <w:bookmarkEnd w:id="971"/>
      <w:bookmarkEnd w:id="972"/>
    </w:p>
    <w:p w14:paraId="149D416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9.5.1发包人负责组织制定本建设项目的质量与安全事故应急预案，建立质量与安全事故应急处置指挥部。</w:t>
      </w:r>
    </w:p>
    <w:p w14:paraId="0DEA7E8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9.5.2承包人应对易发生质量和安全事故的部位、环节的进行监控，配备救援器材、设备并定期组织演练。 </w:t>
      </w:r>
    </w:p>
    <w:p w14:paraId="47E558B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9.5.3工程开工前，承包人应根据本工程特点制定施工现场施工质量与安全事故应急预案，并报发包人备案。</w:t>
      </w:r>
    </w:p>
    <w:p w14:paraId="38FE8D0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9.5.4施工过程中发生事故时，发包人、承包人应立即启动应急预案。</w:t>
      </w:r>
    </w:p>
    <w:p w14:paraId="21C1380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9.5.5事故调查处理由发包人按相关规定履行手续，承包人应配合。</w:t>
      </w:r>
    </w:p>
    <w:p w14:paraId="1BF97CCA">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73" w:name="_Toc23504"/>
      <w:bookmarkStart w:id="974" w:name="_Toc30491"/>
      <w:r>
        <w:rPr>
          <w:rFonts w:hint="eastAsia" w:ascii="宋体" w:hAnsi="宋体" w:eastAsia="宋体" w:cs="宋体"/>
          <w:color w:val="auto"/>
          <w:sz w:val="24"/>
          <w:szCs w:val="24"/>
          <w:highlight w:val="none"/>
        </w:rPr>
        <w:t>9.6 水土保持</w:t>
      </w:r>
      <w:bookmarkEnd w:id="973"/>
      <w:bookmarkEnd w:id="974"/>
    </w:p>
    <w:p w14:paraId="1806173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9.6.1 发包人应及时向承包人提供水土保持方案。</w:t>
      </w:r>
    </w:p>
    <w:p w14:paraId="4ED3C65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9.6.2承包人在施工过程中，应遵守有关水土保持的法律，履行合同约定的水土保持义务，并对其违反法律和合同约定义务所造成的水土流失灾害、人身伤害和财产损失负责。</w:t>
      </w:r>
    </w:p>
    <w:p w14:paraId="7324F5D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9.6.3 承包人的水土保持措施计划，应满足技术标准和要求（合同技术条款）约定的要求。</w:t>
      </w:r>
    </w:p>
    <w:p w14:paraId="758F88B8">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9.7</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文明工地</w:t>
      </w:r>
    </w:p>
    <w:p w14:paraId="08604B0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9.7.1发包人应按专用合同条款的约定，负责建立创建文明建设工地的组织机构，制定创建文明建设工地的规划和办法。 </w:t>
      </w:r>
    </w:p>
    <w:p w14:paraId="40868A2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9.7.2承包人应按创建文明建设工地的规划和办法，履行职责，承担相应责任。所需费用应含在已标价工程量清单中。</w:t>
      </w:r>
    </w:p>
    <w:p w14:paraId="236D179F">
      <w:pPr>
        <w:pageBreakBefore w:val="0"/>
        <w:widowControl w:val="0"/>
        <w:kinsoku/>
        <w:wordWrap/>
        <w:overflowPunct/>
        <w:topLinePunct w:val="0"/>
        <w:bidi w:val="0"/>
        <w:snapToGrid/>
        <w:spacing w:beforeAutospacing="0" w:afterAutospacing="0" w:line="360" w:lineRule="auto"/>
        <w:ind w:left="0" w:leftChars="0" w:right="0"/>
        <w:textAlignment w:val="auto"/>
        <w:outlineLvl w:val="0"/>
        <w:rPr>
          <w:rFonts w:hint="eastAsia" w:ascii="宋体" w:hAnsi="宋体" w:eastAsia="宋体" w:cs="宋体"/>
          <w:b/>
          <w:color w:val="auto"/>
          <w:sz w:val="24"/>
          <w:highlight w:val="none"/>
        </w:rPr>
      </w:pPr>
      <w:bookmarkStart w:id="975" w:name="_Toc8548"/>
      <w:bookmarkStart w:id="976" w:name="_Toc8319"/>
      <w:r>
        <w:rPr>
          <w:rFonts w:hint="eastAsia" w:ascii="宋体" w:hAnsi="宋体" w:eastAsia="宋体" w:cs="宋体"/>
          <w:b/>
          <w:color w:val="auto"/>
          <w:sz w:val="24"/>
          <w:highlight w:val="none"/>
        </w:rPr>
        <w:t>9.8</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防汛度汛</w:t>
      </w:r>
      <w:bookmarkEnd w:id="975"/>
      <w:bookmarkEnd w:id="976"/>
    </w:p>
    <w:p w14:paraId="11447F5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9.8.1发包人负责组织工程参建单位编制本工程的度汛方案和措施。</w:t>
      </w:r>
    </w:p>
    <w:p w14:paraId="2728E40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9.8.2承包人应根据发包人编制的本工程度汛方案和措施，制定相应的度汛方案，报发包人批准后实施。</w:t>
      </w:r>
    </w:p>
    <w:p w14:paraId="2CC3735C">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77" w:name="_Toc9598"/>
      <w:bookmarkStart w:id="978" w:name="_Toc5487"/>
      <w:r>
        <w:rPr>
          <w:rFonts w:hint="eastAsia" w:ascii="宋体" w:hAnsi="宋体" w:eastAsia="宋体" w:cs="宋体"/>
          <w:b/>
          <w:bCs w:val="0"/>
          <w:color w:val="auto"/>
          <w:sz w:val="28"/>
          <w:szCs w:val="28"/>
          <w:highlight w:val="none"/>
        </w:rPr>
        <w:t>10 进度计划</w:t>
      </w:r>
      <w:bookmarkEnd w:id="977"/>
      <w:bookmarkEnd w:id="978"/>
    </w:p>
    <w:p w14:paraId="476B1E08">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79" w:name="_Toc26682"/>
      <w:bookmarkStart w:id="980" w:name="_Toc24672"/>
      <w:r>
        <w:rPr>
          <w:rFonts w:hint="eastAsia" w:ascii="宋体" w:hAnsi="宋体" w:eastAsia="宋体" w:cs="宋体"/>
          <w:b/>
          <w:bCs w:val="0"/>
          <w:color w:val="auto"/>
          <w:sz w:val="24"/>
          <w:szCs w:val="24"/>
          <w:highlight w:val="none"/>
        </w:rPr>
        <w:t>10.1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合同进度计划</w:t>
      </w:r>
      <w:bookmarkEnd w:id="979"/>
      <w:bookmarkEnd w:id="980"/>
    </w:p>
    <w:p w14:paraId="5B4B817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合同进度计划，是控制合同工程进度的依据。承包人还应根据合同进度计划，编制更为详细的分阶段或单位工程或分部工程进度计划，报监理人审批。</w:t>
      </w:r>
    </w:p>
    <w:p w14:paraId="2273BB6F">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81" w:name="_Toc18717"/>
      <w:bookmarkStart w:id="982" w:name="_Toc3128"/>
      <w:r>
        <w:rPr>
          <w:rFonts w:hint="eastAsia" w:ascii="宋体" w:hAnsi="宋体" w:eastAsia="宋体" w:cs="宋体"/>
          <w:color w:val="auto"/>
          <w:sz w:val="24"/>
          <w:szCs w:val="24"/>
          <w:highlight w:val="none"/>
        </w:rPr>
        <w:t>10.2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合同进度计划的修订</w:t>
      </w:r>
      <w:bookmarkEnd w:id="981"/>
      <w:bookmarkEnd w:id="982"/>
    </w:p>
    <w:p w14:paraId="5100E70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672ECF4C">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施工进度计划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78D422D5">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83" w:name="_Toc13805"/>
      <w:bookmarkStart w:id="984" w:name="_Toc30605"/>
      <w:r>
        <w:rPr>
          <w:rFonts w:hint="eastAsia" w:ascii="宋体" w:hAnsi="宋体" w:eastAsia="宋体" w:cs="宋体"/>
          <w:color w:val="auto"/>
          <w:sz w:val="24"/>
          <w:szCs w:val="24"/>
          <w:highlight w:val="none"/>
        </w:rPr>
        <w:t>10.3 单位工程进度计划</w:t>
      </w:r>
      <w:bookmarkEnd w:id="983"/>
      <w:bookmarkEnd w:id="984"/>
    </w:p>
    <w:p w14:paraId="1D8B13C7">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监理人认为有必要时，承包人应按监理人指示的内容和期限，并根据合同进度计划的进度控制要求，编制单位工程进度计划，提交监理人审批。</w:t>
      </w:r>
    </w:p>
    <w:p w14:paraId="4DB85EA4">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85" w:name="_Toc27216"/>
      <w:bookmarkStart w:id="986" w:name="_Toc24792"/>
      <w:r>
        <w:rPr>
          <w:rFonts w:hint="eastAsia" w:ascii="宋体" w:hAnsi="宋体" w:eastAsia="宋体" w:cs="宋体"/>
          <w:color w:val="auto"/>
          <w:sz w:val="24"/>
          <w:szCs w:val="24"/>
          <w:highlight w:val="none"/>
        </w:rPr>
        <w:t>10.4 提交资金流估算表</w:t>
      </w:r>
      <w:bookmarkEnd w:id="985"/>
      <w:bookmarkEnd w:id="986"/>
    </w:p>
    <w:p w14:paraId="0C55D0EC">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6B04C59B">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r>
        <w:rPr>
          <w:rFonts w:hint="eastAsia" w:ascii="宋体" w:hAnsi="宋体" w:eastAsia="宋体" w:cs="宋体"/>
          <w:b/>
          <w:color w:val="auto"/>
          <w:sz w:val="24"/>
          <w:highlight w:val="none"/>
        </w:rPr>
        <w:t xml:space="preserve">                       资金流估算表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参考格式</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金额单位</w:t>
      </w:r>
      <w:r>
        <w:rPr>
          <w:rFonts w:hint="eastAsia" w:ascii="宋体" w:hAnsi="宋体" w:eastAsia="宋体" w:cs="宋体"/>
          <w:color w:val="auto"/>
          <w:szCs w:val="21"/>
          <w:highlight w:val="none"/>
          <w:u w:val="single"/>
        </w:rPr>
        <w:t xml:space="preserve">       </w:t>
      </w:r>
    </w:p>
    <w:tbl>
      <w:tblPr>
        <w:tblStyle w:val="46"/>
        <w:tblW w:w="90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03"/>
        <w:gridCol w:w="992"/>
        <w:gridCol w:w="1276"/>
        <w:gridCol w:w="992"/>
        <w:gridCol w:w="993"/>
        <w:gridCol w:w="992"/>
        <w:gridCol w:w="766"/>
        <w:gridCol w:w="1050"/>
        <w:gridCol w:w="1155"/>
      </w:tblGrid>
      <w:tr w14:paraId="0FBF2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59023F7E">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年</w:t>
            </w:r>
          </w:p>
        </w:tc>
        <w:tc>
          <w:tcPr>
            <w:tcW w:w="403" w:type="dxa"/>
            <w:vAlign w:val="center"/>
          </w:tcPr>
          <w:p w14:paraId="6AA4F45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月</w:t>
            </w:r>
          </w:p>
        </w:tc>
        <w:tc>
          <w:tcPr>
            <w:tcW w:w="992" w:type="dxa"/>
            <w:vAlign w:val="center"/>
          </w:tcPr>
          <w:p w14:paraId="6262FA7F">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工程预付款</w:t>
            </w:r>
          </w:p>
        </w:tc>
        <w:tc>
          <w:tcPr>
            <w:tcW w:w="1276" w:type="dxa"/>
            <w:vAlign w:val="center"/>
          </w:tcPr>
          <w:p w14:paraId="541CDA6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完成工作量付款</w:t>
            </w:r>
          </w:p>
        </w:tc>
        <w:tc>
          <w:tcPr>
            <w:tcW w:w="992" w:type="dxa"/>
            <w:vAlign w:val="center"/>
          </w:tcPr>
          <w:p w14:paraId="7EC52EBF">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保留金扣留</w:t>
            </w:r>
          </w:p>
        </w:tc>
        <w:tc>
          <w:tcPr>
            <w:tcW w:w="993" w:type="dxa"/>
            <w:vAlign w:val="center"/>
          </w:tcPr>
          <w:p w14:paraId="0FCCCAD4">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材料款扣除</w:t>
            </w:r>
          </w:p>
        </w:tc>
        <w:tc>
          <w:tcPr>
            <w:tcW w:w="992" w:type="dxa"/>
            <w:vAlign w:val="center"/>
          </w:tcPr>
          <w:p w14:paraId="0D152D7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预付款扣还</w:t>
            </w:r>
          </w:p>
        </w:tc>
        <w:tc>
          <w:tcPr>
            <w:tcW w:w="766" w:type="dxa"/>
            <w:vAlign w:val="center"/>
          </w:tcPr>
          <w:p w14:paraId="30219E7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其他</w:t>
            </w:r>
          </w:p>
        </w:tc>
        <w:tc>
          <w:tcPr>
            <w:tcW w:w="1050" w:type="dxa"/>
            <w:vAlign w:val="center"/>
          </w:tcPr>
          <w:p w14:paraId="06BF4C0D">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应收款</w:t>
            </w:r>
          </w:p>
        </w:tc>
        <w:tc>
          <w:tcPr>
            <w:tcW w:w="1155" w:type="dxa"/>
            <w:vAlign w:val="center"/>
          </w:tcPr>
          <w:p w14:paraId="139FFBBB">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累计应收款</w:t>
            </w:r>
          </w:p>
        </w:tc>
      </w:tr>
      <w:tr w14:paraId="15C47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6C9482D6">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403" w:type="dxa"/>
            <w:vAlign w:val="center"/>
          </w:tcPr>
          <w:p w14:paraId="7CD3EB24">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14:paraId="1F7D5E3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276" w:type="dxa"/>
            <w:vAlign w:val="center"/>
          </w:tcPr>
          <w:p w14:paraId="7E58FE0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14:paraId="7D7A752A">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3" w:type="dxa"/>
            <w:vAlign w:val="center"/>
          </w:tcPr>
          <w:p w14:paraId="6607411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14:paraId="345943CD">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766" w:type="dxa"/>
          </w:tcPr>
          <w:p w14:paraId="6C8B1C11">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050" w:type="dxa"/>
          </w:tcPr>
          <w:p w14:paraId="4D84E7F2">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155" w:type="dxa"/>
            <w:vAlign w:val="center"/>
          </w:tcPr>
          <w:p w14:paraId="3DE90B0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r>
      <w:tr w14:paraId="7EF08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462CE084">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403" w:type="dxa"/>
            <w:vAlign w:val="center"/>
          </w:tcPr>
          <w:p w14:paraId="3AE6553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14:paraId="42D2F0AF">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276" w:type="dxa"/>
            <w:vAlign w:val="center"/>
          </w:tcPr>
          <w:p w14:paraId="40D8795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14:paraId="103BA30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3" w:type="dxa"/>
            <w:vAlign w:val="center"/>
          </w:tcPr>
          <w:p w14:paraId="260556F0">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14:paraId="74D6D008">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766" w:type="dxa"/>
          </w:tcPr>
          <w:p w14:paraId="15A39DCB">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050" w:type="dxa"/>
          </w:tcPr>
          <w:p w14:paraId="6887559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155" w:type="dxa"/>
            <w:vAlign w:val="center"/>
          </w:tcPr>
          <w:p w14:paraId="56E0640D">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r>
      <w:tr w14:paraId="6E5CB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2809186F">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403" w:type="dxa"/>
            <w:vAlign w:val="center"/>
          </w:tcPr>
          <w:p w14:paraId="1DCAB01E">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14:paraId="227EE9FA">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276" w:type="dxa"/>
            <w:vAlign w:val="center"/>
          </w:tcPr>
          <w:p w14:paraId="286E374F">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14:paraId="2347F322">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3" w:type="dxa"/>
            <w:vAlign w:val="center"/>
          </w:tcPr>
          <w:p w14:paraId="33A4251A">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992" w:type="dxa"/>
            <w:vAlign w:val="center"/>
          </w:tcPr>
          <w:p w14:paraId="05D0A84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766" w:type="dxa"/>
          </w:tcPr>
          <w:p w14:paraId="504FB82C">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050" w:type="dxa"/>
          </w:tcPr>
          <w:p w14:paraId="35584F9D">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c>
          <w:tcPr>
            <w:tcW w:w="1155" w:type="dxa"/>
            <w:vAlign w:val="center"/>
          </w:tcPr>
          <w:p w14:paraId="1F56BF0D">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 w:val="24"/>
                <w:highlight w:val="none"/>
              </w:rPr>
            </w:pPr>
          </w:p>
        </w:tc>
      </w:tr>
    </w:tbl>
    <w:p w14:paraId="35EBFA19">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987" w:name="_Toc942"/>
      <w:bookmarkStart w:id="988" w:name="_Toc6323"/>
      <w:r>
        <w:rPr>
          <w:rFonts w:hint="eastAsia" w:ascii="宋体" w:hAnsi="宋体" w:eastAsia="宋体" w:cs="宋体"/>
          <w:b/>
          <w:bCs w:val="0"/>
          <w:color w:val="auto"/>
          <w:sz w:val="28"/>
          <w:szCs w:val="28"/>
          <w:highlight w:val="none"/>
        </w:rPr>
        <w:t>11 开工和竣工（完工）</w:t>
      </w:r>
      <w:bookmarkEnd w:id="987"/>
      <w:bookmarkEnd w:id="988"/>
    </w:p>
    <w:p w14:paraId="45F98391">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989" w:name="_Toc29393"/>
      <w:bookmarkStart w:id="990" w:name="_Toc24890"/>
      <w:r>
        <w:rPr>
          <w:rFonts w:hint="eastAsia" w:ascii="宋体" w:hAnsi="宋体" w:eastAsia="宋体" w:cs="宋体"/>
          <w:b/>
          <w:bCs w:val="0"/>
          <w:color w:val="auto"/>
          <w:sz w:val="24"/>
          <w:szCs w:val="24"/>
          <w:highlight w:val="none"/>
        </w:rPr>
        <w:t>11.1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开工</w:t>
      </w:r>
      <w:bookmarkEnd w:id="989"/>
      <w:bookmarkEnd w:id="990"/>
    </w:p>
    <w:p w14:paraId="2EF86FC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4AD3E92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shd w:val="pct10" w:color="auto" w:fill="FFFFFF"/>
        </w:rPr>
      </w:pPr>
      <w:r>
        <w:rPr>
          <w:rFonts w:hint="eastAsia" w:ascii="宋体" w:hAnsi="宋体" w:eastAsia="宋体" w:cs="宋体"/>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8374F3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14:paraId="52379D3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226514BE">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91" w:name="_Toc801"/>
      <w:bookmarkStart w:id="992" w:name="_Toc10641"/>
      <w:r>
        <w:rPr>
          <w:rFonts w:hint="eastAsia" w:ascii="宋体" w:hAnsi="宋体" w:eastAsia="宋体" w:cs="宋体"/>
          <w:b/>
          <w:bCs/>
          <w:color w:val="auto"/>
          <w:sz w:val="24"/>
          <w:szCs w:val="20"/>
          <w:highlight w:val="none"/>
        </w:rPr>
        <w:t>11.2 竣工（完工）</w:t>
      </w:r>
      <w:bookmarkEnd w:id="991"/>
      <w:bookmarkEnd w:id="992"/>
    </w:p>
    <w:p w14:paraId="79E4CFB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承包人应在第1.1.4.3目约定的期限内完成合同工程。合同工程实际完工日期在合同工程完工证书中明确。</w:t>
      </w:r>
    </w:p>
    <w:p w14:paraId="08DB9390">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993" w:name="_Toc21561"/>
      <w:bookmarkStart w:id="994" w:name="_Toc19127"/>
      <w:r>
        <w:rPr>
          <w:rFonts w:hint="eastAsia" w:ascii="宋体" w:hAnsi="宋体" w:eastAsia="宋体" w:cs="宋体"/>
          <w:b/>
          <w:bCs/>
          <w:color w:val="auto"/>
          <w:sz w:val="24"/>
          <w:szCs w:val="20"/>
          <w:highlight w:val="none"/>
        </w:rPr>
        <w:t>11.3 发包人的工期延误</w:t>
      </w:r>
      <w:bookmarkEnd w:id="993"/>
      <w:bookmarkEnd w:id="994"/>
    </w:p>
    <w:p w14:paraId="0AF5557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在履行合同过程中，由于发包人的下列原因造成工期延误的，承包人有权要求发包人延长工期和（或）增加费用，并支付合理利润。需要修订合同进度计划的，按照第10.2款的约定办理。</w:t>
      </w:r>
    </w:p>
    <w:p w14:paraId="1BA20797">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（1）增加合同工作内容；</w:t>
      </w:r>
    </w:p>
    <w:p w14:paraId="1EB6FE80">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（2）改变合同中任何一项工作的质量要求或其他特性；</w:t>
      </w:r>
    </w:p>
    <w:p w14:paraId="7D16AAAC">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（3）发包人迟延提供材料、工程设备或变更交货地点的；</w:t>
      </w:r>
    </w:p>
    <w:p w14:paraId="662CF781">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（4）因发包人原因导致的暂停施工；</w:t>
      </w:r>
    </w:p>
    <w:p w14:paraId="3DAC1B0F">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（5）提供图纸延误；</w:t>
      </w:r>
    </w:p>
    <w:p w14:paraId="25F549A8">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（6）未按合同约定及时支付预付款、进度款；</w:t>
      </w:r>
    </w:p>
    <w:p w14:paraId="2AA5BAEF">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（7）发包人造成工期延误的其他原因。</w:t>
      </w:r>
    </w:p>
    <w:p w14:paraId="0EF6B901">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95" w:name="_Toc19688"/>
      <w:bookmarkStart w:id="996" w:name="_Toc5460"/>
      <w:r>
        <w:rPr>
          <w:rFonts w:hint="eastAsia" w:ascii="宋体" w:hAnsi="宋体" w:eastAsia="宋体" w:cs="宋体"/>
          <w:color w:val="auto"/>
          <w:sz w:val="24"/>
          <w:szCs w:val="24"/>
          <w:highlight w:val="none"/>
        </w:rPr>
        <w:t>11.4</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异常恶劣的气候条件</w:t>
      </w:r>
      <w:bookmarkEnd w:id="995"/>
      <w:bookmarkEnd w:id="996"/>
    </w:p>
    <w:p w14:paraId="192CF2A3">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11.4.1当工程所在地发生危及施工安全的异常恶劣气候时，发包人和承包人应按本合同通用合同条款第12条的约定，及时采取暂停施工或部分暂停施工措施。异常恶劣气候条件解除后，承包人应及时安排复工。</w:t>
      </w:r>
    </w:p>
    <w:p w14:paraId="738BBFFD">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11.4.2异常恶劣气候条件造成的工期延误和工程损坏，应由发包人与承包人参照本合同通用合同条款第21.3款的约定共同协商处理。</w:t>
      </w:r>
    </w:p>
    <w:p w14:paraId="0A8679E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11.4.3 本合同工程界定异常恶劣气候条件的范围在专用合同条款中约定。</w:t>
      </w:r>
    </w:p>
    <w:p w14:paraId="46DA8CD7">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97" w:name="_Toc28819"/>
      <w:bookmarkStart w:id="998" w:name="_Toc11731"/>
      <w:r>
        <w:rPr>
          <w:rFonts w:hint="eastAsia" w:ascii="宋体" w:hAnsi="宋体" w:eastAsia="宋体" w:cs="宋体"/>
          <w:color w:val="auto"/>
          <w:sz w:val="24"/>
          <w:szCs w:val="24"/>
          <w:highlight w:val="none"/>
        </w:rPr>
        <w:t>11.5 承包人工期延误</w:t>
      </w:r>
      <w:bookmarkEnd w:id="997"/>
      <w:bookmarkEnd w:id="998"/>
    </w:p>
    <w:p w14:paraId="6A33E9C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373C0365">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999" w:name="_Toc19293"/>
      <w:bookmarkStart w:id="1000" w:name="_Toc4099"/>
      <w:r>
        <w:rPr>
          <w:rFonts w:hint="eastAsia" w:ascii="宋体" w:hAnsi="宋体" w:eastAsia="宋体" w:cs="宋体"/>
          <w:color w:val="auto"/>
          <w:sz w:val="24"/>
          <w:szCs w:val="24"/>
          <w:highlight w:val="none"/>
        </w:rPr>
        <w:t>11.6</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工期提前</w:t>
      </w:r>
      <w:bookmarkEnd w:id="999"/>
      <w:bookmarkEnd w:id="1000"/>
    </w:p>
    <w:p w14:paraId="3CCD9D1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FC0AF8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发包人要求提前完工的，双方协商一致后应签订提前完工协议，协议内容包括：</w:t>
      </w:r>
    </w:p>
    <w:p w14:paraId="0CAF624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提前的时间和修订后的进度计划。</w:t>
      </w:r>
    </w:p>
    <w:p w14:paraId="0D93D28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（2）承包人的赶工措施。</w:t>
      </w:r>
    </w:p>
    <w:p w14:paraId="3503AF1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（3）发包人为赶工提供的条件。</w:t>
      </w:r>
    </w:p>
    <w:p w14:paraId="31969AB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（4）赶工费用（包括利润和奖金）</w:t>
      </w:r>
    </w:p>
    <w:p w14:paraId="16FA4602">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01" w:name="_Toc3659"/>
      <w:bookmarkStart w:id="1002" w:name="_Toc14042"/>
      <w:r>
        <w:rPr>
          <w:rFonts w:hint="eastAsia" w:ascii="宋体" w:hAnsi="宋体" w:eastAsia="宋体" w:cs="宋体"/>
          <w:b/>
          <w:bCs w:val="0"/>
          <w:color w:val="auto"/>
          <w:sz w:val="28"/>
          <w:szCs w:val="28"/>
          <w:highlight w:val="none"/>
        </w:rPr>
        <w:t>12. 暂停施工</w:t>
      </w:r>
      <w:bookmarkEnd w:id="1001"/>
      <w:bookmarkEnd w:id="1002"/>
    </w:p>
    <w:p w14:paraId="67B6D529">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4"/>
          <w:highlight w:val="none"/>
        </w:rPr>
      </w:pPr>
      <w:bookmarkStart w:id="1003" w:name="_Toc10454"/>
      <w:bookmarkStart w:id="1004" w:name="_Toc7568"/>
      <w:r>
        <w:rPr>
          <w:rFonts w:hint="eastAsia" w:ascii="宋体" w:hAnsi="宋体" w:eastAsia="宋体" w:cs="宋体"/>
          <w:b/>
          <w:bCs w:val="0"/>
          <w:color w:val="auto"/>
          <w:sz w:val="24"/>
          <w:szCs w:val="24"/>
          <w:highlight w:val="none"/>
        </w:rPr>
        <w:t>12.1 承包人暂停施工的责任</w:t>
      </w:r>
      <w:bookmarkEnd w:id="1003"/>
      <w:bookmarkEnd w:id="1004"/>
    </w:p>
    <w:p w14:paraId="4A60E40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14:paraId="3FADB172">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（1）承包人违约引起的暂停施工；</w:t>
      </w:r>
    </w:p>
    <w:p w14:paraId="7075D633">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（2）由于承包人原因为工程合理施工和安全保障所必需的暂停施工；</w:t>
      </w:r>
    </w:p>
    <w:p w14:paraId="51F75AEA">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（3）承包人擅自暂停施工；</w:t>
      </w:r>
    </w:p>
    <w:p w14:paraId="02628A38">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（4）承包人其他原因引起的暂停施工；</w:t>
      </w:r>
    </w:p>
    <w:p w14:paraId="281A1B34">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（5）专用合同条款约定由承包人承担的其他暂停施工。</w:t>
      </w:r>
    </w:p>
    <w:p w14:paraId="03431ECB">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05" w:name="_Toc32140"/>
      <w:bookmarkStart w:id="1006" w:name="_Toc10114"/>
      <w:r>
        <w:rPr>
          <w:rFonts w:hint="eastAsia" w:ascii="宋体" w:hAnsi="宋体" w:eastAsia="宋体" w:cs="宋体"/>
          <w:color w:val="auto"/>
          <w:sz w:val="24"/>
          <w:szCs w:val="24"/>
          <w:highlight w:val="none"/>
        </w:rPr>
        <w:t>12.2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发包人暂停施工的责任</w:t>
      </w:r>
      <w:bookmarkEnd w:id="1005"/>
      <w:bookmarkEnd w:id="1006"/>
    </w:p>
    <w:p w14:paraId="2FC40120">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由于发包人原因引起的暂停施工造成工期延误的，承包人有权要求发包人延长工期和（或）增加费用，并支付合理利润。</w:t>
      </w:r>
    </w:p>
    <w:p w14:paraId="43C4013A">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属于下列任何一种情况引起的暂停施工，均为发包人的责任：</w:t>
      </w:r>
    </w:p>
    <w:p w14:paraId="4D647BC2">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由于发包人违约引起的暂停施工。</w:t>
      </w:r>
    </w:p>
    <w:p w14:paraId="32776D7F">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由于不可抗力的自然或社会因素引起的暂停施工。</w:t>
      </w:r>
    </w:p>
    <w:p w14:paraId="28472E6D">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专用合同条款中约定的其它由于发包人原因引起的暂停施工。</w:t>
      </w:r>
    </w:p>
    <w:p w14:paraId="67A0E4D2">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07" w:name="_Toc9433"/>
      <w:bookmarkStart w:id="1008" w:name="_Toc25238"/>
      <w:r>
        <w:rPr>
          <w:rFonts w:hint="eastAsia" w:ascii="宋体" w:hAnsi="宋体" w:eastAsia="宋体" w:cs="宋体"/>
          <w:b/>
          <w:bCs/>
          <w:color w:val="auto"/>
          <w:sz w:val="24"/>
          <w:szCs w:val="20"/>
          <w:highlight w:val="none"/>
        </w:rPr>
        <w:t>12.3 监理人暂停施工指示</w:t>
      </w:r>
      <w:bookmarkEnd w:id="1007"/>
      <w:bookmarkEnd w:id="1008"/>
    </w:p>
    <w:p w14:paraId="75AA5EA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56E554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DBC71E9">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09" w:name="_Toc26126"/>
      <w:bookmarkStart w:id="1010" w:name="_Toc3666"/>
      <w:r>
        <w:rPr>
          <w:rFonts w:hint="eastAsia" w:ascii="宋体" w:hAnsi="宋体" w:eastAsia="宋体" w:cs="宋体"/>
          <w:b/>
          <w:bCs/>
          <w:color w:val="auto"/>
          <w:sz w:val="24"/>
          <w:szCs w:val="20"/>
          <w:highlight w:val="none"/>
        </w:rPr>
        <w:t>12.4 暂停施工后的复工</w:t>
      </w:r>
      <w:bookmarkEnd w:id="1009"/>
      <w:bookmarkEnd w:id="1010"/>
    </w:p>
    <w:p w14:paraId="4FE2256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78C5C20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12.4.2 承包人无故拖延和拒绝复工的，由此增加的费用和工期延误由承包人承担；因发包人原因无法按时复工的，承包人有权要求发包人延长工期和（或）增加费用，并支付合理利润。</w:t>
      </w:r>
    </w:p>
    <w:p w14:paraId="03D416F3">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11" w:name="_Toc1210"/>
      <w:bookmarkStart w:id="1012" w:name="_Toc16186"/>
      <w:r>
        <w:rPr>
          <w:rFonts w:hint="eastAsia" w:ascii="宋体" w:hAnsi="宋体" w:eastAsia="宋体" w:cs="宋体"/>
          <w:b/>
          <w:bCs/>
          <w:color w:val="auto"/>
          <w:sz w:val="24"/>
          <w:szCs w:val="20"/>
          <w:highlight w:val="none"/>
        </w:rPr>
        <w:t>12.5 暂停施工持续56天以上</w:t>
      </w:r>
      <w:bookmarkEnd w:id="1011"/>
      <w:bookmarkEnd w:id="1012"/>
    </w:p>
    <w:p w14:paraId="0996EF9C">
      <w:pPr>
        <w:pageBreakBefore w:val="0"/>
        <w:widowControl w:val="0"/>
        <w:kinsoku/>
        <w:wordWrap/>
        <w:overflowPunct/>
        <w:topLinePunct w:val="0"/>
        <w:bidi w:val="0"/>
        <w:snapToGrid/>
        <w:spacing w:beforeAutospacing="0" w:afterAutospacing="0" w:line="360" w:lineRule="auto"/>
        <w:ind w:left="0" w:leftChars="0" w:right="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54CB4EC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12.5.2 由于承包人责任引起的暂停施工，如承包人在收到监理人暂停施工指示后56天内不认真采取有效的复工措施，造成工期延误，可视为承包人违约，应按第22.1款的约定办理。</w:t>
      </w:r>
    </w:p>
    <w:p w14:paraId="3EDF8FC1">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13" w:name="_Toc17392"/>
      <w:bookmarkStart w:id="1014" w:name="_Toc22077"/>
      <w:r>
        <w:rPr>
          <w:rFonts w:hint="eastAsia" w:ascii="宋体" w:hAnsi="宋体" w:eastAsia="宋体" w:cs="宋体"/>
          <w:b/>
          <w:bCs w:val="0"/>
          <w:color w:val="auto"/>
          <w:sz w:val="28"/>
          <w:szCs w:val="28"/>
          <w:highlight w:val="none"/>
        </w:rPr>
        <w:t>13. 工程质量</w:t>
      </w:r>
      <w:bookmarkEnd w:id="1013"/>
      <w:bookmarkEnd w:id="1014"/>
    </w:p>
    <w:p w14:paraId="1235153D">
      <w:pPr>
        <w:pStyle w:val="13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highlight w:val="none"/>
        </w:rPr>
      </w:pPr>
      <w:bookmarkStart w:id="1015" w:name="_Toc7152"/>
      <w:bookmarkStart w:id="1016" w:name="_Toc6687"/>
      <w:r>
        <w:rPr>
          <w:rFonts w:hint="eastAsia" w:ascii="宋体" w:hAnsi="宋体" w:eastAsia="宋体" w:cs="宋体"/>
          <w:b/>
          <w:bCs w:val="0"/>
          <w:color w:val="auto"/>
          <w:highlight w:val="none"/>
        </w:rPr>
        <w:t>13.1 工程质量要求</w:t>
      </w:r>
      <w:bookmarkEnd w:id="1015"/>
      <w:bookmarkEnd w:id="1016"/>
    </w:p>
    <w:p w14:paraId="495C4C1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13.1.1 工程质量验收按合同约定验收标准执行。</w:t>
      </w:r>
    </w:p>
    <w:p w14:paraId="3D54CED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13.1.2 因承包人原因造成工程质量达不到合同约定验收标准的，监理人有权要求承包人返工直至符合合同要求为止，由此造成的费用增加和（或）工期延误由承包人承担。</w:t>
      </w:r>
    </w:p>
    <w:p w14:paraId="43A38DC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13.1.3 因发包人原因造成工程质量达不到合同约定验收标准的，发包人应承担由于承包人返工造成的费用增加和（或）工期延误，并支付承包人合理利润。</w:t>
      </w:r>
    </w:p>
    <w:p w14:paraId="4878961C">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17" w:name="_Toc11422"/>
      <w:bookmarkStart w:id="1018" w:name="_Toc21198"/>
      <w:r>
        <w:rPr>
          <w:rFonts w:hint="eastAsia" w:ascii="宋体" w:hAnsi="宋体" w:eastAsia="宋体" w:cs="宋体"/>
          <w:b/>
          <w:bCs/>
          <w:color w:val="auto"/>
          <w:sz w:val="24"/>
          <w:szCs w:val="20"/>
          <w:highlight w:val="none"/>
        </w:rPr>
        <w:t>13.2 承包人的质量管理</w:t>
      </w:r>
      <w:bookmarkEnd w:id="1017"/>
      <w:bookmarkEnd w:id="1018"/>
    </w:p>
    <w:p w14:paraId="212C9BD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监批。监理人应在技术标准和要求（合同技术条款）约定期限内批复承包人。</w:t>
      </w:r>
    </w:p>
    <w:p w14:paraId="0E735FE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13.2.2 承包人应加强对施工人员的质量教育和技术培训，定期考核施工人员的劳动技能，严格执行规范和操作规程。</w:t>
      </w:r>
    </w:p>
    <w:p w14:paraId="038673B4">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19" w:name="_Toc12865"/>
      <w:bookmarkStart w:id="1020" w:name="_Toc12094"/>
      <w:r>
        <w:rPr>
          <w:rFonts w:hint="eastAsia" w:ascii="宋体" w:hAnsi="宋体" w:eastAsia="宋体" w:cs="宋体"/>
          <w:b/>
          <w:bCs/>
          <w:color w:val="auto"/>
          <w:sz w:val="24"/>
          <w:szCs w:val="20"/>
          <w:highlight w:val="none"/>
        </w:rPr>
        <w:t>13.3 承包人的质量检查</w:t>
      </w:r>
      <w:bookmarkEnd w:id="1019"/>
      <w:bookmarkEnd w:id="1020"/>
    </w:p>
    <w:p w14:paraId="4409675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14:paraId="0960CADF">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21" w:name="_Toc29681"/>
      <w:bookmarkStart w:id="1022" w:name="_Toc18230"/>
      <w:r>
        <w:rPr>
          <w:rFonts w:hint="eastAsia" w:ascii="宋体" w:hAnsi="宋体" w:eastAsia="宋体" w:cs="宋体"/>
          <w:b/>
          <w:bCs/>
          <w:color w:val="auto"/>
          <w:sz w:val="24"/>
          <w:szCs w:val="20"/>
          <w:highlight w:val="none"/>
        </w:rPr>
        <w:t>13.4 监理人的质量检查</w:t>
      </w:r>
      <w:bookmarkEnd w:id="1021"/>
      <w:bookmarkEnd w:id="1022"/>
    </w:p>
    <w:p w14:paraId="62CC1CF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4AA72D62">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23" w:name="_Toc30009"/>
      <w:bookmarkStart w:id="1024" w:name="_Toc2617"/>
      <w:r>
        <w:rPr>
          <w:rFonts w:hint="eastAsia" w:ascii="宋体" w:hAnsi="宋体" w:eastAsia="宋体" w:cs="宋体"/>
          <w:b/>
          <w:bCs/>
          <w:color w:val="auto"/>
          <w:sz w:val="24"/>
          <w:szCs w:val="20"/>
          <w:highlight w:val="none"/>
        </w:rPr>
        <w:t>13.5 工程隐蔽部位覆盖前的检查</w:t>
      </w:r>
      <w:bookmarkEnd w:id="1023"/>
      <w:bookmarkEnd w:id="1024"/>
    </w:p>
    <w:p w14:paraId="38EEFE2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13.5.1 通知监理人检查</w:t>
      </w:r>
    </w:p>
    <w:p w14:paraId="61DDD52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E87C2A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13.5.2 监理人未到场检查</w:t>
      </w:r>
    </w:p>
    <w:p w14:paraId="7EBAA70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0971030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13.5.3 监理人重新检查</w:t>
      </w:r>
    </w:p>
    <w:p w14:paraId="785B97A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19B86E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13.5.4 承包人私自覆盖</w:t>
      </w:r>
    </w:p>
    <w:p w14:paraId="37A2DB7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14:paraId="04F5F888">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25" w:name="_Toc777"/>
      <w:bookmarkStart w:id="1026" w:name="_Toc18715"/>
      <w:r>
        <w:rPr>
          <w:rFonts w:hint="eastAsia" w:ascii="宋体" w:hAnsi="宋体" w:eastAsia="宋体" w:cs="宋体"/>
          <w:b/>
          <w:bCs/>
          <w:color w:val="auto"/>
          <w:sz w:val="24"/>
          <w:szCs w:val="20"/>
          <w:highlight w:val="none"/>
        </w:rPr>
        <w:t>13.6 清除不合格工程</w:t>
      </w:r>
      <w:bookmarkEnd w:id="1025"/>
      <w:bookmarkEnd w:id="1026"/>
    </w:p>
    <w:p w14:paraId="7D59B9C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81FED5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13.6.2 由于发包人提供的材料或工程设备不合格造成的工程不合格，需要承包人采取措施补救的，发包人应承担由此增加的费用和（或）工期延误，并支付承包人合理利润。</w:t>
      </w:r>
    </w:p>
    <w:p w14:paraId="0CD0909D">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13.7 质量评定</w:t>
      </w:r>
    </w:p>
    <w:p w14:paraId="70B8523A">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13.7.1发包人应组织进行工程项目划分，并确定单位工程、主要分部工程、重要隐蔽单元工程和关键部位单元工程。</w:t>
      </w:r>
    </w:p>
    <w:p w14:paraId="50405FAC">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13.7.2工程实施过程中，单位工程、主要分部工程、重要隐蔽单元工程和关键部位单元工程的项目划分需要调整时，承包人应报发包人确认。</w:t>
      </w:r>
    </w:p>
    <w:p w14:paraId="15CDB242">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13.7.3承包人应在单元（工序）工程质量自评合格后，报监理人核定质量等级并签证认可。</w:t>
      </w:r>
    </w:p>
    <w:p w14:paraId="72F3EB71">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13.7.4除专用合同条款另有约定外，承包人应在重要隐蔽单元工程及关键部位单元工程质量自评合格后以及监理人抽检后，由监理人组织承包人等单位组成的联合小组，共同检查核定其质量等级并填写签证表。发包人按有关规定完成质量结论报工程质量监督机构核备手续。</w:t>
      </w:r>
    </w:p>
    <w:p w14:paraId="6F2F6130">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13.7.5承包人应在分部工程质量自评合格后，报监理人复核和发包人认定。发包人负责按有关规定完成分部工程质量结论报工程质量监督机构核备（核定）手续。</w:t>
      </w:r>
    </w:p>
    <w:p w14:paraId="10BB0E21">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13.7.6承包人应在单位工程质量自评合格后，报监理人复核和发包人认定。发包人负责按有关规定完成单位工程质量结论报工程质量监督机构核定手续。</w:t>
      </w:r>
    </w:p>
    <w:p w14:paraId="08991AE5">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13.7.7除专用合同条款另有约定外，工程质量等级分为合格和优良，应分别达到约定的标准。</w:t>
      </w:r>
    </w:p>
    <w:p w14:paraId="6318CACC">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13.8 质量事故处理</w:t>
      </w:r>
    </w:p>
    <w:p w14:paraId="028FA754">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13.8.1发生质量事故时，承包人应及时向发包人和监理人报告。</w:t>
      </w:r>
    </w:p>
    <w:p w14:paraId="3535E493">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13.8.2质量事故调查处理由发包人按相关规定履行手续，承包人应配合。</w:t>
      </w:r>
    </w:p>
    <w:p w14:paraId="17819B8F">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13.8.3承包人应对质量缺陷进行备案。发包人委托监理人对质量缺陷备案情况进行监督检查并履行相关手续。</w:t>
      </w:r>
    </w:p>
    <w:p w14:paraId="667BC7C0">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13.8.4除专用合同条款另有约定外，工程竣工验收时，发包人负责向竣工验收委员会汇报并提交历次质量缺陷处理的备案资料。</w:t>
      </w:r>
    </w:p>
    <w:p w14:paraId="459D217D">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27" w:name="_Toc15503"/>
      <w:bookmarkStart w:id="1028" w:name="_Toc13475"/>
      <w:r>
        <w:rPr>
          <w:rFonts w:hint="eastAsia" w:ascii="宋体" w:hAnsi="宋体" w:eastAsia="宋体" w:cs="宋体"/>
          <w:b/>
          <w:bCs w:val="0"/>
          <w:color w:val="auto"/>
          <w:sz w:val="28"/>
          <w:szCs w:val="28"/>
          <w:highlight w:val="none"/>
        </w:rPr>
        <w:t>14. 试验和检验</w:t>
      </w:r>
      <w:bookmarkEnd w:id="1027"/>
      <w:bookmarkEnd w:id="1028"/>
    </w:p>
    <w:p w14:paraId="35EED1E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1029" w:name="_Toc24397"/>
      <w:bookmarkStart w:id="1030" w:name="_Toc31155"/>
      <w:r>
        <w:rPr>
          <w:rFonts w:hint="eastAsia" w:ascii="宋体" w:hAnsi="宋体" w:eastAsia="宋体" w:cs="宋体"/>
          <w:b/>
          <w:bCs w:val="0"/>
          <w:color w:val="auto"/>
          <w:sz w:val="24"/>
          <w:szCs w:val="24"/>
          <w:highlight w:val="none"/>
        </w:rPr>
        <w:t>14.1</w:t>
      </w:r>
      <w:r>
        <w:rPr>
          <w:rFonts w:hint="eastAsia"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材料、工程设备和工程的试验和检验</w:t>
      </w:r>
      <w:bookmarkEnd w:id="1029"/>
      <w:bookmarkEnd w:id="1030"/>
    </w:p>
    <w:p w14:paraId="024ED17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5653F9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14.1.2 监理人未按合同约定派员参加试验和检验的，除监理人另有指示外，承包人可自行试验和检验，并应立即将试验和检验结果报送监理人，监理人应签字确认。</w:t>
      </w:r>
    </w:p>
    <w:p w14:paraId="691D6B1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352562E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14.1.4承包人应按相关规定和标准对水泥、钢材等原材料与中间产品质量进行检验，并报监理人复核。</w:t>
      </w:r>
    </w:p>
    <w:p w14:paraId="71A9914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2A7D6D7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14.1.6对专用合同条款约定的试块、试件及有关材料，监理人实行见证取样。见证取样资料由承包人制备，记录应真实齐全，监理人、承包人等参与见证取样人员均应在相关文件上签字。</w:t>
      </w:r>
    </w:p>
    <w:p w14:paraId="5B4C86C2">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31" w:name="_Toc6034"/>
      <w:bookmarkStart w:id="1032" w:name="_Toc7164"/>
      <w:r>
        <w:rPr>
          <w:rFonts w:hint="eastAsia" w:ascii="宋体" w:hAnsi="宋体" w:eastAsia="宋体" w:cs="宋体"/>
          <w:b/>
          <w:bCs/>
          <w:color w:val="auto"/>
          <w:sz w:val="24"/>
          <w:szCs w:val="20"/>
          <w:highlight w:val="none"/>
        </w:rPr>
        <w:t>14.2 现场材料试验</w:t>
      </w:r>
      <w:bookmarkEnd w:id="1031"/>
      <w:bookmarkEnd w:id="1032"/>
    </w:p>
    <w:p w14:paraId="1079D22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14.2.1 承包人根据合同约定或监理人指示进行的现场材料试验，应由承包人提供试验场所、试验人员、试验设备器材以及其他必要的试验条件。</w:t>
      </w:r>
    </w:p>
    <w:p w14:paraId="0DC8FFF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14.2.2 监理人在必要时可以使用承包人的试验场所、试验设备器材以及其他试验条件，进行以工程质量检查为目的的复核性材料试验，承包人应予以协助。</w:t>
      </w:r>
    </w:p>
    <w:p w14:paraId="40C6F180">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33" w:name="_Toc1892"/>
      <w:bookmarkStart w:id="1034" w:name="_Toc8697"/>
      <w:r>
        <w:rPr>
          <w:rFonts w:hint="eastAsia" w:ascii="宋体" w:hAnsi="宋体" w:eastAsia="宋体" w:cs="宋体"/>
          <w:b/>
          <w:bCs/>
          <w:color w:val="auto"/>
          <w:sz w:val="24"/>
          <w:szCs w:val="20"/>
          <w:highlight w:val="none"/>
        </w:rPr>
        <w:t>14.3 现场工艺试验</w:t>
      </w:r>
      <w:bookmarkEnd w:id="1033"/>
      <w:bookmarkEnd w:id="1034"/>
    </w:p>
    <w:p w14:paraId="11EA414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1EA5C40F">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35" w:name="_Toc6742"/>
      <w:bookmarkStart w:id="1036" w:name="_Toc27405"/>
      <w:r>
        <w:rPr>
          <w:rFonts w:hint="eastAsia" w:ascii="宋体" w:hAnsi="宋体" w:eastAsia="宋体" w:cs="宋体"/>
          <w:b/>
          <w:bCs w:val="0"/>
          <w:color w:val="auto"/>
          <w:sz w:val="28"/>
          <w:szCs w:val="28"/>
          <w:highlight w:val="none"/>
        </w:rPr>
        <w:t>15. 变更</w:t>
      </w:r>
      <w:bookmarkEnd w:id="1035"/>
      <w:bookmarkEnd w:id="1036"/>
    </w:p>
    <w:p w14:paraId="0E8D7BA5">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kern w:val="0"/>
          <w:sz w:val="24"/>
          <w:szCs w:val="24"/>
          <w:highlight w:val="none"/>
        </w:rPr>
      </w:pPr>
      <w:bookmarkStart w:id="1037" w:name="_Toc15924"/>
      <w:bookmarkStart w:id="1038" w:name="_Toc4391"/>
      <w:r>
        <w:rPr>
          <w:rFonts w:hint="eastAsia" w:ascii="宋体" w:hAnsi="宋体" w:eastAsia="宋体" w:cs="宋体"/>
          <w:b/>
          <w:bCs w:val="0"/>
          <w:color w:val="auto"/>
          <w:sz w:val="24"/>
          <w:szCs w:val="24"/>
          <w:highlight w:val="none"/>
        </w:rPr>
        <w:t>15.1 变更的范围和内容</w:t>
      </w:r>
      <w:bookmarkEnd w:id="1037"/>
      <w:bookmarkEnd w:id="1038"/>
    </w:p>
    <w:p w14:paraId="55FFCF8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在履行合同中发生以下情形之一，应按照本条规定进行变更。</w:t>
      </w:r>
    </w:p>
    <w:p w14:paraId="316DA13C">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（1）取消合同中任何一项工作，但被取消的工作不能转由发包人或其它人实施；</w:t>
      </w:r>
    </w:p>
    <w:p w14:paraId="7147C9B1">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（2）改变合同中任何一项工作的质量或其它特性；</w:t>
      </w:r>
    </w:p>
    <w:p w14:paraId="1A1AE4C7">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（3）改变合同工程的基线、标高、位置或尺寸；</w:t>
      </w:r>
    </w:p>
    <w:p w14:paraId="6710AC27">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（4）改变合同中任何一项工作的施工时间或改变已批准的施工工艺或顺序；</w:t>
      </w:r>
    </w:p>
    <w:p w14:paraId="3F0335AA">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（5）为完成工程需要追加的额外工作。</w:t>
      </w:r>
    </w:p>
    <w:p w14:paraId="2EE0EF13">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（6）增加或减少专用合同条款中约定的关键项目工程量超过其工程总量的一定数量的百分比。</w:t>
      </w:r>
    </w:p>
    <w:p w14:paraId="1C2776EE">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上述第（1）～（6）目的变更内容引起工程施工组织和进度计划发生实质性变动和影响其原定的价格时，才予调整该项目的单价。第（6）目情形下单价调整方式在专用合同条款中约定。</w:t>
      </w:r>
    </w:p>
    <w:p w14:paraId="3CA0506E">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39" w:name="_Toc26605"/>
      <w:bookmarkStart w:id="1040" w:name="_Toc15946"/>
      <w:r>
        <w:rPr>
          <w:rFonts w:hint="eastAsia" w:ascii="宋体" w:hAnsi="宋体" w:eastAsia="宋体" w:cs="宋体"/>
          <w:b/>
          <w:bCs/>
          <w:color w:val="auto"/>
          <w:sz w:val="24"/>
          <w:szCs w:val="20"/>
          <w:highlight w:val="none"/>
        </w:rPr>
        <w:t>15.2 变更权</w:t>
      </w:r>
      <w:bookmarkEnd w:id="1039"/>
      <w:bookmarkEnd w:id="1040"/>
    </w:p>
    <w:p w14:paraId="3AEDF4F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在履行合同过程中，经发包人同意，监理人可按第15.3款约定的变更程序向承包人作出变更指示，承包人应遵照执行。没有监理人的变更指示，承包人不得擅自变更。</w:t>
      </w:r>
    </w:p>
    <w:p w14:paraId="0A4F99AA">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41" w:name="_Toc26742"/>
      <w:bookmarkStart w:id="1042" w:name="_Toc31500"/>
      <w:r>
        <w:rPr>
          <w:rFonts w:hint="eastAsia" w:ascii="宋体" w:hAnsi="宋体" w:eastAsia="宋体" w:cs="宋体"/>
          <w:b/>
          <w:bCs/>
          <w:color w:val="auto"/>
          <w:sz w:val="24"/>
          <w:szCs w:val="20"/>
          <w:highlight w:val="none"/>
        </w:rPr>
        <w:t>15.3 变更程序</w:t>
      </w:r>
      <w:bookmarkEnd w:id="1041"/>
      <w:bookmarkEnd w:id="1042"/>
    </w:p>
    <w:p w14:paraId="42F3643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15.3.1 变更的提出</w:t>
      </w:r>
    </w:p>
    <w:p w14:paraId="767F306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51CE9F9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（2）在合同履行过程中，发生第15.1款约定情形的，监理人应按照第15.3.3项约定向承包人发出变更指示。</w:t>
      </w:r>
    </w:p>
    <w:p w14:paraId="0B8AA0E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3B1C3A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14:paraId="492E271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15.3.2 变更估价</w:t>
      </w:r>
    </w:p>
    <w:p w14:paraId="4C6E739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1FCCCB8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（2）变更工作影响工期的，承包人应提出调整工期的具体细节。监理人认为有必要时，可要求承包人提交要求提前或延长工期的施工进度计划及相应施工措施等详细资料。</w:t>
      </w:r>
    </w:p>
    <w:p w14:paraId="283E902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（3）除专用合同条款对期限另有约定外，监理人收到承包人变更报价书后的14天内，根据第15.4款约定的估价原则，按照第3.5款商定或确定变更价格。</w:t>
      </w:r>
    </w:p>
    <w:p w14:paraId="5C5551C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15.3.3 变更指示</w:t>
      </w:r>
    </w:p>
    <w:p w14:paraId="2D827C2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（1）变更指示只能由监理人发出。</w:t>
      </w:r>
    </w:p>
    <w:p w14:paraId="0D72AA3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（2）变更指示应说明变更的目的、范围、变更内容以及变更的工程量及其进度和技术要求，并附有关图纸和文件。承包人收到变更指示后，应按变更指示进行变更工作。</w:t>
      </w:r>
    </w:p>
    <w:p w14:paraId="7795B731">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43" w:name="_Toc21916"/>
      <w:bookmarkStart w:id="1044" w:name="_Toc29870"/>
      <w:r>
        <w:rPr>
          <w:rFonts w:hint="eastAsia" w:ascii="宋体" w:hAnsi="宋体" w:eastAsia="宋体" w:cs="宋体"/>
          <w:b/>
          <w:bCs/>
          <w:color w:val="auto"/>
          <w:sz w:val="24"/>
          <w:szCs w:val="20"/>
          <w:highlight w:val="none"/>
        </w:rPr>
        <w:t>15.4 变更的估价原则</w:t>
      </w:r>
      <w:bookmarkEnd w:id="1043"/>
      <w:bookmarkEnd w:id="1044"/>
    </w:p>
    <w:p w14:paraId="59193B8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14:paraId="11D930A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15.4.1 已标价工程量清单中有适用于变更工作的子目的，采用该子目的单价。</w:t>
      </w:r>
    </w:p>
    <w:p w14:paraId="08A2CAA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15.4.2 已标价工程量清单中无适用于变更工作的子目，但有类似子目的，可在合理范围内参照类似子目的单价，由监理人按第3.5款商定或确定变更工作的单价。</w:t>
      </w:r>
    </w:p>
    <w:p w14:paraId="42A666D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15.4.3 已标价工程量清单中无适用或类似子目的单价，可按照成本加利润的原则，由监理人按第3.5款商定或确定变更工作的单价。</w:t>
      </w:r>
    </w:p>
    <w:p w14:paraId="0D071CDD">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45" w:name="_Toc20930"/>
      <w:bookmarkStart w:id="1046" w:name="_Toc6105"/>
      <w:r>
        <w:rPr>
          <w:rFonts w:hint="eastAsia" w:ascii="宋体" w:hAnsi="宋体" w:eastAsia="宋体" w:cs="宋体"/>
          <w:b/>
          <w:bCs/>
          <w:color w:val="auto"/>
          <w:sz w:val="24"/>
          <w:szCs w:val="20"/>
          <w:highlight w:val="none"/>
        </w:rPr>
        <w:t>15.5 承包人的合理化建议</w:t>
      </w:r>
      <w:bookmarkEnd w:id="1045"/>
      <w:bookmarkEnd w:id="1046"/>
    </w:p>
    <w:p w14:paraId="0E057A3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1F9E72E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15.5.2 承包人提出的合理化建议降低了合同价格、缩短了工期或者提高了工程经济效益的，发包人可按国家有关规定在专用合同条款中约定给予奖励。</w:t>
      </w:r>
    </w:p>
    <w:p w14:paraId="3B128A97">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47" w:name="_Toc3594"/>
      <w:bookmarkStart w:id="1048" w:name="_Toc29631"/>
      <w:r>
        <w:rPr>
          <w:rFonts w:hint="eastAsia" w:ascii="宋体" w:hAnsi="宋体" w:eastAsia="宋体" w:cs="宋体"/>
          <w:b/>
          <w:bCs/>
          <w:color w:val="auto"/>
          <w:sz w:val="24"/>
          <w:szCs w:val="20"/>
          <w:highlight w:val="none"/>
        </w:rPr>
        <w:t>15.6 暂列金额</w:t>
      </w:r>
      <w:bookmarkEnd w:id="1047"/>
      <w:bookmarkEnd w:id="1048"/>
    </w:p>
    <w:p w14:paraId="58D29FE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14:paraId="6D5E39A5">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49" w:name="_Toc26317"/>
      <w:bookmarkStart w:id="1050" w:name="_Toc7339"/>
      <w:r>
        <w:rPr>
          <w:rFonts w:hint="eastAsia" w:ascii="宋体" w:hAnsi="宋体" w:eastAsia="宋体" w:cs="宋体"/>
          <w:b/>
          <w:bCs/>
          <w:color w:val="auto"/>
          <w:sz w:val="24"/>
          <w:szCs w:val="20"/>
          <w:highlight w:val="none"/>
        </w:rPr>
        <w:t>15.7 计日工</w:t>
      </w:r>
      <w:bookmarkEnd w:id="1049"/>
      <w:bookmarkEnd w:id="1050"/>
    </w:p>
    <w:p w14:paraId="6C30497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shd w:val="pct10" w:color="auto" w:fill="FFFFFF"/>
        </w:rPr>
      </w:pPr>
      <w:r>
        <w:rPr>
          <w:rFonts w:hint="eastAsia" w:ascii="宋体" w:hAnsi="宋体" w:eastAsia="宋体" w:cs="宋体"/>
          <w:color w:val="auto"/>
          <w:highlight w:val="none"/>
        </w:rPr>
        <w:t>15.7.1 发包人认为有必要时，</w:t>
      </w:r>
      <w:r>
        <w:rPr>
          <w:rFonts w:hint="eastAsia" w:ascii="宋体" w:hAnsi="宋体" w:eastAsia="宋体" w:cs="宋体"/>
          <w:color w:val="auto"/>
          <w:szCs w:val="21"/>
          <w:highlight w:val="none"/>
        </w:rPr>
        <w:t>由</w:t>
      </w:r>
      <w:r>
        <w:rPr>
          <w:rFonts w:hint="eastAsia" w:ascii="宋体" w:hAnsi="宋体" w:eastAsia="宋体" w:cs="宋体"/>
          <w:color w:val="auto"/>
          <w:highlight w:val="none"/>
        </w:rPr>
        <w:t>监理人通知承包人以计日工方式实施变更的零星工作。其价款按列入已标价工程量清单中的计日工计价子目及其单价进行计算。</w:t>
      </w:r>
    </w:p>
    <w:p w14:paraId="0579A43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15.7.2 采用计日工计价的任何一项变更工作，应从暂列金额中支付，承包人应在该项变更的实施过程中，每天提交以下报表和有关凭证报送监理人审批：</w:t>
      </w:r>
    </w:p>
    <w:p w14:paraId="17A66096">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（1）工作名称、内容和数量；</w:t>
      </w:r>
    </w:p>
    <w:p w14:paraId="4730ACC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（2）投入该工作所有人员的姓名、工种、级别和耗用工时；</w:t>
      </w:r>
    </w:p>
    <w:p w14:paraId="2246277D">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（3）投入该工作的材料类别和数量；</w:t>
      </w:r>
    </w:p>
    <w:p w14:paraId="77CBCABE">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（4）投入该工作的施工设备型号、台数和耗用台时；</w:t>
      </w:r>
    </w:p>
    <w:p w14:paraId="4F6AF2E6">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（5）监理人要求提交的其他资料和凭证。</w:t>
      </w:r>
    </w:p>
    <w:p w14:paraId="342239C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15.7.3 计日工由承包人汇总后，按第17.3.2项的约定列入进度付款申请单，由监理人复核并经发包人同意后列入进度付款。</w:t>
      </w:r>
    </w:p>
    <w:p w14:paraId="2E5CA552">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051" w:name="_Toc13447"/>
      <w:bookmarkStart w:id="1052" w:name="_Toc25948"/>
      <w:r>
        <w:rPr>
          <w:rFonts w:hint="eastAsia" w:ascii="宋体" w:hAnsi="宋体" w:eastAsia="宋体" w:cs="宋体"/>
          <w:color w:val="auto"/>
          <w:sz w:val="28"/>
          <w:szCs w:val="28"/>
          <w:highlight w:val="none"/>
        </w:rPr>
        <w:t>15.8 暂估价</w:t>
      </w:r>
      <w:bookmarkEnd w:id="1051"/>
      <w:bookmarkEnd w:id="1052"/>
    </w:p>
    <w:p w14:paraId="71D82B94">
      <w:pPr>
        <w:pageBreakBefore w:val="0"/>
        <w:widowControl w:val="0"/>
        <w:kinsoku/>
        <w:wordWrap/>
        <w:overflowPunct/>
        <w:topLinePunct w:val="0"/>
        <w:bidi w:val="0"/>
        <w:snapToGrid/>
        <w:spacing w:beforeAutospacing="0" w:afterAutospacing="0" w:line="360" w:lineRule="auto"/>
        <w:ind w:left="0" w:leftChars="0" w:right="0"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w:t>
      </w:r>
      <w:r>
        <w:rPr>
          <w:rFonts w:hint="eastAsia" w:ascii="宋体" w:hAnsi="宋体" w:cs="宋体"/>
          <w:color w:val="auto"/>
          <w:highlight w:val="none"/>
          <w:lang w:eastAsia="zh-CN"/>
        </w:rPr>
        <w:t>与</w:t>
      </w:r>
      <w:r>
        <w:rPr>
          <w:rFonts w:hint="eastAsia" w:ascii="宋体" w:hAnsi="宋体" w:eastAsia="宋体" w:cs="宋体"/>
          <w:color w:val="auto"/>
          <w:highlight w:val="none"/>
        </w:rPr>
        <w:t>工程量清单中所列金额差以及相应的税金等其他费用列入合同价格。必须招标的暂估价项目招标组织形式、发包人和承包人组织招标时双方的权利义务关系在专用合同条款中约定。</w:t>
      </w:r>
    </w:p>
    <w:p w14:paraId="30A1416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043D37F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58BEB35A">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53" w:name="_Toc5374"/>
      <w:bookmarkStart w:id="1054" w:name="_Toc217"/>
      <w:r>
        <w:rPr>
          <w:rFonts w:hint="eastAsia" w:ascii="宋体" w:hAnsi="宋体" w:eastAsia="宋体" w:cs="宋体"/>
          <w:b/>
          <w:bCs w:val="0"/>
          <w:color w:val="auto"/>
          <w:sz w:val="28"/>
          <w:szCs w:val="28"/>
          <w:highlight w:val="none"/>
        </w:rPr>
        <w:t>16. 价格调整</w:t>
      </w:r>
      <w:bookmarkEnd w:id="1053"/>
      <w:bookmarkEnd w:id="1054"/>
    </w:p>
    <w:p w14:paraId="79A85B3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1055" w:name="_Toc15569"/>
      <w:bookmarkStart w:id="1056" w:name="_Toc29350"/>
      <w:r>
        <w:rPr>
          <w:rFonts w:hint="eastAsia" w:ascii="宋体" w:hAnsi="宋体" w:eastAsia="宋体" w:cs="宋体"/>
          <w:b/>
          <w:bCs w:val="0"/>
          <w:color w:val="auto"/>
          <w:sz w:val="24"/>
          <w:szCs w:val="24"/>
          <w:highlight w:val="none"/>
        </w:rPr>
        <w:t>16.1 物价波动引起的价格调整</w:t>
      </w:r>
      <w:bookmarkEnd w:id="1055"/>
      <w:bookmarkEnd w:id="1056"/>
    </w:p>
    <w:p w14:paraId="160B534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由于物价波动原因引起合同价格需要调整的，其价格调整方式在专用合同条款中约定。</w:t>
      </w:r>
    </w:p>
    <w:p w14:paraId="588647C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 采用价格指数调整价格差额</w:t>
      </w:r>
    </w:p>
    <w:p w14:paraId="32DCE38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16.1.1.1 价格调整公式</w:t>
      </w:r>
    </w:p>
    <w:p w14:paraId="358BB40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14:paraId="072A2319">
      <w:pPr>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firstLine="759" w:firstLineChars="398"/>
        <w:textAlignment w:val="auto"/>
        <w:rPr>
          <w:rFonts w:hint="eastAsia" w:ascii="宋体" w:hAnsi="宋体" w:eastAsia="宋体" w:cs="宋体"/>
          <w:color w:val="auto"/>
          <w:highlight w:val="none"/>
        </w:rPr>
      </w:pPr>
      <w:r>
        <w:rPr>
          <w:rFonts w:hint="eastAsia" w:ascii="宋体" w:hAnsi="宋体" w:eastAsia="宋体" w:cs="宋体"/>
          <w:b/>
          <w:bCs/>
          <w:color w:val="auto"/>
          <w:kern w:val="0"/>
          <w:sz w:val="19"/>
          <w:szCs w:val="19"/>
          <w:highlight w:val="none"/>
          <w:lang w:val="zh-CN"/>
        </w:rPr>
        <w:t xml:space="preserve">        </w:t>
      </w:r>
      <w:r>
        <w:rPr>
          <w:rFonts w:hint="eastAsia" w:ascii="宋体" w:hAnsi="宋体" w:eastAsia="宋体" w:cs="宋体"/>
          <w:color w:val="auto"/>
          <w:position w:val="-34"/>
          <w:highlight w:val="none"/>
        </w:rPr>
        <w:object>
          <v:shape id="_x0000_i1025" o:spt="75" type="#_x0000_t75" style="height:40.05pt;width:306.1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71F67792">
      <w:pPr>
        <w:pageBreakBefore w:val="0"/>
        <w:widowControl w:val="0"/>
        <w:tabs>
          <w:tab w:val="left" w:pos="1260"/>
        </w:tabs>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71FF6E6">
      <w:pPr>
        <w:pageBreakBefore w:val="0"/>
        <w:widowControl w:val="0"/>
        <w:tabs>
          <w:tab w:val="left" w:pos="1260"/>
        </w:tabs>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式中： △P -- 需调整的价格差额；</w:t>
      </w:r>
    </w:p>
    <w:p w14:paraId="325CB7A9">
      <w:pPr>
        <w:pageBreakBefore w:val="0"/>
        <w:widowControl w:val="0"/>
        <w:tabs>
          <w:tab w:val="left" w:pos="1260"/>
        </w:tabs>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P</w:t>
      </w:r>
      <w:r>
        <w:rPr>
          <w:rFonts w:hint="eastAsia" w:ascii="宋体" w:hAnsi="宋体" w:eastAsia="宋体" w:cs="宋体"/>
          <w:color w:val="auto"/>
          <w:szCs w:val="21"/>
          <w:highlight w:val="none"/>
          <w:vertAlign w:val="subscript"/>
        </w:rPr>
        <w:t>0</w:t>
      </w:r>
      <w:r>
        <w:rPr>
          <w:rFonts w:hint="eastAsia" w:ascii="宋体" w:hAnsi="宋体" w:eastAsia="宋体" w:cs="宋体"/>
          <w:color w:val="auto"/>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030568B">
      <w:pPr>
        <w:pageBreakBefore w:val="0"/>
        <w:widowControl w:val="0"/>
        <w:tabs>
          <w:tab w:val="left" w:pos="1260"/>
        </w:tabs>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 -- 定值权重</w:t>
      </w:r>
      <w:r>
        <w:rPr>
          <w:rFonts w:hint="eastAsia" w:ascii="宋体" w:hAnsi="宋体" w:cs="宋体"/>
          <w:color w:val="auto"/>
          <w:highlight w:val="none"/>
          <w:lang w:eastAsia="zh-CN"/>
        </w:rPr>
        <w:t>（</w:t>
      </w:r>
      <w:r>
        <w:rPr>
          <w:rFonts w:hint="eastAsia" w:ascii="宋体" w:hAnsi="宋体" w:eastAsia="宋体" w:cs="宋体"/>
          <w:color w:val="auto"/>
          <w:highlight w:val="none"/>
        </w:rPr>
        <w:t>即不调部分的权重</w:t>
      </w:r>
      <w:r>
        <w:rPr>
          <w:rFonts w:hint="eastAsia" w:ascii="宋体" w:hAnsi="宋体" w:cs="宋体"/>
          <w:color w:val="auto"/>
          <w:highlight w:val="none"/>
          <w:lang w:eastAsia="zh-CN"/>
        </w:rPr>
        <w:t>）</w:t>
      </w:r>
      <w:r>
        <w:rPr>
          <w:rFonts w:hint="eastAsia" w:ascii="宋体" w:hAnsi="宋体" w:eastAsia="宋体" w:cs="宋体"/>
          <w:color w:val="auto"/>
          <w:highlight w:val="none"/>
        </w:rPr>
        <w:t>；</w:t>
      </w:r>
    </w:p>
    <w:p w14:paraId="598BB3C2">
      <w:pPr>
        <w:pageBreakBefore w:val="0"/>
        <w:widowControl w:val="0"/>
        <w:tabs>
          <w:tab w:val="left" w:pos="1260"/>
        </w:tabs>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B</w:t>
      </w:r>
      <w:r>
        <w:rPr>
          <w:rFonts w:hint="eastAsia" w:ascii="宋体" w:hAnsi="宋体" w:eastAsia="宋体" w:cs="宋体"/>
          <w:color w:val="auto"/>
          <w:szCs w:val="21"/>
          <w:highlight w:val="none"/>
          <w:vertAlign w:val="subscript"/>
        </w:rPr>
        <w:t>1</w:t>
      </w:r>
      <w:r>
        <w:rPr>
          <w:rFonts w:hint="eastAsia" w:ascii="宋体" w:hAnsi="宋体" w:eastAsia="宋体" w:cs="宋体"/>
          <w:color w:val="auto"/>
          <w:sz w:val="15"/>
          <w:szCs w:val="15"/>
          <w:highlight w:val="none"/>
        </w:rPr>
        <w:t>;</w:t>
      </w:r>
      <w:r>
        <w:rPr>
          <w:rFonts w:hint="eastAsia" w:ascii="宋体" w:hAnsi="宋体" w:eastAsia="宋体" w:cs="宋体"/>
          <w:color w:val="auto"/>
          <w:highlight w:val="none"/>
        </w:rPr>
        <w:t xml:space="preserve"> B</w:t>
      </w:r>
      <w:r>
        <w:rPr>
          <w:rFonts w:hint="eastAsia" w:ascii="宋体" w:hAnsi="宋体" w:eastAsia="宋体" w:cs="宋体"/>
          <w:color w:val="auto"/>
          <w:szCs w:val="21"/>
          <w:highlight w:val="none"/>
          <w:vertAlign w:val="subscript"/>
        </w:rPr>
        <w:t>2</w:t>
      </w:r>
      <w:r>
        <w:rPr>
          <w:rFonts w:hint="eastAsia" w:ascii="宋体" w:hAnsi="宋体" w:eastAsia="宋体" w:cs="宋体"/>
          <w:color w:val="auto"/>
          <w:highlight w:val="none"/>
        </w:rPr>
        <w:t xml:space="preserve"> ;B</w:t>
      </w:r>
      <w:r>
        <w:rPr>
          <w:rFonts w:hint="eastAsia" w:ascii="宋体" w:hAnsi="宋体" w:eastAsia="宋体" w:cs="宋体"/>
          <w:color w:val="auto"/>
          <w:szCs w:val="21"/>
          <w:highlight w:val="none"/>
          <w:vertAlign w:val="subscript"/>
        </w:rPr>
        <w:t>3</w:t>
      </w:r>
      <w:r>
        <w:rPr>
          <w:rFonts w:hint="eastAsia" w:ascii="宋体" w:hAnsi="宋体" w:eastAsia="宋体" w:cs="宋体"/>
          <w:color w:val="auto"/>
          <w:sz w:val="15"/>
          <w:szCs w:val="15"/>
          <w:highlight w:val="none"/>
        </w:rPr>
        <w:t>·····</w:t>
      </w:r>
      <w:r>
        <w:rPr>
          <w:rFonts w:hint="eastAsia" w:ascii="宋体" w:hAnsi="宋体" w:eastAsia="宋体" w:cs="宋体"/>
          <w:color w:val="auto"/>
          <w:highlight w:val="none"/>
        </w:rPr>
        <w:t>B</w:t>
      </w:r>
      <w:r>
        <w:rPr>
          <w:rFonts w:hint="eastAsia" w:ascii="宋体" w:hAnsi="宋体" w:eastAsia="宋体" w:cs="宋体"/>
          <w:color w:val="auto"/>
          <w:szCs w:val="21"/>
          <w:highlight w:val="none"/>
          <w:vertAlign w:val="subscript"/>
        </w:rPr>
        <w:t>n</w:t>
      </w:r>
      <w:r>
        <w:rPr>
          <w:rFonts w:hint="eastAsia" w:ascii="宋体" w:hAnsi="宋体" w:eastAsia="宋体" w:cs="宋体"/>
          <w:color w:val="auto"/>
          <w:highlight w:val="none"/>
        </w:rPr>
        <w:t xml:space="preserve"> -- 各可调因子的变值权重</w:t>
      </w:r>
      <w:r>
        <w:rPr>
          <w:rFonts w:hint="eastAsia" w:ascii="宋体" w:hAnsi="宋体" w:cs="宋体"/>
          <w:color w:val="auto"/>
          <w:highlight w:val="none"/>
          <w:lang w:eastAsia="zh-CN"/>
        </w:rPr>
        <w:t>（</w:t>
      </w:r>
      <w:r>
        <w:rPr>
          <w:rFonts w:hint="eastAsia" w:ascii="宋体" w:hAnsi="宋体" w:eastAsia="宋体" w:cs="宋体"/>
          <w:color w:val="auto"/>
          <w:highlight w:val="none"/>
        </w:rPr>
        <w:t>即可调部分的权重</w:t>
      </w:r>
      <w:r>
        <w:rPr>
          <w:rFonts w:hint="eastAsia" w:ascii="宋体" w:hAnsi="宋体" w:cs="宋体"/>
          <w:color w:val="auto"/>
          <w:highlight w:val="none"/>
          <w:lang w:eastAsia="zh-CN"/>
        </w:rPr>
        <w:t>）</w:t>
      </w:r>
      <w:r>
        <w:rPr>
          <w:rFonts w:hint="eastAsia" w:ascii="宋体" w:hAnsi="宋体" w:eastAsia="宋体" w:cs="宋体"/>
          <w:color w:val="auto"/>
          <w:highlight w:val="none"/>
        </w:rPr>
        <w:t>为各可调因子在投标函投标总报价中所占的比例；</w:t>
      </w:r>
    </w:p>
    <w:p w14:paraId="072E27FD">
      <w:pPr>
        <w:pageBreakBefore w:val="0"/>
        <w:widowControl w:val="0"/>
        <w:tabs>
          <w:tab w:val="left" w:pos="1260"/>
        </w:tabs>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w:t>
      </w:r>
      <w:r>
        <w:rPr>
          <w:rFonts w:hint="eastAsia" w:ascii="宋体" w:hAnsi="宋体" w:eastAsia="宋体" w:cs="宋体"/>
          <w:color w:val="auto"/>
          <w:szCs w:val="21"/>
          <w:highlight w:val="none"/>
          <w:vertAlign w:val="subscript"/>
        </w:rPr>
        <w:t>t1</w:t>
      </w:r>
      <w:r>
        <w:rPr>
          <w:rFonts w:hint="eastAsia" w:ascii="宋体" w:hAnsi="宋体" w:eastAsia="宋体" w:cs="宋体"/>
          <w:color w:val="auto"/>
          <w:highlight w:val="none"/>
        </w:rPr>
        <w:t xml:space="preserve"> ;F</w:t>
      </w:r>
      <w:r>
        <w:rPr>
          <w:rFonts w:hint="eastAsia" w:ascii="宋体" w:hAnsi="宋体" w:eastAsia="宋体" w:cs="宋体"/>
          <w:color w:val="auto"/>
          <w:szCs w:val="21"/>
          <w:highlight w:val="none"/>
          <w:vertAlign w:val="subscript"/>
        </w:rPr>
        <w:t>t2</w:t>
      </w:r>
      <w:r>
        <w:rPr>
          <w:rFonts w:hint="eastAsia" w:ascii="宋体" w:hAnsi="宋体" w:eastAsia="宋体" w:cs="宋体"/>
          <w:color w:val="auto"/>
          <w:highlight w:val="none"/>
        </w:rPr>
        <w:t xml:space="preserve"> ;F</w:t>
      </w:r>
      <w:r>
        <w:rPr>
          <w:rFonts w:hint="eastAsia" w:ascii="宋体" w:hAnsi="宋体" w:eastAsia="宋体" w:cs="宋体"/>
          <w:color w:val="auto"/>
          <w:szCs w:val="21"/>
          <w:highlight w:val="none"/>
          <w:vertAlign w:val="subscript"/>
        </w:rPr>
        <w:t>t3</w:t>
      </w:r>
      <w:r>
        <w:rPr>
          <w:rFonts w:hint="eastAsia" w:ascii="宋体" w:hAnsi="宋体" w:eastAsia="宋体" w:cs="宋体"/>
          <w:color w:val="auto"/>
          <w:sz w:val="15"/>
          <w:szCs w:val="15"/>
          <w:highlight w:val="none"/>
        </w:rPr>
        <w:t>·····</w:t>
      </w:r>
      <w:r>
        <w:rPr>
          <w:rFonts w:hint="eastAsia" w:ascii="宋体" w:hAnsi="宋体" w:eastAsia="宋体" w:cs="宋体"/>
          <w:color w:val="auto"/>
          <w:highlight w:val="none"/>
        </w:rPr>
        <w:t>F</w:t>
      </w:r>
      <w:r>
        <w:rPr>
          <w:rFonts w:hint="eastAsia" w:ascii="宋体" w:hAnsi="宋体" w:eastAsia="宋体" w:cs="宋体"/>
          <w:color w:val="auto"/>
          <w:szCs w:val="21"/>
          <w:highlight w:val="none"/>
          <w:vertAlign w:val="subscript"/>
        </w:rPr>
        <w:t>tn</w:t>
      </w:r>
      <w:r>
        <w:rPr>
          <w:rFonts w:hint="eastAsia" w:ascii="宋体" w:hAnsi="宋体" w:eastAsia="宋体" w:cs="宋体"/>
          <w:color w:val="auto"/>
          <w:highlight w:val="none"/>
        </w:rPr>
        <w:t xml:space="preserve"> -- 各可调因子的现行价格指数，指第17.3.3项、第17.5.2项和第17.6.2项约定的付款证书相关周期最后一天的前42天的各可调因子的价格指数；</w:t>
      </w:r>
    </w:p>
    <w:p w14:paraId="2022DDC4">
      <w:pPr>
        <w:pageBreakBefore w:val="0"/>
        <w:widowControl w:val="0"/>
        <w:tabs>
          <w:tab w:val="left" w:pos="1260"/>
        </w:tabs>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w:t>
      </w:r>
      <w:r>
        <w:rPr>
          <w:rFonts w:hint="eastAsia" w:ascii="宋体" w:hAnsi="宋体" w:eastAsia="宋体" w:cs="宋体"/>
          <w:color w:val="auto"/>
          <w:szCs w:val="21"/>
          <w:highlight w:val="none"/>
          <w:vertAlign w:val="subscript"/>
        </w:rPr>
        <w:t>o1</w:t>
      </w:r>
      <w:r>
        <w:rPr>
          <w:rFonts w:hint="eastAsia" w:ascii="宋体" w:hAnsi="宋体" w:eastAsia="宋体" w:cs="宋体"/>
          <w:color w:val="auto"/>
          <w:highlight w:val="none"/>
        </w:rPr>
        <w:t>; F</w:t>
      </w:r>
      <w:r>
        <w:rPr>
          <w:rFonts w:hint="eastAsia" w:ascii="宋体" w:hAnsi="宋体" w:eastAsia="宋体" w:cs="宋体"/>
          <w:color w:val="auto"/>
          <w:szCs w:val="21"/>
          <w:highlight w:val="none"/>
          <w:vertAlign w:val="subscript"/>
        </w:rPr>
        <w:t>o2</w:t>
      </w:r>
      <w:r>
        <w:rPr>
          <w:rFonts w:hint="eastAsia" w:ascii="宋体" w:hAnsi="宋体" w:eastAsia="宋体" w:cs="宋体"/>
          <w:color w:val="auto"/>
          <w:sz w:val="15"/>
          <w:szCs w:val="15"/>
          <w:highlight w:val="none"/>
        </w:rPr>
        <w:t>;</w:t>
      </w:r>
      <w:r>
        <w:rPr>
          <w:rFonts w:hint="eastAsia" w:ascii="宋体" w:hAnsi="宋体" w:eastAsia="宋体" w:cs="宋体"/>
          <w:color w:val="auto"/>
          <w:highlight w:val="none"/>
        </w:rPr>
        <w:t xml:space="preserve"> F</w:t>
      </w:r>
      <w:r>
        <w:rPr>
          <w:rFonts w:hint="eastAsia" w:ascii="宋体" w:hAnsi="宋体" w:eastAsia="宋体" w:cs="宋体"/>
          <w:color w:val="auto"/>
          <w:szCs w:val="21"/>
          <w:highlight w:val="none"/>
          <w:vertAlign w:val="subscript"/>
        </w:rPr>
        <w:t>o3</w:t>
      </w:r>
      <w:r>
        <w:rPr>
          <w:rFonts w:hint="eastAsia" w:ascii="宋体" w:hAnsi="宋体" w:eastAsia="宋体" w:cs="宋体"/>
          <w:color w:val="auto"/>
          <w:sz w:val="15"/>
          <w:szCs w:val="15"/>
          <w:highlight w:val="none"/>
        </w:rPr>
        <w:t>·····</w:t>
      </w:r>
      <w:r>
        <w:rPr>
          <w:rFonts w:hint="eastAsia" w:ascii="宋体" w:hAnsi="宋体" w:eastAsia="宋体" w:cs="宋体"/>
          <w:color w:val="auto"/>
          <w:highlight w:val="none"/>
        </w:rPr>
        <w:t>F</w:t>
      </w:r>
      <w:r>
        <w:rPr>
          <w:rFonts w:hint="eastAsia" w:ascii="宋体" w:hAnsi="宋体" w:eastAsia="宋体" w:cs="宋体"/>
          <w:color w:val="auto"/>
          <w:szCs w:val="21"/>
          <w:highlight w:val="none"/>
          <w:vertAlign w:val="subscript"/>
        </w:rPr>
        <w:t>on</w:t>
      </w:r>
      <w:r>
        <w:rPr>
          <w:rFonts w:hint="eastAsia" w:ascii="宋体" w:hAnsi="宋体" w:eastAsia="宋体" w:cs="宋体"/>
          <w:color w:val="auto"/>
          <w:highlight w:val="none"/>
        </w:rPr>
        <w:t xml:space="preserve"> -- 各可调因子的基本价格指数，指基准日期的各可调因子的价格指数。</w:t>
      </w:r>
    </w:p>
    <w:p w14:paraId="1569A33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57A0EE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16.1.1.2 暂时确定调整差额</w:t>
      </w:r>
    </w:p>
    <w:p w14:paraId="76E11F8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14:paraId="32F5659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16.1.1.3 权重的调整</w:t>
      </w:r>
    </w:p>
    <w:p w14:paraId="38CE534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按第15.1款约定的变更导致原定合同中的权重不合理时，由监理人与承包人和发包人协商后进行调整。</w:t>
      </w:r>
    </w:p>
    <w:p w14:paraId="4B0AAE1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16.1.1.4 承包人工期延误后的价格调整</w:t>
      </w:r>
    </w:p>
    <w:p w14:paraId="3E93774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F71F6B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16.1.2 采用造价信息调整价格差额</w:t>
      </w:r>
    </w:p>
    <w:p w14:paraId="550806F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585EDA5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工程造价信息的来源以及价格调整的项目和系数在专用合同条款中约定。</w:t>
      </w:r>
    </w:p>
    <w:p w14:paraId="7FECB1CA">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57" w:name="_Toc14074"/>
      <w:bookmarkStart w:id="1058" w:name="_Toc8663"/>
      <w:r>
        <w:rPr>
          <w:rFonts w:hint="eastAsia" w:ascii="宋体" w:hAnsi="宋体" w:eastAsia="宋体" w:cs="宋体"/>
          <w:b/>
          <w:bCs/>
          <w:color w:val="auto"/>
          <w:sz w:val="24"/>
          <w:szCs w:val="20"/>
          <w:highlight w:val="none"/>
        </w:rPr>
        <w:t>16.2 法律变化引起的价格调整</w:t>
      </w:r>
      <w:bookmarkEnd w:id="1057"/>
      <w:bookmarkEnd w:id="1058"/>
    </w:p>
    <w:p w14:paraId="0A352F7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C9FCB37">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59" w:name="_Toc29929"/>
      <w:bookmarkStart w:id="1060" w:name="_Toc10569"/>
      <w:r>
        <w:rPr>
          <w:rFonts w:hint="eastAsia" w:ascii="宋体" w:hAnsi="宋体" w:eastAsia="宋体" w:cs="宋体"/>
          <w:b/>
          <w:bCs w:val="0"/>
          <w:color w:val="auto"/>
          <w:sz w:val="28"/>
          <w:szCs w:val="28"/>
          <w:highlight w:val="none"/>
        </w:rPr>
        <w:t>17. 计量与支付</w:t>
      </w:r>
      <w:bookmarkEnd w:id="1059"/>
      <w:bookmarkEnd w:id="1060"/>
    </w:p>
    <w:p w14:paraId="5033919C">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1061" w:name="_Toc20200"/>
      <w:bookmarkStart w:id="1062" w:name="_Toc20086"/>
      <w:r>
        <w:rPr>
          <w:rFonts w:hint="eastAsia" w:ascii="宋体" w:hAnsi="宋体" w:eastAsia="宋体" w:cs="宋体"/>
          <w:b/>
          <w:bCs w:val="0"/>
          <w:color w:val="auto"/>
          <w:sz w:val="24"/>
          <w:szCs w:val="24"/>
          <w:highlight w:val="none"/>
        </w:rPr>
        <w:t>17.1 计量</w:t>
      </w:r>
      <w:bookmarkEnd w:id="1061"/>
      <w:bookmarkEnd w:id="1062"/>
    </w:p>
    <w:p w14:paraId="01BDEF0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17.1.1 计量单位</w:t>
      </w:r>
    </w:p>
    <w:p w14:paraId="0779B8C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14:paraId="36D8A8E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17.1.2 计量方法</w:t>
      </w:r>
    </w:p>
    <w:p w14:paraId="35B45BB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结算工程量应按工程量清单中约定的方法计算。</w:t>
      </w:r>
    </w:p>
    <w:p w14:paraId="452C39E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17.1.3 计量周期</w:t>
      </w:r>
    </w:p>
    <w:p w14:paraId="50C0912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14:paraId="13B6C3A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17.1.4 单价子目的计量</w:t>
      </w:r>
    </w:p>
    <w:p w14:paraId="39B1DEB5">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（1）已标价工程量清单中的单价子目工程量为估算工程量。结算工程量是承包人实际完成的，并按合同约定的计量方法进行计量的工程量。</w:t>
      </w:r>
    </w:p>
    <w:p w14:paraId="213F1983">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（2）承包人对已完成的工程进行计量，向监理人提交进度付款申请单、已完成工程量报表和有关计量资料。</w:t>
      </w:r>
    </w:p>
    <w:p w14:paraId="4DD4F4BC">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243A091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（4）监理人认为有必要时，可通知承包人共同进行联合测量、计量，承包人应遵照执行。</w:t>
      </w:r>
    </w:p>
    <w:p w14:paraId="49DF1F32">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54A7922">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14:paraId="68C346F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17.1.5 总价子目的计量 </w:t>
      </w:r>
    </w:p>
    <w:p w14:paraId="297FEDB6">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总价子目的分解和计量按照下述约定进行。</w:t>
      </w:r>
    </w:p>
    <w:p w14:paraId="0BC534E5">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（1）总价子目的计量和支付应以总价为基础，不因第16.1款中的因素而进行调整。承包人实际完成的工程量，是进行工程目标管理和控制进度支付的依据。</w:t>
      </w:r>
    </w:p>
    <w:p w14:paraId="4635D8F8">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3216FFF9">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（3）监理人对承包人提交的上述资料进行复核，以确定分阶段实际完成的工程量和工程形象目标。对其有异议的，可要求承包人按第8.2款约定进行共同复核和抽样复测。</w:t>
      </w:r>
    </w:p>
    <w:p w14:paraId="0B4BBB69">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（4）除按照第15条约定的变更外，总价子目的工程量是承包人用于结算的最终工程量。 </w:t>
      </w:r>
    </w:p>
    <w:p w14:paraId="15EBC248">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63" w:name="_Toc32247"/>
      <w:bookmarkStart w:id="1064" w:name="_Toc30997"/>
      <w:r>
        <w:rPr>
          <w:rFonts w:hint="eastAsia" w:ascii="宋体" w:hAnsi="宋体" w:eastAsia="宋体" w:cs="宋体"/>
          <w:color w:val="auto"/>
          <w:sz w:val="24"/>
          <w:szCs w:val="24"/>
          <w:highlight w:val="none"/>
        </w:rPr>
        <w:t>17.2 预付款</w:t>
      </w:r>
      <w:bookmarkEnd w:id="1063"/>
      <w:bookmarkEnd w:id="1064"/>
    </w:p>
    <w:p w14:paraId="23199A8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17.2.1 预付款</w:t>
      </w:r>
    </w:p>
    <w:p w14:paraId="0538662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48F85C5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17.2.2 预付款保函（担保）</w:t>
      </w:r>
    </w:p>
    <w:p w14:paraId="1515889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（1）承包人应在收到第一次工程预付款的同时向发包人提交工程预付款担保，担保金额应与第一次工程预付款金额相同，工程预付款担保在第一次工程预付款被发包人扣回前一直有效。</w:t>
      </w:r>
    </w:p>
    <w:p w14:paraId="4E477F0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（2）工程材料预付款的担保在专用合同条款中约定。</w:t>
      </w:r>
    </w:p>
    <w:p w14:paraId="7997D3A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（3）预付款担保的担保金额可根据预付款扣回的金额相应递减。</w:t>
      </w:r>
    </w:p>
    <w:p w14:paraId="09CC521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17.2.3 预付款的扣回与还清</w:t>
      </w:r>
    </w:p>
    <w:p w14:paraId="6E2ABDE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5AC6A102">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65" w:name="_Toc14175"/>
      <w:bookmarkStart w:id="1066" w:name="_Toc23977"/>
      <w:r>
        <w:rPr>
          <w:rFonts w:hint="eastAsia" w:ascii="宋体" w:hAnsi="宋体" w:eastAsia="宋体" w:cs="宋体"/>
          <w:b/>
          <w:bCs/>
          <w:color w:val="auto"/>
          <w:sz w:val="24"/>
          <w:szCs w:val="20"/>
          <w:highlight w:val="none"/>
        </w:rPr>
        <w:t>17.3 工程进度付款</w:t>
      </w:r>
      <w:bookmarkEnd w:id="1065"/>
      <w:bookmarkEnd w:id="1066"/>
    </w:p>
    <w:p w14:paraId="05725D7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17.3.1 付款周期</w:t>
      </w:r>
    </w:p>
    <w:p w14:paraId="2051C9B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14:paraId="4853148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17.3.2 进度付款申请单</w:t>
      </w:r>
    </w:p>
    <w:p w14:paraId="555DB40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dstrike/>
          <w:color w:val="auto"/>
          <w:szCs w:val="21"/>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544E84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（1）截至本次付款周期末已实施工程的价款；</w:t>
      </w:r>
    </w:p>
    <w:p w14:paraId="77D2852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（2）根据第15条应增加和扣减的变更金额；</w:t>
      </w:r>
    </w:p>
    <w:p w14:paraId="52BB49C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（3）根据第23条应增加和扣减的索赔金额；</w:t>
      </w:r>
    </w:p>
    <w:p w14:paraId="7A02733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（4）根据第17.2款约定应支付的预付款和扣减的返还预付款；</w:t>
      </w:r>
    </w:p>
    <w:p w14:paraId="08A0717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（5）根据第17.4.1项约定应扣减的质量保证金；</w:t>
      </w:r>
    </w:p>
    <w:p w14:paraId="2E489F1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（6）根据合同应增加和扣减的其他金额。</w:t>
      </w:r>
    </w:p>
    <w:p w14:paraId="234EBB1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17.3.3 进度付款证书和支付时间</w:t>
      </w:r>
    </w:p>
    <w:p w14:paraId="1053F6E5">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697D88A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（2）发包人应在监理人收到进度付款申请单后的28天内，将进度应付款支付给承包人。发包人不按期支付的，按专用合同条款的约定支付逾期付款违约金。</w:t>
      </w:r>
    </w:p>
    <w:p w14:paraId="134489BD">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（3）监理人出具进度付款证书，不应视为监理人已同意、批准或接受了承包人完成的该部分工作。</w:t>
      </w:r>
    </w:p>
    <w:p w14:paraId="60AC3D61">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（4）进度付款涉及政府投资资金的，按照国库集中支付等国家相关规定和专用合同条款的约定办理。</w:t>
      </w:r>
    </w:p>
    <w:p w14:paraId="6FA8C2B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17.3.4 工程进度付款的修正</w:t>
      </w:r>
    </w:p>
    <w:p w14:paraId="46454E4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28759A8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67" w:name="_Toc23617"/>
      <w:bookmarkStart w:id="1068" w:name="_Toc19428"/>
      <w:r>
        <w:rPr>
          <w:rFonts w:hint="eastAsia" w:ascii="宋体" w:hAnsi="宋体" w:eastAsia="宋体" w:cs="宋体"/>
          <w:color w:val="auto"/>
          <w:sz w:val="24"/>
          <w:szCs w:val="24"/>
          <w:highlight w:val="none"/>
        </w:rPr>
        <w:t>17.4 质量保证金</w:t>
      </w:r>
      <w:bookmarkEnd w:id="1067"/>
      <w:bookmarkEnd w:id="1068"/>
    </w:p>
    <w:p w14:paraId="2822FD4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监理人应从第一个工程进度付款周期开始，在发包人的进度付款中，按专用合同条款约定扣留质量保证金，直至扣留的工程质量保证金总额达到专用合同条款约定的金额或比例为止。质量保证金的计算额度不止包括预付款的支付与扣回金额。</w:t>
      </w:r>
    </w:p>
    <w:p w14:paraId="570EE4B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7B898AC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28658F5D">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69" w:name="_Toc19402"/>
      <w:bookmarkStart w:id="1070" w:name="_Toc4465"/>
      <w:r>
        <w:rPr>
          <w:rFonts w:hint="eastAsia" w:ascii="宋体" w:hAnsi="宋体" w:eastAsia="宋体" w:cs="宋体"/>
          <w:color w:val="auto"/>
          <w:sz w:val="24"/>
          <w:szCs w:val="24"/>
          <w:highlight w:val="none"/>
        </w:rPr>
        <w:t>17.5 竣工结算（完工结算）</w:t>
      </w:r>
      <w:bookmarkEnd w:id="1069"/>
      <w:bookmarkEnd w:id="1070"/>
    </w:p>
    <w:p w14:paraId="4124A5B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17.5.1 竣工（完工）付款申请单</w:t>
      </w:r>
    </w:p>
    <w:p w14:paraId="1E0755DE">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szCs w:val="21"/>
          <w:highlight w:val="none"/>
        </w:rPr>
        <w:t>承包人应在工程接收证书颁发后28天内，按专用合同条款约定的份数向监理人提交完工付款申请单，</w:t>
      </w:r>
      <w:r>
        <w:rPr>
          <w:rFonts w:hint="eastAsia" w:ascii="宋体" w:hAnsi="宋体" w:eastAsia="宋体" w:cs="宋体"/>
          <w:color w:val="auto"/>
          <w:highlight w:val="none"/>
        </w:rPr>
        <w:t>并提供相关证明材料。完工付款申请单应包括下列内容：完工结算合同总价、发包人已支付承包人的工程价款、应扣留的质量保证金、应支付的完工付款金额。</w:t>
      </w:r>
    </w:p>
    <w:p w14:paraId="3F1841F8">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（2）监理人对完工付款申请单有异议的，有权要求承包人进行修正和提供补充资料。经监理人和承包人协商后，由承包人向监理人提交修正后的完工付款申请单。</w:t>
      </w:r>
    </w:p>
    <w:p w14:paraId="39029E5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17.5.2 竣工（完工）付款证书及支付时间</w:t>
      </w:r>
    </w:p>
    <w:p w14:paraId="097A9D8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173870BF">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（2）发包人应在监理人出具完工付款证书后的14天内，将应支付款支付给承包人。发包人不按期支付的，按第17.3.3（2）目的约定，将逾期付款违约金支付给承包人。</w:t>
      </w:r>
    </w:p>
    <w:p w14:paraId="780B5685">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（3）承包人对发包人签认的完工付款证书有异议的，发包人可出具完工付款申请单中承包人已同意部分的临时付款证书。存在争议的部分，按第24条的约定办理。</w:t>
      </w:r>
    </w:p>
    <w:p w14:paraId="6091209E">
      <w:pPr>
        <w:pageBreakBefore w:val="0"/>
        <w:widowControl w:val="0"/>
        <w:kinsoku/>
        <w:wordWrap/>
        <w:overflowPunct/>
        <w:topLinePunct w:val="0"/>
        <w:bidi w:val="0"/>
        <w:snapToGrid/>
        <w:spacing w:beforeAutospacing="0" w:afterAutospacing="0" w:line="360" w:lineRule="auto"/>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（4）完工付款涉及政府投资资金的，按第17.3.3（４）目的约定办理。</w:t>
      </w:r>
    </w:p>
    <w:p w14:paraId="3ECF8946">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71" w:name="_Toc10835"/>
      <w:bookmarkStart w:id="1072" w:name="_Toc10109"/>
      <w:r>
        <w:rPr>
          <w:rFonts w:hint="eastAsia" w:ascii="宋体" w:hAnsi="宋体" w:eastAsia="宋体" w:cs="宋体"/>
          <w:color w:val="auto"/>
          <w:sz w:val="24"/>
          <w:szCs w:val="24"/>
          <w:highlight w:val="none"/>
        </w:rPr>
        <w:t>17.6 最终结清</w:t>
      </w:r>
      <w:bookmarkEnd w:id="1071"/>
      <w:bookmarkEnd w:id="1072"/>
    </w:p>
    <w:p w14:paraId="43C6639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17.6.1 最终结清申请单</w:t>
      </w:r>
    </w:p>
    <w:p w14:paraId="7264A04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（1）工程质量保修责任终止证书签发后，承包人应按监理人批准的格式提交最终结清申请单。提交最终结清申请单的份数在专用合同条款中约定。</w:t>
      </w:r>
    </w:p>
    <w:p w14:paraId="0CFBD1BA">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（2）发包人对最终结清申请单内容有异议的，有权要求承包人进行修正和提供补充资料，由承包人向监理人提交修正后的最终结清申请单。</w:t>
      </w:r>
    </w:p>
    <w:p w14:paraId="7C97650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17.6.2 最终结清证书和支付时间</w:t>
      </w:r>
    </w:p>
    <w:p w14:paraId="4C04B02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6A46A095">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（2）发包人应在监理人出具最终结清证书后的14天内，将应支付款支付给承包人。发包人不按期支付的，按第17.3.3（2）目的约定，将逾期付款违约金支付给承包人。</w:t>
      </w:r>
    </w:p>
    <w:p w14:paraId="50103A73">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（3）承包人对发包人签认的最终结清证书有异议的，按第24条的约定办理。</w:t>
      </w:r>
    </w:p>
    <w:p w14:paraId="4D78F629">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（4）最终结清付款涉及政府投资资金的，按第17.3.3（４）目的约定办理。</w:t>
      </w:r>
    </w:p>
    <w:p w14:paraId="762F03E0">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73" w:name="_Toc10993"/>
      <w:bookmarkStart w:id="1074" w:name="_Toc28729"/>
      <w:r>
        <w:rPr>
          <w:rFonts w:hint="eastAsia" w:ascii="宋体" w:hAnsi="宋体" w:eastAsia="宋体" w:cs="宋体"/>
          <w:color w:val="auto"/>
          <w:sz w:val="24"/>
          <w:szCs w:val="24"/>
          <w:highlight w:val="none"/>
        </w:rPr>
        <w:t>17.7</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竣工财务决算</w:t>
      </w:r>
      <w:bookmarkEnd w:id="1073"/>
      <w:bookmarkEnd w:id="1074"/>
    </w:p>
    <w:p w14:paraId="312AD15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发包人负责编制本工程项目竣工财务决算，承包人应按专用合同条款的约定提供竣工财务决算编制所需的相关材料。</w:t>
      </w:r>
    </w:p>
    <w:p w14:paraId="1E18B7CF">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75" w:name="_Toc8894"/>
      <w:bookmarkStart w:id="1076" w:name="_Toc32567"/>
      <w:r>
        <w:rPr>
          <w:rFonts w:hint="eastAsia" w:ascii="宋体" w:hAnsi="宋体" w:eastAsia="宋体" w:cs="宋体"/>
          <w:color w:val="auto"/>
          <w:sz w:val="24"/>
          <w:szCs w:val="24"/>
          <w:highlight w:val="none"/>
        </w:rPr>
        <w:t>17.8</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竣工审计</w:t>
      </w:r>
      <w:bookmarkEnd w:id="1075"/>
      <w:bookmarkEnd w:id="1076"/>
    </w:p>
    <w:p w14:paraId="26C381D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发包人负责完成本工程竣工审计手续，承包人应完成相关配合工作。</w:t>
      </w:r>
    </w:p>
    <w:p w14:paraId="144A31AA">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77" w:name="_Toc31757"/>
      <w:bookmarkStart w:id="1078" w:name="_Toc24729"/>
      <w:r>
        <w:rPr>
          <w:rFonts w:hint="eastAsia" w:ascii="宋体" w:hAnsi="宋体" w:eastAsia="宋体" w:cs="宋体"/>
          <w:b/>
          <w:bCs w:val="0"/>
          <w:color w:val="auto"/>
          <w:sz w:val="28"/>
          <w:szCs w:val="28"/>
          <w:highlight w:val="none"/>
        </w:rPr>
        <w:t>18. 竣工验收（验收）</w:t>
      </w:r>
      <w:bookmarkEnd w:id="1077"/>
      <w:bookmarkEnd w:id="1078"/>
    </w:p>
    <w:p w14:paraId="0B8ABCDC">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18.1 验收工作分类</w:t>
      </w:r>
    </w:p>
    <w:p w14:paraId="574668B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32644106">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18.2 分部工程验收</w:t>
      </w:r>
    </w:p>
    <w:p w14:paraId="58C79D3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18.2.1分部工程具备验收条件时，承包人应向发包人提交验收申请报告，发包人应在收到验收申请报告之日起10个工作日内决定是否同意进行验收。</w:t>
      </w:r>
    </w:p>
    <w:p w14:paraId="142027A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18.2.2除专用合同条款另有约定外，监理人主持分部工程验收，承包人应派符合条件的代表参加验收工作组。</w:t>
      </w:r>
    </w:p>
    <w:p w14:paraId="653EEF1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18.2.3分部工程验收通过后，发包人向承包人发送分部工程验收鉴定书。承包人应及时完成分部工程验收鉴定书载明应由承包人处理的遗留问题。</w:t>
      </w:r>
    </w:p>
    <w:p w14:paraId="38DC375C">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18.3</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单位工程验收</w:t>
      </w:r>
    </w:p>
    <w:p w14:paraId="71C10DA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18.3.1单位工程具备验收条件时，承包人应向发包人提交验收申请报告，发包人应在收到验收申请报告之日起10个工作日内决定是否同意进行验收。</w:t>
      </w:r>
    </w:p>
    <w:p w14:paraId="4778143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18.3.2发包人主持单位工程验收，承包人应派符合条件的代表参加验收工作组。</w:t>
      </w:r>
    </w:p>
    <w:p w14:paraId="3E05937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18.3.3单位工程验收通过后，发包人向承包人发送单位工程验收鉴定书。承包人应及时完成单位工程验收鉴定书载明应由承包人处理的遗留问题。</w:t>
      </w:r>
    </w:p>
    <w:p w14:paraId="308E485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18.3.4 需提前投入使用的单位工程在专用合同条款中明确。</w:t>
      </w:r>
    </w:p>
    <w:p w14:paraId="2A594FAA">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18.4</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合同工程完工验收</w:t>
      </w:r>
    </w:p>
    <w:p w14:paraId="2F738A9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18.4.1合同工程具备验收条件时，承包人应向发包人提交验收申请报告，发包人应在收到验收申请报告之日起20个工作日内决定是否同意进行验收。</w:t>
      </w:r>
    </w:p>
    <w:p w14:paraId="3EC023B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18.4.2发包人主持合同工程完工验收，承包人应派符合条件的代表参加验收工作组。</w:t>
      </w:r>
    </w:p>
    <w:p w14:paraId="1B7A948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18.4.3合同工程完工验收通过后，发包人向承包人发送合同工程完工验收鉴定书。承包人应及时完成合同工程完工验收鉴定书载明应由承包人处理的遗留问题。</w:t>
      </w:r>
    </w:p>
    <w:p w14:paraId="6944743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18.4.4合同工程完工验收通过后，发包人与承包人应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30个工作日内向承包人颁发合同工程完工证书。</w:t>
      </w:r>
    </w:p>
    <w:p w14:paraId="52C6916A">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079" w:name="_Toc6249"/>
      <w:bookmarkStart w:id="1080" w:name="_Toc16401"/>
      <w:r>
        <w:rPr>
          <w:rFonts w:hint="eastAsia" w:ascii="宋体" w:hAnsi="宋体" w:eastAsia="宋体" w:cs="宋体"/>
          <w:color w:val="auto"/>
          <w:sz w:val="24"/>
          <w:szCs w:val="24"/>
          <w:highlight w:val="none"/>
        </w:rPr>
        <w:t>18.5 阶段验收</w:t>
      </w:r>
      <w:bookmarkEnd w:id="1079"/>
      <w:bookmarkEnd w:id="1080"/>
    </w:p>
    <w:p w14:paraId="190D982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18.5.1 工程建设具备阶段验收条件时，发包人负责提出阶段验收申请报告。承包人应派代表参加阶段验收，并作为被验收单位在验收鉴定书上签字。阶段验收的具体类别在专用合同条款中约定。</w:t>
      </w:r>
    </w:p>
    <w:p w14:paraId="21E17F7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18.5.2承包人应及时完成阶段验收鉴定书载明应由承包人处理的遗留问题。</w:t>
      </w:r>
    </w:p>
    <w:p w14:paraId="523DD167">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18.6 专项验收</w:t>
      </w:r>
    </w:p>
    <w:p w14:paraId="79112EF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18.6.1发包人负责提出专项验收申请报告。承包人应按专项验收的相关规定参加专项验收。专项验收的具体类别在专用合同条款中约定。</w:t>
      </w:r>
    </w:p>
    <w:p w14:paraId="298354C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18.6.2承包应及时完成专项成果性文件载明应由承包人处理的遗留问题。</w:t>
      </w:r>
    </w:p>
    <w:p w14:paraId="01D07F0A">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18.7 竣工验收</w:t>
      </w:r>
    </w:p>
    <w:p w14:paraId="640CE50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18.7.1申请竣工验收前，发包人组织竣工验收自查，承包人应派代表参加。</w:t>
      </w:r>
    </w:p>
    <w:p w14:paraId="3A5CEFE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18.7.2竣工验收分为竣工技术预验收和竣工验收两个阶段，发包人应通知承包人派代表参加技术预验收和竣工验收。</w:t>
      </w:r>
    </w:p>
    <w:p w14:paraId="7F3A5EB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18.7.3专用合同条款约定工程需要进行技术鉴定的，承包人应提交有关资料并完成配合工作。</w:t>
      </w:r>
    </w:p>
    <w:p w14:paraId="0A1D45F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18.7.4竣工验收需要进行质量检测的，所需费用由发包人承担，但因承包人原因造成质量不合格的除外。</w:t>
      </w:r>
    </w:p>
    <w:p w14:paraId="052BF06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18.7.5工程质量保修期满以及竣工验收遗留问题和尾工处理完成并通过验收后，发包人负责将处理情况和验收成果报送竣工验收主持单位，申请领取工程竣工证书，并发送承包人。</w:t>
      </w:r>
    </w:p>
    <w:p w14:paraId="4DCDB8DD">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18.8 施工期运行</w:t>
      </w:r>
    </w:p>
    <w:p w14:paraId="7DCAA01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18.8.1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3F0C785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18.8.2在施工期运行中发现工程或工程设备损坏或存在缺陷的，由承包人按第19.2款约定进行修复。</w:t>
      </w:r>
    </w:p>
    <w:p w14:paraId="2DDEDF4D">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18.9 试运行</w:t>
      </w:r>
    </w:p>
    <w:p w14:paraId="03C5EFA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18.9.1除专用合同条款另有约定外，承包人应按规定进行工程及工程设备试运行，负责提供试运行所需的人员、器材和必要的条件，并承担全部试运行费用。</w:t>
      </w:r>
    </w:p>
    <w:p w14:paraId="48AD6B6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18.9.2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0D27E746">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18.10 竣工（完工）清场</w:t>
      </w:r>
    </w:p>
    <w:p w14:paraId="5F108B2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cs="宋体"/>
          <w:color w:val="auto"/>
          <w:highlight w:val="none"/>
          <w:lang w:val="en-US" w:eastAsia="zh-CN"/>
        </w:rPr>
        <w:t>.</w:t>
      </w:r>
      <w:r>
        <w:rPr>
          <w:rFonts w:hint="eastAsia" w:ascii="宋体" w:hAnsi="宋体" w:eastAsia="宋体" w:cs="宋体"/>
          <w:color w:val="auto"/>
          <w:highlight w:val="none"/>
        </w:rPr>
        <w:t>10.1工程项目竣工（完工）清场的工作范围和内容在技术标准和要求（合同技术条款）中约定。</w:t>
      </w:r>
    </w:p>
    <w:p w14:paraId="0E2F22D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18.10.2承包未按监理人的要求恢复临时占地，或者场地清理未达到合同约定的，发包人有权委托其它人恢复或清理，所发生的金额从拟支付给承包人的款项中扣除。</w:t>
      </w:r>
    </w:p>
    <w:p w14:paraId="7AB917CF">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18.11施工队伍的撤离</w:t>
      </w:r>
    </w:p>
    <w:p w14:paraId="5152501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工程接收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5723B25F">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81" w:name="_Toc19243"/>
      <w:bookmarkStart w:id="1082" w:name="_Toc19140"/>
      <w:r>
        <w:rPr>
          <w:rFonts w:hint="eastAsia" w:ascii="宋体" w:hAnsi="宋体" w:eastAsia="宋体" w:cs="宋体"/>
          <w:b/>
          <w:bCs w:val="0"/>
          <w:color w:val="auto"/>
          <w:sz w:val="28"/>
          <w:szCs w:val="28"/>
          <w:highlight w:val="none"/>
        </w:rPr>
        <w:t>19. 缺陷责任与保修责任</w:t>
      </w:r>
      <w:bookmarkEnd w:id="1081"/>
      <w:bookmarkEnd w:id="1082"/>
    </w:p>
    <w:p w14:paraId="6BE1DAC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4"/>
          <w:szCs w:val="24"/>
          <w:highlight w:val="none"/>
        </w:rPr>
      </w:pPr>
      <w:bookmarkStart w:id="1083" w:name="_Toc21385"/>
      <w:bookmarkStart w:id="1084" w:name="_Toc22865"/>
      <w:r>
        <w:rPr>
          <w:rFonts w:hint="eastAsia" w:ascii="宋体" w:hAnsi="宋体" w:eastAsia="宋体" w:cs="宋体"/>
          <w:b/>
          <w:bCs w:val="0"/>
          <w:color w:val="auto"/>
          <w:sz w:val="24"/>
          <w:szCs w:val="24"/>
          <w:highlight w:val="none"/>
        </w:rPr>
        <w:t>19.1 缺陷责任期（工程质量保修期）的起算时间</w:t>
      </w:r>
      <w:bookmarkEnd w:id="1083"/>
      <w:bookmarkEnd w:id="1084"/>
    </w:p>
    <w:p w14:paraId="429EE4E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60E56DA1">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85" w:name="_Toc16846"/>
      <w:bookmarkStart w:id="1086" w:name="_Toc4624"/>
      <w:r>
        <w:rPr>
          <w:rFonts w:hint="eastAsia" w:ascii="宋体" w:hAnsi="宋体" w:eastAsia="宋体" w:cs="宋体"/>
          <w:b/>
          <w:bCs/>
          <w:color w:val="auto"/>
          <w:sz w:val="24"/>
          <w:szCs w:val="20"/>
          <w:highlight w:val="none"/>
        </w:rPr>
        <w:t>19.2 缺陷责任</w:t>
      </w:r>
      <w:bookmarkEnd w:id="1085"/>
      <w:bookmarkEnd w:id="1086"/>
    </w:p>
    <w:p w14:paraId="12B67CA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19.2.1 承包人应在缺陷责任期内对已交付使用的工程承担缺陷责任。</w:t>
      </w:r>
    </w:p>
    <w:p w14:paraId="0AC0EEA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3563783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253218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19.2.4 承包人不能在合理时间内修复缺陷的，发包人可自行修复或委托其他人修复，所需费用和利润的承担，按第19.2.3项约定办理。</w:t>
      </w:r>
    </w:p>
    <w:p w14:paraId="0507EE7B">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87" w:name="_Toc4523"/>
      <w:bookmarkStart w:id="1088" w:name="_Toc32001"/>
      <w:r>
        <w:rPr>
          <w:rFonts w:hint="eastAsia" w:ascii="宋体" w:hAnsi="宋体" w:eastAsia="宋体" w:cs="宋体"/>
          <w:b/>
          <w:bCs/>
          <w:color w:val="auto"/>
          <w:sz w:val="24"/>
          <w:szCs w:val="20"/>
          <w:highlight w:val="none"/>
        </w:rPr>
        <w:t>19.3 缺陷责任期的延长</w:t>
      </w:r>
      <w:bookmarkEnd w:id="1087"/>
      <w:bookmarkEnd w:id="1088"/>
    </w:p>
    <w:p w14:paraId="7FA9E36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54E88355">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89" w:name="_Toc20541"/>
      <w:bookmarkStart w:id="1090" w:name="_Toc9496"/>
      <w:r>
        <w:rPr>
          <w:rFonts w:hint="eastAsia" w:ascii="宋体" w:hAnsi="宋体" w:eastAsia="宋体" w:cs="宋体"/>
          <w:b/>
          <w:bCs/>
          <w:color w:val="auto"/>
          <w:sz w:val="24"/>
          <w:szCs w:val="20"/>
          <w:highlight w:val="none"/>
        </w:rPr>
        <w:t>19.4 进一步试验和试运行</w:t>
      </w:r>
      <w:bookmarkEnd w:id="1089"/>
      <w:bookmarkEnd w:id="1090"/>
    </w:p>
    <w:p w14:paraId="26175E6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4CBF6CB3">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91" w:name="_Toc20365"/>
      <w:bookmarkStart w:id="1092" w:name="_Toc14510"/>
      <w:r>
        <w:rPr>
          <w:rFonts w:hint="eastAsia" w:ascii="宋体" w:hAnsi="宋体" w:eastAsia="宋体" w:cs="宋体"/>
          <w:b/>
          <w:bCs/>
          <w:color w:val="auto"/>
          <w:sz w:val="24"/>
          <w:szCs w:val="20"/>
          <w:highlight w:val="none"/>
        </w:rPr>
        <w:t>19.5 承包人的进入权</w:t>
      </w:r>
      <w:bookmarkEnd w:id="1091"/>
      <w:bookmarkEnd w:id="1092"/>
    </w:p>
    <w:p w14:paraId="3F129D4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14:paraId="130DA1D5">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93" w:name="_Toc20362"/>
      <w:bookmarkStart w:id="1094" w:name="_Toc1782"/>
      <w:r>
        <w:rPr>
          <w:rFonts w:hint="eastAsia" w:ascii="宋体" w:hAnsi="宋体" w:eastAsia="宋体" w:cs="宋体"/>
          <w:b/>
          <w:bCs/>
          <w:color w:val="auto"/>
          <w:sz w:val="24"/>
          <w:szCs w:val="20"/>
          <w:highlight w:val="none"/>
        </w:rPr>
        <w:t>19.6 缺陷责任期终止证书（工程质量保修责任终止证书）</w:t>
      </w:r>
      <w:bookmarkEnd w:id="1093"/>
      <w:bookmarkEnd w:id="1094"/>
    </w:p>
    <w:p w14:paraId="674730A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合同工程完工验收或投入使用验收后，发包人与承包人应办理工程交接手续，承包人应向发包人递交工程质量保修书。</w:t>
      </w:r>
    </w:p>
    <w:p w14:paraId="418BA4B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缺陷责任期（工程质量保修期）满后30个工作日内，发包人应向承包人颁发工程质量保修责任终止证书，并退还剩余的质量保证金，但保修责任范围内的质量缺陷未处理完成的应除外。</w:t>
      </w:r>
    </w:p>
    <w:p w14:paraId="3C09C78F">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095" w:name="_Toc19802"/>
      <w:bookmarkStart w:id="1096" w:name="_Toc30349"/>
      <w:r>
        <w:rPr>
          <w:rFonts w:hint="eastAsia" w:ascii="宋体" w:hAnsi="宋体" w:eastAsia="宋体" w:cs="宋体"/>
          <w:b/>
          <w:bCs/>
          <w:color w:val="auto"/>
          <w:sz w:val="24"/>
          <w:szCs w:val="20"/>
          <w:highlight w:val="none"/>
        </w:rPr>
        <w:t>19.7 保修责任</w:t>
      </w:r>
      <w:bookmarkEnd w:id="1095"/>
      <w:bookmarkEnd w:id="1096"/>
    </w:p>
    <w:p w14:paraId="3B0ECD7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6B4D6766">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097" w:name="_Toc20038"/>
      <w:bookmarkStart w:id="1098" w:name="_Toc23916"/>
      <w:r>
        <w:rPr>
          <w:rFonts w:hint="eastAsia" w:ascii="宋体" w:hAnsi="宋体" w:eastAsia="宋体" w:cs="宋体"/>
          <w:b/>
          <w:bCs w:val="0"/>
          <w:color w:val="auto"/>
          <w:sz w:val="28"/>
          <w:szCs w:val="28"/>
          <w:highlight w:val="none"/>
        </w:rPr>
        <w:t>20. 保险</w:t>
      </w:r>
      <w:bookmarkEnd w:id="1097"/>
      <w:bookmarkEnd w:id="1098"/>
    </w:p>
    <w:p w14:paraId="3D89B5B8">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4"/>
          <w:highlight w:val="none"/>
        </w:rPr>
      </w:pPr>
      <w:bookmarkStart w:id="1099" w:name="_Toc16749"/>
      <w:bookmarkStart w:id="1100" w:name="_Toc30982"/>
      <w:r>
        <w:rPr>
          <w:rFonts w:hint="eastAsia" w:ascii="宋体" w:hAnsi="宋体" w:eastAsia="宋体" w:cs="宋体"/>
          <w:b/>
          <w:bCs w:val="0"/>
          <w:color w:val="auto"/>
          <w:sz w:val="24"/>
          <w:szCs w:val="24"/>
          <w:highlight w:val="none"/>
        </w:rPr>
        <w:t>20.1 工程保险</w:t>
      </w:r>
      <w:bookmarkEnd w:id="1099"/>
      <w:bookmarkEnd w:id="1100"/>
    </w:p>
    <w:p w14:paraId="0A7AD0C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290D001D">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01" w:name="_Toc28579"/>
      <w:bookmarkStart w:id="1102" w:name="_Toc18883"/>
      <w:r>
        <w:rPr>
          <w:rFonts w:hint="eastAsia" w:ascii="宋体" w:hAnsi="宋体" w:eastAsia="宋体" w:cs="宋体"/>
          <w:b/>
          <w:bCs/>
          <w:color w:val="auto"/>
          <w:sz w:val="24"/>
          <w:szCs w:val="20"/>
          <w:highlight w:val="none"/>
        </w:rPr>
        <w:t>20.2 人员工伤事故的保险</w:t>
      </w:r>
      <w:bookmarkEnd w:id="1101"/>
      <w:bookmarkEnd w:id="1102"/>
    </w:p>
    <w:p w14:paraId="25E3A2F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20.2.1 承包人员工伤事故的保险</w:t>
      </w:r>
    </w:p>
    <w:p w14:paraId="712453B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承包人应依照有关法律规定参加工伤保险，为其履行合同所雇佣的全部人员，缴纳工伤保险费，并要求其分包人也进行此项保险。</w:t>
      </w:r>
    </w:p>
    <w:p w14:paraId="4427C50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 发包人员工伤事故的保险</w:t>
      </w:r>
    </w:p>
    <w:p w14:paraId="11DDBCD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发包人应依照有关法律规定参加工伤保险，为其现场机构雇佣的全部人员，缴纳工伤保险费，并要求其监理人也进行此项保险。</w:t>
      </w:r>
    </w:p>
    <w:p w14:paraId="70F7F774">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03" w:name="_Toc28766"/>
      <w:bookmarkStart w:id="1104" w:name="_Toc6795"/>
      <w:r>
        <w:rPr>
          <w:rFonts w:hint="eastAsia" w:ascii="宋体" w:hAnsi="宋体" w:eastAsia="宋体" w:cs="宋体"/>
          <w:b/>
          <w:bCs/>
          <w:color w:val="auto"/>
          <w:sz w:val="24"/>
          <w:szCs w:val="20"/>
          <w:highlight w:val="none"/>
        </w:rPr>
        <w:t>20.3 人身意外伤害险</w:t>
      </w:r>
      <w:bookmarkEnd w:id="1103"/>
      <w:bookmarkEnd w:id="1104"/>
    </w:p>
    <w:p w14:paraId="575296D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20.3.1 发包人应在整个施工期间为其现场机构雇用的全部人员，投保人身意外伤害险，缴纳保险费，并要求其监理人也进行此项保险。</w:t>
      </w:r>
    </w:p>
    <w:p w14:paraId="2FC3153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20.3.2 承包人应在整个施工期间为其现场机构雇用的全部人员，投保人身意外伤害险，缴纳保险费，并要求其分包人也进行此项保险。</w:t>
      </w:r>
    </w:p>
    <w:p w14:paraId="72D288CD">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05" w:name="_Toc26567"/>
      <w:bookmarkStart w:id="1106" w:name="_Toc5174"/>
      <w:r>
        <w:rPr>
          <w:rFonts w:hint="eastAsia" w:ascii="宋体" w:hAnsi="宋体" w:eastAsia="宋体" w:cs="宋体"/>
          <w:b/>
          <w:bCs/>
          <w:color w:val="auto"/>
          <w:sz w:val="24"/>
          <w:szCs w:val="20"/>
          <w:highlight w:val="none"/>
        </w:rPr>
        <w:t>20.4 第三者责任险</w:t>
      </w:r>
      <w:bookmarkEnd w:id="1105"/>
      <w:bookmarkEnd w:id="1106"/>
    </w:p>
    <w:p w14:paraId="31A288E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1ECFF8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20.4.2 在缺陷责任期终止证书颁发前，承包人应以承包人和发包人的共同名义，投保第20.4.1项约定的第三者责任险，其保险费率、保险金额等有关内容在专用合同条款中约定。</w:t>
      </w:r>
    </w:p>
    <w:p w14:paraId="481BD871">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07" w:name="_Toc1729"/>
      <w:bookmarkStart w:id="1108" w:name="_Toc24267"/>
      <w:r>
        <w:rPr>
          <w:rFonts w:hint="eastAsia" w:ascii="宋体" w:hAnsi="宋体" w:eastAsia="宋体" w:cs="宋体"/>
          <w:b/>
          <w:bCs/>
          <w:color w:val="auto"/>
          <w:sz w:val="24"/>
          <w:szCs w:val="20"/>
          <w:highlight w:val="none"/>
        </w:rPr>
        <w:t>20.5 其他保险</w:t>
      </w:r>
      <w:bookmarkEnd w:id="1107"/>
      <w:bookmarkEnd w:id="1108"/>
    </w:p>
    <w:p w14:paraId="6294CB9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14:paraId="50422A79">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09" w:name="_Toc15151"/>
      <w:bookmarkStart w:id="1110" w:name="_Toc17716"/>
      <w:r>
        <w:rPr>
          <w:rFonts w:hint="eastAsia" w:ascii="宋体" w:hAnsi="宋体" w:eastAsia="宋体" w:cs="宋体"/>
          <w:b/>
          <w:bCs/>
          <w:color w:val="auto"/>
          <w:sz w:val="24"/>
          <w:szCs w:val="20"/>
          <w:highlight w:val="none"/>
        </w:rPr>
        <w:t>20.6 对各项保险的一般要求</w:t>
      </w:r>
      <w:bookmarkEnd w:id="1109"/>
      <w:bookmarkEnd w:id="1110"/>
    </w:p>
    <w:p w14:paraId="1C8305C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20.6.1 保险凭证</w:t>
      </w:r>
    </w:p>
    <w:p w14:paraId="6CA760C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14:paraId="7085A25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20.6.2 保险合同条款的变动</w:t>
      </w:r>
    </w:p>
    <w:p w14:paraId="760C7AE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14:paraId="528F86E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20.6.3 持续保险</w:t>
      </w:r>
    </w:p>
    <w:p w14:paraId="12A9646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14:paraId="3447133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20.6.4 保险金不足的补偿</w:t>
      </w:r>
    </w:p>
    <w:p w14:paraId="77C2F83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保险金不足以补偿损失时，应由承包人和发包人各自负责补偿的范围和金额在专用合同条款中约定。</w:t>
      </w:r>
    </w:p>
    <w:p w14:paraId="4AB047E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20.6.5 未按约定投保的补救</w:t>
      </w:r>
    </w:p>
    <w:p w14:paraId="76D6AC2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（1）由于负有投保义务的一方当事人未按合同约定办理保险，或未能使保险持续有效的，另一方当事人可代为办理，所需费用由对方当事人承担。</w:t>
      </w:r>
    </w:p>
    <w:p w14:paraId="4345E55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（2）由于负有投保义务的一方当事人未按合同约定办理某项保险，导致受益人未能得到保险人的赔偿，原应从该项保险得到的保险金应由负有投保义务的一方当事人支付。</w:t>
      </w:r>
    </w:p>
    <w:p w14:paraId="4F3C7A5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20.6.6 报告义务</w:t>
      </w:r>
    </w:p>
    <w:p w14:paraId="7AAEF7C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14:paraId="3B2A9FD0">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11" w:name="_Toc17935"/>
      <w:bookmarkStart w:id="1112" w:name="_Toc14758"/>
      <w:r>
        <w:rPr>
          <w:rFonts w:hint="eastAsia" w:ascii="宋体" w:hAnsi="宋体" w:eastAsia="宋体" w:cs="宋体"/>
          <w:color w:val="auto"/>
          <w:sz w:val="24"/>
          <w:szCs w:val="24"/>
          <w:highlight w:val="none"/>
        </w:rPr>
        <w:t>20.7 风险责任的转移</w:t>
      </w:r>
      <w:bookmarkEnd w:id="1111"/>
      <w:bookmarkEnd w:id="1112"/>
    </w:p>
    <w:p w14:paraId="5738D25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p>
    <w:p w14:paraId="743F1C58">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113" w:name="_Toc9191"/>
      <w:bookmarkStart w:id="1114" w:name="_Toc27435"/>
      <w:r>
        <w:rPr>
          <w:rFonts w:hint="eastAsia" w:ascii="宋体" w:hAnsi="宋体" w:eastAsia="宋体" w:cs="宋体"/>
          <w:b/>
          <w:bCs w:val="0"/>
          <w:color w:val="auto"/>
          <w:sz w:val="28"/>
          <w:szCs w:val="28"/>
          <w:highlight w:val="none"/>
        </w:rPr>
        <w:t>21. 不可抗力</w:t>
      </w:r>
      <w:bookmarkEnd w:id="1113"/>
      <w:bookmarkEnd w:id="1114"/>
    </w:p>
    <w:p w14:paraId="2829729A">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1115" w:name="_Toc13074"/>
      <w:bookmarkStart w:id="1116" w:name="_Toc3920"/>
      <w:r>
        <w:rPr>
          <w:rFonts w:hint="eastAsia" w:ascii="宋体" w:hAnsi="宋体" w:eastAsia="宋体" w:cs="宋体"/>
          <w:b/>
          <w:bCs w:val="0"/>
          <w:color w:val="auto"/>
          <w:sz w:val="24"/>
          <w:szCs w:val="20"/>
          <w:highlight w:val="none"/>
        </w:rPr>
        <w:t>21.1 不可抗力的确认</w:t>
      </w:r>
      <w:bookmarkEnd w:id="1115"/>
      <w:bookmarkEnd w:id="1116"/>
    </w:p>
    <w:p w14:paraId="24FAB6E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432676F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2BCF654">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17" w:name="_Toc28074"/>
      <w:bookmarkStart w:id="1118" w:name="_Toc31348"/>
      <w:r>
        <w:rPr>
          <w:rFonts w:hint="eastAsia" w:ascii="宋体" w:hAnsi="宋体" w:eastAsia="宋体" w:cs="宋体"/>
          <w:b/>
          <w:bCs/>
          <w:color w:val="auto"/>
          <w:sz w:val="24"/>
          <w:szCs w:val="20"/>
          <w:highlight w:val="none"/>
        </w:rPr>
        <w:t>21.2 不可抗力的通知</w:t>
      </w:r>
      <w:bookmarkEnd w:id="1117"/>
      <w:bookmarkEnd w:id="1118"/>
    </w:p>
    <w:p w14:paraId="2BE61A7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21.2.1 合同一方当事人遇到不可抗力事件，使其履行合同义务受到阻碍时，应立即通知合同另一方当事人和监理人，书面说明不可抗力和受阻碍的详细情况，并提供必要的证明。</w:t>
      </w:r>
    </w:p>
    <w:p w14:paraId="74E5195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1CCB2F1A">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19" w:name="_Toc27968"/>
      <w:bookmarkStart w:id="1120" w:name="_Toc7947"/>
      <w:r>
        <w:rPr>
          <w:rFonts w:hint="eastAsia" w:ascii="宋体" w:hAnsi="宋体" w:eastAsia="宋体" w:cs="宋体"/>
          <w:b/>
          <w:bCs/>
          <w:color w:val="auto"/>
          <w:sz w:val="24"/>
          <w:szCs w:val="20"/>
          <w:highlight w:val="none"/>
        </w:rPr>
        <w:t>21.3 不可抗力后果及其处理</w:t>
      </w:r>
      <w:bookmarkEnd w:id="1119"/>
      <w:bookmarkEnd w:id="1120"/>
    </w:p>
    <w:p w14:paraId="23F6478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21.3.1 不可抗力造成损害的责任</w:t>
      </w:r>
    </w:p>
    <w:p w14:paraId="6AB7089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14:paraId="49580E94">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（1）永久工程，包括已运至施工场地的材料和工程设备的损害，以及因工程损害造成的第三者人员伤亡和财产损失由发包人承担；</w:t>
      </w:r>
    </w:p>
    <w:p w14:paraId="7F61F023">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（2）承包人设备的损坏由承包人承担；</w:t>
      </w:r>
    </w:p>
    <w:p w14:paraId="55D7EA5A">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（3）发包人和承包人各自承担其人员伤亡和其他财产损失及其相关费用；</w:t>
      </w:r>
    </w:p>
    <w:p w14:paraId="7F307A61">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（4）承包人的停工损失由承包人承担，但停工期间应监理人要求照管工程和清理、修复工程的金额由发包人承担；</w:t>
      </w:r>
    </w:p>
    <w:p w14:paraId="0BDE5248">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（5）不能按期竣工的，应合理延长工期，承包人不需支付逾期竣工违约金。发包人要求赶工的，承包人应采取赶工措施，赶工费用由发包人承担。</w:t>
      </w:r>
    </w:p>
    <w:p w14:paraId="4911CF3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21.3.2 延迟履行期间发生的不可抗力</w:t>
      </w:r>
    </w:p>
    <w:p w14:paraId="6B774A1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14:paraId="4E432AF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21.3.3 避免和减少不可抗力损失</w:t>
      </w:r>
    </w:p>
    <w:p w14:paraId="532FC7D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14:paraId="1CB9A98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21.3.4 因不可抗力解除合同</w:t>
      </w:r>
    </w:p>
    <w:p w14:paraId="14A1575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EEFB6B8">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121" w:name="_Toc23324"/>
      <w:bookmarkStart w:id="1122" w:name="_Toc1887"/>
      <w:r>
        <w:rPr>
          <w:rFonts w:hint="eastAsia" w:ascii="宋体" w:hAnsi="宋体" w:eastAsia="宋体" w:cs="宋体"/>
          <w:b/>
          <w:bCs w:val="0"/>
          <w:color w:val="auto"/>
          <w:sz w:val="28"/>
          <w:szCs w:val="28"/>
          <w:highlight w:val="none"/>
        </w:rPr>
        <w:t>22. 违约</w:t>
      </w:r>
      <w:bookmarkEnd w:id="1121"/>
      <w:bookmarkEnd w:id="1122"/>
    </w:p>
    <w:p w14:paraId="12F9D294">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1123" w:name="_Toc6972"/>
      <w:bookmarkStart w:id="1124" w:name="_Toc29676"/>
      <w:r>
        <w:rPr>
          <w:rFonts w:hint="eastAsia" w:ascii="宋体" w:hAnsi="宋体" w:eastAsia="宋体" w:cs="宋体"/>
          <w:b/>
          <w:bCs w:val="0"/>
          <w:color w:val="auto"/>
          <w:sz w:val="24"/>
          <w:szCs w:val="20"/>
          <w:highlight w:val="none"/>
        </w:rPr>
        <w:t>22.1 承包人违约</w:t>
      </w:r>
      <w:bookmarkEnd w:id="1123"/>
      <w:bookmarkEnd w:id="1124"/>
    </w:p>
    <w:p w14:paraId="1EF302E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22.1.1 承包人违约的情形</w:t>
      </w:r>
    </w:p>
    <w:p w14:paraId="528C81E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14:paraId="3B1CE2E0">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（1）承包人违反第1.8款或第4.3款的约定，私自将合同的全部或部分权利转让给其他人，或私自将合同的全部或部分义务转移给其他人；</w:t>
      </w:r>
    </w:p>
    <w:p w14:paraId="3B0CB13E">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（2）承包人违反第5.3款或第6.4款的约定，未经监理人批准，私自将已按合同约定进入施工场地的施工设备、临时设施或材料撤离施工场地；</w:t>
      </w:r>
    </w:p>
    <w:p w14:paraId="104421E0">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（3）承包人违反第5.4款的约定使用了不合格材料或工程设备，工程质量达不到标准要求，又拒绝清除不合格工程；</w:t>
      </w:r>
    </w:p>
    <w:p w14:paraId="28A49B3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（4）承包人未能按合同进度计划及时完成合同约定的工作，已造成或预期造成工期延误；</w:t>
      </w:r>
    </w:p>
    <w:p w14:paraId="0DE3FCD1">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（5）承包人在缺陷责任期（工程质量保修期）内，未能对合同工程完工验收鉴定书中所列的缺陷清单的内容或缺陷责任期（工程质量保修期）内发生的缺陷进行修复，而又拒绝按监理人指示再进行修补；</w:t>
      </w:r>
    </w:p>
    <w:p w14:paraId="71B2D090">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（6）承包人无法继续履行或明确表示不履行或实质上已停止履行合同；</w:t>
      </w:r>
    </w:p>
    <w:p w14:paraId="4308E9E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（7）承包人不按合同约定履行义务的其他情况。</w:t>
      </w:r>
    </w:p>
    <w:p w14:paraId="2926E2DC">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22.1.2 对承包人违约的处理</w:t>
      </w:r>
    </w:p>
    <w:p w14:paraId="442B3C4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（1）承包人发生第22.1.1（6）目约定的违约情况时，发包人可通知承包人立即解除合同，并按有关法律处理。</w:t>
      </w:r>
    </w:p>
    <w:p w14:paraId="5A0A497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（2）承包人发生除第22.1.1（6）目约定以外的其他违约情况时，监理人可向承包人发出整改通知，要求其在指定的期限内改正。承包人应承担其违约所引起的费用增加和（或）工期延误。</w:t>
      </w:r>
    </w:p>
    <w:p w14:paraId="3FA18481">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（3）经检查证明承包人已采取了有效措施纠正违约行为，具备复工条件的，可由监理人签发复工通知复工。</w:t>
      </w:r>
    </w:p>
    <w:p w14:paraId="3A24A1A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22.1.3 承包人违约解除合同</w:t>
      </w:r>
    </w:p>
    <w:p w14:paraId="7C00631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095B7D0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22.1.4 合同解除后的估价、付款和结清</w:t>
      </w:r>
    </w:p>
    <w:p w14:paraId="5C9BC25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（1）合同解除后，监理人按第3.5款商定或确定承包人实际完成工作的价值，以及承包人已提供的材料、施工设备、工程设备和临时工程等的价值。 </w:t>
      </w:r>
    </w:p>
    <w:p w14:paraId="7334AA4F">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（2）合同解除后，发包人应暂停对承包人的一切付款，查清各项付款和已扣款金额，包括承包人应支付的违约金。 </w:t>
      </w:r>
    </w:p>
    <w:p w14:paraId="43B9A14D">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（3）合同解除后，发包人应按第23.4款的约定向承包人索赔由于解除合同给发包人造成的损失。</w:t>
      </w:r>
    </w:p>
    <w:p w14:paraId="37B9D14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（4）合同双方确认上述往来款项后，出具最终结清付款证书，结清全部合同款项。</w:t>
      </w:r>
    </w:p>
    <w:p w14:paraId="12715A8E">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（5）发包人和承包人未能就解除合同后的结清达成一致而形成争议的，按第24条的约定办理。</w:t>
      </w:r>
    </w:p>
    <w:p w14:paraId="2FAF074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22.1.5 协议利益的转让</w:t>
      </w:r>
    </w:p>
    <w:p w14:paraId="0E5368A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08F88B3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22.1.6 紧急情况下无能力或不愿进行抢救</w:t>
      </w:r>
    </w:p>
    <w:p w14:paraId="3AC946A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6B880291">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25" w:name="_Toc3861"/>
      <w:bookmarkStart w:id="1126" w:name="_Toc1589"/>
      <w:r>
        <w:rPr>
          <w:rFonts w:hint="eastAsia" w:ascii="宋体" w:hAnsi="宋体" w:eastAsia="宋体" w:cs="宋体"/>
          <w:b/>
          <w:bCs/>
          <w:color w:val="auto"/>
          <w:sz w:val="24"/>
          <w:szCs w:val="20"/>
          <w:highlight w:val="none"/>
        </w:rPr>
        <w:t>22.2 发包人违约</w:t>
      </w:r>
      <w:bookmarkEnd w:id="1125"/>
      <w:bookmarkEnd w:id="1126"/>
    </w:p>
    <w:p w14:paraId="3BB8D14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22.2.1 发包人违约的情形</w:t>
      </w:r>
    </w:p>
    <w:p w14:paraId="3EA3958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14:paraId="4A4DA523">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（1）发包人未能按合同约定支付预付款或合同价款，或拖延、拒绝批准付款申请和支付凭证，导致付款延误的；</w:t>
      </w:r>
    </w:p>
    <w:p w14:paraId="25441F16">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（2）发包人原因造成停工的；</w:t>
      </w:r>
    </w:p>
    <w:p w14:paraId="1A860636">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（3）监理人无正当理由没有在约定期限内发出复工指示，导致承包人无法复工的；</w:t>
      </w:r>
    </w:p>
    <w:p w14:paraId="0C0DE605">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（4）发包人无法继续履行或明确表示不履行或实质上已停止履行合同的；</w:t>
      </w:r>
    </w:p>
    <w:p w14:paraId="4F08EE0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（5）发包人不履行合同约定其他义务的。</w:t>
      </w:r>
    </w:p>
    <w:p w14:paraId="71ED868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22.2.2 承包人有权暂停施工</w:t>
      </w:r>
    </w:p>
    <w:p w14:paraId="7837FF3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67FFF4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22.2.3 发包人违约解除合同 </w:t>
      </w:r>
    </w:p>
    <w:p w14:paraId="7435F11C">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（1）发生第22.2.1（4）目的违约情况时，承包人可书面通知发包人解除合同。</w:t>
      </w:r>
    </w:p>
    <w:p w14:paraId="1FA6557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5D0F541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22.2.4 解除合同后的付款</w:t>
      </w:r>
    </w:p>
    <w:p w14:paraId="2DA8048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14:paraId="14AA7108">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（1）合同解除日以前所完成工作的价款；</w:t>
      </w:r>
    </w:p>
    <w:p w14:paraId="0CE23CDB">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（2）承包人为该工程施工订购并已付款的材料、工程设备和其他物品的金额。发包人付还后，该材料、工程设备和其他物品归发包人所有；</w:t>
      </w:r>
    </w:p>
    <w:p w14:paraId="014EFE75">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（3）承包人为完成工程所发生的，而发包人未支付的金额；</w:t>
      </w:r>
    </w:p>
    <w:p w14:paraId="4BDFF35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（4）承包人撤离施工场地以及遣散承包人人员的金额；</w:t>
      </w:r>
    </w:p>
    <w:p w14:paraId="452CC087">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（5）由于解除合同应赔偿的承包人损失；</w:t>
      </w:r>
    </w:p>
    <w:p w14:paraId="2D45F6B5">
      <w:pPr>
        <w:pageBreakBefore w:val="0"/>
        <w:widowControl w:val="0"/>
        <w:kinsoku/>
        <w:wordWrap/>
        <w:overflowPunct/>
        <w:topLinePunct w:val="0"/>
        <w:bidi w:val="0"/>
        <w:snapToGrid/>
        <w:spacing w:beforeAutospacing="0" w:afterAutospacing="0" w:line="360" w:lineRule="auto"/>
        <w:ind w:left="0" w:leftChars="0" w:right="0" w:firstLine="718" w:firstLineChars="342"/>
        <w:textAlignment w:val="auto"/>
        <w:rPr>
          <w:rFonts w:hint="eastAsia" w:ascii="宋体" w:hAnsi="宋体" w:eastAsia="宋体" w:cs="宋体"/>
          <w:color w:val="auto"/>
          <w:highlight w:val="none"/>
        </w:rPr>
      </w:pPr>
      <w:r>
        <w:rPr>
          <w:rFonts w:hint="eastAsia" w:ascii="宋体" w:hAnsi="宋体" w:eastAsia="宋体" w:cs="宋体"/>
          <w:color w:val="auto"/>
          <w:highlight w:val="none"/>
        </w:rPr>
        <w:t>（6）按合同约定在合同解除日前应支付给承包人的其他金额。</w:t>
      </w:r>
    </w:p>
    <w:p w14:paraId="1C7D1DC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14:paraId="72D20A7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22.2.5 解除合同后的承包人撤离</w:t>
      </w:r>
    </w:p>
    <w:p w14:paraId="251F710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36424E7E">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27" w:name="_Toc28025"/>
      <w:bookmarkStart w:id="1128" w:name="_Toc9039"/>
      <w:r>
        <w:rPr>
          <w:rFonts w:hint="eastAsia" w:ascii="宋体" w:hAnsi="宋体" w:eastAsia="宋体" w:cs="宋体"/>
          <w:b/>
          <w:bCs/>
          <w:color w:val="auto"/>
          <w:sz w:val="24"/>
          <w:szCs w:val="20"/>
          <w:highlight w:val="none"/>
        </w:rPr>
        <w:t>22.3 第三人造成的违约</w:t>
      </w:r>
      <w:bookmarkEnd w:id="1127"/>
      <w:bookmarkEnd w:id="1128"/>
    </w:p>
    <w:p w14:paraId="19BB4FB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0E5FAAB8">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129" w:name="_Toc11139"/>
      <w:bookmarkStart w:id="1130" w:name="_Toc12796"/>
      <w:r>
        <w:rPr>
          <w:rFonts w:hint="eastAsia" w:ascii="宋体" w:hAnsi="宋体" w:eastAsia="宋体" w:cs="宋体"/>
          <w:b/>
          <w:bCs w:val="0"/>
          <w:color w:val="auto"/>
          <w:sz w:val="28"/>
          <w:szCs w:val="28"/>
          <w:highlight w:val="none"/>
        </w:rPr>
        <w:t>23. 索赔</w:t>
      </w:r>
      <w:bookmarkEnd w:id="1129"/>
      <w:bookmarkEnd w:id="1130"/>
    </w:p>
    <w:p w14:paraId="328B0DEB">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1131" w:name="_Toc5077"/>
      <w:bookmarkStart w:id="1132" w:name="_Toc27475"/>
      <w:r>
        <w:rPr>
          <w:rFonts w:hint="eastAsia" w:ascii="宋体" w:hAnsi="宋体" w:eastAsia="宋体" w:cs="宋体"/>
          <w:b/>
          <w:bCs w:val="0"/>
          <w:color w:val="auto"/>
          <w:sz w:val="24"/>
          <w:szCs w:val="20"/>
          <w:highlight w:val="none"/>
        </w:rPr>
        <w:t>23.1 承包人索赔的提出</w:t>
      </w:r>
      <w:bookmarkEnd w:id="1131"/>
      <w:bookmarkEnd w:id="1132"/>
    </w:p>
    <w:p w14:paraId="43F17234">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根据合同约定，承包人认为有权得到追加付款和（或）延长工期的，应按以下程序向发包人提出索赔：</w:t>
      </w:r>
    </w:p>
    <w:p w14:paraId="09AEA5E2">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7CF9CFF">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0C824860">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（3）索赔事件具有连续影响的，承包人应按合理时间间隔继续递交延续索赔通知，说明连续影响的实际情况和记录，列出累计的追加付款金额和（或）工期延长天数；</w:t>
      </w:r>
    </w:p>
    <w:p w14:paraId="18DB2D04">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（4）在索赔事件影响结束后的28天内，承包人应向监理人递交最终索赔通知书，说明最终要求索赔的追加付款金额和延长的工期，并附必要的记录和证明材料。</w:t>
      </w:r>
    </w:p>
    <w:p w14:paraId="6560CCCF">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33" w:name="_Toc32206"/>
      <w:bookmarkStart w:id="1134" w:name="_Toc13535"/>
      <w:r>
        <w:rPr>
          <w:rFonts w:hint="eastAsia" w:ascii="宋体" w:hAnsi="宋体" w:eastAsia="宋体" w:cs="宋体"/>
          <w:b/>
          <w:bCs/>
          <w:color w:val="auto"/>
          <w:sz w:val="24"/>
          <w:szCs w:val="20"/>
          <w:highlight w:val="none"/>
        </w:rPr>
        <w:t>23.2 承包人索赔处理程序</w:t>
      </w:r>
      <w:bookmarkEnd w:id="1133"/>
      <w:bookmarkEnd w:id="1134"/>
    </w:p>
    <w:p w14:paraId="14376BD1">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（1）监理人收到承包人提交的索赔通知书后，应及时审查索赔通知书的内容、查验承包人的记录和证明材料，必要时监理人可要求承包人提交全部原始记录副本。</w:t>
      </w:r>
    </w:p>
    <w:p w14:paraId="29258BD4">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（2）监理人应按第3.5款商定或确定追加的付款和（或）延长的工期，并在收到上述索赔通知书或有关索赔的进一步证明材料后的42天内，将索赔处理结果答复承包人。</w:t>
      </w:r>
    </w:p>
    <w:p w14:paraId="0571CB9E">
      <w:pPr>
        <w:pageBreakBefore w:val="0"/>
        <w:widowControl w:val="0"/>
        <w:kinsoku/>
        <w:wordWrap/>
        <w:overflowPunct/>
        <w:topLinePunct w:val="0"/>
        <w:bidi w:val="0"/>
        <w:snapToGrid/>
        <w:spacing w:beforeAutospacing="0" w:afterAutospacing="0" w:line="360" w:lineRule="auto"/>
        <w:ind w:left="0" w:leftChars="0" w:right="0" w:firstLine="359" w:firstLineChars="171"/>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（3）承包人接受索赔处理结果的，发包人应在作出索赔处理结果答复后28天内完成赔付。承包人不接受索赔处理结果的，按第24条的约定办理。</w:t>
      </w:r>
    </w:p>
    <w:p w14:paraId="215CA7F2">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35" w:name="_Toc28018"/>
      <w:bookmarkStart w:id="1136" w:name="_Toc20874"/>
      <w:r>
        <w:rPr>
          <w:rFonts w:hint="eastAsia" w:ascii="宋体" w:hAnsi="宋体" w:eastAsia="宋体" w:cs="宋体"/>
          <w:b/>
          <w:bCs/>
          <w:color w:val="auto"/>
          <w:sz w:val="24"/>
          <w:szCs w:val="20"/>
          <w:highlight w:val="none"/>
        </w:rPr>
        <w:t>23.3 承包人提出索赔的期限</w:t>
      </w:r>
      <w:bookmarkEnd w:id="1135"/>
      <w:bookmarkEnd w:id="1136"/>
    </w:p>
    <w:p w14:paraId="34BA7B4F">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23.3.1 承包人按第17.5款的约定接受了完工付款证书后，应被认为已无权再提出在合同工程完工证书颁发前所发生的任何索赔。</w:t>
      </w:r>
    </w:p>
    <w:p w14:paraId="0E0B2C3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shd w:val="pct10" w:color="auto" w:fill="FFFFFF"/>
        </w:rPr>
      </w:pPr>
      <w:r>
        <w:rPr>
          <w:rFonts w:hint="eastAsia" w:ascii="宋体" w:hAnsi="宋体" w:eastAsia="宋体" w:cs="宋体"/>
          <w:color w:val="auto"/>
          <w:highlight w:val="none"/>
        </w:rPr>
        <w:t xml:space="preserve">23.3.2 承包人按第17.6款的约定提交的最终结清申请单中，只限于提出合同工程完工证书颁发后发生的索赔。提出索赔的期限自接受最终结清证书时终止。 </w:t>
      </w:r>
    </w:p>
    <w:p w14:paraId="0E9EBD9D">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37" w:name="_Toc29180"/>
      <w:bookmarkStart w:id="1138" w:name="_Toc25175"/>
      <w:r>
        <w:rPr>
          <w:rFonts w:hint="eastAsia" w:ascii="宋体" w:hAnsi="宋体" w:eastAsia="宋体" w:cs="宋体"/>
          <w:b/>
          <w:bCs/>
          <w:color w:val="auto"/>
          <w:sz w:val="24"/>
          <w:szCs w:val="20"/>
          <w:highlight w:val="none"/>
        </w:rPr>
        <w:t>23.4 发包人的索赔</w:t>
      </w:r>
      <w:bookmarkEnd w:id="1137"/>
      <w:bookmarkEnd w:id="1138"/>
    </w:p>
    <w:p w14:paraId="51BFCB2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12474BB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480FF74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696DE569">
      <w:pPr>
        <w:pStyle w:val="4"/>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b/>
          <w:bCs w:val="0"/>
          <w:color w:val="auto"/>
          <w:sz w:val="28"/>
          <w:szCs w:val="28"/>
          <w:highlight w:val="none"/>
        </w:rPr>
      </w:pPr>
      <w:bookmarkStart w:id="1139" w:name="_Toc4796"/>
      <w:bookmarkStart w:id="1140" w:name="_Toc17954"/>
      <w:r>
        <w:rPr>
          <w:rFonts w:hint="eastAsia" w:ascii="宋体" w:hAnsi="宋体" w:eastAsia="宋体" w:cs="宋体"/>
          <w:b/>
          <w:bCs w:val="0"/>
          <w:color w:val="auto"/>
          <w:sz w:val="28"/>
          <w:szCs w:val="28"/>
          <w:highlight w:val="none"/>
        </w:rPr>
        <w:t>24. 争议的解决</w:t>
      </w:r>
      <w:bookmarkEnd w:id="1139"/>
      <w:bookmarkEnd w:id="1140"/>
    </w:p>
    <w:p w14:paraId="43F55AD8">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val="0"/>
          <w:color w:val="auto"/>
          <w:sz w:val="24"/>
          <w:szCs w:val="20"/>
          <w:highlight w:val="none"/>
        </w:rPr>
      </w:pPr>
      <w:bookmarkStart w:id="1141" w:name="_Toc20466"/>
      <w:bookmarkStart w:id="1142" w:name="_Toc21372"/>
      <w:r>
        <w:rPr>
          <w:rFonts w:hint="eastAsia" w:ascii="宋体" w:hAnsi="宋体" w:eastAsia="宋体" w:cs="宋体"/>
          <w:b/>
          <w:bCs w:val="0"/>
          <w:color w:val="auto"/>
          <w:sz w:val="24"/>
          <w:szCs w:val="20"/>
          <w:highlight w:val="none"/>
        </w:rPr>
        <w:t>24.1 争议的解决方式</w:t>
      </w:r>
      <w:bookmarkEnd w:id="1141"/>
      <w:bookmarkEnd w:id="1142"/>
    </w:p>
    <w:p w14:paraId="7F862FEE">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349FFE1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（1）向约定的仲裁委员会申请仲裁；</w:t>
      </w:r>
    </w:p>
    <w:p w14:paraId="13FFF29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1F46AAC6">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43" w:name="_Toc24034"/>
      <w:bookmarkStart w:id="1144" w:name="_Toc27561"/>
      <w:r>
        <w:rPr>
          <w:rFonts w:hint="eastAsia" w:ascii="宋体" w:hAnsi="宋体" w:eastAsia="宋体" w:cs="宋体"/>
          <w:b/>
          <w:bCs/>
          <w:color w:val="auto"/>
          <w:sz w:val="24"/>
          <w:szCs w:val="20"/>
          <w:highlight w:val="none"/>
        </w:rPr>
        <w:t>24.2 友好解决</w:t>
      </w:r>
      <w:bookmarkEnd w:id="1143"/>
      <w:bookmarkEnd w:id="1144"/>
    </w:p>
    <w:p w14:paraId="78A1949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14:paraId="55CF7915">
      <w:pPr>
        <w:keepNext/>
        <w:keepLines/>
        <w:pageBreakBefore w:val="0"/>
        <w:widowControl w:val="0"/>
        <w:kinsoku/>
        <w:wordWrap/>
        <w:overflowPunct/>
        <w:topLinePunct w:val="0"/>
        <w:bidi w:val="0"/>
        <w:snapToGrid/>
        <w:spacing w:beforeAutospacing="0" w:afterAutospacing="0" w:line="360" w:lineRule="auto"/>
        <w:ind w:left="0" w:leftChars="0" w:right="0"/>
        <w:textAlignment w:val="auto"/>
        <w:outlineLvl w:val="2"/>
        <w:rPr>
          <w:rFonts w:hint="eastAsia" w:ascii="宋体" w:hAnsi="宋体" w:eastAsia="宋体" w:cs="宋体"/>
          <w:b/>
          <w:bCs/>
          <w:color w:val="auto"/>
          <w:sz w:val="24"/>
          <w:szCs w:val="20"/>
          <w:highlight w:val="none"/>
        </w:rPr>
      </w:pPr>
      <w:bookmarkStart w:id="1145" w:name="_Toc20846"/>
      <w:bookmarkStart w:id="1146" w:name="_Toc18745"/>
      <w:r>
        <w:rPr>
          <w:rFonts w:hint="eastAsia" w:ascii="宋体" w:hAnsi="宋体" w:eastAsia="宋体" w:cs="宋体"/>
          <w:b/>
          <w:bCs/>
          <w:color w:val="auto"/>
          <w:sz w:val="24"/>
          <w:szCs w:val="20"/>
          <w:highlight w:val="none"/>
        </w:rPr>
        <w:t>24.3 争议评审</w:t>
      </w:r>
      <w:bookmarkEnd w:id="1145"/>
      <w:bookmarkEnd w:id="1146"/>
    </w:p>
    <w:p w14:paraId="320BEC2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24.3.1 采用争议评审的，发包人和承包人应在开工日后的28天内或在争议发生后，协商成立争议评审组。争议评审组由有合同管理和工程实践经验的专家组成。</w:t>
      </w:r>
    </w:p>
    <w:p w14:paraId="6F01BB4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14:paraId="7EC3005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24.3.3 被申请人在收到申请人评审申请报告副本后的28天内，向争议评审组提交一份答辩报告，并附证明材料。被申请人应将答辩报告的副本同时提交给申请人和监理人。</w:t>
      </w:r>
    </w:p>
    <w:p w14:paraId="21CD7D1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7E55A0A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06865FC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24.3.6 发包人和承包人接受评审意见的，由监理人根据评审意见拟定执行协议，经争议双方签字后作为合同的补充文件，并遵照执行。</w:t>
      </w:r>
    </w:p>
    <w:p w14:paraId="0A47D21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4222853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47" w:name="_Toc18911"/>
      <w:bookmarkStart w:id="1148" w:name="_Toc5252"/>
      <w:r>
        <w:rPr>
          <w:rFonts w:hint="eastAsia" w:ascii="宋体" w:hAnsi="宋体" w:eastAsia="宋体" w:cs="宋体"/>
          <w:color w:val="auto"/>
          <w:sz w:val="24"/>
          <w:szCs w:val="24"/>
          <w:highlight w:val="none"/>
        </w:rPr>
        <w:t>24.4仲裁</w:t>
      </w:r>
      <w:bookmarkEnd w:id="1147"/>
      <w:bookmarkEnd w:id="1148"/>
    </w:p>
    <w:p w14:paraId="0AB05452">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24.4.1若合同双方商定直接向仲裁机构申请仲裁，应签订仲裁协议并约定仲裁机构。</w:t>
      </w:r>
    </w:p>
    <w:p w14:paraId="110F078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color w:val="auto"/>
          <w:szCs w:val="21"/>
          <w:highlight w:val="none"/>
        </w:rPr>
        <w:t>24.4.2若合同双方未能达成仲裁协议，则本合同的仲裁条款无效，任一方均有权向人民法院提起诉讼</w:t>
      </w:r>
      <w:r>
        <w:rPr>
          <w:rFonts w:hint="eastAsia" w:ascii="宋体" w:hAnsi="宋体" w:cs="宋体"/>
          <w:color w:val="auto"/>
          <w:szCs w:val="21"/>
          <w:highlight w:val="none"/>
          <w:lang w:eastAsia="zh-CN"/>
        </w:rPr>
        <w:t>。</w:t>
      </w:r>
    </w:p>
    <w:p w14:paraId="0DE8BFC2">
      <w:pPr>
        <w:keepNext/>
        <w:keepLines/>
        <w:snapToGrid w:val="0"/>
        <w:spacing w:line="360" w:lineRule="auto"/>
        <w:jc w:val="center"/>
        <w:outlineLvl w:val="1"/>
        <w:rPr>
          <w:rFonts w:ascii="华文中宋" w:hAnsi="华文中宋" w:eastAsia="华文中宋" w:cs="Microsoft Sans Serif"/>
          <w:b/>
          <w:bCs/>
          <w:color w:val="auto"/>
          <w:sz w:val="44"/>
          <w:szCs w:val="44"/>
          <w:highlight w:val="none"/>
          <w:lang w:val="zh-CN"/>
        </w:rPr>
      </w:pPr>
      <w:r>
        <w:rPr>
          <w:rFonts w:hint="eastAsia" w:ascii="宋体" w:hAnsi="宋体" w:cs="宋体"/>
          <w:b/>
          <w:bCs/>
          <w:snapToGrid w:val="0"/>
          <w:color w:val="auto"/>
          <w:kern w:val="0"/>
          <w:sz w:val="32"/>
          <w:szCs w:val="32"/>
          <w:highlight w:val="none"/>
          <w:lang w:val="zh-CN"/>
        </w:rPr>
        <w:br w:type="page"/>
      </w:r>
      <w:bookmarkStart w:id="1149" w:name="_Toc14752"/>
      <w:r>
        <w:rPr>
          <w:rFonts w:hint="eastAsia" w:ascii="华文中宋" w:hAnsi="华文中宋" w:eastAsia="华文中宋" w:cs="Microsoft Sans Serif"/>
          <w:b/>
          <w:bCs/>
          <w:color w:val="auto"/>
          <w:sz w:val="44"/>
          <w:szCs w:val="44"/>
          <w:highlight w:val="none"/>
          <w:lang w:val="zh-CN"/>
        </w:rPr>
        <w:t>第2节 专用合同条款</w:t>
      </w:r>
      <w:bookmarkEnd w:id="1149"/>
    </w:p>
    <w:p w14:paraId="649F80D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150" w:name="_Toc222031029"/>
      <w:bookmarkStart w:id="1151" w:name="_Toc7214"/>
      <w:bookmarkStart w:id="1152" w:name="_Toc229305387"/>
      <w:bookmarkStart w:id="1153" w:name="_Toc222029527"/>
      <w:bookmarkStart w:id="1154" w:name="_Toc222033878"/>
      <w:bookmarkStart w:id="1155" w:name="_Toc13168"/>
      <w:bookmarkStart w:id="1156" w:name="_Toc222032696"/>
      <w:bookmarkStart w:id="1157" w:name="_Toc221951111"/>
      <w:r>
        <w:rPr>
          <w:rFonts w:hint="eastAsia" w:ascii="宋体" w:hAnsi="宋体" w:eastAsia="宋体" w:cs="宋体"/>
          <w:color w:val="auto"/>
          <w:sz w:val="28"/>
          <w:szCs w:val="28"/>
          <w:highlight w:val="none"/>
        </w:rPr>
        <w:t>1．一般约定</w:t>
      </w:r>
      <w:bookmarkEnd w:id="1150"/>
      <w:bookmarkEnd w:id="1151"/>
      <w:bookmarkEnd w:id="1152"/>
      <w:bookmarkEnd w:id="1153"/>
      <w:bookmarkEnd w:id="1154"/>
      <w:bookmarkEnd w:id="1155"/>
      <w:bookmarkEnd w:id="1156"/>
      <w:bookmarkEnd w:id="1157"/>
    </w:p>
    <w:p w14:paraId="77B13964">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58" w:name="_Toc2627"/>
      <w:bookmarkStart w:id="1159" w:name="_Toc22111"/>
      <w:bookmarkStart w:id="1160" w:name="_Toc221951112"/>
      <w:r>
        <w:rPr>
          <w:rFonts w:hint="eastAsia" w:ascii="宋体" w:hAnsi="宋体" w:eastAsia="宋体" w:cs="宋体"/>
          <w:color w:val="auto"/>
          <w:sz w:val="24"/>
          <w:szCs w:val="24"/>
          <w:highlight w:val="none"/>
        </w:rPr>
        <w:t>1.1 词语定义</w:t>
      </w:r>
      <w:bookmarkEnd w:id="1158"/>
      <w:bookmarkEnd w:id="1159"/>
      <w:bookmarkEnd w:id="1160"/>
    </w:p>
    <w:p w14:paraId="16F136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outlineLvl w:val="0"/>
        <w:rPr>
          <w:rFonts w:hint="eastAsia" w:ascii="宋体" w:hAnsi="宋体" w:eastAsia="宋体" w:cs="宋体"/>
          <w:color w:val="auto"/>
          <w:szCs w:val="21"/>
          <w:highlight w:val="none"/>
        </w:rPr>
      </w:pPr>
      <w:bookmarkStart w:id="1161" w:name="_Toc15676"/>
      <w:bookmarkStart w:id="1162" w:name="_Toc221951113"/>
      <w:bookmarkStart w:id="1163" w:name="_Toc6427"/>
      <w:r>
        <w:rPr>
          <w:rFonts w:hint="eastAsia" w:ascii="宋体" w:hAnsi="宋体" w:eastAsia="宋体" w:cs="宋体"/>
          <w:color w:val="auto"/>
          <w:szCs w:val="21"/>
          <w:highlight w:val="none"/>
        </w:rPr>
        <w:t>1.1.2 合同当事人和人员</w:t>
      </w:r>
      <w:bookmarkEnd w:id="1161"/>
      <w:bookmarkEnd w:id="1162"/>
      <w:bookmarkEnd w:id="1163"/>
    </w:p>
    <w:p w14:paraId="48132DC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4" w:name="_Toc221951114"/>
      <w:r>
        <w:rPr>
          <w:rFonts w:hint="eastAsia" w:ascii="宋体" w:hAnsi="宋体" w:eastAsia="宋体" w:cs="宋体"/>
          <w:color w:val="auto"/>
          <w:szCs w:val="21"/>
          <w:highlight w:val="none"/>
        </w:rPr>
        <w:t>1.1.2.2 发包人：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填入发包人的名称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bookmarkEnd w:id="1164"/>
    </w:p>
    <w:p w14:paraId="4ABC64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5" w:name="_Toc221951115"/>
      <w:r>
        <w:rPr>
          <w:rFonts w:hint="eastAsia" w:ascii="宋体" w:hAnsi="宋体" w:eastAsia="宋体" w:cs="宋体"/>
          <w:color w:val="auto"/>
          <w:szCs w:val="21"/>
          <w:highlight w:val="none"/>
        </w:rPr>
        <w:t>1.1.2.3 承包人：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签约后填入承包人的名称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165"/>
    </w:p>
    <w:p w14:paraId="46D5FB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6" w:name="_Toc221951116"/>
      <w:r>
        <w:rPr>
          <w:rFonts w:hint="eastAsia" w:ascii="宋体" w:hAnsi="宋体" w:eastAsia="宋体" w:cs="宋体"/>
          <w:color w:val="auto"/>
          <w:szCs w:val="21"/>
          <w:highlight w:val="none"/>
        </w:rPr>
        <w:t>1.1.2.5 分包人：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签约后填入分包人的名称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166"/>
    </w:p>
    <w:p w14:paraId="22CB94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7" w:name="_Toc221951117"/>
      <w:r>
        <w:rPr>
          <w:rFonts w:hint="eastAsia" w:ascii="宋体" w:hAnsi="宋体" w:eastAsia="宋体" w:cs="宋体"/>
          <w:color w:val="auto"/>
          <w:szCs w:val="21"/>
          <w:highlight w:val="none"/>
        </w:rPr>
        <w:t>1.1.2.6 监理人：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填入监理人名称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167"/>
    </w:p>
    <w:p w14:paraId="31E078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8" w:name="_Toc221951125"/>
      <w:r>
        <w:rPr>
          <w:rFonts w:hint="eastAsia" w:ascii="宋体" w:hAnsi="宋体" w:eastAsia="宋体" w:cs="宋体"/>
          <w:color w:val="auto"/>
          <w:szCs w:val="21"/>
          <w:highlight w:val="none"/>
        </w:rPr>
        <w:t>1.1.4 日期</w:t>
      </w:r>
      <w:bookmarkEnd w:id="1168"/>
    </w:p>
    <w:p w14:paraId="2B9398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69" w:name="_Toc221951126"/>
      <w:r>
        <w:rPr>
          <w:rFonts w:hint="eastAsia" w:ascii="宋体" w:hAnsi="宋体" w:eastAsia="宋体" w:cs="宋体"/>
          <w:color w:val="auto"/>
          <w:szCs w:val="21"/>
          <w:highlight w:val="none"/>
        </w:rPr>
        <w:t>1.1.4.5 缺陷责任期（工程质量保修期）：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169"/>
    </w:p>
    <w:p w14:paraId="543EDDB6">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70" w:name="_Toc31612"/>
      <w:bookmarkStart w:id="1171" w:name="_Toc221951127"/>
      <w:bookmarkStart w:id="1172" w:name="_Toc12627"/>
      <w:r>
        <w:rPr>
          <w:rFonts w:hint="eastAsia" w:ascii="宋体" w:hAnsi="宋体" w:eastAsia="宋体" w:cs="宋体"/>
          <w:color w:val="auto"/>
          <w:sz w:val="24"/>
          <w:szCs w:val="24"/>
          <w:highlight w:val="none"/>
        </w:rPr>
        <w:t>1.4 合同文件的优先顺序</w:t>
      </w:r>
      <w:bookmarkEnd w:id="1170"/>
      <w:bookmarkEnd w:id="1171"/>
      <w:bookmarkEnd w:id="1172"/>
    </w:p>
    <w:p w14:paraId="24266D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173" w:name="_Toc221951128"/>
      <w:r>
        <w:rPr>
          <w:rFonts w:hint="eastAsia" w:ascii="宋体" w:hAnsi="宋体" w:eastAsia="宋体" w:cs="宋体"/>
          <w:color w:val="auto"/>
          <w:szCs w:val="21"/>
          <w:highlight w:val="none"/>
        </w:rPr>
        <w:t>进入合同的各项文件及其优先顺序</w:t>
      </w:r>
      <w:bookmarkEnd w:id="1173"/>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30FC45D">
      <w:pPr>
        <w:pStyle w:val="5"/>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74" w:name="_Toc24563"/>
      <w:bookmarkStart w:id="1175" w:name="_Toc3343"/>
      <w:bookmarkStart w:id="1176" w:name="_Toc221951129"/>
      <w:r>
        <w:rPr>
          <w:rFonts w:hint="eastAsia" w:ascii="宋体" w:hAnsi="宋体" w:eastAsia="宋体" w:cs="宋体"/>
          <w:color w:val="auto"/>
          <w:sz w:val="24"/>
          <w:szCs w:val="24"/>
          <w:highlight w:val="none"/>
        </w:rPr>
        <w:t>1.7 联络</w:t>
      </w:r>
      <w:bookmarkEnd w:id="1174"/>
      <w:bookmarkEnd w:id="1175"/>
      <w:bookmarkEnd w:id="1176"/>
    </w:p>
    <w:p w14:paraId="6F9A9A0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outlineLvl w:val="0"/>
        <w:rPr>
          <w:rFonts w:hint="eastAsia" w:ascii="宋体" w:hAnsi="宋体" w:eastAsia="宋体" w:cs="宋体"/>
          <w:color w:val="auto"/>
          <w:sz w:val="24"/>
          <w:highlight w:val="none"/>
        </w:rPr>
      </w:pPr>
      <w:bookmarkStart w:id="1177" w:name="_Toc23957"/>
      <w:bookmarkStart w:id="1178" w:name="_Toc221951130"/>
      <w:bookmarkStart w:id="1179" w:name="_Toc17636"/>
      <w:r>
        <w:rPr>
          <w:rFonts w:hint="eastAsia" w:ascii="宋体" w:hAnsi="宋体" w:eastAsia="宋体" w:cs="宋体"/>
          <w:color w:val="auto"/>
          <w:szCs w:val="21"/>
          <w:highlight w:val="none"/>
        </w:rPr>
        <w:t xml:space="preserve">1.7.2 来往函件均应按技术标准和要求（合同技术条款）约定的期限送达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填写文件送达地点</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177"/>
      <w:bookmarkEnd w:id="1178"/>
      <w:bookmarkEnd w:id="1179"/>
    </w:p>
    <w:p w14:paraId="47854C20">
      <w:pPr>
        <w:pStyle w:val="5"/>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180" w:name="_Toc21417"/>
      <w:bookmarkStart w:id="1181" w:name="_Toc222033879"/>
      <w:bookmarkStart w:id="1182" w:name="_Toc2458"/>
      <w:bookmarkStart w:id="1183" w:name="_Toc222032697"/>
      <w:bookmarkStart w:id="1184" w:name="_Toc221951131"/>
      <w:bookmarkStart w:id="1185" w:name="_Toc229305388"/>
      <w:bookmarkStart w:id="1186" w:name="_Toc222029528"/>
      <w:bookmarkStart w:id="1187" w:name="_Toc222031030"/>
      <w:r>
        <w:rPr>
          <w:rFonts w:hint="eastAsia" w:ascii="宋体" w:hAnsi="宋体" w:eastAsia="宋体" w:cs="宋体"/>
          <w:color w:val="auto"/>
          <w:sz w:val="28"/>
          <w:szCs w:val="28"/>
          <w:highlight w:val="none"/>
        </w:rPr>
        <w:t>2 发包人义务</w:t>
      </w:r>
      <w:bookmarkEnd w:id="1180"/>
      <w:bookmarkEnd w:id="1181"/>
      <w:bookmarkEnd w:id="1182"/>
      <w:bookmarkEnd w:id="1183"/>
      <w:bookmarkEnd w:id="1184"/>
      <w:bookmarkEnd w:id="1185"/>
      <w:bookmarkEnd w:id="1186"/>
      <w:bookmarkEnd w:id="1187"/>
    </w:p>
    <w:p w14:paraId="0BA2FCCD">
      <w:pPr>
        <w:pStyle w:val="5"/>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88" w:name="_Toc4730"/>
      <w:bookmarkStart w:id="1189" w:name="_Toc221951132"/>
      <w:bookmarkStart w:id="1190" w:name="_Toc20666"/>
      <w:r>
        <w:rPr>
          <w:rFonts w:hint="eastAsia" w:ascii="宋体" w:hAnsi="宋体" w:eastAsia="宋体" w:cs="宋体"/>
          <w:color w:val="auto"/>
          <w:sz w:val="24"/>
          <w:szCs w:val="24"/>
          <w:highlight w:val="none"/>
        </w:rPr>
        <w:t>2.3 提供施工场地</w:t>
      </w:r>
      <w:bookmarkEnd w:id="1188"/>
      <w:bookmarkEnd w:id="1189"/>
      <w:bookmarkEnd w:id="1190"/>
    </w:p>
    <w:p w14:paraId="76A77141">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b w:val="0"/>
          <w:bCs w:val="0"/>
          <w:color w:val="auto"/>
          <w:sz w:val="24"/>
          <w:highlight w:val="none"/>
        </w:rPr>
      </w:pPr>
      <w:bookmarkStart w:id="1191" w:name="_Toc221951133"/>
      <w:r>
        <w:rPr>
          <w:rFonts w:hint="eastAsia" w:ascii="宋体" w:hAnsi="宋体" w:eastAsia="宋体" w:cs="宋体"/>
          <w:b w:val="0"/>
          <w:bCs w:val="0"/>
          <w:color w:val="auto"/>
          <w:szCs w:val="21"/>
          <w:highlight w:val="none"/>
        </w:rPr>
        <w:t>2.3.2发包人提供的施工场地范围为：</w:t>
      </w:r>
      <w:bookmarkEnd w:id="1191"/>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 w:val="24"/>
          <w:highlight w:val="none"/>
        </w:rPr>
        <w:t>。</w:t>
      </w:r>
    </w:p>
    <w:p w14:paraId="3F83E907">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2.3.3承包人自行勘察的施工场地范围为：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w:t>
      </w:r>
    </w:p>
    <w:p w14:paraId="0C93B3BA">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192" w:name="_Toc14552"/>
      <w:bookmarkStart w:id="1193" w:name="_Toc7680"/>
      <w:bookmarkStart w:id="1194" w:name="_Toc221951134"/>
      <w:r>
        <w:rPr>
          <w:rFonts w:hint="eastAsia" w:ascii="宋体" w:hAnsi="宋体" w:eastAsia="宋体" w:cs="宋体"/>
          <w:color w:val="auto"/>
          <w:sz w:val="24"/>
          <w:szCs w:val="24"/>
          <w:highlight w:val="none"/>
        </w:rPr>
        <w:t>2.8 其它义务</w:t>
      </w:r>
      <w:bookmarkEnd w:id="1192"/>
      <w:bookmarkEnd w:id="1193"/>
      <w:bookmarkEnd w:id="1194"/>
    </w:p>
    <w:p w14:paraId="654910C0">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lang w:eastAsia="zh-CN"/>
        </w:rPr>
      </w:pPr>
      <w:bookmarkStart w:id="1195" w:name="_Toc221951135"/>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根据发包人的合同管理要求补充</w:t>
      </w:r>
      <w:bookmarkEnd w:id="1195"/>
      <w:r>
        <w:rPr>
          <w:rFonts w:hint="eastAsia" w:ascii="宋体" w:hAnsi="宋体" w:cs="宋体"/>
          <w:color w:val="auto"/>
          <w:sz w:val="21"/>
          <w:szCs w:val="21"/>
          <w:highlight w:val="none"/>
          <w:lang w:eastAsia="zh-CN"/>
        </w:rPr>
        <w:t>）</w:t>
      </w:r>
    </w:p>
    <w:p w14:paraId="56BFE686">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default" w:ascii="宋体" w:hAnsi="宋体" w:eastAsia="宋体" w:cs="宋体"/>
          <w:color w:val="auto"/>
          <w:sz w:val="21"/>
          <w:szCs w:val="21"/>
          <w:highlight w:val="none"/>
          <w:u w:val="single"/>
          <w:lang w:val="en-US" w:eastAsia="zh-CN"/>
        </w:rPr>
      </w:pPr>
      <w:bookmarkStart w:id="1196" w:name="_Toc221951136"/>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bookmarkEnd w:id="1196"/>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p>
    <w:p w14:paraId="0A08BAAA">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 w:val="21"/>
          <w:szCs w:val="21"/>
          <w:highlight w:val="none"/>
          <w:u w:val="single"/>
        </w:rPr>
      </w:pPr>
      <w:bookmarkStart w:id="1197" w:name="_Toc221951137"/>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bookmarkEnd w:id="1197"/>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p>
    <w:p w14:paraId="2AF8F23A">
      <w:pPr>
        <w:pageBreakBefore w:val="0"/>
        <w:widowControl w:val="0"/>
        <w:kinsoku/>
        <w:wordWrap/>
        <w:overflowPunct/>
        <w:topLinePunct w:val="0"/>
        <w:bidi w:val="0"/>
        <w:snapToGrid/>
        <w:spacing w:beforeAutospacing="0" w:after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kern w:val="0"/>
          <w:sz w:val="21"/>
          <w:szCs w:val="21"/>
          <w:highlight w:val="none"/>
          <w:u w:val="single"/>
        </w:rPr>
        <w:t>……</w:t>
      </w:r>
    </w:p>
    <w:p w14:paraId="5C9BDB24">
      <w:pPr>
        <w:pStyle w:val="5"/>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eastAsia" w:ascii="宋体" w:hAnsi="宋体" w:eastAsia="宋体" w:cs="宋体"/>
          <w:b/>
          <w:bCs/>
          <w:color w:val="auto"/>
          <w:sz w:val="28"/>
          <w:szCs w:val="28"/>
          <w:highlight w:val="none"/>
        </w:rPr>
      </w:pPr>
      <w:bookmarkStart w:id="1198" w:name="_Toc229305389"/>
      <w:bookmarkStart w:id="1199" w:name="_Toc222033880"/>
      <w:bookmarkStart w:id="1200" w:name="_Toc221951140"/>
      <w:bookmarkStart w:id="1201" w:name="_Toc222032698"/>
      <w:bookmarkStart w:id="1202" w:name="_Toc4157"/>
      <w:bookmarkStart w:id="1203" w:name="_Toc25135"/>
      <w:bookmarkStart w:id="1204" w:name="_Toc222029529"/>
      <w:bookmarkStart w:id="1205" w:name="_Toc222031031"/>
      <w:r>
        <w:rPr>
          <w:rFonts w:hint="eastAsia" w:ascii="宋体" w:hAnsi="宋体" w:eastAsia="宋体" w:cs="宋体"/>
          <w:b/>
          <w:bCs/>
          <w:color w:val="auto"/>
          <w:sz w:val="28"/>
          <w:szCs w:val="28"/>
          <w:highlight w:val="none"/>
        </w:rPr>
        <w:t>3 监理人</w:t>
      </w:r>
      <w:bookmarkEnd w:id="1198"/>
      <w:bookmarkEnd w:id="1199"/>
      <w:bookmarkEnd w:id="1200"/>
      <w:bookmarkEnd w:id="1201"/>
      <w:bookmarkEnd w:id="1202"/>
      <w:bookmarkEnd w:id="1203"/>
      <w:bookmarkEnd w:id="1204"/>
      <w:bookmarkEnd w:id="1205"/>
    </w:p>
    <w:p w14:paraId="2C87204F">
      <w:pPr>
        <w:pStyle w:val="5"/>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eastAsia" w:ascii="宋体" w:hAnsi="宋体" w:eastAsia="宋体" w:cs="宋体"/>
          <w:b/>
          <w:bCs/>
          <w:color w:val="auto"/>
          <w:sz w:val="24"/>
          <w:szCs w:val="24"/>
          <w:highlight w:val="none"/>
        </w:rPr>
      </w:pPr>
      <w:bookmarkStart w:id="1206" w:name="_Toc221951141"/>
      <w:bookmarkStart w:id="1207" w:name="_Toc4539"/>
      <w:bookmarkStart w:id="1208" w:name="_Toc5581"/>
      <w:r>
        <w:rPr>
          <w:rFonts w:hint="eastAsia" w:ascii="宋体" w:hAnsi="宋体" w:eastAsia="宋体" w:cs="宋体"/>
          <w:b/>
          <w:bCs/>
          <w:color w:val="auto"/>
          <w:sz w:val="24"/>
          <w:szCs w:val="24"/>
          <w:highlight w:val="none"/>
        </w:rPr>
        <w:t>3.1 监理人的职责和权力</w:t>
      </w:r>
      <w:bookmarkEnd w:id="1206"/>
      <w:bookmarkEnd w:id="1207"/>
      <w:bookmarkEnd w:id="1208"/>
    </w:p>
    <w:p w14:paraId="0A9EB71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default" w:ascii="宋体" w:hAnsi="宋体" w:eastAsia="宋体" w:cs="宋体"/>
          <w:color w:val="auto"/>
          <w:sz w:val="24"/>
          <w:highlight w:val="none"/>
          <w:lang w:val="en-US" w:eastAsia="zh-CN"/>
        </w:rPr>
      </w:pPr>
      <w:bookmarkStart w:id="1209" w:name="_Toc221951142"/>
      <w:r>
        <w:rPr>
          <w:rFonts w:hint="eastAsia" w:ascii="宋体" w:hAnsi="宋体" w:eastAsia="宋体" w:cs="宋体"/>
          <w:color w:val="auto"/>
          <w:szCs w:val="21"/>
          <w:highlight w:val="none"/>
        </w:rPr>
        <w:t>3.1.1</w:t>
      </w:r>
      <w:bookmarkEnd w:id="1209"/>
      <w:bookmarkStart w:id="1210" w:name="_Toc221951143"/>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监理人须根据发包人事先批准的权力范围行使权力，发包人批准的权力范围：</w:t>
      </w:r>
      <w:bookmarkEnd w:id="1210"/>
      <w:r>
        <w:rPr>
          <w:rFonts w:hint="eastAsia" w:ascii="宋体" w:hAnsi="宋体" w:cs="宋体"/>
          <w:color w:val="auto"/>
          <w:szCs w:val="21"/>
          <w:highlight w:val="none"/>
          <w:u w:val="single"/>
          <w:lang w:val="en-US" w:eastAsia="zh-CN"/>
        </w:rPr>
        <w:t xml:space="preserve">        </w:t>
      </w:r>
    </w:p>
    <w:p w14:paraId="5ECE9C5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lang w:eastAsia="zh-CN"/>
        </w:rPr>
      </w:pPr>
      <w:bookmarkStart w:id="1211" w:name="_Toc221951144"/>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填写监理人须经发包人批准才能行使的权力，以下示例供参考</w:t>
      </w:r>
      <w:bookmarkEnd w:id="1211"/>
      <w:r>
        <w:rPr>
          <w:rFonts w:hint="eastAsia" w:ascii="宋体" w:hAnsi="宋体" w:cs="宋体"/>
          <w:color w:val="auto"/>
          <w:szCs w:val="21"/>
          <w:highlight w:val="none"/>
          <w:lang w:eastAsia="zh-CN"/>
        </w:rPr>
        <w:t>）</w:t>
      </w:r>
    </w:p>
    <w:p w14:paraId="5F498B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Cs w:val="21"/>
          <w:highlight w:val="none"/>
        </w:rPr>
      </w:pPr>
      <w:bookmarkStart w:id="1212" w:name="_Toc221951145"/>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按第4.3条约定，批准工程的分包；</w:t>
      </w:r>
      <w:bookmarkEnd w:id="1212"/>
    </w:p>
    <w:p w14:paraId="1A61E3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Cs w:val="21"/>
          <w:highlight w:val="none"/>
        </w:rPr>
      </w:pPr>
      <w:bookmarkStart w:id="1213" w:name="_Toc221951146"/>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按第11.3条约定，确定延长完工期限；</w:t>
      </w:r>
      <w:bookmarkEnd w:id="1213"/>
    </w:p>
    <w:p w14:paraId="50DDFA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Cs w:val="21"/>
          <w:highlight w:val="none"/>
        </w:rPr>
      </w:pPr>
      <w:bookmarkStart w:id="1214" w:name="_Toc221951147"/>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按第15.6条约定，批准暂列金额的使用；</w:t>
      </w:r>
      <w:bookmarkEnd w:id="1214"/>
    </w:p>
    <w:p w14:paraId="19CD86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cs="宋体"/>
          <w:kern w:val="0"/>
          <w:szCs w:val="21"/>
          <w:highlight w:val="none"/>
          <w:u w:val="single"/>
          <w:lang w:val="en-US" w:eastAsia="zh-CN"/>
        </w:rPr>
      </w:pPr>
      <w:bookmarkStart w:id="1215" w:name="_Toc221951148"/>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bookmarkEnd w:id="1215"/>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bookmarkStart w:id="1216" w:name="_Toc221951149"/>
    </w:p>
    <w:p w14:paraId="513868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bookmarkEnd w:id="1216"/>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p>
    <w:p w14:paraId="07724ABC">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17" w:name="_Toc229305390"/>
      <w:bookmarkStart w:id="1218" w:name="_Toc222033881"/>
      <w:bookmarkStart w:id="1219" w:name="_Toc4459"/>
      <w:bookmarkStart w:id="1220" w:name="_Toc222031032"/>
      <w:bookmarkStart w:id="1221" w:name="_Toc7463"/>
      <w:bookmarkStart w:id="1222" w:name="_Toc221951150"/>
      <w:bookmarkStart w:id="1223" w:name="_Toc222029530"/>
      <w:bookmarkStart w:id="1224" w:name="_Toc222032699"/>
      <w:r>
        <w:rPr>
          <w:rFonts w:hint="eastAsia" w:ascii="宋体" w:hAnsi="宋体" w:eastAsia="宋体" w:cs="宋体"/>
          <w:color w:val="auto"/>
          <w:sz w:val="28"/>
          <w:szCs w:val="28"/>
          <w:highlight w:val="none"/>
        </w:rPr>
        <w:t>4 承包人</w:t>
      </w:r>
      <w:bookmarkEnd w:id="1217"/>
      <w:bookmarkEnd w:id="1218"/>
      <w:bookmarkEnd w:id="1219"/>
      <w:bookmarkEnd w:id="1220"/>
      <w:bookmarkEnd w:id="1221"/>
      <w:bookmarkEnd w:id="1222"/>
      <w:bookmarkEnd w:id="1223"/>
      <w:bookmarkEnd w:id="1224"/>
    </w:p>
    <w:p w14:paraId="1973D1EB">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25" w:name="_Toc29778"/>
      <w:bookmarkStart w:id="1226" w:name="_Toc30824"/>
      <w:bookmarkStart w:id="1227" w:name="_Toc221951151"/>
      <w:r>
        <w:rPr>
          <w:rFonts w:hint="eastAsia" w:ascii="宋体" w:hAnsi="宋体" w:eastAsia="宋体" w:cs="宋体"/>
          <w:color w:val="auto"/>
          <w:sz w:val="24"/>
          <w:szCs w:val="24"/>
          <w:highlight w:val="none"/>
        </w:rPr>
        <w:t>4.1 承包人的一般义务</w:t>
      </w:r>
      <w:bookmarkEnd w:id="1225"/>
      <w:bookmarkEnd w:id="1226"/>
      <w:bookmarkEnd w:id="1227"/>
    </w:p>
    <w:p w14:paraId="2E92DC48">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228" w:name="_Toc221951152"/>
      <w:r>
        <w:rPr>
          <w:rFonts w:hint="eastAsia" w:ascii="宋体" w:hAnsi="宋体" w:eastAsia="宋体" w:cs="宋体"/>
          <w:color w:val="auto"/>
          <w:szCs w:val="21"/>
          <w:highlight w:val="none"/>
        </w:rPr>
        <w:t>4.1.10 其他义务</w:t>
      </w:r>
      <w:bookmarkEnd w:id="1228"/>
    </w:p>
    <w:p w14:paraId="643B2317">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p>
    <w:p w14:paraId="1E875814">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cs="宋体"/>
          <w:kern w:val="0"/>
          <w:sz w:val="21"/>
          <w:szCs w:val="21"/>
          <w:highlight w:val="none"/>
          <w:u w:val="single"/>
          <w:lang w:val="en-US" w:eastAsia="zh-CN"/>
        </w:rPr>
      </w:pPr>
      <w:r>
        <w:rPr>
          <w:rFonts w:hint="eastAsia" w:ascii="宋体" w:hAnsi="宋体" w:eastAsia="宋体" w:cs="宋体"/>
          <w:color w:val="auto"/>
          <w:sz w:val="21"/>
          <w:szCs w:val="21"/>
          <w:highlight w:val="none"/>
        </w:rPr>
        <w:t>（2）</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p>
    <w:p w14:paraId="20ABF08A">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kern w:val="0"/>
          <w:sz w:val="21"/>
          <w:szCs w:val="21"/>
          <w:highlight w:val="none"/>
          <w:u w:val="single"/>
        </w:rPr>
        <w:t>……</w:t>
      </w:r>
    </w:p>
    <w:p w14:paraId="7D32BF6F">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lang w:eastAsia="zh-CN"/>
        </w:rPr>
      </w:pPr>
      <w:bookmarkStart w:id="1229" w:name="_Toc6763"/>
      <w:bookmarkStart w:id="1230" w:name="_Toc19174"/>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履约担保</w:t>
      </w:r>
      <w:bookmarkEnd w:id="1229"/>
      <w:bookmarkEnd w:id="1230"/>
    </w:p>
    <w:p w14:paraId="535FEC6C">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是</w:t>
      </w:r>
      <w:r>
        <w:rPr>
          <w:rFonts w:hint="eastAsia" w:ascii="宋体" w:hAnsi="宋体" w:eastAsia="宋体" w:cs="宋体"/>
          <w:color w:val="auto"/>
          <w:sz w:val="21"/>
          <w:szCs w:val="21"/>
          <w:highlight w:val="none"/>
          <w:u w:val="single"/>
        </w:rPr>
        <w:t xml:space="preserve">    </w:t>
      </w:r>
    </w:p>
    <w:p w14:paraId="2CFB978A">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4.2.2 承包人提供履约担保的形式、金额及期限：</w:t>
      </w:r>
    </w:p>
    <w:p w14:paraId="7CA21A8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履约担保的形式</w:t>
      </w:r>
      <w:r>
        <w:rPr>
          <w:rFonts w:hint="eastAsia" w:ascii="宋体" w:hAnsi="宋体" w:cs="宋体"/>
          <w:color w:val="auto"/>
          <w:sz w:val="21"/>
          <w:szCs w:val="21"/>
          <w:highlight w:val="none"/>
          <w:lang w:eastAsia="zh-CN"/>
        </w:rPr>
        <w:t>：</w:t>
      </w:r>
      <w:r>
        <w:rPr>
          <w:rFonts w:hint="eastAsia" w:ascii="宋体" w:hAnsi="宋体" w:eastAsia="宋体" w:cs="宋体"/>
          <w:i/>
          <w:iCs/>
          <w:color w:val="auto"/>
          <w:kern w:val="0"/>
          <w:szCs w:val="21"/>
          <w:highlight w:val="none"/>
          <w:u w:val="single"/>
        </w:rPr>
        <w:t>现金或</w:t>
      </w:r>
      <w:r>
        <w:rPr>
          <w:rFonts w:hint="eastAsia" w:ascii="宋体" w:hAnsi="宋体" w:eastAsia="宋体" w:cs="宋体"/>
          <w:i/>
          <w:iCs/>
          <w:color w:val="auto"/>
          <w:kern w:val="0"/>
          <w:szCs w:val="21"/>
          <w:highlight w:val="none"/>
          <w:u w:val="single"/>
          <w:lang w:eastAsia="zh-CN"/>
        </w:rPr>
        <w:t>履约</w:t>
      </w:r>
      <w:r>
        <w:rPr>
          <w:rFonts w:hint="eastAsia" w:ascii="宋体" w:hAnsi="宋体" w:eastAsia="宋体" w:cs="宋体"/>
          <w:i/>
          <w:iCs/>
          <w:color w:val="auto"/>
          <w:kern w:val="0"/>
          <w:szCs w:val="21"/>
          <w:highlight w:val="none"/>
          <w:u w:val="single"/>
        </w:rPr>
        <w:t>保函或现金+</w:t>
      </w:r>
      <w:r>
        <w:rPr>
          <w:rFonts w:hint="eastAsia" w:ascii="宋体" w:hAnsi="宋体" w:eastAsia="宋体" w:cs="宋体"/>
          <w:i/>
          <w:iCs/>
          <w:color w:val="auto"/>
          <w:kern w:val="0"/>
          <w:szCs w:val="21"/>
          <w:highlight w:val="none"/>
          <w:u w:val="single"/>
          <w:lang w:eastAsia="zh-CN"/>
        </w:rPr>
        <w:t>履约</w:t>
      </w:r>
      <w:r>
        <w:rPr>
          <w:rFonts w:hint="eastAsia" w:ascii="宋体" w:hAnsi="宋体" w:eastAsia="宋体" w:cs="宋体"/>
          <w:i/>
          <w:iCs/>
          <w:color w:val="auto"/>
          <w:kern w:val="0"/>
          <w:szCs w:val="21"/>
          <w:highlight w:val="none"/>
          <w:u w:val="single"/>
        </w:rPr>
        <w:t>保函的组合</w:t>
      </w:r>
      <w:r>
        <w:rPr>
          <w:rFonts w:hint="eastAsia" w:ascii="宋体" w:hAnsi="宋体" w:cs="宋体"/>
          <w:color w:val="auto"/>
          <w:kern w:val="0"/>
          <w:szCs w:val="21"/>
          <w:highlight w:val="none"/>
          <w:u w:val="single"/>
          <w:lang w:eastAsia="zh-CN"/>
        </w:rPr>
        <w:t>，</w:t>
      </w:r>
    </w:p>
    <w:p w14:paraId="33247092">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履约担保的金额：</w:t>
      </w:r>
      <w:r>
        <w:rPr>
          <w:rFonts w:hint="eastAsia" w:ascii="宋体" w:hAnsi="宋体" w:cs="宋体"/>
          <w:i/>
          <w:iCs/>
          <w:color w:val="auto"/>
          <w:sz w:val="21"/>
          <w:szCs w:val="21"/>
          <w:highlight w:val="none"/>
          <w:u w:val="single"/>
          <w:lang w:eastAsia="zh-CN"/>
        </w:rPr>
        <w:t>中标合同金额的10%，</w:t>
      </w:r>
    </w:p>
    <w:p w14:paraId="323CB0C6">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履约担保的提交时间：</w:t>
      </w:r>
      <w:r>
        <w:rPr>
          <w:rFonts w:hint="eastAsia" w:ascii="宋体" w:hAnsi="宋体" w:cs="宋体"/>
          <w:color w:val="auto"/>
          <w:sz w:val="21"/>
          <w:szCs w:val="21"/>
          <w:highlight w:val="none"/>
          <w:u w:val="single"/>
          <w:lang w:val="en-US" w:eastAsia="zh-CN"/>
        </w:rPr>
        <w:t>中标通知书发出之日起10个工作日内提供，</w:t>
      </w:r>
    </w:p>
    <w:p w14:paraId="3AFB61C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履约担保的期限：</w:t>
      </w:r>
      <w:r>
        <w:rPr>
          <w:rFonts w:hint="eastAsia" w:ascii="宋体" w:hAnsi="宋体" w:cs="宋体"/>
          <w:color w:val="auto"/>
          <w:kern w:val="0"/>
          <w:szCs w:val="21"/>
          <w:highlight w:val="none"/>
          <w:u w:val="single"/>
          <w:lang w:val="en-US" w:eastAsia="zh-CN"/>
        </w:rPr>
        <w:t>自合同签订起至项目竣工验收结算，</w:t>
      </w:r>
    </w:p>
    <w:p w14:paraId="55C5115A">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履约担保的退还时间</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u w:val="single"/>
          <w:lang w:val="en-US" w:eastAsia="zh-CN" w:bidi="ar-SA"/>
        </w:rPr>
        <w:t>竣工验收结算后10个工作日</w:t>
      </w:r>
      <w:r>
        <w:rPr>
          <w:rFonts w:hint="eastAsia" w:ascii="宋体" w:hAnsi="宋体" w:cs="宋体"/>
          <w:color w:val="auto"/>
          <w:sz w:val="21"/>
          <w:szCs w:val="21"/>
          <w:highlight w:val="none"/>
          <w:u w:val="single"/>
          <w:lang w:val="en-US" w:eastAsia="zh-CN"/>
        </w:rPr>
        <w:t>内</w:t>
      </w:r>
      <w:r>
        <w:rPr>
          <w:rFonts w:hint="eastAsia" w:ascii="宋体" w:hAnsi="宋体" w:eastAsia="宋体" w:cs="宋体"/>
          <w:color w:val="auto"/>
          <w:kern w:val="0"/>
          <w:sz w:val="21"/>
          <w:szCs w:val="21"/>
          <w:highlight w:val="none"/>
          <w:u w:val="single"/>
          <w:lang w:val="en-US" w:eastAsia="zh-CN" w:bidi="ar-SA"/>
        </w:rPr>
        <w:t>退还。</w:t>
      </w:r>
    </w:p>
    <w:p w14:paraId="513998A4">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31" w:name="_Toc7585"/>
      <w:bookmarkStart w:id="1232" w:name="_Toc15903"/>
      <w:bookmarkStart w:id="1233" w:name="_Toc221951153"/>
      <w:r>
        <w:rPr>
          <w:rFonts w:hint="eastAsia" w:ascii="宋体" w:hAnsi="宋体" w:eastAsia="宋体" w:cs="宋体"/>
          <w:color w:val="auto"/>
          <w:sz w:val="24"/>
          <w:szCs w:val="24"/>
          <w:highlight w:val="none"/>
        </w:rPr>
        <w:t>4.3 分包</w:t>
      </w:r>
      <w:bookmarkEnd w:id="1231"/>
      <w:bookmarkEnd w:id="1232"/>
      <w:bookmarkEnd w:id="1233"/>
    </w:p>
    <w:p w14:paraId="51F5CDD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highlight w:val="none"/>
        </w:rPr>
      </w:pPr>
      <w:bookmarkStart w:id="1234" w:name="_Toc221951154"/>
      <w:r>
        <w:rPr>
          <w:rFonts w:hint="eastAsia" w:ascii="宋体" w:hAnsi="宋体" w:eastAsia="宋体" w:cs="宋体"/>
          <w:bCs/>
          <w:color w:val="auto"/>
          <w:sz w:val="21"/>
          <w:szCs w:val="21"/>
          <w:highlight w:val="none"/>
        </w:rPr>
        <w:t>4.3.2 允许承包人分包的工程项目、工作内容与</w:t>
      </w:r>
      <w:r>
        <w:rPr>
          <w:rFonts w:hint="eastAsia" w:ascii="宋体" w:hAnsi="宋体" w:eastAsia="宋体" w:cs="宋体"/>
          <w:color w:val="auto"/>
          <w:sz w:val="21"/>
          <w:szCs w:val="21"/>
          <w:highlight w:val="none"/>
          <w:lang w:val="zh-CN"/>
        </w:rPr>
        <w:t>分包金额</w:t>
      </w:r>
      <w:r>
        <w:rPr>
          <w:rFonts w:hint="eastAsia" w:ascii="宋体" w:hAnsi="宋体" w:eastAsia="宋体" w:cs="宋体"/>
          <w:bCs/>
          <w:color w:val="auto"/>
          <w:sz w:val="21"/>
          <w:szCs w:val="21"/>
          <w:highlight w:val="none"/>
        </w:rPr>
        <w:t>限额为：</w:t>
      </w:r>
      <w:bookmarkEnd w:id="1234"/>
    </w:p>
    <w:p w14:paraId="7DFC2005">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bCs/>
          <w:color w:val="auto"/>
          <w:sz w:val="21"/>
          <w:szCs w:val="21"/>
          <w:highlight w:val="none"/>
        </w:rPr>
      </w:pPr>
      <w:bookmarkStart w:id="1235" w:name="_Toc221951155"/>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1）工程项目：</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bookmarkEnd w:id="1235"/>
    </w:p>
    <w:p w14:paraId="52B5BD7C">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bCs/>
          <w:color w:val="auto"/>
          <w:sz w:val="21"/>
          <w:szCs w:val="21"/>
          <w:highlight w:val="none"/>
        </w:rPr>
      </w:pPr>
      <w:bookmarkStart w:id="1236" w:name="_Toc221951156"/>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2）工作内容：</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bookmarkEnd w:id="1236"/>
    </w:p>
    <w:p w14:paraId="4F302945">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bookmarkStart w:id="1237" w:name="_Toc221951157"/>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3）分包金额限额：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237"/>
    </w:p>
    <w:p w14:paraId="121D7FF1">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4.3.10 分包人项目管理机构的设立：</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6D8F4C7F">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38" w:name="_Toc7691"/>
      <w:bookmarkStart w:id="1239" w:name="_Toc221951158"/>
      <w:bookmarkStart w:id="1240" w:name="_Toc19885"/>
      <w:r>
        <w:rPr>
          <w:rFonts w:hint="eastAsia" w:ascii="宋体" w:hAnsi="宋体" w:eastAsia="宋体" w:cs="宋体"/>
          <w:color w:val="auto"/>
          <w:sz w:val="24"/>
          <w:szCs w:val="24"/>
          <w:highlight w:val="none"/>
        </w:rPr>
        <w:t>4.11 不利物质条件</w:t>
      </w:r>
      <w:bookmarkEnd w:id="1238"/>
      <w:bookmarkEnd w:id="1239"/>
      <w:bookmarkEnd w:id="1240"/>
    </w:p>
    <w:p w14:paraId="16CEB72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241" w:name="_Toc221951159"/>
      <w:r>
        <w:rPr>
          <w:rFonts w:hint="eastAsia" w:ascii="宋体" w:hAnsi="宋体" w:eastAsia="宋体" w:cs="宋体"/>
          <w:color w:val="auto"/>
          <w:szCs w:val="21"/>
          <w:highlight w:val="none"/>
        </w:rPr>
        <w:t>4.11.1不利物质条件的范围：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241"/>
    </w:p>
    <w:p w14:paraId="02F45B21">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42" w:name="_Toc229305391"/>
      <w:bookmarkStart w:id="1243" w:name="_Toc222031033"/>
      <w:bookmarkStart w:id="1244" w:name="_Toc222032700"/>
      <w:bookmarkStart w:id="1245" w:name="_Toc221951160"/>
      <w:bookmarkStart w:id="1246" w:name="_Toc222029531"/>
      <w:bookmarkStart w:id="1247" w:name="_Toc9326"/>
      <w:bookmarkStart w:id="1248" w:name="_Toc222033882"/>
      <w:bookmarkStart w:id="1249" w:name="_Toc497"/>
      <w:r>
        <w:rPr>
          <w:rFonts w:hint="eastAsia" w:ascii="宋体" w:hAnsi="宋体" w:eastAsia="宋体" w:cs="宋体"/>
          <w:color w:val="auto"/>
          <w:sz w:val="28"/>
          <w:szCs w:val="28"/>
          <w:highlight w:val="none"/>
        </w:rPr>
        <w:t>5 材料和工程设备</w:t>
      </w:r>
      <w:bookmarkEnd w:id="1242"/>
      <w:bookmarkEnd w:id="1243"/>
      <w:bookmarkEnd w:id="1244"/>
      <w:bookmarkEnd w:id="1245"/>
      <w:bookmarkEnd w:id="1246"/>
      <w:bookmarkEnd w:id="1247"/>
      <w:bookmarkEnd w:id="1248"/>
      <w:bookmarkEnd w:id="1249"/>
    </w:p>
    <w:p w14:paraId="34B23B8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50" w:name="_Toc927"/>
      <w:bookmarkStart w:id="1251" w:name="_Toc221951163"/>
      <w:bookmarkStart w:id="1252" w:name="_Toc26110"/>
      <w:r>
        <w:rPr>
          <w:rFonts w:hint="eastAsia" w:ascii="宋体" w:hAnsi="宋体" w:cs="宋体"/>
          <w:color w:val="auto"/>
          <w:sz w:val="24"/>
          <w:szCs w:val="24"/>
          <w:highlight w:val="none"/>
          <w:lang w:val="en-US" w:eastAsia="zh-CN"/>
        </w:rPr>
        <w:t>5.1承包人</w:t>
      </w:r>
      <w:r>
        <w:rPr>
          <w:rFonts w:hint="eastAsia" w:ascii="宋体" w:hAnsi="宋体" w:eastAsia="宋体" w:cs="宋体"/>
          <w:color w:val="auto"/>
          <w:sz w:val="24"/>
          <w:szCs w:val="24"/>
          <w:highlight w:val="none"/>
        </w:rPr>
        <w:t>提供的材料和工程设备</w:t>
      </w:r>
    </w:p>
    <w:p w14:paraId="58811DD0">
      <w:pPr>
        <w:rPr>
          <w:rFonts w:hint="default" w:eastAsia="宋体"/>
          <w:lang w:val="en-US" w:eastAsia="zh-CN"/>
        </w:rPr>
      </w:pPr>
      <w:r>
        <w:rPr>
          <w:rFonts w:hint="eastAsia" w:ascii="宋体" w:hAnsi="宋体" w:cs="宋体"/>
          <w:color w:val="auto"/>
          <w:sz w:val="24"/>
          <w:szCs w:val="24"/>
          <w:highlight w:val="none"/>
          <w:lang w:val="en-US" w:eastAsia="zh-CN"/>
        </w:rPr>
        <w:t>5.1.1 承包人提供PE管材、管件须执行国家标准；</w:t>
      </w:r>
    </w:p>
    <w:p w14:paraId="4362A394">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发包人提供的材料和工程设备</w:t>
      </w:r>
      <w:bookmarkEnd w:id="1250"/>
      <w:bookmarkEnd w:id="1251"/>
      <w:bookmarkEnd w:id="1252"/>
    </w:p>
    <w:p w14:paraId="527F55BA">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5.2.1发包人提供的材料和工程设备见下表：</w:t>
      </w:r>
    </w:p>
    <w:p w14:paraId="740C50B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发包人提供的主要材料表</w:t>
      </w:r>
      <w:r>
        <w:rPr>
          <w:rFonts w:hint="eastAsia" w:ascii="宋体" w:hAnsi="宋体" w:cs="宋体"/>
          <w:b/>
          <w:color w:val="auto"/>
          <w:szCs w:val="21"/>
          <w:highlight w:val="none"/>
          <w:lang w:eastAsia="zh-CN"/>
        </w:rPr>
        <w:t>（</w:t>
      </w:r>
      <w:r>
        <w:rPr>
          <w:rFonts w:hint="eastAsia" w:ascii="宋体" w:hAnsi="宋体" w:eastAsia="宋体" w:cs="宋体"/>
          <w:color w:val="auto"/>
          <w:szCs w:val="21"/>
          <w:highlight w:val="none"/>
        </w:rPr>
        <w:t>参考格式</w:t>
      </w:r>
      <w:r>
        <w:rPr>
          <w:rFonts w:hint="eastAsia" w:ascii="宋体" w:hAnsi="宋体" w:cs="宋体"/>
          <w:b/>
          <w:color w:val="auto"/>
          <w:szCs w:val="21"/>
          <w:highlight w:val="none"/>
          <w:lang w:eastAsia="zh-CN"/>
        </w:rPr>
        <w:t>）</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701"/>
        <w:gridCol w:w="1134"/>
        <w:gridCol w:w="1134"/>
        <w:gridCol w:w="1559"/>
        <w:gridCol w:w="992"/>
      </w:tblGrid>
      <w:tr w14:paraId="22DFC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72A0EAD">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01" w:type="dxa"/>
            <w:vAlign w:val="center"/>
          </w:tcPr>
          <w:p w14:paraId="1C5AC9C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材料名称</w:t>
            </w:r>
          </w:p>
        </w:tc>
        <w:tc>
          <w:tcPr>
            <w:tcW w:w="1701" w:type="dxa"/>
            <w:vAlign w:val="center"/>
          </w:tcPr>
          <w:p w14:paraId="6BF38D26">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材料规格</w:t>
            </w:r>
          </w:p>
        </w:tc>
        <w:tc>
          <w:tcPr>
            <w:tcW w:w="1134" w:type="dxa"/>
            <w:vAlign w:val="center"/>
          </w:tcPr>
          <w:p w14:paraId="408DB19E">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vAlign w:val="center"/>
          </w:tcPr>
          <w:p w14:paraId="1896F708">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1559" w:type="dxa"/>
            <w:vAlign w:val="center"/>
          </w:tcPr>
          <w:p w14:paraId="26DD7E8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计划交货日期</w:t>
            </w:r>
          </w:p>
        </w:tc>
        <w:tc>
          <w:tcPr>
            <w:tcW w:w="992" w:type="dxa"/>
            <w:vAlign w:val="center"/>
          </w:tcPr>
          <w:p w14:paraId="4D4CC80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9FD4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A3B8E4B">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630D85C2">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17C6D488">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0CBD9C3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3C5392B2">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59" w:type="dxa"/>
            <w:vAlign w:val="center"/>
          </w:tcPr>
          <w:p w14:paraId="138CFC1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14:paraId="20893B3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14:paraId="4D722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950323A">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350072FF">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5EDE64C8">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5BB5902D">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2BAB93A0">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59" w:type="dxa"/>
            <w:vAlign w:val="center"/>
          </w:tcPr>
          <w:p w14:paraId="43856A0D">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14:paraId="727749FA">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14:paraId="12BCA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FFB19A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1270F16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4277C0CB">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0FCAD4A6">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26014D0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59" w:type="dxa"/>
            <w:vAlign w:val="center"/>
          </w:tcPr>
          <w:p w14:paraId="489FF5AD">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14:paraId="0A6C165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bl>
    <w:p w14:paraId="6B10E627">
      <w:pPr>
        <w:pageBreakBefore w:val="0"/>
        <w:widowControl w:val="0"/>
        <w:kinsoku/>
        <w:wordWrap/>
        <w:overflowPunct/>
        <w:topLinePunct w:val="0"/>
        <w:bidi w:val="0"/>
        <w:snapToGrid/>
        <w:spacing w:beforeAutospacing="0" w:afterAutospacing="0" w:line="360" w:lineRule="auto"/>
        <w:ind w:left="0" w:leftChars="0" w:right="0" w:firstLine="1136" w:firstLineChars="539"/>
        <w:textAlignment w:val="auto"/>
        <w:rPr>
          <w:rFonts w:hint="eastAsia" w:ascii="宋体" w:hAnsi="宋体" w:eastAsia="宋体" w:cs="宋体"/>
          <w:b/>
          <w:color w:val="auto"/>
          <w:szCs w:val="21"/>
          <w:highlight w:val="none"/>
        </w:rPr>
      </w:pPr>
    </w:p>
    <w:p w14:paraId="4D876CB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发包人提供的主要设备表</w:t>
      </w:r>
      <w:r>
        <w:rPr>
          <w:rFonts w:hint="eastAsia" w:ascii="宋体" w:hAnsi="宋体" w:cs="宋体"/>
          <w:b/>
          <w:color w:val="auto"/>
          <w:szCs w:val="21"/>
          <w:highlight w:val="none"/>
          <w:lang w:eastAsia="zh-CN"/>
        </w:rPr>
        <w:t>（</w:t>
      </w:r>
      <w:r>
        <w:rPr>
          <w:rFonts w:hint="eastAsia" w:ascii="宋体" w:hAnsi="宋体" w:eastAsia="宋体" w:cs="宋体"/>
          <w:color w:val="auto"/>
          <w:szCs w:val="21"/>
          <w:highlight w:val="none"/>
        </w:rPr>
        <w:t>参考格式</w:t>
      </w:r>
      <w:r>
        <w:rPr>
          <w:rFonts w:hint="eastAsia" w:ascii="宋体" w:hAnsi="宋体" w:cs="宋体"/>
          <w:b/>
          <w:color w:val="auto"/>
          <w:szCs w:val="21"/>
          <w:highlight w:val="none"/>
          <w:lang w:eastAsia="zh-CN"/>
        </w:rPr>
        <w:t>）</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14:paraId="062BA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CD4036C">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2" w:type="dxa"/>
            <w:vAlign w:val="center"/>
          </w:tcPr>
          <w:p w14:paraId="1305C5A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工程设备名称</w:t>
            </w:r>
          </w:p>
        </w:tc>
        <w:tc>
          <w:tcPr>
            <w:tcW w:w="1560" w:type="dxa"/>
            <w:vAlign w:val="center"/>
          </w:tcPr>
          <w:p w14:paraId="4B258C81">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型号及规格</w:t>
            </w:r>
          </w:p>
        </w:tc>
        <w:tc>
          <w:tcPr>
            <w:tcW w:w="992" w:type="dxa"/>
            <w:vAlign w:val="center"/>
          </w:tcPr>
          <w:p w14:paraId="439EB10A">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vAlign w:val="center"/>
          </w:tcPr>
          <w:p w14:paraId="1458C5EA">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1701" w:type="dxa"/>
            <w:vAlign w:val="center"/>
          </w:tcPr>
          <w:p w14:paraId="776AE4EB">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计划交货日期</w:t>
            </w:r>
          </w:p>
        </w:tc>
        <w:tc>
          <w:tcPr>
            <w:tcW w:w="850" w:type="dxa"/>
            <w:vAlign w:val="center"/>
          </w:tcPr>
          <w:p w14:paraId="79E292F6">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65D0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vAlign w:val="center"/>
          </w:tcPr>
          <w:p w14:paraId="6A087CD8">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14:paraId="661F798B">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14:paraId="1D6FEDA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14:paraId="6E76B9F6">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330AE00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34E5182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14:paraId="42C2E89E">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14:paraId="54B03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CCFF6D8">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14:paraId="2DFC701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14:paraId="5847832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14:paraId="7830D62B">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08F1F77D">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5159EF54">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14:paraId="5FC6541C">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14:paraId="46608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C4C1B46">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14:paraId="0113764E">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14:paraId="6B0C3B96">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14:paraId="2214E74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7A919FC0">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554A8DB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14:paraId="36B43C86">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bl>
    <w:p w14:paraId="29BCDE30">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53" w:name="_Toc8212"/>
      <w:bookmarkStart w:id="1254" w:name="_Toc3479"/>
      <w:bookmarkStart w:id="1255" w:name="_Toc222031034"/>
      <w:bookmarkStart w:id="1256" w:name="_Toc222032701"/>
      <w:bookmarkStart w:id="1257" w:name="_Toc222033883"/>
      <w:bookmarkStart w:id="1258" w:name="_Toc221951166"/>
      <w:bookmarkStart w:id="1259" w:name="_Toc222029532"/>
      <w:bookmarkStart w:id="1260" w:name="_Toc229305392"/>
    </w:p>
    <w:p w14:paraId="67479ED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 施工设备和临时设施</w:t>
      </w:r>
      <w:bookmarkEnd w:id="1253"/>
      <w:bookmarkEnd w:id="1254"/>
      <w:bookmarkEnd w:id="1255"/>
      <w:bookmarkEnd w:id="1256"/>
      <w:bookmarkEnd w:id="1257"/>
      <w:bookmarkEnd w:id="1258"/>
      <w:bookmarkEnd w:id="1259"/>
      <w:bookmarkEnd w:id="1260"/>
    </w:p>
    <w:p w14:paraId="17114001">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61" w:name="_Toc21154"/>
      <w:bookmarkStart w:id="1262" w:name="_Toc221951167"/>
      <w:bookmarkStart w:id="1263" w:name="_Toc12131"/>
      <w:r>
        <w:rPr>
          <w:rFonts w:hint="eastAsia" w:ascii="宋体" w:hAnsi="宋体" w:eastAsia="宋体" w:cs="宋体"/>
          <w:color w:val="auto"/>
          <w:sz w:val="24"/>
          <w:szCs w:val="24"/>
          <w:highlight w:val="none"/>
        </w:rPr>
        <w:t>6.2 发包人提供的施工设备和临时设施</w:t>
      </w:r>
      <w:bookmarkEnd w:id="1261"/>
      <w:bookmarkEnd w:id="1262"/>
      <w:bookmarkEnd w:id="1263"/>
    </w:p>
    <w:p w14:paraId="3A3446D1">
      <w:pPr>
        <w:pageBreakBefore w:val="0"/>
        <w:widowControl w:val="0"/>
        <w:kinsoku/>
        <w:wordWrap/>
        <w:overflowPunct/>
        <w:topLinePunct w:val="0"/>
        <w:bidi w:val="0"/>
        <w:snapToGrid/>
        <w:spacing w:beforeAutospacing="0" w:afterAutospacing="0" w:line="360" w:lineRule="auto"/>
        <w:ind w:left="0" w:leftChars="0" w:right="0" w:firstLine="424" w:firstLineChars="202"/>
        <w:textAlignment w:val="auto"/>
        <w:rPr>
          <w:rFonts w:hint="eastAsia" w:ascii="宋体" w:hAnsi="宋体" w:eastAsia="宋体" w:cs="宋体"/>
          <w:color w:val="auto"/>
          <w:szCs w:val="21"/>
          <w:highlight w:val="none"/>
        </w:rPr>
      </w:pPr>
      <w:bookmarkStart w:id="1264" w:name="_Toc221951169"/>
      <w:r>
        <w:rPr>
          <w:rFonts w:hint="eastAsia" w:ascii="宋体" w:hAnsi="宋体" w:eastAsia="宋体" w:cs="宋体"/>
          <w:color w:val="auto"/>
          <w:szCs w:val="21"/>
          <w:highlight w:val="none"/>
        </w:rPr>
        <w:t>（1）发包人提供的施工设备见下表</w:t>
      </w:r>
      <w:bookmarkEnd w:id="1264"/>
      <w:r>
        <w:rPr>
          <w:rFonts w:hint="eastAsia" w:ascii="宋体" w:hAnsi="宋体" w:eastAsia="宋体" w:cs="宋体"/>
          <w:color w:val="auto"/>
          <w:szCs w:val="21"/>
          <w:highlight w:val="none"/>
        </w:rPr>
        <w:t>：</w:t>
      </w:r>
    </w:p>
    <w:p w14:paraId="64A3363C">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lang w:eastAsia="zh-CN"/>
        </w:rPr>
      </w:pPr>
      <w:bookmarkStart w:id="1265" w:name="_Toc221951170"/>
      <w:r>
        <w:rPr>
          <w:rFonts w:hint="eastAsia" w:ascii="宋体" w:hAnsi="宋体" w:eastAsia="宋体" w:cs="宋体"/>
          <w:b/>
          <w:color w:val="auto"/>
          <w:szCs w:val="21"/>
          <w:highlight w:val="none"/>
        </w:rPr>
        <w:t>发包人提供的施工设备表</w:t>
      </w:r>
      <w:r>
        <w:rPr>
          <w:rFonts w:hint="eastAsia" w:ascii="宋体" w:hAnsi="宋体" w:cs="宋体"/>
          <w:b/>
          <w:color w:val="auto"/>
          <w:szCs w:val="21"/>
          <w:highlight w:val="none"/>
          <w:lang w:eastAsia="zh-CN"/>
        </w:rPr>
        <w:t>（</w:t>
      </w:r>
      <w:r>
        <w:rPr>
          <w:rFonts w:hint="eastAsia" w:ascii="宋体" w:hAnsi="宋体" w:eastAsia="宋体" w:cs="宋体"/>
          <w:color w:val="auto"/>
          <w:szCs w:val="21"/>
          <w:highlight w:val="none"/>
        </w:rPr>
        <w:t>参考格式</w:t>
      </w:r>
      <w:bookmarkEnd w:id="1265"/>
      <w:r>
        <w:rPr>
          <w:rFonts w:hint="eastAsia" w:ascii="宋体" w:hAnsi="宋体" w:cs="宋体"/>
          <w:b/>
          <w:color w:val="auto"/>
          <w:szCs w:val="21"/>
          <w:highlight w:val="none"/>
          <w:lang w:eastAsia="zh-CN"/>
        </w:rPr>
        <w:t>）</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14:paraId="4DE83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96CDEE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2" w:type="dxa"/>
            <w:vAlign w:val="center"/>
          </w:tcPr>
          <w:p w14:paraId="5A59947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施工设备名称</w:t>
            </w:r>
          </w:p>
        </w:tc>
        <w:tc>
          <w:tcPr>
            <w:tcW w:w="1560" w:type="dxa"/>
            <w:vAlign w:val="center"/>
          </w:tcPr>
          <w:p w14:paraId="74565124">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型号及规格</w:t>
            </w:r>
          </w:p>
        </w:tc>
        <w:tc>
          <w:tcPr>
            <w:tcW w:w="992" w:type="dxa"/>
            <w:vAlign w:val="center"/>
          </w:tcPr>
          <w:p w14:paraId="65E2C1FC">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vAlign w:val="center"/>
          </w:tcPr>
          <w:p w14:paraId="565342C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1701" w:type="dxa"/>
            <w:vAlign w:val="center"/>
          </w:tcPr>
          <w:p w14:paraId="23E5D200">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计划交货日期</w:t>
            </w:r>
          </w:p>
        </w:tc>
        <w:tc>
          <w:tcPr>
            <w:tcW w:w="850" w:type="dxa"/>
            <w:vAlign w:val="center"/>
          </w:tcPr>
          <w:p w14:paraId="1ADD40B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4B27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84E386E">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14:paraId="6E132E8C">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14:paraId="7C0094E4">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14:paraId="43AB1828">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494CBA06">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02CA81DA">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14:paraId="67BA1921">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14:paraId="11F25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6FCC3C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14:paraId="0E581FAF">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14:paraId="3B55801F">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14:paraId="0BA3273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4AF1DBEF">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6B806611">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14:paraId="72069E8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14:paraId="6D9C5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7CE5DCC">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842" w:type="dxa"/>
            <w:vAlign w:val="center"/>
          </w:tcPr>
          <w:p w14:paraId="55A47EEB">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560" w:type="dxa"/>
            <w:vAlign w:val="center"/>
          </w:tcPr>
          <w:p w14:paraId="38747ED4">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992" w:type="dxa"/>
            <w:vAlign w:val="center"/>
          </w:tcPr>
          <w:p w14:paraId="0AEC2CB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134" w:type="dxa"/>
            <w:vAlign w:val="center"/>
          </w:tcPr>
          <w:p w14:paraId="5255792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701" w:type="dxa"/>
            <w:vAlign w:val="center"/>
          </w:tcPr>
          <w:p w14:paraId="1A3299F0">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850" w:type="dxa"/>
            <w:vAlign w:val="center"/>
          </w:tcPr>
          <w:p w14:paraId="1430CB7B">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bl>
    <w:p w14:paraId="05FAE145">
      <w:pPr>
        <w:pStyle w:val="39"/>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20" w:firstLineChars="200"/>
        <w:textAlignment w:val="auto"/>
        <w:rPr>
          <w:rFonts w:hint="eastAsia" w:ascii="宋体" w:hAnsi="宋体" w:eastAsia="宋体" w:cs="宋体"/>
          <w:color w:val="auto"/>
          <w:sz w:val="21"/>
          <w:szCs w:val="21"/>
          <w:highlight w:val="none"/>
        </w:rPr>
      </w:pPr>
      <w:bookmarkStart w:id="1266" w:name="_Toc221951177"/>
      <w:r>
        <w:rPr>
          <w:rFonts w:hint="eastAsia" w:ascii="宋体" w:hAnsi="宋体" w:eastAsia="宋体" w:cs="宋体"/>
          <w:color w:val="auto"/>
          <w:sz w:val="21"/>
          <w:szCs w:val="21"/>
          <w:highlight w:val="none"/>
        </w:rPr>
        <w:t>注：设备状况栏内填写该设备的新旧程度、购进时间、已使用小时数和最近一次的大修时间。</w:t>
      </w:r>
      <w:bookmarkEnd w:id="1266"/>
    </w:p>
    <w:p w14:paraId="34BBC6DA">
      <w:pPr>
        <w:pageBreakBefore w:val="0"/>
        <w:widowControl w:val="0"/>
        <w:kinsoku/>
        <w:wordWrap/>
        <w:overflowPunct/>
        <w:topLinePunct w:val="0"/>
        <w:bidi w:val="0"/>
        <w:snapToGrid/>
        <w:spacing w:beforeAutospacing="0" w:afterAutospacing="0" w:line="360" w:lineRule="auto"/>
        <w:ind w:left="0" w:leftChars="0" w:right="0" w:firstLine="424" w:firstLineChars="202"/>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（2）发包人提供的临时设施：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03A54A5">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67" w:name="_Toc14300"/>
      <w:bookmarkStart w:id="1268" w:name="_Toc222033884"/>
      <w:bookmarkStart w:id="1269" w:name="_Toc222029533"/>
      <w:bookmarkStart w:id="1270" w:name="_Toc222031035"/>
      <w:bookmarkStart w:id="1271" w:name="_Toc3564"/>
      <w:bookmarkStart w:id="1272" w:name="_Toc221951178"/>
      <w:bookmarkStart w:id="1273" w:name="_Toc222032702"/>
      <w:r>
        <w:rPr>
          <w:rFonts w:hint="eastAsia" w:ascii="宋体" w:hAnsi="宋体" w:eastAsia="宋体" w:cs="宋体"/>
          <w:color w:val="auto"/>
          <w:sz w:val="28"/>
          <w:szCs w:val="28"/>
          <w:highlight w:val="none"/>
        </w:rPr>
        <w:t>7 交通运输</w:t>
      </w:r>
      <w:bookmarkEnd w:id="1267"/>
      <w:bookmarkEnd w:id="1268"/>
      <w:bookmarkEnd w:id="1269"/>
      <w:bookmarkEnd w:id="1270"/>
      <w:bookmarkEnd w:id="1271"/>
      <w:bookmarkEnd w:id="1272"/>
      <w:bookmarkEnd w:id="1273"/>
    </w:p>
    <w:p w14:paraId="3D371E76">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74" w:name="_Toc17146"/>
      <w:bookmarkStart w:id="1275" w:name="_Toc221951179"/>
      <w:bookmarkStart w:id="1276" w:name="_Toc3570"/>
      <w:r>
        <w:rPr>
          <w:rFonts w:hint="eastAsia" w:ascii="宋体" w:hAnsi="宋体" w:eastAsia="宋体" w:cs="宋体"/>
          <w:color w:val="auto"/>
          <w:sz w:val="24"/>
          <w:szCs w:val="24"/>
          <w:highlight w:val="none"/>
        </w:rPr>
        <w:t>7.1 道路通行权和场外设施</w:t>
      </w:r>
      <w:bookmarkEnd w:id="1274"/>
      <w:bookmarkEnd w:id="1275"/>
      <w:bookmarkEnd w:id="1276"/>
    </w:p>
    <w:p w14:paraId="5B332C89">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道路通行权及场外设施的约定：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3BA378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77" w:name="_Toc7291"/>
      <w:bookmarkStart w:id="1278" w:name="_Toc17693"/>
      <w:r>
        <w:rPr>
          <w:rFonts w:hint="eastAsia" w:ascii="宋体" w:hAnsi="宋体" w:eastAsia="宋体" w:cs="宋体"/>
          <w:color w:val="auto"/>
          <w:sz w:val="28"/>
          <w:szCs w:val="28"/>
          <w:highlight w:val="none"/>
        </w:rPr>
        <w:t>8 测量放线</w:t>
      </w:r>
      <w:bookmarkEnd w:id="1277"/>
      <w:bookmarkEnd w:id="1278"/>
    </w:p>
    <w:p w14:paraId="08F9D521">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79" w:name="_Toc7048"/>
      <w:bookmarkStart w:id="1280" w:name="_Toc23979"/>
      <w:r>
        <w:rPr>
          <w:rFonts w:hint="eastAsia" w:ascii="宋体" w:hAnsi="宋体" w:eastAsia="宋体" w:cs="宋体"/>
          <w:color w:val="auto"/>
          <w:sz w:val="24"/>
          <w:szCs w:val="24"/>
          <w:highlight w:val="none"/>
        </w:rPr>
        <w:t>8.1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施工控制网</w:t>
      </w:r>
      <w:bookmarkEnd w:id="1279"/>
      <w:bookmarkEnd w:id="1280"/>
    </w:p>
    <w:p w14:paraId="31692375">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8.1.1施工控制网的约定：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D6B3A28">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81" w:name="_Toc27635"/>
      <w:bookmarkStart w:id="1282" w:name="_Toc18934"/>
      <w:r>
        <w:rPr>
          <w:rFonts w:hint="eastAsia" w:ascii="宋体" w:hAnsi="宋体" w:eastAsia="宋体" w:cs="宋体"/>
          <w:color w:val="auto"/>
          <w:sz w:val="28"/>
          <w:szCs w:val="28"/>
          <w:highlight w:val="none"/>
        </w:rPr>
        <w:t>9 施工安全、治安保卫和环境保护</w:t>
      </w:r>
      <w:bookmarkEnd w:id="1281"/>
      <w:bookmarkEnd w:id="1282"/>
    </w:p>
    <w:p w14:paraId="6F9DE9E2">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83" w:name="_Toc26966"/>
      <w:bookmarkStart w:id="1284" w:name="_Toc27315"/>
      <w:r>
        <w:rPr>
          <w:rFonts w:hint="eastAsia" w:ascii="宋体" w:hAnsi="宋体" w:eastAsia="宋体" w:cs="宋体"/>
          <w:color w:val="auto"/>
          <w:sz w:val="24"/>
          <w:szCs w:val="24"/>
          <w:highlight w:val="none"/>
        </w:rPr>
        <w:t>9.1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发包人的施工安全责任</w:t>
      </w:r>
      <w:bookmarkEnd w:id="1283"/>
      <w:bookmarkEnd w:id="1284"/>
    </w:p>
    <w:p w14:paraId="0FFEB746">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9.1.4发包人提供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资料，其余资料由承包人负责收集。</w:t>
      </w:r>
    </w:p>
    <w:p w14:paraId="16A3128C">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85" w:name="_Toc14355"/>
      <w:bookmarkStart w:id="1286" w:name="_Toc10290"/>
      <w:r>
        <w:rPr>
          <w:rFonts w:hint="eastAsia" w:ascii="宋体" w:hAnsi="宋体" w:eastAsia="宋体" w:cs="宋体"/>
          <w:color w:val="auto"/>
          <w:sz w:val="24"/>
          <w:szCs w:val="24"/>
          <w:highlight w:val="none"/>
        </w:rPr>
        <w:t>9.2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承包人的施工安全责任</w:t>
      </w:r>
      <w:bookmarkEnd w:id="1285"/>
      <w:bookmarkEnd w:id="1286"/>
    </w:p>
    <w:p w14:paraId="03C17657">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9.2.12下列工程应编制专项施工方案：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应组织专家论证和审查。</w:t>
      </w:r>
    </w:p>
    <w:p w14:paraId="64545E19">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87" w:name="_Toc32196"/>
      <w:bookmarkStart w:id="1288" w:name="_Toc24539"/>
      <w:r>
        <w:rPr>
          <w:rFonts w:hint="eastAsia" w:ascii="宋体" w:hAnsi="宋体" w:eastAsia="宋体" w:cs="宋体"/>
          <w:color w:val="auto"/>
          <w:sz w:val="24"/>
          <w:szCs w:val="24"/>
          <w:highlight w:val="none"/>
        </w:rPr>
        <w:t>9.7</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文明工地</w:t>
      </w:r>
      <w:bookmarkEnd w:id="1287"/>
      <w:bookmarkEnd w:id="1288"/>
    </w:p>
    <w:p w14:paraId="791DCD45">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9.7.1 本合同文明工地的约定：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A7DA688">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289" w:name="_Toc222033887"/>
      <w:bookmarkStart w:id="1290" w:name="_Toc222029536"/>
      <w:bookmarkStart w:id="1291" w:name="_Toc222031038"/>
      <w:bookmarkStart w:id="1292" w:name="_Toc229305394"/>
      <w:bookmarkStart w:id="1293" w:name="_Toc222032705"/>
      <w:bookmarkStart w:id="1294" w:name="_Toc221951188"/>
      <w:bookmarkStart w:id="1295" w:name="_Toc24849"/>
      <w:bookmarkStart w:id="1296" w:name="_Toc7354"/>
      <w:r>
        <w:rPr>
          <w:rFonts w:hint="eastAsia" w:ascii="宋体" w:hAnsi="宋体" w:eastAsia="宋体" w:cs="宋体"/>
          <w:color w:val="auto"/>
          <w:sz w:val="28"/>
          <w:szCs w:val="28"/>
          <w:highlight w:val="none"/>
        </w:rPr>
        <w:t>11 开工和竣工</w:t>
      </w:r>
      <w:bookmarkEnd w:id="1289"/>
      <w:bookmarkEnd w:id="1290"/>
      <w:bookmarkEnd w:id="1291"/>
      <w:bookmarkEnd w:id="1292"/>
      <w:bookmarkEnd w:id="1293"/>
      <w:bookmarkEnd w:id="1294"/>
      <w:r>
        <w:rPr>
          <w:rFonts w:hint="eastAsia" w:ascii="宋体" w:hAnsi="宋体" w:eastAsia="宋体" w:cs="宋体"/>
          <w:color w:val="auto"/>
          <w:sz w:val="28"/>
          <w:szCs w:val="28"/>
          <w:highlight w:val="none"/>
        </w:rPr>
        <w:t>（完工）</w:t>
      </w:r>
      <w:bookmarkEnd w:id="1295"/>
      <w:bookmarkEnd w:id="1296"/>
    </w:p>
    <w:p w14:paraId="57C809A8">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297" w:name="_Toc31693"/>
      <w:bookmarkStart w:id="1298" w:name="_Toc221951189"/>
      <w:bookmarkStart w:id="1299" w:name="_Toc14256"/>
      <w:r>
        <w:rPr>
          <w:rFonts w:hint="eastAsia" w:ascii="宋体" w:hAnsi="宋体" w:eastAsia="宋体" w:cs="宋体"/>
          <w:color w:val="auto"/>
          <w:sz w:val="24"/>
          <w:szCs w:val="24"/>
          <w:highlight w:val="none"/>
        </w:rPr>
        <w:t>11.4 异常恶劣的气候条件</w:t>
      </w:r>
      <w:bookmarkEnd w:id="1297"/>
      <w:bookmarkEnd w:id="1298"/>
      <w:bookmarkEnd w:id="1299"/>
    </w:p>
    <w:p w14:paraId="0FCEB74B">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0" w:name="_Toc221951191"/>
      <w:r>
        <w:rPr>
          <w:rFonts w:hint="eastAsia" w:ascii="宋体" w:hAnsi="宋体" w:eastAsia="宋体" w:cs="宋体"/>
          <w:color w:val="auto"/>
          <w:szCs w:val="21"/>
          <w:highlight w:val="none"/>
        </w:rPr>
        <w:t>11.4.3 本合同工程界定异常恶劣气候条件的范围为：</w:t>
      </w:r>
      <w:bookmarkEnd w:id="1300"/>
    </w:p>
    <w:p w14:paraId="75A9475D">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1" w:name="_Toc221951192"/>
      <w:r>
        <w:rPr>
          <w:rFonts w:hint="eastAsia" w:ascii="宋体" w:hAnsi="宋体" w:eastAsia="宋体" w:cs="宋体"/>
          <w:color w:val="auto"/>
          <w:szCs w:val="21"/>
          <w:highlight w:val="none"/>
        </w:rPr>
        <w:t>（1）日降雨量大于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㎜的雨日超过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 `</w:t>
      </w:r>
      <w:bookmarkEnd w:id="1301"/>
    </w:p>
    <w:p w14:paraId="5A07415A">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2" w:name="_Toc221951193"/>
      <w:r>
        <w:rPr>
          <w:rFonts w:hint="eastAsia" w:ascii="宋体" w:hAnsi="宋体" w:eastAsia="宋体" w:cs="宋体"/>
          <w:color w:val="auto"/>
          <w:szCs w:val="21"/>
          <w:highlight w:val="none"/>
        </w:rPr>
        <w:t>（2）风速大于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m/s的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级以上台风灾害；</w:t>
      </w:r>
      <w:bookmarkEnd w:id="1302"/>
    </w:p>
    <w:p w14:paraId="7D76AF4C">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3" w:name="_Toc221951194"/>
      <w:r>
        <w:rPr>
          <w:rFonts w:hint="eastAsia" w:ascii="宋体" w:hAnsi="宋体" w:eastAsia="宋体" w:cs="宋体"/>
          <w:color w:val="auto"/>
          <w:szCs w:val="21"/>
          <w:highlight w:val="none"/>
        </w:rPr>
        <w:t>（3）</w:t>
      </w:r>
      <w:bookmarkEnd w:id="1303"/>
      <w:r>
        <w:rPr>
          <w:rFonts w:hint="eastAsia" w:ascii="宋体" w:hAnsi="宋体" w:eastAsia="宋体" w:cs="宋体"/>
          <w:color w:val="auto"/>
          <w:szCs w:val="21"/>
          <w:highlight w:val="none"/>
        </w:rPr>
        <w:t>日气温超过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℃的高温大于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531EF02F">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4" w:name="_Toc221951195"/>
      <w:r>
        <w:rPr>
          <w:rFonts w:hint="eastAsia" w:ascii="宋体" w:hAnsi="宋体" w:eastAsia="宋体" w:cs="宋体"/>
          <w:color w:val="auto"/>
          <w:szCs w:val="21"/>
          <w:highlight w:val="none"/>
        </w:rPr>
        <w:t>（4）</w:t>
      </w:r>
      <w:bookmarkEnd w:id="1304"/>
      <w:r>
        <w:rPr>
          <w:rFonts w:hint="eastAsia" w:ascii="宋体" w:hAnsi="宋体" w:eastAsia="宋体" w:cs="宋体"/>
          <w:color w:val="auto"/>
          <w:szCs w:val="21"/>
          <w:highlight w:val="none"/>
        </w:rPr>
        <w:t>日气温低于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℃的严寒大于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22E90FE2">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u w:val="single"/>
        </w:rPr>
      </w:pPr>
      <w:bookmarkStart w:id="1305" w:name="_Toc221951196"/>
      <w:r>
        <w:rPr>
          <w:rFonts w:hint="eastAsia" w:ascii="宋体" w:hAnsi="宋体" w:eastAsia="宋体" w:cs="宋体"/>
          <w:color w:val="auto"/>
          <w:szCs w:val="21"/>
          <w:highlight w:val="none"/>
        </w:rPr>
        <w:t>（5）</w:t>
      </w:r>
      <w:bookmarkEnd w:id="1305"/>
      <w:r>
        <w:rPr>
          <w:rFonts w:hint="eastAsia" w:ascii="宋体" w:hAnsi="宋体" w:eastAsia="宋体" w:cs="宋体"/>
          <w:color w:val="auto"/>
          <w:szCs w:val="21"/>
          <w:highlight w:val="none"/>
        </w:rPr>
        <w:t>造成工程损坏的冰雹和大雪灾害：</w:t>
      </w:r>
      <w:r>
        <w:rPr>
          <w:rFonts w:hint="eastAsia" w:ascii="宋体" w:hAnsi="宋体" w:eastAsia="宋体" w:cs="宋体"/>
          <w:color w:val="auto"/>
          <w:szCs w:val="21"/>
          <w:highlight w:val="none"/>
          <w:u w:val="single"/>
        </w:rPr>
        <w:t xml:space="preserve">                。</w:t>
      </w:r>
    </w:p>
    <w:p w14:paraId="15D998F0">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06" w:name="_Toc221951197"/>
      <w:r>
        <w:rPr>
          <w:rFonts w:hint="eastAsia" w:ascii="宋体" w:hAnsi="宋体" w:eastAsia="宋体" w:cs="宋体"/>
          <w:color w:val="auto"/>
          <w:szCs w:val="21"/>
          <w:highlight w:val="none"/>
        </w:rPr>
        <w:t>（6）其他异常恶劣气候灾害。</w:t>
      </w:r>
      <w:bookmarkEnd w:id="1306"/>
    </w:p>
    <w:p w14:paraId="63FE9C37">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07" w:name="_Toc221951198"/>
      <w:bookmarkStart w:id="1308" w:name="_Toc2258"/>
      <w:bookmarkStart w:id="1309" w:name="_Toc19361"/>
      <w:r>
        <w:rPr>
          <w:rFonts w:hint="eastAsia" w:ascii="宋体" w:hAnsi="宋体" w:eastAsia="宋体" w:cs="宋体"/>
          <w:color w:val="auto"/>
          <w:sz w:val="24"/>
          <w:szCs w:val="24"/>
          <w:highlight w:val="none"/>
        </w:rPr>
        <w:t>11.5 承包人工期延误</w:t>
      </w:r>
      <w:bookmarkEnd w:id="1307"/>
      <w:bookmarkEnd w:id="1308"/>
      <w:bookmarkEnd w:id="1309"/>
    </w:p>
    <w:p w14:paraId="12125D1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bCs/>
          <w:color w:val="auto"/>
          <w:szCs w:val="21"/>
          <w:highlight w:val="none"/>
          <w:lang w:eastAsia="zh-CN"/>
        </w:rPr>
      </w:pPr>
      <w:bookmarkStart w:id="1310" w:name="_Toc221951200"/>
      <w:r>
        <w:rPr>
          <w:rFonts w:hint="eastAsia" w:ascii="宋体" w:hAnsi="宋体" w:eastAsia="宋体" w:cs="宋体"/>
          <w:bCs/>
          <w:color w:val="auto"/>
          <w:szCs w:val="21"/>
          <w:highlight w:val="none"/>
        </w:rPr>
        <w:t>（1）逾期完工违约金表</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参考格式</w:t>
      </w:r>
      <w:bookmarkEnd w:id="1310"/>
      <w:r>
        <w:rPr>
          <w:rFonts w:hint="eastAsia" w:ascii="宋体" w:hAnsi="宋体" w:cs="宋体"/>
          <w:bCs/>
          <w:color w:val="auto"/>
          <w:szCs w:val="21"/>
          <w:highlight w:val="none"/>
          <w:lang w:eastAsia="zh-CN"/>
        </w:rPr>
        <w:t>）</w:t>
      </w:r>
    </w:p>
    <w:tbl>
      <w:tblPr>
        <w:tblStyle w:val="46"/>
        <w:tblW w:w="85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675"/>
        <w:gridCol w:w="1995"/>
        <w:gridCol w:w="1995"/>
      </w:tblGrid>
      <w:tr w14:paraId="1C205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246FF5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bookmarkStart w:id="1311" w:name="_Toc221951201"/>
            <w:r>
              <w:rPr>
                <w:rFonts w:hint="eastAsia" w:ascii="宋体" w:hAnsi="宋体" w:eastAsia="宋体" w:cs="宋体"/>
                <w:color w:val="auto"/>
                <w:szCs w:val="21"/>
                <w:highlight w:val="none"/>
              </w:rPr>
              <w:t>序号</w:t>
            </w:r>
            <w:bookmarkEnd w:id="1311"/>
          </w:p>
        </w:tc>
        <w:tc>
          <w:tcPr>
            <w:tcW w:w="3675" w:type="dxa"/>
            <w:vAlign w:val="center"/>
          </w:tcPr>
          <w:p w14:paraId="2200D84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bookmarkStart w:id="1312" w:name="_Toc221951202"/>
            <w:r>
              <w:rPr>
                <w:rFonts w:hint="eastAsia" w:ascii="宋体" w:hAnsi="宋体" w:eastAsia="宋体" w:cs="宋体"/>
                <w:color w:val="auto"/>
                <w:szCs w:val="21"/>
                <w:highlight w:val="none"/>
              </w:rPr>
              <w:t>项目及其说明</w:t>
            </w:r>
            <w:bookmarkEnd w:id="1312"/>
          </w:p>
        </w:tc>
        <w:tc>
          <w:tcPr>
            <w:tcW w:w="1995" w:type="dxa"/>
            <w:vAlign w:val="center"/>
          </w:tcPr>
          <w:p w14:paraId="64FB58B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bookmarkStart w:id="1313" w:name="_Toc221951203"/>
            <w:r>
              <w:rPr>
                <w:rFonts w:hint="eastAsia" w:ascii="宋体" w:hAnsi="宋体" w:eastAsia="宋体" w:cs="宋体"/>
                <w:color w:val="auto"/>
                <w:szCs w:val="21"/>
                <w:highlight w:val="none"/>
              </w:rPr>
              <w:t>要求竣工日期</w:t>
            </w:r>
            <w:bookmarkEnd w:id="1313"/>
          </w:p>
        </w:tc>
        <w:tc>
          <w:tcPr>
            <w:tcW w:w="1995" w:type="dxa"/>
          </w:tcPr>
          <w:p w14:paraId="69B7D8AF">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lang w:eastAsia="zh-CN"/>
              </w:rPr>
            </w:pPr>
            <w:bookmarkStart w:id="1314" w:name="_Toc221951204"/>
            <w:r>
              <w:rPr>
                <w:rFonts w:hint="eastAsia" w:ascii="宋体" w:hAnsi="宋体" w:eastAsia="宋体" w:cs="宋体"/>
                <w:color w:val="auto"/>
                <w:szCs w:val="21"/>
                <w:highlight w:val="none"/>
              </w:rPr>
              <w:t>违约金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元/天</w:t>
            </w:r>
            <w:bookmarkEnd w:id="1314"/>
            <w:r>
              <w:rPr>
                <w:rFonts w:hint="eastAsia" w:ascii="宋体" w:hAnsi="宋体" w:cs="宋体"/>
                <w:color w:val="auto"/>
                <w:szCs w:val="21"/>
                <w:highlight w:val="none"/>
                <w:lang w:eastAsia="zh-CN"/>
              </w:rPr>
              <w:t>）</w:t>
            </w:r>
          </w:p>
        </w:tc>
      </w:tr>
      <w:tr w14:paraId="737C5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0FBB659">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3675" w:type="dxa"/>
            <w:vAlign w:val="center"/>
          </w:tcPr>
          <w:p w14:paraId="4FC683A1">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vAlign w:val="center"/>
          </w:tcPr>
          <w:p w14:paraId="34C416E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tcPr>
          <w:p w14:paraId="57049A87">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14:paraId="47DB0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4AA65B5">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3675" w:type="dxa"/>
            <w:vAlign w:val="center"/>
          </w:tcPr>
          <w:p w14:paraId="4CFB6330">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vAlign w:val="center"/>
          </w:tcPr>
          <w:p w14:paraId="222AB906">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tcPr>
          <w:p w14:paraId="5700766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14:paraId="640C2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506E088">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3675" w:type="dxa"/>
            <w:vAlign w:val="center"/>
          </w:tcPr>
          <w:p w14:paraId="00A48D1A">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vAlign w:val="center"/>
          </w:tcPr>
          <w:p w14:paraId="3E9553C4">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tcPr>
          <w:p w14:paraId="31848BA0">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r w14:paraId="1EFAC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2BDB7984">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3675" w:type="dxa"/>
            <w:vAlign w:val="center"/>
          </w:tcPr>
          <w:p w14:paraId="518BDDC0">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vAlign w:val="center"/>
          </w:tcPr>
          <w:p w14:paraId="67F9B4E4">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c>
          <w:tcPr>
            <w:tcW w:w="1995" w:type="dxa"/>
          </w:tcPr>
          <w:p w14:paraId="3CDC3278">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color w:val="auto"/>
                <w:szCs w:val="21"/>
                <w:highlight w:val="none"/>
              </w:rPr>
            </w:pPr>
          </w:p>
        </w:tc>
      </w:tr>
    </w:tbl>
    <w:p w14:paraId="2863DB5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315" w:name="_Toc221951205"/>
      <w:r>
        <w:rPr>
          <w:rFonts w:hint="eastAsia" w:ascii="宋体" w:hAnsi="宋体" w:eastAsia="宋体" w:cs="宋体"/>
          <w:color w:val="auto"/>
          <w:szCs w:val="21"/>
          <w:highlight w:val="none"/>
        </w:rPr>
        <w:t>（2）全部逾期完工违约金的总限额为</w:t>
      </w:r>
      <w:r>
        <w:rPr>
          <w:rFonts w:hint="eastAsia" w:ascii="宋体" w:hAnsi="宋体" w:eastAsia="宋体" w:cs="宋体"/>
          <w:color w:val="auto"/>
          <w:szCs w:val="21"/>
          <w:highlight w:val="none"/>
          <w:u w:val="single"/>
        </w:rPr>
        <w:t xml:space="preserve">  （不超过合同总价的  %） </w:t>
      </w:r>
      <w:r>
        <w:rPr>
          <w:rFonts w:hint="eastAsia" w:ascii="宋体" w:hAnsi="宋体" w:eastAsia="宋体" w:cs="宋体"/>
          <w:color w:val="auto"/>
          <w:szCs w:val="21"/>
          <w:highlight w:val="none"/>
        </w:rPr>
        <w:t>。</w:t>
      </w:r>
      <w:bookmarkEnd w:id="1315"/>
    </w:p>
    <w:p w14:paraId="1DAE501A">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16" w:name="_Toc5802"/>
      <w:bookmarkStart w:id="1317" w:name="_Toc29245"/>
      <w:r>
        <w:rPr>
          <w:rFonts w:hint="eastAsia" w:ascii="宋体" w:hAnsi="宋体" w:eastAsia="宋体" w:cs="宋体"/>
          <w:color w:val="auto"/>
          <w:sz w:val="24"/>
          <w:szCs w:val="24"/>
          <w:highlight w:val="none"/>
        </w:rPr>
        <w:t>11.6</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工期提前</w:t>
      </w:r>
      <w:bookmarkEnd w:id="1316"/>
      <w:bookmarkEnd w:id="1317"/>
    </w:p>
    <w:p w14:paraId="14C97416">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工期提前的资金约定：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7E8871A">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18" w:name="_Toc221951206"/>
      <w:bookmarkStart w:id="1319" w:name="_Toc222031039"/>
      <w:bookmarkStart w:id="1320" w:name="_Toc19605"/>
      <w:bookmarkStart w:id="1321" w:name="_Toc222032706"/>
      <w:bookmarkStart w:id="1322" w:name="_Toc6542"/>
      <w:bookmarkStart w:id="1323" w:name="_Toc222033888"/>
      <w:bookmarkStart w:id="1324" w:name="_Toc222029537"/>
      <w:bookmarkStart w:id="1325" w:name="_Toc229305395"/>
      <w:r>
        <w:rPr>
          <w:rFonts w:hint="eastAsia" w:ascii="宋体" w:hAnsi="宋体" w:eastAsia="宋体" w:cs="宋体"/>
          <w:color w:val="auto"/>
          <w:sz w:val="28"/>
          <w:szCs w:val="28"/>
          <w:highlight w:val="none"/>
        </w:rPr>
        <w:t>12 暂停施工</w:t>
      </w:r>
      <w:bookmarkEnd w:id="1318"/>
      <w:bookmarkEnd w:id="1319"/>
      <w:bookmarkEnd w:id="1320"/>
      <w:bookmarkEnd w:id="1321"/>
      <w:bookmarkEnd w:id="1322"/>
      <w:bookmarkEnd w:id="1323"/>
      <w:bookmarkEnd w:id="1324"/>
      <w:bookmarkEnd w:id="1325"/>
    </w:p>
    <w:p w14:paraId="053B54C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26" w:name="_Toc221951207"/>
      <w:bookmarkStart w:id="1327" w:name="_Toc31193"/>
      <w:bookmarkStart w:id="1328" w:name="_Toc8941"/>
      <w:r>
        <w:rPr>
          <w:rFonts w:hint="eastAsia" w:ascii="宋体" w:hAnsi="宋体" w:eastAsia="宋体" w:cs="宋体"/>
          <w:color w:val="auto"/>
          <w:sz w:val="24"/>
          <w:szCs w:val="24"/>
          <w:highlight w:val="none"/>
        </w:rPr>
        <w:t>12.1 承包人暂停施工的责任</w:t>
      </w:r>
      <w:bookmarkEnd w:id="1326"/>
      <w:bookmarkEnd w:id="1327"/>
      <w:bookmarkEnd w:id="1328"/>
    </w:p>
    <w:p w14:paraId="2C597E7A">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29" w:name="_Toc221951209"/>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承包人承担暂停施工责任的其它情形：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329"/>
    </w:p>
    <w:p w14:paraId="662C5237">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1"/>
          <w:szCs w:val="21"/>
          <w:highlight w:val="none"/>
        </w:rPr>
      </w:pPr>
      <w:bookmarkStart w:id="1330" w:name="_Toc7986"/>
      <w:bookmarkStart w:id="1331" w:name="_Toc13390"/>
      <w:r>
        <w:rPr>
          <w:rFonts w:hint="eastAsia" w:ascii="宋体" w:hAnsi="宋体" w:eastAsia="宋体" w:cs="宋体"/>
          <w:color w:val="auto"/>
          <w:sz w:val="21"/>
          <w:szCs w:val="21"/>
          <w:highlight w:val="none"/>
        </w:rPr>
        <w:t>12.2 发包人暂停施工的责任</w:t>
      </w:r>
      <w:bookmarkEnd w:id="1330"/>
      <w:bookmarkEnd w:id="1331"/>
    </w:p>
    <w:p w14:paraId="36C5C16D">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发包人承担暂停施工责任的其它情形：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75FE861">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32" w:name="_Toc16816"/>
      <w:bookmarkStart w:id="1333" w:name="_Toc3294"/>
      <w:r>
        <w:rPr>
          <w:rFonts w:hint="eastAsia" w:ascii="宋体" w:hAnsi="宋体" w:eastAsia="宋体" w:cs="宋体"/>
          <w:color w:val="auto"/>
          <w:sz w:val="28"/>
          <w:szCs w:val="28"/>
          <w:highlight w:val="none"/>
        </w:rPr>
        <w:t>13 工程质量</w:t>
      </w:r>
      <w:bookmarkEnd w:id="1332"/>
      <w:bookmarkEnd w:id="1333"/>
    </w:p>
    <w:p w14:paraId="11A53AC4">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34" w:name="_Toc16199"/>
      <w:bookmarkStart w:id="1335" w:name="_Toc13065"/>
      <w:r>
        <w:rPr>
          <w:rFonts w:hint="eastAsia" w:ascii="宋体" w:hAnsi="宋体" w:eastAsia="宋体" w:cs="宋体"/>
          <w:color w:val="auto"/>
          <w:sz w:val="24"/>
          <w:szCs w:val="24"/>
          <w:highlight w:val="none"/>
        </w:rPr>
        <w:t>13.7</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质量评定</w:t>
      </w:r>
      <w:bookmarkEnd w:id="1334"/>
      <w:bookmarkEnd w:id="1335"/>
    </w:p>
    <w:p w14:paraId="1251EAF5">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13.7.4重要隐蔽单元工程和关键部位单元工程质量评定的约定：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45C19FC">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13.7.7工程合格标准为：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；优良标准为：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。达到优良的奖金为：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C59805B">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36" w:name="_Toc25395"/>
      <w:bookmarkStart w:id="1337" w:name="_Toc3381"/>
      <w:r>
        <w:rPr>
          <w:rFonts w:hint="eastAsia" w:ascii="宋体" w:hAnsi="宋体" w:eastAsia="宋体" w:cs="宋体"/>
          <w:color w:val="auto"/>
          <w:sz w:val="24"/>
          <w:szCs w:val="24"/>
          <w:highlight w:val="none"/>
        </w:rPr>
        <w:t>13.8 质量事故处理</w:t>
      </w:r>
      <w:bookmarkEnd w:id="1336"/>
      <w:bookmarkEnd w:id="1337"/>
    </w:p>
    <w:p w14:paraId="4D03F8C1">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13.8.4工程竣工验收时，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向竣工验收委员会汇报并提交历次质量缺陷处理的备案资料。</w:t>
      </w:r>
    </w:p>
    <w:p w14:paraId="5360793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38" w:name="_Toc23047"/>
      <w:bookmarkStart w:id="1339" w:name="_Toc26527"/>
      <w:r>
        <w:rPr>
          <w:rFonts w:hint="eastAsia" w:ascii="宋体" w:hAnsi="宋体" w:eastAsia="宋体" w:cs="宋体"/>
          <w:color w:val="auto"/>
          <w:sz w:val="28"/>
          <w:szCs w:val="28"/>
          <w:highlight w:val="none"/>
        </w:rPr>
        <w:t>14. 试验和检验</w:t>
      </w:r>
      <w:bookmarkEnd w:id="1338"/>
      <w:bookmarkEnd w:id="1339"/>
    </w:p>
    <w:p w14:paraId="7AE31C00">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40" w:name="_Toc28851"/>
      <w:bookmarkStart w:id="1341" w:name="_Toc25536"/>
      <w:r>
        <w:rPr>
          <w:rFonts w:hint="eastAsia" w:ascii="宋体" w:hAnsi="宋体" w:eastAsia="宋体" w:cs="宋体"/>
          <w:color w:val="auto"/>
          <w:sz w:val="24"/>
          <w:szCs w:val="24"/>
          <w:highlight w:val="none"/>
        </w:rPr>
        <w:t>14.1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材料、工程设备和工程的试验和检验</w:t>
      </w:r>
      <w:bookmarkEnd w:id="1340"/>
      <w:bookmarkEnd w:id="1341"/>
    </w:p>
    <w:p w14:paraId="600B6C13">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14.1.5 水工金属结构、启闭机及机电产品进场后的交货检查和验收中，承包人负责</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6FC7A26">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14.1.6 本工程实行见证取样的试块、试件及有关材料：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48A8AF9">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42" w:name="_Toc222029539"/>
      <w:bookmarkStart w:id="1343" w:name="_Toc229305396"/>
      <w:bookmarkStart w:id="1344" w:name="_Toc222032708"/>
      <w:bookmarkStart w:id="1345" w:name="_Toc12132"/>
      <w:bookmarkStart w:id="1346" w:name="_Toc221951213"/>
      <w:bookmarkStart w:id="1347" w:name="_Toc222031041"/>
      <w:bookmarkStart w:id="1348" w:name="_Toc222033890"/>
      <w:bookmarkStart w:id="1349" w:name="_Toc7598"/>
      <w:r>
        <w:rPr>
          <w:rFonts w:hint="eastAsia" w:ascii="宋体" w:hAnsi="宋体" w:eastAsia="宋体" w:cs="宋体"/>
          <w:color w:val="auto"/>
          <w:sz w:val="28"/>
          <w:szCs w:val="28"/>
          <w:highlight w:val="none"/>
        </w:rPr>
        <w:t>15 变更</w:t>
      </w:r>
      <w:bookmarkEnd w:id="1342"/>
      <w:bookmarkEnd w:id="1343"/>
      <w:bookmarkEnd w:id="1344"/>
      <w:bookmarkEnd w:id="1345"/>
      <w:bookmarkEnd w:id="1346"/>
      <w:bookmarkEnd w:id="1347"/>
      <w:bookmarkEnd w:id="1348"/>
      <w:bookmarkEnd w:id="1349"/>
    </w:p>
    <w:p w14:paraId="1D32F0C4">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50" w:name="_Toc14271"/>
      <w:bookmarkStart w:id="1351" w:name="_Toc221951214"/>
      <w:bookmarkStart w:id="1352" w:name="_Toc19077"/>
      <w:r>
        <w:rPr>
          <w:rFonts w:hint="eastAsia" w:ascii="宋体" w:hAnsi="宋体" w:eastAsia="宋体" w:cs="宋体"/>
          <w:color w:val="auto"/>
          <w:sz w:val="24"/>
          <w:szCs w:val="24"/>
          <w:highlight w:val="none"/>
        </w:rPr>
        <w:t>15.1 变更的范围和内容</w:t>
      </w:r>
      <w:bookmarkEnd w:id="1350"/>
      <w:bookmarkEnd w:id="1351"/>
      <w:bookmarkEnd w:id="1352"/>
    </w:p>
    <w:p w14:paraId="711D51C5">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53" w:name="_Toc221951216"/>
      <w:r>
        <w:rPr>
          <w:rFonts w:hint="eastAsia" w:ascii="宋体" w:hAnsi="宋体" w:eastAsia="宋体" w:cs="宋体"/>
          <w:color w:val="auto"/>
          <w:szCs w:val="21"/>
          <w:highlight w:val="none"/>
        </w:rPr>
        <w:t>（6）增加或减少合同中关键项目的工程量超过其项目工程总量的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353"/>
      <w:r>
        <w:rPr>
          <w:rFonts w:hint="eastAsia" w:ascii="宋体" w:hAnsi="宋体" w:eastAsia="宋体" w:cs="宋体"/>
          <w:color w:val="auto"/>
          <w:szCs w:val="21"/>
          <w:highlight w:val="none"/>
        </w:rPr>
        <w:t>，关键项目：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，单价调整方式：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9580B73">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54" w:name="_Toc17243"/>
      <w:bookmarkStart w:id="1355" w:name="_Toc11208"/>
      <w:bookmarkStart w:id="1356" w:name="_Toc221951218"/>
      <w:r>
        <w:rPr>
          <w:rFonts w:hint="eastAsia" w:ascii="宋体" w:hAnsi="宋体" w:eastAsia="宋体" w:cs="宋体"/>
          <w:color w:val="auto"/>
          <w:sz w:val="24"/>
          <w:szCs w:val="24"/>
          <w:highlight w:val="none"/>
        </w:rPr>
        <w:t>15.5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承包人的合理化建议</w:t>
      </w:r>
      <w:bookmarkEnd w:id="1354"/>
      <w:bookmarkEnd w:id="1355"/>
    </w:p>
    <w:p w14:paraId="12E18CEB">
      <w:pPr>
        <w:pageBreakBefore w:val="0"/>
        <w:widowControl w:val="0"/>
        <w:kinsoku/>
        <w:wordWrap/>
        <w:overflowPunct/>
        <w:topLinePunct w:val="0"/>
        <w:bidi w:val="0"/>
        <w:snapToGrid/>
        <w:spacing w:beforeAutospacing="0" w:afterAutospacing="0" w:line="360" w:lineRule="auto"/>
        <w:ind w:left="0" w:leftChars="0" w:right="0"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15.5.2 </w:t>
      </w:r>
      <w:bookmarkEnd w:id="1356"/>
      <w:bookmarkStart w:id="1357" w:name="_Toc221951219"/>
      <w:r>
        <w:rPr>
          <w:rFonts w:hint="eastAsia" w:ascii="宋体" w:hAnsi="宋体" w:eastAsia="宋体" w:cs="宋体"/>
          <w:color w:val="auto"/>
          <w:szCs w:val="21"/>
          <w:highlight w:val="none"/>
        </w:rPr>
        <w:t>承包人实现合理化建议的奖励金额为：</w:t>
      </w:r>
      <w:r>
        <w:rPr>
          <w:rFonts w:hint="eastAsia" w:ascii="宋体" w:hAnsi="宋体" w:eastAsia="宋体" w:cs="宋体"/>
          <w:color w:val="auto"/>
          <w:szCs w:val="21"/>
          <w:highlight w:val="none"/>
          <w:u w:val="single"/>
        </w:rPr>
        <w:t xml:space="preserve">  </w:t>
      </w:r>
      <w:bookmarkEnd w:id="1357"/>
      <w:bookmarkStart w:id="1358" w:name="_Toc221951220"/>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358"/>
    </w:p>
    <w:p w14:paraId="1B5CC36B">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59" w:name="_Toc31630"/>
      <w:bookmarkStart w:id="1360" w:name="_Toc19129"/>
      <w:bookmarkStart w:id="1361" w:name="_Toc221951221"/>
      <w:r>
        <w:rPr>
          <w:rFonts w:hint="eastAsia" w:ascii="宋体" w:hAnsi="宋体" w:eastAsia="宋体" w:cs="宋体"/>
          <w:color w:val="auto"/>
          <w:sz w:val="24"/>
          <w:szCs w:val="24"/>
          <w:highlight w:val="none"/>
        </w:rPr>
        <w:t>15.8 暂估价</w:t>
      </w:r>
      <w:bookmarkEnd w:id="1359"/>
      <w:bookmarkEnd w:id="1360"/>
      <w:bookmarkEnd w:id="1361"/>
    </w:p>
    <w:p w14:paraId="68BDCF10">
      <w:pPr>
        <w:pageBreakBefore w:val="0"/>
        <w:widowControl w:val="0"/>
        <w:kinsoku/>
        <w:wordWrap/>
        <w:overflowPunct/>
        <w:topLinePunct w:val="0"/>
        <w:bidi w:val="0"/>
        <w:snapToGrid/>
        <w:spacing w:beforeAutospacing="0" w:afterAutospacing="0" w:line="360" w:lineRule="auto"/>
        <w:ind w:left="0" w:leftChars="0" w:right="0" w:firstLine="420"/>
        <w:textAlignment w:val="auto"/>
        <w:rPr>
          <w:rFonts w:hint="eastAsia" w:ascii="宋体" w:hAnsi="宋体" w:eastAsia="宋体" w:cs="宋体"/>
          <w:color w:val="auto"/>
          <w:szCs w:val="21"/>
          <w:highlight w:val="none"/>
        </w:rPr>
      </w:pPr>
      <w:bookmarkStart w:id="1362" w:name="_Toc221951222"/>
      <w:r>
        <w:rPr>
          <w:rFonts w:hint="eastAsia" w:ascii="宋体" w:hAnsi="宋体" w:eastAsia="宋体" w:cs="宋体"/>
          <w:color w:val="auto"/>
          <w:szCs w:val="21"/>
          <w:highlight w:val="none"/>
        </w:rPr>
        <w:t>15.8.1（1）</w:t>
      </w:r>
      <w:bookmarkEnd w:id="1362"/>
      <w:r>
        <w:rPr>
          <w:rFonts w:hint="eastAsia" w:ascii="宋体" w:hAnsi="宋体" w:eastAsia="宋体" w:cs="宋体"/>
          <w:color w:val="auto"/>
          <w:szCs w:val="21"/>
          <w:highlight w:val="none"/>
        </w:rPr>
        <w:t>发包人和承包人组织招标的暂估价项目：</w:t>
      </w:r>
      <w:r>
        <w:rPr>
          <w:rFonts w:hint="eastAsia" w:ascii="宋体" w:hAnsi="宋体" w:eastAsia="宋体" w:cs="宋体"/>
          <w:color w:val="auto"/>
          <w:szCs w:val="21"/>
          <w:highlight w:val="none"/>
          <w:u w:val="single"/>
        </w:rPr>
        <w:t xml:space="preserve">  （签约后填入）  </w:t>
      </w:r>
      <w:r>
        <w:rPr>
          <w:rFonts w:hint="eastAsia" w:ascii="宋体" w:hAnsi="宋体" w:eastAsia="宋体" w:cs="宋体"/>
          <w:color w:val="auto"/>
          <w:szCs w:val="21"/>
          <w:highlight w:val="none"/>
        </w:rPr>
        <w:t>；发包人组织招标的暂估价项目：</w:t>
      </w:r>
      <w:r>
        <w:rPr>
          <w:rFonts w:hint="eastAsia" w:ascii="宋体" w:hAnsi="宋体" w:eastAsia="宋体" w:cs="宋体"/>
          <w:color w:val="auto"/>
          <w:szCs w:val="21"/>
          <w:highlight w:val="none"/>
          <w:u w:val="single"/>
        </w:rPr>
        <w:t xml:space="preserve">   （签约后填入）  </w:t>
      </w:r>
      <w:r>
        <w:rPr>
          <w:rFonts w:hint="eastAsia" w:ascii="宋体" w:hAnsi="宋体" w:eastAsia="宋体" w:cs="宋体"/>
          <w:color w:val="auto"/>
          <w:szCs w:val="21"/>
          <w:highlight w:val="none"/>
        </w:rPr>
        <w:t>。</w:t>
      </w:r>
    </w:p>
    <w:p w14:paraId="47F10BA3">
      <w:pPr>
        <w:pageBreakBefore w:val="0"/>
        <w:widowControl w:val="0"/>
        <w:kinsoku/>
        <w:wordWrap/>
        <w:overflowPunct/>
        <w:topLinePunct w:val="0"/>
        <w:bidi w:val="0"/>
        <w:snapToGrid/>
        <w:spacing w:beforeAutospacing="0" w:afterAutospacing="0" w:line="360" w:lineRule="auto"/>
        <w:ind w:left="0" w:leftChars="0" w:right="0"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（2）发包人和承包人以招标方式选择暂估价项目供应商或分包人时，双方的权利义务关系：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6CC5C47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63" w:name="_Toc20276"/>
      <w:bookmarkStart w:id="1364" w:name="_Toc20239"/>
      <w:bookmarkStart w:id="1365" w:name="_Toc229305397"/>
      <w:r>
        <w:rPr>
          <w:rFonts w:hint="eastAsia" w:ascii="宋体" w:hAnsi="宋体" w:eastAsia="宋体" w:cs="宋体"/>
          <w:color w:val="auto"/>
          <w:sz w:val="28"/>
          <w:szCs w:val="28"/>
          <w:highlight w:val="none"/>
        </w:rPr>
        <w:t>16 价格调整</w:t>
      </w:r>
      <w:bookmarkEnd w:id="1363"/>
      <w:bookmarkEnd w:id="1364"/>
      <w:bookmarkEnd w:id="1365"/>
    </w:p>
    <w:p w14:paraId="3AAE8D62">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66" w:name="_Toc30912"/>
      <w:bookmarkStart w:id="1367" w:name="_Toc24947"/>
      <w:r>
        <w:rPr>
          <w:rFonts w:hint="eastAsia" w:ascii="宋体" w:hAnsi="宋体" w:eastAsia="宋体" w:cs="宋体"/>
          <w:color w:val="auto"/>
          <w:sz w:val="24"/>
          <w:szCs w:val="24"/>
          <w:highlight w:val="none"/>
        </w:rPr>
        <w:t>16.1 物价波动引起的价格调整</w:t>
      </w:r>
      <w:bookmarkEnd w:id="1366"/>
      <w:bookmarkEnd w:id="1367"/>
    </w:p>
    <w:p w14:paraId="2C3A2C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物价波动引起的价格调整方式：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EDF9A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16.1.2  采用造价信息调整价格差额：</w:t>
      </w:r>
    </w:p>
    <w:p w14:paraId="135B7B47">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工程造价信息的来源：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576D12A">
      <w:pPr>
        <w:pStyle w:val="2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价格调整的项目和系数：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CD455D9">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68" w:name="_Toc222032709"/>
      <w:bookmarkStart w:id="1369" w:name="_Toc221951223"/>
      <w:bookmarkStart w:id="1370" w:name="_Toc222029540"/>
      <w:bookmarkStart w:id="1371" w:name="_Toc222031042"/>
      <w:bookmarkStart w:id="1372" w:name="_Toc2301"/>
      <w:bookmarkStart w:id="1373" w:name="_Toc15698"/>
      <w:bookmarkStart w:id="1374" w:name="_Toc229305398"/>
      <w:bookmarkStart w:id="1375" w:name="_Toc222033891"/>
      <w:r>
        <w:rPr>
          <w:rFonts w:hint="eastAsia" w:ascii="宋体" w:hAnsi="宋体" w:eastAsia="宋体" w:cs="宋体"/>
          <w:color w:val="auto"/>
          <w:sz w:val="28"/>
          <w:szCs w:val="28"/>
          <w:highlight w:val="none"/>
        </w:rPr>
        <w:t>17 计量与支付</w:t>
      </w:r>
      <w:bookmarkEnd w:id="1368"/>
      <w:bookmarkEnd w:id="1369"/>
      <w:bookmarkEnd w:id="1370"/>
      <w:bookmarkEnd w:id="1371"/>
      <w:bookmarkEnd w:id="1372"/>
      <w:bookmarkEnd w:id="1373"/>
      <w:bookmarkEnd w:id="1374"/>
      <w:bookmarkEnd w:id="1375"/>
    </w:p>
    <w:p w14:paraId="1DFEDCAF">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default" w:ascii="宋体" w:hAnsi="宋体" w:eastAsia="宋体" w:cs="宋体"/>
          <w:color w:val="auto"/>
          <w:sz w:val="24"/>
          <w:szCs w:val="24"/>
          <w:highlight w:val="none"/>
          <w:lang w:val="en-US" w:eastAsia="zh-CN"/>
        </w:rPr>
      </w:pPr>
      <w:bookmarkStart w:id="1376" w:name="_Toc649"/>
      <w:bookmarkStart w:id="1377" w:name="_Toc221951224"/>
      <w:bookmarkStart w:id="1378" w:name="_Toc23756"/>
      <w:r>
        <w:rPr>
          <w:rFonts w:hint="eastAsia" w:ascii="宋体" w:hAnsi="宋体" w:eastAsia="宋体" w:cs="宋体"/>
          <w:color w:val="auto"/>
          <w:sz w:val="24"/>
          <w:szCs w:val="24"/>
          <w:highlight w:val="none"/>
        </w:rPr>
        <w:t>17.2 预付款</w:t>
      </w:r>
      <w:bookmarkEnd w:id="1376"/>
      <w:bookmarkEnd w:id="1377"/>
      <w:bookmarkEnd w:id="1378"/>
      <w:r>
        <w:rPr>
          <w:rFonts w:hint="eastAsia" w:ascii="宋体" w:hAnsi="宋体" w:cs="宋体"/>
          <w:color w:val="auto"/>
          <w:sz w:val="24"/>
          <w:szCs w:val="24"/>
          <w:highlight w:val="none"/>
          <w:lang w:val="en-US" w:eastAsia="zh-CN"/>
        </w:rPr>
        <w:t>与支付担保</w:t>
      </w:r>
    </w:p>
    <w:p w14:paraId="4182452F">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bookmarkStart w:id="1379" w:name="_Toc221951226"/>
      <w:r>
        <w:rPr>
          <w:rFonts w:hint="eastAsia" w:ascii="宋体" w:hAnsi="宋体" w:eastAsia="宋体" w:cs="宋体"/>
          <w:color w:val="auto"/>
          <w:highlight w:val="none"/>
        </w:rPr>
        <w:t>17.2.1预付款</w:t>
      </w:r>
      <w:bookmarkEnd w:id="1379"/>
      <w:r>
        <w:rPr>
          <w:rFonts w:hint="eastAsia" w:ascii="宋体" w:hAnsi="宋体" w:eastAsia="宋体" w:cs="宋体"/>
          <w:color w:val="auto"/>
          <w:highlight w:val="none"/>
        </w:rPr>
        <w:t xml:space="preserve"> </w:t>
      </w:r>
    </w:p>
    <w:p w14:paraId="5C4394C7">
      <w:pPr>
        <w:pStyle w:val="5"/>
        <w:pageBreakBefore w:val="0"/>
        <w:widowControl w:val="0"/>
        <w:kinsoku/>
        <w:wordWrap/>
        <w:overflowPunct/>
        <w:topLinePunct w:val="0"/>
        <w:bidi w:val="0"/>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color w:val="auto"/>
          <w:kern w:val="2"/>
          <w:sz w:val="21"/>
          <w:szCs w:val="24"/>
          <w:highlight w:val="none"/>
          <w:lang w:val="en-US" w:eastAsia="zh-CN" w:bidi="ar-SA"/>
        </w:rPr>
      </w:pPr>
      <w:bookmarkStart w:id="1380" w:name="_Toc24714"/>
      <w:bookmarkStart w:id="1381" w:name="_Toc25677"/>
      <w:bookmarkStart w:id="1382" w:name="_Toc221951260"/>
      <w:r>
        <w:rPr>
          <w:rFonts w:hint="eastAsia" w:ascii="宋体" w:hAnsi="宋体" w:eastAsia="宋体" w:cs="宋体"/>
          <w:b w:val="0"/>
          <w:bCs w:val="0"/>
          <w:color w:val="auto"/>
          <w:kern w:val="2"/>
          <w:sz w:val="21"/>
          <w:szCs w:val="24"/>
          <w:highlight w:val="none"/>
          <w:lang w:val="en-US" w:eastAsia="zh-CN" w:bidi="ar-SA"/>
        </w:rPr>
        <w:t>无</w:t>
      </w:r>
    </w:p>
    <w:p w14:paraId="2226A619">
      <w:pPr>
        <w:ind w:firstLine="420" w:firstLineChars="200"/>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17.2.2支付流程</w:t>
      </w:r>
    </w:p>
    <w:p w14:paraId="0027AC18">
      <w:pPr>
        <w:pStyle w:val="2"/>
        <w:ind w:firstLine="420" w:firstLineChars="200"/>
        <w:rPr>
          <w:rFonts w:hint="eastAsia" w:eastAsia="宋体"/>
          <w:highlight w:val="none"/>
          <w:lang w:val="en-US" w:eastAsia="zh-CN"/>
        </w:rPr>
      </w:pPr>
      <w:r>
        <w:rPr>
          <w:rFonts w:hint="eastAsia"/>
          <w:highlight w:val="none"/>
          <w:lang w:val="en-US" w:eastAsia="zh-CN"/>
        </w:rPr>
        <w:t>项目竣工验收并结算完成后，</w:t>
      </w:r>
      <w:r>
        <w:rPr>
          <w:rFonts w:hint="eastAsia" w:ascii="宋体" w:hAnsi="宋体" w:eastAsia="宋体" w:cs="宋体"/>
          <w:color w:val="auto"/>
          <w:szCs w:val="21"/>
          <w:highlight w:val="none"/>
        </w:rPr>
        <w:t>承包人按合同规定递交最终结清申请单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发包人</w:t>
      </w:r>
      <w:r>
        <w:rPr>
          <w:rFonts w:hint="eastAsia" w:ascii="宋体" w:hAnsi="宋体" w:cs="宋体"/>
          <w:color w:val="auto"/>
          <w:szCs w:val="21"/>
          <w:highlight w:val="none"/>
          <w:lang w:val="en-US" w:eastAsia="zh-CN"/>
        </w:rPr>
        <w:t>收到申请后30</w:t>
      </w:r>
      <w:r>
        <w:rPr>
          <w:rFonts w:hint="eastAsia" w:ascii="宋体" w:hAnsi="宋体" w:eastAsia="宋体" w:cs="宋体"/>
          <w:color w:val="auto"/>
          <w:szCs w:val="21"/>
          <w:highlight w:val="none"/>
        </w:rPr>
        <w:t>天内</w:t>
      </w:r>
      <w:r>
        <w:rPr>
          <w:rFonts w:hint="eastAsia" w:ascii="宋体" w:hAnsi="宋体" w:cs="宋体"/>
          <w:color w:val="auto"/>
          <w:szCs w:val="21"/>
          <w:highlight w:val="none"/>
          <w:lang w:val="en-US" w:eastAsia="zh-CN"/>
        </w:rPr>
        <w:t>支付竣工结算金额的97%，剩余3%为项目</w:t>
      </w:r>
      <w:r>
        <w:rPr>
          <w:rFonts w:hint="eastAsia" w:ascii="宋体" w:hAnsi="宋体" w:eastAsia="宋体" w:cs="宋体"/>
          <w:color w:val="auto"/>
          <w:szCs w:val="21"/>
          <w:highlight w:val="none"/>
        </w:rPr>
        <w:t>质量保证金</w:t>
      </w:r>
      <w:r>
        <w:rPr>
          <w:rFonts w:hint="eastAsia" w:ascii="宋体" w:hAnsi="宋体" w:cs="宋体"/>
          <w:color w:val="auto"/>
          <w:szCs w:val="21"/>
          <w:highlight w:val="none"/>
          <w:lang w:eastAsia="zh-CN"/>
        </w:rPr>
        <w:t>。</w:t>
      </w:r>
    </w:p>
    <w:p w14:paraId="43B0976C">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质量保证金</w:t>
      </w:r>
      <w:bookmarkEnd w:id="1380"/>
      <w:bookmarkEnd w:id="1381"/>
      <w:bookmarkEnd w:id="1382"/>
    </w:p>
    <w:p w14:paraId="4D9817F3">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lang w:val="en-US" w:eastAsia="zh-CN"/>
        </w:rPr>
      </w:pPr>
      <w:bookmarkStart w:id="1383" w:name="_Toc221951262"/>
      <w:r>
        <w:rPr>
          <w:rFonts w:hint="eastAsia" w:ascii="宋体" w:hAnsi="宋体" w:eastAsia="宋体" w:cs="宋体"/>
          <w:color w:val="auto"/>
          <w:szCs w:val="21"/>
          <w:highlight w:val="none"/>
        </w:rPr>
        <w:t>17.4.1</w:t>
      </w:r>
      <w:bookmarkEnd w:id="1383"/>
      <w:r>
        <w:rPr>
          <w:rFonts w:hint="eastAsia" w:ascii="宋体" w:hAnsi="宋体" w:eastAsia="宋体" w:cs="宋体"/>
          <w:color w:val="auto"/>
          <w:szCs w:val="21"/>
          <w:highlight w:val="none"/>
        </w:rPr>
        <w:t xml:space="preserve"> 扣留的质量保证金总额为</w:t>
      </w:r>
      <w:r>
        <w:rPr>
          <w:rFonts w:hint="eastAsia" w:ascii="宋体" w:hAnsi="宋体" w:cs="宋体"/>
          <w:color w:val="auto"/>
          <w:szCs w:val="21"/>
          <w:highlight w:val="none"/>
          <w:lang w:val="en-US" w:eastAsia="zh-CN"/>
        </w:rPr>
        <w:t>竣工结算</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%。缺陷责任期满且承包人按合同规定递交最终结清申请单后</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天内，发包人一次性退还质量保证金</w:t>
      </w:r>
      <w:r>
        <w:rPr>
          <w:rFonts w:hint="eastAsia" w:ascii="宋体" w:hAnsi="宋体" w:cs="宋体"/>
          <w:color w:val="auto"/>
          <w:szCs w:val="21"/>
          <w:highlight w:val="none"/>
          <w:lang w:val="en-US" w:eastAsia="zh-CN"/>
        </w:rPr>
        <w:t>。</w:t>
      </w:r>
    </w:p>
    <w:p w14:paraId="1738FFAF">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84" w:name="_Toc221951265"/>
      <w:bookmarkStart w:id="1385" w:name="_Toc19017"/>
      <w:bookmarkStart w:id="1386" w:name="_Toc24176"/>
      <w:r>
        <w:rPr>
          <w:rFonts w:hint="eastAsia" w:ascii="宋体" w:hAnsi="宋体" w:eastAsia="宋体" w:cs="宋体"/>
          <w:color w:val="auto"/>
          <w:sz w:val="24"/>
          <w:szCs w:val="24"/>
          <w:highlight w:val="none"/>
        </w:rPr>
        <w:t>17.5 竣工（完工）结算</w:t>
      </w:r>
      <w:bookmarkEnd w:id="1384"/>
      <w:bookmarkEnd w:id="1385"/>
      <w:bookmarkEnd w:id="1386"/>
    </w:p>
    <w:p w14:paraId="6F9B1658">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87" w:name="_Toc221951266"/>
      <w:r>
        <w:rPr>
          <w:rFonts w:hint="eastAsia" w:ascii="宋体" w:hAnsi="宋体" w:eastAsia="宋体" w:cs="宋体"/>
          <w:color w:val="auto"/>
          <w:szCs w:val="21"/>
          <w:highlight w:val="none"/>
        </w:rPr>
        <w:t>17.5.1 竣工（完工）付款申请单</w:t>
      </w:r>
      <w:bookmarkEnd w:id="1387"/>
      <w:r>
        <w:rPr>
          <w:rFonts w:hint="eastAsia" w:ascii="宋体" w:hAnsi="宋体" w:eastAsia="宋体" w:cs="宋体"/>
          <w:color w:val="auto"/>
          <w:szCs w:val="21"/>
          <w:highlight w:val="none"/>
        </w:rPr>
        <w:t xml:space="preserve"> </w:t>
      </w:r>
    </w:p>
    <w:p w14:paraId="0F4EEBBA">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88" w:name="_Toc221951267"/>
      <w:r>
        <w:rPr>
          <w:rFonts w:hint="eastAsia" w:ascii="宋体" w:hAnsi="宋体" w:eastAsia="宋体" w:cs="宋体"/>
          <w:color w:val="auto"/>
          <w:szCs w:val="21"/>
          <w:highlight w:val="none"/>
        </w:rPr>
        <w:t>（1）承包人应提交竣工付款申请单一式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bookmarkEnd w:id="1388"/>
    </w:p>
    <w:p w14:paraId="53A01715">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89" w:name="_Toc14020"/>
      <w:bookmarkStart w:id="1390" w:name="_Toc5819"/>
      <w:bookmarkStart w:id="1391" w:name="_Toc221951268"/>
      <w:r>
        <w:rPr>
          <w:rFonts w:hint="eastAsia" w:ascii="宋体" w:hAnsi="宋体" w:eastAsia="宋体" w:cs="宋体"/>
          <w:color w:val="auto"/>
          <w:sz w:val="24"/>
          <w:szCs w:val="24"/>
          <w:highlight w:val="none"/>
        </w:rPr>
        <w:t>17.6 最终结清</w:t>
      </w:r>
      <w:bookmarkEnd w:id="1389"/>
      <w:bookmarkEnd w:id="1390"/>
      <w:bookmarkEnd w:id="1391"/>
    </w:p>
    <w:p w14:paraId="596A6C30">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bookmarkStart w:id="1392" w:name="_Toc221951269"/>
      <w:r>
        <w:rPr>
          <w:rFonts w:hint="eastAsia" w:ascii="宋体" w:hAnsi="宋体" w:eastAsia="宋体" w:cs="宋体"/>
          <w:color w:val="auto"/>
          <w:highlight w:val="none"/>
        </w:rPr>
        <w:t>17.6</w:t>
      </w:r>
      <w:r>
        <w:rPr>
          <w:rFonts w:hint="eastAsia" w:ascii="宋体" w:hAnsi="宋体" w:cs="宋体"/>
          <w:color w:val="auto"/>
          <w:highlight w:val="none"/>
          <w:lang w:val="en-US" w:eastAsia="zh-CN"/>
        </w:rPr>
        <w:t>.</w:t>
      </w:r>
      <w:r>
        <w:rPr>
          <w:rFonts w:hint="eastAsia" w:ascii="宋体" w:hAnsi="宋体" w:eastAsia="宋体" w:cs="宋体"/>
          <w:color w:val="auto"/>
          <w:highlight w:val="none"/>
        </w:rPr>
        <w:t>1 最终结清申请单</w:t>
      </w:r>
      <w:bookmarkEnd w:id="1392"/>
    </w:p>
    <w:p w14:paraId="3C53075C">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393" w:name="_Toc221951270"/>
      <w:r>
        <w:rPr>
          <w:rFonts w:hint="eastAsia" w:ascii="宋体" w:hAnsi="宋体" w:eastAsia="宋体" w:cs="宋体"/>
          <w:color w:val="auto"/>
          <w:szCs w:val="21"/>
          <w:highlight w:val="none"/>
        </w:rPr>
        <w:t>（1）承包人应提交最终结清申请单一式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bookmarkEnd w:id="1393"/>
    </w:p>
    <w:p w14:paraId="4AE943F9">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394" w:name="_Toc12160"/>
      <w:bookmarkStart w:id="1395" w:name="_Toc5512"/>
      <w:r>
        <w:rPr>
          <w:rFonts w:hint="eastAsia" w:ascii="宋体" w:hAnsi="宋体" w:eastAsia="宋体" w:cs="宋体"/>
          <w:color w:val="auto"/>
          <w:sz w:val="24"/>
          <w:szCs w:val="24"/>
          <w:highlight w:val="none"/>
        </w:rPr>
        <w:t>17.7 竣工财务决算</w:t>
      </w:r>
      <w:bookmarkEnd w:id="1394"/>
      <w:bookmarkEnd w:id="1395"/>
    </w:p>
    <w:p w14:paraId="4D7F284F">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承包人应为竣工财务决算编制提供的资料：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82C541">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396" w:name="_Toc222033892"/>
      <w:bookmarkStart w:id="1397" w:name="_Toc221951271"/>
      <w:bookmarkStart w:id="1398" w:name="_Toc222029541"/>
      <w:bookmarkStart w:id="1399" w:name="_Toc222031043"/>
      <w:bookmarkStart w:id="1400" w:name="_Toc229305399"/>
      <w:bookmarkStart w:id="1401" w:name="_Toc222032710"/>
      <w:bookmarkStart w:id="1402" w:name="_Toc32335"/>
      <w:bookmarkStart w:id="1403" w:name="_Toc10533"/>
      <w:r>
        <w:rPr>
          <w:rFonts w:hint="eastAsia" w:ascii="宋体" w:hAnsi="宋体" w:eastAsia="宋体" w:cs="宋体"/>
          <w:color w:val="auto"/>
          <w:sz w:val="28"/>
          <w:szCs w:val="28"/>
          <w:highlight w:val="none"/>
        </w:rPr>
        <w:t>18 竣工验收</w:t>
      </w:r>
      <w:bookmarkEnd w:id="1396"/>
      <w:bookmarkEnd w:id="1397"/>
      <w:bookmarkEnd w:id="1398"/>
      <w:bookmarkEnd w:id="1399"/>
      <w:bookmarkEnd w:id="1400"/>
      <w:bookmarkEnd w:id="1401"/>
      <w:r>
        <w:rPr>
          <w:rFonts w:hint="eastAsia" w:ascii="宋体" w:hAnsi="宋体" w:eastAsia="宋体" w:cs="宋体"/>
          <w:color w:val="auto"/>
          <w:sz w:val="28"/>
          <w:szCs w:val="28"/>
          <w:highlight w:val="none"/>
        </w:rPr>
        <w:t>（验收）</w:t>
      </w:r>
      <w:bookmarkEnd w:id="1402"/>
      <w:bookmarkEnd w:id="1403"/>
    </w:p>
    <w:p w14:paraId="28562BA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04" w:name="_Toc221951272"/>
      <w:bookmarkStart w:id="1405" w:name="_Toc18676"/>
      <w:bookmarkStart w:id="1406" w:name="_Toc27722"/>
      <w:r>
        <w:rPr>
          <w:rFonts w:hint="eastAsia" w:ascii="宋体" w:hAnsi="宋体" w:eastAsia="宋体" w:cs="宋体"/>
          <w:color w:val="auto"/>
          <w:sz w:val="24"/>
          <w:szCs w:val="24"/>
          <w:highlight w:val="none"/>
        </w:rPr>
        <w:t xml:space="preserve">18.1 </w:t>
      </w:r>
      <w:bookmarkEnd w:id="1404"/>
      <w:r>
        <w:rPr>
          <w:rFonts w:hint="eastAsia" w:ascii="宋体" w:hAnsi="宋体" w:eastAsia="宋体" w:cs="宋体"/>
          <w:color w:val="auto"/>
          <w:sz w:val="24"/>
          <w:szCs w:val="24"/>
          <w:highlight w:val="none"/>
        </w:rPr>
        <w:t>验收工作分类</w:t>
      </w:r>
      <w:bookmarkEnd w:id="1405"/>
      <w:bookmarkEnd w:id="1406"/>
    </w:p>
    <w:p w14:paraId="02069D9C">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07" w:name="_Toc221951274"/>
      <w:r>
        <w:rPr>
          <w:rFonts w:hint="eastAsia" w:ascii="宋体" w:hAnsi="宋体" w:eastAsia="宋体" w:cs="宋体"/>
          <w:color w:val="auto"/>
          <w:szCs w:val="21"/>
          <w:highlight w:val="none"/>
        </w:rPr>
        <w:t>本合同法人验收包括：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；政府验收包括：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。验收条件为：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，验收程序为：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DC784B7">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08" w:name="_Toc31107"/>
      <w:bookmarkStart w:id="1409" w:name="_Toc17106"/>
      <w:r>
        <w:rPr>
          <w:rFonts w:hint="eastAsia" w:ascii="宋体" w:hAnsi="宋体" w:eastAsia="宋体" w:cs="宋体"/>
          <w:color w:val="auto"/>
          <w:sz w:val="24"/>
          <w:szCs w:val="24"/>
          <w:highlight w:val="none"/>
        </w:rPr>
        <w:t>18.2 分部工程验收</w:t>
      </w:r>
      <w:bookmarkEnd w:id="1408"/>
      <w:bookmarkEnd w:id="1409"/>
    </w:p>
    <w:p w14:paraId="4A728FB7">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18.2.2本工程由发包人主持的分部工程验收为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，其余由监理主持。</w:t>
      </w:r>
    </w:p>
    <w:p w14:paraId="72D8A3A1">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10" w:name="_Toc6166"/>
      <w:bookmarkStart w:id="1411" w:name="_Toc27013"/>
      <w:r>
        <w:rPr>
          <w:rFonts w:hint="eastAsia" w:ascii="宋体" w:hAnsi="宋体" w:eastAsia="宋体" w:cs="宋体"/>
          <w:color w:val="auto"/>
          <w:sz w:val="24"/>
          <w:szCs w:val="24"/>
          <w:highlight w:val="none"/>
        </w:rPr>
        <w:t>18.3 单位工程验收</w:t>
      </w:r>
      <w:bookmarkEnd w:id="1410"/>
      <w:bookmarkEnd w:id="1411"/>
    </w:p>
    <w:p w14:paraId="24939DE8">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18.3.4  提前投入使用的单位工程包括：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1407"/>
    <w:p w14:paraId="6AE3DC6B">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12" w:name="_Toc221951282"/>
      <w:bookmarkStart w:id="1413" w:name="_Toc19211"/>
      <w:bookmarkStart w:id="1414" w:name="_Toc22005"/>
      <w:r>
        <w:rPr>
          <w:rFonts w:hint="eastAsia" w:ascii="宋体" w:hAnsi="宋体" w:eastAsia="宋体" w:cs="宋体"/>
          <w:color w:val="auto"/>
          <w:sz w:val="24"/>
          <w:szCs w:val="24"/>
          <w:highlight w:val="none"/>
        </w:rPr>
        <w:t xml:space="preserve">18.5 </w:t>
      </w:r>
      <w:bookmarkEnd w:id="1412"/>
      <w:r>
        <w:rPr>
          <w:rFonts w:hint="eastAsia" w:ascii="宋体" w:hAnsi="宋体" w:eastAsia="宋体" w:cs="宋体"/>
          <w:color w:val="auto"/>
          <w:sz w:val="24"/>
          <w:szCs w:val="24"/>
          <w:highlight w:val="none"/>
        </w:rPr>
        <w:t>阶段验收</w:t>
      </w:r>
      <w:bookmarkEnd w:id="1413"/>
      <w:bookmarkEnd w:id="1414"/>
    </w:p>
    <w:p w14:paraId="1BFFE668">
      <w:pPr>
        <w:pageBreakBefore w:val="0"/>
        <w:widowControl w:val="0"/>
        <w:kinsoku/>
        <w:wordWrap/>
        <w:overflowPunct/>
        <w:topLinePunct w:val="0"/>
        <w:bidi w:val="0"/>
        <w:snapToGrid/>
        <w:spacing w:beforeAutospacing="0" w:afterAutospacing="0" w:line="360" w:lineRule="auto"/>
        <w:ind w:left="0" w:leftChars="0" w:right="0" w:firstLine="315" w:firstLineChars="150"/>
        <w:textAlignment w:val="auto"/>
        <w:rPr>
          <w:rFonts w:hint="eastAsia" w:ascii="宋体" w:hAnsi="宋体" w:eastAsia="宋体" w:cs="宋体"/>
          <w:color w:val="auto"/>
          <w:highlight w:val="none"/>
        </w:rPr>
      </w:pPr>
      <w:bookmarkStart w:id="1415" w:name="_Toc221951283"/>
      <w:r>
        <w:rPr>
          <w:rFonts w:hint="eastAsia" w:ascii="宋体" w:hAnsi="宋体" w:eastAsia="宋体" w:cs="宋体"/>
          <w:color w:val="auto"/>
          <w:highlight w:val="none"/>
        </w:rPr>
        <w:t>1</w:t>
      </w:r>
      <w:r>
        <w:rPr>
          <w:rFonts w:hint="eastAsia" w:ascii="宋体" w:hAnsi="宋体" w:eastAsia="宋体" w:cs="宋体"/>
          <w:color w:val="auto"/>
          <w:szCs w:val="21"/>
          <w:highlight w:val="none"/>
        </w:rPr>
        <w:t>8.5.1 本合同工程阶段验收类别包括：</w:t>
      </w:r>
      <w:r>
        <w:rPr>
          <w:rFonts w:hint="eastAsia" w:ascii="宋体" w:hAnsi="宋体" w:eastAsia="宋体" w:cs="宋体"/>
          <w:color w:val="auto"/>
          <w:szCs w:val="21"/>
          <w:highlight w:val="none"/>
          <w:u w:val="single"/>
        </w:rPr>
        <w:t xml:space="preserve">               </w:t>
      </w:r>
      <w:bookmarkEnd w:id="1415"/>
      <w:r>
        <w:rPr>
          <w:rFonts w:hint="eastAsia" w:ascii="宋体" w:hAnsi="宋体" w:eastAsia="宋体" w:cs="宋体"/>
          <w:color w:val="auto"/>
          <w:szCs w:val="21"/>
          <w:highlight w:val="none"/>
        </w:rPr>
        <w:t xml:space="preserve">、 </w:t>
      </w:r>
      <w:bookmarkStart w:id="1416" w:name="_Toc221951284"/>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w:t>
      </w:r>
      <w:bookmarkEnd w:id="1416"/>
    </w:p>
    <w:p w14:paraId="13873D69">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17" w:name="_Toc221951285"/>
      <w:bookmarkStart w:id="1418" w:name="_Toc12595"/>
      <w:bookmarkStart w:id="1419" w:name="_Toc26581"/>
      <w:r>
        <w:rPr>
          <w:rFonts w:hint="eastAsia" w:ascii="宋体" w:hAnsi="宋体" w:eastAsia="宋体" w:cs="宋体"/>
          <w:color w:val="auto"/>
          <w:sz w:val="24"/>
          <w:szCs w:val="24"/>
          <w:highlight w:val="none"/>
        </w:rPr>
        <w:t xml:space="preserve">18.6 </w:t>
      </w:r>
      <w:bookmarkEnd w:id="1417"/>
      <w:r>
        <w:rPr>
          <w:rFonts w:hint="eastAsia" w:ascii="宋体" w:hAnsi="宋体" w:eastAsia="宋体" w:cs="宋体"/>
          <w:color w:val="auto"/>
          <w:sz w:val="24"/>
          <w:szCs w:val="24"/>
          <w:highlight w:val="none"/>
        </w:rPr>
        <w:t>专项验收</w:t>
      </w:r>
      <w:bookmarkEnd w:id="1418"/>
      <w:bookmarkEnd w:id="1419"/>
    </w:p>
    <w:p w14:paraId="2E3C5AF3">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20" w:name="_Toc221951286"/>
      <w:r>
        <w:rPr>
          <w:rFonts w:hint="eastAsia" w:ascii="宋体" w:hAnsi="宋体" w:eastAsia="宋体" w:cs="宋体"/>
          <w:color w:val="auto"/>
          <w:szCs w:val="21"/>
          <w:highlight w:val="none"/>
        </w:rPr>
        <w:t xml:space="preserve">18.6.2 </w:t>
      </w:r>
      <w:bookmarkEnd w:id="1420"/>
      <w:r>
        <w:rPr>
          <w:rFonts w:hint="eastAsia" w:ascii="宋体" w:hAnsi="宋体" w:eastAsia="宋体" w:cs="宋体"/>
          <w:color w:val="auto"/>
          <w:szCs w:val="21"/>
          <w:highlight w:val="none"/>
        </w:rPr>
        <w:t>本合同工程专项验收类别包括：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3CB36CD">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21" w:name="_Toc221951289"/>
      <w:bookmarkStart w:id="1422" w:name="_Toc14781"/>
      <w:bookmarkStart w:id="1423" w:name="_Toc2919"/>
      <w:r>
        <w:rPr>
          <w:rFonts w:hint="eastAsia" w:ascii="宋体" w:hAnsi="宋体" w:eastAsia="宋体" w:cs="宋体"/>
          <w:color w:val="auto"/>
          <w:sz w:val="24"/>
          <w:szCs w:val="24"/>
          <w:highlight w:val="none"/>
        </w:rPr>
        <w:t>18.7 竣工</w:t>
      </w:r>
      <w:bookmarkEnd w:id="1421"/>
      <w:r>
        <w:rPr>
          <w:rFonts w:hint="eastAsia" w:ascii="宋体" w:hAnsi="宋体" w:eastAsia="宋体" w:cs="宋体"/>
          <w:color w:val="auto"/>
          <w:sz w:val="24"/>
          <w:szCs w:val="24"/>
          <w:highlight w:val="none"/>
        </w:rPr>
        <w:t>验收</w:t>
      </w:r>
      <w:bookmarkEnd w:id="1422"/>
      <w:bookmarkEnd w:id="1423"/>
    </w:p>
    <w:p w14:paraId="2AA2D239">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424" w:name="_Toc221951290"/>
      <w:r>
        <w:rPr>
          <w:rFonts w:hint="eastAsia" w:ascii="宋体" w:hAnsi="宋体" w:eastAsia="宋体" w:cs="宋体"/>
          <w:color w:val="auto"/>
          <w:szCs w:val="21"/>
          <w:highlight w:val="none"/>
        </w:rPr>
        <w:t>18.7.3本工程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（需要/不需要）竣工验收技术鉴定（蓄水安全鉴定）。</w:t>
      </w:r>
      <w:bookmarkEnd w:id="1424"/>
    </w:p>
    <w:p w14:paraId="7DB55C4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25" w:name="_Toc8716"/>
      <w:bookmarkStart w:id="1426" w:name="_Toc7550"/>
      <w:r>
        <w:rPr>
          <w:rFonts w:hint="eastAsia" w:ascii="宋体" w:hAnsi="宋体" w:eastAsia="宋体" w:cs="宋体"/>
          <w:color w:val="auto"/>
          <w:sz w:val="24"/>
          <w:szCs w:val="24"/>
          <w:highlight w:val="none"/>
        </w:rPr>
        <w:t>18.8 施工期运行</w:t>
      </w:r>
      <w:bookmarkEnd w:id="1425"/>
      <w:bookmarkEnd w:id="1426"/>
    </w:p>
    <w:p w14:paraId="50A89A9D">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18.8.1需要在施工期运行的单位工程或工程设备为：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CDA6E5A">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27" w:name="_Toc19582"/>
      <w:bookmarkStart w:id="1428" w:name="_Toc21898"/>
      <w:r>
        <w:rPr>
          <w:rFonts w:hint="eastAsia" w:ascii="宋体" w:hAnsi="宋体" w:eastAsia="宋体" w:cs="宋体"/>
          <w:color w:val="auto"/>
          <w:sz w:val="24"/>
          <w:szCs w:val="24"/>
          <w:highlight w:val="none"/>
        </w:rPr>
        <w:t>18.9试运行</w:t>
      </w:r>
      <w:bookmarkEnd w:id="1427"/>
      <w:bookmarkEnd w:id="1428"/>
    </w:p>
    <w:p w14:paraId="7CDFFA88">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18.9.1试运行的组织：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；费用承担：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03C5749">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429" w:name="_Toc27313"/>
      <w:bookmarkStart w:id="1430" w:name="_Toc12584"/>
      <w:r>
        <w:rPr>
          <w:rFonts w:hint="eastAsia" w:ascii="宋体" w:hAnsi="宋体" w:eastAsia="宋体" w:cs="宋体"/>
          <w:color w:val="auto"/>
          <w:sz w:val="28"/>
          <w:szCs w:val="28"/>
          <w:highlight w:val="none"/>
        </w:rPr>
        <w:t>19 缺陷责任与保修责任</w:t>
      </w:r>
      <w:bookmarkEnd w:id="1429"/>
      <w:bookmarkEnd w:id="1430"/>
    </w:p>
    <w:p w14:paraId="66395339">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31" w:name="_Toc15726"/>
      <w:bookmarkStart w:id="1432" w:name="_Toc18939"/>
      <w:r>
        <w:rPr>
          <w:rFonts w:hint="eastAsia" w:ascii="宋体" w:hAnsi="宋体" w:eastAsia="宋体" w:cs="宋体"/>
          <w:color w:val="auto"/>
          <w:sz w:val="24"/>
          <w:szCs w:val="24"/>
          <w:highlight w:val="none"/>
        </w:rPr>
        <w:t>19.1 缺陷责任期（工程质量保修期）的起算时间</w:t>
      </w:r>
      <w:bookmarkEnd w:id="1431"/>
      <w:bookmarkEnd w:id="1432"/>
    </w:p>
    <w:p w14:paraId="51B8FB9B">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本工程缺陷责任期（工程质量保修）计算如下：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1C1F4D">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433" w:name="_Toc221951299"/>
      <w:bookmarkStart w:id="1434" w:name="_Toc222029542"/>
      <w:bookmarkStart w:id="1435" w:name="_Toc6059"/>
      <w:bookmarkStart w:id="1436" w:name="_Toc222033893"/>
      <w:bookmarkStart w:id="1437" w:name="_Toc222032711"/>
      <w:bookmarkStart w:id="1438" w:name="_Toc222031044"/>
      <w:bookmarkStart w:id="1439" w:name="_Toc229305400"/>
      <w:bookmarkStart w:id="1440" w:name="_Toc27494"/>
      <w:r>
        <w:rPr>
          <w:rFonts w:hint="eastAsia" w:ascii="宋体" w:hAnsi="宋体" w:eastAsia="宋体" w:cs="宋体"/>
          <w:color w:val="auto"/>
          <w:sz w:val="28"/>
          <w:szCs w:val="28"/>
          <w:highlight w:val="none"/>
        </w:rPr>
        <w:t>20 保险</w:t>
      </w:r>
      <w:bookmarkEnd w:id="1433"/>
      <w:bookmarkEnd w:id="1434"/>
      <w:bookmarkEnd w:id="1435"/>
      <w:bookmarkEnd w:id="1436"/>
      <w:bookmarkEnd w:id="1437"/>
      <w:bookmarkEnd w:id="1438"/>
      <w:bookmarkEnd w:id="1439"/>
      <w:bookmarkEnd w:id="1440"/>
    </w:p>
    <w:p w14:paraId="34004C06">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41" w:name="_Toc9316"/>
      <w:bookmarkStart w:id="1442" w:name="_Toc221951321"/>
      <w:bookmarkStart w:id="1443" w:name="_Toc21648"/>
      <w:r>
        <w:rPr>
          <w:rFonts w:hint="eastAsia" w:ascii="宋体" w:hAnsi="宋体" w:eastAsia="宋体" w:cs="宋体"/>
          <w:color w:val="auto"/>
          <w:sz w:val="24"/>
          <w:szCs w:val="24"/>
          <w:highlight w:val="none"/>
        </w:rPr>
        <w:t>20.1 工程保险</w:t>
      </w:r>
      <w:bookmarkEnd w:id="1441"/>
      <w:bookmarkEnd w:id="1442"/>
      <w:bookmarkEnd w:id="1443"/>
    </w:p>
    <w:p w14:paraId="40AF3B1F">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44" w:name="_Toc221951323"/>
      <w:r>
        <w:rPr>
          <w:rFonts w:hint="eastAsia" w:ascii="宋体" w:hAnsi="宋体" w:eastAsia="宋体" w:cs="宋体"/>
          <w:color w:val="auto"/>
          <w:szCs w:val="21"/>
          <w:highlight w:val="none"/>
        </w:rPr>
        <w:t>建筑工程一切险和（或）安装工程一切险投保人：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BB54E2">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投保内容：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0B5835A">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保险金额、保险费率和保险期限：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E1CE7A">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45" w:name="_Toc20588"/>
      <w:bookmarkStart w:id="1446" w:name="_Toc8370"/>
      <w:r>
        <w:rPr>
          <w:rFonts w:hint="eastAsia" w:ascii="宋体" w:hAnsi="宋体" w:eastAsia="宋体" w:cs="宋体"/>
          <w:color w:val="auto"/>
          <w:sz w:val="24"/>
          <w:szCs w:val="24"/>
          <w:highlight w:val="none"/>
        </w:rPr>
        <w:t>20.4 第三者责任险</w:t>
      </w:r>
      <w:bookmarkEnd w:id="1444"/>
      <w:bookmarkEnd w:id="1445"/>
      <w:bookmarkEnd w:id="1446"/>
    </w:p>
    <w:p w14:paraId="63B55825">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47" w:name="_Toc221951325"/>
      <w:r>
        <w:rPr>
          <w:rFonts w:hint="eastAsia" w:ascii="宋体" w:hAnsi="宋体" w:eastAsia="宋体" w:cs="宋体"/>
          <w:color w:val="auto"/>
          <w:szCs w:val="21"/>
          <w:highlight w:val="none"/>
        </w:rPr>
        <w:t>20.4.2  第三者责任险保险费率：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20E55E8">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第三者责任险保险金额：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4"/>
          <w:highlight w:val="none"/>
        </w:rPr>
        <w:t xml:space="preserve"> </w:t>
      </w:r>
    </w:p>
    <w:p w14:paraId="58502285">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48" w:name="_Toc17450"/>
      <w:bookmarkStart w:id="1449" w:name="_Toc10298"/>
      <w:r>
        <w:rPr>
          <w:rFonts w:hint="eastAsia" w:ascii="宋体" w:hAnsi="宋体" w:eastAsia="宋体" w:cs="宋体"/>
          <w:color w:val="auto"/>
          <w:sz w:val="24"/>
          <w:szCs w:val="24"/>
          <w:highlight w:val="none"/>
        </w:rPr>
        <w:t>20.5 其他保险</w:t>
      </w:r>
      <w:bookmarkEnd w:id="1447"/>
      <w:bookmarkEnd w:id="1448"/>
      <w:bookmarkEnd w:id="1449"/>
    </w:p>
    <w:p w14:paraId="1D88AFF1">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50" w:name="_Toc221951327"/>
      <w:r>
        <w:rPr>
          <w:rFonts w:hint="eastAsia" w:ascii="宋体" w:hAnsi="宋体" w:eastAsia="宋体" w:cs="宋体"/>
          <w:color w:val="auto"/>
          <w:szCs w:val="21"/>
          <w:highlight w:val="none"/>
        </w:rPr>
        <w:t>需要投保的其他内容：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9195254">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保险金额、保险费率和保险期限：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1AFF68">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51" w:name="_Toc379"/>
      <w:bookmarkStart w:id="1452" w:name="_Toc10831"/>
      <w:r>
        <w:rPr>
          <w:rFonts w:hint="eastAsia" w:ascii="宋体" w:hAnsi="宋体" w:eastAsia="宋体" w:cs="宋体"/>
          <w:color w:val="auto"/>
          <w:sz w:val="24"/>
          <w:szCs w:val="24"/>
          <w:highlight w:val="none"/>
        </w:rPr>
        <w:t>20.6 对各项保险的一般要求</w:t>
      </w:r>
      <w:bookmarkEnd w:id="1450"/>
      <w:bookmarkEnd w:id="1451"/>
      <w:bookmarkEnd w:id="1452"/>
    </w:p>
    <w:p w14:paraId="00C0C98A">
      <w:pPr>
        <w:pageBreakBefore w:val="0"/>
        <w:widowControl w:val="0"/>
        <w:kinsoku/>
        <w:wordWrap/>
        <w:overflowPunct/>
        <w:topLinePunct w:val="0"/>
        <w:bidi w:val="0"/>
        <w:snapToGrid/>
        <w:spacing w:beforeAutospacing="0" w:afterAutospacing="0" w:line="360" w:lineRule="auto"/>
        <w:ind w:left="0" w:leftChars="0" w:right="0" w:firstLine="525" w:firstLineChars="250"/>
        <w:textAlignment w:val="auto"/>
        <w:rPr>
          <w:rFonts w:hint="eastAsia" w:ascii="宋体" w:hAnsi="宋体" w:eastAsia="宋体" w:cs="宋体"/>
          <w:color w:val="auto"/>
          <w:szCs w:val="21"/>
          <w:highlight w:val="none"/>
        </w:rPr>
      </w:pPr>
      <w:bookmarkStart w:id="1453" w:name="_Toc221951328"/>
      <w:r>
        <w:rPr>
          <w:rFonts w:hint="eastAsia" w:ascii="宋体" w:hAnsi="宋体" w:eastAsia="宋体" w:cs="宋体"/>
          <w:color w:val="auto"/>
          <w:szCs w:val="21"/>
          <w:highlight w:val="none"/>
        </w:rPr>
        <w:t>20.6.1 保险凭证</w:t>
      </w:r>
      <w:bookmarkEnd w:id="1453"/>
    </w:p>
    <w:p w14:paraId="6F6F68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454" w:name="_Toc221951329"/>
      <w:r>
        <w:rPr>
          <w:rFonts w:hint="eastAsia" w:ascii="宋体" w:hAnsi="宋体" w:eastAsia="宋体" w:cs="宋体"/>
          <w:color w:val="auto"/>
          <w:szCs w:val="21"/>
          <w:highlight w:val="none"/>
        </w:rPr>
        <w:t>承包人提交保险凭证的期限：</w:t>
      </w:r>
      <w:r>
        <w:rPr>
          <w:rFonts w:hint="eastAsia" w:ascii="宋体" w:hAnsi="宋体" w:eastAsia="宋体" w:cs="宋体"/>
          <w:color w:val="auto"/>
          <w:szCs w:val="21"/>
          <w:highlight w:val="none"/>
          <w:u w:val="single"/>
        </w:rPr>
        <w:t xml:space="preserve">                                       </w:t>
      </w:r>
      <w:bookmarkEnd w:id="1454"/>
      <w:r>
        <w:rPr>
          <w:rFonts w:hint="eastAsia" w:ascii="宋体" w:hAnsi="宋体" w:eastAsia="宋体" w:cs="宋体"/>
          <w:color w:val="auto"/>
          <w:szCs w:val="21"/>
          <w:highlight w:val="none"/>
        </w:rPr>
        <w:t>；</w:t>
      </w:r>
    </w:p>
    <w:p w14:paraId="4C9F12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455" w:name="_Toc221951330"/>
      <w:r>
        <w:rPr>
          <w:rFonts w:hint="eastAsia" w:ascii="宋体" w:hAnsi="宋体" w:eastAsia="宋体" w:cs="宋体"/>
          <w:color w:val="auto"/>
          <w:szCs w:val="21"/>
          <w:highlight w:val="none"/>
        </w:rPr>
        <w:t>保险条件：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455"/>
    </w:p>
    <w:p w14:paraId="70053A35">
      <w:pPr>
        <w:pageBreakBefore w:val="0"/>
        <w:widowControl w:val="0"/>
        <w:kinsoku/>
        <w:wordWrap/>
        <w:overflowPunct/>
        <w:topLinePunct w:val="0"/>
        <w:bidi w:val="0"/>
        <w:snapToGrid/>
        <w:spacing w:beforeAutospacing="0" w:afterAutospacing="0" w:line="360" w:lineRule="auto"/>
        <w:ind w:left="0" w:leftChars="0" w:right="0" w:firstLine="480"/>
        <w:textAlignment w:val="auto"/>
        <w:rPr>
          <w:rFonts w:hint="eastAsia" w:ascii="宋体" w:hAnsi="宋体" w:eastAsia="宋体" w:cs="宋体"/>
          <w:color w:val="auto"/>
          <w:szCs w:val="21"/>
          <w:highlight w:val="none"/>
        </w:rPr>
      </w:pPr>
      <w:bookmarkStart w:id="1456" w:name="_Toc221951331"/>
      <w:r>
        <w:rPr>
          <w:rFonts w:hint="eastAsia" w:ascii="宋体" w:hAnsi="宋体" w:eastAsia="宋体" w:cs="宋体"/>
          <w:color w:val="auto"/>
          <w:szCs w:val="21"/>
          <w:highlight w:val="none"/>
        </w:rPr>
        <w:t>20.6.4 保险金不足的补偿</w:t>
      </w:r>
      <w:bookmarkEnd w:id="1456"/>
    </w:p>
    <w:p w14:paraId="004D77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bookmarkStart w:id="1457" w:name="_Toc221951332"/>
      <w:r>
        <w:rPr>
          <w:rFonts w:hint="eastAsia" w:ascii="宋体" w:hAnsi="宋体" w:eastAsia="宋体" w:cs="宋体"/>
          <w:color w:val="auto"/>
          <w:szCs w:val="21"/>
          <w:highlight w:val="none"/>
        </w:rPr>
        <w:t>承包人负责补偿的范围与金额：</w:t>
      </w:r>
      <w:bookmarkEnd w:id="1457"/>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77D6D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发包人负责补偿的范围与金额：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8"/>
          <w:szCs w:val="28"/>
          <w:highlight w:val="none"/>
        </w:rPr>
        <w:t xml:space="preserve"> </w:t>
      </w:r>
    </w:p>
    <w:p w14:paraId="037DDBDE">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8"/>
          <w:szCs w:val="28"/>
          <w:highlight w:val="none"/>
        </w:rPr>
      </w:pPr>
      <w:bookmarkStart w:id="1458" w:name="_Toc23554"/>
      <w:bookmarkStart w:id="1459" w:name="_Toc16833"/>
      <w:bookmarkStart w:id="1460" w:name="_Toc222029543"/>
      <w:bookmarkStart w:id="1461" w:name="_Toc221951334"/>
      <w:bookmarkStart w:id="1462" w:name="_Toc222033894"/>
      <w:bookmarkStart w:id="1463" w:name="_Toc229305401"/>
      <w:bookmarkStart w:id="1464" w:name="_Toc222032712"/>
      <w:bookmarkStart w:id="1465" w:name="_Toc222031045"/>
      <w:r>
        <w:rPr>
          <w:rFonts w:hint="eastAsia" w:ascii="宋体" w:hAnsi="宋体" w:eastAsia="宋体" w:cs="宋体"/>
          <w:color w:val="auto"/>
          <w:sz w:val="28"/>
          <w:szCs w:val="28"/>
          <w:highlight w:val="none"/>
        </w:rPr>
        <w:t>24. 争议的解决</w:t>
      </w:r>
      <w:bookmarkEnd w:id="1458"/>
      <w:bookmarkEnd w:id="1459"/>
      <w:bookmarkEnd w:id="1460"/>
      <w:bookmarkEnd w:id="1461"/>
      <w:bookmarkEnd w:id="1462"/>
      <w:bookmarkEnd w:id="1463"/>
      <w:bookmarkEnd w:id="1464"/>
      <w:bookmarkEnd w:id="1465"/>
    </w:p>
    <w:p w14:paraId="0FEB3A85">
      <w:pPr>
        <w:pStyle w:val="5"/>
        <w:pageBreakBefore w:val="0"/>
        <w:widowControl w:val="0"/>
        <w:kinsoku/>
        <w:wordWrap/>
        <w:overflowPunct/>
        <w:topLinePunct w:val="0"/>
        <w:bidi w:val="0"/>
        <w:snapToGrid/>
        <w:spacing w:before="0" w:beforeAutospacing="0" w:after="0" w:afterAutospacing="0" w:line="360" w:lineRule="auto"/>
        <w:ind w:left="0" w:leftChars="0" w:right="0"/>
        <w:textAlignment w:val="auto"/>
        <w:rPr>
          <w:rFonts w:hint="eastAsia" w:ascii="宋体" w:hAnsi="宋体" w:eastAsia="宋体" w:cs="宋体"/>
          <w:color w:val="auto"/>
          <w:sz w:val="24"/>
          <w:szCs w:val="24"/>
          <w:highlight w:val="none"/>
        </w:rPr>
      </w:pPr>
      <w:bookmarkStart w:id="1466" w:name="_Toc4588"/>
      <w:bookmarkStart w:id="1467" w:name="_Toc4072"/>
      <w:bookmarkStart w:id="1468" w:name="_Toc221951335"/>
      <w:r>
        <w:rPr>
          <w:rFonts w:hint="eastAsia" w:ascii="宋体" w:hAnsi="宋体" w:eastAsia="宋体" w:cs="宋体"/>
          <w:color w:val="auto"/>
          <w:sz w:val="24"/>
          <w:szCs w:val="24"/>
          <w:highlight w:val="none"/>
        </w:rPr>
        <w:t>24.1 争议的解决方式</w:t>
      </w:r>
      <w:bookmarkEnd w:id="1466"/>
      <w:bookmarkEnd w:id="1467"/>
    </w:p>
    <w:p w14:paraId="3CB6CB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highlight w:val="none"/>
        </w:rPr>
      </w:pPr>
      <w:r>
        <w:rPr>
          <w:rFonts w:hint="eastAsia" w:ascii="宋体" w:hAnsi="宋体" w:eastAsia="宋体" w:cs="宋体"/>
          <w:color w:val="auto"/>
          <w:szCs w:val="21"/>
          <w:highlight w:val="none"/>
        </w:rPr>
        <w:t>合同当事人友好协商解决不成、不愿提请争议评审或不接受争议评审组意见的，约定的合同争议解决方式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bookmarkEnd w:id="1468"/>
    </w:p>
    <w:p w14:paraId="529BDE3D">
      <w:pPr>
        <w:ind w:right="248"/>
        <w:rPr>
          <w:rFonts w:ascii="宋体" w:hAnsi="宋体" w:cs="宋体"/>
          <w:color w:val="auto"/>
          <w:szCs w:val="21"/>
          <w:highlight w:val="none"/>
        </w:rPr>
      </w:pPr>
      <w:r>
        <w:rPr>
          <w:rFonts w:ascii="宋体" w:hAnsi="宋体" w:cs="宋体"/>
          <w:color w:val="auto"/>
          <w:szCs w:val="21"/>
          <w:highlight w:val="none"/>
        </w:rPr>
        <w:br w:type="page"/>
      </w:r>
    </w:p>
    <w:p w14:paraId="0EB84FAF">
      <w:pPr>
        <w:keepNext/>
        <w:keepLines/>
        <w:snapToGrid w:val="0"/>
        <w:spacing w:line="360" w:lineRule="auto"/>
        <w:jc w:val="center"/>
        <w:outlineLvl w:val="1"/>
        <w:rPr>
          <w:rFonts w:hint="default" w:ascii="宋体" w:hAnsi="宋体" w:eastAsia="宋体"/>
          <w:b/>
          <w:bCs/>
          <w:color w:val="auto"/>
          <w:kern w:val="0"/>
          <w:sz w:val="44"/>
          <w:szCs w:val="44"/>
          <w:highlight w:val="none"/>
          <w:lang w:val="en-US" w:eastAsia="zh-CN"/>
        </w:rPr>
      </w:pPr>
      <w:bookmarkStart w:id="1469" w:name="_Toc26844"/>
      <w:r>
        <w:rPr>
          <w:rFonts w:hint="eastAsia" w:ascii="宋体" w:hAnsi="宋体"/>
          <w:b/>
          <w:bCs/>
          <w:color w:val="auto"/>
          <w:kern w:val="0"/>
          <w:sz w:val="44"/>
          <w:szCs w:val="44"/>
          <w:highlight w:val="none"/>
          <w:lang w:val="en-US" w:eastAsia="zh-CN"/>
        </w:rPr>
        <w:t>第3节 合同附件格式</w:t>
      </w:r>
      <w:bookmarkEnd w:id="1469"/>
    </w:p>
    <w:bookmarkEnd w:id="823"/>
    <w:p w14:paraId="447AFB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附件一：合同协议书</w:t>
      </w:r>
    </w:p>
    <w:p w14:paraId="1CD572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附件二：履约担保</w:t>
      </w:r>
    </w:p>
    <w:p w14:paraId="62D18BF3">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470" w:name="_Toc168476287"/>
      <w:bookmarkStart w:id="1471" w:name="_Toc168475884"/>
      <w:bookmarkStart w:id="1472" w:name="_Toc144974827"/>
      <w:r>
        <w:rPr>
          <w:rFonts w:hint="eastAsia" w:ascii="宋体" w:hAnsi="宋体" w:eastAsia="宋体" w:cs="宋体"/>
          <w:b/>
          <w:bCs/>
          <w:color w:val="auto"/>
          <w:highlight w:val="none"/>
        </w:rPr>
        <w:t>附件一：</w:t>
      </w:r>
      <w:bookmarkEnd w:id="1470"/>
      <w:bookmarkEnd w:id="1471"/>
      <w:bookmarkEnd w:id="1472"/>
    </w:p>
    <w:p w14:paraId="082B3F40">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p>
    <w:p w14:paraId="5658745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合同协议书</w:t>
      </w:r>
    </w:p>
    <w:p w14:paraId="06F6473F">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p>
    <w:p w14:paraId="29F644EB">
      <w:pPr>
        <w:pageBreakBefore w:val="0"/>
        <w:widowControl w:val="0"/>
        <w:kinsoku/>
        <w:wordWrap/>
        <w:overflowPunct/>
        <w:topLinePunct w:val="0"/>
        <w:bidi w:val="0"/>
        <w:snapToGrid/>
        <w:spacing w:beforeAutospacing="0" w:afterAutospacing="0" w:line="360" w:lineRule="auto"/>
        <w:ind w:left="0" w:leftChars="0" w:right="0" w:firstLine="462" w:firstLineChars="2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（发包人名称，以下简称“发包人”）为实施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（项目名称），已接受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（承包人名称，以下简称“承包人”）对该项目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标段的</w:t>
      </w:r>
      <w:r>
        <w:rPr>
          <w:rFonts w:hint="eastAsia" w:ascii="宋体" w:hAnsi="宋体" w:cs="宋体"/>
          <w:color w:val="auto"/>
          <w:szCs w:val="21"/>
          <w:highlight w:val="none"/>
          <w:lang w:val="en-US" w:eastAsia="zh-CN"/>
        </w:rPr>
        <w:t>施工</w:t>
      </w:r>
      <w:r>
        <w:rPr>
          <w:rFonts w:hint="eastAsia" w:ascii="宋体" w:hAnsi="宋体" w:eastAsia="宋体" w:cs="宋体"/>
          <w:color w:val="auto"/>
          <w:szCs w:val="21"/>
          <w:highlight w:val="none"/>
        </w:rPr>
        <w:t>。发包人和承包人共同达成如下协议。</w:t>
      </w:r>
    </w:p>
    <w:p w14:paraId="3161816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bookmarkStart w:id="1473" w:name="_Toc168476288"/>
      <w:bookmarkStart w:id="1474" w:name="_Toc168475885"/>
      <w:bookmarkStart w:id="1475" w:name="_Toc144974828"/>
      <w:r>
        <w:rPr>
          <w:rFonts w:hint="eastAsia" w:ascii="宋体" w:hAnsi="宋体" w:eastAsia="宋体" w:cs="宋体"/>
          <w:color w:val="auto"/>
          <w:highlight w:val="none"/>
        </w:rPr>
        <w:t>1.本协议书与下列文件一起构成合同文件：</w:t>
      </w:r>
      <w:bookmarkEnd w:id="1473"/>
      <w:bookmarkEnd w:id="1474"/>
      <w:bookmarkEnd w:id="1475"/>
    </w:p>
    <w:p w14:paraId="6DDC06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（1）中标通知书；</w:t>
      </w:r>
    </w:p>
    <w:p w14:paraId="2FA36E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（2）投标函及投标函附录；</w:t>
      </w:r>
    </w:p>
    <w:p w14:paraId="3DB628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（3）专用合同条款；</w:t>
      </w:r>
    </w:p>
    <w:p w14:paraId="7C71D4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（4）通用合同条款；</w:t>
      </w:r>
    </w:p>
    <w:p w14:paraId="7F022E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（5）技术标准和要求（合同技术条款）；</w:t>
      </w:r>
    </w:p>
    <w:p w14:paraId="43EAEA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（6）图纸；</w:t>
      </w:r>
    </w:p>
    <w:p w14:paraId="350A5C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（7）已标价工程量清单；</w:t>
      </w:r>
    </w:p>
    <w:p w14:paraId="642F62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（8）其他合同文件。</w:t>
      </w:r>
    </w:p>
    <w:p w14:paraId="6381FD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bookmarkStart w:id="1476" w:name="_Toc168476289"/>
      <w:bookmarkStart w:id="1477" w:name="_Toc168475886"/>
      <w:bookmarkStart w:id="1478" w:name="_Toc144974829"/>
      <w:r>
        <w:rPr>
          <w:rFonts w:hint="eastAsia" w:ascii="宋体" w:hAnsi="宋体" w:eastAsia="宋体" w:cs="宋体"/>
          <w:color w:val="auto"/>
          <w:highlight w:val="none"/>
        </w:rPr>
        <w:t>2.上述文件互相补充和解释，如有不明确或不一致之处，以合同约定次序在先者为准。</w:t>
      </w:r>
      <w:bookmarkEnd w:id="1476"/>
      <w:bookmarkEnd w:id="1477"/>
      <w:bookmarkEnd w:id="1478"/>
    </w:p>
    <w:p w14:paraId="73529F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3.签约合同价：人民币（大写）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6ED67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4.承包人项目经理：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1DAC0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5.工程质量符合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标准。</w:t>
      </w:r>
    </w:p>
    <w:p w14:paraId="7BB92C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6.承包人承诺按合同约定承担工程的实施、完成及缺陷修复。</w:t>
      </w:r>
    </w:p>
    <w:p w14:paraId="0F0D68E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7.发包人承诺按合同约定的条件、时间和方式向承包人支付合同价款。</w:t>
      </w:r>
    </w:p>
    <w:p w14:paraId="0376F86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8.承包人承诺执行监理人开工通知，计划工期为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w:t>
      </w:r>
    </w:p>
    <w:p w14:paraId="6AC4D9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9.本协议书一式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份，合同双方各执一份。</w:t>
      </w:r>
    </w:p>
    <w:p w14:paraId="0A9850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textAlignment w:val="auto"/>
        <w:rPr>
          <w:rFonts w:hint="eastAsia" w:ascii="宋体" w:hAnsi="宋体" w:eastAsia="宋体" w:cs="宋体"/>
          <w:color w:val="auto"/>
          <w:highlight w:val="none"/>
        </w:rPr>
      </w:pPr>
      <w:bookmarkStart w:id="1479" w:name="_Toc144974830"/>
      <w:bookmarkStart w:id="1480" w:name="_Toc168475887"/>
      <w:bookmarkStart w:id="1481" w:name="_Toc168476290"/>
      <w:r>
        <w:rPr>
          <w:rFonts w:hint="eastAsia" w:ascii="宋体" w:hAnsi="宋体" w:eastAsia="宋体" w:cs="宋体"/>
          <w:color w:val="auto"/>
          <w:highlight w:val="none"/>
        </w:rPr>
        <w:t>10.合同未尽事宜，双方另行签订补充协议。补充协议是合同的组成部分。</w:t>
      </w:r>
      <w:bookmarkEnd w:id="1479"/>
      <w:bookmarkEnd w:id="1480"/>
      <w:bookmarkEnd w:id="1481"/>
    </w:p>
    <w:p w14:paraId="2BE5C03F">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p>
    <w:p w14:paraId="229F42EB">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     承包人：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57528490">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签名</w:t>
      </w:r>
      <w:r>
        <w:rPr>
          <w:rFonts w:hint="eastAsia" w:ascii="宋体" w:hAnsi="宋体" w:eastAsia="宋体" w:cs="宋体"/>
          <w:color w:val="auto"/>
          <w:szCs w:val="21"/>
          <w:highlight w:val="none"/>
        </w:rPr>
        <w:t>）    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签名</w:t>
      </w:r>
      <w:r>
        <w:rPr>
          <w:rFonts w:hint="eastAsia" w:ascii="宋体" w:hAnsi="宋体" w:eastAsia="宋体" w:cs="宋体"/>
          <w:color w:val="auto"/>
          <w:szCs w:val="21"/>
          <w:highlight w:val="none"/>
        </w:rPr>
        <w:t>）</w:t>
      </w:r>
    </w:p>
    <w:p w14:paraId="1D0F3DAE">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DEED066">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p>
    <w:p w14:paraId="75E9A396">
      <w:pPr>
        <w:rPr>
          <w:rFonts w:hint="eastAsia" w:ascii="宋体" w:hAnsi="宋体" w:eastAsia="宋体" w:cs="宋体"/>
          <w:color w:val="auto"/>
          <w:highlight w:val="none"/>
        </w:rPr>
      </w:pPr>
      <w:bookmarkStart w:id="1482" w:name="_Toc144974831"/>
      <w:r>
        <w:rPr>
          <w:rFonts w:hint="eastAsia" w:ascii="宋体" w:hAnsi="宋体" w:eastAsia="宋体" w:cs="宋体"/>
          <w:color w:val="auto"/>
          <w:highlight w:val="none"/>
        </w:rPr>
        <w:br w:type="page"/>
      </w:r>
    </w:p>
    <w:bookmarkEnd w:id="1482"/>
    <w:p w14:paraId="08A74121">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rPr>
        <w:t>：</w:t>
      </w:r>
    </w:p>
    <w:p w14:paraId="14B74513">
      <w:pPr>
        <w:pageBreakBefore w:val="0"/>
        <w:widowControl w:val="0"/>
        <w:kinsoku/>
        <w:wordWrap/>
        <w:overflowPunct/>
        <w:topLinePunct w:val="0"/>
        <w:bidi w:val="0"/>
        <w:snapToGrid/>
        <w:spacing w:beforeAutospacing="0" w:afterAutospacing="0" w:line="360" w:lineRule="auto"/>
        <w:ind w:left="0" w:leftChars="0" w:right="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履约担保</w:t>
      </w:r>
    </w:p>
    <w:p w14:paraId="00F1C400">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 w:val="20"/>
          <w:szCs w:val="20"/>
          <w:highlight w:val="none"/>
        </w:rPr>
      </w:pPr>
    </w:p>
    <w:p w14:paraId="60A092FA">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w:t>
      </w:r>
    </w:p>
    <w:p w14:paraId="660136E7">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p>
    <w:p w14:paraId="038A050E">
      <w:pPr>
        <w:pageBreakBefore w:val="0"/>
        <w:widowControl w:val="0"/>
        <w:kinsoku/>
        <w:wordWrap/>
        <w:overflowPunct/>
        <w:topLinePunct w:val="0"/>
        <w:bidi w:val="0"/>
        <w:snapToGrid/>
        <w:spacing w:beforeAutospacing="0" w:afterAutospacing="0" w:line="360" w:lineRule="auto"/>
        <w:ind w:left="0" w:leftChars="0" w:right="0"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（发包人名称，以下简称“发包人”）接受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（承包人名称，以下称“承包人”）于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日递交的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标段名称）的投标文件。我方愿意无条件地、不可撤销地就承包人履行与你方订立的合同，向你方提供担保。</w:t>
      </w:r>
    </w:p>
    <w:p w14:paraId="6B52E48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866D650">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2.担保有效期自发包人与承包人签订的合同生效之日起至发包人签发工程完工证书之日止。</w:t>
      </w:r>
    </w:p>
    <w:p w14:paraId="41BA06D5">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3.在本担保有效期内，因承包人违反合同约定的义务给你方造成经济损失时，我方在收到你方以书面形式提出的在担保金额内的赔偿要求后，无条件地在７天内予以支付。</w:t>
      </w:r>
    </w:p>
    <w:p w14:paraId="0948FE37">
      <w:pPr>
        <w:pageBreakBefore w:val="0"/>
        <w:widowControl w:val="0"/>
        <w:kinsoku/>
        <w:wordWrap/>
        <w:overflowPunct/>
        <w:topLinePunct w:val="0"/>
        <w:bidi w:val="0"/>
        <w:snapToGrid/>
        <w:spacing w:beforeAutospacing="0" w:afterAutospacing="0" w:line="360"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4.发包人和承包人按《通用合同条款》第15条变更合同时，我方承担本担保规定的义务不变。</w:t>
      </w:r>
    </w:p>
    <w:p w14:paraId="2F0F4375">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p>
    <w:p w14:paraId="6DF9C8E5">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p>
    <w:p w14:paraId="6F379FFC">
      <w:pPr>
        <w:pageBreakBefore w:val="0"/>
        <w:widowControl w:val="0"/>
        <w:kinsoku/>
        <w:wordWrap/>
        <w:overflowPunct/>
        <w:topLinePunct w:val="0"/>
        <w:bidi w:val="0"/>
        <w:snapToGrid/>
        <w:spacing w:beforeAutospacing="0" w:afterAutospacing="0" w:line="360" w:lineRule="auto"/>
        <w:ind w:left="0" w:leftChars="0" w:right="0"/>
        <w:textAlignment w:val="auto"/>
        <w:rPr>
          <w:rFonts w:hint="eastAsia" w:ascii="宋体" w:hAnsi="宋体" w:eastAsia="宋体" w:cs="宋体"/>
          <w:color w:val="auto"/>
          <w:szCs w:val="21"/>
          <w:highlight w:val="none"/>
        </w:rPr>
      </w:pPr>
    </w:p>
    <w:p w14:paraId="78940C5F">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 保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42CDDF5A">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签名</w:t>
      </w:r>
      <w:r>
        <w:rPr>
          <w:rFonts w:hint="eastAsia" w:ascii="宋体" w:hAnsi="宋体" w:eastAsia="宋体" w:cs="宋体"/>
          <w:color w:val="auto"/>
          <w:szCs w:val="21"/>
          <w:highlight w:val="none"/>
        </w:rPr>
        <w:t>）</w:t>
      </w:r>
    </w:p>
    <w:p w14:paraId="79360505">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p>
    <w:p w14:paraId="149996D7">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17639865">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DB1DBA2">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FF6FD92">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14:paraId="383F2EBE">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66ED4FA">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14:paraId="781B84FB">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14:paraId="70551C6E">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14:paraId="41BEDE83">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14:paraId="493B3200">
      <w:pPr>
        <w:pageBreakBefore w:val="0"/>
        <w:widowControl w:val="0"/>
        <w:kinsoku/>
        <w:wordWrap/>
        <w:overflowPunct/>
        <w:topLinePunct w:val="0"/>
        <w:bidi w:val="0"/>
        <w:snapToGrid/>
        <w:spacing w:beforeAutospacing="0" w:afterAutospacing="0" w:line="360" w:lineRule="auto"/>
        <w:ind w:left="0" w:leftChars="0" w:right="0" w:firstLine="4819" w:firstLineChars="2295"/>
        <w:textAlignment w:val="auto"/>
        <w:rPr>
          <w:rFonts w:hint="eastAsia" w:ascii="宋体" w:hAnsi="宋体" w:eastAsia="宋体" w:cs="宋体"/>
          <w:color w:val="auto"/>
          <w:szCs w:val="21"/>
          <w:highlight w:val="none"/>
        </w:rPr>
      </w:pPr>
    </w:p>
    <w:p w14:paraId="1BD46273">
      <w:pPr>
        <w:pageBreakBefore w:val="0"/>
        <w:widowControl w:val="0"/>
        <w:kinsoku/>
        <w:wordWrap/>
        <w:overflowPunct/>
        <w:topLinePunct w:val="0"/>
        <w:bidi w:val="0"/>
        <w:snapToGrid/>
        <w:spacing w:beforeAutospacing="0" w:afterAutospacing="0" w:line="360" w:lineRule="auto"/>
        <w:ind w:left="0" w:leftChars="0" w:right="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注：委托代理人应附授权委托书。</w:t>
      </w:r>
    </w:p>
    <w:p w14:paraId="7B3B5842">
      <w:pPr>
        <w:widowControl/>
        <w:jc w:val="left"/>
        <w:rPr>
          <w:rFonts w:ascii="宋体" w:hAnsi="宋体"/>
          <w:color w:val="auto"/>
          <w:szCs w:val="20"/>
          <w:highlight w:val="none"/>
        </w:rPr>
      </w:pPr>
      <w:r>
        <w:rPr>
          <w:rFonts w:ascii="宋体" w:hAnsi="宋体"/>
          <w:color w:val="auto"/>
          <w:szCs w:val="20"/>
          <w:highlight w:val="none"/>
        </w:rPr>
        <w:br w:type="page"/>
      </w:r>
    </w:p>
    <w:p w14:paraId="328E93B3">
      <w:pPr>
        <w:spacing w:line="240" w:lineRule="exact"/>
        <w:rPr>
          <w:rFonts w:ascii="宋体" w:hAnsi="宋体"/>
          <w:color w:val="auto"/>
          <w:szCs w:val="20"/>
          <w:highlight w:val="none"/>
        </w:rPr>
      </w:pPr>
    </w:p>
    <w:p w14:paraId="2F143789">
      <w:pPr>
        <w:pStyle w:val="3"/>
        <w:spacing w:before="0" w:after="0" w:line="360" w:lineRule="auto"/>
        <w:jc w:val="center"/>
        <w:rPr>
          <w:rFonts w:ascii="宋体" w:hAnsi="宋体"/>
          <w:color w:val="auto"/>
          <w:highlight w:val="none"/>
        </w:rPr>
      </w:pPr>
      <w:bookmarkStart w:id="1483" w:name="_Toc59810434"/>
      <w:bookmarkStart w:id="1484" w:name="_Toc21020"/>
      <w:bookmarkStart w:id="1485" w:name="_Toc24178"/>
      <w:bookmarkStart w:id="1486" w:name="_Toc509218843"/>
      <w:bookmarkStart w:id="1487" w:name="_Toc534185822"/>
      <w:bookmarkStart w:id="1488" w:name="_Toc287607855"/>
      <w:bookmarkStart w:id="1489" w:name="_Toc430530513"/>
      <w:bookmarkStart w:id="1490" w:name="_Toc16114"/>
      <w:bookmarkStart w:id="1491" w:name="_Toc10781"/>
      <w:bookmarkStart w:id="1492" w:name="_Toc14889"/>
      <w:bookmarkStart w:id="1493" w:name="_Toc287620797"/>
      <w:r>
        <w:rPr>
          <w:rFonts w:hint="eastAsia" w:ascii="宋体" w:hAnsi="宋体"/>
          <w:color w:val="auto"/>
          <w:highlight w:val="none"/>
        </w:rPr>
        <w:t>第五章  工程量清单</w:t>
      </w:r>
      <w:bookmarkEnd w:id="1483"/>
      <w:bookmarkEnd w:id="1484"/>
      <w:bookmarkEnd w:id="1485"/>
      <w:bookmarkEnd w:id="1486"/>
      <w:bookmarkEnd w:id="1487"/>
      <w:bookmarkEnd w:id="1488"/>
      <w:bookmarkEnd w:id="1489"/>
      <w:bookmarkEnd w:id="1490"/>
      <w:bookmarkEnd w:id="1491"/>
      <w:bookmarkEnd w:id="1492"/>
      <w:bookmarkEnd w:id="1493"/>
      <w:bookmarkStart w:id="1494" w:name="招标文件05章工程量清单01"/>
      <w:bookmarkEnd w:id="1494"/>
      <w:bookmarkStart w:id="1495" w:name="_Toc430530514"/>
      <w:bookmarkStart w:id="1496" w:name="_Toc287607856"/>
      <w:bookmarkStart w:id="1497" w:name="_Toc224103477"/>
      <w:bookmarkStart w:id="1498" w:name="_Toc277082638"/>
      <w:bookmarkStart w:id="1499" w:name="_Toc287620798"/>
    </w:p>
    <w:bookmarkEnd w:id="1495"/>
    <w:bookmarkEnd w:id="1496"/>
    <w:bookmarkEnd w:id="1497"/>
    <w:bookmarkEnd w:id="1498"/>
    <w:bookmarkEnd w:id="1499"/>
    <w:p w14:paraId="7A37B609">
      <w:pPr>
        <w:snapToGrid w:val="0"/>
        <w:spacing w:line="360" w:lineRule="auto"/>
        <w:jc w:val="center"/>
        <w:rPr>
          <w:rFonts w:ascii="宋体" w:hAnsi="宋体"/>
          <w:color w:val="auto"/>
          <w:sz w:val="24"/>
          <w:highlight w:val="none"/>
        </w:rPr>
      </w:pPr>
    </w:p>
    <w:p w14:paraId="31182FE1">
      <w:pPr>
        <w:spacing w:line="360" w:lineRule="auto"/>
        <w:ind w:right="561"/>
        <w:jc w:val="center"/>
        <w:rPr>
          <w:rFonts w:ascii="宋体" w:hAnsi="宋体"/>
          <w:color w:val="auto"/>
          <w:highlight w:val="none"/>
        </w:rPr>
      </w:pPr>
      <w:bookmarkStart w:id="1500" w:name="_Toc287620802"/>
      <w:bookmarkStart w:id="1501" w:name="_Hlt269645337"/>
      <w:bookmarkStart w:id="1502" w:name="_Toc287607860"/>
      <w:r>
        <w:rPr>
          <w:rFonts w:hint="eastAsia" w:ascii="宋体" w:hAnsi="宋体"/>
          <w:color w:val="auto"/>
          <w:szCs w:val="20"/>
          <w:highlight w:val="none"/>
        </w:rPr>
        <w:t>在</w:t>
      </w:r>
      <w:r>
        <w:rPr>
          <w:rFonts w:hint="eastAsia" w:ascii="宋体" w:hAnsi="宋体"/>
          <w:snapToGrid w:val="0"/>
          <w:kern w:val="0"/>
          <w:szCs w:val="21"/>
          <w:highlight w:val="none"/>
          <w:u w:val="single"/>
          <w:lang w:eastAsia="zh-CN"/>
        </w:rPr>
        <w:t>垫江县人民政府网平台</w:t>
      </w:r>
      <w:r>
        <w:rPr>
          <w:rFonts w:hint="eastAsia" w:ascii="宋体" w:hAnsi="宋体"/>
          <w:color w:val="auto"/>
          <w:szCs w:val="20"/>
          <w:highlight w:val="none"/>
        </w:rPr>
        <w:t>下载。</w:t>
      </w:r>
    </w:p>
    <w:p w14:paraId="07BB3051">
      <w:pPr>
        <w:spacing w:line="20" w:lineRule="exact"/>
        <w:rPr>
          <w:rFonts w:ascii="宋体" w:hAnsi="宋体"/>
          <w:color w:val="auto"/>
          <w:highlight w:val="none"/>
        </w:rPr>
      </w:pPr>
    </w:p>
    <w:bookmarkEnd w:id="1500"/>
    <w:bookmarkEnd w:id="1501"/>
    <w:bookmarkEnd w:id="1502"/>
    <w:p w14:paraId="58BE1FA9">
      <w:pPr>
        <w:spacing w:line="360" w:lineRule="auto"/>
        <w:jc w:val="left"/>
        <w:rPr>
          <w:rFonts w:ascii="宋体" w:hAnsi="宋体"/>
          <w:color w:val="auto"/>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2653030</wp:posOffset>
                </wp:positionH>
                <wp:positionV relativeFrom="paragraph">
                  <wp:posOffset>8816340</wp:posOffset>
                </wp:positionV>
                <wp:extent cx="807720" cy="693420"/>
                <wp:effectExtent l="0" t="0" r="11430" b="11430"/>
                <wp:wrapNone/>
                <wp:docPr id="126" name="矩形 126"/>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0A390F5D"/>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8.9pt;margin-top:694.2pt;height:54.6pt;width:63.6pt;z-index:251659264;mso-width-relative:page;mso-height-relative:page;" fillcolor="#FFFFFF" filled="t" stroked="f" coordsize="21600,21600" o:gfxdata="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maITtoAAAANAQAADwAAAAAAAAABACAAAAAiAAAAZHJzL2Rvd25yZXYueG1sUEsBAhQAFAAAAAgA&#10;h07iQHwB2q8jAgAAQgQAAA4AAAAAAAAAAQAgAAAAKQEAAGRycy9lMm9Eb2MueG1sUEsFBgAAAAAG&#10;AAYAWQEAAL4FAAAAAA==&#10;">
                <v:fill on="t" focussize="0,0"/>
                <v:stroke on="f"/>
                <v:imagedata o:title=""/>
                <o:lock v:ext="edit" aspectratio="f"/>
                <v:textbox>
                  <w:txbxContent>
                    <w:p w14:paraId="0A390F5D"/>
                  </w:txbxContent>
                </v:textbox>
              </v:rect>
            </w:pict>
          </mc:Fallback>
        </mc:AlternateContent>
      </w:r>
    </w:p>
    <w:p w14:paraId="31B97A8C">
      <w:pPr>
        <w:spacing w:line="360" w:lineRule="auto"/>
        <w:rPr>
          <w:rFonts w:ascii="宋体" w:hAnsi="宋体"/>
          <w:color w:val="auto"/>
          <w:highlight w:val="none"/>
        </w:rPr>
      </w:pPr>
    </w:p>
    <w:p w14:paraId="4731E134">
      <w:pPr>
        <w:snapToGrid w:val="0"/>
        <w:spacing w:line="360" w:lineRule="auto"/>
        <w:jc w:val="center"/>
        <w:rPr>
          <w:rFonts w:ascii="宋体" w:hAnsi="宋体"/>
          <w:color w:val="auto"/>
          <w:szCs w:val="21"/>
          <w:highlight w:val="none"/>
        </w:rPr>
      </w:pPr>
    </w:p>
    <w:p w14:paraId="6E665685">
      <w:pPr>
        <w:ind w:right="561"/>
        <w:rPr>
          <w:rFonts w:ascii="宋体" w:hAnsi="宋体"/>
          <w:color w:val="auto"/>
          <w:szCs w:val="21"/>
          <w:highlight w:val="none"/>
        </w:rPr>
      </w:pPr>
      <w:r>
        <w:rPr>
          <w:rFonts w:ascii="宋体" w:hAnsi="宋体"/>
          <w:color w:val="auto"/>
          <w:sz w:val="24"/>
          <w:highlight w:val="none"/>
        </w:rPr>
        <w:br w:type="page"/>
      </w:r>
    </w:p>
    <w:p w14:paraId="7C7982ED">
      <w:pPr>
        <w:pStyle w:val="3"/>
        <w:spacing w:before="0" w:after="0" w:line="360" w:lineRule="auto"/>
        <w:jc w:val="center"/>
        <w:rPr>
          <w:rFonts w:ascii="宋体" w:hAnsi="宋体"/>
          <w:color w:val="auto"/>
          <w:sz w:val="52"/>
          <w:szCs w:val="52"/>
          <w:highlight w:val="none"/>
        </w:rPr>
      </w:pPr>
      <w:bookmarkStart w:id="1503" w:name="_Toc59810437"/>
      <w:bookmarkStart w:id="1504" w:name="_Toc8497"/>
      <w:bookmarkStart w:id="1505" w:name="_Toc534185823"/>
      <w:bookmarkStart w:id="1506" w:name="_Toc11438"/>
      <w:bookmarkStart w:id="1507" w:name="_Toc509218844"/>
      <w:bookmarkStart w:id="1508" w:name="_Toc1847"/>
      <w:bookmarkStart w:id="1509" w:name="_Toc4577"/>
      <w:bookmarkStart w:id="1510" w:name="_Toc9125"/>
      <w:r>
        <w:rPr>
          <w:rFonts w:ascii="宋体" w:hAnsi="宋体"/>
          <w:color w:val="auto"/>
          <w:sz w:val="52"/>
          <w:szCs w:val="52"/>
          <w:highlight w:val="none"/>
        </w:rPr>
        <w:t>第 二 卷</w:t>
      </w:r>
      <w:bookmarkEnd w:id="1503"/>
      <w:bookmarkEnd w:id="1504"/>
      <w:bookmarkEnd w:id="1505"/>
      <w:bookmarkEnd w:id="1506"/>
      <w:bookmarkEnd w:id="1507"/>
      <w:bookmarkEnd w:id="1508"/>
      <w:bookmarkEnd w:id="1509"/>
      <w:bookmarkEnd w:id="1510"/>
    </w:p>
    <w:p w14:paraId="226E7F53">
      <w:pPr>
        <w:spacing w:line="360" w:lineRule="auto"/>
        <w:rPr>
          <w:rFonts w:ascii="宋体" w:hAnsi="宋体"/>
          <w:color w:val="auto"/>
          <w:szCs w:val="20"/>
          <w:highlight w:val="none"/>
        </w:rPr>
      </w:pPr>
      <w:r>
        <w:rPr>
          <w:rFonts w:ascii="宋体" w:hAnsi="宋体"/>
          <w:color w:val="auto"/>
          <w:szCs w:val="20"/>
          <w:highlight w:val="none"/>
        </w:rPr>
        <w:br w:type="page"/>
      </w:r>
    </w:p>
    <w:p w14:paraId="47C6AE34">
      <w:pPr>
        <w:pStyle w:val="3"/>
        <w:spacing w:line="360" w:lineRule="auto"/>
        <w:jc w:val="center"/>
        <w:rPr>
          <w:rFonts w:ascii="宋体" w:hAnsi="宋体"/>
          <w:color w:val="auto"/>
          <w:highlight w:val="none"/>
        </w:rPr>
      </w:pPr>
      <w:bookmarkStart w:id="1511" w:name="招标文件06章图纸"/>
      <w:bookmarkEnd w:id="1511"/>
      <w:bookmarkStart w:id="1512" w:name="_Toc287620803"/>
      <w:bookmarkStart w:id="1513" w:name="_Toc287607861"/>
      <w:bookmarkStart w:id="1514" w:name="_Toc430530519"/>
      <w:bookmarkStart w:id="1515" w:name="_Toc18219"/>
      <w:bookmarkStart w:id="1516" w:name="_Toc509218846"/>
      <w:bookmarkStart w:id="1517" w:name="_Toc59810438"/>
      <w:bookmarkStart w:id="1518" w:name="_Toc30317"/>
      <w:bookmarkStart w:id="1519" w:name="_Toc534185825"/>
      <w:bookmarkStart w:id="1520" w:name="_Toc29537"/>
      <w:bookmarkStart w:id="1521" w:name="_Toc30304"/>
      <w:bookmarkStart w:id="1522" w:name="_Toc27736"/>
      <w:r>
        <w:rPr>
          <w:rFonts w:hint="eastAsia" w:ascii="宋体" w:hAnsi="宋体"/>
          <w:color w:val="auto"/>
          <w:highlight w:val="none"/>
        </w:rPr>
        <w:t>第六章  图纸</w:t>
      </w:r>
      <w:bookmarkEnd w:id="1512"/>
      <w:bookmarkEnd w:id="1513"/>
      <w:bookmarkEnd w:id="1514"/>
      <w:bookmarkEnd w:id="1515"/>
      <w:bookmarkEnd w:id="1516"/>
      <w:bookmarkEnd w:id="1517"/>
      <w:bookmarkEnd w:id="1518"/>
      <w:bookmarkEnd w:id="1519"/>
      <w:bookmarkEnd w:id="1520"/>
      <w:bookmarkEnd w:id="1521"/>
      <w:bookmarkEnd w:id="1522"/>
    </w:p>
    <w:p w14:paraId="26F149FC">
      <w:pPr>
        <w:spacing w:line="360" w:lineRule="auto"/>
        <w:jc w:val="center"/>
        <w:rPr>
          <w:rFonts w:ascii="宋体" w:hAnsi="宋体"/>
          <w:color w:val="auto"/>
          <w:szCs w:val="20"/>
          <w:highlight w:val="none"/>
        </w:rPr>
      </w:pPr>
      <w:r>
        <w:rPr>
          <w:rFonts w:hint="eastAsia" w:ascii="宋体" w:hAnsi="宋体"/>
          <w:color w:val="auto"/>
          <w:szCs w:val="20"/>
          <w:highlight w:val="none"/>
        </w:rPr>
        <w:t>在</w:t>
      </w:r>
      <w:r>
        <w:rPr>
          <w:rFonts w:hint="eastAsia" w:ascii="宋体" w:hAnsi="宋体"/>
          <w:snapToGrid w:val="0"/>
          <w:kern w:val="0"/>
          <w:szCs w:val="21"/>
          <w:highlight w:val="none"/>
          <w:u w:val="single"/>
          <w:lang w:eastAsia="zh-CN"/>
        </w:rPr>
        <w:t>垫江县人民政府网平台</w:t>
      </w:r>
      <w:r>
        <w:rPr>
          <w:rFonts w:hint="eastAsia" w:ascii="宋体" w:hAnsi="宋体"/>
          <w:color w:val="auto"/>
          <w:szCs w:val="20"/>
          <w:highlight w:val="none"/>
        </w:rPr>
        <w:t>下载。</w:t>
      </w:r>
    </w:p>
    <w:p w14:paraId="32D5CF01">
      <w:pPr>
        <w:spacing w:line="360" w:lineRule="auto"/>
        <w:rPr>
          <w:rFonts w:ascii="宋体" w:hAnsi="宋体"/>
          <w:color w:val="auto"/>
          <w:szCs w:val="20"/>
          <w:highlight w:val="none"/>
        </w:rPr>
      </w:pPr>
      <w:bookmarkStart w:id="1523" w:name="招标文件06章图纸01"/>
      <w:bookmarkEnd w:id="1523"/>
      <w:bookmarkStart w:id="1524" w:name="_Toc430530520"/>
      <w:bookmarkStart w:id="1525" w:name="_Toc287620804"/>
    </w:p>
    <w:bookmarkEnd w:id="1524"/>
    <w:bookmarkEnd w:id="1525"/>
    <w:p w14:paraId="11A091E1">
      <w:pPr>
        <w:spacing w:line="360" w:lineRule="auto"/>
        <w:rPr>
          <w:rFonts w:ascii="宋体" w:hAnsi="宋体"/>
          <w:color w:val="auto"/>
          <w:highlight w:val="none"/>
        </w:rPr>
      </w:pPr>
      <w:r>
        <w:rPr>
          <w:rFonts w:ascii="宋体" w:hAnsi="宋体"/>
          <w:color w:val="auto"/>
          <w:szCs w:val="20"/>
          <w:highlight w:val="none"/>
        </w:rPr>
        <w:br w:type="page"/>
      </w:r>
    </w:p>
    <w:p w14:paraId="280AAC97">
      <w:pPr>
        <w:pStyle w:val="3"/>
        <w:spacing w:before="0" w:after="0" w:line="360" w:lineRule="auto"/>
        <w:jc w:val="center"/>
        <w:rPr>
          <w:rFonts w:ascii="宋体" w:hAnsi="宋体"/>
          <w:color w:val="auto"/>
          <w:sz w:val="52"/>
          <w:szCs w:val="52"/>
          <w:highlight w:val="none"/>
        </w:rPr>
      </w:pPr>
      <w:bookmarkStart w:id="1526" w:name="_Toc18109"/>
      <w:bookmarkStart w:id="1527" w:name="_Toc3531"/>
      <w:bookmarkStart w:id="1528" w:name="_Toc10422"/>
      <w:bookmarkStart w:id="1529" w:name="_Toc1351"/>
      <w:bookmarkStart w:id="1530" w:name="_Toc59810439"/>
      <w:bookmarkStart w:id="1531" w:name="_Toc18053"/>
      <w:r>
        <w:rPr>
          <w:rFonts w:hint="eastAsia" w:ascii="宋体" w:hAnsi="宋体"/>
          <w:color w:val="auto"/>
          <w:sz w:val="52"/>
          <w:szCs w:val="52"/>
          <w:highlight w:val="none"/>
        </w:rPr>
        <w:t>第 三 卷</w:t>
      </w:r>
      <w:bookmarkEnd w:id="1526"/>
      <w:bookmarkEnd w:id="1527"/>
      <w:bookmarkEnd w:id="1528"/>
      <w:bookmarkEnd w:id="1529"/>
      <w:bookmarkEnd w:id="1530"/>
      <w:bookmarkEnd w:id="1531"/>
      <w:bookmarkStart w:id="1532" w:name="_Toc509218847"/>
      <w:bookmarkStart w:id="1533" w:name="_Toc536628344"/>
      <w:bookmarkStart w:id="1534" w:name="_Toc536796986"/>
      <w:bookmarkStart w:id="1535" w:name="_Toc536797390"/>
      <w:bookmarkStart w:id="1536" w:name="_Toc13211764"/>
      <w:bookmarkStart w:id="1537" w:name="_Toc534185826"/>
      <w:bookmarkStart w:id="1538" w:name="_Toc536620100"/>
      <w:bookmarkStart w:id="1539" w:name="_Toc536796850"/>
      <w:bookmarkStart w:id="1540" w:name="_Toc536797121"/>
      <w:bookmarkStart w:id="1541" w:name="_Toc13210772"/>
      <w:bookmarkStart w:id="1542" w:name="_Toc536619968"/>
      <w:bookmarkStart w:id="1543" w:name="_Toc13211206"/>
      <w:bookmarkStart w:id="1544" w:name="_Toc536797255"/>
      <w:bookmarkStart w:id="1545" w:name="_Toc536621880"/>
    </w:p>
    <w:bookmarkEnd w:id="1532"/>
    <w:p w14:paraId="242DFC07">
      <w:pPr>
        <w:rPr>
          <w:color w:val="auto"/>
          <w:highlight w:val="none"/>
        </w:rPr>
      </w:pPr>
      <w:r>
        <w:rPr>
          <w:color w:val="auto"/>
          <w:highlight w:val="none"/>
        </w:rPr>
        <w:br w:type="page"/>
      </w:r>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14:paraId="187A59BC">
      <w:pPr>
        <w:pStyle w:val="3"/>
        <w:spacing w:line="360" w:lineRule="auto"/>
        <w:jc w:val="center"/>
        <w:rPr>
          <w:rFonts w:ascii="宋体" w:hAnsi="宋体"/>
          <w:color w:val="auto"/>
          <w:highlight w:val="none"/>
        </w:rPr>
      </w:pPr>
      <w:bookmarkStart w:id="1546" w:name="招标文件07章技术标准和要求"/>
      <w:bookmarkEnd w:id="1546"/>
      <w:bookmarkStart w:id="1547" w:name="_Toc11605"/>
      <w:bookmarkStart w:id="1548" w:name="_Toc14970"/>
      <w:bookmarkStart w:id="1549" w:name="_Toc6080"/>
      <w:bookmarkStart w:id="1550" w:name="_Toc2264"/>
      <w:bookmarkStart w:id="1551" w:name="_Toc13232"/>
      <w:bookmarkStart w:id="1552" w:name="_Toc59810440"/>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1547"/>
      <w:bookmarkEnd w:id="1548"/>
      <w:bookmarkEnd w:id="1549"/>
      <w:bookmarkEnd w:id="1550"/>
      <w:bookmarkEnd w:id="1551"/>
      <w:bookmarkEnd w:id="1552"/>
      <w:bookmarkStart w:id="1553" w:name="招标文件07章技术标准和要求01"/>
      <w:bookmarkEnd w:id="1553"/>
      <w:bookmarkStart w:id="1554" w:name="_Toc287620808"/>
      <w:bookmarkStart w:id="1555" w:name="_Toc430530524"/>
    </w:p>
    <w:bookmarkEnd w:id="1554"/>
    <w:bookmarkEnd w:id="1555"/>
    <w:p w14:paraId="1E29AA55">
      <w:pPr>
        <w:spacing w:line="360" w:lineRule="auto"/>
        <w:jc w:val="center"/>
        <w:rPr>
          <w:rFonts w:ascii="宋体" w:hAnsi="宋体"/>
          <w:color w:val="auto"/>
          <w:szCs w:val="21"/>
          <w:highlight w:val="none"/>
        </w:rPr>
      </w:pPr>
      <w:r>
        <w:rPr>
          <w:rFonts w:ascii="宋体" w:hAnsi="宋体"/>
          <w:color w:val="auto"/>
          <w:szCs w:val="21"/>
          <w:highlight w:val="none"/>
        </w:rPr>
        <w:t>由招标人根据招标项目的实际情况编写</w:t>
      </w:r>
      <w:r>
        <w:rPr>
          <w:rFonts w:hint="eastAsia" w:ascii="宋体" w:hAnsi="宋体"/>
          <w:color w:val="auto"/>
          <w:szCs w:val="21"/>
          <w:highlight w:val="none"/>
        </w:rPr>
        <w:t>。</w:t>
      </w:r>
    </w:p>
    <w:p w14:paraId="0A7EF0C9">
      <w:pPr>
        <w:spacing w:line="360" w:lineRule="auto"/>
        <w:rPr>
          <w:rFonts w:ascii="宋体" w:hAnsi="宋体"/>
          <w:color w:val="auto"/>
          <w:highlight w:val="none"/>
        </w:rPr>
      </w:pPr>
      <w:r>
        <w:rPr>
          <w:rFonts w:ascii="宋体" w:hAnsi="宋体"/>
          <w:color w:val="auto"/>
          <w:highlight w:val="none"/>
        </w:rPr>
        <w:br w:type="page"/>
      </w:r>
    </w:p>
    <w:p w14:paraId="54373ABB">
      <w:pPr>
        <w:pStyle w:val="3"/>
        <w:spacing w:before="0" w:after="0" w:line="360" w:lineRule="auto"/>
        <w:jc w:val="center"/>
        <w:rPr>
          <w:rFonts w:ascii="宋体" w:hAnsi="宋体"/>
          <w:color w:val="auto"/>
          <w:sz w:val="52"/>
          <w:szCs w:val="52"/>
          <w:highlight w:val="none"/>
        </w:rPr>
      </w:pPr>
      <w:bookmarkStart w:id="1556" w:name="_Toc13893"/>
      <w:bookmarkStart w:id="1557" w:name="_Toc23601"/>
      <w:bookmarkStart w:id="1558" w:name="_Toc534185827"/>
      <w:bookmarkStart w:id="1559" w:name="_Toc23818"/>
      <w:bookmarkStart w:id="1560" w:name="_Toc509218849"/>
      <w:bookmarkStart w:id="1561" w:name="_Toc2015"/>
      <w:bookmarkStart w:id="1562" w:name="_Toc59810441"/>
      <w:bookmarkStart w:id="1563" w:name="_Toc25459"/>
      <w:r>
        <w:rPr>
          <w:rFonts w:ascii="宋体" w:hAnsi="宋体"/>
          <w:color w:val="auto"/>
          <w:sz w:val="52"/>
          <w:szCs w:val="52"/>
          <w:highlight w:val="none"/>
        </w:rPr>
        <w:t>第 四 卷</w:t>
      </w:r>
      <w:bookmarkEnd w:id="1556"/>
      <w:bookmarkEnd w:id="1557"/>
      <w:bookmarkEnd w:id="1558"/>
      <w:bookmarkEnd w:id="1559"/>
      <w:bookmarkEnd w:id="1560"/>
      <w:bookmarkEnd w:id="1561"/>
      <w:bookmarkEnd w:id="1562"/>
      <w:bookmarkEnd w:id="1563"/>
      <w:bookmarkStart w:id="1564" w:name="_Toc536797124"/>
      <w:bookmarkStart w:id="1565" w:name="_Toc534185828"/>
      <w:bookmarkStart w:id="1566" w:name="_Toc536796989"/>
      <w:bookmarkStart w:id="1567" w:name="_Toc536619970"/>
      <w:bookmarkStart w:id="1568" w:name="_Toc536621883"/>
      <w:bookmarkStart w:id="1569" w:name="_Toc13211209"/>
      <w:bookmarkStart w:id="1570" w:name="_Toc13210775"/>
      <w:bookmarkStart w:id="1571" w:name="_Toc13211767"/>
      <w:bookmarkStart w:id="1572" w:name="_Toc536796853"/>
      <w:bookmarkStart w:id="1573" w:name="_Toc536797393"/>
      <w:bookmarkStart w:id="1574" w:name="_Toc536628347"/>
      <w:bookmarkStart w:id="1575" w:name="_Toc536620102"/>
      <w:bookmarkStart w:id="1576" w:name="_Toc536797258"/>
      <w:bookmarkStart w:id="1577" w:name="_Toc509218850"/>
    </w:p>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p w14:paraId="665983E6">
      <w:pPr>
        <w:pStyle w:val="3"/>
        <w:spacing w:line="360" w:lineRule="auto"/>
        <w:jc w:val="center"/>
        <w:rPr>
          <w:rFonts w:ascii="宋体" w:hAnsi="宋体"/>
          <w:color w:val="auto"/>
          <w:highlight w:val="none"/>
        </w:rPr>
      </w:pPr>
      <w:r>
        <w:rPr>
          <w:color w:val="auto"/>
          <w:highlight w:val="none"/>
        </w:rPr>
        <w:br w:type="page"/>
      </w:r>
      <w:bookmarkStart w:id="1578" w:name="招标文件08章投标文件格式"/>
      <w:bookmarkEnd w:id="1578"/>
      <w:bookmarkStart w:id="1579" w:name="_Toc913"/>
      <w:bookmarkStart w:id="1580" w:name="_Toc21247"/>
      <w:bookmarkStart w:id="1581" w:name="_Toc33106471"/>
      <w:bookmarkStart w:id="1582" w:name="_Toc24209"/>
      <w:bookmarkStart w:id="1583" w:name="_Toc10913"/>
      <w:bookmarkStart w:id="1584" w:name="_Toc25518"/>
      <w:bookmarkStart w:id="1585" w:name="_Toc59810442"/>
      <w:bookmarkStart w:id="1586" w:name="_Toc287607865"/>
      <w:bookmarkStart w:id="1587" w:name="_Toc287620812"/>
      <w:r>
        <w:rPr>
          <w:rFonts w:hint="eastAsia" w:ascii="宋体" w:hAnsi="宋体"/>
          <w:color w:val="auto"/>
          <w:highlight w:val="none"/>
        </w:rPr>
        <w:t>第八章  投标文件格式</w:t>
      </w:r>
      <w:bookmarkEnd w:id="1579"/>
      <w:bookmarkEnd w:id="1580"/>
      <w:bookmarkEnd w:id="1581"/>
      <w:bookmarkEnd w:id="1582"/>
      <w:bookmarkEnd w:id="1583"/>
      <w:bookmarkEnd w:id="1584"/>
      <w:bookmarkEnd w:id="1585"/>
    </w:p>
    <w:p w14:paraId="7623A038">
      <w:pPr>
        <w:spacing w:line="360" w:lineRule="auto"/>
        <w:rPr>
          <w:rFonts w:ascii="宋体" w:hAnsi="宋体"/>
          <w:color w:val="auto"/>
          <w:sz w:val="32"/>
          <w:szCs w:val="32"/>
          <w:highlight w:val="none"/>
        </w:rPr>
      </w:pPr>
    </w:p>
    <w:p w14:paraId="3B20AA59">
      <w:pPr>
        <w:spacing w:line="360" w:lineRule="auto"/>
        <w:jc w:val="center"/>
        <w:rPr>
          <w:rFonts w:ascii="宋体" w:hAnsi="宋体"/>
          <w:color w:val="auto"/>
          <w:sz w:val="36"/>
          <w:szCs w:val="36"/>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3" name="矩形 118"/>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70E1929D"/>
                        </w:txbxContent>
                      </wps:txbx>
                      <wps:bodyPr wrap="square" upright="1"/>
                    </wps:wsp>
                  </a:graphicData>
                </a:graphic>
              </wp:anchor>
            </w:drawing>
          </mc:Choice>
          <mc:Fallback>
            <w:pict>
              <v:rect id="矩形 118" o:spid="_x0000_s1026" o:spt="1" style="position:absolute;left:0pt;margin-left:186.25pt;margin-top:666.6pt;height:54.6pt;width:63.6pt;z-index:251662336;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75eqfaAAAADQEAAA8AAAAAAAAAAQAgAAAAIgAAAGRycy9kb3ducmV2&#10;LnhtbFBLAQIUABQAAAAIAIdO4kBeuR83wQEAAHkDAAAOAAAAAAAAAAEAIAAAACkBAABkcnMvZTJv&#10;RG9jLnhtbFBLBQYAAAAABgAGAFkBAABcBQAAAAA=&#10;">
                <v:fill on="t" focussize="0,0"/>
                <v:stroke on="f"/>
                <v:imagedata o:title=""/>
                <o:lock v:ext="edit" aspectratio="f"/>
                <v:textbox>
                  <w:txbxContent>
                    <w:p w14:paraId="70E1929D"/>
                  </w:txbxContent>
                </v:textbox>
              </v:rect>
            </w:pict>
          </mc:Fallback>
        </mc:AlternateContent>
      </w:r>
      <w:r>
        <w:rPr>
          <w:rFonts w:ascii="宋体" w:hAnsi="宋体"/>
          <w:color w:val="auto"/>
          <w:szCs w:val="20"/>
          <w:highlight w:val="none"/>
        </w:rPr>
        <w:br w:type="page"/>
      </w:r>
      <w:r>
        <w:rPr>
          <w:rFonts w:hint="eastAsia" w:ascii="宋体" w:hAnsi="宋体"/>
          <w:color w:val="auto"/>
          <w:sz w:val="36"/>
          <w:szCs w:val="36"/>
          <w:highlight w:val="none"/>
        </w:rPr>
        <w:t>目  录</w:t>
      </w:r>
    </w:p>
    <w:p w14:paraId="45602E03">
      <w:pPr>
        <w:spacing w:line="360" w:lineRule="auto"/>
        <w:jc w:val="center"/>
        <w:rPr>
          <w:rFonts w:ascii="宋体" w:hAnsi="宋体"/>
          <w:color w:val="auto"/>
          <w:szCs w:val="20"/>
          <w:highlight w:val="none"/>
        </w:rPr>
      </w:pPr>
    </w:p>
    <w:p w14:paraId="00DA6D45">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、投标函部分</w:t>
      </w:r>
    </w:p>
    <w:p w14:paraId="3BACE309">
      <w:pPr>
        <w:spacing w:line="360" w:lineRule="auto"/>
        <w:ind w:firstLine="420" w:firstLineChars="200"/>
        <w:rPr>
          <w:rFonts w:ascii="宋体" w:hAnsi="宋体"/>
          <w:color w:val="auto"/>
          <w:highlight w:val="none"/>
        </w:rPr>
      </w:pPr>
      <w:r>
        <w:rPr>
          <w:rFonts w:ascii="宋体" w:hAnsi="宋体"/>
          <w:color w:val="auto"/>
          <w:highlight w:val="none"/>
        </w:rPr>
        <w:t>（一）投标函</w:t>
      </w:r>
    </w:p>
    <w:p w14:paraId="763AC208">
      <w:pPr>
        <w:spacing w:line="360" w:lineRule="auto"/>
        <w:ind w:firstLine="420" w:firstLineChars="200"/>
        <w:rPr>
          <w:rFonts w:ascii="宋体" w:hAnsi="宋体"/>
          <w:color w:val="auto"/>
          <w:highlight w:val="none"/>
        </w:rPr>
      </w:pPr>
      <w:r>
        <w:rPr>
          <w:rFonts w:ascii="宋体" w:hAnsi="宋体"/>
          <w:color w:val="auto"/>
          <w:highlight w:val="none"/>
        </w:rPr>
        <w:t>（二）投标函附录</w:t>
      </w:r>
    </w:p>
    <w:p w14:paraId="3F726909">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w:t>
      </w:r>
      <w:r>
        <w:rPr>
          <w:rFonts w:hint="eastAsia" w:ascii="宋体" w:hAnsi="宋体"/>
          <w:highlight w:val="none"/>
          <w:lang w:val="en-US" w:eastAsia="zh-CN"/>
        </w:rPr>
        <w:t>投标报价合理性说明</w:t>
      </w:r>
      <w:r>
        <w:rPr>
          <w:rFonts w:hint="eastAsia" w:ascii="宋体" w:hAnsi="宋体"/>
          <w:color w:val="auto"/>
          <w:highlight w:val="none"/>
        </w:rPr>
        <w:t>（如有）</w:t>
      </w:r>
    </w:p>
    <w:p w14:paraId="64C3DA26">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）法定代表人身份证明</w:t>
      </w:r>
      <w:r>
        <w:rPr>
          <w:rFonts w:hint="eastAsia" w:ascii="宋体" w:hAnsi="宋体"/>
          <w:color w:val="auto"/>
          <w:highlight w:val="none"/>
        </w:rPr>
        <w:t>或</w:t>
      </w:r>
      <w:r>
        <w:rPr>
          <w:rFonts w:ascii="宋体" w:hAnsi="宋体"/>
          <w:color w:val="auto"/>
          <w:highlight w:val="none"/>
        </w:rPr>
        <w:t>授权委托书</w:t>
      </w:r>
    </w:p>
    <w:p w14:paraId="4A1085DD">
      <w:pPr>
        <w:spacing w:line="360" w:lineRule="auto"/>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w:t>
      </w:r>
      <w:r>
        <w:rPr>
          <w:rFonts w:hint="eastAsia" w:ascii="宋体" w:hAnsi="宋体"/>
          <w:b/>
          <w:color w:val="auto"/>
          <w:highlight w:val="none"/>
          <w:lang w:val="en-US" w:eastAsia="zh-CN"/>
        </w:rPr>
        <w:t>报价</w:t>
      </w:r>
      <w:r>
        <w:rPr>
          <w:rFonts w:ascii="宋体" w:hAnsi="宋体"/>
          <w:b/>
          <w:color w:val="auto"/>
          <w:highlight w:val="none"/>
        </w:rPr>
        <w:t>部分</w:t>
      </w:r>
    </w:p>
    <w:p w14:paraId="704C3421">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14:paraId="67D776D8">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w:t>
      </w:r>
      <w:r>
        <w:rPr>
          <w:rFonts w:hint="eastAsia" w:ascii="宋体" w:hAnsi="宋体"/>
          <w:b/>
          <w:color w:val="auto"/>
          <w:highlight w:val="none"/>
        </w:rPr>
        <w:t>资格审查部分</w:t>
      </w:r>
    </w:p>
    <w:p w14:paraId="3700D2E4">
      <w:pPr>
        <w:spacing w:line="360" w:lineRule="auto"/>
        <w:ind w:firstLine="420" w:firstLineChars="200"/>
        <w:rPr>
          <w:rFonts w:ascii="宋体" w:hAnsi="宋体"/>
          <w:color w:val="auto"/>
          <w:highlight w:val="none"/>
        </w:rPr>
      </w:pPr>
      <w:r>
        <w:rPr>
          <w:rFonts w:ascii="宋体" w:hAnsi="宋体"/>
          <w:color w:val="auto"/>
          <w:highlight w:val="none"/>
        </w:rPr>
        <w:t>（一）法定代表人身份证明或授权委托书</w:t>
      </w:r>
    </w:p>
    <w:p w14:paraId="4B875A7A">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承诺</w:t>
      </w:r>
    </w:p>
    <w:p w14:paraId="710424C5">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）其他资料</w:t>
      </w:r>
    </w:p>
    <w:p w14:paraId="17E0BCB1">
      <w:pPr>
        <w:autoSpaceDE w:val="0"/>
        <w:autoSpaceDN w:val="0"/>
        <w:adjustRightInd w:val="0"/>
        <w:spacing w:line="276" w:lineRule="auto"/>
        <w:ind w:right="-23"/>
        <w:jc w:val="left"/>
        <w:rPr>
          <w:rFonts w:ascii="宋体" w:hAnsi="宋体"/>
          <w:color w:val="auto"/>
          <w:kern w:val="0"/>
          <w:szCs w:val="21"/>
          <w:highlight w:val="none"/>
          <w:u w:val="single"/>
        </w:rPr>
      </w:pPr>
      <w:r>
        <w:rPr>
          <w:rFonts w:ascii="宋体" w:hAnsi="宋体"/>
          <w:b/>
          <w:color w:val="auto"/>
          <w:kern w:val="0"/>
          <w:sz w:val="24"/>
          <w:highlight w:val="none"/>
        </w:rPr>
        <w:br w:type="page"/>
      </w:r>
    </w:p>
    <w:p w14:paraId="0D3D365A">
      <w:pPr>
        <w:pStyle w:val="4"/>
        <w:spacing w:line="360" w:lineRule="auto"/>
        <w:jc w:val="center"/>
        <w:rPr>
          <w:rFonts w:ascii="宋体" w:hAnsi="宋体"/>
          <w:b w:val="0"/>
          <w:bCs w:val="0"/>
          <w:color w:val="auto"/>
          <w:sz w:val="44"/>
          <w:szCs w:val="44"/>
          <w:highlight w:val="none"/>
        </w:rPr>
      </w:pPr>
      <w:bookmarkStart w:id="1588" w:name="_Toc9795"/>
      <w:bookmarkStart w:id="1589" w:name="_Toc25973"/>
      <w:bookmarkStart w:id="1590" w:name="_Toc59810443"/>
      <w:bookmarkStart w:id="1591" w:name="_Toc26003"/>
      <w:bookmarkStart w:id="1592" w:name="_Toc33106472"/>
      <w:bookmarkStart w:id="1593" w:name="_Toc28440"/>
      <w:bookmarkStart w:id="1594" w:name="_Toc5495"/>
      <w:r>
        <w:rPr>
          <w:rFonts w:hint="eastAsia" w:ascii="宋体" w:hAnsi="宋体"/>
          <w:b w:val="0"/>
          <w:bCs w:val="0"/>
          <w:color w:val="auto"/>
          <w:sz w:val="44"/>
          <w:szCs w:val="44"/>
          <w:highlight w:val="none"/>
        </w:rPr>
        <w:t>一、投标函部分</w:t>
      </w:r>
      <w:bookmarkEnd w:id="1588"/>
      <w:bookmarkEnd w:id="1589"/>
      <w:bookmarkEnd w:id="1590"/>
      <w:bookmarkEnd w:id="1591"/>
      <w:bookmarkEnd w:id="1592"/>
      <w:bookmarkEnd w:id="1593"/>
      <w:bookmarkEnd w:id="1594"/>
    </w:p>
    <w:p w14:paraId="19ECB23F">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0057DDD">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E541CE2">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22C3119">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0DE59A4A">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61B3FE6B">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AF6732A">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011EADE">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0D82C03B">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4D9D38A3">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8E62792">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09C2B0D3">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64781AEC">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62520AE">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43ED3CEF">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B1F717B">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ED12E41">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173564A">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5EB9EEE3">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1A64AF81">
      <w:pPr>
        <w:spacing w:line="360" w:lineRule="auto"/>
        <w:jc w:val="center"/>
        <w:rPr>
          <w:rFonts w:ascii="宋体" w:hAnsi="宋体"/>
          <w:color w:val="auto"/>
          <w:kern w:val="0"/>
          <w:sz w:val="32"/>
          <w:szCs w:val="32"/>
          <w:highlight w:val="none"/>
          <w:u w:val="single"/>
        </w:rPr>
      </w:pPr>
      <w:r>
        <w:rPr>
          <w:rFonts w:hint="eastAsia" w:ascii="宋体" w:hAnsi="宋体"/>
          <w:color w:val="auto"/>
          <w:kern w:val="0"/>
          <w:sz w:val="32"/>
          <w:szCs w:val="32"/>
          <w:highlight w:val="none"/>
          <w:u w:val="single"/>
        </w:rPr>
        <w:t xml:space="preserve">                   （项目名称）</w:t>
      </w:r>
      <w:r>
        <w:rPr>
          <w:rFonts w:hint="eastAsia" w:ascii="宋体" w:hAnsi="宋体"/>
          <w:color w:val="auto"/>
          <w:w w:val="99"/>
          <w:kern w:val="0"/>
          <w:sz w:val="32"/>
          <w:szCs w:val="32"/>
          <w:highlight w:val="none"/>
          <w:u w:val="single"/>
        </w:rPr>
        <w:t xml:space="preserve"> </w:t>
      </w:r>
    </w:p>
    <w:p w14:paraId="3BE0C96C">
      <w:pPr>
        <w:spacing w:line="360" w:lineRule="auto"/>
        <w:jc w:val="center"/>
        <w:rPr>
          <w:rFonts w:ascii="宋体" w:hAnsi="宋体"/>
          <w:color w:val="auto"/>
          <w:kern w:val="0"/>
          <w:sz w:val="44"/>
          <w:szCs w:val="44"/>
          <w:highlight w:val="none"/>
        </w:rPr>
      </w:pPr>
    </w:p>
    <w:p w14:paraId="30CCD2D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AA6058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60B209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8FE30F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4E0A88F">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1CAAB93B">
      <w:pPr>
        <w:autoSpaceDE w:val="0"/>
        <w:autoSpaceDN w:val="0"/>
        <w:adjustRightInd w:val="0"/>
        <w:snapToGrid w:val="0"/>
        <w:spacing w:line="360" w:lineRule="auto"/>
        <w:jc w:val="left"/>
        <w:rPr>
          <w:rFonts w:ascii="宋体" w:hAnsi="宋体"/>
          <w:color w:val="auto"/>
          <w:kern w:val="0"/>
          <w:sz w:val="16"/>
          <w:szCs w:val="16"/>
          <w:highlight w:val="none"/>
        </w:rPr>
      </w:pPr>
    </w:p>
    <w:p w14:paraId="7460033F">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14:paraId="74AF7A1E">
      <w:pPr>
        <w:autoSpaceDE w:val="0"/>
        <w:autoSpaceDN w:val="0"/>
        <w:adjustRightInd w:val="0"/>
        <w:snapToGrid w:val="0"/>
        <w:spacing w:line="360" w:lineRule="auto"/>
        <w:jc w:val="left"/>
        <w:rPr>
          <w:rFonts w:ascii="宋体" w:hAnsi="宋体"/>
          <w:b/>
          <w:color w:val="auto"/>
          <w:kern w:val="0"/>
          <w:sz w:val="20"/>
          <w:szCs w:val="20"/>
          <w:highlight w:val="none"/>
        </w:rPr>
      </w:pPr>
    </w:p>
    <w:p w14:paraId="42CD28FE">
      <w:pPr>
        <w:autoSpaceDE w:val="0"/>
        <w:autoSpaceDN w:val="0"/>
        <w:adjustRightInd w:val="0"/>
        <w:snapToGrid w:val="0"/>
        <w:spacing w:line="360" w:lineRule="auto"/>
        <w:jc w:val="left"/>
        <w:rPr>
          <w:rFonts w:ascii="宋体" w:hAnsi="宋体"/>
          <w:b/>
          <w:color w:val="auto"/>
          <w:kern w:val="0"/>
          <w:sz w:val="20"/>
          <w:szCs w:val="20"/>
          <w:highlight w:val="none"/>
        </w:rPr>
      </w:pPr>
    </w:p>
    <w:p w14:paraId="1EDFDC0E">
      <w:pPr>
        <w:autoSpaceDE w:val="0"/>
        <w:autoSpaceDN w:val="0"/>
        <w:adjustRightInd w:val="0"/>
        <w:snapToGrid w:val="0"/>
        <w:spacing w:line="360" w:lineRule="auto"/>
        <w:jc w:val="left"/>
        <w:rPr>
          <w:rFonts w:ascii="宋体" w:hAnsi="宋体"/>
          <w:b/>
          <w:color w:val="auto"/>
          <w:kern w:val="0"/>
          <w:sz w:val="20"/>
          <w:szCs w:val="20"/>
          <w:highlight w:val="none"/>
        </w:rPr>
      </w:pPr>
    </w:p>
    <w:p w14:paraId="2D69185D">
      <w:pPr>
        <w:autoSpaceDE w:val="0"/>
        <w:autoSpaceDN w:val="0"/>
        <w:adjustRightInd w:val="0"/>
        <w:snapToGrid w:val="0"/>
        <w:spacing w:line="360" w:lineRule="auto"/>
        <w:jc w:val="left"/>
        <w:rPr>
          <w:rFonts w:ascii="宋体" w:hAnsi="宋体"/>
          <w:b/>
          <w:color w:val="auto"/>
          <w:kern w:val="0"/>
          <w:sz w:val="20"/>
          <w:szCs w:val="20"/>
          <w:highlight w:val="none"/>
        </w:rPr>
      </w:pPr>
    </w:p>
    <w:p w14:paraId="08B93D3C">
      <w:pPr>
        <w:autoSpaceDE w:val="0"/>
        <w:autoSpaceDN w:val="0"/>
        <w:adjustRightInd w:val="0"/>
        <w:snapToGrid w:val="0"/>
        <w:spacing w:line="360" w:lineRule="auto"/>
        <w:jc w:val="left"/>
        <w:rPr>
          <w:rFonts w:ascii="宋体" w:hAnsi="宋体"/>
          <w:b/>
          <w:color w:val="auto"/>
          <w:kern w:val="0"/>
          <w:sz w:val="20"/>
          <w:szCs w:val="20"/>
          <w:highlight w:val="none"/>
        </w:rPr>
      </w:pPr>
    </w:p>
    <w:p w14:paraId="5E7481AD">
      <w:pPr>
        <w:autoSpaceDE w:val="0"/>
        <w:autoSpaceDN w:val="0"/>
        <w:adjustRightInd w:val="0"/>
        <w:snapToGrid w:val="0"/>
        <w:spacing w:line="360" w:lineRule="auto"/>
        <w:jc w:val="left"/>
        <w:rPr>
          <w:rFonts w:ascii="宋体" w:hAnsi="宋体"/>
          <w:b/>
          <w:color w:val="auto"/>
          <w:kern w:val="0"/>
          <w:sz w:val="20"/>
          <w:szCs w:val="20"/>
          <w:highlight w:val="none"/>
        </w:rPr>
      </w:pPr>
    </w:p>
    <w:p w14:paraId="3473128C">
      <w:pPr>
        <w:autoSpaceDE w:val="0"/>
        <w:autoSpaceDN w:val="0"/>
        <w:adjustRightInd w:val="0"/>
        <w:snapToGrid w:val="0"/>
        <w:spacing w:line="360" w:lineRule="auto"/>
        <w:jc w:val="left"/>
        <w:rPr>
          <w:rFonts w:ascii="宋体" w:hAnsi="宋体"/>
          <w:b/>
          <w:color w:val="auto"/>
          <w:kern w:val="0"/>
          <w:sz w:val="20"/>
          <w:szCs w:val="20"/>
          <w:highlight w:val="none"/>
        </w:rPr>
      </w:pPr>
    </w:p>
    <w:p w14:paraId="0CF27A1D">
      <w:pPr>
        <w:autoSpaceDE w:val="0"/>
        <w:autoSpaceDN w:val="0"/>
        <w:adjustRightInd w:val="0"/>
        <w:snapToGrid w:val="0"/>
        <w:spacing w:line="360" w:lineRule="auto"/>
        <w:jc w:val="left"/>
        <w:rPr>
          <w:rFonts w:ascii="宋体" w:hAnsi="宋体"/>
          <w:b/>
          <w:color w:val="auto"/>
          <w:kern w:val="0"/>
          <w:sz w:val="20"/>
          <w:szCs w:val="20"/>
          <w:highlight w:val="none"/>
        </w:rPr>
      </w:pPr>
    </w:p>
    <w:p w14:paraId="45B3DAFE">
      <w:pPr>
        <w:autoSpaceDE w:val="0"/>
        <w:autoSpaceDN w:val="0"/>
        <w:adjustRightInd w:val="0"/>
        <w:snapToGrid w:val="0"/>
        <w:spacing w:line="360" w:lineRule="auto"/>
        <w:jc w:val="left"/>
        <w:rPr>
          <w:rFonts w:ascii="宋体" w:hAnsi="宋体"/>
          <w:b/>
          <w:color w:val="auto"/>
          <w:kern w:val="0"/>
          <w:sz w:val="20"/>
          <w:szCs w:val="20"/>
          <w:highlight w:val="none"/>
        </w:rPr>
      </w:pPr>
    </w:p>
    <w:p w14:paraId="56A9CD8F">
      <w:pPr>
        <w:autoSpaceDE w:val="0"/>
        <w:autoSpaceDN w:val="0"/>
        <w:adjustRightInd w:val="0"/>
        <w:snapToGrid w:val="0"/>
        <w:spacing w:line="360" w:lineRule="auto"/>
        <w:jc w:val="left"/>
        <w:rPr>
          <w:rFonts w:ascii="宋体" w:hAnsi="宋体"/>
          <w:b/>
          <w:color w:val="auto"/>
          <w:kern w:val="0"/>
          <w:sz w:val="20"/>
          <w:szCs w:val="20"/>
          <w:highlight w:val="none"/>
        </w:rPr>
      </w:pPr>
    </w:p>
    <w:p w14:paraId="07865A46">
      <w:pPr>
        <w:autoSpaceDE w:val="0"/>
        <w:autoSpaceDN w:val="0"/>
        <w:adjustRightInd w:val="0"/>
        <w:snapToGrid w:val="0"/>
        <w:spacing w:line="360" w:lineRule="auto"/>
        <w:jc w:val="left"/>
        <w:rPr>
          <w:rFonts w:ascii="宋体" w:hAnsi="宋体"/>
          <w:b/>
          <w:color w:val="auto"/>
          <w:kern w:val="0"/>
          <w:sz w:val="20"/>
          <w:szCs w:val="20"/>
          <w:highlight w:val="none"/>
        </w:rPr>
      </w:pPr>
    </w:p>
    <w:p w14:paraId="3D3BB6B0">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78E888F">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p>
    <w:p w14:paraId="391693F5">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0728FEDC">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731E6769">
      <w:pPr>
        <w:autoSpaceDE w:val="0"/>
        <w:autoSpaceDN w:val="0"/>
        <w:adjustRightInd w:val="0"/>
        <w:snapToGrid w:val="0"/>
        <w:spacing w:line="360" w:lineRule="auto"/>
        <w:jc w:val="left"/>
        <w:rPr>
          <w:rFonts w:ascii="宋体" w:hAnsi="宋体"/>
          <w:color w:val="auto"/>
          <w:kern w:val="0"/>
          <w:sz w:val="24"/>
          <w:szCs w:val="21"/>
          <w:highlight w:val="none"/>
        </w:rPr>
      </w:pPr>
    </w:p>
    <w:p w14:paraId="40BF8345">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14:paraId="28F49BE8">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（二）投标函附录</w:t>
      </w:r>
    </w:p>
    <w:p w14:paraId="01F6B9AA">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lang w:val="en-US" w:eastAsia="zh-CN"/>
        </w:rPr>
        <w:t>三</w:t>
      </w:r>
      <w:r>
        <w:rPr>
          <w:rFonts w:ascii="宋体" w:hAnsi="宋体"/>
          <w:color w:val="auto"/>
          <w:kern w:val="0"/>
          <w:sz w:val="24"/>
          <w:highlight w:val="none"/>
        </w:rPr>
        <w:t>）</w:t>
      </w:r>
      <w:r>
        <w:rPr>
          <w:rFonts w:hint="eastAsia" w:ascii="宋体" w:hAnsi="宋体"/>
          <w:kern w:val="0"/>
          <w:sz w:val="24"/>
          <w:highlight w:val="none"/>
        </w:rPr>
        <w:t>投标报价合理性说明</w:t>
      </w:r>
      <w:r>
        <w:rPr>
          <w:rFonts w:hint="eastAsia" w:ascii="宋体" w:hAnsi="宋体"/>
          <w:color w:val="auto"/>
          <w:kern w:val="0"/>
          <w:sz w:val="24"/>
          <w:highlight w:val="none"/>
        </w:rPr>
        <w:t>（如有）</w:t>
      </w:r>
    </w:p>
    <w:p w14:paraId="00C3B829">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lang w:val="en-US" w:eastAsia="zh-CN"/>
        </w:rPr>
        <w:t>四</w:t>
      </w:r>
      <w:r>
        <w:rPr>
          <w:rFonts w:ascii="宋体" w:hAnsi="宋体"/>
          <w:color w:val="auto"/>
          <w:kern w:val="0"/>
          <w:sz w:val="24"/>
          <w:highlight w:val="none"/>
        </w:rPr>
        <w:t>）法定代表人身份证明或授权委托书</w:t>
      </w:r>
    </w:p>
    <w:p w14:paraId="32A270E8">
      <w:pPr>
        <w:autoSpaceDE w:val="0"/>
        <w:autoSpaceDN w:val="0"/>
        <w:adjustRightInd w:val="0"/>
        <w:spacing w:line="360" w:lineRule="auto"/>
        <w:ind w:firstLine="480" w:firstLineChars="200"/>
        <w:jc w:val="left"/>
        <w:rPr>
          <w:rFonts w:ascii="宋体" w:hAnsi="宋体"/>
          <w:color w:val="auto"/>
          <w:kern w:val="0"/>
          <w:sz w:val="24"/>
          <w:highlight w:val="none"/>
        </w:rPr>
      </w:pPr>
    </w:p>
    <w:p w14:paraId="30D81C00">
      <w:pPr>
        <w:autoSpaceDE w:val="0"/>
        <w:autoSpaceDN w:val="0"/>
        <w:adjustRightInd w:val="0"/>
        <w:snapToGrid w:val="0"/>
        <w:spacing w:line="360" w:lineRule="auto"/>
        <w:jc w:val="left"/>
        <w:rPr>
          <w:rFonts w:ascii="宋体" w:hAnsi="宋体"/>
          <w:color w:val="auto"/>
          <w:kern w:val="0"/>
          <w:szCs w:val="21"/>
          <w:highlight w:val="none"/>
        </w:rPr>
      </w:pPr>
    </w:p>
    <w:p w14:paraId="2FF36F86">
      <w:pPr>
        <w:autoSpaceDE w:val="0"/>
        <w:autoSpaceDN w:val="0"/>
        <w:adjustRightInd w:val="0"/>
        <w:snapToGrid w:val="0"/>
        <w:spacing w:line="360" w:lineRule="auto"/>
        <w:jc w:val="left"/>
        <w:rPr>
          <w:rFonts w:ascii="宋体" w:hAnsi="宋体"/>
          <w:color w:val="auto"/>
          <w:kern w:val="0"/>
          <w:szCs w:val="21"/>
          <w:highlight w:val="none"/>
        </w:rPr>
      </w:pPr>
    </w:p>
    <w:p w14:paraId="04570A7B">
      <w:pPr>
        <w:autoSpaceDE w:val="0"/>
        <w:autoSpaceDN w:val="0"/>
        <w:adjustRightInd w:val="0"/>
        <w:snapToGrid w:val="0"/>
        <w:spacing w:line="360" w:lineRule="auto"/>
        <w:jc w:val="left"/>
        <w:rPr>
          <w:rFonts w:ascii="宋体" w:hAnsi="宋体"/>
          <w:color w:val="auto"/>
          <w:kern w:val="0"/>
          <w:szCs w:val="21"/>
          <w:highlight w:val="none"/>
        </w:rPr>
      </w:pPr>
    </w:p>
    <w:p w14:paraId="760BA468">
      <w:pPr>
        <w:autoSpaceDE w:val="0"/>
        <w:autoSpaceDN w:val="0"/>
        <w:adjustRightInd w:val="0"/>
        <w:snapToGrid w:val="0"/>
        <w:spacing w:line="360" w:lineRule="auto"/>
        <w:jc w:val="left"/>
        <w:rPr>
          <w:rFonts w:ascii="宋体" w:hAnsi="宋体"/>
          <w:color w:val="auto"/>
          <w:kern w:val="0"/>
          <w:highlight w:val="none"/>
        </w:rPr>
      </w:pPr>
    </w:p>
    <w:p w14:paraId="2CA66B6F">
      <w:pPr>
        <w:autoSpaceDE w:val="0"/>
        <w:autoSpaceDN w:val="0"/>
        <w:adjustRightInd w:val="0"/>
        <w:snapToGrid w:val="0"/>
        <w:spacing w:line="360" w:lineRule="auto"/>
        <w:jc w:val="left"/>
        <w:rPr>
          <w:rFonts w:ascii="宋体" w:hAnsi="宋体"/>
          <w:color w:val="auto"/>
          <w:kern w:val="0"/>
          <w:highlight w:val="none"/>
        </w:rPr>
      </w:pPr>
    </w:p>
    <w:p w14:paraId="06CFC06D">
      <w:pPr>
        <w:autoSpaceDE w:val="0"/>
        <w:autoSpaceDN w:val="0"/>
        <w:adjustRightInd w:val="0"/>
        <w:snapToGrid w:val="0"/>
        <w:spacing w:line="360" w:lineRule="auto"/>
        <w:jc w:val="left"/>
        <w:rPr>
          <w:rFonts w:ascii="宋体" w:hAnsi="宋体"/>
          <w:color w:val="auto"/>
          <w:kern w:val="0"/>
          <w:highlight w:val="none"/>
        </w:rPr>
      </w:pPr>
    </w:p>
    <w:p w14:paraId="0DB7805C">
      <w:pPr>
        <w:autoSpaceDE w:val="0"/>
        <w:autoSpaceDN w:val="0"/>
        <w:adjustRightInd w:val="0"/>
        <w:snapToGrid w:val="0"/>
        <w:spacing w:line="360" w:lineRule="auto"/>
        <w:jc w:val="left"/>
        <w:rPr>
          <w:rFonts w:ascii="宋体" w:hAnsi="宋体"/>
          <w:color w:val="auto"/>
          <w:kern w:val="0"/>
          <w:highlight w:val="none"/>
        </w:rPr>
      </w:pPr>
    </w:p>
    <w:p w14:paraId="3154AB0B">
      <w:pPr>
        <w:autoSpaceDE w:val="0"/>
        <w:autoSpaceDN w:val="0"/>
        <w:adjustRightInd w:val="0"/>
        <w:snapToGrid w:val="0"/>
        <w:spacing w:line="360" w:lineRule="auto"/>
        <w:jc w:val="left"/>
        <w:rPr>
          <w:rFonts w:ascii="宋体" w:hAnsi="宋体"/>
          <w:color w:val="auto"/>
          <w:kern w:val="0"/>
          <w:highlight w:val="none"/>
        </w:rPr>
      </w:pPr>
    </w:p>
    <w:p w14:paraId="5A9AD79D">
      <w:pPr>
        <w:autoSpaceDE w:val="0"/>
        <w:autoSpaceDN w:val="0"/>
        <w:adjustRightInd w:val="0"/>
        <w:snapToGrid w:val="0"/>
        <w:spacing w:line="360" w:lineRule="auto"/>
        <w:jc w:val="left"/>
        <w:rPr>
          <w:rFonts w:ascii="宋体" w:hAnsi="宋体"/>
          <w:color w:val="auto"/>
          <w:kern w:val="0"/>
          <w:highlight w:val="none"/>
        </w:rPr>
      </w:pPr>
    </w:p>
    <w:p w14:paraId="69F0FBA6">
      <w:pPr>
        <w:autoSpaceDE w:val="0"/>
        <w:autoSpaceDN w:val="0"/>
        <w:adjustRightInd w:val="0"/>
        <w:snapToGrid w:val="0"/>
        <w:spacing w:line="360" w:lineRule="auto"/>
        <w:jc w:val="left"/>
        <w:rPr>
          <w:rFonts w:ascii="宋体" w:hAnsi="宋体"/>
          <w:color w:val="auto"/>
          <w:kern w:val="0"/>
          <w:highlight w:val="none"/>
        </w:rPr>
      </w:pPr>
    </w:p>
    <w:p w14:paraId="75A53D7A">
      <w:pPr>
        <w:autoSpaceDE w:val="0"/>
        <w:autoSpaceDN w:val="0"/>
        <w:adjustRightInd w:val="0"/>
        <w:snapToGrid w:val="0"/>
        <w:spacing w:line="360" w:lineRule="auto"/>
        <w:jc w:val="left"/>
        <w:rPr>
          <w:rFonts w:ascii="宋体" w:hAnsi="宋体"/>
          <w:color w:val="auto"/>
          <w:kern w:val="0"/>
          <w:highlight w:val="none"/>
        </w:rPr>
      </w:pPr>
    </w:p>
    <w:p w14:paraId="0D2CA6AC">
      <w:pPr>
        <w:autoSpaceDE w:val="0"/>
        <w:autoSpaceDN w:val="0"/>
        <w:adjustRightInd w:val="0"/>
        <w:snapToGrid w:val="0"/>
        <w:spacing w:line="360" w:lineRule="auto"/>
        <w:jc w:val="left"/>
        <w:rPr>
          <w:rFonts w:ascii="宋体" w:hAnsi="宋体"/>
          <w:color w:val="auto"/>
          <w:w w:val="99"/>
          <w:kern w:val="0"/>
          <w:sz w:val="28"/>
          <w:szCs w:val="28"/>
          <w:highlight w:val="none"/>
        </w:rPr>
      </w:pPr>
    </w:p>
    <w:p w14:paraId="7AAE7647">
      <w:pPr>
        <w:autoSpaceDE w:val="0"/>
        <w:autoSpaceDN w:val="0"/>
        <w:adjustRightInd w:val="0"/>
        <w:snapToGrid w:val="0"/>
        <w:spacing w:line="360" w:lineRule="auto"/>
        <w:jc w:val="left"/>
        <w:rPr>
          <w:rFonts w:ascii="宋体" w:hAnsi="宋体"/>
          <w:color w:val="auto"/>
          <w:w w:val="99"/>
          <w:kern w:val="0"/>
          <w:sz w:val="28"/>
          <w:szCs w:val="28"/>
          <w:highlight w:val="none"/>
        </w:rPr>
      </w:pPr>
    </w:p>
    <w:p w14:paraId="54E506C8">
      <w:pPr>
        <w:autoSpaceDE w:val="0"/>
        <w:autoSpaceDN w:val="0"/>
        <w:adjustRightInd w:val="0"/>
        <w:snapToGrid w:val="0"/>
        <w:spacing w:line="360" w:lineRule="auto"/>
        <w:jc w:val="left"/>
        <w:rPr>
          <w:rFonts w:ascii="宋体" w:hAnsi="宋体"/>
          <w:color w:val="auto"/>
          <w:w w:val="99"/>
          <w:kern w:val="0"/>
          <w:sz w:val="28"/>
          <w:szCs w:val="28"/>
          <w:highlight w:val="none"/>
        </w:rPr>
      </w:pPr>
    </w:p>
    <w:p w14:paraId="12939C0C">
      <w:pPr>
        <w:autoSpaceDE w:val="0"/>
        <w:autoSpaceDN w:val="0"/>
        <w:adjustRightInd w:val="0"/>
        <w:snapToGrid w:val="0"/>
        <w:spacing w:line="360" w:lineRule="auto"/>
        <w:jc w:val="left"/>
        <w:rPr>
          <w:rFonts w:ascii="宋体" w:hAnsi="宋体"/>
          <w:color w:val="auto"/>
          <w:w w:val="99"/>
          <w:kern w:val="0"/>
          <w:sz w:val="28"/>
          <w:szCs w:val="28"/>
          <w:highlight w:val="none"/>
        </w:rPr>
      </w:pPr>
    </w:p>
    <w:p w14:paraId="16B3639D">
      <w:pPr>
        <w:pStyle w:val="5"/>
        <w:spacing w:before="0" w:after="0" w:line="240" w:lineRule="auto"/>
        <w:jc w:val="center"/>
        <w:rPr>
          <w:rFonts w:ascii="宋体" w:hAnsi="宋体"/>
          <w:b w:val="0"/>
          <w:color w:val="auto"/>
          <w:highlight w:val="none"/>
        </w:rPr>
      </w:pPr>
      <w:r>
        <w:rPr>
          <w:rFonts w:ascii="宋体" w:hAnsi="宋体"/>
          <w:color w:val="auto"/>
          <w:highlight w:val="none"/>
        </w:rPr>
        <w:br w:type="page"/>
      </w:r>
      <w:bookmarkStart w:id="1595" w:name="_Toc19440"/>
      <w:bookmarkStart w:id="1596" w:name="_Toc31345"/>
      <w:bookmarkStart w:id="1597" w:name="_Toc59810444"/>
      <w:bookmarkStart w:id="1598" w:name="_Toc18356"/>
      <w:bookmarkStart w:id="1599" w:name="_Toc16044"/>
      <w:bookmarkStart w:id="1600" w:name="_Toc23807"/>
      <w:r>
        <w:rPr>
          <w:rFonts w:hint="eastAsia" w:ascii="宋体" w:hAnsi="宋体"/>
          <w:b w:val="0"/>
          <w:bCs w:val="0"/>
          <w:color w:val="auto"/>
          <w:highlight w:val="none"/>
        </w:rPr>
        <w:t>（一）投标函</w:t>
      </w:r>
      <w:bookmarkEnd w:id="1595"/>
      <w:bookmarkEnd w:id="1596"/>
      <w:bookmarkEnd w:id="1597"/>
      <w:bookmarkEnd w:id="1598"/>
      <w:bookmarkEnd w:id="1599"/>
      <w:bookmarkEnd w:id="1600"/>
    </w:p>
    <w:p w14:paraId="396A95EF">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rPr>
        <w:t>（招标人名称）：</w:t>
      </w:r>
    </w:p>
    <w:p w14:paraId="24811968">
      <w:pPr>
        <w:tabs>
          <w:tab w:val="left" w:pos="2970"/>
          <w:tab w:val="left" w:pos="4365"/>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 我方已仔细研究了</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napToGrid w:val="0"/>
          <w:color w:val="auto"/>
          <w:kern w:val="0"/>
          <w:szCs w:val="21"/>
          <w:highlight w:val="none"/>
        </w:rPr>
        <w:t>的全部内容，愿意以人民币</w:t>
      </w:r>
      <w:r>
        <w:rPr>
          <w:rFonts w:hint="eastAsia" w:ascii="宋体" w:hAnsi="宋体"/>
          <w:snapToGrid w:val="0"/>
          <w:color w:val="auto"/>
          <w:kern w:val="0"/>
          <w:szCs w:val="21"/>
          <w:highlight w:val="none"/>
          <w:u w:val="none"/>
        </w:rPr>
        <w:t>（大写）</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none"/>
        </w:rPr>
        <w:t>（¥</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none"/>
        </w:rPr>
        <w:t>）</w:t>
      </w:r>
      <w:r>
        <w:rPr>
          <w:rFonts w:hint="eastAsia" w:ascii="宋体" w:hAnsi="宋体"/>
          <w:snapToGrid w:val="0"/>
          <w:color w:val="auto"/>
          <w:kern w:val="0"/>
          <w:szCs w:val="21"/>
          <w:highlight w:val="none"/>
        </w:rPr>
        <w:t>的投标总报价，其中安全生产费为人民币</w:t>
      </w:r>
      <w:r>
        <w:rPr>
          <w:rFonts w:hint="eastAsia" w:ascii="宋体" w:hAnsi="宋体"/>
          <w:snapToGrid w:val="0"/>
          <w:color w:val="auto"/>
          <w:kern w:val="0"/>
          <w:szCs w:val="21"/>
          <w:highlight w:val="none"/>
          <w:u w:val="none"/>
        </w:rPr>
        <w:t>（大写）</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none"/>
        </w:rPr>
        <w:t>（¥</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none"/>
        </w:rPr>
        <w:t>）</w:t>
      </w:r>
      <w:r>
        <w:rPr>
          <w:rFonts w:hint="eastAsia" w:ascii="宋体" w:hAnsi="宋体"/>
          <w:snapToGrid w:val="0"/>
          <w:color w:val="auto"/>
          <w:kern w:val="0"/>
          <w:szCs w:val="21"/>
          <w:highlight w:val="none"/>
        </w:rPr>
        <w:t>，该工程项目经理为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竞争性比选</w:t>
      </w:r>
      <w:r>
        <w:rPr>
          <w:rFonts w:hint="eastAsia" w:ascii="宋体" w:hAnsi="宋体"/>
          <w:snapToGrid w:val="0"/>
          <w:color w:val="auto"/>
          <w:kern w:val="0"/>
          <w:szCs w:val="21"/>
          <w:highlight w:val="none"/>
          <w:u w:val="single"/>
          <w:lang w:val="en-US" w:eastAsia="zh-CN"/>
        </w:rPr>
        <w:t>文件</w:t>
      </w:r>
      <w:r>
        <w:rPr>
          <w:rFonts w:hint="eastAsia" w:ascii="宋体" w:hAnsi="宋体"/>
          <w:snapToGrid w:val="0"/>
          <w:color w:val="auto"/>
          <w:kern w:val="0"/>
          <w:szCs w:val="21"/>
          <w:highlight w:val="none"/>
          <w:u w:val="single"/>
        </w:rPr>
        <w:t>的要求</w:t>
      </w:r>
      <w:r>
        <w:rPr>
          <w:rFonts w:hint="eastAsia" w:ascii="宋体" w:hAnsi="宋体"/>
          <w:snapToGrid w:val="0"/>
          <w:color w:val="auto"/>
          <w:kern w:val="0"/>
          <w:szCs w:val="21"/>
          <w:highlight w:val="none"/>
        </w:rPr>
        <w:t>， 按合同约定实施和完成承包工程，修补工程中的任何缺陷，工程质量</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竞争性比选</w:t>
      </w:r>
      <w:r>
        <w:rPr>
          <w:rFonts w:hint="eastAsia" w:ascii="宋体" w:hAnsi="宋体"/>
          <w:snapToGrid w:val="0"/>
          <w:color w:val="auto"/>
          <w:kern w:val="0"/>
          <w:szCs w:val="21"/>
          <w:highlight w:val="none"/>
          <w:u w:val="single"/>
          <w:lang w:val="en-US" w:eastAsia="zh-CN"/>
        </w:rPr>
        <w:t>文件</w:t>
      </w:r>
      <w:r>
        <w:rPr>
          <w:rFonts w:hint="eastAsia" w:ascii="宋体" w:hAnsi="宋体"/>
          <w:snapToGrid w:val="0"/>
          <w:color w:val="auto"/>
          <w:kern w:val="0"/>
          <w:szCs w:val="21"/>
          <w:highlight w:val="none"/>
          <w:u w:val="single"/>
        </w:rPr>
        <w:t>的要求</w:t>
      </w:r>
      <w:r>
        <w:rPr>
          <w:rFonts w:hint="eastAsia" w:ascii="宋体" w:hAnsi="宋体"/>
          <w:snapToGrid w:val="0"/>
          <w:color w:val="auto"/>
          <w:kern w:val="0"/>
          <w:szCs w:val="21"/>
          <w:highlight w:val="none"/>
        </w:rPr>
        <w:t>。</w:t>
      </w:r>
    </w:p>
    <w:p w14:paraId="4D2B19F5">
      <w:pPr>
        <w:tabs>
          <w:tab w:val="left" w:pos="2970"/>
          <w:tab w:val="left" w:pos="4365"/>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 我方承诺响应</w:t>
      </w:r>
      <w:r>
        <w:rPr>
          <w:rFonts w:hint="eastAsia" w:ascii="宋体" w:hAnsi="宋体"/>
          <w:snapToGrid w:val="0"/>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napToGrid w:val="0"/>
          <w:color w:val="auto"/>
          <w:kern w:val="0"/>
          <w:szCs w:val="21"/>
          <w:highlight w:val="none"/>
        </w:rPr>
        <w:t>规定的投标有效期，在投标有效期内不修改、撤销投标文件。</w:t>
      </w:r>
    </w:p>
    <w:p w14:paraId="037F966A">
      <w:pPr>
        <w:tabs>
          <w:tab w:val="left" w:pos="2970"/>
          <w:tab w:val="left" w:pos="4365"/>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）。投标保证金有</w:t>
      </w:r>
      <w:r>
        <w:rPr>
          <w:rFonts w:hint="eastAsia" w:ascii="宋体" w:hAnsi="宋体"/>
          <w:snapToGrid w:val="0"/>
          <w:color w:val="auto"/>
          <w:kern w:val="0"/>
          <w:szCs w:val="21"/>
          <w:highlight w:val="none"/>
        </w:rPr>
        <w:t>效</w:t>
      </w:r>
      <w:r>
        <w:rPr>
          <w:rFonts w:ascii="宋体" w:hAnsi="宋体"/>
          <w:snapToGrid w:val="0"/>
          <w:color w:val="auto"/>
          <w:kern w:val="0"/>
          <w:szCs w:val="21"/>
          <w:highlight w:val="none"/>
        </w:rPr>
        <w:t>期与投标有</w:t>
      </w:r>
      <w:r>
        <w:rPr>
          <w:rFonts w:hint="eastAsia" w:ascii="宋体" w:hAnsi="宋体"/>
          <w:snapToGrid w:val="0"/>
          <w:color w:val="auto"/>
          <w:kern w:val="0"/>
          <w:szCs w:val="21"/>
          <w:highlight w:val="none"/>
        </w:rPr>
        <w:t>效</w:t>
      </w:r>
      <w:r>
        <w:rPr>
          <w:rFonts w:ascii="宋体" w:hAnsi="宋体"/>
          <w:snapToGrid w:val="0"/>
          <w:color w:val="auto"/>
          <w:kern w:val="0"/>
          <w:szCs w:val="21"/>
          <w:highlight w:val="none"/>
        </w:rPr>
        <w:t>期一致，在此期间，若我方违反招投标有关法律、法规及本</w:t>
      </w:r>
      <w:r>
        <w:rPr>
          <w:rFonts w:hint="eastAsia" w:ascii="宋体" w:hAnsi="宋体"/>
          <w:snapToGrid w:val="0"/>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ascii="宋体" w:hAnsi="宋体"/>
          <w:snapToGrid w:val="0"/>
          <w:color w:val="auto"/>
          <w:kern w:val="0"/>
          <w:szCs w:val="21"/>
          <w:highlight w:val="none"/>
        </w:rPr>
        <w:t>的相关规定，投标保证金的受益人为招标人。</w:t>
      </w:r>
    </w:p>
    <w:p w14:paraId="7758D043">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02F3E8D9">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17399D1A">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14:paraId="0492757F">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ascii="宋体" w:hAnsi="宋体"/>
          <w:snapToGrid w:val="0"/>
          <w:color w:val="auto"/>
          <w:kern w:val="0"/>
          <w:szCs w:val="21"/>
          <w:highlight w:val="none"/>
        </w:rPr>
        <w:t>规定向你方递交履约担保。</w:t>
      </w:r>
    </w:p>
    <w:p w14:paraId="41B775AF">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7805B972">
      <w:pPr>
        <w:pStyle w:val="2"/>
        <w:spacing w:after="0" w:line="400" w:lineRule="exact"/>
        <w:ind w:firstLine="420" w:firstLineChars="200"/>
        <w:rPr>
          <w:color w:val="auto"/>
          <w:highlight w:val="none"/>
        </w:rPr>
      </w:pPr>
      <w:r>
        <w:rPr>
          <w:rFonts w:hint="eastAsia"/>
          <w:color w:val="auto"/>
          <w:highlight w:val="none"/>
        </w:rPr>
        <w:t>（5）我方承诺以不低于</w:t>
      </w:r>
      <w:r>
        <w:rPr>
          <w:rFonts w:hint="eastAsia"/>
          <w:color w:val="auto"/>
          <w:highlight w:val="none"/>
          <w:lang w:eastAsia="zh-CN"/>
        </w:rPr>
        <w:t>竞争性比选</w:t>
      </w:r>
      <w:r>
        <w:rPr>
          <w:rFonts w:hint="eastAsia" w:ascii="宋体" w:hAnsi="宋体"/>
          <w:snapToGrid w:val="0"/>
          <w:szCs w:val="28"/>
          <w:highlight w:val="none"/>
          <w:lang w:val="en-US" w:eastAsia="zh-CN"/>
        </w:rPr>
        <w:t>文件</w:t>
      </w:r>
      <w:r>
        <w:rPr>
          <w:rFonts w:hint="eastAsia"/>
          <w:color w:val="auto"/>
          <w:highlight w:val="none"/>
        </w:rPr>
        <w:t>第七章技术标准和要求中所列的技术指标和参数要求完成全部合同工程。</w:t>
      </w:r>
    </w:p>
    <w:p w14:paraId="6A58E3A8">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w:t>
      </w:r>
      <w:r>
        <w:rPr>
          <w:rFonts w:hint="eastAsia" w:ascii="宋体" w:hAnsi="宋体"/>
          <w:snapToGrid w:val="0"/>
          <w:color w:val="auto"/>
          <w:spacing w:val="-2"/>
          <w:kern w:val="0"/>
          <w:szCs w:val="21"/>
          <w:highlight w:val="none"/>
          <w:lang w:eastAsia="zh-CN"/>
        </w:rPr>
        <w:t>，</w:t>
      </w:r>
      <w:r>
        <w:rPr>
          <w:rFonts w:ascii="宋体" w:hAnsi="宋体"/>
          <w:snapToGrid w:val="0"/>
          <w:color w:val="auto"/>
          <w:kern w:val="0"/>
          <w:szCs w:val="21"/>
          <w:highlight w:val="none"/>
        </w:rPr>
        <w:t>同时我方承诺接受</w:t>
      </w:r>
      <w:r>
        <w:rPr>
          <w:rFonts w:hint="eastAsia" w:ascii="宋体" w:hAnsi="宋体"/>
          <w:snapToGrid w:val="0"/>
          <w:color w:val="auto"/>
          <w:kern w:val="0"/>
          <w:szCs w:val="21"/>
          <w:highlight w:val="none"/>
          <w:lang w:eastAsia="zh-CN"/>
        </w:rPr>
        <w:t>竞争性比选</w:t>
      </w:r>
      <w:r>
        <w:rPr>
          <w:rFonts w:hint="eastAsia" w:ascii="宋体" w:hAnsi="宋体"/>
          <w:snapToGrid w:val="0"/>
          <w:szCs w:val="28"/>
          <w:highlight w:val="none"/>
          <w:lang w:val="en-US" w:eastAsia="zh-CN"/>
        </w:rPr>
        <w:t>文件</w:t>
      </w:r>
      <w:r>
        <w:rPr>
          <w:rFonts w:ascii="宋体" w:hAnsi="宋体"/>
          <w:snapToGrid w:val="0"/>
          <w:color w:val="auto"/>
          <w:kern w:val="0"/>
          <w:szCs w:val="21"/>
          <w:highlight w:val="none"/>
        </w:rPr>
        <w:t>及附件、澄清及修改通知中所有的内容。</w:t>
      </w:r>
    </w:p>
    <w:p w14:paraId="4EFC2997">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（其他补充说明）。</w:t>
      </w:r>
    </w:p>
    <w:p w14:paraId="266521D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49A6F975">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或盖章）</w:t>
      </w:r>
    </w:p>
    <w:p w14:paraId="1DFE6E00">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E37F648">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6DD680E">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B354F62">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D3B32E9">
      <w:pPr>
        <w:tabs>
          <w:tab w:val="left" w:pos="8300"/>
        </w:tabs>
        <w:autoSpaceDE w:val="0"/>
        <w:autoSpaceDN w:val="0"/>
        <w:adjustRightInd w:val="0"/>
        <w:spacing w:line="400" w:lineRule="exact"/>
        <w:ind w:firstLine="420" w:firstLineChars="200"/>
        <w:rPr>
          <w:rFonts w:ascii="宋体" w:hAnsi="宋体"/>
          <w:snapToGrid w:val="0"/>
          <w:color w:val="auto"/>
          <w:kern w:val="0"/>
          <w:sz w:val="20"/>
          <w:szCs w:val="20"/>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6BE8B45">
      <w:pPr>
        <w:tabs>
          <w:tab w:val="left" w:pos="8300"/>
        </w:tabs>
        <w:autoSpaceDE w:val="0"/>
        <w:autoSpaceDN w:val="0"/>
        <w:adjustRightInd w:val="0"/>
        <w:spacing w:line="400" w:lineRule="exact"/>
        <w:ind w:firstLine="420" w:firstLineChars="200"/>
        <w:jc w:val="center"/>
        <w:rPr>
          <w:rFonts w:ascii="宋体" w:hAnsi="宋体"/>
          <w:snapToGrid w:val="0"/>
          <w:color w:val="auto"/>
          <w:kern w:val="0"/>
          <w:sz w:val="20"/>
          <w:szCs w:val="20"/>
          <w:highlight w:val="none"/>
        </w:rPr>
      </w:pPr>
      <w:r>
        <w:rPr>
          <w:rFonts w:hint="eastAsia" w:ascii="宋体" w:hAnsi="宋体"/>
          <w:snapToGrid w:val="0"/>
          <w:color w:val="auto"/>
          <w:kern w:val="0"/>
          <w:szCs w:val="21"/>
          <w:highlight w:val="non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2D49B8B4">
      <w:pPr>
        <w:tabs>
          <w:tab w:val="left" w:pos="7140"/>
          <w:tab w:val="left" w:pos="7560"/>
          <w:tab w:val="left" w:pos="8300"/>
        </w:tabs>
        <w:autoSpaceDE w:val="0"/>
        <w:autoSpaceDN w:val="0"/>
        <w:adjustRightInd w:val="0"/>
        <w:spacing w:line="360" w:lineRule="auto"/>
        <w:ind w:firstLine="560" w:firstLineChars="200"/>
        <w:jc w:val="left"/>
        <w:rPr>
          <w:rFonts w:ascii="宋体" w:hAnsi="宋体"/>
          <w:color w:val="auto"/>
          <w:sz w:val="28"/>
          <w:highlight w:val="none"/>
        </w:rPr>
      </w:pPr>
      <w:r>
        <w:rPr>
          <w:rFonts w:ascii="宋体" w:hAnsi="宋体"/>
          <w:color w:val="auto"/>
          <w:sz w:val="28"/>
          <w:highlight w:val="none"/>
        </w:rPr>
        <w:br w:type="page"/>
      </w:r>
    </w:p>
    <w:p w14:paraId="32F8A60F">
      <w:pPr>
        <w:pStyle w:val="5"/>
        <w:spacing w:before="0" w:after="0" w:line="240" w:lineRule="auto"/>
        <w:jc w:val="center"/>
        <w:rPr>
          <w:rFonts w:ascii="宋体" w:hAnsi="宋体"/>
          <w:b w:val="0"/>
          <w:bCs w:val="0"/>
          <w:color w:val="auto"/>
          <w:highlight w:val="none"/>
        </w:rPr>
      </w:pPr>
      <w:bookmarkStart w:id="1601" w:name="_Toc18956"/>
      <w:bookmarkStart w:id="1602" w:name="_Toc3025"/>
      <w:bookmarkStart w:id="1603" w:name="_Toc31441"/>
      <w:bookmarkStart w:id="1604" w:name="_Toc59810445"/>
      <w:bookmarkStart w:id="1605" w:name="_Toc28420"/>
      <w:bookmarkStart w:id="1606" w:name="_Toc32028"/>
      <w:r>
        <w:rPr>
          <w:rFonts w:ascii="宋体" w:hAnsi="宋体"/>
          <w:b w:val="0"/>
          <w:bCs w:val="0"/>
          <w:color w:val="auto"/>
          <w:highlight w:val="none"/>
        </w:rPr>
        <w:t>（二）投标函附录</w:t>
      </w:r>
      <w:bookmarkEnd w:id="1601"/>
      <w:bookmarkEnd w:id="1602"/>
      <w:bookmarkEnd w:id="1603"/>
      <w:bookmarkEnd w:id="1604"/>
      <w:bookmarkEnd w:id="1605"/>
      <w:bookmarkEnd w:id="1606"/>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391AA2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D4626D5">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7451E1BA">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6A10C9E7">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49E6A839">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03B62BEE">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2BA76F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2DD0F25">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w:t>
            </w:r>
          </w:p>
        </w:tc>
        <w:tc>
          <w:tcPr>
            <w:tcW w:w="2582" w:type="dxa"/>
            <w:vAlign w:val="center"/>
          </w:tcPr>
          <w:p w14:paraId="782D4C8E">
            <w:pPr>
              <w:autoSpaceDE w:val="0"/>
              <w:autoSpaceDN w:val="0"/>
              <w:adjustRightInd w:val="0"/>
              <w:jc w:val="center"/>
              <w:rPr>
                <w:rFonts w:hint="eastAsia" w:ascii="宋体" w:hAnsi="宋体" w:eastAsia="宋体" w:cs="Times New Roman"/>
                <w:snapToGrid w:val="0"/>
                <w:color w:val="auto"/>
                <w:kern w:val="0"/>
                <w:sz w:val="21"/>
                <w:szCs w:val="21"/>
                <w:highlight w:val="none"/>
                <w:lang w:val="en-US" w:eastAsia="zh-CN" w:bidi="ar-SA"/>
              </w:rPr>
            </w:pPr>
            <w:r>
              <w:rPr>
                <w:rFonts w:ascii="宋体" w:hAnsi="宋体"/>
                <w:snapToGrid w:val="0"/>
                <w:color w:val="auto"/>
                <w:kern w:val="0"/>
                <w:szCs w:val="21"/>
                <w:highlight w:val="none"/>
              </w:rPr>
              <w:t>工期</w:t>
            </w:r>
          </w:p>
        </w:tc>
        <w:tc>
          <w:tcPr>
            <w:tcW w:w="2388" w:type="dxa"/>
            <w:vAlign w:val="center"/>
          </w:tcPr>
          <w:p w14:paraId="12C3B012">
            <w:pPr>
              <w:tabs>
                <w:tab w:val="left" w:pos="2051"/>
              </w:tabs>
              <w:autoSpaceDE w:val="0"/>
              <w:autoSpaceDN w:val="0"/>
              <w:adjustRightInd w:val="0"/>
              <w:jc w:val="center"/>
              <w:rPr>
                <w:rFonts w:ascii="宋体" w:hAnsi="宋体" w:eastAsia="宋体" w:cs="Times New Roman"/>
                <w:snapToGrid w:val="0"/>
                <w:color w:val="auto"/>
                <w:kern w:val="0"/>
                <w:sz w:val="21"/>
                <w:szCs w:val="21"/>
                <w:highlight w:val="none"/>
                <w:lang w:val="en-US" w:eastAsia="zh-CN" w:bidi="ar-SA"/>
              </w:rPr>
            </w:pPr>
            <w:r>
              <w:rPr>
                <w:rFonts w:hint="eastAsia" w:ascii="宋体" w:hAnsi="宋体"/>
                <w:snapToGrid w:val="0"/>
                <w:color w:val="auto"/>
                <w:kern w:val="0"/>
                <w:szCs w:val="21"/>
                <w:highlight w:val="none"/>
              </w:rPr>
              <w:t>合同协议书第二条</w:t>
            </w:r>
          </w:p>
        </w:tc>
        <w:tc>
          <w:tcPr>
            <w:tcW w:w="2987" w:type="dxa"/>
            <w:vAlign w:val="center"/>
          </w:tcPr>
          <w:p w14:paraId="610BDA56">
            <w:pPr>
              <w:tabs>
                <w:tab w:val="left" w:pos="1560"/>
              </w:tabs>
              <w:autoSpaceDE w:val="0"/>
              <w:autoSpaceDN w:val="0"/>
              <w:adjustRightInd w:val="0"/>
              <w:jc w:val="center"/>
              <w:rPr>
                <w:rFonts w:ascii="宋体" w:hAnsi="宋体" w:eastAsia="宋体" w:cs="Times New Roman"/>
                <w:snapToGrid w:val="0"/>
                <w:color w:val="auto"/>
                <w:kern w:val="0"/>
                <w:sz w:val="21"/>
                <w:szCs w:val="21"/>
                <w:highlight w:val="none"/>
                <w:lang w:val="en-US" w:eastAsia="zh-CN" w:bidi="ar-SA"/>
              </w:rPr>
            </w:pPr>
            <w:r>
              <w:rPr>
                <w:rFonts w:ascii="宋体" w:hAnsi="宋体"/>
                <w:snapToGrid w:val="0"/>
                <w:color w:val="auto"/>
                <w:kern w:val="0"/>
                <w:szCs w:val="21"/>
                <w:highlight w:val="none"/>
              </w:rPr>
              <w:t>工期：</w:t>
            </w:r>
            <w:r>
              <w:rPr>
                <w:rFonts w:ascii="宋体" w:hAnsi="宋体"/>
                <w:snapToGrid w:val="0"/>
                <w:color w:val="auto"/>
                <w:kern w:val="0"/>
                <w:szCs w:val="21"/>
                <w:highlight w:val="none"/>
                <w:u w:val="single"/>
              </w:rPr>
              <w:tab/>
            </w:r>
          </w:p>
        </w:tc>
        <w:tc>
          <w:tcPr>
            <w:tcW w:w="792" w:type="dxa"/>
            <w:vAlign w:val="center"/>
          </w:tcPr>
          <w:p w14:paraId="0010ADFF">
            <w:pPr>
              <w:autoSpaceDE w:val="0"/>
              <w:autoSpaceDN w:val="0"/>
              <w:adjustRightInd w:val="0"/>
              <w:jc w:val="center"/>
              <w:rPr>
                <w:rFonts w:ascii="宋体" w:hAnsi="宋体"/>
                <w:snapToGrid w:val="0"/>
                <w:color w:val="auto"/>
                <w:kern w:val="0"/>
                <w:szCs w:val="21"/>
                <w:highlight w:val="none"/>
              </w:rPr>
            </w:pPr>
          </w:p>
        </w:tc>
      </w:tr>
      <w:tr w14:paraId="0BDBB7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09633DC">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2</w:t>
            </w:r>
          </w:p>
        </w:tc>
        <w:tc>
          <w:tcPr>
            <w:tcW w:w="2582" w:type="dxa"/>
            <w:vAlign w:val="center"/>
          </w:tcPr>
          <w:p w14:paraId="0E2D9D6B">
            <w:pPr>
              <w:autoSpaceDE w:val="0"/>
              <w:autoSpaceDN w:val="0"/>
              <w:adjustRightInd w:val="0"/>
              <w:jc w:val="center"/>
              <w:rPr>
                <w:rFonts w:hint="default"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工程质量</w:t>
            </w:r>
          </w:p>
        </w:tc>
        <w:tc>
          <w:tcPr>
            <w:tcW w:w="2388" w:type="dxa"/>
            <w:vAlign w:val="center"/>
          </w:tcPr>
          <w:p w14:paraId="3D27A589">
            <w:pPr>
              <w:tabs>
                <w:tab w:val="left" w:pos="2051"/>
              </w:tabs>
              <w:autoSpaceDE w:val="0"/>
              <w:autoSpaceDN w:val="0"/>
              <w:adjustRightInd w:val="0"/>
              <w:jc w:val="center"/>
              <w:rPr>
                <w:rFonts w:ascii="宋体" w:hAnsi="宋体" w:eastAsia="宋体" w:cs="Times New Roman"/>
                <w:snapToGrid w:val="0"/>
                <w:color w:val="auto"/>
                <w:kern w:val="0"/>
                <w:sz w:val="21"/>
                <w:szCs w:val="21"/>
                <w:highlight w:val="none"/>
                <w:lang w:val="en-US" w:eastAsia="zh-CN" w:bidi="ar-SA"/>
              </w:rPr>
            </w:pPr>
            <w:r>
              <w:rPr>
                <w:rFonts w:hint="eastAsia" w:ascii="宋体" w:hAnsi="宋体"/>
                <w:snapToGrid w:val="0"/>
                <w:color w:val="auto"/>
                <w:kern w:val="0"/>
                <w:szCs w:val="21"/>
                <w:highlight w:val="none"/>
              </w:rPr>
              <w:t>合同协议书第</w:t>
            </w:r>
            <w:r>
              <w:rPr>
                <w:rFonts w:hint="eastAsia" w:ascii="宋体" w:hAnsi="宋体"/>
                <w:snapToGrid w:val="0"/>
                <w:color w:val="auto"/>
                <w:kern w:val="0"/>
                <w:szCs w:val="21"/>
                <w:highlight w:val="none"/>
                <w:lang w:val="en-US" w:eastAsia="zh-CN"/>
              </w:rPr>
              <w:t>三</w:t>
            </w:r>
            <w:r>
              <w:rPr>
                <w:rFonts w:hint="eastAsia" w:ascii="宋体" w:hAnsi="宋体"/>
                <w:snapToGrid w:val="0"/>
                <w:color w:val="auto"/>
                <w:kern w:val="0"/>
                <w:szCs w:val="21"/>
                <w:highlight w:val="none"/>
              </w:rPr>
              <w:t>条</w:t>
            </w:r>
          </w:p>
        </w:tc>
        <w:tc>
          <w:tcPr>
            <w:tcW w:w="2987" w:type="dxa"/>
            <w:vAlign w:val="center"/>
          </w:tcPr>
          <w:p w14:paraId="132136A8">
            <w:pPr>
              <w:autoSpaceDE w:val="0"/>
              <w:autoSpaceDN w:val="0"/>
              <w:adjustRightInd w:val="0"/>
              <w:jc w:val="center"/>
              <w:rPr>
                <w:rFonts w:ascii="宋体" w:hAnsi="宋体" w:eastAsia="宋体" w:cs="Times New Roman"/>
                <w:snapToGrid w:val="0"/>
                <w:color w:val="auto"/>
                <w:kern w:val="0"/>
                <w:sz w:val="21"/>
                <w:szCs w:val="21"/>
                <w:highlight w:val="none"/>
                <w:lang w:val="en-US" w:eastAsia="zh-CN" w:bidi="ar-SA"/>
              </w:rPr>
            </w:pP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p>
        </w:tc>
        <w:tc>
          <w:tcPr>
            <w:tcW w:w="792" w:type="dxa"/>
            <w:vAlign w:val="center"/>
          </w:tcPr>
          <w:p w14:paraId="158EA236">
            <w:pPr>
              <w:autoSpaceDE w:val="0"/>
              <w:autoSpaceDN w:val="0"/>
              <w:adjustRightInd w:val="0"/>
              <w:jc w:val="center"/>
              <w:rPr>
                <w:rFonts w:ascii="宋体" w:hAnsi="宋体"/>
                <w:snapToGrid w:val="0"/>
                <w:color w:val="auto"/>
                <w:kern w:val="0"/>
                <w:szCs w:val="21"/>
                <w:highlight w:val="none"/>
              </w:rPr>
            </w:pPr>
          </w:p>
        </w:tc>
      </w:tr>
      <w:tr w14:paraId="0D07A0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DFF3EE1">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w:t>
            </w:r>
          </w:p>
        </w:tc>
        <w:tc>
          <w:tcPr>
            <w:tcW w:w="2582" w:type="dxa"/>
            <w:vAlign w:val="center"/>
          </w:tcPr>
          <w:p w14:paraId="5D191B67">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缺陷责任期</w:t>
            </w:r>
          </w:p>
        </w:tc>
        <w:tc>
          <w:tcPr>
            <w:tcW w:w="2388" w:type="dxa"/>
            <w:vAlign w:val="center"/>
          </w:tcPr>
          <w:p w14:paraId="34FC9DC2">
            <w:pPr>
              <w:tabs>
                <w:tab w:val="left" w:pos="2051"/>
              </w:tabs>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专用合同条款第19条</w:t>
            </w:r>
          </w:p>
        </w:tc>
        <w:tc>
          <w:tcPr>
            <w:tcW w:w="2987" w:type="dxa"/>
            <w:vAlign w:val="center"/>
          </w:tcPr>
          <w:p w14:paraId="6278663A">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p>
        </w:tc>
        <w:tc>
          <w:tcPr>
            <w:tcW w:w="792" w:type="dxa"/>
            <w:vAlign w:val="center"/>
          </w:tcPr>
          <w:p w14:paraId="07A00D47">
            <w:pPr>
              <w:autoSpaceDE w:val="0"/>
              <w:autoSpaceDN w:val="0"/>
              <w:adjustRightInd w:val="0"/>
              <w:jc w:val="center"/>
              <w:rPr>
                <w:rFonts w:ascii="宋体" w:hAnsi="宋体"/>
                <w:snapToGrid w:val="0"/>
                <w:color w:val="auto"/>
                <w:kern w:val="0"/>
                <w:szCs w:val="21"/>
                <w:highlight w:val="none"/>
              </w:rPr>
            </w:pPr>
          </w:p>
        </w:tc>
      </w:tr>
      <w:tr w14:paraId="4772DF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49D67CD">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4</w:t>
            </w:r>
          </w:p>
        </w:tc>
        <w:tc>
          <w:tcPr>
            <w:tcW w:w="2582" w:type="dxa"/>
            <w:vAlign w:val="center"/>
          </w:tcPr>
          <w:p w14:paraId="21D0ED19">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14:paraId="62A34A7A">
            <w:pPr>
              <w:tabs>
                <w:tab w:val="left" w:pos="2051"/>
              </w:tabs>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专用合同条款第4.3款</w:t>
            </w:r>
          </w:p>
        </w:tc>
        <w:tc>
          <w:tcPr>
            <w:tcW w:w="2987" w:type="dxa"/>
            <w:vAlign w:val="center"/>
          </w:tcPr>
          <w:p w14:paraId="1F3A85FF">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p>
        </w:tc>
        <w:tc>
          <w:tcPr>
            <w:tcW w:w="792" w:type="dxa"/>
            <w:vAlign w:val="center"/>
          </w:tcPr>
          <w:p w14:paraId="4582987A">
            <w:pPr>
              <w:autoSpaceDE w:val="0"/>
              <w:autoSpaceDN w:val="0"/>
              <w:adjustRightInd w:val="0"/>
              <w:jc w:val="center"/>
              <w:rPr>
                <w:rFonts w:ascii="宋体" w:hAnsi="宋体"/>
                <w:snapToGrid w:val="0"/>
                <w:color w:val="auto"/>
                <w:kern w:val="0"/>
                <w:szCs w:val="21"/>
                <w:highlight w:val="none"/>
              </w:rPr>
            </w:pPr>
          </w:p>
        </w:tc>
      </w:tr>
      <w:tr w14:paraId="153B6F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62BEF14">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4EAFB51B">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3ED54B45">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40418E16">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130866E0">
            <w:pPr>
              <w:autoSpaceDE w:val="0"/>
              <w:autoSpaceDN w:val="0"/>
              <w:adjustRightInd w:val="0"/>
              <w:jc w:val="center"/>
              <w:rPr>
                <w:rFonts w:ascii="宋体" w:hAnsi="宋体"/>
                <w:snapToGrid w:val="0"/>
                <w:color w:val="auto"/>
                <w:kern w:val="0"/>
                <w:szCs w:val="21"/>
                <w:highlight w:val="none"/>
              </w:rPr>
            </w:pPr>
          </w:p>
        </w:tc>
      </w:tr>
      <w:tr w14:paraId="589D8C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2BE3C29">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5BE63AC9">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4DD5614E">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6FA22F51">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1058CE2C">
            <w:pPr>
              <w:autoSpaceDE w:val="0"/>
              <w:autoSpaceDN w:val="0"/>
              <w:adjustRightInd w:val="0"/>
              <w:jc w:val="center"/>
              <w:rPr>
                <w:rFonts w:ascii="宋体" w:hAnsi="宋体"/>
                <w:snapToGrid w:val="0"/>
                <w:color w:val="auto"/>
                <w:kern w:val="0"/>
                <w:szCs w:val="21"/>
                <w:highlight w:val="none"/>
              </w:rPr>
            </w:pPr>
          </w:p>
        </w:tc>
      </w:tr>
    </w:tbl>
    <w:p w14:paraId="549CD501">
      <w:pPr>
        <w:spacing w:line="360" w:lineRule="auto"/>
        <w:rPr>
          <w:rFonts w:ascii="宋体" w:hAnsi="宋体"/>
          <w:snapToGrid w:val="0"/>
          <w:color w:val="auto"/>
          <w:w w:val="99"/>
          <w:highlight w:val="none"/>
        </w:rPr>
      </w:pPr>
    </w:p>
    <w:p w14:paraId="74FED5E1">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79429B0B">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5DE813EB">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 xml:space="preserve">或盖章） </w:t>
      </w:r>
    </w:p>
    <w:p w14:paraId="441BBD46">
      <w:pPr>
        <w:tabs>
          <w:tab w:val="left" w:pos="8300"/>
        </w:tabs>
        <w:autoSpaceDE w:val="0"/>
        <w:autoSpaceDN w:val="0"/>
        <w:adjustRightInd w:val="0"/>
        <w:spacing w:line="360" w:lineRule="auto"/>
        <w:ind w:firstLine="420" w:firstLineChars="200"/>
        <w:jc w:val="center"/>
        <w:rPr>
          <w:rFonts w:ascii="宋体" w:hAnsi="宋体"/>
          <w:snapToGrid w:val="0"/>
          <w:color w:val="auto"/>
          <w:kern w:val="0"/>
          <w:sz w:val="20"/>
          <w:szCs w:val="20"/>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72B0F74">
      <w:pPr>
        <w:pStyle w:val="2"/>
        <w:jc w:val="right"/>
        <w:rPr>
          <w:color w:val="auto"/>
          <w:highlight w:val="none"/>
        </w:rPr>
      </w:pPr>
    </w:p>
    <w:p w14:paraId="23AC47AE">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7F653851">
      <w:pPr>
        <w:pStyle w:val="5"/>
        <w:spacing w:before="0" w:after="0" w:line="240" w:lineRule="auto"/>
        <w:jc w:val="center"/>
        <w:rPr>
          <w:rFonts w:ascii="宋体" w:hAnsi="宋体"/>
          <w:b w:val="0"/>
          <w:bCs w:val="0"/>
          <w:color w:val="auto"/>
          <w:highlight w:val="none"/>
        </w:rPr>
      </w:pPr>
      <w:r>
        <w:rPr>
          <w:rFonts w:ascii="宋体" w:hAnsi="宋体"/>
          <w:snapToGrid w:val="0"/>
          <w:color w:val="auto"/>
          <w:highlight w:val="none"/>
        </w:rPr>
        <w:br w:type="page"/>
      </w:r>
      <w:bookmarkStart w:id="1607" w:name="_Toc15613"/>
      <w:bookmarkStart w:id="1608" w:name="_Toc59810446"/>
      <w:bookmarkStart w:id="1609" w:name="_Toc4608"/>
      <w:bookmarkStart w:id="1610" w:name="_Toc11446"/>
      <w:bookmarkStart w:id="1611" w:name="_Toc18660"/>
      <w:bookmarkStart w:id="1612" w:name="_Toc16965"/>
      <w:r>
        <w:rPr>
          <w:rFonts w:ascii="宋体" w:hAnsi="宋体"/>
          <w:b w:val="0"/>
          <w:bCs w:val="0"/>
          <w:color w:val="auto"/>
          <w:highlight w:val="none"/>
        </w:rPr>
        <w:t>（</w:t>
      </w:r>
      <w:r>
        <w:rPr>
          <w:rFonts w:hint="eastAsia" w:ascii="宋体" w:hAnsi="宋体"/>
          <w:b w:val="0"/>
          <w:bCs w:val="0"/>
          <w:color w:val="auto"/>
          <w:highlight w:val="none"/>
          <w:lang w:val="en-US" w:eastAsia="zh-CN"/>
        </w:rPr>
        <w:t>三</w:t>
      </w:r>
      <w:r>
        <w:rPr>
          <w:rFonts w:ascii="宋体" w:hAnsi="宋体"/>
          <w:b w:val="0"/>
          <w:bCs w:val="0"/>
          <w:color w:val="auto"/>
          <w:highlight w:val="none"/>
        </w:rPr>
        <w:t>）</w:t>
      </w:r>
      <w:r>
        <w:rPr>
          <w:rFonts w:hint="eastAsia" w:ascii="宋体" w:hAnsi="宋体"/>
          <w:b w:val="0"/>
          <w:bCs w:val="0"/>
          <w:color w:val="auto"/>
          <w:highlight w:val="none"/>
        </w:rPr>
        <w:t>投标报价合理性说明（如有）</w:t>
      </w:r>
      <w:bookmarkEnd w:id="1607"/>
    </w:p>
    <w:p w14:paraId="43B6993C">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38DBFB0">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r>
        <w:rPr>
          <w:rFonts w:hint="eastAsia" w:ascii="宋体" w:hAnsi="宋体"/>
          <w:i w:val="0"/>
          <w:iCs w:val="0"/>
          <w:snapToGrid w:val="0"/>
          <w:kern w:val="0"/>
          <w:sz w:val="21"/>
          <w:szCs w:val="21"/>
          <w:highlight w:val="none"/>
          <w:lang w:val="en-US" w:eastAsia="zh-CN"/>
        </w:rPr>
        <w:t>（注：投标报价</w:t>
      </w:r>
      <w:r>
        <w:rPr>
          <w:rFonts w:hint="eastAsia" w:ascii="宋体" w:hAnsi="宋体"/>
          <w:highlight w:val="none"/>
          <w:lang w:val="en-US" w:eastAsia="zh-CN"/>
        </w:rPr>
        <w:t>低于异常低价警戒线</w:t>
      </w:r>
      <w:r>
        <w:rPr>
          <w:rFonts w:hint="eastAsia" w:ascii="宋体" w:hAnsi="宋体"/>
          <w:i w:val="0"/>
          <w:iCs w:val="0"/>
          <w:snapToGrid w:val="0"/>
          <w:kern w:val="0"/>
          <w:sz w:val="21"/>
          <w:szCs w:val="21"/>
          <w:highlight w:val="none"/>
          <w:lang w:val="en-US" w:eastAsia="zh-CN"/>
        </w:rPr>
        <w:t>时提供，格式自拟，并提供必要的佐证材料。</w:t>
      </w:r>
      <w:r>
        <w:rPr>
          <w:rFonts w:hint="eastAsia" w:ascii="宋体" w:hAnsi="宋体" w:cs="宋体"/>
          <w:i w:val="0"/>
          <w:iCs w:val="0"/>
          <w:szCs w:val="21"/>
          <w:highlight w:val="none"/>
          <w:u w:val="none"/>
          <w:lang w:val="en-US" w:eastAsia="zh-CN"/>
        </w:rPr>
        <w:t>投标人提供的说明不得降低或者改变原设计方案、技术工艺、施工标准，不得影响项目的质量、安全、工期、结算等正常履约</w:t>
      </w:r>
      <w:r>
        <w:rPr>
          <w:rFonts w:hint="eastAsia" w:ascii="宋体" w:hAnsi="宋体"/>
          <w:snapToGrid w:val="0"/>
          <w:kern w:val="0"/>
          <w:szCs w:val="21"/>
          <w:highlight w:val="none"/>
        </w:rPr>
        <w:t>。</w:t>
      </w:r>
      <w:r>
        <w:rPr>
          <w:rFonts w:hint="eastAsia" w:ascii="宋体" w:hAnsi="宋体"/>
          <w:i w:val="0"/>
          <w:iCs w:val="0"/>
          <w:snapToGrid w:val="0"/>
          <w:kern w:val="0"/>
          <w:sz w:val="21"/>
          <w:szCs w:val="21"/>
          <w:highlight w:val="none"/>
          <w:lang w:val="en-US" w:eastAsia="zh-CN"/>
        </w:rPr>
        <w:t>）</w:t>
      </w:r>
    </w:p>
    <w:p w14:paraId="4CA151E4">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5350AC25">
      <w:pPr>
        <w:rPr>
          <w:rFonts w:ascii="宋体" w:hAnsi="宋体"/>
          <w:b w:val="0"/>
          <w:bCs w:val="0"/>
          <w:color w:val="auto"/>
          <w:highlight w:val="none"/>
        </w:rPr>
      </w:pPr>
      <w:r>
        <w:rPr>
          <w:rFonts w:ascii="宋体" w:hAnsi="宋体"/>
          <w:b w:val="0"/>
          <w:bCs w:val="0"/>
          <w:color w:val="auto"/>
          <w:highlight w:val="none"/>
        </w:rPr>
        <w:br w:type="page"/>
      </w:r>
    </w:p>
    <w:p w14:paraId="309B2734">
      <w:pPr>
        <w:pStyle w:val="5"/>
        <w:spacing w:before="0" w:after="0" w:line="240" w:lineRule="auto"/>
        <w:jc w:val="center"/>
        <w:rPr>
          <w:rFonts w:ascii="宋体" w:hAnsi="宋体"/>
          <w:snapToGrid w:val="0"/>
          <w:color w:val="auto"/>
          <w:kern w:val="0"/>
          <w:szCs w:val="21"/>
          <w:highlight w:val="none"/>
        </w:rPr>
      </w:pPr>
      <w:bookmarkStart w:id="1613" w:name="_Toc15658"/>
      <w:r>
        <w:rPr>
          <w:rFonts w:ascii="宋体" w:hAnsi="宋体"/>
          <w:b w:val="0"/>
          <w:bCs w:val="0"/>
          <w:color w:val="auto"/>
          <w:highlight w:val="none"/>
        </w:rPr>
        <w:t>（</w:t>
      </w:r>
      <w:r>
        <w:rPr>
          <w:rFonts w:hint="eastAsia" w:ascii="宋体" w:hAnsi="宋体"/>
          <w:b w:val="0"/>
          <w:bCs w:val="0"/>
          <w:color w:val="auto"/>
          <w:highlight w:val="none"/>
          <w:lang w:val="en-US" w:eastAsia="zh-CN"/>
        </w:rPr>
        <w:t>四</w:t>
      </w:r>
      <w:r>
        <w:rPr>
          <w:rFonts w:ascii="宋体" w:hAnsi="宋体"/>
          <w:b w:val="0"/>
          <w:bCs w:val="0"/>
          <w:color w:val="auto"/>
          <w:highlight w:val="none"/>
        </w:rPr>
        <w:t>）法定代表人身份证明或授权委托书</w:t>
      </w:r>
      <w:bookmarkEnd w:id="1608"/>
      <w:bookmarkEnd w:id="1609"/>
      <w:bookmarkEnd w:id="1610"/>
      <w:bookmarkEnd w:id="1611"/>
      <w:bookmarkEnd w:id="1612"/>
      <w:bookmarkEnd w:id="1613"/>
    </w:p>
    <w:p w14:paraId="41E833F5">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333A6AEB">
      <w:pPr>
        <w:spacing w:line="480" w:lineRule="auto"/>
        <w:jc w:val="center"/>
        <w:rPr>
          <w:rFonts w:ascii="宋体" w:hAnsi="宋体"/>
          <w:color w:val="auto"/>
          <w:highlight w:val="none"/>
        </w:rPr>
      </w:pPr>
    </w:p>
    <w:p w14:paraId="3E4734B3">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1975CB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1BD7AC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6C1D922">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541B44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370F3F4">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14:paraId="44D30650">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171BEB5A">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14:paraId="1EFF69AC">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w:t>
      </w:r>
      <w:r>
        <w:rPr>
          <w:rFonts w:hint="eastAsia" w:ascii="宋体" w:hAnsi="宋体"/>
          <w:color w:val="auto"/>
          <w:kern w:val="0"/>
          <w:szCs w:val="21"/>
          <w:highlight w:val="none"/>
          <w:lang w:val="en-US" w:eastAsia="zh-CN"/>
        </w:rPr>
        <w:t>身份证明</w:t>
      </w:r>
      <w:r>
        <w:rPr>
          <w:rFonts w:hint="eastAsia" w:ascii="宋体" w:hAnsi="宋体"/>
          <w:color w:val="auto"/>
          <w:kern w:val="0"/>
          <w:szCs w:val="21"/>
          <w:highlight w:val="none"/>
        </w:rPr>
        <w:t>扫描件（双面）</w:t>
      </w:r>
    </w:p>
    <w:p w14:paraId="262D68D4">
      <w:pPr>
        <w:tabs>
          <w:tab w:val="left" w:pos="5460"/>
        </w:tabs>
        <w:autoSpaceDE w:val="0"/>
        <w:autoSpaceDN w:val="0"/>
        <w:adjustRightInd w:val="0"/>
        <w:snapToGrid w:val="0"/>
        <w:spacing w:line="480" w:lineRule="auto"/>
        <w:ind w:firstLine="2100"/>
        <w:jc w:val="right"/>
        <w:rPr>
          <w:rFonts w:ascii="宋体" w:hAnsi="宋体"/>
          <w:i/>
          <w:color w:val="auto"/>
          <w:kern w:val="0"/>
          <w:szCs w:val="21"/>
          <w:highlight w:val="none"/>
        </w:rPr>
      </w:pPr>
    </w:p>
    <w:p w14:paraId="38FF50DC">
      <w:pPr>
        <w:pStyle w:val="2"/>
        <w:rPr>
          <w:rFonts w:ascii="宋体" w:hAnsi="宋体"/>
          <w:i/>
          <w:color w:val="auto"/>
          <w:kern w:val="0"/>
          <w:szCs w:val="21"/>
          <w:highlight w:val="none"/>
        </w:rPr>
      </w:pPr>
    </w:p>
    <w:p w14:paraId="03BF346C">
      <w:pPr>
        <w:rPr>
          <w:rFonts w:ascii="宋体" w:hAnsi="宋体"/>
          <w:i/>
          <w:color w:val="auto"/>
          <w:kern w:val="0"/>
          <w:szCs w:val="21"/>
          <w:highlight w:val="none"/>
        </w:rPr>
      </w:pPr>
    </w:p>
    <w:p w14:paraId="01C83F10">
      <w:pPr>
        <w:pStyle w:val="2"/>
        <w:rPr>
          <w:rFonts w:ascii="宋体" w:hAnsi="宋体"/>
          <w:i/>
          <w:color w:val="auto"/>
          <w:kern w:val="0"/>
          <w:szCs w:val="21"/>
          <w:highlight w:val="none"/>
        </w:rPr>
      </w:pPr>
    </w:p>
    <w:p w14:paraId="7AE14A48">
      <w:pPr>
        <w:rPr>
          <w:rFonts w:ascii="宋体" w:hAnsi="宋体"/>
          <w:i/>
          <w:color w:val="auto"/>
          <w:kern w:val="0"/>
          <w:szCs w:val="21"/>
          <w:highlight w:val="none"/>
        </w:rPr>
      </w:pPr>
    </w:p>
    <w:p w14:paraId="0717B13D">
      <w:pPr>
        <w:pStyle w:val="2"/>
        <w:rPr>
          <w:highlight w:val="none"/>
        </w:rPr>
      </w:pPr>
    </w:p>
    <w:p w14:paraId="6C16A4C8">
      <w:pPr>
        <w:tabs>
          <w:tab w:val="left" w:pos="5460"/>
        </w:tabs>
        <w:autoSpaceDE w:val="0"/>
        <w:autoSpaceDN w:val="0"/>
        <w:adjustRightInd w:val="0"/>
        <w:snapToGrid w:val="0"/>
        <w:spacing w:line="480" w:lineRule="auto"/>
        <w:ind w:firstLine="2100"/>
        <w:jc w:val="right"/>
        <w:rPr>
          <w:rFonts w:ascii="宋体" w:hAnsi="宋体"/>
          <w:i/>
          <w:color w:val="auto"/>
          <w:kern w:val="0"/>
          <w:szCs w:val="21"/>
          <w:highlight w:val="none"/>
        </w:rPr>
      </w:pPr>
    </w:p>
    <w:p w14:paraId="55284553">
      <w:pPr>
        <w:tabs>
          <w:tab w:val="left" w:pos="5460"/>
        </w:tabs>
        <w:autoSpaceDE w:val="0"/>
        <w:autoSpaceDN w:val="0"/>
        <w:adjustRightInd w:val="0"/>
        <w:snapToGrid w:val="0"/>
        <w:spacing w:line="480" w:lineRule="auto"/>
        <w:ind w:firstLine="2100"/>
        <w:jc w:val="right"/>
        <w:rPr>
          <w:rFonts w:ascii="宋体" w:hAnsi="宋体"/>
          <w:color w:val="auto"/>
          <w:kern w:val="0"/>
          <w:sz w:val="20"/>
          <w:szCs w:val="20"/>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4EED493B">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21A1ACEA">
      <w:pPr>
        <w:spacing w:line="360" w:lineRule="auto"/>
        <w:ind w:firstLine="420" w:firstLineChars="200"/>
        <w:rPr>
          <w:rFonts w:ascii="宋体" w:hAnsi="宋体"/>
          <w:color w:val="auto"/>
          <w:highlight w:val="none"/>
        </w:rPr>
      </w:pPr>
    </w:p>
    <w:p w14:paraId="08B04829">
      <w:pPr>
        <w:spacing w:line="360" w:lineRule="auto"/>
        <w:ind w:firstLine="420" w:firstLineChars="200"/>
        <w:rPr>
          <w:rFonts w:ascii="宋体" w:hAnsi="宋体"/>
          <w:color w:val="auto"/>
          <w:highlight w:val="none"/>
        </w:rPr>
      </w:pPr>
    </w:p>
    <w:p w14:paraId="3CFDCEAA">
      <w:pPr>
        <w:spacing w:line="360" w:lineRule="auto"/>
        <w:ind w:firstLine="420" w:firstLineChars="200"/>
        <w:rPr>
          <w:rFonts w:ascii="宋体" w:hAnsi="宋体"/>
          <w:color w:val="auto"/>
          <w:highlight w:val="none"/>
        </w:rPr>
      </w:pPr>
    </w:p>
    <w:p w14:paraId="6357E930">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05B4DFF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4C19B1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w:t>
      </w:r>
      <w:r>
        <w:rPr>
          <w:rFonts w:hint="eastAsia" w:ascii="宋体" w:hAnsi="宋体"/>
          <w:color w:val="auto"/>
          <w:kern w:val="0"/>
          <w:szCs w:val="21"/>
          <w:highlight w:val="none"/>
          <w:lang w:val="en-US" w:eastAsia="zh-CN"/>
        </w:rPr>
        <w:t>代表我方</w:t>
      </w:r>
      <w:r>
        <w:rPr>
          <w:rFonts w:ascii="宋体" w:hAnsi="宋体"/>
          <w:color w:val="auto"/>
          <w:kern w:val="0"/>
          <w:szCs w:val="21"/>
          <w:highlight w:val="none"/>
        </w:rPr>
        <w:t>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14:paraId="118C23B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00C4262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6F7D4E5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11E3ED05">
      <w:pPr>
        <w:pStyle w:val="2"/>
        <w:rPr>
          <w:highlight w:val="none"/>
        </w:rPr>
      </w:pPr>
    </w:p>
    <w:p w14:paraId="381C2DA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3A2E5E14">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14:paraId="2510A2A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9C21F9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w:t>
      </w:r>
    </w:p>
    <w:p w14:paraId="72F25AD1">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55D1BEE4">
      <w:pPr>
        <w:pStyle w:val="2"/>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7D9387F">
      <w:pPr>
        <w:pStyle w:val="2"/>
        <w:spacing w:line="360" w:lineRule="auto"/>
        <w:ind w:firstLine="420" w:firstLineChars="200"/>
        <w:rPr>
          <w:color w:val="auto"/>
          <w:highlight w:val="none"/>
        </w:rPr>
      </w:pP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rPr>
        <w:t>：</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B2713F0">
      <w:pPr>
        <w:pStyle w:val="2"/>
        <w:ind w:firstLine="840" w:firstLineChars="400"/>
        <w:rPr>
          <w:color w:val="auto"/>
          <w:highlight w:val="none"/>
        </w:rPr>
      </w:pPr>
      <w:r>
        <w:rPr>
          <w:rFonts w:hint="eastAsia" w:ascii="宋体" w:hAnsi="宋体"/>
          <w:color w:val="auto"/>
          <w:szCs w:val="21"/>
          <w:highlight w:val="none"/>
        </w:rPr>
        <w:t>附：法定代表人及委托代理人</w:t>
      </w:r>
      <w:r>
        <w:rPr>
          <w:rFonts w:hint="eastAsia" w:ascii="宋体" w:hAnsi="宋体"/>
          <w:color w:val="auto"/>
          <w:szCs w:val="21"/>
          <w:highlight w:val="none"/>
          <w:lang w:val="en-US" w:eastAsia="zh-CN"/>
        </w:rPr>
        <w:t>身份证明</w:t>
      </w:r>
      <w:r>
        <w:rPr>
          <w:rFonts w:hint="eastAsia" w:ascii="宋体" w:hAnsi="宋体"/>
          <w:color w:val="auto"/>
          <w:szCs w:val="21"/>
          <w:highlight w:val="none"/>
        </w:rPr>
        <w:t>扫描件</w:t>
      </w:r>
      <w:r>
        <w:rPr>
          <w:rFonts w:hint="eastAsia" w:ascii="宋体" w:hAnsi="宋体"/>
          <w:color w:val="auto"/>
          <w:kern w:val="0"/>
          <w:szCs w:val="21"/>
          <w:highlight w:val="none"/>
        </w:rPr>
        <w:t>（双面）</w:t>
      </w:r>
    </w:p>
    <w:p w14:paraId="3916363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B524B9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6956CB9">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B64889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2E9192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BACA62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36E1465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89CE31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3672614A">
      <w:pPr>
        <w:tabs>
          <w:tab w:val="left" w:pos="5760"/>
        </w:tabs>
        <w:autoSpaceDE w:val="0"/>
        <w:autoSpaceDN w:val="0"/>
        <w:adjustRightInd w:val="0"/>
        <w:spacing w:line="360" w:lineRule="auto"/>
        <w:ind w:firstLine="420" w:firstLineChars="200"/>
        <w:rPr>
          <w:rFonts w:ascii="宋体" w:hAnsi="宋体"/>
          <w:color w:val="auto"/>
          <w:kern w:val="0"/>
          <w:highlight w:val="none"/>
        </w:rPr>
      </w:pPr>
    </w:p>
    <w:p w14:paraId="4A8E4DD3">
      <w:pPr>
        <w:tabs>
          <w:tab w:val="left" w:pos="5760"/>
        </w:tabs>
        <w:autoSpaceDE w:val="0"/>
        <w:autoSpaceDN w:val="0"/>
        <w:adjustRightInd w:val="0"/>
        <w:spacing w:line="360" w:lineRule="auto"/>
        <w:ind w:firstLine="420" w:firstLineChars="200"/>
        <w:rPr>
          <w:rFonts w:ascii="宋体" w:hAnsi="宋体"/>
          <w:color w:val="auto"/>
          <w:kern w:val="0"/>
          <w:highlight w:val="none"/>
        </w:rPr>
      </w:pPr>
    </w:p>
    <w:p w14:paraId="74F4D27A">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5EC4BC1A">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5545AF65">
      <w:pPr>
        <w:spacing w:line="360" w:lineRule="auto"/>
        <w:ind w:firstLine="420" w:firstLineChars="200"/>
        <w:rPr>
          <w:rFonts w:ascii="宋体" w:hAnsi="宋体"/>
          <w:color w:val="auto"/>
          <w:highlight w:val="none"/>
        </w:rPr>
      </w:pPr>
      <w:r>
        <w:rPr>
          <w:rFonts w:ascii="宋体" w:hAnsi="宋体"/>
          <w:color w:val="auto"/>
          <w:highlight w:val="none"/>
        </w:rPr>
        <w:br w:type="page"/>
      </w:r>
    </w:p>
    <w:p w14:paraId="0D8E2BB9">
      <w:pPr>
        <w:pStyle w:val="4"/>
        <w:spacing w:line="360" w:lineRule="auto"/>
        <w:jc w:val="center"/>
        <w:rPr>
          <w:rFonts w:ascii="宋体" w:hAnsi="宋体"/>
          <w:b w:val="0"/>
          <w:bCs w:val="0"/>
          <w:color w:val="auto"/>
          <w:sz w:val="44"/>
          <w:szCs w:val="44"/>
          <w:highlight w:val="none"/>
        </w:rPr>
      </w:pPr>
      <w:bookmarkStart w:id="1614" w:name="_Toc7198"/>
      <w:bookmarkStart w:id="1615" w:name="_Toc59810449"/>
      <w:bookmarkStart w:id="1616" w:name="_Toc26752"/>
      <w:bookmarkStart w:id="1617" w:name="_Toc21006"/>
      <w:bookmarkStart w:id="1618" w:name="_Toc23496"/>
      <w:bookmarkStart w:id="1619" w:name="_Toc9686"/>
      <w:bookmarkStart w:id="1620" w:name="_Toc33106473"/>
      <w:r>
        <w:rPr>
          <w:rFonts w:hint="eastAsia" w:ascii="宋体" w:hAnsi="宋体"/>
          <w:b w:val="0"/>
          <w:bCs w:val="0"/>
          <w:color w:val="auto"/>
          <w:sz w:val="44"/>
          <w:szCs w:val="44"/>
          <w:highlight w:val="none"/>
        </w:rPr>
        <w:t>二、</w:t>
      </w:r>
      <w:r>
        <w:rPr>
          <w:rFonts w:hint="eastAsia" w:ascii="宋体" w:hAnsi="宋体"/>
          <w:b w:val="0"/>
          <w:bCs w:val="0"/>
          <w:color w:val="auto"/>
          <w:sz w:val="44"/>
          <w:szCs w:val="44"/>
          <w:highlight w:val="none"/>
          <w:lang w:val="en-US" w:eastAsia="zh-CN"/>
        </w:rPr>
        <w:t>报价</w:t>
      </w:r>
      <w:r>
        <w:rPr>
          <w:rFonts w:hint="eastAsia" w:ascii="宋体" w:hAnsi="宋体"/>
          <w:b w:val="0"/>
          <w:bCs w:val="0"/>
          <w:color w:val="auto"/>
          <w:sz w:val="44"/>
          <w:szCs w:val="44"/>
          <w:highlight w:val="none"/>
        </w:rPr>
        <w:t>部分</w:t>
      </w:r>
      <w:bookmarkEnd w:id="1614"/>
      <w:bookmarkEnd w:id="1615"/>
      <w:bookmarkEnd w:id="1616"/>
      <w:bookmarkEnd w:id="1617"/>
      <w:bookmarkEnd w:id="1618"/>
      <w:bookmarkEnd w:id="1619"/>
    </w:p>
    <w:p w14:paraId="4CD54D60">
      <w:pPr>
        <w:spacing w:line="360" w:lineRule="auto"/>
        <w:jc w:val="center"/>
        <w:rPr>
          <w:rFonts w:ascii="宋体" w:hAnsi="宋体"/>
          <w:color w:val="auto"/>
          <w:kern w:val="0"/>
          <w:sz w:val="32"/>
          <w:szCs w:val="32"/>
          <w:highlight w:val="none"/>
          <w:u w:val="single"/>
        </w:rPr>
      </w:pPr>
      <w:r>
        <w:rPr>
          <w:rFonts w:ascii="宋体" w:hAnsi="宋体"/>
          <w:color w:val="auto"/>
          <w:kern w:val="0"/>
          <w:sz w:val="32"/>
          <w:szCs w:val="32"/>
          <w:highlight w:val="none"/>
          <w:u w:val="single"/>
        </w:rPr>
        <w:br w:type="page"/>
      </w:r>
      <w:r>
        <w:rPr>
          <w:rFonts w:hint="eastAsia" w:ascii="宋体" w:hAnsi="宋体"/>
          <w:color w:val="auto"/>
          <w:kern w:val="0"/>
          <w:sz w:val="32"/>
          <w:szCs w:val="32"/>
          <w:highlight w:val="none"/>
          <w:u w:val="single"/>
        </w:rPr>
        <w:t xml:space="preserve">                   </w:t>
      </w:r>
      <w:bookmarkStart w:id="1621" w:name="_Hlk45039087"/>
      <w:r>
        <w:rPr>
          <w:rFonts w:hint="eastAsia" w:ascii="宋体" w:hAnsi="宋体"/>
          <w:color w:val="auto"/>
          <w:kern w:val="0"/>
          <w:sz w:val="32"/>
          <w:szCs w:val="32"/>
          <w:highlight w:val="none"/>
          <w:u w:val="single"/>
        </w:rPr>
        <w:t>（项目名称）</w:t>
      </w:r>
    </w:p>
    <w:p w14:paraId="488E245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4D5A52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9FF264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0376EE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685C16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1942CD3">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4B971DB0">
      <w:pPr>
        <w:autoSpaceDE w:val="0"/>
        <w:autoSpaceDN w:val="0"/>
        <w:adjustRightInd w:val="0"/>
        <w:snapToGrid w:val="0"/>
        <w:spacing w:line="360" w:lineRule="auto"/>
        <w:jc w:val="left"/>
        <w:rPr>
          <w:rFonts w:ascii="宋体" w:hAnsi="宋体"/>
          <w:color w:val="auto"/>
          <w:kern w:val="0"/>
          <w:sz w:val="16"/>
          <w:szCs w:val="16"/>
          <w:highlight w:val="none"/>
        </w:rPr>
      </w:pPr>
    </w:p>
    <w:p w14:paraId="0AAB421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val="en-US" w:eastAsia="zh-CN"/>
        </w:rPr>
        <w:t>报价</w:t>
      </w:r>
      <w:r>
        <w:rPr>
          <w:rFonts w:hint="eastAsia" w:ascii="宋体" w:hAnsi="宋体"/>
          <w:color w:val="auto"/>
          <w:kern w:val="0"/>
          <w:sz w:val="36"/>
          <w:szCs w:val="36"/>
          <w:highlight w:val="none"/>
        </w:rPr>
        <w:t>部分</w:t>
      </w:r>
    </w:p>
    <w:p w14:paraId="3DA85F93">
      <w:pPr>
        <w:autoSpaceDE w:val="0"/>
        <w:autoSpaceDN w:val="0"/>
        <w:adjustRightInd w:val="0"/>
        <w:snapToGrid w:val="0"/>
        <w:spacing w:line="360" w:lineRule="auto"/>
        <w:jc w:val="left"/>
        <w:rPr>
          <w:rFonts w:ascii="宋体" w:hAnsi="宋体"/>
          <w:b/>
          <w:color w:val="auto"/>
          <w:kern w:val="0"/>
          <w:sz w:val="20"/>
          <w:szCs w:val="20"/>
          <w:highlight w:val="none"/>
        </w:rPr>
      </w:pPr>
    </w:p>
    <w:p w14:paraId="738A0673">
      <w:pPr>
        <w:autoSpaceDE w:val="0"/>
        <w:autoSpaceDN w:val="0"/>
        <w:adjustRightInd w:val="0"/>
        <w:snapToGrid w:val="0"/>
        <w:spacing w:line="360" w:lineRule="auto"/>
        <w:jc w:val="left"/>
        <w:rPr>
          <w:rFonts w:ascii="宋体" w:hAnsi="宋体"/>
          <w:b/>
          <w:color w:val="auto"/>
          <w:kern w:val="0"/>
          <w:sz w:val="20"/>
          <w:szCs w:val="20"/>
          <w:highlight w:val="none"/>
        </w:rPr>
      </w:pPr>
    </w:p>
    <w:p w14:paraId="56A328BA">
      <w:pPr>
        <w:autoSpaceDE w:val="0"/>
        <w:autoSpaceDN w:val="0"/>
        <w:adjustRightInd w:val="0"/>
        <w:snapToGrid w:val="0"/>
        <w:spacing w:line="360" w:lineRule="auto"/>
        <w:jc w:val="left"/>
        <w:rPr>
          <w:rFonts w:ascii="宋体" w:hAnsi="宋体"/>
          <w:b/>
          <w:color w:val="auto"/>
          <w:kern w:val="0"/>
          <w:sz w:val="20"/>
          <w:szCs w:val="20"/>
          <w:highlight w:val="none"/>
        </w:rPr>
      </w:pPr>
    </w:p>
    <w:p w14:paraId="0B5CD0AE">
      <w:pPr>
        <w:autoSpaceDE w:val="0"/>
        <w:autoSpaceDN w:val="0"/>
        <w:adjustRightInd w:val="0"/>
        <w:snapToGrid w:val="0"/>
        <w:spacing w:line="360" w:lineRule="auto"/>
        <w:jc w:val="left"/>
        <w:rPr>
          <w:rFonts w:ascii="宋体" w:hAnsi="宋体"/>
          <w:b/>
          <w:color w:val="auto"/>
          <w:kern w:val="0"/>
          <w:sz w:val="20"/>
          <w:szCs w:val="20"/>
          <w:highlight w:val="none"/>
        </w:rPr>
      </w:pPr>
    </w:p>
    <w:p w14:paraId="463A7B42">
      <w:pPr>
        <w:autoSpaceDE w:val="0"/>
        <w:autoSpaceDN w:val="0"/>
        <w:adjustRightInd w:val="0"/>
        <w:snapToGrid w:val="0"/>
        <w:spacing w:line="360" w:lineRule="auto"/>
        <w:jc w:val="left"/>
        <w:rPr>
          <w:rFonts w:ascii="宋体" w:hAnsi="宋体"/>
          <w:b/>
          <w:color w:val="auto"/>
          <w:kern w:val="0"/>
          <w:sz w:val="20"/>
          <w:szCs w:val="20"/>
          <w:highlight w:val="none"/>
        </w:rPr>
      </w:pPr>
    </w:p>
    <w:p w14:paraId="23AD5822">
      <w:pPr>
        <w:autoSpaceDE w:val="0"/>
        <w:autoSpaceDN w:val="0"/>
        <w:adjustRightInd w:val="0"/>
        <w:snapToGrid w:val="0"/>
        <w:spacing w:line="360" w:lineRule="auto"/>
        <w:jc w:val="left"/>
        <w:rPr>
          <w:rFonts w:ascii="宋体" w:hAnsi="宋体"/>
          <w:b/>
          <w:color w:val="auto"/>
          <w:kern w:val="0"/>
          <w:sz w:val="20"/>
          <w:szCs w:val="20"/>
          <w:highlight w:val="none"/>
        </w:rPr>
      </w:pPr>
    </w:p>
    <w:p w14:paraId="0C962F25">
      <w:pPr>
        <w:autoSpaceDE w:val="0"/>
        <w:autoSpaceDN w:val="0"/>
        <w:adjustRightInd w:val="0"/>
        <w:snapToGrid w:val="0"/>
        <w:spacing w:line="360" w:lineRule="auto"/>
        <w:jc w:val="left"/>
        <w:rPr>
          <w:rFonts w:ascii="宋体" w:hAnsi="宋体"/>
          <w:b/>
          <w:color w:val="auto"/>
          <w:kern w:val="0"/>
          <w:sz w:val="20"/>
          <w:szCs w:val="20"/>
          <w:highlight w:val="none"/>
        </w:rPr>
      </w:pPr>
    </w:p>
    <w:p w14:paraId="4B6C92FF">
      <w:pPr>
        <w:autoSpaceDE w:val="0"/>
        <w:autoSpaceDN w:val="0"/>
        <w:adjustRightInd w:val="0"/>
        <w:snapToGrid w:val="0"/>
        <w:spacing w:line="360" w:lineRule="auto"/>
        <w:jc w:val="left"/>
        <w:rPr>
          <w:rFonts w:ascii="宋体" w:hAnsi="宋体"/>
          <w:b/>
          <w:color w:val="auto"/>
          <w:kern w:val="0"/>
          <w:sz w:val="20"/>
          <w:szCs w:val="20"/>
          <w:highlight w:val="none"/>
        </w:rPr>
      </w:pPr>
    </w:p>
    <w:p w14:paraId="221FDE73">
      <w:pPr>
        <w:autoSpaceDE w:val="0"/>
        <w:autoSpaceDN w:val="0"/>
        <w:adjustRightInd w:val="0"/>
        <w:snapToGrid w:val="0"/>
        <w:spacing w:line="360" w:lineRule="auto"/>
        <w:jc w:val="left"/>
        <w:rPr>
          <w:rFonts w:ascii="宋体" w:hAnsi="宋体"/>
          <w:b/>
          <w:color w:val="auto"/>
          <w:kern w:val="0"/>
          <w:sz w:val="20"/>
          <w:szCs w:val="20"/>
          <w:highlight w:val="none"/>
        </w:rPr>
      </w:pPr>
    </w:p>
    <w:p w14:paraId="50C7E20A">
      <w:pPr>
        <w:autoSpaceDE w:val="0"/>
        <w:autoSpaceDN w:val="0"/>
        <w:adjustRightInd w:val="0"/>
        <w:snapToGrid w:val="0"/>
        <w:spacing w:line="360" w:lineRule="auto"/>
        <w:jc w:val="left"/>
        <w:rPr>
          <w:rFonts w:ascii="宋体" w:hAnsi="宋体"/>
          <w:b/>
          <w:color w:val="auto"/>
          <w:kern w:val="0"/>
          <w:sz w:val="20"/>
          <w:szCs w:val="20"/>
          <w:highlight w:val="none"/>
        </w:rPr>
      </w:pPr>
    </w:p>
    <w:p w14:paraId="3454CADA">
      <w:pPr>
        <w:autoSpaceDE w:val="0"/>
        <w:autoSpaceDN w:val="0"/>
        <w:adjustRightInd w:val="0"/>
        <w:snapToGrid w:val="0"/>
        <w:spacing w:line="360" w:lineRule="auto"/>
        <w:jc w:val="left"/>
        <w:rPr>
          <w:rFonts w:ascii="宋体" w:hAnsi="宋体"/>
          <w:b/>
          <w:color w:val="auto"/>
          <w:kern w:val="0"/>
          <w:sz w:val="20"/>
          <w:szCs w:val="20"/>
          <w:highlight w:val="none"/>
        </w:rPr>
      </w:pPr>
    </w:p>
    <w:p w14:paraId="0A6D992C">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6AA48244">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p>
    <w:p w14:paraId="2EE5A229">
      <w:pPr>
        <w:pStyle w:val="9"/>
        <w:tabs>
          <w:tab w:val="left" w:pos="315"/>
        </w:tabs>
        <w:spacing w:before="156" w:beforeLines="50" w:line="500" w:lineRule="exact"/>
        <w:ind w:firstLine="554" w:firstLineChars="200"/>
        <w:jc w:val="center"/>
        <w:rPr>
          <w:rFonts w:ascii="宋体" w:hAnsi="宋体" w:eastAsia="宋体"/>
          <w:b/>
          <w:color w:val="auto"/>
          <w:sz w:val="21"/>
          <w:szCs w:val="21"/>
          <w:highlight w:val="none"/>
        </w:rPr>
      </w:pPr>
      <w:r>
        <w:rPr>
          <w:rFonts w:hint="eastAsia" w:ascii="宋体" w:hAnsi="宋体"/>
          <w:color w:val="auto"/>
          <w:w w:val="99"/>
          <w:sz w:val="28"/>
          <w:szCs w:val="28"/>
          <w:highlight w:val="none"/>
        </w:rPr>
        <w:t>年</w:t>
      </w:r>
      <w:r>
        <w:rPr>
          <w:rFonts w:hint="eastAsia" w:ascii="宋体" w:hAnsi="宋体"/>
          <w:color w:val="auto"/>
          <w:w w:val="99"/>
          <w:sz w:val="28"/>
          <w:szCs w:val="28"/>
          <w:highlight w:val="none"/>
          <w:u w:val="single"/>
        </w:rPr>
        <w:t xml:space="preserve">    </w:t>
      </w:r>
      <w:r>
        <w:rPr>
          <w:rFonts w:hint="eastAsia" w:ascii="宋体" w:hAnsi="宋体"/>
          <w:color w:val="auto"/>
          <w:w w:val="99"/>
          <w:sz w:val="28"/>
          <w:szCs w:val="28"/>
          <w:highlight w:val="none"/>
        </w:rPr>
        <w:t>月</w:t>
      </w:r>
      <w:r>
        <w:rPr>
          <w:rFonts w:hint="eastAsia" w:ascii="宋体" w:hAnsi="宋体"/>
          <w:color w:val="auto"/>
          <w:w w:val="99"/>
          <w:sz w:val="28"/>
          <w:szCs w:val="28"/>
          <w:highlight w:val="none"/>
          <w:u w:val="single"/>
        </w:rPr>
        <w:t xml:space="preserve">    </w:t>
      </w:r>
      <w:r>
        <w:rPr>
          <w:rFonts w:hint="eastAsia" w:ascii="宋体" w:hAnsi="宋体"/>
          <w:color w:val="auto"/>
          <w:w w:val="99"/>
          <w:sz w:val="28"/>
          <w:szCs w:val="28"/>
          <w:highlight w:val="none"/>
        </w:rPr>
        <w:t>日</w:t>
      </w:r>
      <w:bookmarkEnd w:id="1621"/>
    </w:p>
    <w:p w14:paraId="0A574C76">
      <w:pPr>
        <w:tabs>
          <w:tab w:val="left" w:pos="2580"/>
          <w:tab w:val="left" w:pos="5940"/>
        </w:tabs>
        <w:autoSpaceDE w:val="0"/>
        <w:autoSpaceDN w:val="0"/>
        <w:adjustRightInd w:val="0"/>
        <w:snapToGrid w:val="0"/>
        <w:spacing w:line="360" w:lineRule="auto"/>
        <w:ind w:firstLine="2940"/>
        <w:jc w:val="left"/>
        <w:rPr>
          <w:rFonts w:ascii="宋体" w:hAnsi="宋体"/>
          <w:color w:val="auto"/>
          <w:highlight w:val="none"/>
        </w:rPr>
      </w:pPr>
      <w:bookmarkStart w:id="1622" w:name="_Toc224103500"/>
      <w:r>
        <w:rPr>
          <w:rFonts w:ascii="宋体" w:hAnsi="宋体"/>
          <w:color w:val="auto"/>
          <w:sz w:val="32"/>
          <w:szCs w:val="32"/>
          <w:highlight w:val="none"/>
        </w:rPr>
        <w:br w:type="page"/>
      </w:r>
      <w:bookmarkStart w:id="1623" w:name="_Toc430530534"/>
      <w:bookmarkStart w:id="1624" w:name="_Toc287620819"/>
      <w:bookmarkStart w:id="1625" w:name="_Toc287607872"/>
    </w:p>
    <w:bookmarkEnd w:id="1622"/>
    <w:bookmarkEnd w:id="1623"/>
    <w:bookmarkEnd w:id="1624"/>
    <w:bookmarkEnd w:id="1625"/>
    <w:p w14:paraId="19C89550">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14CA08F6">
      <w:pPr>
        <w:autoSpaceDE w:val="0"/>
        <w:autoSpaceDN w:val="0"/>
        <w:adjustRightInd w:val="0"/>
        <w:snapToGrid w:val="0"/>
        <w:spacing w:line="360" w:lineRule="auto"/>
        <w:jc w:val="left"/>
        <w:rPr>
          <w:rFonts w:ascii="宋体" w:hAnsi="宋体"/>
          <w:color w:val="auto"/>
          <w:kern w:val="0"/>
          <w:szCs w:val="21"/>
          <w:highlight w:val="none"/>
        </w:rPr>
      </w:pPr>
    </w:p>
    <w:p w14:paraId="100049FF">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注：</w:t>
      </w:r>
      <w:r>
        <w:rPr>
          <w:rFonts w:ascii="宋体" w:hAnsi="宋体"/>
          <w:color w:val="auto"/>
          <w:kern w:val="0"/>
          <w:szCs w:val="21"/>
          <w:highlight w:val="none"/>
        </w:rPr>
        <w:t>目录由投标人自行编制</w:t>
      </w:r>
      <w:r>
        <w:rPr>
          <w:rFonts w:hint="eastAsia" w:ascii="宋体" w:hAnsi="宋体"/>
          <w:color w:val="auto"/>
          <w:kern w:val="0"/>
          <w:szCs w:val="21"/>
          <w:highlight w:val="none"/>
          <w:lang w:eastAsia="zh-CN"/>
        </w:rPr>
        <w:t>）</w:t>
      </w:r>
    </w:p>
    <w:p w14:paraId="702F7D07">
      <w:pPr>
        <w:widowControl/>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378BB7D1">
      <w:pPr>
        <w:pStyle w:val="2"/>
        <w:rPr>
          <w:color w:val="auto"/>
          <w:highlight w:val="none"/>
        </w:rPr>
      </w:pPr>
    </w:p>
    <w:p w14:paraId="477D186F">
      <w:pPr>
        <w:pStyle w:val="2"/>
        <w:rPr>
          <w:color w:val="auto"/>
          <w:highlight w:val="none"/>
        </w:rPr>
      </w:pPr>
    </w:p>
    <w:p w14:paraId="19B94FF0">
      <w:pPr>
        <w:pStyle w:val="2"/>
        <w:rPr>
          <w:color w:val="auto"/>
          <w:highlight w:val="none"/>
        </w:rPr>
      </w:pPr>
    </w:p>
    <w:p w14:paraId="677B0B51">
      <w:pPr>
        <w:autoSpaceDE w:val="0"/>
        <w:autoSpaceDN w:val="0"/>
        <w:adjustRightInd w:val="0"/>
        <w:snapToGrid w:val="0"/>
        <w:spacing w:line="360" w:lineRule="auto"/>
        <w:jc w:val="center"/>
        <w:rPr>
          <w:rFonts w:ascii="宋体" w:hAnsi="宋体"/>
          <w:b/>
          <w:color w:val="auto"/>
          <w:kern w:val="0"/>
          <w:sz w:val="32"/>
          <w:szCs w:val="32"/>
          <w:highlight w:val="none"/>
        </w:rPr>
      </w:pPr>
      <w:r>
        <w:rPr>
          <w:rFonts w:ascii="宋体" w:hAnsi="宋体"/>
          <w:b/>
          <w:color w:val="auto"/>
          <w:kern w:val="0"/>
          <w:sz w:val="32"/>
          <w:szCs w:val="32"/>
          <w:highlight w:val="none"/>
        </w:rPr>
        <w:t>已标价工程量清单</w:t>
      </w:r>
    </w:p>
    <w:p w14:paraId="5E18F946">
      <w:pPr>
        <w:autoSpaceDE w:val="0"/>
        <w:autoSpaceDN w:val="0"/>
        <w:adjustRightInd w:val="0"/>
        <w:snapToGrid w:val="0"/>
        <w:spacing w:line="360" w:lineRule="auto"/>
        <w:jc w:val="left"/>
        <w:rPr>
          <w:rFonts w:ascii="宋体" w:hAnsi="宋体"/>
          <w:color w:val="auto"/>
          <w:sz w:val="32"/>
          <w:szCs w:val="32"/>
          <w:highlight w:val="none"/>
        </w:rPr>
      </w:pPr>
    </w:p>
    <w:p w14:paraId="5894E0E2">
      <w:pPr>
        <w:autoSpaceDE w:val="0"/>
        <w:autoSpaceDN w:val="0"/>
        <w:adjustRightInd w:val="0"/>
        <w:snapToGrid w:val="0"/>
        <w:spacing w:line="360" w:lineRule="auto"/>
        <w:jc w:val="left"/>
        <w:rPr>
          <w:rFonts w:ascii="宋体" w:hAnsi="宋体"/>
          <w:color w:val="auto"/>
          <w:sz w:val="32"/>
          <w:szCs w:val="32"/>
          <w:highlight w:val="none"/>
        </w:rPr>
      </w:pPr>
    </w:p>
    <w:bookmarkEnd w:id="1620"/>
    <w:p w14:paraId="54F51199">
      <w:pPr>
        <w:tabs>
          <w:tab w:val="left" w:pos="3840"/>
          <w:tab w:val="left" w:pos="4780"/>
          <w:tab w:val="left" w:pos="5720"/>
        </w:tabs>
        <w:autoSpaceDE w:val="0"/>
        <w:autoSpaceDN w:val="0"/>
        <w:adjustRightInd w:val="0"/>
        <w:snapToGrid w:val="0"/>
        <w:spacing w:before="156" w:beforeLines="50" w:line="500" w:lineRule="exact"/>
        <w:ind w:right="862"/>
        <w:jc w:val="left"/>
        <w:rPr>
          <w:rFonts w:ascii="宋体" w:hAnsi="宋体"/>
          <w:color w:val="auto"/>
          <w:sz w:val="36"/>
          <w:szCs w:val="36"/>
          <w:highlight w:val="none"/>
        </w:rPr>
      </w:pPr>
      <w:r>
        <w:rPr>
          <w:rFonts w:ascii="宋体" w:hAnsi="宋体"/>
          <w:color w:val="auto"/>
          <w:highlight w:val="none"/>
        </w:rPr>
        <w:br w:type="page"/>
      </w:r>
    </w:p>
    <w:p w14:paraId="4512E5D6">
      <w:pPr>
        <w:pStyle w:val="4"/>
        <w:spacing w:line="360" w:lineRule="auto"/>
        <w:jc w:val="center"/>
        <w:rPr>
          <w:rFonts w:ascii="宋体" w:hAnsi="宋体"/>
          <w:b w:val="0"/>
          <w:bCs w:val="0"/>
          <w:color w:val="auto"/>
          <w:sz w:val="44"/>
          <w:szCs w:val="44"/>
          <w:highlight w:val="none"/>
        </w:rPr>
      </w:pPr>
      <w:bookmarkStart w:id="1626" w:name="_Toc59810452"/>
      <w:bookmarkStart w:id="1627" w:name="_Toc33106475"/>
      <w:bookmarkStart w:id="1628" w:name="_Toc10730"/>
      <w:bookmarkStart w:id="1629" w:name="_Toc27604"/>
      <w:bookmarkStart w:id="1630" w:name="_Toc32118"/>
      <w:bookmarkStart w:id="1631" w:name="_Toc26937"/>
      <w:bookmarkStart w:id="1632" w:name="_Toc4306"/>
      <w:r>
        <w:rPr>
          <w:rFonts w:hint="eastAsia" w:ascii="宋体" w:hAnsi="宋体"/>
          <w:b w:val="0"/>
          <w:bCs w:val="0"/>
          <w:color w:val="auto"/>
          <w:sz w:val="44"/>
          <w:szCs w:val="44"/>
          <w:highlight w:val="none"/>
          <w:lang w:val="en-US" w:eastAsia="zh-CN"/>
        </w:rPr>
        <w:t>三</w:t>
      </w:r>
      <w:r>
        <w:rPr>
          <w:rFonts w:hint="eastAsia" w:ascii="宋体" w:hAnsi="宋体"/>
          <w:b w:val="0"/>
          <w:bCs w:val="0"/>
          <w:color w:val="auto"/>
          <w:sz w:val="44"/>
          <w:szCs w:val="44"/>
          <w:highlight w:val="none"/>
        </w:rPr>
        <w:t>、资格审查部分</w:t>
      </w:r>
      <w:bookmarkEnd w:id="1626"/>
      <w:bookmarkEnd w:id="1627"/>
      <w:bookmarkEnd w:id="1628"/>
      <w:bookmarkEnd w:id="1629"/>
      <w:bookmarkEnd w:id="1630"/>
      <w:bookmarkEnd w:id="1631"/>
      <w:bookmarkEnd w:id="1632"/>
    </w:p>
    <w:p w14:paraId="04C8F4FF">
      <w:pPr>
        <w:adjustRightInd w:val="0"/>
        <w:snapToGrid w:val="0"/>
        <w:spacing w:line="360" w:lineRule="auto"/>
        <w:rPr>
          <w:rFonts w:ascii="宋体" w:hAnsi="宋体"/>
          <w:color w:val="auto"/>
          <w:sz w:val="32"/>
          <w:szCs w:val="32"/>
          <w:highlight w:val="none"/>
        </w:rPr>
      </w:pPr>
    </w:p>
    <w:p w14:paraId="38239D6F">
      <w:pPr>
        <w:adjustRightInd w:val="0"/>
        <w:snapToGrid w:val="0"/>
        <w:spacing w:line="360" w:lineRule="auto"/>
        <w:rPr>
          <w:rFonts w:ascii="宋体" w:hAnsi="宋体"/>
          <w:color w:val="auto"/>
          <w:sz w:val="32"/>
          <w:szCs w:val="32"/>
          <w:highlight w:val="none"/>
        </w:rPr>
      </w:pPr>
    </w:p>
    <w:p w14:paraId="62FE5B28">
      <w:pPr>
        <w:spacing w:line="360" w:lineRule="auto"/>
        <w:rPr>
          <w:rFonts w:ascii="宋体" w:hAnsi="宋体"/>
          <w:color w:val="auto"/>
          <w:sz w:val="32"/>
          <w:szCs w:val="32"/>
          <w:highlight w:val="none"/>
        </w:rPr>
      </w:pPr>
    </w:p>
    <w:p w14:paraId="6AF0EA83">
      <w:pPr>
        <w:spacing w:line="360" w:lineRule="auto"/>
        <w:rPr>
          <w:rFonts w:ascii="宋体" w:hAnsi="宋体"/>
          <w:color w:val="auto"/>
          <w:sz w:val="32"/>
          <w:szCs w:val="32"/>
          <w:highlight w:val="none"/>
        </w:rPr>
      </w:pPr>
    </w:p>
    <w:p w14:paraId="538DBD26">
      <w:pPr>
        <w:spacing w:line="360" w:lineRule="auto"/>
        <w:rPr>
          <w:rFonts w:ascii="宋体" w:hAnsi="宋体"/>
          <w:color w:val="auto"/>
          <w:sz w:val="32"/>
          <w:szCs w:val="32"/>
          <w:highlight w:val="none"/>
        </w:rPr>
      </w:pPr>
    </w:p>
    <w:p w14:paraId="513A0BCA">
      <w:pPr>
        <w:spacing w:line="360" w:lineRule="auto"/>
        <w:rPr>
          <w:rFonts w:ascii="宋体" w:hAnsi="宋体"/>
          <w:color w:val="auto"/>
          <w:sz w:val="32"/>
          <w:szCs w:val="32"/>
          <w:highlight w:val="none"/>
        </w:rPr>
      </w:pPr>
    </w:p>
    <w:p w14:paraId="333EFF4B">
      <w:pPr>
        <w:spacing w:line="360" w:lineRule="auto"/>
        <w:rPr>
          <w:rFonts w:ascii="宋体" w:hAnsi="宋体"/>
          <w:color w:val="auto"/>
          <w:sz w:val="32"/>
          <w:szCs w:val="32"/>
          <w:highlight w:val="none"/>
        </w:rPr>
      </w:pPr>
    </w:p>
    <w:p w14:paraId="589AE9B4">
      <w:pPr>
        <w:spacing w:line="360" w:lineRule="auto"/>
        <w:rPr>
          <w:rFonts w:ascii="宋体" w:hAnsi="宋体"/>
          <w:color w:val="auto"/>
          <w:sz w:val="32"/>
          <w:szCs w:val="32"/>
          <w:highlight w:val="none"/>
        </w:rPr>
      </w:pPr>
    </w:p>
    <w:p w14:paraId="34B6E2F0">
      <w:pPr>
        <w:spacing w:line="360" w:lineRule="auto"/>
        <w:rPr>
          <w:rFonts w:ascii="宋体" w:hAnsi="宋体"/>
          <w:color w:val="auto"/>
          <w:sz w:val="32"/>
          <w:szCs w:val="32"/>
          <w:highlight w:val="none"/>
        </w:rPr>
      </w:pPr>
    </w:p>
    <w:p w14:paraId="0945B840">
      <w:pPr>
        <w:spacing w:line="360" w:lineRule="auto"/>
        <w:rPr>
          <w:rFonts w:ascii="宋体" w:hAnsi="宋体"/>
          <w:color w:val="auto"/>
          <w:sz w:val="32"/>
          <w:szCs w:val="32"/>
          <w:highlight w:val="none"/>
        </w:rPr>
      </w:pPr>
    </w:p>
    <w:p w14:paraId="4DE9D0E7">
      <w:pPr>
        <w:spacing w:line="360" w:lineRule="auto"/>
        <w:rPr>
          <w:rFonts w:ascii="宋体" w:hAnsi="宋体"/>
          <w:color w:val="auto"/>
          <w:sz w:val="32"/>
          <w:szCs w:val="32"/>
          <w:highlight w:val="none"/>
        </w:rPr>
      </w:pPr>
    </w:p>
    <w:p w14:paraId="51A389C5">
      <w:pPr>
        <w:spacing w:line="360" w:lineRule="auto"/>
        <w:rPr>
          <w:rFonts w:ascii="宋体" w:hAnsi="宋体"/>
          <w:color w:val="auto"/>
          <w:sz w:val="32"/>
          <w:szCs w:val="32"/>
          <w:highlight w:val="none"/>
        </w:rPr>
      </w:pPr>
    </w:p>
    <w:p w14:paraId="0B0DDE49">
      <w:pPr>
        <w:spacing w:line="360" w:lineRule="auto"/>
        <w:rPr>
          <w:rFonts w:ascii="宋体" w:hAnsi="宋体"/>
          <w:color w:val="auto"/>
          <w:sz w:val="32"/>
          <w:szCs w:val="32"/>
          <w:highlight w:val="none"/>
        </w:rPr>
      </w:pPr>
    </w:p>
    <w:p w14:paraId="6E6416BA">
      <w:pPr>
        <w:spacing w:line="360" w:lineRule="auto"/>
        <w:rPr>
          <w:rFonts w:ascii="宋体" w:hAnsi="宋体"/>
          <w:color w:val="auto"/>
          <w:sz w:val="32"/>
          <w:szCs w:val="32"/>
          <w:highlight w:val="none"/>
        </w:rPr>
      </w:pPr>
    </w:p>
    <w:p w14:paraId="13341B36">
      <w:pPr>
        <w:spacing w:line="360" w:lineRule="auto"/>
        <w:rPr>
          <w:rFonts w:ascii="宋体" w:hAnsi="宋体"/>
          <w:color w:val="auto"/>
          <w:sz w:val="32"/>
          <w:szCs w:val="32"/>
          <w:highlight w:val="none"/>
        </w:rPr>
      </w:pPr>
    </w:p>
    <w:p w14:paraId="7D692FBF">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0EF89DB0">
      <w:pPr>
        <w:spacing w:line="360" w:lineRule="auto"/>
        <w:jc w:val="center"/>
        <w:rPr>
          <w:rFonts w:ascii="宋体" w:hAnsi="宋体"/>
          <w:color w:val="auto"/>
          <w:kern w:val="0"/>
          <w:sz w:val="32"/>
          <w:szCs w:val="32"/>
          <w:highlight w:val="none"/>
          <w:u w:val="single"/>
        </w:rPr>
      </w:pPr>
      <w:r>
        <w:rPr>
          <w:rFonts w:hint="eastAsia" w:ascii="宋体" w:hAnsi="宋体"/>
          <w:color w:val="auto"/>
          <w:kern w:val="0"/>
          <w:sz w:val="32"/>
          <w:szCs w:val="32"/>
          <w:highlight w:val="none"/>
          <w:u w:val="single"/>
        </w:rPr>
        <w:t xml:space="preserve">                   （项目名称）</w:t>
      </w:r>
    </w:p>
    <w:p w14:paraId="39D1790F">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3E2B2D4">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7AF50FBB">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4E29B253">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1ED8B649">
      <w:pPr>
        <w:autoSpaceDE w:val="0"/>
        <w:autoSpaceDN w:val="0"/>
        <w:adjustRightInd w:val="0"/>
        <w:snapToGrid w:val="0"/>
        <w:spacing w:line="360" w:lineRule="auto"/>
        <w:jc w:val="left"/>
        <w:rPr>
          <w:rFonts w:ascii="宋体" w:hAnsi="宋体"/>
          <w:color w:val="auto"/>
          <w:kern w:val="0"/>
          <w:sz w:val="16"/>
          <w:szCs w:val="16"/>
          <w:highlight w:val="none"/>
        </w:rPr>
      </w:pPr>
    </w:p>
    <w:p w14:paraId="2CB49A6C">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471505D4">
      <w:pPr>
        <w:autoSpaceDE w:val="0"/>
        <w:autoSpaceDN w:val="0"/>
        <w:adjustRightInd w:val="0"/>
        <w:snapToGrid w:val="0"/>
        <w:spacing w:line="360" w:lineRule="auto"/>
        <w:jc w:val="left"/>
        <w:rPr>
          <w:rFonts w:ascii="宋体" w:hAnsi="宋体" w:cs="MingLiU"/>
          <w:color w:val="auto"/>
          <w:kern w:val="0"/>
          <w:sz w:val="20"/>
          <w:szCs w:val="20"/>
          <w:highlight w:val="none"/>
        </w:rPr>
      </w:pPr>
    </w:p>
    <w:p w14:paraId="132B5FDD">
      <w:pPr>
        <w:adjustRightInd w:val="0"/>
        <w:snapToGrid w:val="0"/>
        <w:spacing w:line="264" w:lineRule="auto"/>
        <w:rPr>
          <w:rFonts w:ascii="宋体" w:hAnsi="宋体"/>
          <w:color w:val="auto"/>
          <w:szCs w:val="21"/>
          <w:highlight w:val="none"/>
        </w:rPr>
      </w:pPr>
    </w:p>
    <w:p w14:paraId="570C7D1C">
      <w:pPr>
        <w:autoSpaceDE w:val="0"/>
        <w:autoSpaceDN w:val="0"/>
        <w:adjustRightInd w:val="0"/>
        <w:snapToGrid w:val="0"/>
        <w:spacing w:line="360" w:lineRule="auto"/>
        <w:jc w:val="left"/>
        <w:rPr>
          <w:rFonts w:ascii="宋体" w:hAnsi="宋体" w:cs="MingLiU"/>
          <w:color w:val="auto"/>
          <w:kern w:val="0"/>
          <w:sz w:val="20"/>
          <w:szCs w:val="20"/>
          <w:highlight w:val="none"/>
        </w:rPr>
      </w:pPr>
    </w:p>
    <w:p w14:paraId="1F65CF75">
      <w:pPr>
        <w:autoSpaceDE w:val="0"/>
        <w:autoSpaceDN w:val="0"/>
        <w:adjustRightInd w:val="0"/>
        <w:snapToGrid w:val="0"/>
        <w:spacing w:line="360" w:lineRule="auto"/>
        <w:jc w:val="left"/>
        <w:rPr>
          <w:rFonts w:ascii="宋体" w:hAnsi="宋体" w:cs="MingLiU"/>
          <w:color w:val="auto"/>
          <w:kern w:val="0"/>
          <w:sz w:val="20"/>
          <w:szCs w:val="20"/>
          <w:highlight w:val="none"/>
        </w:rPr>
      </w:pPr>
    </w:p>
    <w:p w14:paraId="5CF8EAC4">
      <w:pPr>
        <w:autoSpaceDE w:val="0"/>
        <w:autoSpaceDN w:val="0"/>
        <w:adjustRightInd w:val="0"/>
        <w:snapToGrid w:val="0"/>
        <w:spacing w:line="360" w:lineRule="auto"/>
        <w:jc w:val="left"/>
        <w:rPr>
          <w:rFonts w:ascii="宋体" w:hAnsi="宋体" w:cs="MingLiU"/>
          <w:color w:val="auto"/>
          <w:kern w:val="0"/>
          <w:sz w:val="20"/>
          <w:szCs w:val="20"/>
          <w:highlight w:val="none"/>
        </w:rPr>
      </w:pPr>
    </w:p>
    <w:p w14:paraId="08990578">
      <w:pPr>
        <w:autoSpaceDE w:val="0"/>
        <w:autoSpaceDN w:val="0"/>
        <w:adjustRightInd w:val="0"/>
        <w:snapToGrid w:val="0"/>
        <w:spacing w:line="360" w:lineRule="auto"/>
        <w:jc w:val="left"/>
        <w:rPr>
          <w:rFonts w:ascii="宋体" w:hAnsi="宋体" w:cs="MingLiU"/>
          <w:color w:val="auto"/>
          <w:kern w:val="0"/>
          <w:sz w:val="20"/>
          <w:szCs w:val="20"/>
          <w:highlight w:val="none"/>
        </w:rPr>
      </w:pPr>
    </w:p>
    <w:p w14:paraId="37ACF926">
      <w:pPr>
        <w:autoSpaceDE w:val="0"/>
        <w:autoSpaceDN w:val="0"/>
        <w:adjustRightInd w:val="0"/>
        <w:snapToGrid w:val="0"/>
        <w:spacing w:line="360" w:lineRule="auto"/>
        <w:jc w:val="left"/>
        <w:rPr>
          <w:rFonts w:ascii="宋体" w:hAnsi="宋体" w:cs="MingLiU"/>
          <w:color w:val="auto"/>
          <w:kern w:val="0"/>
          <w:sz w:val="20"/>
          <w:szCs w:val="20"/>
          <w:highlight w:val="none"/>
        </w:rPr>
      </w:pPr>
    </w:p>
    <w:p w14:paraId="604D99BA">
      <w:pPr>
        <w:autoSpaceDE w:val="0"/>
        <w:autoSpaceDN w:val="0"/>
        <w:adjustRightInd w:val="0"/>
        <w:snapToGrid w:val="0"/>
        <w:spacing w:line="360" w:lineRule="auto"/>
        <w:jc w:val="left"/>
        <w:rPr>
          <w:rFonts w:ascii="宋体" w:hAnsi="宋体" w:cs="MingLiU"/>
          <w:color w:val="auto"/>
          <w:kern w:val="0"/>
          <w:sz w:val="20"/>
          <w:szCs w:val="20"/>
          <w:highlight w:val="none"/>
        </w:rPr>
      </w:pPr>
    </w:p>
    <w:p w14:paraId="0437E70B">
      <w:pPr>
        <w:autoSpaceDE w:val="0"/>
        <w:autoSpaceDN w:val="0"/>
        <w:adjustRightInd w:val="0"/>
        <w:snapToGrid w:val="0"/>
        <w:spacing w:line="360" w:lineRule="auto"/>
        <w:jc w:val="left"/>
        <w:rPr>
          <w:rFonts w:ascii="宋体" w:hAnsi="宋体" w:cs="MingLiU"/>
          <w:color w:val="auto"/>
          <w:kern w:val="0"/>
          <w:sz w:val="20"/>
          <w:szCs w:val="20"/>
          <w:highlight w:val="none"/>
        </w:rPr>
      </w:pPr>
    </w:p>
    <w:p w14:paraId="5E797CA6">
      <w:pPr>
        <w:autoSpaceDE w:val="0"/>
        <w:autoSpaceDN w:val="0"/>
        <w:adjustRightInd w:val="0"/>
        <w:snapToGrid w:val="0"/>
        <w:spacing w:line="360" w:lineRule="auto"/>
        <w:jc w:val="left"/>
        <w:rPr>
          <w:rFonts w:ascii="宋体" w:hAnsi="宋体" w:cs="MingLiU"/>
          <w:color w:val="auto"/>
          <w:kern w:val="0"/>
          <w:sz w:val="20"/>
          <w:szCs w:val="20"/>
          <w:highlight w:val="none"/>
        </w:rPr>
      </w:pPr>
    </w:p>
    <w:p w14:paraId="2D40A889">
      <w:pPr>
        <w:autoSpaceDE w:val="0"/>
        <w:autoSpaceDN w:val="0"/>
        <w:adjustRightInd w:val="0"/>
        <w:snapToGrid w:val="0"/>
        <w:spacing w:line="360" w:lineRule="auto"/>
        <w:jc w:val="left"/>
        <w:rPr>
          <w:rFonts w:ascii="宋体" w:hAnsi="宋体" w:cs="MingLiU"/>
          <w:color w:val="auto"/>
          <w:kern w:val="0"/>
          <w:sz w:val="20"/>
          <w:szCs w:val="20"/>
          <w:highlight w:val="none"/>
        </w:rPr>
      </w:pPr>
    </w:p>
    <w:p w14:paraId="2384E1D4">
      <w:pPr>
        <w:autoSpaceDE w:val="0"/>
        <w:autoSpaceDN w:val="0"/>
        <w:adjustRightInd w:val="0"/>
        <w:snapToGrid w:val="0"/>
        <w:spacing w:line="360" w:lineRule="auto"/>
        <w:jc w:val="left"/>
        <w:rPr>
          <w:rFonts w:ascii="宋体" w:hAnsi="宋体" w:cs="MingLiU"/>
          <w:color w:val="auto"/>
          <w:kern w:val="0"/>
          <w:sz w:val="20"/>
          <w:szCs w:val="20"/>
          <w:highlight w:val="none"/>
        </w:rPr>
      </w:pPr>
    </w:p>
    <w:p w14:paraId="6FFD8175">
      <w:pPr>
        <w:autoSpaceDE w:val="0"/>
        <w:autoSpaceDN w:val="0"/>
        <w:adjustRightInd w:val="0"/>
        <w:snapToGrid w:val="0"/>
        <w:spacing w:line="360" w:lineRule="auto"/>
        <w:jc w:val="left"/>
        <w:rPr>
          <w:rFonts w:ascii="宋体" w:hAnsi="宋体" w:cs="MingLiU"/>
          <w:color w:val="auto"/>
          <w:kern w:val="0"/>
          <w:sz w:val="20"/>
          <w:szCs w:val="20"/>
          <w:highlight w:val="none"/>
        </w:rPr>
      </w:pPr>
    </w:p>
    <w:p w14:paraId="01D609C1">
      <w:pPr>
        <w:autoSpaceDE w:val="0"/>
        <w:autoSpaceDN w:val="0"/>
        <w:adjustRightInd w:val="0"/>
        <w:snapToGrid w:val="0"/>
        <w:spacing w:line="360" w:lineRule="auto"/>
        <w:jc w:val="left"/>
        <w:rPr>
          <w:rFonts w:ascii="宋体" w:hAnsi="宋体" w:cs="MingLiU"/>
          <w:color w:val="auto"/>
          <w:kern w:val="0"/>
          <w:sz w:val="20"/>
          <w:szCs w:val="20"/>
          <w:highlight w:val="none"/>
        </w:rPr>
      </w:pPr>
    </w:p>
    <w:p w14:paraId="6C77A37F">
      <w:pPr>
        <w:autoSpaceDE w:val="0"/>
        <w:autoSpaceDN w:val="0"/>
        <w:adjustRightInd w:val="0"/>
        <w:snapToGrid w:val="0"/>
        <w:spacing w:line="360" w:lineRule="auto"/>
        <w:jc w:val="left"/>
        <w:rPr>
          <w:rFonts w:ascii="宋体" w:hAnsi="宋体" w:cs="MingLiU"/>
          <w:color w:val="auto"/>
          <w:kern w:val="0"/>
          <w:sz w:val="20"/>
          <w:szCs w:val="20"/>
          <w:highlight w:val="none"/>
        </w:rPr>
      </w:pPr>
    </w:p>
    <w:p w14:paraId="77C3D540">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1F8119A1">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p>
    <w:p w14:paraId="1FE0C16F">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1EAA5C2E">
      <w:pPr>
        <w:autoSpaceDE/>
        <w:autoSpaceDN/>
        <w:adjustRightInd/>
        <w:snapToGrid/>
        <w:jc w:val="left"/>
        <w:rPr>
          <w:rFonts w:hint="eastAsia" w:ascii="宋体" w:hAnsi="宋体"/>
          <w:color w:val="auto"/>
          <w:kern w:val="0"/>
          <w:sz w:val="36"/>
          <w:szCs w:val="36"/>
          <w:highlight w:val="none"/>
        </w:rPr>
      </w:pPr>
      <w:r>
        <w:rPr>
          <w:rFonts w:hint="eastAsia" w:ascii="宋体" w:hAnsi="宋体"/>
          <w:color w:val="auto"/>
          <w:kern w:val="0"/>
          <w:sz w:val="36"/>
          <w:szCs w:val="36"/>
          <w:highlight w:val="none"/>
        </w:rPr>
        <w:br w:type="page"/>
      </w:r>
    </w:p>
    <w:p w14:paraId="075C6A58">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0F6173AA">
      <w:pPr>
        <w:spacing w:line="360" w:lineRule="auto"/>
        <w:jc w:val="center"/>
        <w:rPr>
          <w:rFonts w:ascii="宋体" w:hAnsi="宋体"/>
          <w:b/>
          <w:color w:val="auto"/>
          <w:kern w:val="0"/>
          <w:sz w:val="32"/>
          <w:szCs w:val="32"/>
          <w:highlight w:val="none"/>
        </w:rPr>
      </w:pPr>
    </w:p>
    <w:p w14:paraId="16BFDA72">
      <w:pPr>
        <w:spacing w:line="360" w:lineRule="auto"/>
        <w:ind w:firstLine="420" w:firstLineChars="200"/>
        <w:rPr>
          <w:rFonts w:ascii="宋体" w:hAnsi="宋体"/>
          <w:color w:val="auto"/>
          <w:szCs w:val="21"/>
          <w:highlight w:val="none"/>
        </w:rPr>
      </w:pPr>
      <w:r>
        <w:rPr>
          <w:rFonts w:ascii="宋体" w:hAnsi="宋体"/>
          <w:color w:val="auto"/>
          <w:szCs w:val="21"/>
          <w:highlight w:val="none"/>
        </w:rPr>
        <w:t>（一）法定代表人身份证明或授权委托书</w:t>
      </w:r>
    </w:p>
    <w:p w14:paraId="09D9894B">
      <w:pPr>
        <w:spacing w:line="360" w:lineRule="auto"/>
        <w:ind w:firstLine="420" w:firstLineChars="200"/>
        <w:rPr>
          <w:rFonts w:ascii="宋体" w:hAnsi="宋体"/>
          <w:color w:val="auto"/>
          <w:szCs w:val="21"/>
          <w:highlight w:val="none"/>
        </w:rPr>
      </w:pPr>
      <w:r>
        <w:rPr>
          <w:rFonts w:ascii="宋体" w:hAnsi="宋体"/>
          <w:color w:val="auto"/>
          <w:szCs w:val="21"/>
          <w:highlight w:val="none"/>
        </w:rPr>
        <w:t>（二）</w:t>
      </w:r>
      <w:r>
        <w:rPr>
          <w:rFonts w:hint="eastAsia" w:ascii="宋体" w:hAnsi="宋体"/>
          <w:color w:val="auto"/>
          <w:szCs w:val="21"/>
          <w:highlight w:val="none"/>
        </w:rPr>
        <w:t>承诺</w:t>
      </w:r>
    </w:p>
    <w:p w14:paraId="77B190CA">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三</w:t>
      </w:r>
      <w:r>
        <w:rPr>
          <w:rFonts w:ascii="宋体" w:hAnsi="宋体"/>
          <w:color w:val="auto"/>
          <w:szCs w:val="21"/>
          <w:highlight w:val="none"/>
        </w:rPr>
        <w:t>）其他资料</w:t>
      </w:r>
    </w:p>
    <w:p w14:paraId="1F6BD170">
      <w:pPr>
        <w:spacing w:line="360" w:lineRule="auto"/>
        <w:jc w:val="center"/>
        <w:rPr>
          <w:rFonts w:ascii="宋体" w:hAnsi="宋体"/>
          <w:b/>
          <w:color w:val="auto"/>
          <w:kern w:val="0"/>
          <w:sz w:val="32"/>
          <w:szCs w:val="32"/>
          <w:highlight w:val="none"/>
        </w:rPr>
      </w:pPr>
    </w:p>
    <w:p w14:paraId="186125AA">
      <w:pPr>
        <w:spacing w:line="360" w:lineRule="auto"/>
        <w:jc w:val="center"/>
        <w:rPr>
          <w:rFonts w:ascii="宋体" w:hAnsi="宋体"/>
          <w:b/>
          <w:color w:val="auto"/>
          <w:kern w:val="0"/>
          <w:sz w:val="32"/>
          <w:szCs w:val="32"/>
          <w:highlight w:val="none"/>
        </w:rPr>
      </w:pPr>
    </w:p>
    <w:p w14:paraId="4CE18F27">
      <w:pPr>
        <w:pStyle w:val="5"/>
        <w:spacing w:before="0" w:after="0" w:line="240" w:lineRule="auto"/>
        <w:jc w:val="center"/>
        <w:rPr>
          <w:rFonts w:ascii="宋体" w:hAnsi="宋体"/>
          <w:color w:val="auto"/>
          <w:sz w:val="36"/>
          <w:szCs w:val="36"/>
          <w:highlight w:val="none"/>
        </w:rPr>
      </w:pPr>
      <w:r>
        <w:rPr>
          <w:rFonts w:ascii="宋体" w:hAnsi="宋体"/>
          <w:color w:val="auto"/>
          <w:highlight w:val="none"/>
        </w:rPr>
        <w:br w:type="page"/>
      </w:r>
      <w:bookmarkStart w:id="1633" w:name="_Toc33106476"/>
      <w:bookmarkStart w:id="1634" w:name="_Toc59810453"/>
      <w:bookmarkStart w:id="1635" w:name="_Toc15401"/>
      <w:bookmarkStart w:id="1636" w:name="_Toc21254"/>
      <w:bookmarkStart w:id="1637" w:name="_Toc1381"/>
      <w:bookmarkStart w:id="1638" w:name="_Toc12953"/>
      <w:bookmarkStart w:id="1639" w:name="_Toc27286"/>
      <w:r>
        <w:rPr>
          <w:rFonts w:hint="eastAsia" w:ascii="宋体" w:hAnsi="宋体"/>
          <w:b w:val="0"/>
          <w:bCs w:val="0"/>
          <w:color w:val="auto"/>
          <w:highlight w:val="none"/>
        </w:rPr>
        <w:t>（一）</w:t>
      </w:r>
      <w:bookmarkEnd w:id="1633"/>
      <w:r>
        <w:rPr>
          <w:rFonts w:hint="eastAsia" w:ascii="宋体" w:hAnsi="宋体"/>
          <w:b w:val="0"/>
          <w:bCs w:val="0"/>
          <w:color w:val="auto"/>
          <w:highlight w:val="none"/>
        </w:rPr>
        <w:t>法定代表人身份证明或授权委托书</w:t>
      </w:r>
      <w:bookmarkEnd w:id="1634"/>
      <w:bookmarkEnd w:id="1635"/>
      <w:bookmarkEnd w:id="1636"/>
      <w:bookmarkEnd w:id="1637"/>
      <w:bookmarkEnd w:id="1638"/>
      <w:bookmarkEnd w:id="1639"/>
    </w:p>
    <w:p w14:paraId="5738558F">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62879322">
      <w:pPr>
        <w:spacing w:line="480" w:lineRule="auto"/>
        <w:jc w:val="center"/>
        <w:rPr>
          <w:rFonts w:ascii="宋体" w:hAnsi="宋体"/>
          <w:color w:val="auto"/>
          <w:highlight w:val="none"/>
        </w:rPr>
      </w:pPr>
    </w:p>
    <w:p w14:paraId="53F9A21F">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66CFD7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3FFD60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FA74210">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0873C6F">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19A7D82E">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14:paraId="1F788710">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6C84FBC7">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14:paraId="3E3494C9">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w:t>
      </w:r>
      <w:r>
        <w:rPr>
          <w:rFonts w:hint="eastAsia" w:ascii="宋体" w:hAnsi="宋体"/>
          <w:color w:val="auto"/>
          <w:kern w:val="0"/>
          <w:szCs w:val="21"/>
          <w:highlight w:val="none"/>
          <w:lang w:val="en-US" w:eastAsia="zh-CN"/>
        </w:rPr>
        <w:t>身份证明</w:t>
      </w:r>
      <w:r>
        <w:rPr>
          <w:rFonts w:hint="eastAsia" w:ascii="宋体" w:hAnsi="宋体"/>
          <w:color w:val="auto"/>
          <w:kern w:val="0"/>
          <w:szCs w:val="21"/>
          <w:highlight w:val="none"/>
        </w:rPr>
        <w:t>扫描件（双面）</w:t>
      </w:r>
    </w:p>
    <w:p w14:paraId="4588BF11">
      <w:pPr>
        <w:autoSpaceDE w:val="0"/>
        <w:autoSpaceDN w:val="0"/>
        <w:adjustRightInd w:val="0"/>
        <w:snapToGrid w:val="0"/>
        <w:spacing w:line="480" w:lineRule="auto"/>
        <w:ind w:firstLine="810" w:firstLineChars="386"/>
        <w:jc w:val="left"/>
        <w:rPr>
          <w:color w:val="auto"/>
          <w:highlight w:val="none"/>
        </w:rPr>
      </w:pPr>
    </w:p>
    <w:p w14:paraId="1FED4D0F">
      <w:pPr>
        <w:autoSpaceDE w:val="0"/>
        <w:autoSpaceDN w:val="0"/>
        <w:adjustRightInd w:val="0"/>
        <w:snapToGrid w:val="0"/>
        <w:spacing w:line="480" w:lineRule="auto"/>
        <w:jc w:val="left"/>
        <w:rPr>
          <w:rFonts w:ascii="宋体" w:hAnsi="宋体"/>
          <w:color w:val="auto"/>
          <w:kern w:val="0"/>
          <w:sz w:val="20"/>
          <w:szCs w:val="20"/>
          <w:highlight w:val="none"/>
        </w:rPr>
      </w:pPr>
    </w:p>
    <w:p w14:paraId="37787EDD">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p>
    <w:p w14:paraId="76E530DE">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p>
    <w:p w14:paraId="4646E2EC">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p>
    <w:p w14:paraId="56560C51">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p>
    <w:p w14:paraId="07D4AC52">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27DAB89A">
      <w:pPr>
        <w:autoSpaceDE w:val="0"/>
        <w:autoSpaceDN w:val="0"/>
        <w:adjustRightInd w:val="0"/>
        <w:snapToGrid w:val="0"/>
        <w:spacing w:line="480" w:lineRule="auto"/>
        <w:jc w:val="left"/>
        <w:rPr>
          <w:rFonts w:ascii="宋体" w:hAnsi="宋体"/>
          <w:color w:val="auto"/>
          <w:kern w:val="0"/>
          <w:sz w:val="20"/>
          <w:szCs w:val="20"/>
          <w:highlight w:val="none"/>
        </w:rPr>
      </w:pPr>
    </w:p>
    <w:p w14:paraId="21FF61F3">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F52C769">
      <w:pPr>
        <w:autoSpaceDE w:val="0"/>
        <w:autoSpaceDN w:val="0"/>
        <w:adjustRightInd w:val="0"/>
        <w:snapToGrid w:val="0"/>
        <w:spacing w:line="360" w:lineRule="auto"/>
        <w:jc w:val="left"/>
        <w:rPr>
          <w:rFonts w:ascii="宋体" w:hAnsi="宋体"/>
          <w:color w:val="auto"/>
          <w:kern w:val="0"/>
          <w:highlight w:val="none"/>
        </w:rPr>
      </w:pPr>
    </w:p>
    <w:p w14:paraId="3306CACD">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highlight w:val="none"/>
        </w:rPr>
      </w:pPr>
    </w:p>
    <w:p w14:paraId="5B28228B">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rFonts w:ascii="宋体" w:hAnsi="宋体"/>
          <w:color w:val="auto"/>
          <w:highlight w:val="none"/>
        </w:rPr>
        <w:t>注：法定代表人身份证明需按上述格式填写完整，不可缺少内容。在此基础上增加内容的不影响其有效性</w:t>
      </w:r>
      <w:r>
        <w:rPr>
          <w:rFonts w:hint="eastAsia" w:ascii="宋体" w:hAnsi="宋体"/>
          <w:color w:val="auto"/>
          <w:kern w:val="0"/>
          <w:szCs w:val="21"/>
          <w:highlight w:val="none"/>
        </w:rPr>
        <w:t>。</w:t>
      </w:r>
    </w:p>
    <w:p w14:paraId="01F38295">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096EEFE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w:t>
      </w:r>
      <w:r>
        <w:rPr>
          <w:rFonts w:hint="eastAsia" w:ascii="宋体" w:hAnsi="宋体"/>
          <w:color w:val="auto"/>
          <w:kern w:val="0"/>
          <w:szCs w:val="21"/>
          <w:highlight w:val="none"/>
          <w:lang w:val="en-US" w:eastAsia="zh-CN"/>
        </w:rPr>
        <w:t>代表我方</w:t>
      </w:r>
      <w:r>
        <w:rPr>
          <w:rFonts w:ascii="宋体" w:hAnsi="宋体"/>
          <w:color w:val="auto"/>
          <w:kern w:val="0"/>
          <w:szCs w:val="21"/>
          <w:highlight w:val="none"/>
        </w:rPr>
        <w:t>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标</w:t>
      </w:r>
      <w:r>
        <w:rPr>
          <w:rFonts w:ascii="宋体" w:hAnsi="宋体"/>
          <w:color w:val="auto"/>
          <w:spacing w:val="-1"/>
          <w:kern w:val="0"/>
          <w:szCs w:val="21"/>
          <w:highlight w:val="none"/>
        </w:rPr>
        <w:t>段</w:t>
      </w:r>
      <w:r>
        <w:rPr>
          <w:rFonts w:ascii="宋体" w:hAnsi="宋体"/>
          <w:color w:val="auto"/>
          <w:kern w:val="0"/>
          <w:szCs w:val="21"/>
          <w:highlight w:val="none"/>
        </w:rPr>
        <w:t>施工（分包）投标文件、签订合同和处理有关事宜， 其法律后果由我方承担。</w:t>
      </w:r>
    </w:p>
    <w:p w14:paraId="0759DE4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2FD3DEC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1182A4B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1A0EDB02">
      <w:pPr>
        <w:pStyle w:val="2"/>
        <w:rPr>
          <w:highlight w:val="none"/>
        </w:rPr>
      </w:pPr>
    </w:p>
    <w:p w14:paraId="1BF071A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BA542B3">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14:paraId="4C03C56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C38CD5B">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w:t>
      </w:r>
    </w:p>
    <w:p w14:paraId="4A725B17">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6E8B6A1">
      <w:pPr>
        <w:pStyle w:val="2"/>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5CEF5E4">
      <w:pPr>
        <w:pStyle w:val="2"/>
        <w:spacing w:line="360" w:lineRule="auto"/>
        <w:ind w:firstLine="420" w:firstLineChars="200"/>
        <w:rPr>
          <w:color w:val="auto"/>
          <w:highlight w:val="none"/>
        </w:rPr>
      </w:pP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rPr>
        <w:t>：</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8DC7034">
      <w:pPr>
        <w:tabs>
          <w:tab w:val="left" w:pos="4005"/>
          <w:tab w:val="left" w:pos="4100"/>
          <w:tab w:val="left" w:pos="5040"/>
        </w:tabs>
        <w:wordWrap/>
        <w:autoSpaceDE w:val="0"/>
        <w:autoSpaceDN w:val="0"/>
        <w:adjustRightInd w:val="0"/>
        <w:snapToGrid w:val="0"/>
        <w:spacing w:line="360" w:lineRule="auto"/>
        <w:ind w:firstLine="840" w:firstLineChars="400"/>
        <w:jc w:val="left"/>
        <w:rPr>
          <w:rFonts w:hint="eastAsia" w:ascii="宋体" w:hAnsi="宋体"/>
          <w:color w:val="auto"/>
          <w:w w:val="200"/>
          <w:kern w:val="0"/>
          <w:szCs w:val="21"/>
          <w:highlight w:val="none"/>
          <w:u w:val="single"/>
        </w:rPr>
      </w:pPr>
      <w:r>
        <w:rPr>
          <w:rFonts w:hint="eastAsia" w:ascii="宋体" w:hAnsi="宋体"/>
          <w:color w:val="auto"/>
          <w:szCs w:val="21"/>
          <w:highlight w:val="none"/>
        </w:rPr>
        <w:t>附：法定代表人及委托代理人身份证</w:t>
      </w:r>
      <w:r>
        <w:rPr>
          <w:rFonts w:hint="eastAsia" w:ascii="宋体" w:hAnsi="宋体"/>
          <w:color w:val="auto"/>
          <w:szCs w:val="21"/>
          <w:highlight w:val="none"/>
          <w:lang w:val="en-US" w:eastAsia="zh-CN"/>
        </w:rPr>
        <w:t>明</w:t>
      </w:r>
      <w:r>
        <w:rPr>
          <w:rFonts w:hint="eastAsia" w:ascii="宋体" w:hAnsi="宋体"/>
          <w:color w:val="auto"/>
          <w:szCs w:val="21"/>
          <w:highlight w:val="none"/>
        </w:rPr>
        <w:t>扫描件（双面）</w:t>
      </w:r>
    </w:p>
    <w:p w14:paraId="0611E27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531F4768">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382962A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5008EF3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78DBE467">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214FE6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2311074C">
      <w:pPr>
        <w:tabs>
          <w:tab w:val="left" w:pos="5760"/>
        </w:tabs>
        <w:autoSpaceDE w:val="0"/>
        <w:autoSpaceDN w:val="0"/>
        <w:adjustRightInd w:val="0"/>
        <w:spacing w:line="360" w:lineRule="auto"/>
        <w:ind w:firstLine="420" w:firstLineChars="200"/>
        <w:rPr>
          <w:rFonts w:ascii="宋体" w:hAnsi="宋体"/>
          <w:color w:val="auto"/>
          <w:szCs w:val="21"/>
          <w:highlight w:val="none"/>
        </w:rPr>
      </w:pPr>
    </w:p>
    <w:p w14:paraId="7320E348">
      <w:pPr>
        <w:pStyle w:val="2"/>
        <w:rPr>
          <w:color w:val="auto"/>
          <w:highlight w:val="none"/>
        </w:rPr>
      </w:pPr>
    </w:p>
    <w:p w14:paraId="536EA3DD">
      <w:pPr>
        <w:pStyle w:val="2"/>
        <w:rPr>
          <w:color w:val="auto"/>
          <w:highlight w:val="none"/>
        </w:rPr>
      </w:pPr>
    </w:p>
    <w:p w14:paraId="675CE67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2C231717">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0A10B8F6">
      <w:pPr>
        <w:autoSpaceDE w:val="0"/>
        <w:autoSpaceDN w:val="0"/>
        <w:adjustRightInd w:val="0"/>
        <w:snapToGrid w:val="0"/>
        <w:jc w:val="center"/>
        <w:rPr>
          <w:rFonts w:ascii="宋体" w:hAnsi="宋体"/>
          <w:color w:val="auto"/>
          <w:highlight w:val="none"/>
        </w:rPr>
      </w:pPr>
      <w:r>
        <w:rPr>
          <w:rFonts w:ascii="宋体" w:hAnsi="宋体"/>
          <w:color w:val="auto"/>
          <w:highlight w:val="none"/>
        </w:rPr>
        <w:br w:type="page"/>
      </w:r>
    </w:p>
    <w:p w14:paraId="5C87DF52">
      <w:pPr>
        <w:pStyle w:val="5"/>
        <w:spacing w:before="0" w:line="360" w:lineRule="auto"/>
        <w:jc w:val="center"/>
        <w:rPr>
          <w:rFonts w:ascii="宋体" w:hAnsi="宋体"/>
          <w:b w:val="0"/>
          <w:color w:val="auto"/>
          <w:highlight w:val="none"/>
        </w:rPr>
      </w:pPr>
      <w:bookmarkStart w:id="1640" w:name="_Toc534185843"/>
      <w:bookmarkStart w:id="1641" w:name="_Toc287607893"/>
      <w:bookmarkStart w:id="1642" w:name="_Toc430530552"/>
      <w:bookmarkStart w:id="1643" w:name="_Toc224103520"/>
      <w:bookmarkStart w:id="1644" w:name="_Toc509218866"/>
      <w:bookmarkStart w:id="1645" w:name="_Toc277082663"/>
      <w:bookmarkStart w:id="1646" w:name="_Toc287620839"/>
      <w:bookmarkStart w:id="1647" w:name="_Toc29823"/>
      <w:bookmarkStart w:id="1648" w:name="_Toc5115"/>
      <w:bookmarkStart w:id="1649" w:name="_Toc29518"/>
      <w:bookmarkStart w:id="1650" w:name="_Toc25855"/>
      <w:bookmarkStart w:id="1651" w:name="_Toc7611"/>
      <w:bookmarkStart w:id="1652" w:name="_Toc5198"/>
      <w:bookmarkStart w:id="1653" w:name="_Toc59810459"/>
      <w:bookmarkStart w:id="1654" w:name="_Toc33106482"/>
      <w:r>
        <w:rPr>
          <w:rFonts w:ascii="宋体" w:hAnsi="宋体"/>
          <w:b w:val="0"/>
          <w:color w:val="auto"/>
          <w:highlight w:val="none"/>
        </w:rPr>
        <w:t>（</w:t>
      </w:r>
      <w:r>
        <w:rPr>
          <w:rFonts w:hint="eastAsia" w:ascii="宋体" w:hAnsi="宋体"/>
          <w:b w:val="0"/>
          <w:color w:val="auto"/>
          <w:highlight w:val="none"/>
          <w:lang w:val="en-US" w:eastAsia="zh-CN"/>
        </w:rPr>
        <w:t>二</w:t>
      </w:r>
      <w:r>
        <w:rPr>
          <w:rFonts w:ascii="宋体" w:hAnsi="宋体"/>
          <w:b w:val="0"/>
          <w:color w:val="auto"/>
          <w:highlight w:val="none"/>
        </w:rPr>
        <w:t>）</w:t>
      </w:r>
      <w:bookmarkEnd w:id="1640"/>
      <w:bookmarkEnd w:id="1641"/>
      <w:bookmarkEnd w:id="1642"/>
      <w:bookmarkEnd w:id="1643"/>
      <w:bookmarkEnd w:id="1644"/>
      <w:bookmarkEnd w:id="1645"/>
      <w:bookmarkEnd w:id="1646"/>
      <w:r>
        <w:rPr>
          <w:rFonts w:hint="eastAsia" w:ascii="宋体" w:hAnsi="宋体"/>
          <w:b w:val="0"/>
          <w:color w:val="auto"/>
          <w:highlight w:val="none"/>
        </w:rPr>
        <w:t>承诺</w:t>
      </w:r>
      <w:bookmarkEnd w:id="1647"/>
      <w:bookmarkEnd w:id="1648"/>
      <w:bookmarkEnd w:id="1649"/>
      <w:bookmarkEnd w:id="1650"/>
      <w:bookmarkEnd w:id="1651"/>
      <w:bookmarkEnd w:id="1652"/>
      <w:bookmarkEnd w:id="1653"/>
    </w:p>
    <w:p w14:paraId="0190E294">
      <w:pPr>
        <w:spacing w:line="360" w:lineRule="auto"/>
        <w:rPr>
          <w:rFonts w:ascii="宋体" w:hAnsi="宋体"/>
          <w:color w:val="auto"/>
          <w:szCs w:val="21"/>
          <w:highlight w:val="none"/>
        </w:rPr>
      </w:pP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szCs w:val="21"/>
          <w:highlight w:val="none"/>
          <w:u w:val="single"/>
        </w:rPr>
        <w:t>招标人名称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有两个及以上招标人的，请填写所有</w:t>
      </w:r>
      <w:r>
        <w:rPr>
          <w:rFonts w:ascii="宋体" w:hAnsi="宋体"/>
          <w:color w:val="auto"/>
          <w:szCs w:val="21"/>
          <w:highlight w:val="none"/>
          <w:u w:val="single"/>
        </w:rPr>
        <w:t>招标人名称）</w:t>
      </w:r>
      <w:r>
        <w:rPr>
          <w:rFonts w:ascii="宋体" w:hAnsi="宋体"/>
          <w:color w:val="auto"/>
          <w:szCs w:val="21"/>
          <w:highlight w:val="none"/>
        </w:rPr>
        <w:t>：</w:t>
      </w:r>
    </w:p>
    <w:p w14:paraId="0BDB171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（招标项目名称）</w:t>
      </w:r>
      <w:r>
        <w:rPr>
          <w:rFonts w:hint="eastAsia" w:ascii="宋体" w:hAnsi="宋体"/>
          <w:color w:val="auto"/>
          <w:szCs w:val="21"/>
          <w:highlight w:val="none"/>
        </w:rPr>
        <w:t>的投标，自愿作出以下承诺：</w:t>
      </w:r>
    </w:p>
    <w:p w14:paraId="73F9EF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1、投标截止日投标资格情况不存在下列情形之一：</w:t>
      </w:r>
    </w:p>
    <w:p w14:paraId="62E2A5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121023E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szCs w:val="21"/>
          <w:highlight w:val="none"/>
          <w:lang w:eastAsia="zh-CN"/>
        </w:rPr>
      </w:pPr>
      <w:r>
        <w:rPr>
          <w:rFonts w:hint="eastAsia" w:ascii="宋体" w:hAnsi="宋体"/>
          <w:color w:val="auto"/>
          <w:szCs w:val="21"/>
          <w:highlight w:val="none"/>
        </w:rPr>
        <w:t>（2）</w:t>
      </w:r>
      <w:r>
        <w:rPr>
          <w:rFonts w:hint="eastAsia" w:ascii="宋体" w:hAnsi="宋体"/>
          <w:szCs w:val="21"/>
          <w:highlight w:val="none"/>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szCs w:val="21"/>
          <w:highlight w:val="none"/>
          <w:lang w:eastAsia="zh-CN"/>
        </w:rPr>
        <w:t>；</w:t>
      </w:r>
    </w:p>
    <w:p w14:paraId="39AC398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kern w:val="0"/>
          <w:highlight w:val="none"/>
        </w:rPr>
        <w:t>第二章“投标人须知”第1.4.3项规定</w:t>
      </w:r>
      <w:r>
        <w:rPr>
          <w:rFonts w:hint="eastAsia" w:ascii="宋体" w:hAnsi="宋体" w:eastAsia="宋体" w:cs="宋体"/>
          <w:kern w:val="0"/>
          <w:highlight w:val="none"/>
          <w:lang w:val="en-US" w:eastAsia="zh-CN"/>
        </w:rPr>
        <w:t>的情形之一</w:t>
      </w: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第二章“投标人须知”第9.2款规定的情形之一</w:t>
      </w:r>
      <w:r>
        <w:rPr>
          <w:rFonts w:hint="eastAsia" w:ascii="宋体" w:hAnsi="宋体"/>
          <w:color w:val="auto"/>
          <w:szCs w:val="21"/>
          <w:highlight w:val="none"/>
          <w:lang w:eastAsia="zh-CN"/>
        </w:rPr>
        <w:t>。</w:t>
      </w:r>
    </w:p>
    <w:p w14:paraId="55A352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14:paraId="7B06F0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2.1拟派的项目经理中标后在本项目任职，签订合同时拟派的项目经理必须与投标文件中的项目经理一致，并满足办理开工许可手续的相关要求。不能按承诺到岗</w:t>
      </w:r>
      <w:r>
        <w:rPr>
          <w:rFonts w:hint="eastAsia" w:ascii="宋体" w:hAnsi="宋体"/>
          <w:color w:val="auto"/>
          <w:szCs w:val="21"/>
          <w:highlight w:val="none"/>
          <w:lang w:val="en-US" w:eastAsia="zh-CN"/>
        </w:rPr>
        <w:t>履职</w:t>
      </w:r>
      <w:r>
        <w:rPr>
          <w:rFonts w:hint="eastAsia" w:ascii="宋体" w:hAnsi="宋体"/>
          <w:color w:val="auto"/>
          <w:szCs w:val="21"/>
          <w:highlight w:val="none"/>
        </w:rPr>
        <w:t>的，</w:t>
      </w:r>
      <w:r>
        <w:rPr>
          <w:rFonts w:hint="eastAsia" w:ascii="宋体" w:hAnsi="宋体"/>
          <w:color w:val="auto"/>
          <w:szCs w:val="21"/>
          <w:highlight w:val="none"/>
          <w:lang w:val="en-US" w:eastAsia="zh-CN"/>
        </w:rPr>
        <w:t>贵单位</w:t>
      </w:r>
      <w:r>
        <w:rPr>
          <w:rFonts w:hint="eastAsia" w:ascii="宋体" w:hAnsi="宋体"/>
          <w:color w:val="auto"/>
          <w:szCs w:val="21"/>
          <w:highlight w:val="none"/>
        </w:rPr>
        <w:t>按合同相关条款</w:t>
      </w:r>
      <w:r>
        <w:rPr>
          <w:rFonts w:hint="eastAsia" w:ascii="宋体" w:hAnsi="宋体"/>
          <w:color w:val="auto"/>
          <w:szCs w:val="21"/>
          <w:highlight w:val="none"/>
          <w:lang w:val="en-US" w:eastAsia="zh-CN"/>
        </w:rPr>
        <w:t>要求我公司承担责任</w:t>
      </w:r>
      <w:r>
        <w:rPr>
          <w:rFonts w:hint="eastAsia" w:ascii="宋体" w:hAnsi="宋体"/>
          <w:color w:val="auto"/>
          <w:szCs w:val="21"/>
          <w:highlight w:val="none"/>
        </w:rPr>
        <w:t>并上报行政主管部门，给</w:t>
      </w:r>
      <w:r>
        <w:rPr>
          <w:rFonts w:hint="eastAsia" w:ascii="宋体" w:hAnsi="宋体"/>
          <w:color w:val="auto"/>
          <w:szCs w:val="21"/>
          <w:highlight w:val="none"/>
          <w:lang w:val="en-US" w:eastAsia="zh-CN"/>
        </w:rPr>
        <w:t>贵单位</w:t>
      </w:r>
      <w:r>
        <w:rPr>
          <w:rFonts w:hint="eastAsia" w:ascii="宋体" w:hAnsi="宋体"/>
          <w:color w:val="auto"/>
          <w:szCs w:val="21"/>
          <w:highlight w:val="none"/>
        </w:rPr>
        <w:t>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。拟派的项目经理中标后不得随意更换。</w:t>
      </w:r>
    </w:p>
    <w:p w14:paraId="64CEEE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2.2拟派的项目经理未被</w:t>
      </w:r>
      <w:r>
        <w:rPr>
          <w:rFonts w:hint="eastAsia" w:ascii="宋体" w:hAnsi="宋体"/>
          <w:color w:val="auto"/>
          <w:szCs w:val="21"/>
          <w:highlight w:val="none"/>
          <w:lang w:eastAsia="zh-CN"/>
        </w:rPr>
        <w:t>有关</w:t>
      </w:r>
      <w:r>
        <w:rPr>
          <w:rFonts w:hint="eastAsia" w:ascii="宋体" w:hAnsi="宋体"/>
          <w:color w:val="auto"/>
          <w:szCs w:val="21"/>
          <w:highlight w:val="none"/>
        </w:rPr>
        <w:t>部门暂停</w:t>
      </w:r>
      <w:r>
        <w:rPr>
          <w:rFonts w:hint="eastAsia" w:ascii="宋体" w:hAnsi="宋体"/>
          <w:color w:val="auto"/>
          <w:szCs w:val="21"/>
          <w:highlight w:val="none"/>
          <w:lang w:val="en-US" w:eastAsia="zh-CN"/>
        </w:rPr>
        <w:t>其</w:t>
      </w:r>
      <w:r>
        <w:rPr>
          <w:rFonts w:hint="eastAsia" w:ascii="宋体" w:hAnsi="宋体"/>
          <w:color w:val="auto"/>
          <w:szCs w:val="21"/>
          <w:highlight w:val="none"/>
        </w:rPr>
        <w:t>在渝承揽</w:t>
      </w:r>
      <w:r>
        <w:rPr>
          <w:rFonts w:hint="eastAsia" w:ascii="宋体" w:hAnsi="宋体"/>
          <w:color w:val="auto"/>
          <w:szCs w:val="21"/>
          <w:highlight w:val="none"/>
          <w:lang w:val="en-US" w:eastAsia="zh-CN"/>
        </w:rPr>
        <w:t>的</w:t>
      </w:r>
      <w:r>
        <w:rPr>
          <w:rFonts w:hint="eastAsia" w:ascii="宋体" w:hAnsi="宋体"/>
          <w:color w:val="auto"/>
          <w:szCs w:val="21"/>
          <w:highlight w:val="none"/>
        </w:rPr>
        <w:t>新业务</w:t>
      </w:r>
      <w:r>
        <w:rPr>
          <w:rFonts w:hint="eastAsia" w:ascii="宋体" w:hAnsi="宋体"/>
          <w:color w:val="auto"/>
          <w:szCs w:val="21"/>
          <w:highlight w:val="none"/>
          <w:lang w:val="en-US" w:eastAsia="zh-CN"/>
        </w:rPr>
        <w:t>中任职</w:t>
      </w:r>
      <w:r>
        <w:rPr>
          <w:rFonts w:hint="eastAsia" w:ascii="宋体" w:hAnsi="宋体"/>
          <w:color w:val="auto"/>
          <w:szCs w:val="21"/>
          <w:highlight w:val="none"/>
        </w:rPr>
        <w:t>，若</w:t>
      </w:r>
      <w:r>
        <w:rPr>
          <w:rFonts w:hint="eastAsia" w:ascii="宋体" w:hAnsi="宋体"/>
          <w:color w:val="auto"/>
          <w:szCs w:val="21"/>
          <w:highlight w:val="none"/>
          <w:lang w:val="en-US" w:eastAsia="zh-CN"/>
        </w:rPr>
        <w:t>其</w:t>
      </w:r>
      <w:r>
        <w:rPr>
          <w:rFonts w:hint="eastAsia" w:ascii="宋体" w:hAnsi="宋体"/>
          <w:color w:val="auto"/>
          <w:szCs w:val="21"/>
          <w:highlight w:val="none"/>
        </w:rPr>
        <w:t>被暂停</w:t>
      </w:r>
      <w:r>
        <w:rPr>
          <w:rFonts w:hint="eastAsia" w:ascii="宋体" w:hAnsi="宋体"/>
          <w:szCs w:val="21"/>
          <w:highlight w:val="none"/>
          <w:lang w:val="en-US" w:eastAsia="zh-CN"/>
        </w:rPr>
        <w:t>在渝承揽的新业务中任职但仍</w:t>
      </w:r>
      <w:r>
        <w:rPr>
          <w:rFonts w:hint="eastAsia" w:ascii="宋体" w:hAnsi="宋体"/>
          <w:color w:val="auto"/>
          <w:szCs w:val="21"/>
          <w:highlight w:val="none"/>
        </w:rPr>
        <w:t>参加投标</w:t>
      </w:r>
      <w:r>
        <w:rPr>
          <w:rFonts w:hint="eastAsia" w:ascii="宋体" w:hAnsi="宋体"/>
          <w:color w:val="auto"/>
          <w:szCs w:val="21"/>
          <w:highlight w:val="none"/>
          <w:lang w:eastAsia="zh-CN"/>
        </w:rPr>
        <w:t>，</w:t>
      </w:r>
      <w:r>
        <w:rPr>
          <w:rFonts w:hint="eastAsia" w:ascii="宋体" w:hAnsi="宋体"/>
          <w:color w:val="auto"/>
          <w:szCs w:val="21"/>
          <w:highlight w:val="none"/>
        </w:rPr>
        <w:t>将被否决</w:t>
      </w:r>
      <w:r>
        <w:rPr>
          <w:rFonts w:hint="eastAsia" w:ascii="宋体" w:hAnsi="宋体"/>
          <w:color w:val="auto"/>
          <w:szCs w:val="21"/>
          <w:highlight w:val="none"/>
          <w:lang w:val="en-US" w:eastAsia="zh-CN"/>
        </w:rPr>
        <w:t>投标</w:t>
      </w:r>
      <w:r>
        <w:rPr>
          <w:rFonts w:hint="eastAsia" w:ascii="宋体" w:hAnsi="宋体"/>
          <w:color w:val="auto"/>
          <w:szCs w:val="21"/>
          <w:highlight w:val="none"/>
        </w:rPr>
        <w:t>；已取得中标候选人资格或中标资格的，</w:t>
      </w:r>
      <w:r>
        <w:rPr>
          <w:rFonts w:hint="eastAsia" w:ascii="宋体" w:hAnsi="宋体"/>
          <w:color w:val="auto"/>
          <w:szCs w:val="21"/>
          <w:highlight w:val="none"/>
          <w:lang w:val="en-US" w:eastAsia="zh-CN"/>
        </w:rPr>
        <w:t>贵单位</w:t>
      </w:r>
      <w:r>
        <w:rPr>
          <w:rFonts w:hint="eastAsia" w:ascii="宋体" w:hAnsi="宋体"/>
          <w:color w:val="auto"/>
          <w:szCs w:val="21"/>
          <w:highlight w:val="none"/>
        </w:rPr>
        <w:t>有权取消</w:t>
      </w:r>
      <w:r>
        <w:rPr>
          <w:rFonts w:hint="eastAsia" w:ascii="宋体" w:hAnsi="宋体"/>
          <w:color w:val="auto"/>
          <w:szCs w:val="21"/>
          <w:highlight w:val="none"/>
          <w:lang w:val="en-US" w:eastAsia="zh-CN"/>
        </w:rPr>
        <w:t>我公司</w:t>
      </w:r>
      <w:r>
        <w:rPr>
          <w:rFonts w:hint="eastAsia" w:ascii="宋体" w:hAnsi="宋体"/>
          <w:color w:val="auto"/>
          <w:szCs w:val="21"/>
          <w:highlight w:val="none"/>
        </w:rPr>
        <w:t>中标候选人资格或中标资格；给</w:t>
      </w:r>
      <w:r>
        <w:rPr>
          <w:rFonts w:hint="eastAsia" w:ascii="宋体" w:hAnsi="宋体"/>
          <w:color w:val="auto"/>
          <w:szCs w:val="21"/>
          <w:highlight w:val="none"/>
          <w:lang w:val="en-US" w:eastAsia="zh-CN"/>
        </w:rPr>
        <w:t>贵单位</w:t>
      </w:r>
      <w:r>
        <w:rPr>
          <w:rFonts w:hint="eastAsia" w:ascii="宋体" w:hAnsi="宋体"/>
          <w:color w:val="auto"/>
          <w:szCs w:val="21"/>
          <w:highlight w:val="none"/>
        </w:rPr>
        <w:t>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w:t>
      </w:r>
    </w:p>
    <w:p w14:paraId="26A04E2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14:paraId="4FEC2D7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olor w:val="auto"/>
          <w:szCs w:val="21"/>
          <w:highlight w:val="none"/>
        </w:rPr>
        <w:t>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0F03D45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14:paraId="3A2CF9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14:paraId="6BC0380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w:t>
      </w:r>
      <w:r>
        <w:rPr>
          <w:rFonts w:hint="eastAsia" w:ascii="宋体" w:hAnsi="宋体"/>
          <w:color w:val="auto"/>
          <w:szCs w:val="21"/>
          <w:highlight w:val="none"/>
          <w:lang w:val="en-US" w:eastAsia="zh-CN"/>
        </w:rPr>
        <w:t>公</w:t>
      </w:r>
      <w:r>
        <w:rPr>
          <w:rFonts w:hint="eastAsia" w:ascii="宋体" w:hAnsi="宋体"/>
          <w:color w:val="auto"/>
          <w:szCs w:val="21"/>
          <w:highlight w:val="none"/>
        </w:rPr>
        <w:t>司</w:t>
      </w:r>
      <w:r>
        <w:rPr>
          <w:rFonts w:hint="eastAsia" w:ascii="宋体" w:hAnsi="宋体"/>
          <w:color w:val="auto"/>
          <w:szCs w:val="21"/>
          <w:highlight w:val="none"/>
          <w:lang w:val="en-US" w:eastAsia="zh-CN"/>
        </w:rPr>
        <w:t>若</w:t>
      </w:r>
      <w:r>
        <w:rPr>
          <w:rFonts w:hint="eastAsia" w:ascii="宋体" w:hAnsi="宋体"/>
          <w:color w:val="auto"/>
          <w:szCs w:val="21"/>
          <w:highlight w:val="none"/>
        </w:rPr>
        <w:t>中标</w:t>
      </w:r>
      <w:r>
        <w:rPr>
          <w:rFonts w:hint="eastAsia" w:ascii="宋体" w:hAnsi="宋体"/>
          <w:color w:val="auto"/>
          <w:szCs w:val="21"/>
          <w:highlight w:val="none"/>
          <w:lang w:eastAsia="zh-CN"/>
        </w:rPr>
        <w:t>，</w:t>
      </w:r>
      <w:r>
        <w:rPr>
          <w:rFonts w:hint="eastAsia" w:ascii="宋体" w:hAnsi="宋体"/>
          <w:color w:val="auto"/>
          <w:szCs w:val="21"/>
          <w:highlight w:val="none"/>
        </w:rPr>
        <w:t>在签订合同之前，</w:t>
      </w:r>
      <w:r>
        <w:rPr>
          <w:rFonts w:hint="eastAsia" w:ascii="宋体" w:hAnsi="宋体"/>
          <w:color w:val="auto"/>
          <w:szCs w:val="21"/>
          <w:highlight w:val="none"/>
          <w:lang w:val="en-US" w:eastAsia="zh-CN"/>
        </w:rPr>
        <w:t>将</w:t>
      </w:r>
      <w:r>
        <w:rPr>
          <w:rFonts w:hint="eastAsia" w:ascii="宋体" w:hAnsi="宋体"/>
          <w:color w:val="auto"/>
          <w:szCs w:val="21"/>
          <w:highlight w:val="none"/>
        </w:rPr>
        <w:t>按照</w:t>
      </w:r>
      <w:r>
        <w:rPr>
          <w:rFonts w:hint="eastAsia" w:ascii="宋体" w:hAnsi="宋体" w:cs="宋体"/>
          <w:szCs w:val="21"/>
          <w:highlight w:val="none"/>
          <w:lang w:val="en-US" w:eastAsia="zh-CN"/>
        </w:rPr>
        <w:t>相关</w:t>
      </w:r>
      <w:r>
        <w:rPr>
          <w:rFonts w:hint="eastAsia" w:ascii="宋体" w:hAnsi="宋体" w:eastAsia="宋体" w:cs="宋体"/>
          <w:szCs w:val="21"/>
          <w:highlight w:val="none"/>
        </w:rPr>
        <w:t>行政主管部门</w:t>
      </w:r>
      <w:r>
        <w:rPr>
          <w:rFonts w:hint="eastAsia" w:ascii="宋体" w:hAnsi="宋体"/>
          <w:color w:val="auto"/>
          <w:szCs w:val="21"/>
          <w:highlight w:val="none"/>
        </w:rPr>
        <w:t>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贵单位</w:t>
      </w:r>
      <w:r>
        <w:rPr>
          <w:rFonts w:hint="eastAsia" w:ascii="宋体" w:hAnsi="宋体"/>
          <w:color w:val="auto"/>
          <w:szCs w:val="21"/>
          <w:highlight w:val="none"/>
        </w:rPr>
        <w:t>。主要管理人员应持有相关行政主管部门要求的岗位证书（其中安全员必须具备安全生产考核合格证书）或注册证书或职称证书，并提供</w:t>
      </w:r>
      <w:r>
        <w:rPr>
          <w:rFonts w:hint="eastAsia" w:ascii="宋体" w:hAnsi="宋体"/>
          <w:color w:val="auto"/>
          <w:szCs w:val="21"/>
          <w:highlight w:val="none"/>
          <w:lang w:val="en-US" w:eastAsia="zh-CN"/>
        </w:rPr>
        <w:t>我公司</w:t>
      </w:r>
      <w:r>
        <w:rPr>
          <w:rFonts w:hint="eastAsia" w:ascii="宋体" w:hAnsi="宋体"/>
          <w:color w:val="auto"/>
          <w:szCs w:val="21"/>
          <w:highlight w:val="none"/>
        </w:rPr>
        <w:t>为其缴纳的养老保险证明材料。中标后我</w:t>
      </w:r>
      <w:r>
        <w:rPr>
          <w:rFonts w:hint="eastAsia" w:ascii="宋体" w:hAnsi="宋体"/>
          <w:color w:val="auto"/>
          <w:szCs w:val="21"/>
          <w:highlight w:val="none"/>
          <w:lang w:val="en-US" w:eastAsia="zh-CN"/>
        </w:rPr>
        <w:t>公</w:t>
      </w:r>
      <w:r>
        <w:rPr>
          <w:rFonts w:hint="eastAsia" w:ascii="宋体" w:hAnsi="宋体"/>
          <w:color w:val="auto"/>
          <w:szCs w:val="21"/>
          <w:highlight w:val="none"/>
        </w:rPr>
        <w:t>司不能满足该要求的，</w:t>
      </w:r>
      <w:r>
        <w:rPr>
          <w:rFonts w:hint="eastAsia" w:ascii="宋体" w:hAnsi="宋体"/>
          <w:color w:val="auto"/>
          <w:szCs w:val="21"/>
          <w:highlight w:val="none"/>
          <w:lang w:val="en-US" w:eastAsia="zh-CN"/>
        </w:rPr>
        <w:t>贵单位可</w:t>
      </w:r>
      <w:r>
        <w:rPr>
          <w:rFonts w:hint="eastAsia" w:ascii="宋体" w:hAnsi="宋体"/>
          <w:color w:val="auto"/>
          <w:szCs w:val="21"/>
          <w:highlight w:val="none"/>
        </w:rPr>
        <w:t>取消我</w:t>
      </w:r>
      <w:r>
        <w:rPr>
          <w:rFonts w:hint="eastAsia" w:ascii="宋体" w:hAnsi="宋体"/>
          <w:color w:val="auto"/>
          <w:szCs w:val="21"/>
          <w:highlight w:val="none"/>
          <w:lang w:val="en-US" w:eastAsia="zh-CN"/>
        </w:rPr>
        <w:t>公</w:t>
      </w:r>
      <w:r>
        <w:rPr>
          <w:rFonts w:hint="eastAsia" w:ascii="宋体" w:hAnsi="宋体"/>
          <w:color w:val="auto"/>
          <w:szCs w:val="21"/>
          <w:highlight w:val="none"/>
        </w:rPr>
        <w:t>司中标资格</w:t>
      </w:r>
      <w:r>
        <w:rPr>
          <w:rFonts w:hint="eastAsia" w:ascii="宋体" w:hAnsi="宋体" w:eastAsia="宋体" w:cs="宋体"/>
          <w:color w:val="auto"/>
          <w:szCs w:val="21"/>
          <w:highlight w:val="none"/>
        </w:rPr>
        <w:t>；签订合同后不满足该要求的，</w:t>
      </w:r>
      <w:r>
        <w:rPr>
          <w:rFonts w:hint="eastAsia" w:ascii="宋体" w:hAnsi="宋体" w:cs="宋体"/>
          <w:color w:val="auto"/>
          <w:szCs w:val="21"/>
          <w:highlight w:val="none"/>
          <w:lang w:val="en-US" w:eastAsia="zh-CN"/>
        </w:rPr>
        <w:t>贵单位</w:t>
      </w:r>
      <w:r>
        <w:rPr>
          <w:rFonts w:hint="eastAsia" w:ascii="宋体" w:hAnsi="宋体" w:eastAsia="宋体" w:cs="宋体"/>
          <w:color w:val="auto"/>
          <w:szCs w:val="21"/>
          <w:highlight w:val="none"/>
        </w:rPr>
        <w:t>按合同相关条款</w:t>
      </w:r>
      <w:r>
        <w:rPr>
          <w:rFonts w:hint="eastAsia" w:ascii="宋体" w:hAnsi="宋体" w:eastAsia="宋体" w:cs="宋体"/>
          <w:color w:val="auto"/>
          <w:szCs w:val="21"/>
          <w:highlight w:val="none"/>
          <w:lang w:val="en-US" w:eastAsia="zh-CN"/>
        </w:rPr>
        <w:t>要求</w:t>
      </w:r>
      <w:r>
        <w:rPr>
          <w:rFonts w:hint="eastAsia" w:ascii="宋体" w:hAnsi="宋体" w:cs="宋体"/>
          <w:color w:val="auto"/>
          <w:szCs w:val="21"/>
          <w:highlight w:val="none"/>
          <w:lang w:val="en-US" w:eastAsia="zh-CN"/>
        </w:rPr>
        <w:t>我公司</w:t>
      </w:r>
      <w:r>
        <w:rPr>
          <w:rFonts w:hint="eastAsia" w:ascii="宋体" w:hAnsi="宋体" w:eastAsia="宋体" w:cs="宋体"/>
          <w:color w:val="auto"/>
          <w:szCs w:val="21"/>
          <w:highlight w:val="none"/>
          <w:lang w:val="en-US" w:eastAsia="zh-CN"/>
        </w:rPr>
        <w:t>承担责任</w:t>
      </w:r>
      <w:r>
        <w:rPr>
          <w:rFonts w:hint="eastAsia" w:ascii="宋体" w:hAnsi="宋体" w:eastAsia="宋体" w:cs="宋体"/>
          <w:color w:val="auto"/>
          <w:szCs w:val="21"/>
          <w:highlight w:val="none"/>
        </w:rPr>
        <w:t>并上报行政主管部门；</w:t>
      </w:r>
      <w:r>
        <w:rPr>
          <w:rFonts w:hint="eastAsia" w:ascii="宋体" w:hAnsi="宋体" w:eastAsia="宋体" w:cs="宋体"/>
          <w:szCs w:val="21"/>
          <w:highlight w:val="none"/>
        </w:rPr>
        <w:t>给</w:t>
      </w:r>
      <w:r>
        <w:rPr>
          <w:rFonts w:hint="eastAsia" w:ascii="宋体" w:hAnsi="宋体" w:cs="宋体"/>
          <w:szCs w:val="21"/>
          <w:highlight w:val="none"/>
          <w:lang w:val="en-US" w:eastAsia="zh-CN"/>
        </w:rPr>
        <w:t>贵单位</w:t>
      </w:r>
      <w:r>
        <w:rPr>
          <w:rFonts w:hint="eastAsia" w:ascii="宋体" w:hAnsi="宋体" w:eastAsia="宋体" w:cs="宋体"/>
          <w:szCs w:val="21"/>
          <w:highlight w:val="none"/>
        </w:rPr>
        <w:t>造成损失的，</w:t>
      </w:r>
      <w:r>
        <w:rPr>
          <w:rFonts w:hint="eastAsia" w:ascii="宋体" w:hAnsi="宋体" w:cs="宋体"/>
          <w:szCs w:val="21"/>
          <w:highlight w:val="none"/>
          <w:lang w:val="en-US" w:eastAsia="zh-CN"/>
        </w:rPr>
        <w:t>我公司</w:t>
      </w:r>
      <w:r>
        <w:rPr>
          <w:rFonts w:hint="eastAsia" w:ascii="宋体" w:hAnsi="宋体" w:eastAsia="宋体" w:cs="宋体"/>
          <w:szCs w:val="21"/>
          <w:highlight w:val="none"/>
        </w:rPr>
        <w:t>依法承担赔偿责任</w:t>
      </w:r>
      <w:r>
        <w:rPr>
          <w:rFonts w:hint="eastAsia" w:ascii="宋体" w:hAnsi="宋体" w:eastAsia="宋体" w:cs="宋体"/>
          <w:szCs w:val="21"/>
          <w:highlight w:val="none"/>
          <w:lang w:val="en-US" w:eastAsia="zh-CN"/>
        </w:rPr>
        <w:t>或违约责任</w:t>
      </w:r>
      <w:r>
        <w:rPr>
          <w:rFonts w:hint="eastAsia" w:ascii="宋体" w:hAnsi="宋体"/>
          <w:color w:val="auto"/>
          <w:szCs w:val="21"/>
          <w:highlight w:val="none"/>
        </w:rPr>
        <w:t>。</w:t>
      </w:r>
    </w:p>
    <w:p w14:paraId="4BC5718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本投标文件中的所有内容</w:t>
      </w:r>
      <w:r>
        <w:rPr>
          <w:rFonts w:hint="eastAsia" w:ascii="宋体" w:hAnsi="宋体"/>
          <w:color w:val="auto"/>
          <w:szCs w:val="21"/>
          <w:highlight w:val="none"/>
        </w:rPr>
        <w:t>真实有效，不存在弄虚作假情形。</w:t>
      </w:r>
      <w:r>
        <w:rPr>
          <w:rFonts w:hint="eastAsia" w:ascii="宋体" w:hAnsi="宋体"/>
          <w:color w:val="auto"/>
          <w:szCs w:val="21"/>
          <w:highlight w:val="none"/>
          <w:u w:val="none"/>
          <w:lang w:val="en-US" w:eastAsia="zh-CN"/>
        </w:rPr>
        <w:t>贵单位</w:t>
      </w:r>
      <w:r>
        <w:rPr>
          <w:rFonts w:hint="eastAsia" w:ascii="宋体" w:hAnsi="宋体"/>
          <w:color w:val="auto"/>
          <w:szCs w:val="21"/>
          <w:highlight w:val="none"/>
          <w:u w:val="none"/>
        </w:rPr>
        <w:t>有权对我</w:t>
      </w:r>
      <w:r>
        <w:rPr>
          <w:rFonts w:hint="eastAsia" w:ascii="宋体" w:hAnsi="宋体"/>
          <w:color w:val="auto"/>
          <w:szCs w:val="21"/>
          <w:highlight w:val="none"/>
          <w:u w:val="none"/>
          <w:lang w:val="en-US" w:eastAsia="zh-CN"/>
        </w:rPr>
        <w:t>公</w:t>
      </w:r>
      <w:r>
        <w:rPr>
          <w:rFonts w:hint="eastAsia" w:ascii="宋体" w:hAnsi="宋体"/>
          <w:color w:val="auto"/>
          <w:szCs w:val="21"/>
          <w:highlight w:val="none"/>
          <w:u w:val="none"/>
        </w:rPr>
        <w:t>司提供的资料进行核实，若发现弄虚作假，</w:t>
      </w:r>
      <w:r>
        <w:rPr>
          <w:rFonts w:hint="eastAsia" w:ascii="宋体" w:hAnsi="宋体"/>
          <w:color w:val="auto"/>
          <w:szCs w:val="21"/>
          <w:highlight w:val="none"/>
          <w:u w:val="none"/>
          <w:lang w:eastAsia="zh-CN"/>
        </w:rPr>
        <w:t>按相关规定</w:t>
      </w:r>
      <w:r>
        <w:rPr>
          <w:rFonts w:hint="eastAsia" w:ascii="宋体" w:hAnsi="宋体"/>
          <w:color w:val="auto"/>
          <w:szCs w:val="21"/>
          <w:highlight w:val="none"/>
          <w:u w:val="none"/>
        </w:rPr>
        <w:t>取消</w:t>
      </w:r>
      <w:r>
        <w:rPr>
          <w:rFonts w:hint="eastAsia" w:ascii="宋体" w:hAnsi="宋体"/>
          <w:color w:val="auto"/>
          <w:szCs w:val="21"/>
          <w:highlight w:val="none"/>
          <w:u w:val="none"/>
          <w:lang w:eastAsia="zh-CN"/>
        </w:rPr>
        <w:t>我</w:t>
      </w:r>
      <w:r>
        <w:rPr>
          <w:rFonts w:hint="eastAsia" w:ascii="宋体" w:hAnsi="宋体"/>
          <w:color w:val="auto"/>
          <w:szCs w:val="21"/>
          <w:highlight w:val="none"/>
          <w:u w:val="none"/>
          <w:lang w:val="en-US" w:eastAsia="zh-CN"/>
        </w:rPr>
        <w:t>公</w:t>
      </w:r>
      <w:r>
        <w:rPr>
          <w:rFonts w:hint="eastAsia" w:ascii="宋体" w:hAnsi="宋体"/>
          <w:color w:val="auto"/>
          <w:szCs w:val="21"/>
          <w:highlight w:val="none"/>
          <w:u w:val="none"/>
          <w:lang w:eastAsia="zh-CN"/>
        </w:rPr>
        <w:t>司</w:t>
      </w:r>
      <w:r>
        <w:rPr>
          <w:rFonts w:hint="eastAsia" w:ascii="宋体" w:hAnsi="宋体"/>
          <w:color w:val="auto"/>
          <w:szCs w:val="21"/>
          <w:highlight w:val="none"/>
          <w:u w:val="none"/>
        </w:rPr>
        <w:t>中标资格，并按相关法律法规报招标投标监督部门，</w:t>
      </w:r>
      <w:r>
        <w:rPr>
          <w:rFonts w:hint="eastAsia" w:ascii="宋体" w:hAnsi="宋体"/>
          <w:szCs w:val="21"/>
          <w:highlight w:val="none"/>
          <w:u w:val="none"/>
        </w:rPr>
        <w:t>投标保证金以现金形式交纳的不予退还，以保函形式交纳的由保函开立人支付保函担保的与投标保证金等额的款项，我</w:t>
      </w:r>
      <w:r>
        <w:rPr>
          <w:rFonts w:hint="eastAsia" w:ascii="宋体" w:hAnsi="宋体"/>
          <w:szCs w:val="21"/>
          <w:highlight w:val="none"/>
          <w:u w:val="none"/>
          <w:lang w:eastAsia="zh-CN"/>
        </w:rPr>
        <w:t>公</w:t>
      </w:r>
      <w:r>
        <w:rPr>
          <w:rFonts w:hint="eastAsia" w:ascii="宋体" w:hAnsi="宋体"/>
          <w:szCs w:val="21"/>
          <w:highlight w:val="none"/>
          <w:u w:val="none"/>
        </w:rPr>
        <w:t>司自愿承担因此造成的相关责任并赔偿相应损失</w:t>
      </w:r>
      <w:r>
        <w:rPr>
          <w:rFonts w:hint="eastAsia" w:ascii="宋体" w:hAnsi="宋体"/>
          <w:color w:val="auto"/>
          <w:szCs w:val="21"/>
          <w:highlight w:val="none"/>
          <w:u w:val="none"/>
        </w:rPr>
        <w:t>。</w:t>
      </w:r>
    </w:p>
    <w:p w14:paraId="5D41EB06">
      <w:pPr>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5、</w:t>
      </w:r>
      <w:r>
        <w:rPr>
          <w:rFonts w:hint="eastAsia" w:ascii="宋体" w:hAnsi="宋体" w:cs="Times New Roman"/>
          <w:color w:val="auto"/>
          <w:kern w:val="2"/>
          <w:szCs w:val="21"/>
          <w:highlight w:val="none"/>
        </w:rPr>
        <w:t>已标价工程量清单满足第二章“投标人须知前附表”第3.2款第14条要求，如有差错则按第二章“投标人须知前附表”第3.2款第13条要求原则进行处理（或结算）。</w:t>
      </w:r>
    </w:p>
    <w:p w14:paraId="58C6ECE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、我公司的投标文件符合第二章 投标人须知第 1.3.1 项的规定。</w:t>
      </w:r>
    </w:p>
    <w:p w14:paraId="0C01387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、我公司的投标文件符合第四章 合同条款及格式规定，投标文件中没有招标人不能接受的条件。</w:t>
      </w:r>
    </w:p>
    <w:p w14:paraId="63548B3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、我公司的投标文件符合第七章 技术标准和要求（如有）。</w:t>
      </w:r>
    </w:p>
    <w:p w14:paraId="2648756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、我公司接受</w:t>
      </w:r>
      <w:r>
        <w:rPr>
          <w:rFonts w:hint="eastAsia" w:ascii="宋体" w:hAnsi="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olor w:val="auto"/>
          <w:szCs w:val="21"/>
          <w:highlight w:val="none"/>
        </w:rPr>
        <w:t>中关于“不平衡报价”的相关</w:t>
      </w:r>
      <w:r>
        <w:rPr>
          <w:rFonts w:hint="eastAsia" w:ascii="宋体" w:hAnsi="宋体"/>
          <w:color w:val="auto"/>
          <w:szCs w:val="21"/>
          <w:highlight w:val="none"/>
          <w:lang w:val="en-US" w:eastAsia="zh-CN"/>
        </w:rPr>
        <w:t>要求</w:t>
      </w:r>
      <w:r>
        <w:rPr>
          <w:rFonts w:hint="eastAsia" w:ascii="宋体" w:hAnsi="宋体"/>
          <w:color w:val="auto"/>
          <w:szCs w:val="21"/>
          <w:highlight w:val="none"/>
        </w:rPr>
        <w:t>（如有）。</w:t>
      </w:r>
    </w:p>
    <w:p w14:paraId="4B2C411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、我公司接受</w:t>
      </w:r>
      <w:r>
        <w:rPr>
          <w:rFonts w:hint="eastAsia" w:ascii="宋体" w:hAnsi="宋体"/>
          <w:color w:val="auto"/>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color w:val="auto"/>
          <w:szCs w:val="21"/>
          <w:highlight w:val="none"/>
        </w:rPr>
        <w:t>中关于“不允许负数报价”的相关要求（如有）。</w:t>
      </w:r>
    </w:p>
    <w:p w14:paraId="09A956E7">
      <w:pPr>
        <w:snapToGrid w:val="0"/>
        <w:spacing w:line="360" w:lineRule="auto"/>
        <w:ind w:firstLine="420" w:firstLineChars="200"/>
        <w:rPr>
          <w:rFonts w:hint="eastAsia" w:ascii="宋体" w:hAnsi="宋体"/>
          <w:color w:val="auto"/>
          <w:szCs w:val="21"/>
          <w:highlight w:val="none"/>
        </w:rPr>
      </w:pPr>
      <w:r>
        <w:rPr>
          <w:rFonts w:hint="eastAsia" w:ascii="宋体" w:hAnsi="宋体"/>
          <w:szCs w:val="21"/>
          <w:highlight w:val="none"/>
          <w:lang w:val="en-US" w:eastAsia="zh-CN"/>
        </w:rPr>
        <w:t>11</w:t>
      </w:r>
      <w:r>
        <w:rPr>
          <w:rFonts w:hint="eastAsia" w:ascii="宋体" w:hAnsi="宋体"/>
          <w:szCs w:val="21"/>
          <w:highlight w:val="none"/>
        </w:rPr>
        <w:t>、我公司接受</w:t>
      </w:r>
      <w:r>
        <w:rPr>
          <w:rFonts w:hint="eastAsia" w:ascii="宋体" w:hAnsi="宋体"/>
          <w:szCs w:val="21"/>
          <w:highlight w:val="none"/>
          <w:lang w:eastAsia="zh-CN"/>
        </w:rPr>
        <w:t>竞争性比选</w:t>
      </w:r>
      <w:r>
        <w:rPr>
          <w:rFonts w:hint="eastAsia" w:ascii="宋体" w:hAnsi="宋体"/>
          <w:snapToGrid w:val="0"/>
          <w:szCs w:val="28"/>
          <w:highlight w:val="none"/>
          <w:lang w:val="en-US" w:eastAsia="zh-CN"/>
        </w:rPr>
        <w:t>文件</w:t>
      </w:r>
      <w:r>
        <w:rPr>
          <w:rFonts w:hint="eastAsia" w:ascii="宋体" w:hAnsi="宋体"/>
          <w:szCs w:val="21"/>
          <w:highlight w:val="none"/>
        </w:rPr>
        <w:t>中关于“不允许</w:t>
      </w:r>
      <w:r>
        <w:rPr>
          <w:rFonts w:hint="eastAsia" w:ascii="宋体" w:hAnsi="宋体"/>
          <w:szCs w:val="21"/>
          <w:highlight w:val="none"/>
          <w:lang w:val="en-US" w:eastAsia="zh-CN"/>
        </w:rPr>
        <w:t>零</w:t>
      </w:r>
      <w:r>
        <w:rPr>
          <w:rFonts w:hint="eastAsia" w:ascii="宋体" w:hAnsi="宋体"/>
          <w:szCs w:val="21"/>
          <w:highlight w:val="none"/>
        </w:rPr>
        <w:t>报价”的相关要求（如有）。</w:t>
      </w:r>
    </w:p>
    <w:p w14:paraId="3DA1D7FC">
      <w:pPr>
        <w:snapToGrid w:val="0"/>
        <w:spacing w:line="360" w:lineRule="auto"/>
        <w:ind w:firstLine="420" w:firstLineChars="200"/>
        <w:rPr>
          <w:rFonts w:hint="eastAsia" w:ascii="宋体" w:hAnsi="宋体"/>
          <w:szCs w:val="21"/>
          <w:highlight w:val="none"/>
        </w:rPr>
      </w:pPr>
      <w:r>
        <w:rPr>
          <w:rFonts w:hint="eastAsia" w:ascii="宋体" w:hAnsi="宋体" w:cs="宋体"/>
          <w:highlight w:val="none"/>
          <w:lang w:val="en-US" w:eastAsia="zh-CN"/>
        </w:rPr>
        <w:t>12</w:t>
      </w:r>
      <w:r>
        <w:rPr>
          <w:rFonts w:hint="eastAsia" w:ascii="宋体" w:hAnsi="宋体" w:cs="宋体"/>
          <w:highlight w:val="none"/>
        </w:rPr>
        <w:t>、</w:t>
      </w:r>
      <w:r>
        <w:rPr>
          <w:rFonts w:hint="eastAsia" w:ascii="宋体" w:hAnsi="宋体" w:cs="宋体"/>
          <w:szCs w:val="21"/>
          <w:highlight w:val="none"/>
        </w:rPr>
        <w:t>其他承诺事项：</w:t>
      </w:r>
      <w:r>
        <w:rPr>
          <w:rFonts w:hint="eastAsia" w:ascii="宋体" w:hAnsi="宋体" w:cs="宋体"/>
          <w:szCs w:val="21"/>
          <w:highlight w:val="none"/>
          <w:u w:val="single"/>
        </w:rPr>
        <w:t xml:space="preserve">         </w:t>
      </w:r>
      <w:r>
        <w:rPr>
          <w:rFonts w:hint="eastAsia" w:ascii="宋体" w:hAnsi="宋体" w:cs="宋体"/>
          <w:i/>
          <w:iCs/>
          <w:szCs w:val="21"/>
          <w:highlight w:val="none"/>
          <w:u w:val="single"/>
        </w:rPr>
        <w:t>[提示：</w:t>
      </w:r>
      <w:r>
        <w:rPr>
          <w:rFonts w:hint="eastAsia" w:ascii="宋体" w:hAnsi="宋体" w:cs="宋体"/>
          <w:i/>
          <w:iCs/>
          <w:szCs w:val="21"/>
          <w:highlight w:val="none"/>
          <w:u w:val="single"/>
          <w:lang w:eastAsia="zh-CN"/>
        </w:rPr>
        <w:t>竞争性比选</w:t>
      </w:r>
      <w:r>
        <w:rPr>
          <w:rFonts w:hint="eastAsia" w:ascii="宋体" w:hAnsi="宋体" w:cs="宋体"/>
          <w:i/>
          <w:iCs/>
          <w:szCs w:val="21"/>
          <w:highlight w:val="none"/>
          <w:u w:val="single"/>
          <w:lang w:val="en-US" w:eastAsia="zh-CN"/>
        </w:rPr>
        <w:t>文件</w:t>
      </w:r>
      <w:r>
        <w:rPr>
          <w:rFonts w:hint="eastAsia" w:ascii="宋体" w:hAnsi="宋体" w:cs="宋体"/>
          <w:i/>
          <w:iCs/>
          <w:szCs w:val="21"/>
          <w:highlight w:val="none"/>
          <w:u w:val="single"/>
        </w:rPr>
        <w:t>有具体要求的，可在此处增加对应的承诺内容。]</w:t>
      </w:r>
    </w:p>
    <w:p w14:paraId="30B41978">
      <w:pPr>
        <w:snapToGrid w:val="0"/>
        <w:spacing w:line="360" w:lineRule="auto"/>
        <w:ind w:firstLine="420" w:firstLineChars="200"/>
        <w:rPr>
          <w:rFonts w:hint="eastAsia" w:ascii="宋体" w:hAnsi="宋体"/>
          <w:color w:val="auto"/>
          <w:szCs w:val="21"/>
          <w:highlight w:val="none"/>
        </w:rPr>
      </w:pPr>
    </w:p>
    <w:p w14:paraId="373B2E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06026B67">
      <w:pPr>
        <w:pStyle w:val="2"/>
        <w:rPr>
          <w:color w:val="auto"/>
          <w:highlight w:val="none"/>
        </w:rPr>
      </w:pPr>
    </w:p>
    <w:p w14:paraId="580228A2">
      <w:pPr>
        <w:spacing w:line="360" w:lineRule="auto"/>
        <w:ind w:firstLine="4620" w:firstLineChars="2200"/>
        <w:rPr>
          <w:rFonts w:ascii="宋体" w:hAnsi="宋体"/>
          <w:color w:val="auto"/>
          <w:kern w:val="0"/>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9F648FE">
      <w:pPr>
        <w:spacing w:line="360" w:lineRule="auto"/>
        <w:ind w:firstLine="4620" w:firstLineChars="2200"/>
        <w:rPr>
          <w:rFonts w:ascii="宋体" w:hAnsi="宋体"/>
          <w:color w:val="auto"/>
          <w:kern w:val="0"/>
          <w:szCs w:val="21"/>
          <w:highlight w:val="none"/>
        </w:rPr>
      </w:pPr>
      <w:r>
        <w:rPr>
          <w:rFonts w:hint="eastAsia" w:ascii="宋体" w:hAnsi="宋体"/>
          <w:color w:val="auto"/>
          <w:kern w:val="0"/>
          <w:szCs w:val="21"/>
          <w:highlight w:val="none"/>
        </w:rPr>
        <w:t>法定代表人：</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签名</w:t>
      </w:r>
      <w:r>
        <w:rPr>
          <w:rFonts w:hint="eastAsia" w:ascii="宋体" w:hAnsi="宋体"/>
          <w:color w:val="auto"/>
          <w:kern w:val="0"/>
          <w:szCs w:val="21"/>
          <w:highlight w:val="none"/>
        </w:rPr>
        <w:t>或盖章）</w:t>
      </w:r>
    </w:p>
    <w:p w14:paraId="158ED6ED">
      <w:pPr>
        <w:spacing w:line="360" w:lineRule="auto"/>
        <w:ind w:firstLine="6510" w:firstLineChars="3100"/>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0FD873C6">
      <w:pPr>
        <w:spacing w:line="360" w:lineRule="auto"/>
        <w:ind w:firstLine="6510" w:firstLineChars="3100"/>
        <w:rPr>
          <w:color w:val="auto"/>
          <w:highlight w:val="none"/>
        </w:rPr>
      </w:pPr>
      <w:r>
        <w:rPr>
          <w:rFonts w:ascii="宋体" w:hAnsi="宋体"/>
          <w:color w:val="auto"/>
          <w:kern w:val="0"/>
          <w:szCs w:val="21"/>
          <w:highlight w:val="none"/>
        </w:rPr>
        <w:br w:type="page"/>
      </w:r>
    </w:p>
    <w:bookmarkEnd w:id="1654"/>
    <w:p w14:paraId="5530068D">
      <w:pPr>
        <w:pStyle w:val="5"/>
        <w:spacing w:before="0" w:line="360" w:lineRule="auto"/>
        <w:jc w:val="center"/>
        <w:rPr>
          <w:rFonts w:ascii="宋体" w:hAnsi="宋体"/>
          <w:color w:val="auto"/>
          <w:highlight w:val="none"/>
        </w:rPr>
      </w:pPr>
      <w:bookmarkStart w:id="1655" w:name="_Toc13174"/>
      <w:bookmarkStart w:id="1656" w:name="_Toc59810460"/>
      <w:bookmarkStart w:id="1657" w:name="_Toc19669"/>
      <w:bookmarkStart w:id="1658" w:name="_Toc26978"/>
      <w:bookmarkStart w:id="1659" w:name="_Toc33106483"/>
      <w:bookmarkStart w:id="1660" w:name="_Toc15436"/>
      <w:bookmarkStart w:id="1661" w:name="_Toc15817"/>
      <w:r>
        <w:rPr>
          <w:rFonts w:hint="eastAsia" w:ascii="宋体" w:hAnsi="宋体"/>
          <w:b w:val="0"/>
          <w:color w:val="auto"/>
          <w:highlight w:val="none"/>
        </w:rPr>
        <w:t>（</w:t>
      </w:r>
      <w:r>
        <w:rPr>
          <w:rFonts w:hint="eastAsia" w:ascii="宋体" w:hAnsi="宋体"/>
          <w:b w:val="0"/>
          <w:color w:val="auto"/>
          <w:highlight w:val="none"/>
          <w:lang w:val="en-US" w:eastAsia="zh-CN"/>
        </w:rPr>
        <w:t>三</w:t>
      </w:r>
      <w:r>
        <w:rPr>
          <w:rFonts w:hint="eastAsia" w:ascii="宋体" w:hAnsi="宋体"/>
          <w:b w:val="0"/>
          <w:color w:val="auto"/>
          <w:highlight w:val="none"/>
        </w:rPr>
        <w:t>）其他资料</w:t>
      </w:r>
      <w:bookmarkEnd w:id="1655"/>
      <w:bookmarkEnd w:id="1656"/>
      <w:bookmarkEnd w:id="1657"/>
      <w:bookmarkEnd w:id="1658"/>
      <w:bookmarkEnd w:id="1659"/>
      <w:bookmarkEnd w:id="1660"/>
      <w:bookmarkEnd w:id="1661"/>
    </w:p>
    <w:p w14:paraId="27A1141D">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1. 企业基本账户开户证明文件；</w:t>
      </w:r>
    </w:p>
    <w:bookmarkEnd w:id="824"/>
    <w:bookmarkEnd w:id="825"/>
    <w:bookmarkEnd w:id="826"/>
    <w:bookmarkEnd w:id="1586"/>
    <w:bookmarkEnd w:id="1587"/>
    <w:p w14:paraId="1C92FA66">
      <w:pPr>
        <w:spacing w:line="240" w:lineRule="auto"/>
        <w:ind w:firstLine="0" w:firstLineChars="0"/>
        <w:rPr>
          <w:rFonts w:ascii="宋体" w:hAnsi="宋体"/>
          <w:b/>
          <w:color w:val="auto"/>
          <w:highlight w:val="none"/>
        </w:rPr>
      </w:pPr>
    </w:p>
    <w:sectPr>
      <w:footerReference r:id="rId6" w:type="default"/>
      <w:footerReference r:id="rId7" w:type="even"/>
      <w:pgSz w:w="11906" w:h="16838"/>
      <w:pgMar w:top="1304" w:right="1133" w:bottom="993" w:left="993" w:header="851" w:footer="102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84C363-B7CC-4361-9E00-9F71DD5ADAE3}"/>
  </w:font>
  <w:font w:name="黑体">
    <w:panose1 w:val="02010609060101010101"/>
    <w:charset w:val="86"/>
    <w:family w:val="auto"/>
    <w:pitch w:val="default"/>
    <w:sig w:usb0="800002BF" w:usb1="38CF7CFA" w:usb2="00000016" w:usb3="00000000" w:csb0="00040001" w:csb1="00000000"/>
    <w:embedRegular r:id="rId2" w:fontKey="{61C18D6B-21A0-4FE4-9713-032E2C8FF6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0EE56A00-7BF8-478D-AB79-9E6462292634}"/>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ˎ̥">
    <w:altName w:val="方正公文小标宋"/>
    <w:panose1 w:val="00000000000000000000"/>
    <w:charset w:val="00"/>
    <w:family w:val="decorative"/>
    <w:pitch w:val="default"/>
    <w:sig w:usb0="00000000" w:usb1="00000000" w:usb2="00000000" w:usb3="00000000" w:csb0="00040001" w:csb1="00000000"/>
  </w:font>
  <w:font w:name="Noto Serif CJK JP">
    <w:altName w:val="宋体"/>
    <w:panose1 w:val="02020400000000000000"/>
    <w:charset w:val="86"/>
    <w:family w:val="auto"/>
    <w:pitch w:val="default"/>
    <w:sig w:usb0="00000000" w:usb1="00000000" w:usb2="00000016" w:usb3="00000000" w:csb0="602E0107" w:csb1="00000000"/>
  </w:font>
  <w:font w:name="方正小标宋简体">
    <w:panose1 w:val="0201060001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书宋简体">
    <w:altName w:val="宋体"/>
    <w:panose1 w:val="02000000000000000000"/>
    <w:charset w:val="86"/>
    <w:family w:val="script"/>
    <w:pitch w:val="default"/>
    <w:sig w:usb0="00000000" w:usb1="00000000" w:usb2="00000012" w:usb3="00000000" w:csb0="00040001" w:csb1="00000000"/>
  </w:font>
  <w:font w:name="方正书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altName w:val="方正仿宋_GBK"/>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4" w:fontKey="{BB8E8485-15ED-4C95-AF4F-7977E89C273B}"/>
  </w:font>
  <w:font w:name="MingLiU">
    <w:altName w:val="PMingLiU-ExtB"/>
    <w:panose1 w:val="02020509000000000000"/>
    <w:charset w:val="88"/>
    <w:family w:val="modern"/>
    <w:pitch w:val="default"/>
    <w:sig w:usb0="00000000" w:usb1="00000000" w:usb2="00000016" w:usb3="00000000" w:csb0="00100001" w:csb1="00000000"/>
    <w:embedRegular r:id="rId5" w:fontKey="{25EEAC70-CF18-4EEC-B3BC-D49CEC62C65E}"/>
  </w:font>
  <w:font w:name="华文仿宋">
    <w:panose1 w:val="02010600040101010101"/>
    <w:charset w:val="86"/>
    <w:family w:val="auto"/>
    <w:pitch w:val="default"/>
    <w:sig w:usb0="00000287" w:usb1="080F0000" w:usb2="00000000" w:usb3="00000000" w:csb0="0004009F" w:csb1="DFD70000"/>
    <w:embedRegular r:id="rId6" w:fontKey="{00A32E5F-0812-4F5C-AA62-03DBA7A2FD07}"/>
  </w:font>
  <w:font w:name="Microsoft Sans Serif">
    <w:panose1 w:val="020B0604020202020204"/>
    <w:charset w:val="00"/>
    <w:family w:val="swiss"/>
    <w:pitch w:val="default"/>
    <w:sig w:usb0="E5002EFF" w:usb1="C000605B" w:usb2="00000029" w:usb3="00000000" w:csb0="200101FF" w:csb1="20280000"/>
    <w:embedRegular r:id="rId7" w:fontKey="{2CCED089-D2C2-4C41-B675-2D4D423C6F9E}"/>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8CDA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44AB">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2105" cy="12065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332105" cy="120650"/>
                      </a:xfrm>
                      <a:prstGeom prst="rect">
                        <a:avLst/>
                      </a:prstGeom>
                      <a:noFill/>
                      <a:ln w="15875">
                        <a:noFill/>
                      </a:ln>
                    </wps:spPr>
                    <wps:txbx>
                      <w:txbxContent>
                        <w:p w14:paraId="5F2E9790">
                          <w:pPr>
                            <w:pStyle w:val="29"/>
                          </w:pPr>
                          <w:r>
                            <w:fldChar w:fldCharType="begin"/>
                          </w:r>
                          <w:r>
                            <w:rPr>
                              <w:rStyle w:val="51"/>
                            </w:rPr>
                            <w:instrText xml:space="preserve">PAGE  </w:instrText>
                          </w:r>
                          <w:r>
                            <w:fldChar w:fldCharType="separate"/>
                          </w:r>
                          <w:r>
                            <w:rPr>
                              <w:rStyle w:val="51"/>
                            </w:rPr>
                            <w:t>- 3 -</w:t>
                          </w:r>
                          <w:r>
                            <w:fldChar w:fldCharType="end"/>
                          </w:r>
                        </w:p>
                      </w:txbxContent>
                    </wps:txbx>
                    <wps:bodyPr wrap="square" lIns="0" tIns="0" rIns="0" bIns="0"/>
                  </wps:wsp>
                </a:graphicData>
              </a:graphic>
            </wp:anchor>
          </w:drawing>
        </mc:Choice>
        <mc:Fallback>
          <w:pict>
            <v:shape id="文本框 2052" o:spid="_x0000_s1026" o:spt="202" type="#_x0000_t202" style="position:absolute;left:0pt;margin-top:0pt;height:9.5pt;width:26.15pt;mso-position-horizontal:center;mso-position-horizontal-relative:margin;z-index:251660288;mso-width-relative:page;mso-height-relative:page;" filled="f" stroked="f" coordsize="21600,21600" o:gfxdata="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u+/60wAAAAMBAAAPAAAAAAAAAAEAIAAAACIAAABkcnMvZG93bnJl&#10;di54bWxQSwECFAAUAAAACACHTuJAtTPuGskBAACAAwAADgAAAAAAAAABACAAAAAiAQAAZHJzL2Uy&#10;b0RvYy54bWxQSwUGAAAAAAYABgBZAQAAXQUAAAAA&#10;">
              <v:fill on="f" focussize="0,0"/>
              <v:stroke on="f" weight="1.25pt"/>
              <v:imagedata o:title=""/>
              <o:lock v:ext="edit" aspectratio="f"/>
              <v:textbox inset="0mm,0mm,0mm,0mm">
                <w:txbxContent>
                  <w:p w14:paraId="5F2E9790">
                    <w:pPr>
                      <w:pStyle w:val="29"/>
                    </w:pPr>
                    <w:r>
                      <w:fldChar w:fldCharType="begin"/>
                    </w:r>
                    <w:r>
                      <w:rPr>
                        <w:rStyle w:val="51"/>
                      </w:rPr>
                      <w:instrText xml:space="preserve">PAGE  </w:instrText>
                    </w:r>
                    <w:r>
                      <w:fldChar w:fldCharType="separate"/>
                    </w:r>
                    <w:r>
                      <w:rPr>
                        <w:rStyle w:val="51"/>
                      </w:rPr>
                      <w:t>- 3 -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61BA">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625FB7">
                          <w:pPr>
                            <w:pStyle w:val="29"/>
                            <w:jc w:val="center"/>
                          </w:pPr>
                          <w:r>
                            <w:t xml:space="preserve">- </w:t>
                          </w:r>
                          <w:r>
                            <w:fldChar w:fldCharType="begin"/>
                          </w:r>
                          <w:r>
                            <w:instrText xml:space="preserve"> PAGE </w:instrText>
                          </w:r>
                          <w:r>
                            <w:fldChar w:fldCharType="separate"/>
                          </w:r>
                          <w:r>
                            <w:t>- 231 -</w:t>
                          </w:r>
                          <w:r>
                            <w:fldChar w:fldCharType="end"/>
                          </w:r>
                          <w:r>
                            <w:t xml:space="preserve"> -</w:t>
                          </w:r>
                        </w:p>
                      </w:txbxContent>
                    </wps:txbx>
                    <wps:bodyPr wrap="none" lIns="0" tIns="0" rIns="0" bIns="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B0AKPQzgEAAJoDAAAOAAAAAAAAAAEAIAAAACIBAABk&#10;cnMvZTJvRG9jLnhtbFBLBQYAAAAABgAGAFkBAABiBQAAAAA=&#10;">
              <v:fill on="f" focussize="0,0"/>
              <v:stroke on="f" weight="1.25pt"/>
              <v:imagedata o:title=""/>
              <o:lock v:ext="edit" aspectratio="f"/>
              <v:textbox inset="0mm,0mm,0mm,0mm" style="mso-fit-shape-to-text:t;">
                <w:txbxContent>
                  <w:p w14:paraId="2A625FB7">
                    <w:pPr>
                      <w:pStyle w:val="29"/>
                      <w:jc w:val="center"/>
                    </w:pPr>
                    <w:r>
                      <w:t xml:space="preserve">- </w:t>
                    </w:r>
                    <w:r>
                      <w:fldChar w:fldCharType="begin"/>
                    </w:r>
                    <w:r>
                      <w:instrText xml:space="preserve"> PAGE </w:instrText>
                    </w:r>
                    <w:r>
                      <w:fldChar w:fldCharType="separate"/>
                    </w:r>
                    <w:r>
                      <w:t>- 231 -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DA62B">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535A2E04">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2228">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MzYzczNDA1MDgyNDA2Mjg5NTZiNGM0ZTdjYTMifQ=="/>
  </w:docVars>
  <w:rsids>
    <w:rsidRoot w:val="00172A27"/>
    <w:rsid w:val="00001B1E"/>
    <w:rsid w:val="0000263C"/>
    <w:rsid w:val="000027C8"/>
    <w:rsid w:val="0000353C"/>
    <w:rsid w:val="00003A3F"/>
    <w:rsid w:val="000047F9"/>
    <w:rsid w:val="00004B09"/>
    <w:rsid w:val="0000509C"/>
    <w:rsid w:val="00005DD9"/>
    <w:rsid w:val="00005E79"/>
    <w:rsid w:val="0000613F"/>
    <w:rsid w:val="000067A3"/>
    <w:rsid w:val="000135B1"/>
    <w:rsid w:val="00013F14"/>
    <w:rsid w:val="00014DF1"/>
    <w:rsid w:val="00015C9C"/>
    <w:rsid w:val="0001647D"/>
    <w:rsid w:val="0001650A"/>
    <w:rsid w:val="00017D2A"/>
    <w:rsid w:val="00017F2D"/>
    <w:rsid w:val="0002038D"/>
    <w:rsid w:val="000208F3"/>
    <w:rsid w:val="00021228"/>
    <w:rsid w:val="000215EB"/>
    <w:rsid w:val="00021756"/>
    <w:rsid w:val="00021861"/>
    <w:rsid w:val="00022747"/>
    <w:rsid w:val="00022A3B"/>
    <w:rsid w:val="00022F4C"/>
    <w:rsid w:val="00023B7F"/>
    <w:rsid w:val="00024492"/>
    <w:rsid w:val="00025666"/>
    <w:rsid w:val="0002592F"/>
    <w:rsid w:val="00025DD0"/>
    <w:rsid w:val="00025FB1"/>
    <w:rsid w:val="000301A4"/>
    <w:rsid w:val="00030255"/>
    <w:rsid w:val="000316FE"/>
    <w:rsid w:val="00032255"/>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37C89"/>
    <w:rsid w:val="0004008B"/>
    <w:rsid w:val="000415C5"/>
    <w:rsid w:val="000418B4"/>
    <w:rsid w:val="000426A8"/>
    <w:rsid w:val="000426EA"/>
    <w:rsid w:val="000433B9"/>
    <w:rsid w:val="000434B1"/>
    <w:rsid w:val="000437CD"/>
    <w:rsid w:val="00043951"/>
    <w:rsid w:val="00046EAC"/>
    <w:rsid w:val="000479E7"/>
    <w:rsid w:val="00047F7E"/>
    <w:rsid w:val="00050329"/>
    <w:rsid w:val="00050A2B"/>
    <w:rsid w:val="00050F21"/>
    <w:rsid w:val="00052486"/>
    <w:rsid w:val="0005301D"/>
    <w:rsid w:val="00053B37"/>
    <w:rsid w:val="00054784"/>
    <w:rsid w:val="00054C30"/>
    <w:rsid w:val="00054D78"/>
    <w:rsid w:val="00054F64"/>
    <w:rsid w:val="000554D5"/>
    <w:rsid w:val="0005572F"/>
    <w:rsid w:val="0005605E"/>
    <w:rsid w:val="0005646F"/>
    <w:rsid w:val="00056DB9"/>
    <w:rsid w:val="00057103"/>
    <w:rsid w:val="000578DC"/>
    <w:rsid w:val="00057D13"/>
    <w:rsid w:val="00061927"/>
    <w:rsid w:val="00061B42"/>
    <w:rsid w:val="00062D58"/>
    <w:rsid w:val="000631ED"/>
    <w:rsid w:val="00063C01"/>
    <w:rsid w:val="000640B5"/>
    <w:rsid w:val="000654D9"/>
    <w:rsid w:val="00065C93"/>
    <w:rsid w:val="00065D7D"/>
    <w:rsid w:val="00065F0A"/>
    <w:rsid w:val="000677BF"/>
    <w:rsid w:val="00067E50"/>
    <w:rsid w:val="000703E1"/>
    <w:rsid w:val="00070444"/>
    <w:rsid w:val="00070DB4"/>
    <w:rsid w:val="00071785"/>
    <w:rsid w:val="00071848"/>
    <w:rsid w:val="000729A4"/>
    <w:rsid w:val="00072C40"/>
    <w:rsid w:val="00072EB2"/>
    <w:rsid w:val="0007377C"/>
    <w:rsid w:val="00074445"/>
    <w:rsid w:val="00074926"/>
    <w:rsid w:val="000753AE"/>
    <w:rsid w:val="00075A88"/>
    <w:rsid w:val="00075F71"/>
    <w:rsid w:val="00076583"/>
    <w:rsid w:val="0007662F"/>
    <w:rsid w:val="00076C46"/>
    <w:rsid w:val="00077453"/>
    <w:rsid w:val="00077788"/>
    <w:rsid w:val="000777DB"/>
    <w:rsid w:val="00077A92"/>
    <w:rsid w:val="00081AED"/>
    <w:rsid w:val="00081E58"/>
    <w:rsid w:val="00083156"/>
    <w:rsid w:val="00084006"/>
    <w:rsid w:val="00084056"/>
    <w:rsid w:val="00084085"/>
    <w:rsid w:val="000843AE"/>
    <w:rsid w:val="00084AD3"/>
    <w:rsid w:val="00085720"/>
    <w:rsid w:val="00086F23"/>
    <w:rsid w:val="00087D30"/>
    <w:rsid w:val="00090828"/>
    <w:rsid w:val="0009092D"/>
    <w:rsid w:val="00090FD7"/>
    <w:rsid w:val="000925AC"/>
    <w:rsid w:val="000925B9"/>
    <w:rsid w:val="000927A3"/>
    <w:rsid w:val="000928A8"/>
    <w:rsid w:val="00092F8F"/>
    <w:rsid w:val="0009358F"/>
    <w:rsid w:val="00093B07"/>
    <w:rsid w:val="00094DB6"/>
    <w:rsid w:val="00095189"/>
    <w:rsid w:val="0009559A"/>
    <w:rsid w:val="000955EA"/>
    <w:rsid w:val="00095DEF"/>
    <w:rsid w:val="0009606E"/>
    <w:rsid w:val="00096615"/>
    <w:rsid w:val="000967E2"/>
    <w:rsid w:val="00097C86"/>
    <w:rsid w:val="000A0398"/>
    <w:rsid w:val="000A0D3C"/>
    <w:rsid w:val="000A2AF4"/>
    <w:rsid w:val="000A2CA5"/>
    <w:rsid w:val="000A3234"/>
    <w:rsid w:val="000A41FD"/>
    <w:rsid w:val="000A47C0"/>
    <w:rsid w:val="000A4A55"/>
    <w:rsid w:val="000A569B"/>
    <w:rsid w:val="000A6BF5"/>
    <w:rsid w:val="000A7403"/>
    <w:rsid w:val="000A7CCE"/>
    <w:rsid w:val="000B0F51"/>
    <w:rsid w:val="000B131D"/>
    <w:rsid w:val="000B1596"/>
    <w:rsid w:val="000B1B81"/>
    <w:rsid w:val="000B1DE8"/>
    <w:rsid w:val="000B283B"/>
    <w:rsid w:val="000B285A"/>
    <w:rsid w:val="000B3303"/>
    <w:rsid w:val="000B489F"/>
    <w:rsid w:val="000B4C5B"/>
    <w:rsid w:val="000B5039"/>
    <w:rsid w:val="000B55BE"/>
    <w:rsid w:val="000B5C3A"/>
    <w:rsid w:val="000B5E88"/>
    <w:rsid w:val="000B6648"/>
    <w:rsid w:val="000B6BBC"/>
    <w:rsid w:val="000B786B"/>
    <w:rsid w:val="000C00B2"/>
    <w:rsid w:val="000C079C"/>
    <w:rsid w:val="000C0827"/>
    <w:rsid w:val="000C0EE5"/>
    <w:rsid w:val="000C13A1"/>
    <w:rsid w:val="000C14AB"/>
    <w:rsid w:val="000C30AC"/>
    <w:rsid w:val="000C3285"/>
    <w:rsid w:val="000C3E3B"/>
    <w:rsid w:val="000C463E"/>
    <w:rsid w:val="000C4D94"/>
    <w:rsid w:val="000C5AA2"/>
    <w:rsid w:val="000C5C93"/>
    <w:rsid w:val="000C6282"/>
    <w:rsid w:val="000D122D"/>
    <w:rsid w:val="000D1234"/>
    <w:rsid w:val="000D1779"/>
    <w:rsid w:val="000D1F8D"/>
    <w:rsid w:val="000D21F1"/>
    <w:rsid w:val="000D252E"/>
    <w:rsid w:val="000D2557"/>
    <w:rsid w:val="000D3548"/>
    <w:rsid w:val="000D3551"/>
    <w:rsid w:val="000D42D0"/>
    <w:rsid w:val="000D42FA"/>
    <w:rsid w:val="000D5211"/>
    <w:rsid w:val="000D65FC"/>
    <w:rsid w:val="000D6726"/>
    <w:rsid w:val="000D6B45"/>
    <w:rsid w:val="000D6FB3"/>
    <w:rsid w:val="000D7254"/>
    <w:rsid w:val="000D753D"/>
    <w:rsid w:val="000D76E1"/>
    <w:rsid w:val="000D7823"/>
    <w:rsid w:val="000E073B"/>
    <w:rsid w:val="000E0DB3"/>
    <w:rsid w:val="000E10A5"/>
    <w:rsid w:val="000E10FF"/>
    <w:rsid w:val="000E1A63"/>
    <w:rsid w:val="000E2122"/>
    <w:rsid w:val="000E413E"/>
    <w:rsid w:val="000E496C"/>
    <w:rsid w:val="000E4C3D"/>
    <w:rsid w:val="000E6342"/>
    <w:rsid w:val="000E6849"/>
    <w:rsid w:val="000E72B9"/>
    <w:rsid w:val="000F05AB"/>
    <w:rsid w:val="000F091D"/>
    <w:rsid w:val="000F1B68"/>
    <w:rsid w:val="000F2179"/>
    <w:rsid w:val="000F23FE"/>
    <w:rsid w:val="000F278B"/>
    <w:rsid w:val="000F2955"/>
    <w:rsid w:val="000F40C0"/>
    <w:rsid w:val="000F45C8"/>
    <w:rsid w:val="000F4BB6"/>
    <w:rsid w:val="000F4BBE"/>
    <w:rsid w:val="000F4C70"/>
    <w:rsid w:val="000F50C6"/>
    <w:rsid w:val="000F51EA"/>
    <w:rsid w:val="000F5AD4"/>
    <w:rsid w:val="000F60AC"/>
    <w:rsid w:val="000F6DC9"/>
    <w:rsid w:val="000F79F1"/>
    <w:rsid w:val="000F7CF5"/>
    <w:rsid w:val="000F7F03"/>
    <w:rsid w:val="00100471"/>
    <w:rsid w:val="001005F8"/>
    <w:rsid w:val="00101E5F"/>
    <w:rsid w:val="001021F3"/>
    <w:rsid w:val="00102332"/>
    <w:rsid w:val="001023BA"/>
    <w:rsid w:val="001025D9"/>
    <w:rsid w:val="00104130"/>
    <w:rsid w:val="001057F5"/>
    <w:rsid w:val="00105F22"/>
    <w:rsid w:val="001062D4"/>
    <w:rsid w:val="001066B1"/>
    <w:rsid w:val="00107AE8"/>
    <w:rsid w:val="001100AC"/>
    <w:rsid w:val="001108D6"/>
    <w:rsid w:val="001109ED"/>
    <w:rsid w:val="00111268"/>
    <w:rsid w:val="00111C02"/>
    <w:rsid w:val="00111FF3"/>
    <w:rsid w:val="001128C3"/>
    <w:rsid w:val="00112A83"/>
    <w:rsid w:val="00113166"/>
    <w:rsid w:val="00113E49"/>
    <w:rsid w:val="00113E95"/>
    <w:rsid w:val="00114A01"/>
    <w:rsid w:val="00114CF3"/>
    <w:rsid w:val="00115685"/>
    <w:rsid w:val="00115C76"/>
    <w:rsid w:val="00115CA3"/>
    <w:rsid w:val="00116F55"/>
    <w:rsid w:val="00116F93"/>
    <w:rsid w:val="00117445"/>
    <w:rsid w:val="0012046B"/>
    <w:rsid w:val="0012096C"/>
    <w:rsid w:val="001209B5"/>
    <w:rsid w:val="001214C7"/>
    <w:rsid w:val="00121F6B"/>
    <w:rsid w:val="00121FD0"/>
    <w:rsid w:val="00122131"/>
    <w:rsid w:val="00122362"/>
    <w:rsid w:val="0012259E"/>
    <w:rsid w:val="00122D4D"/>
    <w:rsid w:val="0012481C"/>
    <w:rsid w:val="00126B3E"/>
    <w:rsid w:val="00126EB4"/>
    <w:rsid w:val="001303A1"/>
    <w:rsid w:val="00131D1B"/>
    <w:rsid w:val="001330BB"/>
    <w:rsid w:val="00134327"/>
    <w:rsid w:val="001347A9"/>
    <w:rsid w:val="00135872"/>
    <w:rsid w:val="00136D1E"/>
    <w:rsid w:val="00136E6E"/>
    <w:rsid w:val="00137E45"/>
    <w:rsid w:val="00137F99"/>
    <w:rsid w:val="00140FF4"/>
    <w:rsid w:val="001440F2"/>
    <w:rsid w:val="001455A1"/>
    <w:rsid w:val="00145AE6"/>
    <w:rsid w:val="00145F46"/>
    <w:rsid w:val="001460D9"/>
    <w:rsid w:val="001466BF"/>
    <w:rsid w:val="00146C44"/>
    <w:rsid w:val="00147A97"/>
    <w:rsid w:val="00147AFF"/>
    <w:rsid w:val="00147FD9"/>
    <w:rsid w:val="00150025"/>
    <w:rsid w:val="00150696"/>
    <w:rsid w:val="00150964"/>
    <w:rsid w:val="00150A27"/>
    <w:rsid w:val="00150B52"/>
    <w:rsid w:val="00150E46"/>
    <w:rsid w:val="00150F2A"/>
    <w:rsid w:val="00152078"/>
    <w:rsid w:val="001534E6"/>
    <w:rsid w:val="00153F38"/>
    <w:rsid w:val="001545E0"/>
    <w:rsid w:val="001546CF"/>
    <w:rsid w:val="0015532E"/>
    <w:rsid w:val="0015596B"/>
    <w:rsid w:val="00155C0F"/>
    <w:rsid w:val="00155D1F"/>
    <w:rsid w:val="00160417"/>
    <w:rsid w:val="0016132F"/>
    <w:rsid w:val="0016174D"/>
    <w:rsid w:val="00162B36"/>
    <w:rsid w:val="0016317C"/>
    <w:rsid w:val="001641FF"/>
    <w:rsid w:val="00164DCB"/>
    <w:rsid w:val="001650AD"/>
    <w:rsid w:val="00165642"/>
    <w:rsid w:val="00165B64"/>
    <w:rsid w:val="00165D82"/>
    <w:rsid w:val="00166470"/>
    <w:rsid w:val="00166F24"/>
    <w:rsid w:val="001674AE"/>
    <w:rsid w:val="00167BBE"/>
    <w:rsid w:val="001710E6"/>
    <w:rsid w:val="001721A5"/>
    <w:rsid w:val="0017293A"/>
    <w:rsid w:val="00172A27"/>
    <w:rsid w:val="00172DEA"/>
    <w:rsid w:val="00172F37"/>
    <w:rsid w:val="00173A7B"/>
    <w:rsid w:val="00174134"/>
    <w:rsid w:val="00176A64"/>
    <w:rsid w:val="00176B11"/>
    <w:rsid w:val="00176C6C"/>
    <w:rsid w:val="00176FBE"/>
    <w:rsid w:val="00177E29"/>
    <w:rsid w:val="00177F8E"/>
    <w:rsid w:val="00180037"/>
    <w:rsid w:val="001806AD"/>
    <w:rsid w:val="001818BD"/>
    <w:rsid w:val="00182F9F"/>
    <w:rsid w:val="00184528"/>
    <w:rsid w:val="00184AF6"/>
    <w:rsid w:val="001862DA"/>
    <w:rsid w:val="001862DC"/>
    <w:rsid w:val="00186401"/>
    <w:rsid w:val="00186442"/>
    <w:rsid w:val="001866A1"/>
    <w:rsid w:val="00186EE8"/>
    <w:rsid w:val="00190FA7"/>
    <w:rsid w:val="00192735"/>
    <w:rsid w:val="00193696"/>
    <w:rsid w:val="00193F09"/>
    <w:rsid w:val="001947FB"/>
    <w:rsid w:val="001953C5"/>
    <w:rsid w:val="00195720"/>
    <w:rsid w:val="0019604B"/>
    <w:rsid w:val="00196CDD"/>
    <w:rsid w:val="00196D64"/>
    <w:rsid w:val="001975C9"/>
    <w:rsid w:val="00197EBF"/>
    <w:rsid w:val="001A05FF"/>
    <w:rsid w:val="001A189F"/>
    <w:rsid w:val="001A1CD8"/>
    <w:rsid w:val="001A293D"/>
    <w:rsid w:val="001A2A77"/>
    <w:rsid w:val="001A3908"/>
    <w:rsid w:val="001A468C"/>
    <w:rsid w:val="001A5133"/>
    <w:rsid w:val="001A77C4"/>
    <w:rsid w:val="001A7BE0"/>
    <w:rsid w:val="001A7BF5"/>
    <w:rsid w:val="001B15C6"/>
    <w:rsid w:val="001B17D1"/>
    <w:rsid w:val="001B229E"/>
    <w:rsid w:val="001B2B2F"/>
    <w:rsid w:val="001B2DEF"/>
    <w:rsid w:val="001B3206"/>
    <w:rsid w:val="001B3EB8"/>
    <w:rsid w:val="001B412E"/>
    <w:rsid w:val="001B48E0"/>
    <w:rsid w:val="001B4A7A"/>
    <w:rsid w:val="001B4D7D"/>
    <w:rsid w:val="001B5125"/>
    <w:rsid w:val="001B5B97"/>
    <w:rsid w:val="001B671E"/>
    <w:rsid w:val="001B68E8"/>
    <w:rsid w:val="001B6AA4"/>
    <w:rsid w:val="001B726F"/>
    <w:rsid w:val="001B766F"/>
    <w:rsid w:val="001C023F"/>
    <w:rsid w:val="001C02D5"/>
    <w:rsid w:val="001C0B84"/>
    <w:rsid w:val="001C1E56"/>
    <w:rsid w:val="001C2CF6"/>
    <w:rsid w:val="001C4064"/>
    <w:rsid w:val="001C41DF"/>
    <w:rsid w:val="001C4205"/>
    <w:rsid w:val="001C4775"/>
    <w:rsid w:val="001C49F4"/>
    <w:rsid w:val="001C71D7"/>
    <w:rsid w:val="001C78EA"/>
    <w:rsid w:val="001D0710"/>
    <w:rsid w:val="001D0F66"/>
    <w:rsid w:val="001D125F"/>
    <w:rsid w:val="001D1574"/>
    <w:rsid w:val="001D16DA"/>
    <w:rsid w:val="001D17FB"/>
    <w:rsid w:val="001D2271"/>
    <w:rsid w:val="001D2345"/>
    <w:rsid w:val="001D251C"/>
    <w:rsid w:val="001D30ED"/>
    <w:rsid w:val="001D3B3D"/>
    <w:rsid w:val="001D4261"/>
    <w:rsid w:val="001D42FF"/>
    <w:rsid w:val="001D4381"/>
    <w:rsid w:val="001D47CF"/>
    <w:rsid w:val="001D4A3E"/>
    <w:rsid w:val="001D4E14"/>
    <w:rsid w:val="001D613B"/>
    <w:rsid w:val="001D6225"/>
    <w:rsid w:val="001D6439"/>
    <w:rsid w:val="001D67FA"/>
    <w:rsid w:val="001D6AD4"/>
    <w:rsid w:val="001D6D8C"/>
    <w:rsid w:val="001E054D"/>
    <w:rsid w:val="001E1308"/>
    <w:rsid w:val="001E1520"/>
    <w:rsid w:val="001E19DD"/>
    <w:rsid w:val="001E19F9"/>
    <w:rsid w:val="001E2392"/>
    <w:rsid w:val="001E2B93"/>
    <w:rsid w:val="001E2C16"/>
    <w:rsid w:val="001E2D72"/>
    <w:rsid w:val="001E2E68"/>
    <w:rsid w:val="001E36B3"/>
    <w:rsid w:val="001E3AAF"/>
    <w:rsid w:val="001E3D84"/>
    <w:rsid w:val="001E42DA"/>
    <w:rsid w:val="001E4C39"/>
    <w:rsid w:val="001E4F0E"/>
    <w:rsid w:val="001E5033"/>
    <w:rsid w:val="001E594C"/>
    <w:rsid w:val="001E5E16"/>
    <w:rsid w:val="001E6131"/>
    <w:rsid w:val="001E6BFA"/>
    <w:rsid w:val="001F07E9"/>
    <w:rsid w:val="001F0D0C"/>
    <w:rsid w:val="001F1674"/>
    <w:rsid w:val="001F1CED"/>
    <w:rsid w:val="001F234F"/>
    <w:rsid w:val="001F24B9"/>
    <w:rsid w:val="001F31AC"/>
    <w:rsid w:val="001F3815"/>
    <w:rsid w:val="001F3DB0"/>
    <w:rsid w:val="001F3E77"/>
    <w:rsid w:val="001F43FC"/>
    <w:rsid w:val="001F57A7"/>
    <w:rsid w:val="001F5A67"/>
    <w:rsid w:val="00200575"/>
    <w:rsid w:val="00200EBF"/>
    <w:rsid w:val="00201EFC"/>
    <w:rsid w:val="00201FBF"/>
    <w:rsid w:val="002034B2"/>
    <w:rsid w:val="002048AE"/>
    <w:rsid w:val="00204D75"/>
    <w:rsid w:val="002050D7"/>
    <w:rsid w:val="002051B0"/>
    <w:rsid w:val="00205413"/>
    <w:rsid w:val="0020625B"/>
    <w:rsid w:val="002063C9"/>
    <w:rsid w:val="0020686F"/>
    <w:rsid w:val="002076AA"/>
    <w:rsid w:val="0021027A"/>
    <w:rsid w:val="00211077"/>
    <w:rsid w:val="00211C8D"/>
    <w:rsid w:val="00211EBF"/>
    <w:rsid w:val="00212A14"/>
    <w:rsid w:val="00213C23"/>
    <w:rsid w:val="00214D88"/>
    <w:rsid w:val="00215175"/>
    <w:rsid w:val="00215906"/>
    <w:rsid w:val="00215A2A"/>
    <w:rsid w:val="002166F9"/>
    <w:rsid w:val="002168E9"/>
    <w:rsid w:val="00216AD5"/>
    <w:rsid w:val="0021733C"/>
    <w:rsid w:val="0021735F"/>
    <w:rsid w:val="00217891"/>
    <w:rsid w:val="002207FA"/>
    <w:rsid w:val="00221627"/>
    <w:rsid w:val="00221E15"/>
    <w:rsid w:val="00221E51"/>
    <w:rsid w:val="00221F8E"/>
    <w:rsid w:val="00221FE1"/>
    <w:rsid w:val="002220C5"/>
    <w:rsid w:val="00222689"/>
    <w:rsid w:val="00223852"/>
    <w:rsid w:val="002245B9"/>
    <w:rsid w:val="00225099"/>
    <w:rsid w:val="002250CA"/>
    <w:rsid w:val="0022607A"/>
    <w:rsid w:val="00226152"/>
    <w:rsid w:val="002264D0"/>
    <w:rsid w:val="002270BE"/>
    <w:rsid w:val="00227713"/>
    <w:rsid w:val="00227D7D"/>
    <w:rsid w:val="0023185F"/>
    <w:rsid w:val="00232197"/>
    <w:rsid w:val="002329B7"/>
    <w:rsid w:val="00232AD2"/>
    <w:rsid w:val="00232D4B"/>
    <w:rsid w:val="002336EB"/>
    <w:rsid w:val="0023462F"/>
    <w:rsid w:val="00234A36"/>
    <w:rsid w:val="00235CED"/>
    <w:rsid w:val="002360B7"/>
    <w:rsid w:val="002369E6"/>
    <w:rsid w:val="00237DCC"/>
    <w:rsid w:val="00237DD3"/>
    <w:rsid w:val="00237DDB"/>
    <w:rsid w:val="00237F17"/>
    <w:rsid w:val="0024052C"/>
    <w:rsid w:val="002410BB"/>
    <w:rsid w:val="0024122A"/>
    <w:rsid w:val="00241884"/>
    <w:rsid w:val="00241889"/>
    <w:rsid w:val="00243253"/>
    <w:rsid w:val="002432CD"/>
    <w:rsid w:val="00246DFB"/>
    <w:rsid w:val="002476F0"/>
    <w:rsid w:val="00247DA6"/>
    <w:rsid w:val="00251F81"/>
    <w:rsid w:val="00251FD7"/>
    <w:rsid w:val="002526AC"/>
    <w:rsid w:val="00252997"/>
    <w:rsid w:val="00252F86"/>
    <w:rsid w:val="00253DE9"/>
    <w:rsid w:val="002555DD"/>
    <w:rsid w:val="002555E1"/>
    <w:rsid w:val="00255ACC"/>
    <w:rsid w:val="00255C94"/>
    <w:rsid w:val="002560EC"/>
    <w:rsid w:val="00257031"/>
    <w:rsid w:val="00257EC3"/>
    <w:rsid w:val="00257EFE"/>
    <w:rsid w:val="002603C8"/>
    <w:rsid w:val="002603DF"/>
    <w:rsid w:val="00260D92"/>
    <w:rsid w:val="0026138C"/>
    <w:rsid w:val="00261E20"/>
    <w:rsid w:val="00262012"/>
    <w:rsid w:val="00262CEC"/>
    <w:rsid w:val="00263225"/>
    <w:rsid w:val="0026466E"/>
    <w:rsid w:val="00264D7B"/>
    <w:rsid w:val="00264DF5"/>
    <w:rsid w:val="00264EBF"/>
    <w:rsid w:val="00265D30"/>
    <w:rsid w:val="00265D64"/>
    <w:rsid w:val="00265DD9"/>
    <w:rsid w:val="002667EA"/>
    <w:rsid w:val="00266C56"/>
    <w:rsid w:val="00267A99"/>
    <w:rsid w:val="002702C1"/>
    <w:rsid w:val="00272128"/>
    <w:rsid w:val="0027264B"/>
    <w:rsid w:val="002736CE"/>
    <w:rsid w:val="00273F7A"/>
    <w:rsid w:val="002742E2"/>
    <w:rsid w:val="00274CFD"/>
    <w:rsid w:val="00274ED6"/>
    <w:rsid w:val="00274FC1"/>
    <w:rsid w:val="00275167"/>
    <w:rsid w:val="002752C6"/>
    <w:rsid w:val="0027586B"/>
    <w:rsid w:val="002763D7"/>
    <w:rsid w:val="00276BC6"/>
    <w:rsid w:val="00276C59"/>
    <w:rsid w:val="00276F21"/>
    <w:rsid w:val="0027711A"/>
    <w:rsid w:val="0027792D"/>
    <w:rsid w:val="00281357"/>
    <w:rsid w:val="0028167A"/>
    <w:rsid w:val="002830A8"/>
    <w:rsid w:val="002832B2"/>
    <w:rsid w:val="00283515"/>
    <w:rsid w:val="00283721"/>
    <w:rsid w:val="00283BAD"/>
    <w:rsid w:val="0028466A"/>
    <w:rsid w:val="002846E8"/>
    <w:rsid w:val="00284F98"/>
    <w:rsid w:val="002854B2"/>
    <w:rsid w:val="00285507"/>
    <w:rsid w:val="0028561D"/>
    <w:rsid w:val="00285FF7"/>
    <w:rsid w:val="002860F1"/>
    <w:rsid w:val="002907E7"/>
    <w:rsid w:val="00291148"/>
    <w:rsid w:val="00292278"/>
    <w:rsid w:val="00295263"/>
    <w:rsid w:val="00295974"/>
    <w:rsid w:val="0029631A"/>
    <w:rsid w:val="0029633C"/>
    <w:rsid w:val="00297BEE"/>
    <w:rsid w:val="002A05DC"/>
    <w:rsid w:val="002A0C60"/>
    <w:rsid w:val="002A0F20"/>
    <w:rsid w:val="002A274B"/>
    <w:rsid w:val="002A2A57"/>
    <w:rsid w:val="002A3032"/>
    <w:rsid w:val="002A3274"/>
    <w:rsid w:val="002A32D9"/>
    <w:rsid w:val="002A43FD"/>
    <w:rsid w:val="002A4EC2"/>
    <w:rsid w:val="002A59B9"/>
    <w:rsid w:val="002A6092"/>
    <w:rsid w:val="002A64E8"/>
    <w:rsid w:val="002B11B7"/>
    <w:rsid w:val="002B13CB"/>
    <w:rsid w:val="002B1854"/>
    <w:rsid w:val="002B1A51"/>
    <w:rsid w:val="002B1A7F"/>
    <w:rsid w:val="002B23B0"/>
    <w:rsid w:val="002B27DC"/>
    <w:rsid w:val="002B2AE1"/>
    <w:rsid w:val="002B3159"/>
    <w:rsid w:val="002B33B4"/>
    <w:rsid w:val="002B3A8F"/>
    <w:rsid w:val="002B3E1F"/>
    <w:rsid w:val="002B4646"/>
    <w:rsid w:val="002B5324"/>
    <w:rsid w:val="002B5C91"/>
    <w:rsid w:val="002B5D23"/>
    <w:rsid w:val="002B5F4B"/>
    <w:rsid w:val="002B6603"/>
    <w:rsid w:val="002B6F5F"/>
    <w:rsid w:val="002B6F82"/>
    <w:rsid w:val="002C0828"/>
    <w:rsid w:val="002C124B"/>
    <w:rsid w:val="002C1532"/>
    <w:rsid w:val="002C1A0B"/>
    <w:rsid w:val="002C264C"/>
    <w:rsid w:val="002C33AF"/>
    <w:rsid w:val="002C3B75"/>
    <w:rsid w:val="002C3EAB"/>
    <w:rsid w:val="002C47E9"/>
    <w:rsid w:val="002C4E26"/>
    <w:rsid w:val="002C4E6C"/>
    <w:rsid w:val="002C54BF"/>
    <w:rsid w:val="002C5519"/>
    <w:rsid w:val="002C59CD"/>
    <w:rsid w:val="002C5BE7"/>
    <w:rsid w:val="002C67E5"/>
    <w:rsid w:val="002C6F5D"/>
    <w:rsid w:val="002D0639"/>
    <w:rsid w:val="002D0768"/>
    <w:rsid w:val="002D08F4"/>
    <w:rsid w:val="002D097F"/>
    <w:rsid w:val="002D0D0C"/>
    <w:rsid w:val="002D1172"/>
    <w:rsid w:val="002D1258"/>
    <w:rsid w:val="002D13E8"/>
    <w:rsid w:val="002D1CA5"/>
    <w:rsid w:val="002D223F"/>
    <w:rsid w:val="002D2807"/>
    <w:rsid w:val="002D2D68"/>
    <w:rsid w:val="002D2D97"/>
    <w:rsid w:val="002D3BDF"/>
    <w:rsid w:val="002D426C"/>
    <w:rsid w:val="002D4721"/>
    <w:rsid w:val="002D472F"/>
    <w:rsid w:val="002D4DB6"/>
    <w:rsid w:val="002E0D86"/>
    <w:rsid w:val="002E1086"/>
    <w:rsid w:val="002E16AE"/>
    <w:rsid w:val="002E1795"/>
    <w:rsid w:val="002E1871"/>
    <w:rsid w:val="002E1A25"/>
    <w:rsid w:val="002E1C38"/>
    <w:rsid w:val="002E3521"/>
    <w:rsid w:val="002E3526"/>
    <w:rsid w:val="002E3527"/>
    <w:rsid w:val="002E37F4"/>
    <w:rsid w:val="002E4190"/>
    <w:rsid w:val="002E4316"/>
    <w:rsid w:val="002E43A5"/>
    <w:rsid w:val="002E6B8C"/>
    <w:rsid w:val="002E7318"/>
    <w:rsid w:val="002E7617"/>
    <w:rsid w:val="002E7C56"/>
    <w:rsid w:val="002E7D8E"/>
    <w:rsid w:val="002F1BE6"/>
    <w:rsid w:val="002F210E"/>
    <w:rsid w:val="002F2154"/>
    <w:rsid w:val="002F27B6"/>
    <w:rsid w:val="002F2B50"/>
    <w:rsid w:val="002F405F"/>
    <w:rsid w:val="002F491B"/>
    <w:rsid w:val="002F4953"/>
    <w:rsid w:val="002F4ACB"/>
    <w:rsid w:val="002F6B47"/>
    <w:rsid w:val="002F7430"/>
    <w:rsid w:val="002F777B"/>
    <w:rsid w:val="002F7D86"/>
    <w:rsid w:val="00300191"/>
    <w:rsid w:val="003003AE"/>
    <w:rsid w:val="00300AAF"/>
    <w:rsid w:val="00300E50"/>
    <w:rsid w:val="00300F8D"/>
    <w:rsid w:val="00304E38"/>
    <w:rsid w:val="003059F4"/>
    <w:rsid w:val="00306670"/>
    <w:rsid w:val="0030689E"/>
    <w:rsid w:val="003068D7"/>
    <w:rsid w:val="003071B2"/>
    <w:rsid w:val="00307599"/>
    <w:rsid w:val="00307AAC"/>
    <w:rsid w:val="00310302"/>
    <w:rsid w:val="00310399"/>
    <w:rsid w:val="00310D40"/>
    <w:rsid w:val="00310D8D"/>
    <w:rsid w:val="00311222"/>
    <w:rsid w:val="0031445A"/>
    <w:rsid w:val="003149F6"/>
    <w:rsid w:val="003152F5"/>
    <w:rsid w:val="00316368"/>
    <w:rsid w:val="0031640C"/>
    <w:rsid w:val="00316420"/>
    <w:rsid w:val="00316AB8"/>
    <w:rsid w:val="0031721B"/>
    <w:rsid w:val="003174B4"/>
    <w:rsid w:val="00317994"/>
    <w:rsid w:val="0032026A"/>
    <w:rsid w:val="0032047A"/>
    <w:rsid w:val="00320939"/>
    <w:rsid w:val="00320F9D"/>
    <w:rsid w:val="00321B76"/>
    <w:rsid w:val="00321BBE"/>
    <w:rsid w:val="00323813"/>
    <w:rsid w:val="003248B8"/>
    <w:rsid w:val="00325077"/>
    <w:rsid w:val="0032515F"/>
    <w:rsid w:val="003253BE"/>
    <w:rsid w:val="0032679D"/>
    <w:rsid w:val="00327D78"/>
    <w:rsid w:val="00327E48"/>
    <w:rsid w:val="003302F7"/>
    <w:rsid w:val="0033056F"/>
    <w:rsid w:val="00331249"/>
    <w:rsid w:val="00332437"/>
    <w:rsid w:val="00332A90"/>
    <w:rsid w:val="00332AB7"/>
    <w:rsid w:val="00332B68"/>
    <w:rsid w:val="00333E90"/>
    <w:rsid w:val="00334C69"/>
    <w:rsid w:val="00334E81"/>
    <w:rsid w:val="003353E9"/>
    <w:rsid w:val="00335CA1"/>
    <w:rsid w:val="00335E6A"/>
    <w:rsid w:val="00337322"/>
    <w:rsid w:val="00337A18"/>
    <w:rsid w:val="003408AE"/>
    <w:rsid w:val="00340CDE"/>
    <w:rsid w:val="00340CFB"/>
    <w:rsid w:val="0034133E"/>
    <w:rsid w:val="003413B3"/>
    <w:rsid w:val="003415A1"/>
    <w:rsid w:val="00342048"/>
    <w:rsid w:val="00342174"/>
    <w:rsid w:val="00342994"/>
    <w:rsid w:val="00342F54"/>
    <w:rsid w:val="00343A39"/>
    <w:rsid w:val="00343F87"/>
    <w:rsid w:val="00346101"/>
    <w:rsid w:val="00347951"/>
    <w:rsid w:val="00347C24"/>
    <w:rsid w:val="00347EB1"/>
    <w:rsid w:val="003503BF"/>
    <w:rsid w:val="003508F6"/>
    <w:rsid w:val="00351FF3"/>
    <w:rsid w:val="00352B90"/>
    <w:rsid w:val="00353231"/>
    <w:rsid w:val="00353315"/>
    <w:rsid w:val="003544AB"/>
    <w:rsid w:val="00354D6E"/>
    <w:rsid w:val="0035514C"/>
    <w:rsid w:val="00356084"/>
    <w:rsid w:val="00356E07"/>
    <w:rsid w:val="00361570"/>
    <w:rsid w:val="00362532"/>
    <w:rsid w:val="003642D2"/>
    <w:rsid w:val="003643A1"/>
    <w:rsid w:val="0036450C"/>
    <w:rsid w:val="00364574"/>
    <w:rsid w:val="00364A42"/>
    <w:rsid w:val="00365074"/>
    <w:rsid w:val="00365225"/>
    <w:rsid w:val="0036546D"/>
    <w:rsid w:val="003664C3"/>
    <w:rsid w:val="003667CD"/>
    <w:rsid w:val="003675A1"/>
    <w:rsid w:val="0036773D"/>
    <w:rsid w:val="00367A3E"/>
    <w:rsid w:val="00367FEB"/>
    <w:rsid w:val="003711C1"/>
    <w:rsid w:val="00371BC3"/>
    <w:rsid w:val="00371CBE"/>
    <w:rsid w:val="00372C9E"/>
    <w:rsid w:val="00373AD1"/>
    <w:rsid w:val="00373AD4"/>
    <w:rsid w:val="0037428F"/>
    <w:rsid w:val="00374539"/>
    <w:rsid w:val="003746A1"/>
    <w:rsid w:val="003747BD"/>
    <w:rsid w:val="00374D4E"/>
    <w:rsid w:val="00374DD5"/>
    <w:rsid w:val="0037591D"/>
    <w:rsid w:val="0037720A"/>
    <w:rsid w:val="00377C6B"/>
    <w:rsid w:val="0038006D"/>
    <w:rsid w:val="00381EB9"/>
    <w:rsid w:val="0038206D"/>
    <w:rsid w:val="00383A81"/>
    <w:rsid w:val="00383D6A"/>
    <w:rsid w:val="00384693"/>
    <w:rsid w:val="00385DC1"/>
    <w:rsid w:val="00385F02"/>
    <w:rsid w:val="00386DED"/>
    <w:rsid w:val="0038719C"/>
    <w:rsid w:val="00387506"/>
    <w:rsid w:val="00390B71"/>
    <w:rsid w:val="00390E97"/>
    <w:rsid w:val="003924AE"/>
    <w:rsid w:val="00392E76"/>
    <w:rsid w:val="00393BF6"/>
    <w:rsid w:val="00393D1D"/>
    <w:rsid w:val="00393D8B"/>
    <w:rsid w:val="00393F1C"/>
    <w:rsid w:val="00393F6E"/>
    <w:rsid w:val="00394276"/>
    <w:rsid w:val="00394BA4"/>
    <w:rsid w:val="0039536F"/>
    <w:rsid w:val="0039597A"/>
    <w:rsid w:val="0039697D"/>
    <w:rsid w:val="00396E7A"/>
    <w:rsid w:val="00397188"/>
    <w:rsid w:val="0039750E"/>
    <w:rsid w:val="00397618"/>
    <w:rsid w:val="00397731"/>
    <w:rsid w:val="00397786"/>
    <w:rsid w:val="003A014B"/>
    <w:rsid w:val="003A1350"/>
    <w:rsid w:val="003A17CE"/>
    <w:rsid w:val="003A1920"/>
    <w:rsid w:val="003A1A61"/>
    <w:rsid w:val="003A2C3E"/>
    <w:rsid w:val="003A2D49"/>
    <w:rsid w:val="003A2ED9"/>
    <w:rsid w:val="003A3487"/>
    <w:rsid w:val="003A4709"/>
    <w:rsid w:val="003A4BD2"/>
    <w:rsid w:val="003A591A"/>
    <w:rsid w:val="003A5F2B"/>
    <w:rsid w:val="003A612F"/>
    <w:rsid w:val="003A6E02"/>
    <w:rsid w:val="003A722D"/>
    <w:rsid w:val="003A7DA8"/>
    <w:rsid w:val="003B01FB"/>
    <w:rsid w:val="003B0557"/>
    <w:rsid w:val="003B077A"/>
    <w:rsid w:val="003B0E02"/>
    <w:rsid w:val="003B0FDA"/>
    <w:rsid w:val="003B206D"/>
    <w:rsid w:val="003B231B"/>
    <w:rsid w:val="003B3157"/>
    <w:rsid w:val="003B3EDC"/>
    <w:rsid w:val="003B3FC0"/>
    <w:rsid w:val="003B4786"/>
    <w:rsid w:val="003B56E2"/>
    <w:rsid w:val="003B602A"/>
    <w:rsid w:val="003B6913"/>
    <w:rsid w:val="003B71D0"/>
    <w:rsid w:val="003B7450"/>
    <w:rsid w:val="003C03AA"/>
    <w:rsid w:val="003C1A92"/>
    <w:rsid w:val="003C21C5"/>
    <w:rsid w:val="003C2C74"/>
    <w:rsid w:val="003C3E88"/>
    <w:rsid w:val="003C45E6"/>
    <w:rsid w:val="003C4C78"/>
    <w:rsid w:val="003C568C"/>
    <w:rsid w:val="003C5EFF"/>
    <w:rsid w:val="003C63A8"/>
    <w:rsid w:val="003C6725"/>
    <w:rsid w:val="003C7107"/>
    <w:rsid w:val="003D09F9"/>
    <w:rsid w:val="003D0D2D"/>
    <w:rsid w:val="003D16A1"/>
    <w:rsid w:val="003D16F1"/>
    <w:rsid w:val="003D1778"/>
    <w:rsid w:val="003D1B5E"/>
    <w:rsid w:val="003D28A5"/>
    <w:rsid w:val="003D30C9"/>
    <w:rsid w:val="003D4635"/>
    <w:rsid w:val="003D472B"/>
    <w:rsid w:val="003D49E5"/>
    <w:rsid w:val="003D4F91"/>
    <w:rsid w:val="003D5092"/>
    <w:rsid w:val="003D6240"/>
    <w:rsid w:val="003D6EEC"/>
    <w:rsid w:val="003D7D65"/>
    <w:rsid w:val="003E007A"/>
    <w:rsid w:val="003E09C9"/>
    <w:rsid w:val="003E0CFA"/>
    <w:rsid w:val="003E0D77"/>
    <w:rsid w:val="003E0DA2"/>
    <w:rsid w:val="003E11B1"/>
    <w:rsid w:val="003E11D8"/>
    <w:rsid w:val="003E1873"/>
    <w:rsid w:val="003E23E0"/>
    <w:rsid w:val="003E25CD"/>
    <w:rsid w:val="003E25DA"/>
    <w:rsid w:val="003E2BDE"/>
    <w:rsid w:val="003E2F13"/>
    <w:rsid w:val="003E3005"/>
    <w:rsid w:val="003E386C"/>
    <w:rsid w:val="003E3BB1"/>
    <w:rsid w:val="003E44BC"/>
    <w:rsid w:val="003E4AD0"/>
    <w:rsid w:val="003E509B"/>
    <w:rsid w:val="003E5A4D"/>
    <w:rsid w:val="003E5AE0"/>
    <w:rsid w:val="003E60A8"/>
    <w:rsid w:val="003E6141"/>
    <w:rsid w:val="003E620D"/>
    <w:rsid w:val="003E6771"/>
    <w:rsid w:val="003E6F86"/>
    <w:rsid w:val="003F111F"/>
    <w:rsid w:val="003F1441"/>
    <w:rsid w:val="003F1A7F"/>
    <w:rsid w:val="003F2465"/>
    <w:rsid w:val="003F330F"/>
    <w:rsid w:val="003F36C9"/>
    <w:rsid w:val="003F441E"/>
    <w:rsid w:val="003F4A7C"/>
    <w:rsid w:val="003F4DA5"/>
    <w:rsid w:val="003F5122"/>
    <w:rsid w:val="003F5144"/>
    <w:rsid w:val="003F57A3"/>
    <w:rsid w:val="003F5DC0"/>
    <w:rsid w:val="003F6D88"/>
    <w:rsid w:val="003F73B2"/>
    <w:rsid w:val="004003F4"/>
    <w:rsid w:val="0040067C"/>
    <w:rsid w:val="004012CF"/>
    <w:rsid w:val="0040177F"/>
    <w:rsid w:val="00401801"/>
    <w:rsid w:val="00402034"/>
    <w:rsid w:val="0040256A"/>
    <w:rsid w:val="00402971"/>
    <w:rsid w:val="00402AC1"/>
    <w:rsid w:val="00402FB4"/>
    <w:rsid w:val="004030DB"/>
    <w:rsid w:val="004032FE"/>
    <w:rsid w:val="00403576"/>
    <w:rsid w:val="00404A4F"/>
    <w:rsid w:val="00405414"/>
    <w:rsid w:val="004056FA"/>
    <w:rsid w:val="004058F1"/>
    <w:rsid w:val="00405B47"/>
    <w:rsid w:val="00406172"/>
    <w:rsid w:val="004061C3"/>
    <w:rsid w:val="00407301"/>
    <w:rsid w:val="00407985"/>
    <w:rsid w:val="004102AF"/>
    <w:rsid w:val="00410BE9"/>
    <w:rsid w:val="004117D4"/>
    <w:rsid w:val="00411C6C"/>
    <w:rsid w:val="0041231D"/>
    <w:rsid w:val="004133BA"/>
    <w:rsid w:val="00413638"/>
    <w:rsid w:val="00413B4D"/>
    <w:rsid w:val="00413ED4"/>
    <w:rsid w:val="00414B0A"/>
    <w:rsid w:val="00414B6F"/>
    <w:rsid w:val="00414DD6"/>
    <w:rsid w:val="00414DE7"/>
    <w:rsid w:val="004159EE"/>
    <w:rsid w:val="00415A46"/>
    <w:rsid w:val="0041663C"/>
    <w:rsid w:val="00417E42"/>
    <w:rsid w:val="00421ECD"/>
    <w:rsid w:val="0042271D"/>
    <w:rsid w:val="00422F2E"/>
    <w:rsid w:val="004237E6"/>
    <w:rsid w:val="00424573"/>
    <w:rsid w:val="00425258"/>
    <w:rsid w:val="0042547A"/>
    <w:rsid w:val="00425D4B"/>
    <w:rsid w:val="00425FAD"/>
    <w:rsid w:val="00426287"/>
    <w:rsid w:val="00426B97"/>
    <w:rsid w:val="00426C16"/>
    <w:rsid w:val="00426CCD"/>
    <w:rsid w:val="00426D3C"/>
    <w:rsid w:val="00426F58"/>
    <w:rsid w:val="00430AD8"/>
    <w:rsid w:val="00431D9E"/>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3DB2"/>
    <w:rsid w:val="00444810"/>
    <w:rsid w:val="00444AFB"/>
    <w:rsid w:val="00444F38"/>
    <w:rsid w:val="00445781"/>
    <w:rsid w:val="00445B95"/>
    <w:rsid w:val="00446AC5"/>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59"/>
    <w:rsid w:val="004607DA"/>
    <w:rsid w:val="00460A63"/>
    <w:rsid w:val="00461628"/>
    <w:rsid w:val="00461886"/>
    <w:rsid w:val="00461F30"/>
    <w:rsid w:val="00462481"/>
    <w:rsid w:val="00462573"/>
    <w:rsid w:val="00462A0F"/>
    <w:rsid w:val="0046391A"/>
    <w:rsid w:val="00464FEE"/>
    <w:rsid w:val="00465126"/>
    <w:rsid w:val="004654CF"/>
    <w:rsid w:val="00465B8F"/>
    <w:rsid w:val="00465BC5"/>
    <w:rsid w:val="00466200"/>
    <w:rsid w:val="004670F4"/>
    <w:rsid w:val="00467585"/>
    <w:rsid w:val="00467813"/>
    <w:rsid w:val="00467B19"/>
    <w:rsid w:val="004700F0"/>
    <w:rsid w:val="004704E1"/>
    <w:rsid w:val="004704EB"/>
    <w:rsid w:val="00470B02"/>
    <w:rsid w:val="00470DED"/>
    <w:rsid w:val="004738CC"/>
    <w:rsid w:val="00473922"/>
    <w:rsid w:val="004742F2"/>
    <w:rsid w:val="004749A9"/>
    <w:rsid w:val="00474B56"/>
    <w:rsid w:val="00474B70"/>
    <w:rsid w:val="004750DD"/>
    <w:rsid w:val="0047645E"/>
    <w:rsid w:val="00477CA6"/>
    <w:rsid w:val="00477F89"/>
    <w:rsid w:val="004805B7"/>
    <w:rsid w:val="004807F6"/>
    <w:rsid w:val="00480C5C"/>
    <w:rsid w:val="00481512"/>
    <w:rsid w:val="004815E1"/>
    <w:rsid w:val="00481632"/>
    <w:rsid w:val="0048222C"/>
    <w:rsid w:val="004823D9"/>
    <w:rsid w:val="004824CC"/>
    <w:rsid w:val="00482F64"/>
    <w:rsid w:val="00482FF5"/>
    <w:rsid w:val="004837B0"/>
    <w:rsid w:val="0048533A"/>
    <w:rsid w:val="00485C27"/>
    <w:rsid w:val="004861E3"/>
    <w:rsid w:val="004864EC"/>
    <w:rsid w:val="00486E1F"/>
    <w:rsid w:val="00486ECD"/>
    <w:rsid w:val="00487255"/>
    <w:rsid w:val="004877A9"/>
    <w:rsid w:val="00487893"/>
    <w:rsid w:val="00491E53"/>
    <w:rsid w:val="0049221E"/>
    <w:rsid w:val="0049286D"/>
    <w:rsid w:val="00492C5B"/>
    <w:rsid w:val="0049312E"/>
    <w:rsid w:val="004933BA"/>
    <w:rsid w:val="00494084"/>
    <w:rsid w:val="004944CE"/>
    <w:rsid w:val="00494BCE"/>
    <w:rsid w:val="0049512D"/>
    <w:rsid w:val="0049547D"/>
    <w:rsid w:val="004956F3"/>
    <w:rsid w:val="00495C75"/>
    <w:rsid w:val="00496A42"/>
    <w:rsid w:val="00497B07"/>
    <w:rsid w:val="00497DFF"/>
    <w:rsid w:val="00497F32"/>
    <w:rsid w:val="004A0046"/>
    <w:rsid w:val="004A14A9"/>
    <w:rsid w:val="004A16C7"/>
    <w:rsid w:val="004A195A"/>
    <w:rsid w:val="004A2078"/>
    <w:rsid w:val="004A2959"/>
    <w:rsid w:val="004A39D9"/>
    <w:rsid w:val="004A3BE1"/>
    <w:rsid w:val="004A45C0"/>
    <w:rsid w:val="004A482A"/>
    <w:rsid w:val="004A4B79"/>
    <w:rsid w:val="004A5051"/>
    <w:rsid w:val="004A5387"/>
    <w:rsid w:val="004A54D4"/>
    <w:rsid w:val="004A7948"/>
    <w:rsid w:val="004A7ADA"/>
    <w:rsid w:val="004B044A"/>
    <w:rsid w:val="004B0657"/>
    <w:rsid w:val="004B0E71"/>
    <w:rsid w:val="004B134A"/>
    <w:rsid w:val="004B147C"/>
    <w:rsid w:val="004B256E"/>
    <w:rsid w:val="004B2D58"/>
    <w:rsid w:val="004B53F7"/>
    <w:rsid w:val="004B5B30"/>
    <w:rsid w:val="004B709E"/>
    <w:rsid w:val="004C0754"/>
    <w:rsid w:val="004C1884"/>
    <w:rsid w:val="004C52F8"/>
    <w:rsid w:val="004C552D"/>
    <w:rsid w:val="004C6663"/>
    <w:rsid w:val="004C6A1B"/>
    <w:rsid w:val="004C70BF"/>
    <w:rsid w:val="004C7F38"/>
    <w:rsid w:val="004D0F84"/>
    <w:rsid w:val="004D1CA0"/>
    <w:rsid w:val="004D3D5B"/>
    <w:rsid w:val="004D62A4"/>
    <w:rsid w:val="004D646A"/>
    <w:rsid w:val="004D6CB7"/>
    <w:rsid w:val="004D7170"/>
    <w:rsid w:val="004D786D"/>
    <w:rsid w:val="004D79CD"/>
    <w:rsid w:val="004E07B7"/>
    <w:rsid w:val="004E104C"/>
    <w:rsid w:val="004E20A4"/>
    <w:rsid w:val="004E25EB"/>
    <w:rsid w:val="004E26C6"/>
    <w:rsid w:val="004E2EF0"/>
    <w:rsid w:val="004E37B5"/>
    <w:rsid w:val="004E3C1F"/>
    <w:rsid w:val="004E42F1"/>
    <w:rsid w:val="004E5C08"/>
    <w:rsid w:val="004E5D34"/>
    <w:rsid w:val="004E61F6"/>
    <w:rsid w:val="004E670B"/>
    <w:rsid w:val="004E755F"/>
    <w:rsid w:val="004E79D0"/>
    <w:rsid w:val="004F18EA"/>
    <w:rsid w:val="004F210D"/>
    <w:rsid w:val="004F22A2"/>
    <w:rsid w:val="004F2678"/>
    <w:rsid w:val="004F2DD9"/>
    <w:rsid w:val="004F3A99"/>
    <w:rsid w:val="004F4D07"/>
    <w:rsid w:val="004F51B9"/>
    <w:rsid w:val="004F5D2B"/>
    <w:rsid w:val="004F6718"/>
    <w:rsid w:val="004F6BD5"/>
    <w:rsid w:val="004F6C21"/>
    <w:rsid w:val="004F74C3"/>
    <w:rsid w:val="004F7829"/>
    <w:rsid w:val="004F7B94"/>
    <w:rsid w:val="00500514"/>
    <w:rsid w:val="005005B7"/>
    <w:rsid w:val="0050188D"/>
    <w:rsid w:val="0050246E"/>
    <w:rsid w:val="00504207"/>
    <w:rsid w:val="005049DE"/>
    <w:rsid w:val="00504DDF"/>
    <w:rsid w:val="005050E3"/>
    <w:rsid w:val="00505C40"/>
    <w:rsid w:val="0050643D"/>
    <w:rsid w:val="00506645"/>
    <w:rsid w:val="00506BCC"/>
    <w:rsid w:val="00506D93"/>
    <w:rsid w:val="0050725D"/>
    <w:rsid w:val="00507390"/>
    <w:rsid w:val="00507D2E"/>
    <w:rsid w:val="00507D49"/>
    <w:rsid w:val="00510C3C"/>
    <w:rsid w:val="00510F3D"/>
    <w:rsid w:val="0051174F"/>
    <w:rsid w:val="00511B7C"/>
    <w:rsid w:val="005121F6"/>
    <w:rsid w:val="005124E1"/>
    <w:rsid w:val="005126A3"/>
    <w:rsid w:val="00512791"/>
    <w:rsid w:val="00512DE1"/>
    <w:rsid w:val="00513FA7"/>
    <w:rsid w:val="005145EB"/>
    <w:rsid w:val="005149CC"/>
    <w:rsid w:val="00514D8B"/>
    <w:rsid w:val="00515A9C"/>
    <w:rsid w:val="005162EA"/>
    <w:rsid w:val="00516A7C"/>
    <w:rsid w:val="00516B9F"/>
    <w:rsid w:val="00517675"/>
    <w:rsid w:val="00517CD4"/>
    <w:rsid w:val="0052022B"/>
    <w:rsid w:val="005202FC"/>
    <w:rsid w:val="00520891"/>
    <w:rsid w:val="0052138F"/>
    <w:rsid w:val="0052139B"/>
    <w:rsid w:val="00522BC7"/>
    <w:rsid w:val="00523E65"/>
    <w:rsid w:val="00523F75"/>
    <w:rsid w:val="00524716"/>
    <w:rsid w:val="00524F87"/>
    <w:rsid w:val="0052524B"/>
    <w:rsid w:val="00525557"/>
    <w:rsid w:val="00525833"/>
    <w:rsid w:val="00526131"/>
    <w:rsid w:val="00526E2B"/>
    <w:rsid w:val="00527756"/>
    <w:rsid w:val="005318BB"/>
    <w:rsid w:val="0053229A"/>
    <w:rsid w:val="005326EE"/>
    <w:rsid w:val="0053293B"/>
    <w:rsid w:val="005333D5"/>
    <w:rsid w:val="00533882"/>
    <w:rsid w:val="00533A0E"/>
    <w:rsid w:val="005341E3"/>
    <w:rsid w:val="005348C6"/>
    <w:rsid w:val="00536682"/>
    <w:rsid w:val="005374EA"/>
    <w:rsid w:val="00537BE1"/>
    <w:rsid w:val="00540675"/>
    <w:rsid w:val="005406E4"/>
    <w:rsid w:val="00540B52"/>
    <w:rsid w:val="00541A86"/>
    <w:rsid w:val="0054235C"/>
    <w:rsid w:val="0054329C"/>
    <w:rsid w:val="00543AC4"/>
    <w:rsid w:val="00545811"/>
    <w:rsid w:val="00545BF2"/>
    <w:rsid w:val="00545F04"/>
    <w:rsid w:val="0054791B"/>
    <w:rsid w:val="00550520"/>
    <w:rsid w:val="0055222E"/>
    <w:rsid w:val="0055250D"/>
    <w:rsid w:val="00554298"/>
    <w:rsid w:val="005552BF"/>
    <w:rsid w:val="00555523"/>
    <w:rsid w:val="005557DD"/>
    <w:rsid w:val="005559BA"/>
    <w:rsid w:val="00555DB9"/>
    <w:rsid w:val="0055676A"/>
    <w:rsid w:val="005567C4"/>
    <w:rsid w:val="005573F8"/>
    <w:rsid w:val="00560AC2"/>
    <w:rsid w:val="00560BB3"/>
    <w:rsid w:val="00560CCE"/>
    <w:rsid w:val="00561FA5"/>
    <w:rsid w:val="00563AEA"/>
    <w:rsid w:val="00564141"/>
    <w:rsid w:val="005644A8"/>
    <w:rsid w:val="00564814"/>
    <w:rsid w:val="00564947"/>
    <w:rsid w:val="00564BBF"/>
    <w:rsid w:val="00564E1B"/>
    <w:rsid w:val="00564F4F"/>
    <w:rsid w:val="005659BD"/>
    <w:rsid w:val="00565ED9"/>
    <w:rsid w:val="005662F1"/>
    <w:rsid w:val="005663AA"/>
    <w:rsid w:val="0056698E"/>
    <w:rsid w:val="005676F1"/>
    <w:rsid w:val="00567723"/>
    <w:rsid w:val="00567A83"/>
    <w:rsid w:val="0057090D"/>
    <w:rsid w:val="00570F42"/>
    <w:rsid w:val="00571233"/>
    <w:rsid w:val="0057130A"/>
    <w:rsid w:val="00571907"/>
    <w:rsid w:val="00571AC6"/>
    <w:rsid w:val="0057274D"/>
    <w:rsid w:val="00572924"/>
    <w:rsid w:val="00572C5F"/>
    <w:rsid w:val="0057356C"/>
    <w:rsid w:val="00573BDF"/>
    <w:rsid w:val="00573CC6"/>
    <w:rsid w:val="00573E1E"/>
    <w:rsid w:val="005744A4"/>
    <w:rsid w:val="0057633C"/>
    <w:rsid w:val="0057676F"/>
    <w:rsid w:val="005769A2"/>
    <w:rsid w:val="00576E96"/>
    <w:rsid w:val="00577E7D"/>
    <w:rsid w:val="00580625"/>
    <w:rsid w:val="00581682"/>
    <w:rsid w:val="005822FD"/>
    <w:rsid w:val="00582382"/>
    <w:rsid w:val="00582D77"/>
    <w:rsid w:val="00582DFB"/>
    <w:rsid w:val="00583203"/>
    <w:rsid w:val="0058364F"/>
    <w:rsid w:val="005842AD"/>
    <w:rsid w:val="005849EA"/>
    <w:rsid w:val="00585684"/>
    <w:rsid w:val="00585B55"/>
    <w:rsid w:val="00586CF4"/>
    <w:rsid w:val="005871A8"/>
    <w:rsid w:val="005877E5"/>
    <w:rsid w:val="0058790A"/>
    <w:rsid w:val="00590842"/>
    <w:rsid w:val="00590CDB"/>
    <w:rsid w:val="00590F88"/>
    <w:rsid w:val="00591928"/>
    <w:rsid w:val="0059199D"/>
    <w:rsid w:val="00591D0E"/>
    <w:rsid w:val="00591D65"/>
    <w:rsid w:val="00592A43"/>
    <w:rsid w:val="00593DC3"/>
    <w:rsid w:val="0059433A"/>
    <w:rsid w:val="00594ECA"/>
    <w:rsid w:val="00595505"/>
    <w:rsid w:val="005955E3"/>
    <w:rsid w:val="005964EC"/>
    <w:rsid w:val="005968CB"/>
    <w:rsid w:val="00596AB7"/>
    <w:rsid w:val="00596B6A"/>
    <w:rsid w:val="00596D1F"/>
    <w:rsid w:val="005A1261"/>
    <w:rsid w:val="005A1DB5"/>
    <w:rsid w:val="005A31CD"/>
    <w:rsid w:val="005A4587"/>
    <w:rsid w:val="005A4A58"/>
    <w:rsid w:val="005A4C07"/>
    <w:rsid w:val="005A5F3A"/>
    <w:rsid w:val="005A7422"/>
    <w:rsid w:val="005A76AD"/>
    <w:rsid w:val="005A79D6"/>
    <w:rsid w:val="005B1353"/>
    <w:rsid w:val="005B1372"/>
    <w:rsid w:val="005B1ECD"/>
    <w:rsid w:val="005B3807"/>
    <w:rsid w:val="005B3AE2"/>
    <w:rsid w:val="005B43D5"/>
    <w:rsid w:val="005B4F87"/>
    <w:rsid w:val="005B542D"/>
    <w:rsid w:val="005B55CE"/>
    <w:rsid w:val="005B5D9A"/>
    <w:rsid w:val="005B677B"/>
    <w:rsid w:val="005B6DFF"/>
    <w:rsid w:val="005C01EE"/>
    <w:rsid w:val="005C2504"/>
    <w:rsid w:val="005C351D"/>
    <w:rsid w:val="005C41C5"/>
    <w:rsid w:val="005C5B5C"/>
    <w:rsid w:val="005C67BF"/>
    <w:rsid w:val="005C7004"/>
    <w:rsid w:val="005C77D9"/>
    <w:rsid w:val="005C7A2A"/>
    <w:rsid w:val="005D05E6"/>
    <w:rsid w:val="005D1A4D"/>
    <w:rsid w:val="005D213D"/>
    <w:rsid w:val="005D22BA"/>
    <w:rsid w:val="005D2E9B"/>
    <w:rsid w:val="005D3541"/>
    <w:rsid w:val="005D35F9"/>
    <w:rsid w:val="005D46FC"/>
    <w:rsid w:val="005D4D44"/>
    <w:rsid w:val="005D4D8B"/>
    <w:rsid w:val="005D5BBA"/>
    <w:rsid w:val="005D629A"/>
    <w:rsid w:val="005D6BFF"/>
    <w:rsid w:val="005D6EFA"/>
    <w:rsid w:val="005D7183"/>
    <w:rsid w:val="005E0730"/>
    <w:rsid w:val="005E0759"/>
    <w:rsid w:val="005E0A8E"/>
    <w:rsid w:val="005E1D48"/>
    <w:rsid w:val="005E1FF0"/>
    <w:rsid w:val="005E26FB"/>
    <w:rsid w:val="005E2B27"/>
    <w:rsid w:val="005E2F31"/>
    <w:rsid w:val="005E4400"/>
    <w:rsid w:val="005E6648"/>
    <w:rsid w:val="005E681E"/>
    <w:rsid w:val="005E776F"/>
    <w:rsid w:val="005E7E70"/>
    <w:rsid w:val="005F023F"/>
    <w:rsid w:val="005F0A40"/>
    <w:rsid w:val="005F0A77"/>
    <w:rsid w:val="005F0C3A"/>
    <w:rsid w:val="005F133C"/>
    <w:rsid w:val="005F2C7A"/>
    <w:rsid w:val="005F30C1"/>
    <w:rsid w:val="005F3260"/>
    <w:rsid w:val="005F33F5"/>
    <w:rsid w:val="005F3C8C"/>
    <w:rsid w:val="005F4C89"/>
    <w:rsid w:val="005F4D7C"/>
    <w:rsid w:val="005F621E"/>
    <w:rsid w:val="005F647D"/>
    <w:rsid w:val="005F6CCC"/>
    <w:rsid w:val="006002F0"/>
    <w:rsid w:val="0060077C"/>
    <w:rsid w:val="00601949"/>
    <w:rsid w:val="00602468"/>
    <w:rsid w:val="006028D2"/>
    <w:rsid w:val="00605D03"/>
    <w:rsid w:val="00605DDB"/>
    <w:rsid w:val="006061FB"/>
    <w:rsid w:val="006063C8"/>
    <w:rsid w:val="00606EC0"/>
    <w:rsid w:val="00607AE9"/>
    <w:rsid w:val="006100D9"/>
    <w:rsid w:val="00610ED1"/>
    <w:rsid w:val="00612E06"/>
    <w:rsid w:val="006132AB"/>
    <w:rsid w:val="00613EE3"/>
    <w:rsid w:val="00613FE1"/>
    <w:rsid w:val="006140DF"/>
    <w:rsid w:val="00614799"/>
    <w:rsid w:val="00615DDA"/>
    <w:rsid w:val="00616CC2"/>
    <w:rsid w:val="00616DC1"/>
    <w:rsid w:val="0061706A"/>
    <w:rsid w:val="00617C28"/>
    <w:rsid w:val="00621192"/>
    <w:rsid w:val="00621549"/>
    <w:rsid w:val="00621B25"/>
    <w:rsid w:val="00621F6E"/>
    <w:rsid w:val="0062287B"/>
    <w:rsid w:val="00623C2F"/>
    <w:rsid w:val="00623C9A"/>
    <w:rsid w:val="006241EC"/>
    <w:rsid w:val="006242A7"/>
    <w:rsid w:val="0062464B"/>
    <w:rsid w:val="006247D3"/>
    <w:rsid w:val="00624C04"/>
    <w:rsid w:val="00624DAE"/>
    <w:rsid w:val="006250F6"/>
    <w:rsid w:val="00625243"/>
    <w:rsid w:val="006262A7"/>
    <w:rsid w:val="00626A94"/>
    <w:rsid w:val="0062770E"/>
    <w:rsid w:val="0062773D"/>
    <w:rsid w:val="00627740"/>
    <w:rsid w:val="0062794E"/>
    <w:rsid w:val="00627EF5"/>
    <w:rsid w:val="006303C8"/>
    <w:rsid w:val="00630B5A"/>
    <w:rsid w:val="0063110A"/>
    <w:rsid w:val="006317AC"/>
    <w:rsid w:val="006318B8"/>
    <w:rsid w:val="0063296E"/>
    <w:rsid w:val="0063297F"/>
    <w:rsid w:val="00635F91"/>
    <w:rsid w:val="0063688A"/>
    <w:rsid w:val="00637C91"/>
    <w:rsid w:val="00640A23"/>
    <w:rsid w:val="00640C66"/>
    <w:rsid w:val="00642829"/>
    <w:rsid w:val="00642835"/>
    <w:rsid w:val="00642CD5"/>
    <w:rsid w:val="00643351"/>
    <w:rsid w:val="00643B9A"/>
    <w:rsid w:val="006443D9"/>
    <w:rsid w:val="006455B1"/>
    <w:rsid w:val="0064565A"/>
    <w:rsid w:val="00645DD1"/>
    <w:rsid w:val="006467D5"/>
    <w:rsid w:val="00646A04"/>
    <w:rsid w:val="00646E99"/>
    <w:rsid w:val="0064702D"/>
    <w:rsid w:val="006474D1"/>
    <w:rsid w:val="006474F8"/>
    <w:rsid w:val="006501F8"/>
    <w:rsid w:val="0065141B"/>
    <w:rsid w:val="00651CC5"/>
    <w:rsid w:val="00651DFD"/>
    <w:rsid w:val="00652561"/>
    <w:rsid w:val="006527CC"/>
    <w:rsid w:val="00653B6F"/>
    <w:rsid w:val="006540E6"/>
    <w:rsid w:val="006549EA"/>
    <w:rsid w:val="00654A45"/>
    <w:rsid w:val="0065537B"/>
    <w:rsid w:val="006555FB"/>
    <w:rsid w:val="00655A41"/>
    <w:rsid w:val="0065672C"/>
    <w:rsid w:val="00657A08"/>
    <w:rsid w:val="00657E9C"/>
    <w:rsid w:val="0066042B"/>
    <w:rsid w:val="0066127A"/>
    <w:rsid w:val="00661519"/>
    <w:rsid w:val="006627C2"/>
    <w:rsid w:val="0066358C"/>
    <w:rsid w:val="00664100"/>
    <w:rsid w:val="0066484B"/>
    <w:rsid w:val="00664FB9"/>
    <w:rsid w:val="006650EA"/>
    <w:rsid w:val="0066661E"/>
    <w:rsid w:val="00666821"/>
    <w:rsid w:val="00667087"/>
    <w:rsid w:val="00667925"/>
    <w:rsid w:val="00670441"/>
    <w:rsid w:val="006718E5"/>
    <w:rsid w:val="00671A10"/>
    <w:rsid w:val="00672CE5"/>
    <w:rsid w:val="006739A4"/>
    <w:rsid w:val="00674103"/>
    <w:rsid w:val="00674F36"/>
    <w:rsid w:val="00674FDB"/>
    <w:rsid w:val="00675DD9"/>
    <w:rsid w:val="006760D5"/>
    <w:rsid w:val="00676C1D"/>
    <w:rsid w:val="00676D43"/>
    <w:rsid w:val="00677D27"/>
    <w:rsid w:val="0068077A"/>
    <w:rsid w:val="006809C2"/>
    <w:rsid w:val="006809F0"/>
    <w:rsid w:val="006811ED"/>
    <w:rsid w:val="00682E75"/>
    <w:rsid w:val="006839A4"/>
    <w:rsid w:val="00683D0B"/>
    <w:rsid w:val="00683F5A"/>
    <w:rsid w:val="00684794"/>
    <w:rsid w:val="00684C37"/>
    <w:rsid w:val="00685501"/>
    <w:rsid w:val="0068602B"/>
    <w:rsid w:val="0068641B"/>
    <w:rsid w:val="006869E5"/>
    <w:rsid w:val="0068752F"/>
    <w:rsid w:val="00690EEA"/>
    <w:rsid w:val="00691169"/>
    <w:rsid w:val="00691E55"/>
    <w:rsid w:val="00691F93"/>
    <w:rsid w:val="006926BE"/>
    <w:rsid w:val="006940C2"/>
    <w:rsid w:val="00694876"/>
    <w:rsid w:val="006948A6"/>
    <w:rsid w:val="00694976"/>
    <w:rsid w:val="00695AB4"/>
    <w:rsid w:val="00696FBE"/>
    <w:rsid w:val="00697E19"/>
    <w:rsid w:val="006A00F4"/>
    <w:rsid w:val="006A06AA"/>
    <w:rsid w:val="006A096B"/>
    <w:rsid w:val="006A0E29"/>
    <w:rsid w:val="006A0EBD"/>
    <w:rsid w:val="006A138A"/>
    <w:rsid w:val="006A17EA"/>
    <w:rsid w:val="006A1A5D"/>
    <w:rsid w:val="006A221F"/>
    <w:rsid w:val="006A2A92"/>
    <w:rsid w:val="006A3519"/>
    <w:rsid w:val="006A3DB7"/>
    <w:rsid w:val="006A47CB"/>
    <w:rsid w:val="006A604C"/>
    <w:rsid w:val="006A635E"/>
    <w:rsid w:val="006A6616"/>
    <w:rsid w:val="006A6FBE"/>
    <w:rsid w:val="006A731A"/>
    <w:rsid w:val="006A74B2"/>
    <w:rsid w:val="006A7A44"/>
    <w:rsid w:val="006B0C7E"/>
    <w:rsid w:val="006B107F"/>
    <w:rsid w:val="006B1A3C"/>
    <w:rsid w:val="006B1EE4"/>
    <w:rsid w:val="006B228B"/>
    <w:rsid w:val="006B324C"/>
    <w:rsid w:val="006B33D4"/>
    <w:rsid w:val="006B348A"/>
    <w:rsid w:val="006B3D38"/>
    <w:rsid w:val="006B4003"/>
    <w:rsid w:val="006B4F96"/>
    <w:rsid w:val="006B55F4"/>
    <w:rsid w:val="006B5B27"/>
    <w:rsid w:val="006B5BD6"/>
    <w:rsid w:val="006B5EB2"/>
    <w:rsid w:val="006B6EB1"/>
    <w:rsid w:val="006B6FB8"/>
    <w:rsid w:val="006B7632"/>
    <w:rsid w:val="006B7FDF"/>
    <w:rsid w:val="006C0D70"/>
    <w:rsid w:val="006C19F2"/>
    <w:rsid w:val="006C358C"/>
    <w:rsid w:val="006C4A35"/>
    <w:rsid w:val="006C6A2A"/>
    <w:rsid w:val="006C7369"/>
    <w:rsid w:val="006C7791"/>
    <w:rsid w:val="006D09F4"/>
    <w:rsid w:val="006D0F43"/>
    <w:rsid w:val="006D134D"/>
    <w:rsid w:val="006D1589"/>
    <w:rsid w:val="006D1729"/>
    <w:rsid w:val="006D18B0"/>
    <w:rsid w:val="006D1920"/>
    <w:rsid w:val="006D1E11"/>
    <w:rsid w:val="006D2EFA"/>
    <w:rsid w:val="006D4276"/>
    <w:rsid w:val="006D4538"/>
    <w:rsid w:val="006D4E89"/>
    <w:rsid w:val="006D56C0"/>
    <w:rsid w:val="006D5950"/>
    <w:rsid w:val="006D6198"/>
    <w:rsid w:val="006D63F3"/>
    <w:rsid w:val="006D65DB"/>
    <w:rsid w:val="006D6652"/>
    <w:rsid w:val="006D69E1"/>
    <w:rsid w:val="006D7EEB"/>
    <w:rsid w:val="006E1320"/>
    <w:rsid w:val="006E1D53"/>
    <w:rsid w:val="006E3AB9"/>
    <w:rsid w:val="006E4199"/>
    <w:rsid w:val="006E42D0"/>
    <w:rsid w:val="006E437C"/>
    <w:rsid w:val="006E471D"/>
    <w:rsid w:val="006E4760"/>
    <w:rsid w:val="006E4B23"/>
    <w:rsid w:val="006E511B"/>
    <w:rsid w:val="006E5324"/>
    <w:rsid w:val="006E5E47"/>
    <w:rsid w:val="006E6CD5"/>
    <w:rsid w:val="006E74AF"/>
    <w:rsid w:val="006E7915"/>
    <w:rsid w:val="006F10E1"/>
    <w:rsid w:val="006F1CA3"/>
    <w:rsid w:val="006F21DF"/>
    <w:rsid w:val="006F22B4"/>
    <w:rsid w:val="006F2C03"/>
    <w:rsid w:val="006F2DD4"/>
    <w:rsid w:val="006F2E79"/>
    <w:rsid w:val="006F37F6"/>
    <w:rsid w:val="006F453E"/>
    <w:rsid w:val="006F54C6"/>
    <w:rsid w:val="006F56FB"/>
    <w:rsid w:val="006F5759"/>
    <w:rsid w:val="006F5A07"/>
    <w:rsid w:val="006F5B3E"/>
    <w:rsid w:val="006F6BA4"/>
    <w:rsid w:val="006F7FC3"/>
    <w:rsid w:val="0070125B"/>
    <w:rsid w:val="0070154F"/>
    <w:rsid w:val="00701BA5"/>
    <w:rsid w:val="007057C6"/>
    <w:rsid w:val="00705B58"/>
    <w:rsid w:val="0071018D"/>
    <w:rsid w:val="00711643"/>
    <w:rsid w:val="00711D58"/>
    <w:rsid w:val="00712C56"/>
    <w:rsid w:val="00713334"/>
    <w:rsid w:val="00713B15"/>
    <w:rsid w:val="00713B1F"/>
    <w:rsid w:val="0071455E"/>
    <w:rsid w:val="0071475A"/>
    <w:rsid w:val="007147D2"/>
    <w:rsid w:val="00714A05"/>
    <w:rsid w:val="00714A35"/>
    <w:rsid w:val="007154CF"/>
    <w:rsid w:val="00715E70"/>
    <w:rsid w:val="007165C0"/>
    <w:rsid w:val="0071695D"/>
    <w:rsid w:val="00716CC1"/>
    <w:rsid w:val="00717029"/>
    <w:rsid w:val="00720F38"/>
    <w:rsid w:val="00721ECB"/>
    <w:rsid w:val="007229DE"/>
    <w:rsid w:val="00722D39"/>
    <w:rsid w:val="00724BD6"/>
    <w:rsid w:val="007251B2"/>
    <w:rsid w:val="007271B4"/>
    <w:rsid w:val="007273C5"/>
    <w:rsid w:val="00727695"/>
    <w:rsid w:val="00727D4F"/>
    <w:rsid w:val="007323BE"/>
    <w:rsid w:val="0073255F"/>
    <w:rsid w:val="007335DB"/>
    <w:rsid w:val="0073384E"/>
    <w:rsid w:val="00733CDB"/>
    <w:rsid w:val="00733EF0"/>
    <w:rsid w:val="00733FDD"/>
    <w:rsid w:val="0073499B"/>
    <w:rsid w:val="00736977"/>
    <w:rsid w:val="00736E06"/>
    <w:rsid w:val="00737307"/>
    <w:rsid w:val="00737360"/>
    <w:rsid w:val="00737FAF"/>
    <w:rsid w:val="00740149"/>
    <w:rsid w:val="0074049E"/>
    <w:rsid w:val="00741AF0"/>
    <w:rsid w:val="00742860"/>
    <w:rsid w:val="007428AB"/>
    <w:rsid w:val="00743ADC"/>
    <w:rsid w:val="0074408D"/>
    <w:rsid w:val="007447A5"/>
    <w:rsid w:val="007455C8"/>
    <w:rsid w:val="00745C76"/>
    <w:rsid w:val="00745D85"/>
    <w:rsid w:val="00745DEE"/>
    <w:rsid w:val="0074667D"/>
    <w:rsid w:val="0074697F"/>
    <w:rsid w:val="0074794F"/>
    <w:rsid w:val="00747DC1"/>
    <w:rsid w:val="00747E7D"/>
    <w:rsid w:val="00750788"/>
    <w:rsid w:val="007507CF"/>
    <w:rsid w:val="00751C2C"/>
    <w:rsid w:val="00751DDE"/>
    <w:rsid w:val="007523B9"/>
    <w:rsid w:val="00752749"/>
    <w:rsid w:val="0075336C"/>
    <w:rsid w:val="00753FD3"/>
    <w:rsid w:val="007542C5"/>
    <w:rsid w:val="0075437C"/>
    <w:rsid w:val="00754686"/>
    <w:rsid w:val="007546CD"/>
    <w:rsid w:val="00754F5E"/>
    <w:rsid w:val="007555F1"/>
    <w:rsid w:val="00755721"/>
    <w:rsid w:val="00756C7E"/>
    <w:rsid w:val="007604FB"/>
    <w:rsid w:val="007615EF"/>
    <w:rsid w:val="00761B67"/>
    <w:rsid w:val="00761BA5"/>
    <w:rsid w:val="00761FCF"/>
    <w:rsid w:val="00762375"/>
    <w:rsid w:val="00763440"/>
    <w:rsid w:val="0076352C"/>
    <w:rsid w:val="00763A24"/>
    <w:rsid w:val="00763A72"/>
    <w:rsid w:val="00764085"/>
    <w:rsid w:val="0076426C"/>
    <w:rsid w:val="00764707"/>
    <w:rsid w:val="00765322"/>
    <w:rsid w:val="00767B35"/>
    <w:rsid w:val="007709C0"/>
    <w:rsid w:val="00770CBC"/>
    <w:rsid w:val="00770D17"/>
    <w:rsid w:val="007719FC"/>
    <w:rsid w:val="00771A5F"/>
    <w:rsid w:val="00771BA2"/>
    <w:rsid w:val="00771EA2"/>
    <w:rsid w:val="00772D14"/>
    <w:rsid w:val="0077354E"/>
    <w:rsid w:val="00773BCE"/>
    <w:rsid w:val="00773F60"/>
    <w:rsid w:val="0077524C"/>
    <w:rsid w:val="00775BE2"/>
    <w:rsid w:val="007769F4"/>
    <w:rsid w:val="00776C88"/>
    <w:rsid w:val="0077768C"/>
    <w:rsid w:val="00780869"/>
    <w:rsid w:val="007808CE"/>
    <w:rsid w:val="00780CCE"/>
    <w:rsid w:val="00780E30"/>
    <w:rsid w:val="007811CC"/>
    <w:rsid w:val="0078152D"/>
    <w:rsid w:val="007818DB"/>
    <w:rsid w:val="00781B0F"/>
    <w:rsid w:val="00781EF3"/>
    <w:rsid w:val="00781F85"/>
    <w:rsid w:val="007838FC"/>
    <w:rsid w:val="00784124"/>
    <w:rsid w:val="00784656"/>
    <w:rsid w:val="00785BF3"/>
    <w:rsid w:val="0078684A"/>
    <w:rsid w:val="00786EE8"/>
    <w:rsid w:val="007900FE"/>
    <w:rsid w:val="00790CE7"/>
    <w:rsid w:val="00790FBE"/>
    <w:rsid w:val="00791F42"/>
    <w:rsid w:val="00792302"/>
    <w:rsid w:val="007927E7"/>
    <w:rsid w:val="00792830"/>
    <w:rsid w:val="00793DC4"/>
    <w:rsid w:val="00793EF6"/>
    <w:rsid w:val="00794924"/>
    <w:rsid w:val="00794CA6"/>
    <w:rsid w:val="0079645E"/>
    <w:rsid w:val="007971B7"/>
    <w:rsid w:val="007976FB"/>
    <w:rsid w:val="00797CA0"/>
    <w:rsid w:val="007A0946"/>
    <w:rsid w:val="007A104A"/>
    <w:rsid w:val="007A11B0"/>
    <w:rsid w:val="007A127B"/>
    <w:rsid w:val="007A1D72"/>
    <w:rsid w:val="007A26FC"/>
    <w:rsid w:val="007A33B4"/>
    <w:rsid w:val="007A4182"/>
    <w:rsid w:val="007A4635"/>
    <w:rsid w:val="007A5158"/>
    <w:rsid w:val="007A5774"/>
    <w:rsid w:val="007A6735"/>
    <w:rsid w:val="007A68F1"/>
    <w:rsid w:val="007A6CE4"/>
    <w:rsid w:val="007A6F40"/>
    <w:rsid w:val="007A7185"/>
    <w:rsid w:val="007A7788"/>
    <w:rsid w:val="007A7C4D"/>
    <w:rsid w:val="007B0214"/>
    <w:rsid w:val="007B0864"/>
    <w:rsid w:val="007B130C"/>
    <w:rsid w:val="007B1B5B"/>
    <w:rsid w:val="007B1BAB"/>
    <w:rsid w:val="007B1CD2"/>
    <w:rsid w:val="007B2C45"/>
    <w:rsid w:val="007B2F45"/>
    <w:rsid w:val="007B361F"/>
    <w:rsid w:val="007B3698"/>
    <w:rsid w:val="007B3A2C"/>
    <w:rsid w:val="007B3BD0"/>
    <w:rsid w:val="007B4029"/>
    <w:rsid w:val="007B438F"/>
    <w:rsid w:val="007B4788"/>
    <w:rsid w:val="007B4EDE"/>
    <w:rsid w:val="007B5438"/>
    <w:rsid w:val="007B5BE3"/>
    <w:rsid w:val="007B70C3"/>
    <w:rsid w:val="007B75D5"/>
    <w:rsid w:val="007B773F"/>
    <w:rsid w:val="007B7A45"/>
    <w:rsid w:val="007B7C3C"/>
    <w:rsid w:val="007B7D6F"/>
    <w:rsid w:val="007C0459"/>
    <w:rsid w:val="007C04BC"/>
    <w:rsid w:val="007C1D62"/>
    <w:rsid w:val="007C1F31"/>
    <w:rsid w:val="007C206A"/>
    <w:rsid w:val="007C2463"/>
    <w:rsid w:val="007C285A"/>
    <w:rsid w:val="007C3562"/>
    <w:rsid w:val="007C359F"/>
    <w:rsid w:val="007C3F2A"/>
    <w:rsid w:val="007C3F4B"/>
    <w:rsid w:val="007C4164"/>
    <w:rsid w:val="007C4426"/>
    <w:rsid w:val="007C47FC"/>
    <w:rsid w:val="007C52EA"/>
    <w:rsid w:val="007C589F"/>
    <w:rsid w:val="007C61EA"/>
    <w:rsid w:val="007C6505"/>
    <w:rsid w:val="007C6F61"/>
    <w:rsid w:val="007C798B"/>
    <w:rsid w:val="007C7E5E"/>
    <w:rsid w:val="007D05E5"/>
    <w:rsid w:val="007D1168"/>
    <w:rsid w:val="007D1AC1"/>
    <w:rsid w:val="007D1CD7"/>
    <w:rsid w:val="007D20DA"/>
    <w:rsid w:val="007D2FD3"/>
    <w:rsid w:val="007D338A"/>
    <w:rsid w:val="007D4A50"/>
    <w:rsid w:val="007D4C7D"/>
    <w:rsid w:val="007D5D25"/>
    <w:rsid w:val="007D61D8"/>
    <w:rsid w:val="007D642C"/>
    <w:rsid w:val="007D7333"/>
    <w:rsid w:val="007D7C6D"/>
    <w:rsid w:val="007E05AE"/>
    <w:rsid w:val="007E0641"/>
    <w:rsid w:val="007E06CE"/>
    <w:rsid w:val="007E07F2"/>
    <w:rsid w:val="007E0D3F"/>
    <w:rsid w:val="007E167D"/>
    <w:rsid w:val="007E1889"/>
    <w:rsid w:val="007E1A47"/>
    <w:rsid w:val="007E2F35"/>
    <w:rsid w:val="007E376B"/>
    <w:rsid w:val="007E37A5"/>
    <w:rsid w:val="007E39CD"/>
    <w:rsid w:val="007E4F78"/>
    <w:rsid w:val="007E543C"/>
    <w:rsid w:val="007E5E39"/>
    <w:rsid w:val="007E5E79"/>
    <w:rsid w:val="007E5F69"/>
    <w:rsid w:val="007E5FFE"/>
    <w:rsid w:val="007E6952"/>
    <w:rsid w:val="007E6EA8"/>
    <w:rsid w:val="007E7EB0"/>
    <w:rsid w:val="007F0040"/>
    <w:rsid w:val="007F03F4"/>
    <w:rsid w:val="007F0C1B"/>
    <w:rsid w:val="007F1C08"/>
    <w:rsid w:val="007F2E3D"/>
    <w:rsid w:val="007F3E3E"/>
    <w:rsid w:val="007F40B6"/>
    <w:rsid w:val="007F452E"/>
    <w:rsid w:val="007F4693"/>
    <w:rsid w:val="007F4DE0"/>
    <w:rsid w:val="007F5766"/>
    <w:rsid w:val="007F6734"/>
    <w:rsid w:val="007F67A4"/>
    <w:rsid w:val="008002AC"/>
    <w:rsid w:val="00800878"/>
    <w:rsid w:val="0080116C"/>
    <w:rsid w:val="00801C83"/>
    <w:rsid w:val="00802911"/>
    <w:rsid w:val="00802A8E"/>
    <w:rsid w:val="008051E8"/>
    <w:rsid w:val="0080580C"/>
    <w:rsid w:val="00805A06"/>
    <w:rsid w:val="00805FEB"/>
    <w:rsid w:val="00806358"/>
    <w:rsid w:val="00806654"/>
    <w:rsid w:val="008066D8"/>
    <w:rsid w:val="00806F52"/>
    <w:rsid w:val="00806FDE"/>
    <w:rsid w:val="008073AD"/>
    <w:rsid w:val="00807A31"/>
    <w:rsid w:val="00807F1F"/>
    <w:rsid w:val="0081099F"/>
    <w:rsid w:val="008109CE"/>
    <w:rsid w:val="00810D11"/>
    <w:rsid w:val="008115E4"/>
    <w:rsid w:val="00812040"/>
    <w:rsid w:val="008124E6"/>
    <w:rsid w:val="00813374"/>
    <w:rsid w:val="008136A3"/>
    <w:rsid w:val="008140D1"/>
    <w:rsid w:val="00814A2E"/>
    <w:rsid w:val="00814B26"/>
    <w:rsid w:val="00815897"/>
    <w:rsid w:val="00815A51"/>
    <w:rsid w:val="00815F0A"/>
    <w:rsid w:val="00816752"/>
    <w:rsid w:val="00817191"/>
    <w:rsid w:val="00817D58"/>
    <w:rsid w:val="008201A2"/>
    <w:rsid w:val="0082072D"/>
    <w:rsid w:val="00820F5A"/>
    <w:rsid w:val="008217AF"/>
    <w:rsid w:val="00821C3E"/>
    <w:rsid w:val="0082233B"/>
    <w:rsid w:val="00822D67"/>
    <w:rsid w:val="00824092"/>
    <w:rsid w:val="00824229"/>
    <w:rsid w:val="00824966"/>
    <w:rsid w:val="00824E00"/>
    <w:rsid w:val="00825206"/>
    <w:rsid w:val="008254D6"/>
    <w:rsid w:val="00826537"/>
    <w:rsid w:val="00826C9F"/>
    <w:rsid w:val="008275BB"/>
    <w:rsid w:val="00827796"/>
    <w:rsid w:val="00827CA0"/>
    <w:rsid w:val="00827D13"/>
    <w:rsid w:val="00830143"/>
    <w:rsid w:val="00830720"/>
    <w:rsid w:val="008311E8"/>
    <w:rsid w:val="0083168B"/>
    <w:rsid w:val="0083198D"/>
    <w:rsid w:val="00831DA7"/>
    <w:rsid w:val="00833CAA"/>
    <w:rsid w:val="0083432A"/>
    <w:rsid w:val="00835326"/>
    <w:rsid w:val="008353C5"/>
    <w:rsid w:val="008363DB"/>
    <w:rsid w:val="008367B9"/>
    <w:rsid w:val="00836A85"/>
    <w:rsid w:val="00836AC6"/>
    <w:rsid w:val="008407CE"/>
    <w:rsid w:val="008424BD"/>
    <w:rsid w:val="00842F85"/>
    <w:rsid w:val="008431C6"/>
    <w:rsid w:val="0084589D"/>
    <w:rsid w:val="00845BB4"/>
    <w:rsid w:val="00845EAF"/>
    <w:rsid w:val="00846FD1"/>
    <w:rsid w:val="00847C0F"/>
    <w:rsid w:val="00847F2D"/>
    <w:rsid w:val="008508B0"/>
    <w:rsid w:val="00850CDE"/>
    <w:rsid w:val="00851DA3"/>
    <w:rsid w:val="00851EC3"/>
    <w:rsid w:val="00851EFD"/>
    <w:rsid w:val="00851F41"/>
    <w:rsid w:val="00852749"/>
    <w:rsid w:val="00852BE2"/>
    <w:rsid w:val="00853C73"/>
    <w:rsid w:val="00854127"/>
    <w:rsid w:val="008541BD"/>
    <w:rsid w:val="00854CE0"/>
    <w:rsid w:val="00855467"/>
    <w:rsid w:val="008558F4"/>
    <w:rsid w:val="008559EE"/>
    <w:rsid w:val="00855C82"/>
    <w:rsid w:val="008569D1"/>
    <w:rsid w:val="00857105"/>
    <w:rsid w:val="00857D66"/>
    <w:rsid w:val="008604B3"/>
    <w:rsid w:val="0086050D"/>
    <w:rsid w:val="0086065E"/>
    <w:rsid w:val="00860D44"/>
    <w:rsid w:val="00861777"/>
    <w:rsid w:val="008618BC"/>
    <w:rsid w:val="0086248C"/>
    <w:rsid w:val="008625CF"/>
    <w:rsid w:val="008631A9"/>
    <w:rsid w:val="008631D6"/>
    <w:rsid w:val="00863905"/>
    <w:rsid w:val="00863F63"/>
    <w:rsid w:val="008644AA"/>
    <w:rsid w:val="00864D56"/>
    <w:rsid w:val="00866D2C"/>
    <w:rsid w:val="00870412"/>
    <w:rsid w:val="00871286"/>
    <w:rsid w:val="0087150C"/>
    <w:rsid w:val="00872977"/>
    <w:rsid w:val="00872E1D"/>
    <w:rsid w:val="0087317F"/>
    <w:rsid w:val="008731C0"/>
    <w:rsid w:val="00873488"/>
    <w:rsid w:val="00873586"/>
    <w:rsid w:val="00873600"/>
    <w:rsid w:val="008739C9"/>
    <w:rsid w:val="00873B3D"/>
    <w:rsid w:val="0087465E"/>
    <w:rsid w:val="008746CF"/>
    <w:rsid w:val="008747AD"/>
    <w:rsid w:val="00874861"/>
    <w:rsid w:val="00874E4B"/>
    <w:rsid w:val="00876F79"/>
    <w:rsid w:val="008771F7"/>
    <w:rsid w:val="00877736"/>
    <w:rsid w:val="0088114A"/>
    <w:rsid w:val="00881758"/>
    <w:rsid w:val="0088237B"/>
    <w:rsid w:val="00882863"/>
    <w:rsid w:val="00882DFA"/>
    <w:rsid w:val="00882E7A"/>
    <w:rsid w:val="00883F43"/>
    <w:rsid w:val="008841F3"/>
    <w:rsid w:val="0088455D"/>
    <w:rsid w:val="008854F6"/>
    <w:rsid w:val="0088566E"/>
    <w:rsid w:val="008861FC"/>
    <w:rsid w:val="00886DF7"/>
    <w:rsid w:val="00887916"/>
    <w:rsid w:val="00890576"/>
    <w:rsid w:val="00890A11"/>
    <w:rsid w:val="00890AAA"/>
    <w:rsid w:val="008919D8"/>
    <w:rsid w:val="00891D81"/>
    <w:rsid w:val="008923A6"/>
    <w:rsid w:val="00892F7A"/>
    <w:rsid w:val="0089332E"/>
    <w:rsid w:val="00893463"/>
    <w:rsid w:val="00893902"/>
    <w:rsid w:val="00893B3A"/>
    <w:rsid w:val="0089423F"/>
    <w:rsid w:val="0089431F"/>
    <w:rsid w:val="00894DCB"/>
    <w:rsid w:val="00895B32"/>
    <w:rsid w:val="00896169"/>
    <w:rsid w:val="00896671"/>
    <w:rsid w:val="00896A47"/>
    <w:rsid w:val="00897794"/>
    <w:rsid w:val="008A040A"/>
    <w:rsid w:val="008A08FF"/>
    <w:rsid w:val="008A0B95"/>
    <w:rsid w:val="008A143E"/>
    <w:rsid w:val="008A1CF2"/>
    <w:rsid w:val="008A2521"/>
    <w:rsid w:val="008A2622"/>
    <w:rsid w:val="008A3788"/>
    <w:rsid w:val="008A4912"/>
    <w:rsid w:val="008A4E90"/>
    <w:rsid w:val="008A5076"/>
    <w:rsid w:val="008A5662"/>
    <w:rsid w:val="008A599D"/>
    <w:rsid w:val="008A5FF2"/>
    <w:rsid w:val="008A6976"/>
    <w:rsid w:val="008A6CBE"/>
    <w:rsid w:val="008A7BD5"/>
    <w:rsid w:val="008A7EE8"/>
    <w:rsid w:val="008B00AE"/>
    <w:rsid w:val="008B0C29"/>
    <w:rsid w:val="008B0DE7"/>
    <w:rsid w:val="008B1D38"/>
    <w:rsid w:val="008B1DC3"/>
    <w:rsid w:val="008B280C"/>
    <w:rsid w:val="008B304A"/>
    <w:rsid w:val="008B32A3"/>
    <w:rsid w:val="008B358B"/>
    <w:rsid w:val="008B3ADC"/>
    <w:rsid w:val="008B4D28"/>
    <w:rsid w:val="008B5083"/>
    <w:rsid w:val="008B5D25"/>
    <w:rsid w:val="008B659D"/>
    <w:rsid w:val="008B6D7A"/>
    <w:rsid w:val="008B7A6C"/>
    <w:rsid w:val="008B7BEA"/>
    <w:rsid w:val="008C0197"/>
    <w:rsid w:val="008C03A0"/>
    <w:rsid w:val="008C047C"/>
    <w:rsid w:val="008C0642"/>
    <w:rsid w:val="008C07D0"/>
    <w:rsid w:val="008C0BCA"/>
    <w:rsid w:val="008C1FAE"/>
    <w:rsid w:val="008C2336"/>
    <w:rsid w:val="008C290D"/>
    <w:rsid w:val="008C69AD"/>
    <w:rsid w:val="008C69BC"/>
    <w:rsid w:val="008C741E"/>
    <w:rsid w:val="008D08A4"/>
    <w:rsid w:val="008D0F5E"/>
    <w:rsid w:val="008D1530"/>
    <w:rsid w:val="008D323A"/>
    <w:rsid w:val="008D3488"/>
    <w:rsid w:val="008D4621"/>
    <w:rsid w:val="008D4D05"/>
    <w:rsid w:val="008D556A"/>
    <w:rsid w:val="008D5696"/>
    <w:rsid w:val="008D619E"/>
    <w:rsid w:val="008D65F2"/>
    <w:rsid w:val="008D6BAE"/>
    <w:rsid w:val="008E0D8F"/>
    <w:rsid w:val="008E1011"/>
    <w:rsid w:val="008E128C"/>
    <w:rsid w:val="008E2A8E"/>
    <w:rsid w:val="008E3B40"/>
    <w:rsid w:val="008E4381"/>
    <w:rsid w:val="008E4D7B"/>
    <w:rsid w:val="008E601C"/>
    <w:rsid w:val="008E626D"/>
    <w:rsid w:val="008E7BE4"/>
    <w:rsid w:val="008E7CA7"/>
    <w:rsid w:val="008F0E19"/>
    <w:rsid w:val="008F156B"/>
    <w:rsid w:val="008F191F"/>
    <w:rsid w:val="008F2F0A"/>
    <w:rsid w:val="008F449A"/>
    <w:rsid w:val="008F55C0"/>
    <w:rsid w:val="008F5751"/>
    <w:rsid w:val="008F594D"/>
    <w:rsid w:val="008F5EA9"/>
    <w:rsid w:val="008F7C2F"/>
    <w:rsid w:val="008F7D49"/>
    <w:rsid w:val="00900109"/>
    <w:rsid w:val="00900130"/>
    <w:rsid w:val="00901034"/>
    <w:rsid w:val="009024D7"/>
    <w:rsid w:val="0090254C"/>
    <w:rsid w:val="00902D20"/>
    <w:rsid w:val="0090353E"/>
    <w:rsid w:val="0090392D"/>
    <w:rsid w:val="00904D25"/>
    <w:rsid w:val="00904E04"/>
    <w:rsid w:val="00905541"/>
    <w:rsid w:val="00906450"/>
    <w:rsid w:val="0090683B"/>
    <w:rsid w:val="00906E6B"/>
    <w:rsid w:val="00907B80"/>
    <w:rsid w:val="00910CA5"/>
    <w:rsid w:val="00911600"/>
    <w:rsid w:val="009118C9"/>
    <w:rsid w:val="00911DB3"/>
    <w:rsid w:val="00912427"/>
    <w:rsid w:val="00912854"/>
    <w:rsid w:val="009128E3"/>
    <w:rsid w:val="0091461A"/>
    <w:rsid w:val="00914E8B"/>
    <w:rsid w:val="009152C8"/>
    <w:rsid w:val="00915CAD"/>
    <w:rsid w:val="00915CE8"/>
    <w:rsid w:val="00916F91"/>
    <w:rsid w:val="009172B6"/>
    <w:rsid w:val="00917CA5"/>
    <w:rsid w:val="009207CD"/>
    <w:rsid w:val="00920A83"/>
    <w:rsid w:val="00921949"/>
    <w:rsid w:val="0092206D"/>
    <w:rsid w:val="00922889"/>
    <w:rsid w:val="0092319C"/>
    <w:rsid w:val="00923573"/>
    <w:rsid w:val="00923DBC"/>
    <w:rsid w:val="00924580"/>
    <w:rsid w:val="00924D5F"/>
    <w:rsid w:val="009254E1"/>
    <w:rsid w:val="00925B41"/>
    <w:rsid w:val="00925F6E"/>
    <w:rsid w:val="00926535"/>
    <w:rsid w:val="00926FCA"/>
    <w:rsid w:val="00927160"/>
    <w:rsid w:val="0092766E"/>
    <w:rsid w:val="00927A54"/>
    <w:rsid w:val="00930568"/>
    <w:rsid w:val="00931E5C"/>
    <w:rsid w:val="00932284"/>
    <w:rsid w:val="00932A83"/>
    <w:rsid w:val="009331AF"/>
    <w:rsid w:val="00933AF5"/>
    <w:rsid w:val="00933E4D"/>
    <w:rsid w:val="009340F4"/>
    <w:rsid w:val="00934291"/>
    <w:rsid w:val="009345DF"/>
    <w:rsid w:val="009354DB"/>
    <w:rsid w:val="00935AF5"/>
    <w:rsid w:val="00936833"/>
    <w:rsid w:val="00940C05"/>
    <w:rsid w:val="00942618"/>
    <w:rsid w:val="00943851"/>
    <w:rsid w:val="00943C7C"/>
    <w:rsid w:val="00944510"/>
    <w:rsid w:val="00944CB1"/>
    <w:rsid w:val="00944D93"/>
    <w:rsid w:val="00945B2A"/>
    <w:rsid w:val="00945B4F"/>
    <w:rsid w:val="009476F5"/>
    <w:rsid w:val="00947CCD"/>
    <w:rsid w:val="0095136E"/>
    <w:rsid w:val="00951737"/>
    <w:rsid w:val="009518B9"/>
    <w:rsid w:val="00953021"/>
    <w:rsid w:val="009534C0"/>
    <w:rsid w:val="009539D5"/>
    <w:rsid w:val="009540A6"/>
    <w:rsid w:val="009541BF"/>
    <w:rsid w:val="00954802"/>
    <w:rsid w:val="00954D23"/>
    <w:rsid w:val="00955131"/>
    <w:rsid w:val="0095513A"/>
    <w:rsid w:val="00956967"/>
    <w:rsid w:val="00956987"/>
    <w:rsid w:val="00956C0F"/>
    <w:rsid w:val="00956D25"/>
    <w:rsid w:val="00957A42"/>
    <w:rsid w:val="00957CE3"/>
    <w:rsid w:val="009615C0"/>
    <w:rsid w:val="00961EB4"/>
    <w:rsid w:val="009623DB"/>
    <w:rsid w:val="00963200"/>
    <w:rsid w:val="009634A8"/>
    <w:rsid w:val="00963865"/>
    <w:rsid w:val="009647DE"/>
    <w:rsid w:val="00964CFD"/>
    <w:rsid w:val="009650E8"/>
    <w:rsid w:val="00965BE5"/>
    <w:rsid w:val="00965D6D"/>
    <w:rsid w:val="0096721E"/>
    <w:rsid w:val="009678CB"/>
    <w:rsid w:val="00967A83"/>
    <w:rsid w:val="009700F7"/>
    <w:rsid w:val="00970D15"/>
    <w:rsid w:val="009717E4"/>
    <w:rsid w:val="00971861"/>
    <w:rsid w:val="00972C4F"/>
    <w:rsid w:val="00972D60"/>
    <w:rsid w:val="00972FF8"/>
    <w:rsid w:val="009739A5"/>
    <w:rsid w:val="00973B22"/>
    <w:rsid w:val="00974CB3"/>
    <w:rsid w:val="00974CC9"/>
    <w:rsid w:val="00975460"/>
    <w:rsid w:val="009765F9"/>
    <w:rsid w:val="009768B0"/>
    <w:rsid w:val="00980447"/>
    <w:rsid w:val="00980C1A"/>
    <w:rsid w:val="0098119B"/>
    <w:rsid w:val="00981DFA"/>
    <w:rsid w:val="009831ED"/>
    <w:rsid w:val="00983939"/>
    <w:rsid w:val="00983D97"/>
    <w:rsid w:val="0098535F"/>
    <w:rsid w:val="00985369"/>
    <w:rsid w:val="0098570A"/>
    <w:rsid w:val="00985785"/>
    <w:rsid w:val="0098653C"/>
    <w:rsid w:val="009865D9"/>
    <w:rsid w:val="00986B40"/>
    <w:rsid w:val="00986D20"/>
    <w:rsid w:val="00986D76"/>
    <w:rsid w:val="0099002E"/>
    <w:rsid w:val="0099074D"/>
    <w:rsid w:val="009917E4"/>
    <w:rsid w:val="0099233F"/>
    <w:rsid w:val="00992ADB"/>
    <w:rsid w:val="009937FC"/>
    <w:rsid w:val="00995784"/>
    <w:rsid w:val="00995E79"/>
    <w:rsid w:val="009961D0"/>
    <w:rsid w:val="0099634D"/>
    <w:rsid w:val="00997714"/>
    <w:rsid w:val="00997E1E"/>
    <w:rsid w:val="009A0F2E"/>
    <w:rsid w:val="009A1363"/>
    <w:rsid w:val="009A13FE"/>
    <w:rsid w:val="009A1BFF"/>
    <w:rsid w:val="009A1F70"/>
    <w:rsid w:val="009A23D1"/>
    <w:rsid w:val="009A2623"/>
    <w:rsid w:val="009A26B4"/>
    <w:rsid w:val="009A351E"/>
    <w:rsid w:val="009A36C9"/>
    <w:rsid w:val="009A3F4F"/>
    <w:rsid w:val="009A41E9"/>
    <w:rsid w:val="009A474F"/>
    <w:rsid w:val="009A58D9"/>
    <w:rsid w:val="009A5CF4"/>
    <w:rsid w:val="009A6F18"/>
    <w:rsid w:val="009A74C6"/>
    <w:rsid w:val="009B0A5F"/>
    <w:rsid w:val="009B0EBD"/>
    <w:rsid w:val="009B24A4"/>
    <w:rsid w:val="009B2621"/>
    <w:rsid w:val="009B34E3"/>
    <w:rsid w:val="009B38A3"/>
    <w:rsid w:val="009B5081"/>
    <w:rsid w:val="009B5185"/>
    <w:rsid w:val="009B5AA2"/>
    <w:rsid w:val="009B699D"/>
    <w:rsid w:val="009B6D2B"/>
    <w:rsid w:val="009B7701"/>
    <w:rsid w:val="009C0924"/>
    <w:rsid w:val="009C10EE"/>
    <w:rsid w:val="009C2A4C"/>
    <w:rsid w:val="009C2CB0"/>
    <w:rsid w:val="009C397E"/>
    <w:rsid w:val="009C3B75"/>
    <w:rsid w:val="009C3E28"/>
    <w:rsid w:val="009C4064"/>
    <w:rsid w:val="009C434F"/>
    <w:rsid w:val="009C43F3"/>
    <w:rsid w:val="009C4AC7"/>
    <w:rsid w:val="009C4CDC"/>
    <w:rsid w:val="009C4CE2"/>
    <w:rsid w:val="009C4FC4"/>
    <w:rsid w:val="009C5C24"/>
    <w:rsid w:val="009C7251"/>
    <w:rsid w:val="009C7B27"/>
    <w:rsid w:val="009D037F"/>
    <w:rsid w:val="009D076A"/>
    <w:rsid w:val="009D0B09"/>
    <w:rsid w:val="009D15E2"/>
    <w:rsid w:val="009D194F"/>
    <w:rsid w:val="009D1F58"/>
    <w:rsid w:val="009D2930"/>
    <w:rsid w:val="009D2AE5"/>
    <w:rsid w:val="009D2CF3"/>
    <w:rsid w:val="009D3705"/>
    <w:rsid w:val="009D37F9"/>
    <w:rsid w:val="009D3921"/>
    <w:rsid w:val="009D3CBC"/>
    <w:rsid w:val="009D47EF"/>
    <w:rsid w:val="009D4AD8"/>
    <w:rsid w:val="009D4B56"/>
    <w:rsid w:val="009D4C64"/>
    <w:rsid w:val="009D6C33"/>
    <w:rsid w:val="009D7273"/>
    <w:rsid w:val="009D7C39"/>
    <w:rsid w:val="009E0981"/>
    <w:rsid w:val="009E0D5C"/>
    <w:rsid w:val="009E114C"/>
    <w:rsid w:val="009E181C"/>
    <w:rsid w:val="009E230A"/>
    <w:rsid w:val="009E34EE"/>
    <w:rsid w:val="009E3AE6"/>
    <w:rsid w:val="009E3C16"/>
    <w:rsid w:val="009E4DD0"/>
    <w:rsid w:val="009E7AE3"/>
    <w:rsid w:val="009E7B97"/>
    <w:rsid w:val="009E7C57"/>
    <w:rsid w:val="009F00F6"/>
    <w:rsid w:val="009F09F3"/>
    <w:rsid w:val="009F130C"/>
    <w:rsid w:val="009F2214"/>
    <w:rsid w:val="009F22FC"/>
    <w:rsid w:val="009F2D54"/>
    <w:rsid w:val="009F2F92"/>
    <w:rsid w:val="009F3395"/>
    <w:rsid w:val="009F4163"/>
    <w:rsid w:val="009F50DD"/>
    <w:rsid w:val="009F5B7A"/>
    <w:rsid w:val="009F64C4"/>
    <w:rsid w:val="009F70B8"/>
    <w:rsid w:val="00A009B3"/>
    <w:rsid w:val="00A00C92"/>
    <w:rsid w:val="00A02691"/>
    <w:rsid w:val="00A03272"/>
    <w:rsid w:val="00A03790"/>
    <w:rsid w:val="00A049E5"/>
    <w:rsid w:val="00A056AF"/>
    <w:rsid w:val="00A05C30"/>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1065"/>
    <w:rsid w:val="00A2144C"/>
    <w:rsid w:val="00A218E5"/>
    <w:rsid w:val="00A2227D"/>
    <w:rsid w:val="00A22431"/>
    <w:rsid w:val="00A2266B"/>
    <w:rsid w:val="00A2279E"/>
    <w:rsid w:val="00A23769"/>
    <w:rsid w:val="00A24EAE"/>
    <w:rsid w:val="00A255A4"/>
    <w:rsid w:val="00A25699"/>
    <w:rsid w:val="00A25A39"/>
    <w:rsid w:val="00A26754"/>
    <w:rsid w:val="00A26989"/>
    <w:rsid w:val="00A27BCB"/>
    <w:rsid w:val="00A304D0"/>
    <w:rsid w:val="00A309F9"/>
    <w:rsid w:val="00A30ED2"/>
    <w:rsid w:val="00A343EB"/>
    <w:rsid w:val="00A345A7"/>
    <w:rsid w:val="00A3690C"/>
    <w:rsid w:val="00A36D11"/>
    <w:rsid w:val="00A370AE"/>
    <w:rsid w:val="00A371EB"/>
    <w:rsid w:val="00A379BD"/>
    <w:rsid w:val="00A37D42"/>
    <w:rsid w:val="00A41E6F"/>
    <w:rsid w:val="00A425C1"/>
    <w:rsid w:val="00A4289D"/>
    <w:rsid w:val="00A431C0"/>
    <w:rsid w:val="00A43902"/>
    <w:rsid w:val="00A4426D"/>
    <w:rsid w:val="00A442AC"/>
    <w:rsid w:val="00A44901"/>
    <w:rsid w:val="00A44B7E"/>
    <w:rsid w:val="00A44FDF"/>
    <w:rsid w:val="00A450A8"/>
    <w:rsid w:val="00A4568A"/>
    <w:rsid w:val="00A477C8"/>
    <w:rsid w:val="00A50BCE"/>
    <w:rsid w:val="00A51227"/>
    <w:rsid w:val="00A517BD"/>
    <w:rsid w:val="00A52410"/>
    <w:rsid w:val="00A5330A"/>
    <w:rsid w:val="00A533C0"/>
    <w:rsid w:val="00A53BE0"/>
    <w:rsid w:val="00A55075"/>
    <w:rsid w:val="00A55120"/>
    <w:rsid w:val="00A553A4"/>
    <w:rsid w:val="00A56520"/>
    <w:rsid w:val="00A6017F"/>
    <w:rsid w:val="00A60A88"/>
    <w:rsid w:val="00A60C9C"/>
    <w:rsid w:val="00A6117A"/>
    <w:rsid w:val="00A61C04"/>
    <w:rsid w:val="00A61DC9"/>
    <w:rsid w:val="00A6310C"/>
    <w:rsid w:val="00A63A13"/>
    <w:rsid w:val="00A6423D"/>
    <w:rsid w:val="00A643F8"/>
    <w:rsid w:val="00A64C9D"/>
    <w:rsid w:val="00A65A4A"/>
    <w:rsid w:val="00A65DD1"/>
    <w:rsid w:val="00A66754"/>
    <w:rsid w:val="00A6760C"/>
    <w:rsid w:val="00A67BC9"/>
    <w:rsid w:val="00A70557"/>
    <w:rsid w:val="00A70C31"/>
    <w:rsid w:val="00A712CE"/>
    <w:rsid w:val="00A71DB5"/>
    <w:rsid w:val="00A729A6"/>
    <w:rsid w:val="00A7346F"/>
    <w:rsid w:val="00A73ABA"/>
    <w:rsid w:val="00A74C39"/>
    <w:rsid w:val="00A75916"/>
    <w:rsid w:val="00A75C0F"/>
    <w:rsid w:val="00A760F3"/>
    <w:rsid w:val="00A776C2"/>
    <w:rsid w:val="00A776D1"/>
    <w:rsid w:val="00A77E09"/>
    <w:rsid w:val="00A77E3F"/>
    <w:rsid w:val="00A8106D"/>
    <w:rsid w:val="00A816AF"/>
    <w:rsid w:val="00A81720"/>
    <w:rsid w:val="00A818E4"/>
    <w:rsid w:val="00A82B19"/>
    <w:rsid w:val="00A83ED1"/>
    <w:rsid w:val="00A84DE6"/>
    <w:rsid w:val="00A8686B"/>
    <w:rsid w:val="00A86B63"/>
    <w:rsid w:val="00A87111"/>
    <w:rsid w:val="00A90D15"/>
    <w:rsid w:val="00A90F3D"/>
    <w:rsid w:val="00A92878"/>
    <w:rsid w:val="00A929A2"/>
    <w:rsid w:val="00A92FE9"/>
    <w:rsid w:val="00A9340A"/>
    <w:rsid w:val="00A934BA"/>
    <w:rsid w:val="00A93AAD"/>
    <w:rsid w:val="00A93DF7"/>
    <w:rsid w:val="00A94383"/>
    <w:rsid w:val="00A94545"/>
    <w:rsid w:val="00A95A20"/>
    <w:rsid w:val="00A96F32"/>
    <w:rsid w:val="00A970B2"/>
    <w:rsid w:val="00A9721B"/>
    <w:rsid w:val="00AA0050"/>
    <w:rsid w:val="00AA04B8"/>
    <w:rsid w:val="00AA0635"/>
    <w:rsid w:val="00AA1412"/>
    <w:rsid w:val="00AA162D"/>
    <w:rsid w:val="00AA1804"/>
    <w:rsid w:val="00AA187F"/>
    <w:rsid w:val="00AA21C4"/>
    <w:rsid w:val="00AA26CD"/>
    <w:rsid w:val="00AA2A40"/>
    <w:rsid w:val="00AA36ED"/>
    <w:rsid w:val="00AA3715"/>
    <w:rsid w:val="00AA37B5"/>
    <w:rsid w:val="00AA3CEC"/>
    <w:rsid w:val="00AA4860"/>
    <w:rsid w:val="00AA4899"/>
    <w:rsid w:val="00AA48B5"/>
    <w:rsid w:val="00AA4C07"/>
    <w:rsid w:val="00AA5046"/>
    <w:rsid w:val="00AA5262"/>
    <w:rsid w:val="00AA5AB7"/>
    <w:rsid w:val="00AA5BE3"/>
    <w:rsid w:val="00AA5BEE"/>
    <w:rsid w:val="00AA77EF"/>
    <w:rsid w:val="00AB019A"/>
    <w:rsid w:val="00AB11CB"/>
    <w:rsid w:val="00AB19E1"/>
    <w:rsid w:val="00AB22B2"/>
    <w:rsid w:val="00AB2877"/>
    <w:rsid w:val="00AB2F06"/>
    <w:rsid w:val="00AB315D"/>
    <w:rsid w:val="00AB3E95"/>
    <w:rsid w:val="00AB7491"/>
    <w:rsid w:val="00AB7519"/>
    <w:rsid w:val="00AB7A7D"/>
    <w:rsid w:val="00AC032B"/>
    <w:rsid w:val="00AC0487"/>
    <w:rsid w:val="00AC0561"/>
    <w:rsid w:val="00AC1320"/>
    <w:rsid w:val="00AC1E7A"/>
    <w:rsid w:val="00AC2E6C"/>
    <w:rsid w:val="00AC4379"/>
    <w:rsid w:val="00AC4892"/>
    <w:rsid w:val="00AC52EE"/>
    <w:rsid w:val="00AC5372"/>
    <w:rsid w:val="00AC656E"/>
    <w:rsid w:val="00AC6B32"/>
    <w:rsid w:val="00AC6CEC"/>
    <w:rsid w:val="00AC6E07"/>
    <w:rsid w:val="00AC6EAD"/>
    <w:rsid w:val="00AC7C73"/>
    <w:rsid w:val="00AD099A"/>
    <w:rsid w:val="00AD18C9"/>
    <w:rsid w:val="00AD1F52"/>
    <w:rsid w:val="00AD2106"/>
    <w:rsid w:val="00AD26BD"/>
    <w:rsid w:val="00AD285B"/>
    <w:rsid w:val="00AD3A05"/>
    <w:rsid w:val="00AD3AEF"/>
    <w:rsid w:val="00AD4AC1"/>
    <w:rsid w:val="00AD554D"/>
    <w:rsid w:val="00AD6676"/>
    <w:rsid w:val="00AD67B3"/>
    <w:rsid w:val="00AD68C8"/>
    <w:rsid w:val="00AD6C4D"/>
    <w:rsid w:val="00AD70D1"/>
    <w:rsid w:val="00AD785D"/>
    <w:rsid w:val="00AE0021"/>
    <w:rsid w:val="00AE0AF7"/>
    <w:rsid w:val="00AE0E2E"/>
    <w:rsid w:val="00AE1841"/>
    <w:rsid w:val="00AE2231"/>
    <w:rsid w:val="00AE2348"/>
    <w:rsid w:val="00AE24DA"/>
    <w:rsid w:val="00AE25A2"/>
    <w:rsid w:val="00AE283B"/>
    <w:rsid w:val="00AE4C8C"/>
    <w:rsid w:val="00AE519C"/>
    <w:rsid w:val="00AE5231"/>
    <w:rsid w:val="00AE549F"/>
    <w:rsid w:val="00AE588D"/>
    <w:rsid w:val="00AE5D50"/>
    <w:rsid w:val="00AE624F"/>
    <w:rsid w:val="00AE63E4"/>
    <w:rsid w:val="00AE73B3"/>
    <w:rsid w:val="00AE7A44"/>
    <w:rsid w:val="00AE7B48"/>
    <w:rsid w:val="00AF007F"/>
    <w:rsid w:val="00AF0173"/>
    <w:rsid w:val="00AF1536"/>
    <w:rsid w:val="00AF15D7"/>
    <w:rsid w:val="00AF1A4C"/>
    <w:rsid w:val="00AF2B90"/>
    <w:rsid w:val="00AF343C"/>
    <w:rsid w:val="00AF3AB9"/>
    <w:rsid w:val="00AF3FA5"/>
    <w:rsid w:val="00AF4827"/>
    <w:rsid w:val="00AF4BC0"/>
    <w:rsid w:val="00AF4CF2"/>
    <w:rsid w:val="00AF4F99"/>
    <w:rsid w:val="00AF501B"/>
    <w:rsid w:val="00AF5898"/>
    <w:rsid w:val="00AF62F4"/>
    <w:rsid w:val="00AF6473"/>
    <w:rsid w:val="00AF7CBB"/>
    <w:rsid w:val="00AF7F4D"/>
    <w:rsid w:val="00B00065"/>
    <w:rsid w:val="00B00E7F"/>
    <w:rsid w:val="00B01DF9"/>
    <w:rsid w:val="00B01EDB"/>
    <w:rsid w:val="00B028FA"/>
    <w:rsid w:val="00B03566"/>
    <w:rsid w:val="00B036E0"/>
    <w:rsid w:val="00B03C25"/>
    <w:rsid w:val="00B04490"/>
    <w:rsid w:val="00B0491A"/>
    <w:rsid w:val="00B04D39"/>
    <w:rsid w:val="00B04FAE"/>
    <w:rsid w:val="00B0534B"/>
    <w:rsid w:val="00B0584C"/>
    <w:rsid w:val="00B05ECB"/>
    <w:rsid w:val="00B067AF"/>
    <w:rsid w:val="00B06B93"/>
    <w:rsid w:val="00B073DA"/>
    <w:rsid w:val="00B10129"/>
    <w:rsid w:val="00B101B1"/>
    <w:rsid w:val="00B1026B"/>
    <w:rsid w:val="00B10713"/>
    <w:rsid w:val="00B10F2A"/>
    <w:rsid w:val="00B11B90"/>
    <w:rsid w:val="00B11D89"/>
    <w:rsid w:val="00B121C0"/>
    <w:rsid w:val="00B12FBB"/>
    <w:rsid w:val="00B14147"/>
    <w:rsid w:val="00B145C4"/>
    <w:rsid w:val="00B14699"/>
    <w:rsid w:val="00B14DB1"/>
    <w:rsid w:val="00B156B7"/>
    <w:rsid w:val="00B1585A"/>
    <w:rsid w:val="00B15A0B"/>
    <w:rsid w:val="00B15F1B"/>
    <w:rsid w:val="00B16181"/>
    <w:rsid w:val="00B16537"/>
    <w:rsid w:val="00B16D68"/>
    <w:rsid w:val="00B16D73"/>
    <w:rsid w:val="00B17BE7"/>
    <w:rsid w:val="00B17D56"/>
    <w:rsid w:val="00B204F6"/>
    <w:rsid w:val="00B21F71"/>
    <w:rsid w:val="00B22D1D"/>
    <w:rsid w:val="00B22D45"/>
    <w:rsid w:val="00B238C9"/>
    <w:rsid w:val="00B23917"/>
    <w:rsid w:val="00B2415B"/>
    <w:rsid w:val="00B248C2"/>
    <w:rsid w:val="00B27178"/>
    <w:rsid w:val="00B2717C"/>
    <w:rsid w:val="00B3092D"/>
    <w:rsid w:val="00B30A4B"/>
    <w:rsid w:val="00B30B15"/>
    <w:rsid w:val="00B31853"/>
    <w:rsid w:val="00B3191E"/>
    <w:rsid w:val="00B31E1E"/>
    <w:rsid w:val="00B32204"/>
    <w:rsid w:val="00B3236F"/>
    <w:rsid w:val="00B32CE7"/>
    <w:rsid w:val="00B333E1"/>
    <w:rsid w:val="00B33DB2"/>
    <w:rsid w:val="00B33F8E"/>
    <w:rsid w:val="00B3407F"/>
    <w:rsid w:val="00B345D2"/>
    <w:rsid w:val="00B35148"/>
    <w:rsid w:val="00B35C3C"/>
    <w:rsid w:val="00B36740"/>
    <w:rsid w:val="00B3716B"/>
    <w:rsid w:val="00B3768B"/>
    <w:rsid w:val="00B37DE4"/>
    <w:rsid w:val="00B40845"/>
    <w:rsid w:val="00B40FE7"/>
    <w:rsid w:val="00B41906"/>
    <w:rsid w:val="00B42D55"/>
    <w:rsid w:val="00B460AB"/>
    <w:rsid w:val="00B473B8"/>
    <w:rsid w:val="00B506E4"/>
    <w:rsid w:val="00B5187F"/>
    <w:rsid w:val="00B52F0B"/>
    <w:rsid w:val="00B53D03"/>
    <w:rsid w:val="00B55722"/>
    <w:rsid w:val="00B557E1"/>
    <w:rsid w:val="00B558D1"/>
    <w:rsid w:val="00B56207"/>
    <w:rsid w:val="00B56D7A"/>
    <w:rsid w:val="00B61369"/>
    <w:rsid w:val="00B63DBC"/>
    <w:rsid w:val="00B64716"/>
    <w:rsid w:val="00B649ED"/>
    <w:rsid w:val="00B64E56"/>
    <w:rsid w:val="00B64FA6"/>
    <w:rsid w:val="00B66AFF"/>
    <w:rsid w:val="00B66C2B"/>
    <w:rsid w:val="00B712BB"/>
    <w:rsid w:val="00B7175B"/>
    <w:rsid w:val="00B718C5"/>
    <w:rsid w:val="00B730D5"/>
    <w:rsid w:val="00B73405"/>
    <w:rsid w:val="00B73D09"/>
    <w:rsid w:val="00B73EE4"/>
    <w:rsid w:val="00B740D7"/>
    <w:rsid w:val="00B7416C"/>
    <w:rsid w:val="00B74604"/>
    <w:rsid w:val="00B74BA0"/>
    <w:rsid w:val="00B75904"/>
    <w:rsid w:val="00B75AD1"/>
    <w:rsid w:val="00B760E3"/>
    <w:rsid w:val="00B80280"/>
    <w:rsid w:val="00B80847"/>
    <w:rsid w:val="00B80B44"/>
    <w:rsid w:val="00B81F41"/>
    <w:rsid w:val="00B82263"/>
    <w:rsid w:val="00B829A2"/>
    <w:rsid w:val="00B82BD0"/>
    <w:rsid w:val="00B82C93"/>
    <w:rsid w:val="00B82F8E"/>
    <w:rsid w:val="00B84396"/>
    <w:rsid w:val="00B845A2"/>
    <w:rsid w:val="00B84611"/>
    <w:rsid w:val="00B84806"/>
    <w:rsid w:val="00B84E0E"/>
    <w:rsid w:val="00B84FB9"/>
    <w:rsid w:val="00B85493"/>
    <w:rsid w:val="00B85D6B"/>
    <w:rsid w:val="00B8726C"/>
    <w:rsid w:val="00B87793"/>
    <w:rsid w:val="00B879AD"/>
    <w:rsid w:val="00B90A19"/>
    <w:rsid w:val="00B90FBC"/>
    <w:rsid w:val="00B915B7"/>
    <w:rsid w:val="00B91C34"/>
    <w:rsid w:val="00B9224A"/>
    <w:rsid w:val="00B9228D"/>
    <w:rsid w:val="00B9249D"/>
    <w:rsid w:val="00B928A6"/>
    <w:rsid w:val="00B92B28"/>
    <w:rsid w:val="00B94C5B"/>
    <w:rsid w:val="00B94C69"/>
    <w:rsid w:val="00B9516C"/>
    <w:rsid w:val="00B96229"/>
    <w:rsid w:val="00B96240"/>
    <w:rsid w:val="00B964E7"/>
    <w:rsid w:val="00B9798A"/>
    <w:rsid w:val="00B97E0C"/>
    <w:rsid w:val="00BA00FE"/>
    <w:rsid w:val="00BA03D4"/>
    <w:rsid w:val="00BA1766"/>
    <w:rsid w:val="00BA29C7"/>
    <w:rsid w:val="00BA2CE6"/>
    <w:rsid w:val="00BA2FCE"/>
    <w:rsid w:val="00BA341A"/>
    <w:rsid w:val="00BA3BF9"/>
    <w:rsid w:val="00BA3F9C"/>
    <w:rsid w:val="00BA5C2F"/>
    <w:rsid w:val="00BA6488"/>
    <w:rsid w:val="00BA6CA3"/>
    <w:rsid w:val="00BA7397"/>
    <w:rsid w:val="00BA74AB"/>
    <w:rsid w:val="00BA789B"/>
    <w:rsid w:val="00BA7F0D"/>
    <w:rsid w:val="00BB0786"/>
    <w:rsid w:val="00BB1C58"/>
    <w:rsid w:val="00BB2296"/>
    <w:rsid w:val="00BB43C3"/>
    <w:rsid w:val="00BB4412"/>
    <w:rsid w:val="00BB5B76"/>
    <w:rsid w:val="00BB639A"/>
    <w:rsid w:val="00BB65C9"/>
    <w:rsid w:val="00BB6CDC"/>
    <w:rsid w:val="00BB6F16"/>
    <w:rsid w:val="00BB7408"/>
    <w:rsid w:val="00BB76E2"/>
    <w:rsid w:val="00BC03DE"/>
    <w:rsid w:val="00BC0E24"/>
    <w:rsid w:val="00BC124D"/>
    <w:rsid w:val="00BC1495"/>
    <w:rsid w:val="00BC2790"/>
    <w:rsid w:val="00BC348C"/>
    <w:rsid w:val="00BC3892"/>
    <w:rsid w:val="00BC43B5"/>
    <w:rsid w:val="00BC475A"/>
    <w:rsid w:val="00BC4BD9"/>
    <w:rsid w:val="00BC4E9C"/>
    <w:rsid w:val="00BC4FDC"/>
    <w:rsid w:val="00BC58C9"/>
    <w:rsid w:val="00BC5BCB"/>
    <w:rsid w:val="00BC5F7D"/>
    <w:rsid w:val="00BC6062"/>
    <w:rsid w:val="00BC65EF"/>
    <w:rsid w:val="00BC67CE"/>
    <w:rsid w:val="00BC699E"/>
    <w:rsid w:val="00BC69CF"/>
    <w:rsid w:val="00BC7D20"/>
    <w:rsid w:val="00BD0221"/>
    <w:rsid w:val="00BD089C"/>
    <w:rsid w:val="00BD0B37"/>
    <w:rsid w:val="00BD0CE9"/>
    <w:rsid w:val="00BD0E48"/>
    <w:rsid w:val="00BD12C0"/>
    <w:rsid w:val="00BD1CD8"/>
    <w:rsid w:val="00BD2F8E"/>
    <w:rsid w:val="00BD30D5"/>
    <w:rsid w:val="00BD3281"/>
    <w:rsid w:val="00BD538C"/>
    <w:rsid w:val="00BD59D4"/>
    <w:rsid w:val="00BD60D9"/>
    <w:rsid w:val="00BD6CF4"/>
    <w:rsid w:val="00BD76C5"/>
    <w:rsid w:val="00BD79ED"/>
    <w:rsid w:val="00BD7E91"/>
    <w:rsid w:val="00BE04D0"/>
    <w:rsid w:val="00BE0664"/>
    <w:rsid w:val="00BE0DE5"/>
    <w:rsid w:val="00BE0F85"/>
    <w:rsid w:val="00BE0FAE"/>
    <w:rsid w:val="00BE1904"/>
    <w:rsid w:val="00BE1D2C"/>
    <w:rsid w:val="00BE1F84"/>
    <w:rsid w:val="00BE270B"/>
    <w:rsid w:val="00BE4419"/>
    <w:rsid w:val="00BE5B39"/>
    <w:rsid w:val="00BE6456"/>
    <w:rsid w:val="00BE6784"/>
    <w:rsid w:val="00BE73DB"/>
    <w:rsid w:val="00BE7CF6"/>
    <w:rsid w:val="00BF1EE3"/>
    <w:rsid w:val="00BF26D7"/>
    <w:rsid w:val="00BF2C34"/>
    <w:rsid w:val="00BF2E40"/>
    <w:rsid w:val="00BF31DB"/>
    <w:rsid w:val="00BF3228"/>
    <w:rsid w:val="00BF3260"/>
    <w:rsid w:val="00BF343E"/>
    <w:rsid w:val="00BF3B1C"/>
    <w:rsid w:val="00BF4BDF"/>
    <w:rsid w:val="00BF4F49"/>
    <w:rsid w:val="00C00816"/>
    <w:rsid w:val="00C00AE3"/>
    <w:rsid w:val="00C014BE"/>
    <w:rsid w:val="00C01702"/>
    <w:rsid w:val="00C0190A"/>
    <w:rsid w:val="00C01ABD"/>
    <w:rsid w:val="00C021A4"/>
    <w:rsid w:val="00C0335F"/>
    <w:rsid w:val="00C03999"/>
    <w:rsid w:val="00C03C74"/>
    <w:rsid w:val="00C04E1F"/>
    <w:rsid w:val="00C05505"/>
    <w:rsid w:val="00C05E35"/>
    <w:rsid w:val="00C06187"/>
    <w:rsid w:val="00C06A89"/>
    <w:rsid w:val="00C06CFB"/>
    <w:rsid w:val="00C112EE"/>
    <w:rsid w:val="00C11313"/>
    <w:rsid w:val="00C11FA6"/>
    <w:rsid w:val="00C121EC"/>
    <w:rsid w:val="00C126AC"/>
    <w:rsid w:val="00C129A2"/>
    <w:rsid w:val="00C13966"/>
    <w:rsid w:val="00C14070"/>
    <w:rsid w:val="00C147DD"/>
    <w:rsid w:val="00C149B9"/>
    <w:rsid w:val="00C1548D"/>
    <w:rsid w:val="00C167EF"/>
    <w:rsid w:val="00C16869"/>
    <w:rsid w:val="00C16A2C"/>
    <w:rsid w:val="00C16F23"/>
    <w:rsid w:val="00C1718E"/>
    <w:rsid w:val="00C17337"/>
    <w:rsid w:val="00C20EBB"/>
    <w:rsid w:val="00C21065"/>
    <w:rsid w:val="00C21185"/>
    <w:rsid w:val="00C2206E"/>
    <w:rsid w:val="00C22477"/>
    <w:rsid w:val="00C22C1A"/>
    <w:rsid w:val="00C22C27"/>
    <w:rsid w:val="00C23077"/>
    <w:rsid w:val="00C24157"/>
    <w:rsid w:val="00C241C7"/>
    <w:rsid w:val="00C2526D"/>
    <w:rsid w:val="00C25332"/>
    <w:rsid w:val="00C2543D"/>
    <w:rsid w:val="00C26316"/>
    <w:rsid w:val="00C27DC1"/>
    <w:rsid w:val="00C3250C"/>
    <w:rsid w:val="00C32834"/>
    <w:rsid w:val="00C328BC"/>
    <w:rsid w:val="00C32BB7"/>
    <w:rsid w:val="00C33006"/>
    <w:rsid w:val="00C33DCC"/>
    <w:rsid w:val="00C34195"/>
    <w:rsid w:val="00C3487F"/>
    <w:rsid w:val="00C34A96"/>
    <w:rsid w:val="00C34FAA"/>
    <w:rsid w:val="00C35655"/>
    <w:rsid w:val="00C357DB"/>
    <w:rsid w:val="00C3649E"/>
    <w:rsid w:val="00C369BD"/>
    <w:rsid w:val="00C37A26"/>
    <w:rsid w:val="00C40BF2"/>
    <w:rsid w:val="00C41C76"/>
    <w:rsid w:val="00C41D75"/>
    <w:rsid w:val="00C42213"/>
    <w:rsid w:val="00C4221D"/>
    <w:rsid w:val="00C426EF"/>
    <w:rsid w:val="00C427EA"/>
    <w:rsid w:val="00C4297A"/>
    <w:rsid w:val="00C42DB6"/>
    <w:rsid w:val="00C432D2"/>
    <w:rsid w:val="00C43980"/>
    <w:rsid w:val="00C43A62"/>
    <w:rsid w:val="00C44A54"/>
    <w:rsid w:val="00C44B2A"/>
    <w:rsid w:val="00C4526C"/>
    <w:rsid w:val="00C45869"/>
    <w:rsid w:val="00C4647C"/>
    <w:rsid w:val="00C46FB0"/>
    <w:rsid w:val="00C47DE7"/>
    <w:rsid w:val="00C5095B"/>
    <w:rsid w:val="00C50AF2"/>
    <w:rsid w:val="00C51006"/>
    <w:rsid w:val="00C51D76"/>
    <w:rsid w:val="00C520E6"/>
    <w:rsid w:val="00C521ED"/>
    <w:rsid w:val="00C522F3"/>
    <w:rsid w:val="00C528F2"/>
    <w:rsid w:val="00C52D7A"/>
    <w:rsid w:val="00C536ED"/>
    <w:rsid w:val="00C538D4"/>
    <w:rsid w:val="00C539DD"/>
    <w:rsid w:val="00C541F9"/>
    <w:rsid w:val="00C543EE"/>
    <w:rsid w:val="00C543F3"/>
    <w:rsid w:val="00C549A7"/>
    <w:rsid w:val="00C55784"/>
    <w:rsid w:val="00C55D19"/>
    <w:rsid w:val="00C55E13"/>
    <w:rsid w:val="00C56429"/>
    <w:rsid w:val="00C5693C"/>
    <w:rsid w:val="00C571DC"/>
    <w:rsid w:val="00C5783C"/>
    <w:rsid w:val="00C57CBA"/>
    <w:rsid w:val="00C6078B"/>
    <w:rsid w:val="00C60855"/>
    <w:rsid w:val="00C60D06"/>
    <w:rsid w:val="00C626BA"/>
    <w:rsid w:val="00C6428B"/>
    <w:rsid w:val="00C647A6"/>
    <w:rsid w:val="00C64C37"/>
    <w:rsid w:val="00C655BE"/>
    <w:rsid w:val="00C666CD"/>
    <w:rsid w:val="00C679A1"/>
    <w:rsid w:val="00C701B9"/>
    <w:rsid w:val="00C7080B"/>
    <w:rsid w:val="00C70F8D"/>
    <w:rsid w:val="00C716CE"/>
    <w:rsid w:val="00C72031"/>
    <w:rsid w:val="00C725A3"/>
    <w:rsid w:val="00C725BC"/>
    <w:rsid w:val="00C7270D"/>
    <w:rsid w:val="00C72963"/>
    <w:rsid w:val="00C72C20"/>
    <w:rsid w:val="00C730F9"/>
    <w:rsid w:val="00C74557"/>
    <w:rsid w:val="00C75B0A"/>
    <w:rsid w:val="00C76E1F"/>
    <w:rsid w:val="00C8000E"/>
    <w:rsid w:val="00C8093C"/>
    <w:rsid w:val="00C8118D"/>
    <w:rsid w:val="00C82108"/>
    <w:rsid w:val="00C8256D"/>
    <w:rsid w:val="00C8281E"/>
    <w:rsid w:val="00C8287D"/>
    <w:rsid w:val="00C82C1B"/>
    <w:rsid w:val="00C8314F"/>
    <w:rsid w:val="00C8376F"/>
    <w:rsid w:val="00C83C87"/>
    <w:rsid w:val="00C8449B"/>
    <w:rsid w:val="00C855D7"/>
    <w:rsid w:val="00C8642F"/>
    <w:rsid w:val="00C86596"/>
    <w:rsid w:val="00C868F1"/>
    <w:rsid w:val="00C876AC"/>
    <w:rsid w:val="00C876E4"/>
    <w:rsid w:val="00C87CDF"/>
    <w:rsid w:val="00C90B07"/>
    <w:rsid w:val="00C9124D"/>
    <w:rsid w:val="00C917B3"/>
    <w:rsid w:val="00C922F1"/>
    <w:rsid w:val="00C92A40"/>
    <w:rsid w:val="00C92A53"/>
    <w:rsid w:val="00C92B48"/>
    <w:rsid w:val="00C93242"/>
    <w:rsid w:val="00C93D8E"/>
    <w:rsid w:val="00C9491E"/>
    <w:rsid w:val="00C94E43"/>
    <w:rsid w:val="00C960EB"/>
    <w:rsid w:val="00C964D5"/>
    <w:rsid w:val="00C9714A"/>
    <w:rsid w:val="00CA07B5"/>
    <w:rsid w:val="00CA0A8B"/>
    <w:rsid w:val="00CA2D27"/>
    <w:rsid w:val="00CA42C9"/>
    <w:rsid w:val="00CA4458"/>
    <w:rsid w:val="00CA4800"/>
    <w:rsid w:val="00CA51B9"/>
    <w:rsid w:val="00CA5B85"/>
    <w:rsid w:val="00CB0BC4"/>
    <w:rsid w:val="00CB1E9C"/>
    <w:rsid w:val="00CB22F9"/>
    <w:rsid w:val="00CB3118"/>
    <w:rsid w:val="00CB3617"/>
    <w:rsid w:val="00CB3A12"/>
    <w:rsid w:val="00CB3E20"/>
    <w:rsid w:val="00CB41A7"/>
    <w:rsid w:val="00CB495D"/>
    <w:rsid w:val="00CB4FE1"/>
    <w:rsid w:val="00CB5035"/>
    <w:rsid w:val="00CB512B"/>
    <w:rsid w:val="00CB52B2"/>
    <w:rsid w:val="00CB68D8"/>
    <w:rsid w:val="00CB7B20"/>
    <w:rsid w:val="00CB7DD3"/>
    <w:rsid w:val="00CC00C2"/>
    <w:rsid w:val="00CC052E"/>
    <w:rsid w:val="00CC0967"/>
    <w:rsid w:val="00CC0ACB"/>
    <w:rsid w:val="00CC0CDD"/>
    <w:rsid w:val="00CC19BE"/>
    <w:rsid w:val="00CC1FF4"/>
    <w:rsid w:val="00CC2777"/>
    <w:rsid w:val="00CC30B6"/>
    <w:rsid w:val="00CC39A2"/>
    <w:rsid w:val="00CC3A01"/>
    <w:rsid w:val="00CC552B"/>
    <w:rsid w:val="00CC57A3"/>
    <w:rsid w:val="00CC5CF6"/>
    <w:rsid w:val="00CC642C"/>
    <w:rsid w:val="00CC7063"/>
    <w:rsid w:val="00CC71B4"/>
    <w:rsid w:val="00CD00EF"/>
    <w:rsid w:val="00CD1331"/>
    <w:rsid w:val="00CD16A3"/>
    <w:rsid w:val="00CD22F2"/>
    <w:rsid w:val="00CD2B0C"/>
    <w:rsid w:val="00CD2D67"/>
    <w:rsid w:val="00CD2D7F"/>
    <w:rsid w:val="00CD31D8"/>
    <w:rsid w:val="00CD3DBB"/>
    <w:rsid w:val="00CD455C"/>
    <w:rsid w:val="00CD4E3E"/>
    <w:rsid w:val="00CD6005"/>
    <w:rsid w:val="00CD603B"/>
    <w:rsid w:val="00CD6131"/>
    <w:rsid w:val="00CD65CC"/>
    <w:rsid w:val="00CD686F"/>
    <w:rsid w:val="00CD6B27"/>
    <w:rsid w:val="00CD6B44"/>
    <w:rsid w:val="00CD6C7A"/>
    <w:rsid w:val="00CD728A"/>
    <w:rsid w:val="00CD7323"/>
    <w:rsid w:val="00CD75FB"/>
    <w:rsid w:val="00CE02DE"/>
    <w:rsid w:val="00CE1295"/>
    <w:rsid w:val="00CE1A55"/>
    <w:rsid w:val="00CE1F85"/>
    <w:rsid w:val="00CE2410"/>
    <w:rsid w:val="00CE2C02"/>
    <w:rsid w:val="00CE33C6"/>
    <w:rsid w:val="00CE3862"/>
    <w:rsid w:val="00CE393F"/>
    <w:rsid w:val="00CE41E1"/>
    <w:rsid w:val="00CE476D"/>
    <w:rsid w:val="00CE4D4C"/>
    <w:rsid w:val="00CE5294"/>
    <w:rsid w:val="00CE5598"/>
    <w:rsid w:val="00CE6071"/>
    <w:rsid w:val="00CE7C45"/>
    <w:rsid w:val="00CE7D13"/>
    <w:rsid w:val="00CF0D9C"/>
    <w:rsid w:val="00CF2621"/>
    <w:rsid w:val="00CF2ED6"/>
    <w:rsid w:val="00CF3926"/>
    <w:rsid w:val="00CF4BBD"/>
    <w:rsid w:val="00CF5170"/>
    <w:rsid w:val="00CF555E"/>
    <w:rsid w:val="00CF5A08"/>
    <w:rsid w:val="00CF65DE"/>
    <w:rsid w:val="00CF7883"/>
    <w:rsid w:val="00CF7E55"/>
    <w:rsid w:val="00D0139A"/>
    <w:rsid w:val="00D013BA"/>
    <w:rsid w:val="00D02201"/>
    <w:rsid w:val="00D02345"/>
    <w:rsid w:val="00D02643"/>
    <w:rsid w:val="00D02B1B"/>
    <w:rsid w:val="00D02D7F"/>
    <w:rsid w:val="00D03CB6"/>
    <w:rsid w:val="00D049CC"/>
    <w:rsid w:val="00D05B8C"/>
    <w:rsid w:val="00D06EA9"/>
    <w:rsid w:val="00D071F2"/>
    <w:rsid w:val="00D073F9"/>
    <w:rsid w:val="00D07A60"/>
    <w:rsid w:val="00D10337"/>
    <w:rsid w:val="00D10EC5"/>
    <w:rsid w:val="00D11707"/>
    <w:rsid w:val="00D11E7E"/>
    <w:rsid w:val="00D1221F"/>
    <w:rsid w:val="00D1259B"/>
    <w:rsid w:val="00D126B1"/>
    <w:rsid w:val="00D12741"/>
    <w:rsid w:val="00D13F0D"/>
    <w:rsid w:val="00D160D4"/>
    <w:rsid w:val="00D1657E"/>
    <w:rsid w:val="00D17145"/>
    <w:rsid w:val="00D207F5"/>
    <w:rsid w:val="00D20DE3"/>
    <w:rsid w:val="00D20F22"/>
    <w:rsid w:val="00D21526"/>
    <w:rsid w:val="00D2187E"/>
    <w:rsid w:val="00D21B23"/>
    <w:rsid w:val="00D21F51"/>
    <w:rsid w:val="00D226A5"/>
    <w:rsid w:val="00D22BCC"/>
    <w:rsid w:val="00D22C24"/>
    <w:rsid w:val="00D22F7D"/>
    <w:rsid w:val="00D24678"/>
    <w:rsid w:val="00D2487C"/>
    <w:rsid w:val="00D258A4"/>
    <w:rsid w:val="00D25CCD"/>
    <w:rsid w:val="00D26BE3"/>
    <w:rsid w:val="00D26FC1"/>
    <w:rsid w:val="00D27A2D"/>
    <w:rsid w:val="00D301CF"/>
    <w:rsid w:val="00D30DEF"/>
    <w:rsid w:val="00D31495"/>
    <w:rsid w:val="00D31956"/>
    <w:rsid w:val="00D32B06"/>
    <w:rsid w:val="00D32D41"/>
    <w:rsid w:val="00D330A5"/>
    <w:rsid w:val="00D333CB"/>
    <w:rsid w:val="00D335DA"/>
    <w:rsid w:val="00D33677"/>
    <w:rsid w:val="00D336DB"/>
    <w:rsid w:val="00D33996"/>
    <w:rsid w:val="00D34711"/>
    <w:rsid w:val="00D34779"/>
    <w:rsid w:val="00D35050"/>
    <w:rsid w:val="00D352DB"/>
    <w:rsid w:val="00D3534A"/>
    <w:rsid w:val="00D35B32"/>
    <w:rsid w:val="00D35F76"/>
    <w:rsid w:val="00D36C82"/>
    <w:rsid w:val="00D372E1"/>
    <w:rsid w:val="00D40100"/>
    <w:rsid w:val="00D40788"/>
    <w:rsid w:val="00D40980"/>
    <w:rsid w:val="00D40C39"/>
    <w:rsid w:val="00D41F92"/>
    <w:rsid w:val="00D4246B"/>
    <w:rsid w:val="00D429F0"/>
    <w:rsid w:val="00D42C8C"/>
    <w:rsid w:val="00D448C6"/>
    <w:rsid w:val="00D45057"/>
    <w:rsid w:val="00D45EFC"/>
    <w:rsid w:val="00D4654F"/>
    <w:rsid w:val="00D467F0"/>
    <w:rsid w:val="00D506E4"/>
    <w:rsid w:val="00D50EBF"/>
    <w:rsid w:val="00D51B97"/>
    <w:rsid w:val="00D52DA8"/>
    <w:rsid w:val="00D5309F"/>
    <w:rsid w:val="00D535F2"/>
    <w:rsid w:val="00D53B97"/>
    <w:rsid w:val="00D54578"/>
    <w:rsid w:val="00D54942"/>
    <w:rsid w:val="00D54F7E"/>
    <w:rsid w:val="00D56336"/>
    <w:rsid w:val="00D56FAE"/>
    <w:rsid w:val="00D5718E"/>
    <w:rsid w:val="00D5771F"/>
    <w:rsid w:val="00D5792B"/>
    <w:rsid w:val="00D60F10"/>
    <w:rsid w:val="00D614DF"/>
    <w:rsid w:val="00D61FAB"/>
    <w:rsid w:val="00D62BF4"/>
    <w:rsid w:val="00D634FD"/>
    <w:rsid w:val="00D6376D"/>
    <w:rsid w:val="00D64314"/>
    <w:rsid w:val="00D646D8"/>
    <w:rsid w:val="00D648D8"/>
    <w:rsid w:val="00D659FA"/>
    <w:rsid w:val="00D65D3B"/>
    <w:rsid w:val="00D6617F"/>
    <w:rsid w:val="00D66372"/>
    <w:rsid w:val="00D667DA"/>
    <w:rsid w:val="00D67994"/>
    <w:rsid w:val="00D67E0C"/>
    <w:rsid w:val="00D70019"/>
    <w:rsid w:val="00D704B0"/>
    <w:rsid w:val="00D7078A"/>
    <w:rsid w:val="00D70E3A"/>
    <w:rsid w:val="00D7100F"/>
    <w:rsid w:val="00D7161A"/>
    <w:rsid w:val="00D71BBA"/>
    <w:rsid w:val="00D73215"/>
    <w:rsid w:val="00D744BC"/>
    <w:rsid w:val="00D7452B"/>
    <w:rsid w:val="00D76B29"/>
    <w:rsid w:val="00D76D98"/>
    <w:rsid w:val="00D77153"/>
    <w:rsid w:val="00D77AFA"/>
    <w:rsid w:val="00D802D7"/>
    <w:rsid w:val="00D8046D"/>
    <w:rsid w:val="00D81ADE"/>
    <w:rsid w:val="00D81D7C"/>
    <w:rsid w:val="00D8208E"/>
    <w:rsid w:val="00D82DEC"/>
    <w:rsid w:val="00D833F4"/>
    <w:rsid w:val="00D83CCD"/>
    <w:rsid w:val="00D83E8F"/>
    <w:rsid w:val="00D83FF1"/>
    <w:rsid w:val="00D85EF8"/>
    <w:rsid w:val="00D87136"/>
    <w:rsid w:val="00D907F5"/>
    <w:rsid w:val="00D90A1A"/>
    <w:rsid w:val="00D917FD"/>
    <w:rsid w:val="00D9264F"/>
    <w:rsid w:val="00D92C46"/>
    <w:rsid w:val="00D92F8A"/>
    <w:rsid w:val="00D93379"/>
    <w:rsid w:val="00D935BC"/>
    <w:rsid w:val="00D951A2"/>
    <w:rsid w:val="00D951BB"/>
    <w:rsid w:val="00D969D1"/>
    <w:rsid w:val="00DA0302"/>
    <w:rsid w:val="00DA0369"/>
    <w:rsid w:val="00DA0496"/>
    <w:rsid w:val="00DA05C6"/>
    <w:rsid w:val="00DA07DE"/>
    <w:rsid w:val="00DA0BED"/>
    <w:rsid w:val="00DA0DF1"/>
    <w:rsid w:val="00DA2047"/>
    <w:rsid w:val="00DA26AA"/>
    <w:rsid w:val="00DA326C"/>
    <w:rsid w:val="00DA3EC7"/>
    <w:rsid w:val="00DA4A48"/>
    <w:rsid w:val="00DA5430"/>
    <w:rsid w:val="00DA5854"/>
    <w:rsid w:val="00DA5FF2"/>
    <w:rsid w:val="00DA62D6"/>
    <w:rsid w:val="00DA64AB"/>
    <w:rsid w:val="00DA675A"/>
    <w:rsid w:val="00DA6853"/>
    <w:rsid w:val="00DA6C90"/>
    <w:rsid w:val="00DA73A2"/>
    <w:rsid w:val="00DB01B5"/>
    <w:rsid w:val="00DB06D4"/>
    <w:rsid w:val="00DB0865"/>
    <w:rsid w:val="00DB10FD"/>
    <w:rsid w:val="00DB119D"/>
    <w:rsid w:val="00DB1B65"/>
    <w:rsid w:val="00DB2DF4"/>
    <w:rsid w:val="00DB4D7C"/>
    <w:rsid w:val="00DB5213"/>
    <w:rsid w:val="00DB5749"/>
    <w:rsid w:val="00DB5BB9"/>
    <w:rsid w:val="00DB5C2E"/>
    <w:rsid w:val="00DB6038"/>
    <w:rsid w:val="00DB60AF"/>
    <w:rsid w:val="00DB64AD"/>
    <w:rsid w:val="00DB6C9F"/>
    <w:rsid w:val="00DB6E4B"/>
    <w:rsid w:val="00DB7AD6"/>
    <w:rsid w:val="00DB7B8B"/>
    <w:rsid w:val="00DC0D4F"/>
    <w:rsid w:val="00DC0DF1"/>
    <w:rsid w:val="00DC0ECC"/>
    <w:rsid w:val="00DC157B"/>
    <w:rsid w:val="00DC287C"/>
    <w:rsid w:val="00DC2B68"/>
    <w:rsid w:val="00DC34D4"/>
    <w:rsid w:val="00DC4326"/>
    <w:rsid w:val="00DC516F"/>
    <w:rsid w:val="00DC5581"/>
    <w:rsid w:val="00DC55DD"/>
    <w:rsid w:val="00DC6325"/>
    <w:rsid w:val="00DC674C"/>
    <w:rsid w:val="00DC6BC7"/>
    <w:rsid w:val="00DD05FF"/>
    <w:rsid w:val="00DD06EF"/>
    <w:rsid w:val="00DD0B9D"/>
    <w:rsid w:val="00DD0DCA"/>
    <w:rsid w:val="00DD2CAD"/>
    <w:rsid w:val="00DD2CE7"/>
    <w:rsid w:val="00DD3370"/>
    <w:rsid w:val="00DD3413"/>
    <w:rsid w:val="00DD3D57"/>
    <w:rsid w:val="00DD4286"/>
    <w:rsid w:val="00DD4383"/>
    <w:rsid w:val="00DD43B9"/>
    <w:rsid w:val="00DD4F6F"/>
    <w:rsid w:val="00DD5EDD"/>
    <w:rsid w:val="00DD6D5D"/>
    <w:rsid w:val="00DE1567"/>
    <w:rsid w:val="00DE15A1"/>
    <w:rsid w:val="00DE1CDF"/>
    <w:rsid w:val="00DE1FAC"/>
    <w:rsid w:val="00DE2052"/>
    <w:rsid w:val="00DE27E0"/>
    <w:rsid w:val="00DE2B2F"/>
    <w:rsid w:val="00DE2F78"/>
    <w:rsid w:val="00DE2FA9"/>
    <w:rsid w:val="00DE35EE"/>
    <w:rsid w:val="00DE3C25"/>
    <w:rsid w:val="00DE3CF2"/>
    <w:rsid w:val="00DE44F7"/>
    <w:rsid w:val="00DE462E"/>
    <w:rsid w:val="00DE5652"/>
    <w:rsid w:val="00DE6604"/>
    <w:rsid w:val="00DE66F2"/>
    <w:rsid w:val="00DE6A31"/>
    <w:rsid w:val="00DF08B8"/>
    <w:rsid w:val="00DF0D48"/>
    <w:rsid w:val="00DF2C55"/>
    <w:rsid w:val="00DF4A02"/>
    <w:rsid w:val="00DF4C1E"/>
    <w:rsid w:val="00DF5373"/>
    <w:rsid w:val="00DF5831"/>
    <w:rsid w:val="00DF62C3"/>
    <w:rsid w:val="00DF64FF"/>
    <w:rsid w:val="00DF6A20"/>
    <w:rsid w:val="00E01129"/>
    <w:rsid w:val="00E01201"/>
    <w:rsid w:val="00E01309"/>
    <w:rsid w:val="00E01C52"/>
    <w:rsid w:val="00E03709"/>
    <w:rsid w:val="00E04CA1"/>
    <w:rsid w:val="00E0605F"/>
    <w:rsid w:val="00E06358"/>
    <w:rsid w:val="00E06D35"/>
    <w:rsid w:val="00E07F5E"/>
    <w:rsid w:val="00E1018C"/>
    <w:rsid w:val="00E118CC"/>
    <w:rsid w:val="00E11D6E"/>
    <w:rsid w:val="00E12BB8"/>
    <w:rsid w:val="00E12DEC"/>
    <w:rsid w:val="00E132AD"/>
    <w:rsid w:val="00E13809"/>
    <w:rsid w:val="00E13F51"/>
    <w:rsid w:val="00E1431C"/>
    <w:rsid w:val="00E15C00"/>
    <w:rsid w:val="00E16E44"/>
    <w:rsid w:val="00E171E9"/>
    <w:rsid w:val="00E20897"/>
    <w:rsid w:val="00E20C2A"/>
    <w:rsid w:val="00E20F38"/>
    <w:rsid w:val="00E2104A"/>
    <w:rsid w:val="00E228A1"/>
    <w:rsid w:val="00E22CE6"/>
    <w:rsid w:val="00E233DE"/>
    <w:rsid w:val="00E2443B"/>
    <w:rsid w:val="00E24D36"/>
    <w:rsid w:val="00E252B2"/>
    <w:rsid w:val="00E25481"/>
    <w:rsid w:val="00E25483"/>
    <w:rsid w:val="00E256F5"/>
    <w:rsid w:val="00E261EE"/>
    <w:rsid w:val="00E27141"/>
    <w:rsid w:val="00E27F67"/>
    <w:rsid w:val="00E3088D"/>
    <w:rsid w:val="00E30A28"/>
    <w:rsid w:val="00E32289"/>
    <w:rsid w:val="00E3308F"/>
    <w:rsid w:val="00E33424"/>
    <w:rsid w:val="00E34B66"/>
    <w:rsid w:val="00E36974"/>
    <w:rsid w:val="00E371A6"/>
    <w:rsid w:val="00E37CC3"/>
    <w:rsid w:val="00E404D3"/>
    <w:rsid w:val="00E40B39"/>
    <w:rsid w:val="00E410BA"/>
    <w:rsid w:val="00E41762"/>
    <w:rsid w:val="00E41A8B"/>
    <w:rsid w:val="00E42601"/>
    <w:rsid w:val="00E45359"/>
    <w:rsid w:val="00E45626"/>
    <w:rsid w:val="00E45EEA"/>
    <w:rsid w:val="00E46C04"/>
    <w:rsid w:val="00E4769F"/>
    <w:rsid w:val="00E47A93"/>
    <w:rsid w:val="00E50C5D"/>
    <w:rsid w:val="00E50EBA"/>
    <w:rsid w:val="00E51114"/>
    <w:rsid w:val="00E512ED"/>
    <w:rsid w:val="00E51595"/>
    <w:rsid w:val="00E51E74"/>
    <w:rsid w:val="00E534C8"/>
    <w:rsid w:val="00E5434F"/>
    <w:rsid w:val="00E557DF"/>
    <w:rsid w:val="00E56602"/>
    <w:rsid w:val="00E56D48"/>
    <w:rsid w:val="00E5799C"/>
    <w:rsid w:val="00E604E8"/>
    <w:rsid w:val="00E60F41"/>
    <w:rsid w:val="00E61F35"/>
    <w:rsid w:val="00E61FB6"/>
    <w:rsid w:val="00E629E4"/>
    <w:rsid w:val="00E62B88"/>
    <w:rsid w:val="00E62DDB"/>
    <w:rsid w:val="00E63861"/>
    <w:rsid w:val="00E63881"/>
    <w:rsid w:val="00E6434D"/>
    <w:rsid w:val="00E6464E"/>
    <w:rsid w:val="00E6512C"/>
    <w:rsid w:val="00E66E63"/>
    <w:rsid w:val="00E66EE1"/>
    <w:rsid w:val="00E675A2"/>
    <w:rsid w:val="00E67755"/>
    <w:rsid w:val="00E67E41"/>
    <w:rsid w:val="00E67EBB"/>
    <w:rsid w:val="00E70007"/>
    <w:rsid w:val="00E70552"/>
    <w:rsid w:val="00E70838"/>
    <w:rsid w:val="00E7161A"/>
    <w:rsid w:val="00E71681"/>
    <w:rsid w:val="00E72586"/>
    <w:rsid w:val="00E72F22"/>
    <w:rsid w:val="00E73B13"/>
    <w:rsid w:val="00E73FD9"/>
    <w:rsid w:val="00E74F19"/>
    <w:rsid w:val="00E75750"/>
    <w:rsid w:val="00E801B6"/>
    <w:rsid w:val="00E80CF8"/>
    <w:rsid w:val="00E816C9"/>
    <w:rsid w:val="00E817DA"/>
    <w:rsid w:val="00E81894"/>
    <w:rsid w:val="00E81D4B"/>
    <w:rsid w:val="00E81EC7"/>
    <w:rsid w:val="00E821F4"/>
    <w:rsid w:val="00E83271"/>
    <w:rsid w:val="00E837A4"/>
    <w:rsid w:val="00E83AEE"/>
    <w:rsid w:val="00E83D86"/>
    <w:rsid w:val="00E849E3"/>
    <w:rsid w:val="00E84D64"/>
    <w:rsid w:val="00E851B3"/>
    <w:rsid w:val="00E86053"/>
    <w:rsid w:val="00E8627A"/>
    <w:rsid w:val="00E86566"/>
    <w:rsid w:val="00E867CC"/>
    <w:rsid w:val="00E86E65"/>
    <w:rsid w:val="00E87129"/>
    <w:rsid w:val="00E87130"/>
    <w:rsid w:val="00E91EBC"/>
    <w:rsid w:val="00E93AA4"/>
    <w:rsid w:val="00E94F81"/>
    <w:rsid w:val="00E952CB"/>
    <w:rsid w:val="00E952F3"/>
    <w:rsid w:val="00E95A72"/>
    <w:rsid w:val="00E95A93"/>
    <w:rsid w:val="00E95CD9"/>
    <w:rsid w:val="00E95DA7"/>
    <w:rsid w:val="00E965B8"/>
    <w:rsid w:val="00E96746"/>
    <w:rsid w:val="00E96B1A"/>
    <w:rsid w:val="00E975FC"/>
    <w:rsid w:val="00E97CAF"/>
    <w:rsid w:val="00EA02C5"/>
    <w:rsid w:val="00EA0800"/>
    <w:rsid w:val="00EA0B57"/>
    <w:rsid w:val="00EA1072"/>
    <w:rsid w:val="00EA10D6"/>
    <w:rsid w:val="00EA18F2"/>
    <w:rsid w:val="00EA297A"/>
    <w:rsid w:val="00EA2AE8"/>
    <w:rsid w:val="00EA415F"/>
    <w:rsid w:val="00EA46E3"/>
    <w:rsid w:val="00EA513C"/>
    <w:rsid w:val="00EA576B"/>
    <w:rsid w:val="00EA5D05"/>
    <w:rsid w:val="00EA7670"/>
    <w:rsid w:val="00EA79B2"/>
    <w:rsid w:val="00EB083C"/>
    <w:rsid w:val="00EB0C42"/>
    <w:rsid w:val="00EB1230"/>
    <w:rsid w:val="00EB156D"/>
    <w:rsid w:val="00EB1DF3"/>
    <w:rsid w:val="00EB20D2"/>
    <w:rsid w:val="00EB2305"/>
    <w:rsid w:val="00EB3DE4"/>
    <w:rsid w:val="00EB443A"/>
    <w:rsid w:val="00EB47F8"/>
    <w:rsid w:val="00EB4DDB"/>
    <w:rsid w:val="00EB4E1E"/>
    <w:rsid w:val="00EB5C7B"/>
    <w:rsid w:val="00EB6F62"/>
    <w:rsid w:val="00EB7E92"/>
    <w:rsid w:val="00EC0A46"/>
    <w:rsid w:val="00EC220B"/>
    <w:rsid w:val="00EC27C1"/>
    <w:rsid w:val="00EC36C5"/>
    <w:rsid w:val="00EC3BF9"/>
    <w:rsid w:val="00EC3D5D"/>
    <w:rsid w:val="00EC4755"/>
    <w:rsid w:val="00EC5A99"/>
    <w:rsid w:val="00EC5D20"/>
    <w:rsid w:val="00EC5DFE"/>
    <w:rsid w:val="00EC66C4"/>
    <w:rsid w:val="00EC72AE"/>
    <w:rsid w:val="00EC7ACD"/>
    <w:rsid w:val="00EC7BA5"/>
    <w:rsid w:val="00EC7EB4"/>
    <w:rsid w:val="00ED0C88"/>
    <w:rsid w:val="00ED11CC"/>
    <w:rsid w:val="00ED1EB8"/>
    <w:rsid w:val="00ED2D76"/>
    <w:rsid w:val="00ED3050"/>
    <w:rsid w:val="00ED3919"/>
    <w:rsid w:val="00ED3D87"/>
    <w:rsid w:val="00ED438A"/>
    <w:rsid w:val="00ED43AC"/>
    <w:rsid w:val="00ED4A2E"/>
    <w:rsid w:val="00ED4C1F"/>
    <w:rsid w:val="00ED6A3B"/>
    <w:rsid w:val="00ED7A70"/>
    <w:rsid w:val="00ED7EA2"/>
    <w:rsid w:val="00EE0A05"/>
    <w:rsid w:val="00EE0E28"/>
    <w:rsid w:val="00EE1E08"/>
    <w:rsid w:val="00EE46AB"/>
    <w:rsid w:val="00EE50D0"/>
    <w:rsid w:val="00EE59A7"/>
    <w:rsid w:val="00EE5A84"/>
    <w:rsid w:val="00EE646B"/>
    <w:rsid w:val="00EE6962"/>
    <w:rsid w:val="00EE6D18"/>
    <w:rsid w:val="00EE78F6"/>
    <w:rsid w:val="00EE7E16"/>
    <w:rsid w:val="00EE7E52"/>
    <w:rsid w:val="00EF0D9F"/>
    <w:rsid w:val="00EF1ECC"/>
    <w:rsid w:val="00EF2B3F"/>
    <w:rsid w:val="00EF3E73"/>
    <w:rsid w:val="00EF4E4F"/>
    <w:rsid w:val="00EF5757"/>
    <w:rsid w:val="00EF5801"/>
    <w:rsid w:val="00EF6309"/>
    <w:rsid w:val="00EF6DB2"/>
    <w:rsid w:val="00EF6F37"/>
    <w:rsid w:val="00F02DBA"/>
    <w:rsid w:val="00F02DF9"/>
    <w:rsid w:val="00F0315C"/>
    <w:rsid w:val="00F0358C"/>
    <w:rsid w:val="00F0389C"/>
    <w:rsid w:val="00F04313"/>
    <w:rsid w:val="00F04B57"/>
    <w:rsid w:val="00F06086"/>
    <w:rsid w:val="00F06F0F"/>
    <w:rsid w:val="00F0726F"/>
    <w:rsid w:val="00F07B12"/>
    <w:rsid w:val="00F07D69"/>
    <w:rsid w:val="00F1034D"/>
    <w:rsid w:val="00F1079F"/>
    <w:rsid w:val="00F117ED"/>
    <w:rsid w:val="00F11876"/>
    <w:rsid w:val="00F1193D"/>
    <w:rsid w:val="00F12A31"/>
    <w:rsid w:val="00F132B1"/>
    <w:rsid w:val="00F15411"/>
    <w:rsid w:val="00F15A83"/>
    <w:rsid w:val="00F15DEB"/>
    <w:rsid w:val="00F17FD4"/>
    <w:rsid w:val="00F204CA"/>
    <w:rsid w:val="00F20FEE"/>
    <w:rsid w:val="00F21D22"/>
    <w:rsid w:val="00F223DB"/>
    <w:rsid w:val="00F229E1"/>
    <w:rsid w:val="00F22D3B"/>
    <w:rsid w:val="00F24BC9"/>
    <w:rsid w:val="00F25A5C"/>
    <w:rsid w:val="00F25B28"/>
    <w:rsid w:val="00F271EA"/>
    <w:rsid w:val="00F27375"/>
    <w:rsid w:val="00F27CA2"/>
    <w:rsid w:val="00F27CDB"/>
    <w:rsid w:val="00F30B77"/>
    <w:rsid w:val="00F31036"/>
    <w:rsid w:val="00F311E3"/>
    <w:rsid w:val="00F31296"/>
    <w:rsid w:val="00F327A5"/>
    <w:rsid w:val="00F33D9D"/>
    <w:rsid w:val="00F34B11"/>
    <w:rsid w:val="00F34EBC"/>
    <w:rsid w:val="00F35399"/>
    <w:rsid w:val="00F35AAE"/>
    <w:rsid w:val="00F35C42"/>
    <w:rsid w:val="00F362A9"/>
    <w:rsid w:val="00F37298"/>
    <w:rsid w:val="00F37BD3"/>
    <w:rsid w:val="00F4040B"/>
    <w:rsid w:val="00F41150"/>
    <w:rsid w:val="00F4354F"/>
    <w:rsid w:val="00F43713"/>
    <w:rsid w:val="00F43732"/>
    <w:rsid w:val="00F43E2A"/>
    <w:rsid w:val="00F441C1"/>
    <w:rsid w:val="00F44F31"/>
    <w:rsid w:val="00F45152"/>
    <w:rsid w:val="00F45668"/>
    <w:rsid w:val="00F45BAE"/>
    <w:rsid w:val="00F460E0"/>
    <w:rsid w:val="00F46D15"/>
    <w:rsid w:val="00F47378"/>
    <w:rsid w:val="00F47BD1"/>
    <w:rsid w:val="00F50CDA"/>
    <w:rsid w:val="00F50D4E"/>
    <w:rsid w:val="00F50E87"/>
    <w:rsid w:val="00F51D87"/>
    <w:rsid w:val="00F523CD"/>
    <w:rsid w:val="00F52584"/>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02F3"/>
    <w:rsid w:val="00F605A7"/>
    <w:rsid w:val="00F61461"/>
    <w:rsid w:val="00F61966"/>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246"/>
    <w:rsid w:val="00F735A7"/>
    <w:rsid w:val="00F73C5E"/>
    <w:rsid w:val="00F74441"/>
    <w:rsid w:val="00F745D9"/>
    <w:rsid w:val="00F748EB"/>
    <w:rsid w:val="00F75707"/>
    <w:rsid w:val="00F76BB3"/>
    <w:rsid w:val="00F76D4E"/>
    <w:rsid w:val="00F772DA"/>
    <w:rsid w:val="00F7781E"/>
    <w:rsid w:val="00F80F55"/>
    <w:rsid w:val="00F81708"/>
    <w:rsid w:val="00F82691"/>
    <w:rsid w:val="00F82CAC"/>
    <w:rsid w:val="00F82D68"/>
    <w:rsid w:val="00F8304F"/>
    <w:rsid w:val="00F847B5"/>
    <w:rsid w:val="00F8559C"/>
    <w:rsid w:val="00F85DFD"/>
    <w:rsid w:val="00F8679A"/>
    <w:rsid w:val="00F868BC"/>
    <w:rsid w:val="00F87144"/>
    <w:rsid w:val="00F875DE"/>
    <w:rsid w:val="00F879B1"/>
    <w:rsid w:val="00F90857"/>
    <w:rsid w:val="00F90D95"/>
    <w:rsid w:val="00F90EA6"/>
    <w:rsid w:val="00F90F9D"/>
    <w:rsid w:val="00F91054"/>
    <w:rsid w:val="00F92653"/>
    <w:rsid w:val="00F92C69"/>
    <w:rsid w:val="00F92CC0"/>
    <w:rsid w:val="00F9332E"/>
    <w:rsid w:val="00F937E7"/>
    <w:rsid w:val="00F9521E"/>
    <w:rsid w:val="00F95E15"/>
    <w:rsid w:val="00F961DD"/>
    <w:rsid w:val="00F96F01"/>
    <w:rsid w:val="00F97015"/>
    <w:rsid w:val="00F972CE"/>
    <w:rsid w:val="00F9746E"/>
    <w:rsid w:val="00FA03B6"/>
    <w:rsid w:val="00FA1144"/>
    <w:rsid w:val="00FA201C"/>
    <w:rsid w:val="00FA2244"/>
    <w:rsid w:val="00FA226B"/>
    <w:rsid w:val="00FA28E1"/>
    <w:rsid w:val="00FA2DC5"/>
    <w:rsid w:val="00FA36DB"/>
    <w:rsid w:val="00FA42AA"/>
    <w:rsid w:val="00FA4572"/>
    <w:rsid w:val="00FA4D82"/>
    <w:rsid w:val="00FA528E"/>
    <w:rsid w:val="00FA52E7"/>
    <w:rsid w:val="00FA5DD2"/>
    <w:rsid w:val="00FA63FC"/>
    <w:rsid w:val="00FA6B35"/>
    <w:rsid w:val="00FA70D4"/>
    <w:rsid w:val="00FA7935"/>
    <w:rsid w:val="00FB072F"/>
    <w:rsid w:val="00FB092A"/>
    <w:rsid w:val="00FB0BC2"/>
    <w:rsid w:val="00FB0E57"/>
    <w:rsid w:val="00FB1D41"/>
    <w:rsid w:val="00FB2F90"/>
    <w:rsid w:val="00FB308E"/>
    <w:rsid w:val="00FB32D4"/>
    <w:rsid w:val="00FB3461"/>
    <w:rsid w:val="00FB4D7F"/>
    <w:rsid w:val="00FB4FB6"/>
    <w:rsid w:val="00FB555D"/>
    <w:rsid w:val="00FB5CA3"/>
    <w:rsid w:val="00FB652E"/>
    <w:rsid w:val="00FB7B91"/>
    <w:rsid w:val="00FC006A"/>
    <w:rsid w:val="00FC0934"/>
    <w:rsid w:val="00FC12B5"/>
    <w:rsid w:val="00FC1882"/>
    <w:rsid w:val="00FC1AD6"/>
    <w:rsid w:val="00FC1C2D"/>
    <w:rsid w:val="00FC272C"/>
    <w:rsid w:val="00FC2B2D"/>
    <w:rsid w:val="00FC2CDB"/>
    <w:rsid w:val="00FC3263"/>
    <w:rsid w:val="00FC3A48"/>
    <w:rsid w:val="00FC5058"/>
    <w:rsid w:val="00FC54B8"/>
    <w:rsid w:val="00FC558C"/>
    <w:rsid w:val="00FC616D"/>
    <w:rsid w:val="00FC7079"/>
    <w:rsid w:val="00FC735E"/>
    <w:rsid w:val="00FC7F42"/>
    <w:rsid w:val="00FD0883"/>
    <w:rsid w:val="00FD1263"/>
    <w:rsid w:val="00FD13D9"/>
    <w:rsid w:val="00FD1866"/>
    <w:rsid w:val="00FD1B58"/>
    <w:rsid w:val="00FD1EA4"/>
    <w:rsid w:val="00FD273B"/>
    <w:rsid w:val="00FD2998"/>
    <w:rsid w:val="00FD2B18"/>
    <w:rsid w:val="00FD34B2"/>
    <w:rsid w:val="00FD350C"/>
    <w:rsid w:val="00FD4A4B"/>
    <w:rsid w:val="00FD4B1F"/>
    <w:rsid w:val="00FD4ED0"/>
    <w:rsid w:val="00FD5D94"/>
    <w:rsid w:val="00FD65DE"/>
    <w:rsid w:val="00FD79E8"/>
    <w:rsid w:val="00FE0D70"/>
    <w:rsid w:val="00FE14E1"/>
    <w:rsid w:val="00FE1A06"/>
    <w:rsid w:val="00FE2E8D"/>
    <w:rsid w:val="00FE3738"/>
    <w:rsid w:val="00FE3ACE"/>
    <w:rsid w:val="00FE3DF9"/>
    <w:rsid w:val="00FE4008"/>
    <w:rsid w:val="00FE4F1F"/>
    <w:rsid w:val="00FE513E"/>
    <w:rsid w:val="00FE531F"/>
    <w:rsid w:val="00FE5B70"/>
    <w:rsid w:val="00FE5C4F"/>
    <w:rsid w:val="00FE5F67"/>
    <w:rsid w:val="00FE65F9"/>
    <w:rsid w:val="00FE7764"/>
    <w:rsid w:val="00FF1B51"/>
    <w:rsid w:val="00FF249C"/>
    <w:rsid w:val="00FF2EA1"/>
    <w:rsid w:val="00FF35F6"/>
    <w:rsid w:val="00FF5A7E"/>
    <w:rsid w:val="00FF5C39"/>
    <w:rsid w:val="00FF603C"/>
    <w:rsid w:val="00FF6321"/>
    <w:rsid w:val="00FF67D2"/>
    <w:rsid w:val="00FF693C"/>
    <w:rsid w:val="00FF7622"/>
    <w:rsid w:val="01023BE7"/>
    <w:rsid w:val="01323CE1"/>
    <w:rsid w:val="013F2426"/>
    <w:rsid w:val="017179CE"/>
    <w:rsid w:val="017F6064"/>
    <w:rsid w:val="01995B0E"/>
    <w:rsid w:val="01BB5050"/>
    <w:rsid w:val="0204623F"/>
    <w:rsid w:val="02130592"/>
    <w:rsid w:val="0215208E"/>
    <w:rsid w:val="02445A7A"/>
    <w:rsid w:val="027C607D"/>
    <w:rsid w:val="02873008"/>
    <w:rsid w:val="02881E0B"/>
    <w:rsid w:val="028D3C73"/>
    <w:rsid w:val="02972BBA"/>
    <w:rsid w:val="02A52674"/>
    <w:rsid w:val="02B642C1"/>
    <w:rsid w:val="02BF0B9D"/>
    <w:rsid w:val="02FA247A"/>
    <w:rsid w:val="02FB1AA4"/>
    <w:rsid w:val="03045209"/>
    <w:rsid w:val="031A30D5"/>
    <w:rsid w:val="031D18B0"/>
    <w:rsid w:val="032560F3"/>
    <w:rsid w:val="03270C3A"/>
    <w:rsid w:val="03326801"/>
    <w:rsid w:val="033322F8"/>
    <w:rsid w:val="033407B2"/>
    <w:rsid w:val="033F13CF"/>
    <w:rsid w:val="03425A90"/>
    <w:rsid w:val="034923B3"/>
    <w:rsid w:val="03716C78"/>
    <w:rsid w:val="037E320E"/>
    <w:rsid w:val="03952102"/>
    <w:rsid w:val="03B13277"/>
    <w:rsid w:val="03B574F1"/>
    <w:rsid w:val="03BA3E0F"/>
    <w:rsid w:val="03BD3D36"/>
    <w:rsid w:val="03BE351A"/>
    <w:rsid w:val="03BF0C02"/>
    <w:rsid w:val="03BF6AC6"/>
    <w:rsid w:val="03DA241C"/>
    <w:rsid w:val="03DA5E4F"/>
    <w:rsid w:val="03F703CA"/>
    <w:rsid w:val="043A35D9"/>
    <w:rsid w:val="043D405C"/>
    <w:rsid w:val="04461ED3"/>
    <w:rsid w:val="04486FA6"/>
    <w:rsid w:val="044B701A"/>
    <w:rsid w:val="046F3471"/>
    <w:rsid w:val="047C5DC9"/>
    <w:rsid w:val="04891C61"/>
    <w:rsid w:val="04933A2B"/>
    <w:rsid w:val="04983953"/>
    <w:rsid w:val="04A23C8F"/>
    <w:rsid w:val="050423BE"/>
    <w:rsid w:val="051060E7"/>
    <w:rsid w:val="05143E2A"/>
    <w:rsid w:val="051A0D14"/>
    <w:rsid w:val="053C02DB"/>
    <w:rsid w:val="053F55E1"/>
    <w:rsid w:val="05464D54"/>
    <w:rsid w:val="05622410"/>
    <w:rsid w:val="0587571E"/>
    <w:rsid w:val="058A5412"/>
    <w:rsid w:val="05A74A69"/>
    <w:rsid w:val="05AC0953"/>
    <w:rsid w:val="05B216C4"/>
    <w:rsid w:val="05CB7512"/>
    <w:rsid w:val="05D06851"/>
    <w:rsid w:val="05E01FBD"/>
    <w:rsid w:val="05F7033F"/>
    <w:rsid w:val="05F93243"/>
    <w:rsid w:val="060129DF"/>
    <w:rsid w:val="060B46DA"/>
    <w:rsid w:val="060E6ACB"/>
    <w:rsid w:val="06267623"/>
    <w:rsid w:val="062F1DB1"/>
    <w:rsid w:val="064332D4"/>
    <w:rsid w:val="064B0623"/>
    <w:rsid w:val="064B2F19"/>
    <w:rsid w:val="066A2B31"/>
    <w:rsid w:val="066D6EAE"/>
    <w:rsid w:val="0671478E"/>
    <w:rsid w:val="069E452E"/>
    <w:rsid w:val="06F03481"/>
    <w:rsid w:val="06FB113C"/>
    <w:rsid w:val="07216F89"/>
    <w:rsid w:val="07293490"/>
    <w:rsid w:val="0758020F"/>
    <w:rsid w:val="07627E95"/>
    <w:rsid w:val="076E7CDA"/>
    <w:rsid w:val="077305E3"/>
    <w:rsid w:val="077F5C64"/>
    <w:rsid w:val="07851E6E"/>
    <w:rsid w:val="07A31721"/>
    <w:rsid w:val="07B436A2"/>
    <w:rsid w:val="07B821E3"/>
    <w:rsid w:val="07E023B4"/>
    <w:rsid w:val="080B0160"/>
    <w:rsid w:val="08103E7D"/>
    <w:rsid w:val="0826618F"/>
    <w:rsid w:val="08304B66"/>
    <w:rsid w:val="08452B92"/>
    <w:rsid w:val="086B1DE6"/>
    <w:rsid w:val="086E211F"/>
    <w:rsid w:val="086E6BB8"/>
    <w:rsid w:val="08717B20"/>
    <w:rsid w:val="088035D5"/>
    <w:rsid w:val="089900B5"/>
    <w:rsid w:val="08B13189"/>
    <w:rsid w:val="08B6248C"/>
    <w:rsid w:val="08DE0BE9"/>
    <w:rsid w:val="08EE4666"/>
    <w:rsid w:val="0943783D"/>
    <w:rsid w:val="09437D81"/>
    <w:rsid w:val="095073FA"/>
    <w:rsid w:val="095F0007"/>
    <w:rsid w:val="095F5995"/>
    <w:rsid w:val="096B4234"/>
    <w:rsid w:val="098B641D"/>
    <w:rsid w:val="09A501D2"/>
    <w:rsid w:val="09A51397"/>
    <w:rsid w:val="09A93068"/>
    <w:rsid w:val="09AD7F41"/>
    <w:rsid w:val="09B23D76"/>
    <w:rsid w:val="09B27E8A"/>
    <w:rsid w:val="09BB2BF4"/>
    <w:rsid w:val="09C616C9"/>
    <w:rsid w:val="09D61AB6"/>
    <w:rsid w:val="09E8751F"/>
    <w:rsid w:val="09ED0E9E"/>
    <w:rsid w:val="09EE161E"/>
    <w:rsid w:val="09EE5FF9"/>
    <w:rsid w:val="0A1E4569"/>
    <w:rsid w:val="0A3F282B"/>
    <w:rsid w:val="0A4C5E14"/>
    <w:rsid w:val="0A624ADE"/>
    <w:rsid w:val="0A775CFF"/>
    <w:rsid w:val="0A875F61"/>
    <w:rsid w:val="0A8E14D1"/>
    <w:rsid w:val="0A9168FE"/>
    <w:rsid w:val="0AF139AF"/>
    <w:rsid w:val="0B0152CC"/>
    <w:rsid w:val="0B097861"/>
    <w:rsid w:val="0B0E1C93"/>
    <w:rsid w:val="0B553F74"/>
    <w:rsid w:val="0B6534F8"/>
    <w:rsid w:val="0B6A447C"/>
    <w:rsid w:val="0B7C1898"/>
    <w:rsid w:val="0B7E29A1"/>
    <w:rsid w:val="0B8F2A2A"/>
    <w:rsid w:val="0B955890"/>
    <w:rsid w:val="0BA2713F"/>
    <w:rsid w:val="0BB30E9D"/>
    <w:rsid w:val="0BD406EB"/>
    <w:rsid w:val="0BEE0D3D"/>
    <w:rsid w:val="0C2B2EED"/>
    <w:rsid w:val="0C2C40A4"/>
    <w:rsid w:val="0C36729F"/>
    <w:rsid w:val="0C370182"/>
    <w:rsid w:val="0C672316"/>
    <w:rsid w:val="0C6D1B29"/>
    <w:rsid w:val="0C6D288D"/>
    <w:rsid w:val="0C7731EE"/>
    <w:rsid w:val="0C856C27"/>
    <w:rsid w:val="0C874EE1"/>
    <w:rsid w:val="0CB03E0B"/>
    <w:rsid w:val="0CCC4FEA"/>
    <w:rsid w:val="0D053836"/>
    <w:rsid w:val="0D4A6733"/>
    <w:rsid w:val="0D841BCD"/>
    <w:rsid w:val="0D9B4D45"/>
    <w:rsid w:val="0D9D6F7F"/>
    <w:rsid w:val="0DF2425A"/>
    <w:rsid w:val="0DF67EFC"/>
    <w:rsid w:val="0DFD0CA0"/>
    <w:rsid w:val="0E300308"/>
    <w:rsid w:val="0E345478"/>
    <w:rsid w:val="0E540DE9"/>
    <w:rsid w:val="0E820FEE"/>
    <w:rsid w:val="0E9262B2"/>
    <w:rsid w:val="0EBF51A3"/>
    <w:rsid w:val="0F151820"/>
    <w:rsid w:val="0F1F36FC"/>
    <w:rsid w:val="0F413908"/>
    <w:rsid w:val="0F481DEF"/>
    <w:rsid w:val="0F502AC1"/>
    <w:rsid w:val="0F55314C"/>
    <w:rsid w:val="0F8B017D"/>
    <w:rsid w:val="0FB83376"/>
    <w:rsid w:val="0FD2644B"/>
    <w:rsid w:val="10066C32"/>
    <w:rsid w:val="10183317"/>
    <w:rsid w:val="10386211"/>
    <w:rsid w:val="104919F0"/>
    <w:rsid w:val="105D722D"/>
    <w:rsid w:val="106142AF"/>
    <w:rsid w:val="10721B53"/>
    <w:rsid w:val="107A3FC8"/>
    <w:rsid w:val="10954451"/>
    <w:rsid w:val="10A225B4"/>
    <w:rsid w:val="10C2496E"/>
    <w:rsid w:val="10C44E62"/>
    <w:rsid w:val="10C74348"/>
    <w:rsid w:val="10CD7899"/>
    <w:rsid w:val="10D90EB1"/>
    <w:rsid w:val="10E94AFE"/>
    <w:rsid w:val="11034D52"/>
    <w:rsid w:val="11074B2B"/>
    <w:rsid w:val="111778EE"/>
    <w:rsid w:val="112F070B"/>
    <w:rsid w:val="113250A7"/>
    <w:rsid w:val="11661549"/>
    <w:rsid w:val="1170105F"/>
    <w:rsid w:val="11830314"/>
    <w:rsid w:val="118438F2"/>
    <w:rsid w:val="11996F2C"/>
    <w:rsid w:val="11A70543"/>
    <w:rsid w:val="11DA6B7F"/>
    <w:rsid w:val="11E21E3A"/>
    <w:rsid w:val="11EA3CC7"/>
    <w:rsid w:val="11F63499"/>
    <w:rsid w:val="11F82ACD"/>
    <w:rsid w:val="125B07EF"/>
    <w:rsid w:val="126006AE"/>
    <w:rsid w:val="12937EC0"/>
    <w:rsid w:val="129A720A"/>
    <w:rsid w:val="12A6256A"/>
    <w:rsid w:val="12A653C7"/>
    <w:rsid w:val="12B502CE"/>
    <w:rsid w:val="12BD7CAD"/>
    <w:rsid w:val="12F47048"/>
    <w:rsid w:val="12FE1894"/>
    <w:rsid w:val="132B1D0B"/>
    <w:rsid w:val="132B6975"/>
    <w:rsid w:val="13370645"/>
    <w:rsid w:val="133742F0"/>
    <w:rsid w:val="134869DA"/>
    <w:rsid w:val="137C440B"/>
    <w:rsid w:val="13B32239"/>
    <w:rsid w:val="13B57086"/>
    <w:rsid w:val="13D824C6"/>
    <w:rsid w:val="13E364DC"/>
    <w:rsid w:val="14044AC9"/>
    <w:rsid w:val="14182BC4"/>
    <w:rsid w:val="1430661D"/>
    <w:rsid w:val="146D0DFF"/>
    <w:rsid w:val="147E28E2"/>
    <w:rsid w:val="14C842E9"/>
    <w:rsid w:val="14F41582"/>
    <w:rsid w:val="14F70A4B"/>
    <w:rsid w:val="14FA70BB"/>
    <w:rsid w:val="15063063"/>
    <w:rsid w:val="150B6311"/>
    <w:rsid w:val="150D619F"/>
    <w:rsid w:val="151B1DDA"/>
    <w:rsid w:val="152F1D05"/>
    <w:rsid w:val="15300D39"/>
    <w:rsid w:val="156570BF"/>
    <w:rsid w:val="15763D45"/>
    <w:rsid w:val="157F49EE"/>
    <w:rsid w:val="1596012F"/>
    <w:rsid w:val="15B03623"/>
    <w:rsid w:val="15BF4CC6"/>
    <w:rsid w:val="15C33C16"/>
    <w:rsid w:val="15D524CD"/>
    <w:rsid w:val="15D92FA6"/>
    <w:rsid w:val="15F5110D"/>
    <w:rsid w:val="16057353"/>
    <w:rsid w:val="160B79D8"/>
    <w:rsid w:val="162A1AD1"/>
    <w:rsid w:val="16514A76"/>
    <w:rsid w:val="1663363A"/>
    <w:rsid w:val="167352BC"/>
    <w:rsid w:val="167D3039"/>
    <w:rsid w:val="169D3553"/>
    <w:rsid w:val="16B16363"/>
    <w:rsid w:val="16D73670"/>
    <w:rsid w:val="16E35F9B"/>
    <w:rsid w:val="16EB2AA0"/>
    <w:rsid w:val="16F83208"/>
    <w:rsid w:val="17193CAD"/>
    <w:rsid w:val="173E4D36"/>
    <w:rsid w:val="174C3A1A"/>
    <w:rsid w:val="17585D87"/>
    <w:rsid w:val="176D53D8"/>
    <w:rsid w:val="179D0F0B"/>
    <w:rsid w:val="17D61DBC"/>
    <w:rsid w:val="17F51C7A"/>
    <w:rsid w:val="18147B1F"/>
    <w:rsid w:val="18166053"/>
    <w:rsid w:val="18475E96"/>
    <w:rsid w:val="184F4057"/>
    <w:rsid w:val="187D6EB0"/>
    <w:rsid w:val="18887203"/>
    <w:rsid w:val="189621A7"/>
    <w:rsid w:val="18B654B4"/>
    <w:rsid w:val="18E67170"/>
    <w:rsid w:val="18F94D02"/>
    <w:rsid w:val="19014EA6"/>
    <w:rsid w:val="19043E25"/>
    <w:rsid w:val="190475D2"/>
    <w:rsid w:val="19051CC0"/>
    <w:rsid w:val="19077EFC"/>
    <w:rsid w:val="19187280"/>
    <w:rsid w:val="193A4426"/>
    <w:rsid w:val="193C041B"/>
    <w:rsid w:val="19471B74"/>
    <w:rsid w:val="194D0D42"/>
    <w:rsid w:val="19524B84"/>
    <w:rsid w:val="198B537D"/>
    <w:rsid w:val="199757D4"/>
    <w:rsid w:val="19993C89"/>
    <w:rsid w:val="19A63DF7"/>
    <w:rsid w:val="19D8595E"/>
    <w:rsid w:val="19E47938"/>
    <w:rsid w:val="19ED0998"/>
    <w:rsid w:val="1A177A69"/>
    <w:rsid w:val="1A3540D5"/>
    <w:rsid w:val="1A4013BD"/>
    <w:rsid w:val="1A5E3B71"/>
    <w:rsid w:val="1A6D1615"/>
    <w:rsid w:val="1A6D7287"/>
    <w:rsid w:val="1A743870"/>
    <w:rsid w:val="1A7D526E"/>
    <w:rsid w:val="1A8B1FBA"/>
    <w:rsid w:val="1AAD013C"/>
    <w:rsid w:val="1AB0792C"/>
    <w:rsid w:val="1AC40D42"/>
    <w:rsid w:val="1AD00161"/>
    <w:rsid w:val="1B061BB0"/>
    <w:rsid w:val="1B0C1A23"/>
    <w:rsid w:val="1B0F7752"/>
    <w:rsid w:val="1B22602C"/>
    <w:rsid w:val="1B272658"/>
    <w:rsid w:val="1B29595C"/>
    <w:rsid w:val="1B54648F"/>
    <w:rsid w:val="1B593EEC"/>
    <w:rsid w:val="1B667072"/>
    <w:rsid w:val="1B897A11"/>
    <w:rsid w:val="1B8C5194"/>
    <w:rsid w:val="1BAB01B5"/>
    <w:rsid w:val="1BB47375"/>
    <w:rsid w:val="1BCC617F"/>
    <w:rsid w:val="1BF77C7D"/>
    <w:rsid w:val="1C0B61DD"/>
    <w:rsid w:val="1C2C42F0"/>
    <w:rsid w:val="1C410E61"/>
    <w:rsid w:val="1C611652"/>
    <w:rsid w:val="1C715CFE"/>
    <w:rsid w:val="1C862330"/>
    <w:rsid w:val="1C8A3C44"/>
    <w:rsid w:val="1C9E5613"/>
    <w:rsid w:val="1CA27B15"/>
    <w:rsid w:val="1CA62537"/>
    <w:rsid w:val="1CAB4D16"/>
    <w:rsid w:val="1CB51567"/>
    <w:rsid w:val="1CE03694"/>
    <w:rsid w:val="1D142937"/>
    <w:rsid w:val="1D1E5B89"/>
    <w:rsid w:val="1D41732E"/>
    <w:rsid w:val="1D501020"/>
    <w:rsid w:val="1D663538"/>
    <w:rsid w:val="1D735644"/>
    <w:rsid w:val="1D9B1C8A"/>
    <w:rsid w:val="1DC835AB"/>
    <w:rsid w:val="1DD261D8"/>
    <w:rsid w:val="1DE7067B"/>
    <w:rsid w:val="1DE71C83"/>
    <w:rsid w:val="1DEA2F97"/>
    <w:rsid w:val="1DFE7DDE"/>
    <w:rsid w:val="1E3D34E5"/>
    <w:rsid w:val="1E417D23"/>
    <w:rsid w:val="1E5A5523"/>
    <w:rsid w:val="1E682568"/>
    <w:rsid w:val="1E831280"/>
    <w:rsid w:val="1E846039"/>
    <w:rsid w:val="1EA669B3"/>
    <w:rsid w:val="1EAE73C4"/>
    <w:rsid w:val="1EC57671"/>
    <w:rsid w:val="1EEE63C4"/>
    <w:rsid w:val="1F000011"/>
    <w:rsid w:val="1F07397A"/>
    <w:rsid w:val="1F074516"/>
    <w:rsid w:val="1F1342C0"/>
    <w:rsid w:val="1F327398"/>
    <w:rsid w:val="1F391ED4"/>
    <w:rsid w:val="1F3A56DA"/>
    <w:rsid w:val="1F6C281F"/>
    <w:rsid w:val="1F813A12"/>
    <w:rsid w:val="1FB13DEF"/>
    <w:rsid w:val="1FC72143"/>
    <w:rsid w:val="1FD47F02"/>
    <w:rsid w:val="1FD65504"/>
    <w:rsid w:val="1FF9168B"/>
    <w:rsid w:val="20027F52"/>
    <w:rsid w:val="20063C59"/>
    <w:rsid w:val="200E1DE2"/>
    <w:rsid w:val="20115175"/>
    <w:rsid w:val="20263921"/>
    <w:rsid w:val="2029107D"/>
    <w:rsid w:val="2058367D"/>
    <w:rsid w:val="2063694D"/>
    <w:rsid w:val="207F647B"/>
    <w:rsid w:val="2080340E"/>
    <w:rsid w:val="208E7AE5"/>
    <w:rsid w:val="2093057C"/>
    <w:rsid w:val="20DB1848"/>
    <w:rsid w:val="20DD05E4"/>
    <w:rsid w:val="20E75793"/>
    <w:rsid w:val="20E828B0"/>
    <w:rsid w:val="20ED612B"/>
    <w:rsid w:val="20F64292"/>
    <w:rsid w:val="20FB025B"/>
    <w:rsid w:val="211B1C44"/>
    <w:rsid w:val="211B39F2"/>
    <w:rsid w:val="2121494E"/>
    <w:rsid w:val="21296EDF"/>
    <w:rsid w:val="21333CA1"/>
    <w:rsid w:val="218C2ED8"/>
    <w:rsid w:val="21A50673"/>
    <w:rsid w:val="21BB3578"/>
    <w:rsid w:val="21C83A5E"/>
    <w:rsid w:val="21CA5F42"/>
    <w:rsid w:val="21CC5A23"/>
    <w:rsid w:val="21D20555"/>
    <w:rsid w:val="21D247FB"/>
    <w:rsid w:val="21D35E95"/>
    <w:rsid w:val="223E3E3C"/>
    <w:rsid w:val="224157C0"/>
    <w:rsid w:val="2255792F"/>
    <w:rsid w:val="226D07A0"/>
    <w:rsid w:val="227B347D"/>
    <w:rsid w:val="22906B73"/>
    <w:rsid w:val="22B82DED"/>
    <w:rsid w:val="22BC5311"/>
    <w:rsid w:val="22C47F17"/>
    <w:rsid w:val="22CC52BE"/>
    <w:rsid w:val="22D77C8F"/>
    <w:rsid w:val="22FF5243"/>
    <w:rsid w:val="231B5279"/>
    <w:rsid w:val="232C1EE7"/>
    <w:rsid w:val="232C350A"/>
    <w:rsid w:val="234C7343"/>
    <w:rsid w:val="235A1BED"/>
    <w:rsid w:val="23706ACC"/>
    <w:rsid w:val="237D267E"/>
    <w:rsid w:val="2392742E"/>
    <w:rsid w:val="23A60E0C"/>
    <w:rsid w:val="23CE0A96"/>
    <w:rsid w:val="24155E1C"/>
    <w:rsid w:val="241F1A4B"/>
    <w:rsid w:val="242641F1"/>
    <w:rsid w:val="242C5A37"/>
    <w:rsid w:val="243C7B16"/>
    <w:rsid w:val="24424BCC"/>
    <w:rsid w:val="24462D71"/>
    <w:rsid w:val="24512B87"/>
    <w:rsid w:val="249C09CC"/>
    <w:rsid w:val="24AA0ED9"/>
    <w:rsid w:val="24B0100A"/>
    <w:rsid w:val="24BF227F"/>
    <w:rsid w:val="24C90061"/>
    <w:rsid w:val="24D70751"/>
    <w:rsid w:val="24E82DCC"/>
    <w:rsid w:val="24EB38B8"/>
    <w:rsid w:val="250E4E77"/>
    <w:rsid w:val="25327829"/>
    <w:rsid w:val="25477FEE"/>
    <w:rsid w:val="254F75B6"/>
    <w:rsid w:val="256609B2"/>
    <w:rsid w:val="25C27DEC"/>
    <w:rsid w:val="25C36217"/>
    <w:rsid w:val="25E2734B"/>
    <w:rsid w:val="25E72C89"/>
    <w:rsid w:val="26090B7E"/>
    <w:rsid w:val="261E0966"/>
    <w:rsid w:val="26376BA3"/>
    <w:rsid w:val="264435DC"/>
    <w:rsid w:val="264F09CA"/>
    <w:rsid w:val="265A2EFF"/>
    <w:rsid w:val="265C7550"/>
    <w:rsid w:val="26881E84"/>
    <w:rsid w:val="26A66D21"/>
    <w:rsid w:val="26BB3BBC"/>
    <w:rsid w:val="26C7375D"/>
    <w:rsid w:val="26E215A8"/>
    <w:rsid w:val="26F36740"/>
    <w:rsid w:val="270C7B33"/>
    <w:rsid w:val="27315D1D"/>
    <w:rsid w:val="27471DFC"/>
    <w:rsid w:val="275D1738"/>
    <w:rsid w:val="27724B77"/>
    <w:rsid w:val="27777331"/>
    <w:rsid w:val="279252D1"/>
    <w:rsid w:val="27BE2532"/>
    <w:rsid w:val="27ED73AC"/>
    <w:rsid w:val="27F94901"/>
    <w:rsid w:val="28431AD6"/>
    <w:rsid w:val="284D1B25"/>
    <w:rsid w:val="286839C1"/>
    <w:rsid w:val="288B1C2F"/>
    <w:rsid w:val="28AC708E"/>
    <w:rsid w:val="28AE4A7C"/>
    <w:rsid w:val="28C0398E"/>
    <w:rsid w:val="28DE7ABA"/>
    <w:rsid w:val="293E43A8"/>
    <w:rsid w:val="295254A1"/>
    <w:rsid w:val="2964542C"/>
    <w:rsid w:val="29733406"/>
    <w:rsid w:val="2978275D"/>
    <w:rsid w:val="297A1D6A"/>
    <w:rsid w:val="297E7AB2"/>
    <w:rsid w:val="298619F9"/>
    <w:rsid w:val="298D4125"/>
    <w:rsid w:val="29B03B4A"/>
    <w:rsid w:val="29B57B6B"/>
    <w:rsid w:val="29CF2805"/>
    <w:rsid w:val="29DC1E2E"/>
    <w:rsid w:val="29ED4B1F"/>
    <w:rsid w:val="29F8112E"/>
    <w:rsid w:val="2A00097F"/>
    <w:rsid w:val="2A041623"/>
    <w:rsid w:val="2A556529"/>
    <w:rsid w:val="2A563833"/>
    <w:rsid w:val="2A5A4B26"/>
    <w:rsid w:val="2A9075DF"/>
    <w:rsid w:val="2AA046B1"/>
    <w:rsid w:val="2ABC20B6"/>
    <w:rsid w:val="2ABF7943"/>
    <w:rsid w:val="2AE220B2"/>
    <w:rsid w:val="2AE42A77"/>
    <w:rsid w:val="2AFC1AEE"/>
    <w:rsid w:val="2B053749"/>
    <w:rsid w:val="2B07745C"/>
    <w:rsid w:val="2B0D77EB"/>
    <w:rsid w:val="2B4B2C73"/>
    <w:rsid w:val="2B4E687B"/>
    <w:rsid w:val="2B5E554F"/>
    <w:rsid w:val="2B5E7230"/>
    <w:rsid w:val="2B6B4FB7"/>
    <w:rsid w:val="2B81231E"/>
    <w:rsid w:val="2B8375CA"/>
    <w:rsid w:val="2B9403B7"/>
    <w:rsid w:val="2BA517BD"/>
    <w:rsid w:val="2BAF7C25"/>
    <w:rsid w:val="2BFD0E83"/>
    <w:rsid w:val="2C05036B"/>
    <w:rsid w:val="2C0A00B8"/>
    <w:rsid w:val="2C1E7073"/>
    <w:rsid w:val="2C1F6592"/>
    <w:rsid w:val="2C22657D"/>
    <w:rsid w:val="2C2E0A7D"/>
    <w:rsid w:val="2C412EA7"/>
    <w:rsid w:val="2C507067"/>
    <w:rsid w:val="2C676B8D"/>
    <w:rsid w:val="2C685B3C"/>
    <w:rsid w:val="2C92725E"/>
    <w:rsid w:val="2CCB20AC"/>
    <w:rsid w:val="2CE222E9"/>
    <w:rsid w:val="2CF0667B"/>
    <w:rsid w:val="2CF471A3"/>
    <w:rsid w:val="2D0522BB"/>
    <w:rsid w:val="2D1A1C83"/>
    <w:rsid w:val="2D300825"/>
    <w:rsid w:val="2D362A64"/>
    <w:rsid w:val="2D577A9F"/>
    <w:rsid w:val="2D656721"/>
    <w:rsid w:val="2D802527"/>
    <w:rsid w:val="2D9A1F4B"/>
    <w:rsid w:val="2DAC4350"/>
    <w:rsid w:val="2DAE5215"/>
    <w:rsid w:val="2DC86390"/>
    <w:rsid w:val="2DD37C86"/>
    <w:rsid w:val="2DDF3957"/>
    <w:rsid w:val="2DF03922"/>
    <w:rsid w:val="2DF117A9"/>
    <w:rsid w:val="2DF13C8E"/>
    <w:rsid w:val="2E615B1A"/>
    <w:rsid w:val="2E6B74B7"/>
    <w:rsid w:val="2EA61BBB"/>
    <w:rsid w:val="2EC34E19"/>
    <w:rsid w:val="2ECB6CE0"/>
    <w:rsid w:val="2ECF475B"/>
    <w:rsid w:val="2EE1400D"/>
    <w:rsid w:val="2EE8699B"/>
    <w:rsid w:val="2F012479"/>
    <w:rsid w:val="2F0D6427"/>
    <w:rsid w:val="2F174863"/>
    <w:rsid w:val="2F200E5D"/>
    <w:rsid w:val="2F286BCD"/>
    <w:rsid w:val="2F3A163F"/>
    <w:rsid w:val="2F502E9B"/>
    <w:rsid w:val="2F5677B5"/>
    <w:rsid w:val="2F662C24"/>
    <w:rsid w:val="2F727357"/>
    <w:rsid w:val="2F797A24"/>
    <w:rsid w:val="2F8B5761"/>
    <w:rsid w:val="2F9853F7"/>
    <w:rsid w:val="2FB43BA8"/>
    <w:rsid w:val="2FD162F0"/>
    <w:rsid w:val="2FD6175C"/>
    <w:rsid w:val="2FEB34A5"/>
    <w:rsid w:val="2FEC13E7"/>
    <w:rsid w:val="301343BD"/>
    <w:rsid w:val="3019686B"/>
    <w:rsid w:val="301F6060"/>
    <w:rsid w:val="304C28A4"/>
    <w:rsid w:val="305F3886"/>
    <w:rsid w:val="30AE3848"/>
    <w:rsid w:val="30D667C1"/>
    <w:rsid w:val="30FD24C7"/>
    <w:rsid w:val="30FD7E4F"/>
    <w:rsid w:val="310E217B"/>
    <w:rsid w:val="310F0CCE"/>
    <w:rsid w:val="3117507B"/>
    <w:rsid w:val="314F2165"/>
    <w:rsid w:val="31501985"/>
    <w:rsid w:val="31600571"/>
    <w:rsid w:val="31756C5E"/>
    <w:rsid w:val="31972D74"/>
    <w:rsid w:val="3198461B"/>
    <w:rsid w:val="31A52D70"/>
    <w:rsid w:val="31B20C6D"/>
    <w:rsid w:val="31CF4032"/>
    <w:rsid w:val="31DB16A7"/>
    <w:rsid w:val="31E247FA"/>
    <w:rsid w:val="32005991"/>
    <w:rsid w:val="321162A6"/>
    <w:rsid w:val="32195D2C"/>
    <w:rsid w:val="321D4E26"/>
    <w:rsid w:val="323665FA"/>
    <w:rsid w:val="323E2B17"/>
    <w:rsid w:val="326602D2"/>
    <w:rsid w:val="3294331F"/>
    <w:rsid w:val="329F4483"/>
    <w:rsid w:val="32BD6ABE"/>
    <w:rsid w:val="32F37C58"/>
    <w:rsid w:val="33034F94"/>
    <w:rsid w:val="33042538"/>
    <w:rsid w:val="330D2DDD"/>
    <w:rsid w:val="33125CAA"/>
    <w:rsid w:val="33496BA7"/>
    <w:rsid w:val="3360153A"/>
    <w:rsid w:val="338513BA"/>
    <w:rsid w:val="339976C5"/>
    <w:rsid w:val="339F5A3D"/>
    <w:rsid w:val="33E16185"/>
    <w:rsid w:val="33EE0311"/>
    <w:rsid w:val="33F67097"/>
    <w:rsid w:val="33F73037"/>
    <w:rsid w:val="34032695"/>
    <w:rsid w:val="340877E3"/>
    <w:rsid w:val="341D6B96"/>
    <w:rsid w:val="343873F8"/>
    <w:rsid w:val="3446615A"/>
    <w:rsid w:val="344A31B7"/>
    <w:rsid w:val="34921405"/>
    <w:rsid w:val="349735FA"/>
    <w:rsid w:val="349D6F1D"/>
    <w:rsid w:val="34AC27E0"/>
    <w:rsid w:val="34BD7129"/>
    <w:rsid w:val="34C37383"/>
    <w:rsid w:val="34D128EE"/>
    <w:rsid w:val="34DB40E6"/>
    <w:rsid w:val="34E72C04"/>
    <w:rsid w:val="34EF0FCD"/>
    <w:rsid w:val="34F02F9A"/>
    <w:rsid w:val="34F1693F"/>
    <w:rsid w:val="354424BA"/>
    <w:rsid w:val="357C548B"/>
    <w:rsid w:val="36342FCD"/>
    <w:rsid w:val="36462B59"/>
    <w:rsid w:val="36634985"/>
    <w:rsid w:val="367636C7"/>
    <w:rsid w:val="36A048CE"/>
    <w:rsid w:val="36DF28C1"/>
    <w:rsid w:val="36F6488E"/>
    <w:rsid w:val="370C641A"/>
    <w:rsid w:val="373D24BC"/>
    <w:rsid w:val="37585A33"/>
    <w:rsid w:val="375F3CD9"/>
    <w:rsid w:val="37905D30"/>
    <w:rsid w:val="3794681F"/>
    <w:rsid w:val="37A25784"/>
    <w:rsid w:val="37C02FF1"/>
    <w:rsid w:val="37C82812"/>
    <w:rsid w:val="37CB7AC8"/>
    <w:rsid w:val="37DF7A37"/>
    <w:rsid w:val="37E075C4"/>
    <w:rsid w:val="37E90EF0"/>
    <w:rsid w:val="381C3AFB"/>
    <w:rsid w:val="3844343E"/>
    <w:rsid w:val="38514759"/>
    <w:rsid w:val="385F72F4"/>
    <w:rsid w:val="3865406B"/>
    <w:rsid w:val="387A7688"/>
    <w:rsid w:val="389432FF"/>
    <w:rsid w:val="38AD3E6B"/>
    <w:rsid w:val="38EA2D61"/>
    <w:rsid w:val="38F119B2"/>
    <w:rsid w:val="38F140BB"/>
    <w:rsid w:val="38F43835"/>
    <w:rsid w:val="38FD60DA"/>
    <w:rsid w:val="390309BE"/>
    <w:rsid w:val="39380FA4"/>
    <w:rsid w:val="393861A7"/>
    <w:rsid w:val="396169A7"/>
    <w:rsid w:val="398C4265"/>
    <w:rsid w:val="39955A1C"/>
    <w:rsid w:val="39BC73D2"/>
    <w:rsid w:val="39DE4884"/>
    <w:rsid w:val="39EA05F1"/>
    <w:rsid w:val="39FB0806"/>
    <w:rsid w:val="3A056306"/>
    <w:rsid w:val="3A0F32F1"/>
    <w:rsid w:val="3A281E31"/>
    <w:rsid w:val="3A43428E"/>
    <w:rsid w:val="3AAE76EF"/>
    <w:rsid w:val="3AB120BF"/>
    <w:rsid w:val="3AB1404B"/>
    <w:rsid w:val="3ACC21E7"/>
    <w:rsid w:val="3AD42F2E"/>
    <w:rsid w:val="3AD45650"/>
    <w:rsid w:val="3AFF09FB"/>
    <w:rsid w:val="3B2E1BA4"/>
    <w:rsid w:val="3B3622CB"/>
    <w:rsid w:val="3B3E32DB"/>
    <w:rsid w:val="3B43485D"/>
    <w:rsid w:val="3B43733B"/>
    <w:rsid w:val="3B7655D1"/>
    <w:rsid w:val="3B7A07E4"/>
    <w:rsid w:val="3B911029"/>
    <w:rsid w:val="3B961E69"/>
    <w:rsid w:val="3BA26B32"/>
    <w:rsid w:val="3BA85CBE"/>
    <w:rsid w:val="3BAE425E"/>
    <w:rsid w:val="3BBB4CCD"/>
    <w:rsid w:val="3BC15341"/>
    <w:rsid w:val="3BD8066C"/>
    <w:rsid w:val="3C2454FC"/>
    <w:rsid w:val="3C29407D"/>
    <w:rsid w:val="3C34576E"/>
    <w:rsid w:val="3C4D335F"/>
    <w:rsid w:val="3C751FD3"/>
    <w:rsid w:val="3C877176"/>
    <w:rsid w:val="3C884AD7"/>
    <w:rsid w:val="3C8D359E"/>
    <w:rsid w:val="3C926E07"/>
    <w:rsid w:val="3CAF6472"/>
    <w:rsid w:val="3CC04D06"/>
    <w:rsid w:val="3CC80A7A"/>
    <w:rsid w:val="3CCD1144"/>
    <w:rsid w:val="3CE44D63"/>
    <w:rsid w:val="3CED7AC2"/>
    <w:rsid w:val="3CF76890"/>
    <w:rsid w:val="3CFA53F6"/>
    <w:rsid w:val="3CFF2558"/>
    <w:rsid w:val="3D0F5447"/>
    <w:rsid w:val="3D4000FD"/>
    <w:rsid w:val="3D4E296B"/>
    <w:rsid w:val="3D600C55"/>
    <w:rsid w:val="3D7D7FD7"/>
    <w:rsid w:val="3DA167F8"/>
    <w:rsid w:val="3DAE212E"/>
    <w:rsid w:val="3DB25BD8"/>
    <w:rsid w:val="3DB8034E"/>
    <w:rsid w:val="3DBE49D4"/>
    <w:rsid w:val="3DDF3A20"/>
    <w:rsid w:val="3E0F07EA"/>
    <w:rsid w:val="3E59762E"/>
    <w:rsid w:val="3E5A66B5"/>
    <w:rsid w:val="3E6F14FE"/>
    <w:rsid w:val="3E7449AA"/>
    <w:rsid w:val="3E7C44E5"/>
    <w:rsid w:val="3EA16F0F"/>
    <w:rsid w:val="3EBB33D7"/>
    <w:rsid w:val="3EBC4505"/>
    <w:rsid w:val="3EEB4F17"/>
    <w:rsid w:val="3EF83530"/>
    <w:rsid w:val="3F0119EC"/>
    <w:rsid w:val="3F102A35"/>
    <w:rsid w:val="3F122481"/>
    <w:rsid w:val="3F5B5D0E"/>
    <w:rsid w:val="3F823A99"/>
    <w:rsid w:val="3FAE20C8"/>
    <w:rsid w:val="3FAF2648"/>
    <w:rsid w:val="3FB305B0"/>
    <w:rsid w:val="3FBB12DF"/>
    <w:rsid w:val="3FD22FCB"/>
    <w:rsid w:val="3FD9024B"/>
    <w:rsid w:val="3FE86928"/>
    <w:rsid w:val="3FF2693E"/>
    <w:rsid w:val="3FFC3B0C"/>
    <w:rsid w:val="400027D7"/>
    <w:rsid w:val="400A73F6"/>
    <w:rsid w:val="4038556B"/>
    <w:rsid w:val="40544B97"/>
    <w:rsid w:val="40552625"/>
    <w:rsid w:val="409068B5"/>
    <w:rsid w:val="40920486"/>
    <w:rsid w:val="40AA71FA"/>
    <w:rsid w:val="40BF6E1E"/>
    <w:rsid w:val="40CF018F"/>
    <w:rsid w:val="41170971"/>
    <w:rsid w:val="411F1E4A"/>
    <w:rsid w:val="412D269B"/>
    <w:rsid w:val="41387DF1"/>
    <w:rsid w:val="413D0D2B"/>
    <w:rsid w:val="415E321F"/>
    <w:rsid w:val="416D7380"/>
    <w:rsid w:val="41702712"/>
    <w:rsid w:val="418F1172"/>
    <w:rsid w:val="419B711A"/>
    <w:rsid w:val="41A628D8"/>
    <w:rsid w:val="41BA3087"/>
    <w:rsid w:val="41BC0C39"/>
    <w:rsid w:val="41CE50F9"/>
    <w:rsid w:val="41D97789"/>
    <w:rsid w:val="420677C1"/>
    <w:rsid w:val="423438EF"/>
    <w:rsid w:val="423B2983"/>
    <w:rsid w:val="424A3E00"/>
    <w:rsid w:val="42504C8A"/>
    <w:rsid w:val="426067AB"/>
    <w:rsid w:val="428A0607"/>
    <w:rsid w:val="42B37D61"/>
    <w:rsid w:val="42B84D7A"/>
    <w:rsid w:val="42D334D8"/>
    <w:rsid w:val="42EA698C"/>
    <w:rsid w:val="43036AE8"/>
    <w:rsid w:val="431779C2"/>
    <w:rsid w:val="431A1904"/>
    <w:rsid w:val="43417270"/>
    <w:rsid w:val="434A21E9"/>
    <w:rsid w:val="435A6FD3"/>
    <w:rsid w:val="436C1C33"/>
    <w:rsid w:val="43895BEF"/>
    <w:rsid w:val="439215D4"/>
    <w:rsid w:val="43942EE6"/>
    <w:rsid w:val="43B95991"/>
    <w:rsid w:val="43EA7AC9"/>
    <w:rsid w:val="43EF756E"/>
    <w:rsid w:val="441253A6"/>
    <w:rsid w:val="442A7C2B"/>
    <w:rsid w:val="4443784A"/>
    <w:rsid w:val="444E7CA8"/>
    <w:rsid w:val="44557C84"/>
    <w:rsid w:val="446954FA"/>
    <w:rsid w:val="447C3DC2"/>
    <w:rsid w:val="44856949"/>
    <w:rsid w:val="44A40A0E"/>
    <w:rsid w:val="44AE600B"/>
    <w:rsid w:val="44BA6EFA"/>
    <w:rsid w:val="44C94374"/>
    <w:rsid w:val="44D86B61"/>
    <w:rsid w:val="44E12B24"/>
    <w:rsid w:val="44E76F80"/>
    <w:rsid w:val="44F921CD"/>
    <w:rsid w:val="44FE16D9"/>
    <w:rsid w:val="452D3101"/>
    <w:rsid w:val="453F39D3"/>
    <w:rsid w:val="45434015"/>
    <w:rsid w:val="4550160D"/>
    <w:rsid w:val="455E0AFC"/>
    <w:rsid w:val="4561381A"/>
    <w:rsid w:val="45760C5A"/>
    <w:rsid w:val="45776785"/>
    <w:rsid w:val="4579514B"/>
    <w:rsid w:val="45883DE7"/>
    <w:rsid w:val="45894E66"/>
    <w:rsid w:val="45B44292"/>
    <w:rsid w:val="45B84A1B"/>
    <w:rsid w:val="45CB6414"/>
    <w:rsid w:val="45D47A38"/>
    <w:rsid w:val="45E47981"/>
    <w:rsid w:val="45ED691A"/>
    <w:rsid w:val="45F86D75"/>
    <w:rsid w:val="46104F68"/>
    <w:rsid w:val="46160A05"/>
    <w:rsid w:val="46496788"/>
    <w:rsid w:val="46503E6B"/>
    <w:rsid w:val="4654773E"/>
    <w:rsid w:val="466848A0"/>
    <w:rsid w:val="46897C2E"/>
    <w:rsid w:val="46B061A8"/>
    <w:rsid w:val="46C4694C"/>
    <w:rsid w:val="46C5493C"/>
    <w:rsid w:val="46D52D7A"/>
    <w:rsid w:val="46E4241C"/>
    <w:rsid w:val="46EA66CE"/>
    <w:rsid w:val="46F513E7"/>
    <w:rsid w:val="46F81388"/>
    <w:rsid w:val="470E1E6C"/>
    <w:rsid w:val="473F5479"/>
    <w:rsid w:val="474F39CD"/>
    <w:rsid w:val="47557136"/>
    <w:rsid w:val="47590C4D"/>
    <w:rsid w:val="47775B1B"/>
    <w:rsid w:val="477E06B3"/>
    <w:rsid w:val="4780702C"/>
    <w:rsid w:val="47982FA9"/>
    <w:rsid w:val="47A4433C"/>
    <w:rsid w:val="47A46170"/>
    <w:rsid w:val="47A66C81"/>
    <w:rsid w:val="47B11F32"/>
    <w:rsid w:val="47C441CA"/>
    <w:rsid w:val="47CB0DD4"/>
    <w:rsid w:val="48127078"/>
    <w:rsid w:val="481A4B8D"/>
    <w:rsid w:val="481C380A"/>
    <w:rsid w:val="48373588"/>
    <w:rsid w:val="48472D00"/>
    <w:rsid w:val="48485852"/>
    <w:rsid w:val="484948B1"/>
    <w:rsid w:val="486838FE"/>
    <w:rsid w:val="486D0DAB"/>
    <w:rsid w:val="48733877"/>
    <w:rsid w:val="4876582E"/>
    <w:rsid w:val="48820364"/>
    <w:rsid w:val="489D1FF2"/>
    <w:rsid w:val="48FE61FF"/>
    <w:rsid w:val="48FF7E26"/>
    <w:rsid w:val="49025314"/>
    <w:rsid w:val="490C7F0D"/>
    <w:rsid w:val="4912157B"/>
    <w:rsid w:val="491350FB"/>
    <w:rsid w:val="49202919"/>
    <w:rsid w:val="49383967"/>
    <w:rsid w:val="493D4139"/>
    <w:rsid w:val="49595246"/>
    <w:rsid w:val="49644122"/>
    <w:rsid w:val="4974623C"/>
    <w:rsid w:val="49773840"/>
    <w:rsid w:val="497A1E68"/>
    <w:rsid w:val="497E6E32"/>
    <w:rsid w:val="498C0C17"/>
    <w:rsid w:val="49B237E8"/>
    <w:rsid w:val="49C01457"/>
    <w:rsid w:val="49CA15D4"/>
    <w:rsid w:val="49D22EE2"/>
    <w:rsid w:val="49DD1431"/>
    <w:rsid w:val="49F046E8"/>
    <w:rsid w:val="4A080967"/>
    <w:rsid w:val="4A5200C9"/>
    <w:rsid w:val="4A522AD4"/>
    <w:rsid w:val="4A5438B8"/>
    <w:rsid w:val="4A76001B"/>
    <w:rsid w:val="4A817619"/>
    <w:rsid w:val="4A9621B8"/>
    <w:rsid w:val="4AB625F5"/>
    <w:rsid w:val="4AD90602"/>
    <w:rsid w:val="4ADA20A4"/>
    <w:rsid w:val="4AE55EFA"/>
    <w:rsid w:val="4AE63525"/>
    <w:rsid w:val="4AE65195"/>
    <w:rsid w:val="4AEA4061"/>
    <w:rsid w:val="4AED75ED"/>
    <w:rsid w:val="4B0F558B"/>
    <w:rsid w:val="4B1373A9"/>
    <w:rsid w:val="4B1F04B1"/>
    <w:rsid w:val="4B2626E2"/>
    <w:rsid w:val="4B3A4984"/>
    <w:rsid w:val="4B7419C0"/>
    <w:rsid w:val="4B854124"/>
    <w:rsid w:val="4B9D4B86"/>
    <w:rsid w:val="4BB17805"/>
    <w:rsid w:val="4BC204A9"/>
    <w:rsid w:val="4BF07D17"/>
    <w:rsid w:val="4C0A1033"/>
    <w:rsid w:val="4C14070C"/>
    <w:rsid w:val="4C1574AD"/>
    <w:rsid w:val="4C30759D"/>
    <w:rsid w:val="4C6002F9"/>
    <w:rsid w:val="4C677297"/>
    <w:rsid w:val="4C6F4372"/>
    <w:rsid w:val="4C6F641E"/>
    <w:rsid w:val="4C737781"/>
    <w:rsid w:val="4C926EAB"/>
    <w:rsid w:val="4C9361C4"/>
    <w:rsid w:val="4CAF36B5"/>
    <w:rsid w:val="4CD316EC"/>
    <w:rsid w:val="4D3144D8"/>
    <w:rsid w:val="4D671569"/>
    <w:rsid w:val="4D710D8B"/>
    <w:rsid w:val="4D872DE2"/>
    <w:rsid w:val="4DAF4BFD"/>
    <w:rsid w:val="4DB0533F"/>
    <w:rsid w:val="4DE763B6"/>
    <w:rsid w:val="4DF959AD"/>
    <w:rsid w:val="4DFB01FA"/>
    <w:rsid w:val="4E157041"/>
    <w:rsid w:val="4E2B08C7"/>
    <w:rsid w:val="4E601CC6"/>
    <w:rsid w:val="4E626645"/>
    <w:rsid w:val="4E6673D5"/>
    <w:rsid w:val="4E674EA6"/>
    <w:rsid w:val="4E682305"/>
    <w:rsid w:val="4E8777C2"/>
    <w:rsid w:val="4E9A0044"/>
    <w:rsid w:val="4E9B13F8"/>
    <w:rsid w:val="4E9D46B2"/>
    <w:rsid w:val="4EA25344"/>
    <w:rsid w:val="4EE23F27"/>
    <w:rsid w:val="4EE35053"/>
    <w:rsid w:val="4EEE4370"/>
    <w:rsid w:val="4F087CEF"/>
    <w:rsid w:val="4F184E7B"/>
    <w:rsid w:val="4F4176CC"/>
    <w:rsid w:val="4F5035DF"/>
    <w:rsid w:val="4F534A2E"/>
    <w:rsid w:val="4F5902F9"/>
    <w:rsid w:val="4FB1539E"/>
    <w:rsid w:val="4FBA7C48"/>
    <w:rsid w:val="4FBC6CD4"/>
    <w:rsid w:val="4FC149BC"/>
    <w:rsid w:val="4FD61E69"/>
    <w:rsid w:val="50321C28"/>
    <w:rsid w:val="50362415"/>
    <w:rsid w:val="50540C66"/>
    <w:rsid w:val="506272C2"/>
    <w:rsid w:val="506542F4"/>
    <w:rsid w:val="506E2E56"/>
    <w:rsid w:val="507C4052"/>
    <w:rsid w:val="50A815FE"/>
    <w:rsid w:val="50D85C66"/>
    <w:rsid w:val="50E13A61"/>
    <w:rsid w:val="50F161EA"/>
    <w:rsid w:val="50FD350E"/>
    <w:rsid w:val="510F25DA"/>
    <w:rsid w:val="511308B9"/>
    <w:rsid w:val="511407D9"/>
    <w:rsid w:val="513E6DD3"/>
    <w:rsid w:val="51657878"/>
    <w:rsid w:val="516D21D3"/>
    <w:rsid w:val="51894752"/>
    <w:rsid w:val="51A753B3"/>
    <w:rsid w:val="51BE0D94"/>
    <w:rsid w:val="51C653D5"/>
    <w:rsid w:val="51D4547F"/>
    <w:rsid w:val="51E56579"/>
    <w:rsid w:val="51EB4B97"/>
    <w:rsid w:val="51EF640A"/>
    <w:rsid w:val="521C2DB4"/>
    <w:rsid w:val="522665DD"/>
    <w:rsid w:val="52343778"/>
    <w:rsid w:val="523E560F"/>
    <w:rsid w:val="52456BCD"/>
    <w:rsid w:val="52891358"/>
    <w:rsid w:val="528E2823"/>
    <w:rsid w:val="528F0F2D"/>
    <w:rsid w:val="52981114"/>
    <w:rsid w:val="52A8181B"/>
    <w:rsid w:val="52C4242C"/>
    <w:rsid w:val="52C81223"/>
    <w:rsid w:val="52CC6DA2"/>
    <w:rsid w:val="52FF0BCD"/>
    <w:rsid w:val="53113DAB"/>
    <w:rsid w:val="53141CD8"/>
    <w:rsid w:val="53171124"/>
    <w:rsid w:val="532702BC"/>
    <w:rsid w:val="53365194"/>
    <w:rsid w:val="533B387E"/>
    <w:rsid w:val="536537B0"/>
    <w:rsid w:val="536845B0"/>
    <w:rsid w:val="536D782E"/>
    <w:rsid w:val="537A2650"/>
    <w:rsid w:val="53B40710"/>
    <w:rsid w:val="53B41C29"/>
    <w:rsid w:val="53E766A3"/>
    <w:rsid w:val="540E7263"/>
    <w:rsid w:val="541F2FFD"/>
    <w:rsid w:val="542F3B8E"/>
    <w:rsid w:val="543C1F1F"/>
    <w:rsid w:val="54452F5E"/>
    <w:rsid w:val="546F6062"/>
    <w:rsid w:val="54834FF1"/>
    <w:rsid w:val="54982D47"/>
    <w:rsid w:val="54A12F1D"/>
    <w:rsid w:val="54AD0FF7"/>
    <w:rsid w:val="54BC283A"/>
    <w:rsid w:val="54C04B6A"/>
    <w:rsid w:val="54C25F99"/>
    <w:rsid w:val="54CC4724"/>
    <w:rsid w:val="54E100F9"/>
    <w:rsid w:val="54E50186"/>
    <w:rsid w:val="54F80C4E"/>
    <w:rsid w:val="55185E3E"/>
    <w:rsid w:val="55284C69"/>
    <w:rsid w:val="554904D6"/>
    <w:rsid w:val="554F448D"/>
    <w:rsid w:val="555E56C3"/>
    <w:rsid w:val="559516EF"/>
    <w:rsid w:val="559B0682"/>
    <w:rsid w:val="55AE4859"/>
    <w:rsid w:val="55D62CE5"/>
    <w:rsid w:val="55EE461A"/>
    <w:rsid w:val="563768C3"/>
    <w:rsid w:val="564C3483"/>
    <w:rsid w:val="56521510"/>
    <w:rsid w:val="566701A6"/>
    <w:rsid w:val="567B7BA4"/>
    <w:rsid w:val="569856FA"/>
    <w:rsid w:val="56B376C3"/>
    <w:rsid w:val="56D343D0"/>
    <w:rsid w:val="56F6426B"/>
    <w:rsid w:val="56F95FA8"/>
    <w:rsid w:val="57020F9D"/>
    <w:rsid w:val="5705494D"/>
    <w:rsid w:val="570A1817"/>
    <w:rsid w:val="570E37B6"/>
    <w:rsid w:val="57325EB3"/>
    <w:rsid w:val="573B1F09"/>
    <w:rsid w:val="575622D7"/>
    <w:rsid w:val="575C08D6"/>
    <w:rsid w:val="575E06A3"/>
    <w:rsid w:val="576A3243"/>
    <w:rsid w:val="57936ACC"/>
    <w:rsid w:val="57A66D0D"/>
    <w:rsid w:val="57BB56B5"/>
    <w:rsid w:val="57C6757B"/>
    <w:rsid w:val="57CA34A1"/>
    <w:rsid w:val="57DE0CFA"/>
    <w:rsid w:val="57E90FAA"/>
    <w:rsid w:val="57EA5116"/>
    <w:rsid w:val="58022C3B"/>
    <w:rsid w:val="58042A78"/>
    <w:rsid w:val="581E084B"/>
    <w:rsid w:val="58266D66"/>
    <w:rsid w:val="583A61A6"/>
    <w:rsid w:val="584D7D93"/>
    <w:rsid w:val="58885847"/>
    <w:rsid w:val="589A1D5C"/>
    <w:rsid w:val="589C4862"/>
    <w:rsid w:val="58A963A1"/>
    <w:rsid w:val="58EA213A"/>
    <w:rsid w:val="58FB0A9D"/>
    <w:rsid w:val="590723EA"/>
    <w:rsid w:val="5913208B"/>
    <w:rsid w:val="593F4FFC"/>
    <w:rsid w:val="595A43FC"/>
    <w:rsid w:val="598B438A"/>
    <w:rsid w:val="59A85A64"/>
    <w:rsid w:val="59D21D3F"/>
    <w:rsid w:val="59D3597E"/>
    <w:rsid w:val="59F111B9"/>
    <w:rsid w:val="59F11BFB"/>
    <w:rsid w:val="5A0F734A"/>
    <w:rsid w:val="5A4B35B0"/>
    <w:rsid w:val="5A4C7D10"/>
    <w:rsid w:val="5A5768FB"/>
    <w:rsid w:val="5A7E643E"/>
    <w:rsid w:val="5AB16BE0"/>
    <w:rsid w:val="5AC5409B"/>
    <w:rsid w:val="5AD91645"/>
    <w:rsid w:val="5AE66A7D"/>
    <w:rsid w:val="5B01038F"/>
    <w:rsid w:val="5B21154A"/>
    <w:rsid w:val="5B243ABA"/>
    <w:rsid w:val="5B251EB5"/>
    <w:rsid w:val="5B2C30D6"/>
    <w:rsid w:val="5B433EE3"/>
    <w:rsid w:val="5B5070FC"/>
    <w:rsid w:val="5B525DC9"/>
    <w:rsid w:val="5B6D1531"/>
    <w:rsid w:val="5B77189C"/>
    <w:rsid w:val="5B7C65E8"/>
    <w:rsid w:val="5B9F61FE"/>
    <w:rsid w:val="5BA54F90"/>
    <w:rsid w:val="5BAC3968"/>
    <w:rsid w:val="5BB16805"/>
    <w:rsid w:val="5BCC02CE"/>
    <w:rsid w:val="5BDC4C38"/>
    <w:rsid w:val="5BF1147E"/>
    <w:rsid w:val="5BF65AB0"/>
    <w:rsid w:val="5C0674D2"/>
    <w:rsid w:val="5C0728DA"/>
    <w:rsid w:val="5C107898"/>
    <w:rsid w:val="5C333B13"/>
    <w:rsid w:val="5C527AF0"/>
    <w:rsid w:val="5C5965FB"/>
    <w:rsid w:val="5C6C1330"/>
    <w:rsid w:val="5C884083"/>
    <w:rsid w:val="5CA50038"/>
    <w:rsid w:val="5CB465BA"/>
    <w:rsid w:val="5CCC6D4C"/>
    <w:rsid w:val="5CF453C8"/>
    <w:rsid w:val="5D0035D0"/>
    <w:rsid w:val="5D0F4FCE"/>
    <w:rsid w:val="5D12234B"/>
    <w:rsid w:val="5D2A2C3F"/>
    <w:rsid w:val="5D474F79"/>
    <w:rsid w:val="5D614C55"/>
    <w:rsid w:val="5D81444E"/>
    <w:rsid w:val="5D8D013D"/>
    <w:rsid w:val="5D9A3DCB"/>
    <w:rsid w:val="5D9F40C0"/>
    <w:rsid w:val="5DB94316"/>
    <w:rsid w:val="5DC24EB3"/>
    <w:rsid w:val="5DDF5E8A"/>
    <w:rsid w:val="5DFF1606"/>
    <w:rsid w:val="5E0E6C75"/>
    <w:rsid w:val="5E0F444F"/>
    <w:rsid w:val="5E7B4A4B"/>
    <w:rsid w:val="5E803C1F"/>
    <w:rsid w:val="5EB033F0"/>
    <w:rsid w:val="5EBC35A1"/>
    <w:rsid w:val="5ECF3A06"/>
    <w:rsid w:val="5ED13367"/>
    <w:rsid w:val="5ED8202C"/>
    <w:rsid w:val="5EE7766F"/>
    <w:rsid w:val="5EEA61D6"/>
    <w:rsid w:val="5EF760CE"/>
    <w:rsid w:val="5EF86B45"/>
    <w:rsid w:val="5EFA167B"/>
    <w:rsid w:val="5F1B09D8"/>
    <w:rsid w:val="5F2D67CC"/>
    <w:rsid w:val="5F381638"/>
    <w:rsid w:val="5F5D0687"/>
    <w:rsid w:val="5F91114C"/>
    <w:rsid w:val="5F9B50DE"/>
    <w:rsid w:val="5F9C783E"/>
    <w:rsid w:val="5FB14106"/>
    <w:rsid w:val="5FCF5279"/>
    <w:rsid w:val="5FD3713F"/>
    <w:rsid w:val="5FD55500"/>
    <w:rsid w:val="5FD62602"/>
    <w:rsid w:val="5FDC49F6"/>
    <w:rsid w:val="5FE46D35"/>
    <w:rsid w:val="5FE506D1"/>
    <w:rsid w:val="60147778"/>
    <w:rsid w:val="6033197D"/>
    <w:rsid w:val="606E074D"/>
    <w:rsid w:val="609A0014"/>
    <w:rsid w:val="60B676D7"/>
    <w:rsid w:val="60D44E5B"/>
    <w:rsid w:val="61045522"/>
    <w:rsid w:val="61186D8B"/>
    <w:rsid w:val="612B1258"/>
    <w:rsid w:val="61306A6A"/>
    <w:rsid w:val="613E3C21"/>
    <w:rsid w:val="618B3516"/>
    <w:rsid w:val="618E7B63"/>
    <w:rsid w:val="61B17415"/>
    <w:rsid w:val="61B30511"/>
    <w:rsid w:val="61C31708"/>
    <w:rsid w:val="61E3718C"/>
    <w:rsid w:val="61EB1999"/>
    <w:rsid w:val="61EB4707"/>
    <w:rsid w:val="61FD080A"/>
    <w:rsid w:val="622D72C1"/>
    <w:rsid w:val="624338FE"/>
    <w:rsid w:val="62505B95"/>
    <w:rsid w:val="625774D0"/>
    <w:rsid w:val="62655C64"/>
    <w:rsid w:val="6274637F"/>
    <w:rsid w:val="627B59ED"/>
    <w:rsid w:val="62861BF5"/>
    <w:rsid w:val="6297236F"/>
    <w:rsid w:val="629E74F6"/>
    <w:rsid w:val="62B17737"/>
    <w:rsid w:val="62EE47AC"/>
    <w:rsid w:val="6300246C"/>
    <w:rsid w:val="631657EC"/>
    <w:rsid w:val="631D6DCE"/>
    <w:rsid w:val="63784A9C"/>
    <w:rsid w:val="637E5C28"/>
    <w:rsid w:val="638A2F4A"/>
    <w:rsid w:val="63A257B4"/>
    <w:rsid w:val="63B3161C"/>
    <w:rsid w:val="63B76FCF"/>
    <w:rsid w:val="63ED43D6"/>
    <w:rsid w:val="63FD44AA"/>
    <w:rsid w:val="6419542E"/>
    <w:rsid w:val="641E605D"/>
    <w:rsid w:val="645D19B1"/>
    <w:rsid w:val="647327F6"/>
    <w:rsid w:val="647A2C46"/>
    <w:rsid w:val="647F4FBB"/>
    <w:rsid w:val="64932A3B"/>
    <w:rsid w:val="64B21073"/>
    <w:rsid w:val="64DD4813"/>
    <w:rsid w:val="64FE7625"/>
    <w:rsid w:val="653B2D87"/>
    <w:rsid w:val="653B778C"/>
    <w:rsid w:val="654F0D6A"/>
    <w:rsid w:val="6564563E"/>
    <w:rsid w:val="657D5FF6"/>
    <w:rsid w:val="65896410"/>
    <w:rsid w:val="65A73692"/>
    <w:rsid w:val="65A76DC4"/>
    <w:rsid w:val="65AA2851"/>
    <w:rsid w:val="65BD518A"/>
    <w:rsid w:val="65BD5FB5"/>
    <w:rsid w:val="65F26AC6"/>
    <w:rsid w:val="65F4470B"/>
    <w:rsid w:val="661D0C3C"/>
    <w:rsid w:val="66313D01"/>
    <w:rsid w:val="66317834"/>
    <w:rsid w:val="666A6FDD"/>
    <w:rsid w:val="669607DD"/>
    <w:rsid w:val="66A27276"/>
    <w:rsid w:val="66AC5AB6"/>
    <w:rsid w:val="66AC776C"/>
    <w:rsid w:val="66D537C6"/>
    <w:rsid w:val="66D54628"/>
    <w:rsid w:val="66D64109"/>
    <w:rsid w:val="66D73130"/>
    <w:rsid w:val="67180E8D"/>
    <w:rsid w:val="671F2670"/>
    <w:rsid w:val="672B78DD"/>
    <w:rsid w:val="673555B0"/>
    <w:rsid w:val="674E74A1"/>
    <w:rsid w:val="674F0289"/>
    <w:rsid w:val="675114E9"/>
    <w:rsid w:val="67534FAF"/>
    <w:rsid w:val="676D7E52"/>
    <w:rsid w:val="6787315C"/>
    <w:rsid w:val="67974C01"/>
    <w:rsid w:val="679E77C7"/>
    <w:rsid w:val="67A47755"/>
    <w:rsid w:val="67B8694F"/>
    <w:rsid w:val="67CA0894"/>
    <w:rsid w:val="67D81F32"/>
    <w:rsid w:val="67EE07E6"/>
    <w:rsid w:val="68002F36"/>
    <w:rsid w:val="680152F4"/>
    <w:rsid w:val="68437083"/>
    <w:rsid w:val="689C2474"/>
    <w:rsid w:val="68A05033"/>
    <w:rsid w:val="68A60F41"/>
    <w:rsid w:val="68AC5238"/>
    <w:rsid w:val="68B426E1"/>
    <w:rsid w:val="68E56FC0"/>
    <w:rsid w:val="68E752FF"/>
    <w:rsid w:val="690803B1"/>
    <w:rsid w:val="691B3B5C"/>
    <w:rsid w:val="692F55A0"/>
    <w:rsid w:val="69B77466"/>
    <w:rsid w:val="69BF408D"/>
    <w:rsid w:val="69DF0DFA"/>
    <w:rsid w:val="69F41CFD"/>
    <w:rsid w:val="6A1F207F"/>
    <w:rsid w:val="6A225757"/>
    <w:rsid w:val="6A372C18"/>
    <w:rsid w:val="6A3B5302"/>
    <w:rsid w:val="6A6C6F6A"/>
    <w:rsid w:val="6A70797F"/>
    <w:rsid w:val="6A7A6732"/>
    <w:rsid w:val="6A8D668F"/>
    <w:rsid w:val="6A8F1AFD"/>
    <w:rsid w:val="6A8F2A30"/>
    <w:rsid w:val="6ABB5C52"/>
    <w:rsid w:val="6AFE3056"/>
    <w:rsid w:val="6AFE7BA1"/>
    <w:rsid w:val="6B054AC4"/>
    <w:rsid w:val="6B414112"/>
    <w:rsid w:val="6B514F90"/>
    <w:rsid w:val="6B59419D"/>
    <w:rsid w:val="6B5B0C48"/>
    <w:rsid w:val="6B6C24AC"/>
    <w:rsid w:val="6B8A3837"/>
    <w:rsid w:val="6B930322"/>
    <w:rsid w:val="6B936CFA"/>
    <w:rsid w:val="6B984204"/>
    <w:rsid w:val="6BB6395C"/>
    <w:rsid w:val="6BB85B38"/>
    <w:rsid w:val="6BC869D6"/>
    <w:rsid w:val="6BCB5AF0"/>
    <w:rsid w:val="6BE01E98"/>
    <w:rsid w:val="6BE36933"/>
    <w:rsid w:val="6BF15535"/>
    <w:rsid w:val="6BF67FAC"/>
    <w:rsid w:val="6C301680"/>
    <w:rsid w:val="6C3A1CFC"/>
    <w:rsid w:val="6C5F7A8D"/>
    <w:rsid w:val="6C7451F8"/>
    <w:rsid w:val="6C74641E"/>
    <w:rsid w:val="6C8824FD"/>
    <w:rsid w:val="6C985AA7"/>
    <w:rsid w:val="6CA27B35"/>
    <w:rsid w:val="6CC32B3E"/>
    <w:rsid w:val="6CC8224D"/>
    <w:rsid w:val="6CEB1B36"/>
    <w:rsid w:val="6D0143FC"/>
    <w:rsid w:val="6D1A0491"/>
    <w:rsid w:val="6D222B10"/>
    <w:rsid w:val="6D446FD6"/>
    <w:rsid w:val="6D4C28FF"/>
    <w:rsid w:val="6D5E2F68"/>
    <w:rsid w:val="6D840DA7"/>
    <w:rsid w:val="6D8C14BB"/>
    <w:rsid w:val="6D9A38B1"/>
    <w:rsid w:val="6DB34061"/>
    <w:rsid w:val="6DC73F1A"/>
    <w:rsid w:val="6DD0702B"/>
    <w:rsid w:val="6DEC55AD"/>
    <w:rsid w:val="6DF36AD4"/>
    <w:rsid w:val="6E02573B"/>
    <w:rsid w:val="6E2C6EBF"/>
    <w:rsid w:val="6E377D87"/>
    <w:rsid w:val="6E38305B"/>
    <w:rsid w:val="6E3A57AF"/>
    <w:rsid w:val="6E510020"/>
    <w:rsid w:val="6E7910FC"/>
    <w:rsid w:val="6E821B4F"/>
    <w:rsid w:val="6E9B0020"/>
    <w:rsid w:val="6EA36ACE"/>
    <w:rsid w:val="6EAC4487"/>
    <w:rsid w:val="6ECC71FE"/>
    <w:rsid w:val="6EF54564"/>
    <w:rsid w:val="6F347A9D"/>
    <w:rsid w:val="6F4E23D2"/>
    <w:rsid w:val="6F5076FB"/>
    <w:rsid w:val="6F54601A"/>
    <w:rsid w:val="6F8E5B8D"/>
    <w:rsid w:val="6F9562E9"/>
    <w:rsid w:val="6FA06B69"/>
    <w:rsid w:val="6FA32AFD"/>
    <w:rsid w:val="6FB67AB5"/>
    <w:rsid w:val="6FB82A74"/>
    <w:rsid w:val="6FCB4EAF"/>
    <w:rsid w:val="6FDE24D9"/>
    <w:rsid w:val="6FE85DF8"/>
    <w:rsid w:val="700C13CD"/>
    <w:rsid w:val="7056004D"/>
    <w:rsid w:val="70580C2C"/>
    <w:rsid w:val="70612EE4"/>
    <w:rsid w:val="707A0720"/>
    <w:rsid w:val="708142AE"/>
    <w:rsid w:val="70873B8F"/>
    <w:rsid w:val="709335E5"/>
    <w:rsid w:val="70B410A5"/>
    <w:rsid w:val="70D06363"/>
    <w:rsid w:val="70D716DD"/>
    <w:rsid w:val="71037AE4"/>
    <w:rsid w:val="711A101C"/>
    <w:rsid w:val="7127281B"/>
    <w:rsid w:val="71495D21"/>
    <w:rsid w:val="715C704C"/>
    <w:rsid w:val="717C3BED"/>
    <w:rsid w:val="71B016CE"/>
    <w:rsid w:val="721E2648"/>
    <w:rsid w:val="7230411C"/>
    <w:rsid w:val="72304483"/>
    <w:rsid w:val="72317F63"/>
    <w:rsid w:val="724A69C5"/>
    <w:rsid w:val="72687E50"/>
    <w:rsid w:val="7285727D"/>
    <w:rsid w:val="729C493E"/>
    <w:rsid w:val="72AE2754"/>
    <w:rsid w:val="72B44CB9"/>
    <w:rsid w:val="72C15EB7"/>
    <w:rsid w:val="72FD7C79"/>
    <w:rsid w:val="7310183A"/>
    <w:rsid w:val="732074E4"/>
    <w:rsid w:val="73217FC1"/>
    <w:rsid w:val="73724CC1"/>
    <w:rsid w:val="73867658"/>
    <w:rsid w:val="739D388C"/>
    <w:rsid w:val="73A1102E"/>
    <w:rsid w:val="73C60567"/>
    <w:rsid w:val="73CF00B1"/>
    <w:rsid w:val="73D404BC"/>
    <w:rsid w:val="73F43927"/>
    <w:rsid w:val="744B493D"/>
    <w:rsid w:val="74716CA4"/>
    <w:rsid w:val="747C4E96"/>
    <w:rsid w:val="74B9549F"/>
    <w:rsid w:val="74D62C6C"/>
    <w:rsid w:val="75530B22"/>
    <w:rsid w:val="75654D2A"/>
    <w:rsid w:val="756E2675"/>
    <w:rsid w:val="75736ACE"/>
    <w:rsid w:val="757610FE"/>
    <w:rsid w:val="75896F5F"/>
    <w:rsid w:val="75AF4B5C"/>
    <w:rsid w:val="75B032FD"/>
    <w:rsid w:val="75B259B9"/>
    <w:rsid w:val="75C8097E"/>
    <w:rsid w:val="75C8506C"/>
    <w:rsid w:val="75C962B7"/>
    <w:rsid w:val="75ED062E"/>
    <w:rsid w:val="76000A10"/>
    <w:rsid w:val="760A7432"/>
    <w:rsid w:val="76200A04"/>
    <w:rsid w:val="765832E9"/>
    <w:rsid w:val="76CD3954"/>
    <w:rsid w:val="76CE73B2"/>
    <w:rsid w:val="76E77594"/>
    <w:rsid w:val="76EF4767"/>
    <w:rsid w:val="76EF495F"/>
    <w:rsid w:val="76F109BE"/>
    <w:rsid w:val="76FC3E73"/>
    <w:rsid w:val="770238B5"/>
    <w:rsid w:val="77114244"/>
    <w:rsid w:val="7718418B"/>
    <w:rsid w:val="772A73C6"/>
    <w:rsid w:val="773E4315"/>
    <w:rsid w:val="7765799E"/>
    <w:rsid w:val="7775482E"/>
    <w:rsid w:val="77AD6786"/>
    <w:rsid w:val="77C66B51"/>
    <w:rsid w:val="77CC062E"/>
    <w:rsid w:val="781720DA"/>
    <w:rsid w:val="78214649"/>
    <w:rsid w:val="78497A33"/>
    <w:rsid w:val="78564E4B"/>
    <w:rsid w:val="78A6654F"/>
    <w:rsid w:val="78B77BCE"/>
    <w:rsid w:val="78DF124A"/>
    <w:rsid w:val="78E22C8F"/>
    <w:rsid w:val="78F36FD0"/>
    <w:rsid w:val="78F86C91"/>
    <w:rsid w:val="79107C9F"/>
    <w:rsid w:val="79382508"/>
    <w:rsid w:val="793F4C13"/>
    <w:rsid w:val="79404EEB"/>
    <w:rsid w:val="795132CE"/>
    <w:rsid w:val="79552EF7"/>
    <w:rsid w:val="798C55D8"/>
    <w:rsid w:val="79A55906"/>
    <w:rsid w:val="79B20362"/>
    <w:rsid w:val="79BF22E2"/>
    <w:rsid w:val="79FB073A"/>
    <w:rsid w:val="7A4C57C8"/>
    <w:rsid w:val="7A6B5E16"/>
    <w:rsid w:val="7A7B14BD"/>
    <w:rsid w:val="7AB022E4"/>
    <w:rsid w:val="7AB67138"/>
    <w:rsid w:val="7ABE6CD1"/>
    <w:rsid w:val="7AC87E13"/>
    <w:rsid w:val="7AD0271E"/>
    <w:rsid w:val="7AF5599F"/>
    <w:rsid w:val="7B1B7F85"/>
    <w:rsid w:val="7B2447B4"/>
    <w:rsid w:val="7B391404"/>
    <w:rsid w:val="7B4D0E37"/>
    <w:rsid w:val="7B871C9E"/>
    <w:rsid w:val="7B953D49"/>
    <w:rsid w:val="7BC32905"/>
    <w:rsid w:val="7BDB06D8"/>
    <w:rsid w:val="7BE06E74"/>
    <w:rsid w:val="7BE2630E"/>
    <w:rsid w:val="7BE55F3A"/>
    <w:rsid w:val="7BEB1C14"/>
    <w:rsid w:val="7C174EF6"/>
    <w:rsid w:val="7C1876FC"/>
    <w:rsid w:val="7C1F2ED8"/>
    <w:rsid w:val="7C235250"/>
    <w:rsid w:val="7C3010A1"/>
    <w:rsid w:val="7C381308"/>
    <w:rsid w:val="7C384BC5"/>
    <w:rsid w:val="7C3E7E36"/>
    <w:rsid w:val="7C4A49E9"/>
    <w:rsid w:val="7C670EF3"/>
    <w:rsid w:val="7C7965FD"/>
    <w:rsid w:val="7C817466"/>
    <w:rsid w:val="7CA106CD"/>
    <w:rsid w:val="7CA24DFD"/>
    <w:rsid w:val="7CA80803"/>
    <w:rsid w:val="7CD14164"/>
    <w:rsid w:val="7CDF0A19"/>
    <w:rsid w:val="7CEF56E6"/>
    <w:rsid w:val="7CFB5AF3"/>
    <w:rsid w:val="7CFF4577"/>
    <w:rsid w:val="7D2F29D5"/>
    <w:rsid w:val="7D450D2A"/>
    <w:rsid w:val="7D533911"/>
    <w:rsid w:val="7D737A9A"/>
    <w:rsid w:val="7D7615A5"/>
    <w:rsid w:val="7D85007F"/>
    <w:rsid w:val="7D9E8C65"/>
    <w:rsid w:val="7DAC670D"/>
    <w:rsid w:val="7DB92A5A"/>
    <w:rsid w:val="7DD64786"/>
    <w:rsid w:val="7DDF5387"/>
    <w:rsid w:val="7DF41075"/>
    <w:rsid w:val="7E3F6F0A"/>
    <w:rsid w:val="7E4E00D8"/>
    <w:rsid w:val="7E5E29B8"/>
    <w:rsid w:val="7EA4783B"/>
    <w:rsid w:val="7EAD67B9"/>
    <w:rsid w:val="7EB87481"/>
    <w:rsid w:val="7EC30207"/>
    <w:rsid w:val="7EC9438C"/>
    <w:rsid w:val="7ECA48B4"/>
    <w:rsid w:val="7EDD406B"/>
    <w:rsid w:val="7EEA7E01"/>
    <w:rsid w:val="7EF46BDC"/>
    <w:rsid w:val="7F1948B3"/>
    <w:rsid w:val="7F215260"/>
    <w:rsid w:val="7F894CCD"/>
    <w:rsid w:val="7F955ED6"/>
    <w:rsid w:val="7F9935D5"/>
    <w:rsid w:val="7FAA4D2F"/>
    <w:rsid w:val="7FC20D7E"/>
    <w:rsid w:val="7FC80826"/>
    <w:rsid w:val="7FCA435E"/>
    <w:rsid w:val="7FCF5B15"/>
    <w:rsid w:val="7FD344CC"/>
    <w:rsid w:val="7FD57D8C"/>
    <w:rsid w:val="7FEA021A"/>
    <w:rsid w:val="7FFE20F0"/>
    <w:rsid w:val="D37CF772"/>
    <w:rsid w:val="DDAD60D6"/>
    <w:rsid w:val="FDFE5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87"/>
    <w:qFormat/>
    <w:uiPriority w:val="0"/>
    <w:pPr>
      <w:keepNext/>
      <w:keepLines/>
      <w:spacing w:before="260" w:after="260" w:line="416" w:lineRule="auto"/>
      <w:outlineLvl w:val="2"/>
    </w:pPr>
    <w:rPr>
      <w:b/>
      <w:bCs/>
      <w:sz w:val="32"/>
      <w:szCs w:val="32"/>
    </w:rPr>
  </w:style>
  <w:style w:type="paragraph" w:styleId="6">
    <w:name w:val="heading 4"/>
    <w:basedOn w:val="1"/>
    <w:next w:val="1"/>
    <w:link w:val="243"/>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2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80"/>
    <w:qFormat/>
    <w:uiPriority w:val="0"/>
    <w:pPr>
      <w:keepNext/>
      <w:keepLines/>
      <w:ind w:firstLine="200" w:firstLineChars="200"/>
      <w:outlineLvl w:val="5"/>
    </w:pPr>
    <w:rPr>
      <w:rFonts w:hAnsi="Arial"/>
    </w:rPr>
  </w:style>
  <w:style w:type="paragraph" w:styleId="10">
    <w:name w:val="heading 7"/>
    <w:basedOn w:val="1"/>
    <w:next w:val="1"/>
    <w:link w:val="287"/>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343"/>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44"/>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91"/>
    <w:qFormat/>
    <w:uiPriority w:val="0"/>
    <w:pPr>
      <w:shd w:val="clear" w:color="auto" w:fill="000080"/>
    </w:pPr>
  </w:style>
  <w:style w:type="paragraph" w:styleId="16">
    <w:name w:val="annotation text"/>
    <w:basedOn w:val="1"/>
    <w:link w:val="190"/>
    <w:qFormat/>
    <w:uiPriority w:val="99"/>
    <w:pPr>
      <w:jc w:val="left"/>
    </w:pPr>
  </w:style>
  <w:style w:type="paragraph" w:styleId="17">
    <w:name w:val="Body Text 3"/>
    <w:basedOn w:val="1"/>
    <w:link w:val="312"/>
    <w:qFormat/>
    <w:uiPriority w:val="0"/>
    <w:pPr>
      <w:spacing w:after="120"/>
    </w:pPr>
    <w:rPr>
      <w:sz w:val="16"/>
      <w:szCs w:val="16"/>
    </w:rPr>
  </w:style>
  <w:style w:type="paragraph" w:styleId="18">
    <w:name w:val="Body Text Indent"/>
    <w:basedOn w:val="1"/>
    <w:link w:val="222"/>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97"/>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289"/>
    <w:qFormat/>
    <w:uiPriority w:val="0"/>
    <w:pPr>
      <w:ind w:left="100" w:leftChars="2500"/>
    </w:pPr>
  </w:style>
  <w:style w:type="paragraph" w:styleId="26">
    <w:name w:val="Body Text Indent 2"/>
    <w:basedOn w:val="1"/>
    <w:link w:val="210"/>
    <w:qFormat/>
    <w:uiPriority w:val="0"/>
    <w:pPr>
      <w:widowControl/>
      <w:spacing w:line="480" w:lineRule="auto"/>
      <w:ind w:firstLine="560"/>
      <w:jc w:val="left"/>
    </w:pPr>
    <w:rPr>
      <w:kern w:val="0"/>
      <w:sz w:val="28"/>
    </w:rPr>
  </w:style>
  <w:style w:type="paragraph" w:styleId="27">
    <w:name w:val="endnote text"/>
    <w:basedOn w:val="1"/>
    <w:link w:val="320"/>
    <w:qFormat/>
    <w:uiPriority w:val="0"/>
    <w:pPr>
      <w:widowControl/>
      <w:snapToGrid w:val="0"/>
      <w:jc w:val="left"/>
    </w:pPr>
    <w:rPr>
      <w:rFonts w:ascii="Arial" w:hAnsi="Arial" w:cs="Arial"/>
      <w:kern w:val="0"/>
      <w:sz w:val="20"/>
      <w:lang w:eastAsia="en-US"/>
    </w:rPr>
  </w:style>
  <w:style w:type="paragraph" w:styleId="28">
    <w:name w:val="Balloon Text"/>
    <w:basedOn w:val="1"/>
    <w:link w:val="313"/>
    <w:qFormat/>
    <w:uiPriority w:val="0"/>
    <w:rPr>
      <w:sz w:val="18"/>
      <w:szCs w:val="18"/>
    </w:rPr>
  </w:style>
  <w:style w:type="paragraph" w:styleId="29">
    <w:name w:val="footer"/>
    <w:basedOn w:val="1"/>
    <w:link w:val="341"/>
    <w:qFormat/>
    <w:uiPriority w:val="0"/>
    <w:pPr>
      <w:tabs>
        <w:tab w:val="center" w:pos="4153"/>
        <w:tab w:val="right" w:pos="8306"/>
      </w:tabs>
      <w:snapToGrid w:val="0"/>
      <w:jc w:val="left"/>
    </w:pPr>
    <w:rPr>
      <w:sz w:val="18"/>
      <w:szCs w:val="18"/>
    </w:rPr>
  </w:style>
  <w:style w:type="paragraph" w:styleId="30">
    <w:name w:val="header"/>
    <w:basedOn w:val="1"/>
    <w:link w:val="28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278"/>
    <w:qFormat/>
    <w:uiPriority w:val="0"/>
    <w:pPr>
      <w:widowControl/>
      <w:jc w:val="center"/>
    </w:pPr>
    <w:rPr>
      <w:kern w:val="0"/>
      <w:sz w:val="20"/>
      <w:u w:val="single"/>
      <w:lang w:eastAsia="en-US"/>
    </w:rPr>
  </w:style>
  <w:style w:type="paragraph" w:styleId="34">
    <w:name w:val="footnote text"/>
    <w:basedOn w:val="1"/>
    <w:link w:val="32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347"/>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45"/>
    <w:qFormat/>
    <w:uiPriority w:val="0"/>
    <w:rPr>
      <w:i/>
      <w:iCs/>
      <w:sz w:val="26"/>
    </w:rPr>
  </w:style>
  <w:style w:type="paragraph" w:styleId="40">
    <w:name w:val="HTML Preformatted"/>
    <w:basedOn w:val="1"/>
    <w:link w:val="26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3"/>
    <w:qFormat/>
    <w:uiPriority w:val="0"/>
    <w:pPr>
      <w:widowControl/>
      <w:jc w:val="center"/>
    </w:pPr>
    <w:rPr>
      <w:kern w:val="0"/>
      <w:sz w:val="20"/>
      <w:u w:val="single"/>
      <w:lang w:eastAsia="en-US"/>
    </w:rPr>
  </w:style>
  <w:style w:type="paragraph" w:styleId="44">
    <w:name w:val="annotation subject"/>
    <w:basedOn w:val="16"/>
    <w:next w:val="16"/>
    <w:link w:val="228"/>
    <w:qFormat/>
    <w:uiPriority w:val="0"/>
    <w:rPr>
      <w:b/>
      <w:bCs/>
    </w:rPr>
  </w:style>
  <w:style w:type="paragraph" w:styleId="45">
    <w:name w:val="Body Text First Indent"/>
    <w:basedOn w:val="1"/>
    <w:semiHidden/>
    <w:qFormat/>
    <w:uiPriority w:val="99"/>
    <w:pPr>
      <w:adjustRightInd w:val="0"/>
      <w:spacing w:line="275" w:lineRule="atLeast"/>
      <w:ind w:firstLine="420"/>
      <w:textAlignment w:val="baseline"/>
    </w:pPr>
    <w:rPr>
      <w:rFonts w:eastAsia="楷体_GB2312"/>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Normal_14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59">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p15"/>
    <w:basedOn w:val="1"/>
    <w:qFormat/>
    <w:uiPriority w:val="0"/>
    <w:pPr>
      <w:widowControl/>
      <w:spacing w:after="120"/>
    </w:pPr>
    <w:rPr>
      <w:kern w:val="0"/>
      <w:szCs w:val="21"/>
    </w:rPr>
  </w:style>
  <w:style w:type="paragraph" w:customStyle="1" w:styleId="62">
    <w:name w:val="Normal_12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表格文字"/>
    <w:basedOn w:val="1"/>
    <w:qFormat/>
    <w:uiPriority w:val="0"/>
    <w:pPr>
      <w:adjustRightInd w:val="0"/>
      <w:spacing w:line="420" w:lineRule="atLeast"/>
      <w:jc w:val="left"/>
      <w:textAlignment w:val="baseline"/>
    </w:pPr>
    <w:rPr>
      <w:kern w:val="0"/>
      <w:szCs w:val="20"/>
    </w:rPr>
  </w:style>
  <w:style w:type="paragraph" w:customStyle="1" w:styleId="64">
    <w:name w:val="Normal_14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66">
    <w:name w:val="表格内容"/>
    <w:basedOn w:val="1"/>
    <w:qFormat/>
    <w:uiPriority w:val="0"/>
    <w:pPr>
      <w:suppressLineNumbers/>
      <w:suppressAutoHyphens/>
    </w:pPr>
  </w:style>
  <w:style w:type="paragraph" w:customStyle="1" w:styleId="67">
    <w:name w:val="Quote"/>
    <w:basedOn w:val="1"/>
    <w:next w:val="1"/>
    <w:link w:val="235"/>
    <w:qFormat/>
    <w:uiPriority w:val="0"/>
    <w:rPr>
      <w:i/>
      <w:iCs/>
      <w:color w:val="000000"/>
      <w:szCs w:val="22"/>
    </w:rPr>
  </w:style>
  <w:style w:type="paragraph" w:customStyle="1" w:styleId="68">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9">
    <w:name w:val="自定样式1"/>
    <w:basedOn w:val="1"/>
    <w:qFormat/>
    <w:uiPriority w:val="0"/>
    <w:pPr>
      <w:suppressAutoHyphens/>
      <w:jc w:val="center"/>
    </w:pPr>
    <w:rPr>
      <w:rFonts w:ascii="宋体" w:hAnsi="宋体"/>
      <w:color w:val="000000"/>
      <w:sz w:val="18"/>
    </w:rPr>
  </w:style>
  <w:style w:type="paragraph" w:customStyle="1" w:styleId="7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71">
    <w:name w:val="标题5"/>
    <w:basedOn w:val="5"/>
    <w:link w:val="241"/>
    <w:qFormat/>
    <w:uiPriority w:val="0"/>
    <w:pPr>
      <w:spacing w:line="413" w:lineRule="auto"/>
    </w:pPr>
    <w:rPr>
      <w:rFonts w:ascii="Arial" w:hAnsi="Arial"/>
      <w:kern w:val="0"/>
      <w:sz w:val="24"/>
    </w:rPr>
  </w:style>
  <w:style w:type="paragraph" w:customStyle="1" w:styleId="72">
    <w:name w:val="Char Char"/>
    <w:basedOn w:val="1"/>
    <w:qFormat/>
    <w:uiPriority w:val="0"/>
    <w:pPr>
      <w:widowControl/>
      <w:jc w:val="left"/>
    </w:pPr>
    <w:rPr>
      <w:rFonts w:ascii="Verdana" w:hAnsi="Verdana" w:eastAsia="Times New Roman"/>
      <w:kern w:val="0"/>
      <w:sz w:val="16"/>
      <w:szCs w:val="20"/>
      <w:lang w:eastAsia="en-US"/>
    </w:rPr>
  </w:style>
  <w:style w:type="paragraph" w:customStyle="1" w:styleId="7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74">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75">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6">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7">
    <w:name w:val="List Paragraph"/>
    <w:basedOn w:val="1"/>
    <w:qFormat/>
    <w:uiPriority w:val="0"/>
    <w:pPr>
      <w:ind w:firstLine="420" w:firstLineChars="200"/>
    </w:pPr>
    <w:rPr>
      <w:sz w:val="28"/>
      <w:szCs w:val="28"/>
    </w:rPr>
  </w:style>
  <w:style w:type="paragraph" w:customStyle="1" w:styleId="7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9">
    <w:name w:val="Normal_13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80">
    <w:name w:val="标准样式1"/>
    <w:basedOn w:val="1"/>
    <w:qFormat/>
    <w:uiPriority w:val="0"/>
    <w:pPr>
      <w:spacing w:line="600" w:lineRule="exact"/>
      <w:ind w:firstLine="567"/>
    </w:pPr>
    <w:rPr>
      <w:rFonts w:ascii="Calibri" w:hAnsi="Calibri"/>
      <w:sz w:val="28"/>
    </w:rPr>
  </w:style>
  <w:style w:type="paragraph" w:customStyle="1" w:styleId="81">
    <w:name w:val="引用2"/>
    <w:basedOn w:val="1"/>
    <w:next w:val="1"/>
    <w:link w:val="189"/>
    <w:qFormat/>
    <w:uiPriority w:val="0"/>
    <w:rPr>
      <w:i/>
      <w:iCs/>
      <w:color w:val="000000"/>
    </w:rPr>
  </w:style>
  <w:style w:type="paragraph" w:customStyle="1" w:styleId="8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83">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84">
    <w:name w:val="列出段落11"/>
    <w:basedOn w:val="1"/>
    <w:qFormat/>
    <w:uiPriority w:val="0"/>
    <w:pPr>
      <w:ind w:firstLine="420" w:firstLineChars="200"/>
    </w:pPr>
    <w:rPr>
      <w:sz w:val="28"/>
      <w:szCs w:val="28"/>
    </w:rPr>
  </w:style>
  <w:style w:type="paragraph" w:customStyle="1" w:styleId="85">
    <w:name w:val="表格标题"/>
    <w:basedOn w:val="66"/>
    <w:qFormat/>
    <w:uiPriority w:val="0"/>
  </w:style>
  <w:style w:type="paragraph" w:customStyle="1" w:styleId="86">
    <w:name w:val="明显引用1"/>
    <w:basedOn w:val="1"/>
    <w:next w:val="1"/>
    <w:link w:val="353"/>
    <w:qFormat/>
    <w:uiPriority w:val="30"/>
    <w:pPr>
      <w:pBdr>
        <w:bottom w:val="single" w:color="4F81BD" w:sz="4" w:space="4"/>
      </w:pBdr>
      <w:spacing w:before="200" w:after="280"/>
      <w:ind w:left="936" w:right="936"/>
    </w:pPr>
    <w:rPr>
      <w:b/>
      <w:bCs/>
      <w:i/>
      <w:iCs/>
      <w:color w:val="4F81BD"/>
      <w:szCs w:val="20"/>
    </w:rPr>
  </w:style>
  <w:style w:type="paragraph" w:customStyle="1" w:styleId="87">
    <w:name w:val="Char Char Char Char"/>
    <w:basedOn w:val="15"/>
    <w:qFormat/>
    <w:uiPriority w:val="0"/>
    <w:pPr>
      <w:spacing w:line="360" w:lineRule="auto"/>
      <w:ind w:firstLine="200" w:firstLineChars="200"/>
    </w:pPr>
    <w:rPr>
      <w:rFonts w:ascii="Tahoma" w:hAnsi="Tahoma"/>
      <w:sz w:val="24"/>
    </w:rPr>
  </w:style>
  <w:style w:type="paragraph" w:customStyle="1" w:styleId="88">
    <w:name w:val="引用1"/>
    <w:basedOn w:val="1"/>
    <w:next w:val="1"/>
    <w:link w:val="225"/>
    <w:qFormat/>
    <w:uiPriority w:val="29"/>
    <w:rPr>
      <w:i/>
      <w:iCs/>
      <w:color w:val="000000"/>
      <w:szCs w:val="20"/>
    </w:rPr>
  </w:style>
  <w:style w:type="paragraph" w:customStyle="1" w:styleId="89">
    <w:name w:val="Char9 Char Char Char Char Char Char"/>
    <w:basedOn w:val="15"/>
    <w:qFormat/>
    <w:uiPriority w:val="0"/>
    <w:pPr>
      <w:spacing w:line="360" w:lineRule="auto"/>
      <w:ind w:firstLine="200" w:firstLineChars="200"/>
    </w:pPr>
    <w:rPr>
      <w:rFonts w:ascii="Tahoma" w:hAnsi="Tahoma"/>
      <w:sz w:val="24"/>
    </w:rPr>
  </w:style>
  <w:style w:type="paragraph" w:customStyle="1" w:styleId="90">
    <w:name w:val="Normal_2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1">
    <w:name w:val="font5"/>
    <w:basedOn w:val="1"/>
    <w:link w:val="310"/>
    <w:qFormat/>
    <w:uiPriority w:val="0"/>
    <w:pPr>
      <w:widowControl/>
      <w:spacing w:before="100" w:beforeAutospacing="1" w:after="100" w:afterAutospacing="1"/>
      <w:jc w:val="left"/>
    </w:pPr>
    <w:rPr>
      <w:rFonts w:ascii="宋体" w:hAnsi="宋体"/>
      <w:kern w:val="0"/>
      <w:sz w:val="24"/>
    </w:rPr>
  </w:style>
  <w:style w:type="paragraph" w:customStyle="1" w:styleId="9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3">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94">
    <w:name w:val="Normal_2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5">
    <w:name w:val="TOC 标题2"/>
    <w:basedOn w:val="3"/>
    <w:next w:val="1"/>
    <w:unhideWhenUsed/>
    <w:qFormat/>
    <w:uiPriority w:val="0"/>
    <w:pPr>
      <w:outlineLvl w:val="9"/>
    </w:pPr>
    <w:rPr>
      <w:rFonts w:ascii="Calibri" w:hAnsi="Calibri"/>
    </w:rPr>
  </w:style>
  <w:style w:type="paragraph" w:customStyle="1" w:styleId="96">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97">
    <w:name w:val="pa-27"/>
    <w:basedOn w:val="1"/>
    <w:qFormat/>
    <w:uiPriority w:val="0"/>
    <w:pPr>
      <w:widowControl/>
      <w:spacing w:line="360" w:lineRule="atLeast"/>
      <w:ind w:firstLine="420"/>
    </w:pPr>
    <w:rPr>
      <w:rFonts w:ascii="宋体" w:hAnsi="宋体" w:cs="宋体"/>
      <w:kern w:val="0"/>
      <w:sz w:val="24"/>
    </w:rPr>
  </w:style>
  <w:style w:type="paragraph" w:customStyle="1" w:styleId="98">
    <w:name w:val="Normal_1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9">
    <w:name w:val="标题4"/>
    <w:basedOn w:val="4"/>
    <w:next w:val="20"/>
    <w:link w:val="342"/>
    <w:qFormat/>
    <w:uiPriority w:val="0"/>
    <w:pPr>
      <w:spacing w:line="413" w:lineRule="auto"/>
    </w:pPr>
    <w:rPr>
      <w:rFonts w:ascii="Arial" w:hAnsi="Arial"/>
      <w:kern w:val="0"/>
      <w:sz w:val="24"/>
    </w:rPr>
  </w:style>
  <w:style w:type="paragraph" w:customStyle="1" w:styleId="10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03">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104">
    <w:name w:val="_Style 10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5">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6">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Char1"/>
    <w:basedOn w:val="1"/>
    <w:qFormat/>
    <w:uiPriority w:val="0"/>
  </w:style>
  <w:style w:type="paragraph" w:customStyle="1" w:styleId="109">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110">
    <w:name w:val="p16"/>
    <w:basedOn w:val="1"/>
    <w:qFormat/>
    <w:uiPriority w:val="0"/>
    <w:pPr>
      <w:widowControl/>
    </w:pPr>
    <w:rPr>
      <w:rFonts w:ascii="Calibri" w:hAnsi="Calibri" w:cs="宋体"/>
      <w:kern w:val="0"/>
      <w:szCs w:val="21"/>
    </w:rPr>
  </w:style>
  <w:style w:type="paragraph" w:customStyle="1" w:styleId="11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2">
    <w:name w:val="Normal_12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Char"/>
    <w:basedOn w:val="1"/>
    <w:qFormat/>
    <w:uiPriority w:val="0"/>
  </w:style>
  <w:style w:type="paragraph" w:customStyle="1" w:styleId="11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11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pa-34"/>
    <w:basedOn w:val="1"/>
    <w:qFormat/>
    <w:uiPriority w:val="0"/>
    <w:pPr>
      <w:widowControl/>
      <w:spacing w:line="360" w:lineRule="atLeast"/>
      <w:ind w:firstLine="420"/>
      <w:jc w:val="left"/>
    </w:pPr>
    <w:rPr>
      <w:rFonts w:ascii="宋体" w:hAnsi="宋体" w:cs="宋体"/>
      <w:kern w:val="0"/>
      <w:sz w:val="24"/>
    </w:rPr>
  </w:style>
  <w:style w:type="paragraph" w:customStyle="1" w:styleId="117">
    <w:name w:val="招标章"/>
    <w:basedOn w:val="1"/>
    <w:link w:val="316"/>
    <w:qFormat/>
    <w:uiPriority w:val="0"/>
    <w:pPr>
      <w:spacing w:line="360" w:lineRule="auto"/>
      <w:jc w:val="center"/>
      <w:outlineLvl w:val="0"/>
    </w:pPr>
    <w:rPr>
      <w:rFonts w:eastAsia="黑体"/>
      <w:b/>
      <w:kern w:val="0"/>
      <w:sz w:val="32"/>
    </w:rPr>
  </w:style>
  <w:style w:type="paragraph" w:customStyle="1" w:styleId="118">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1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1">
    <w:name w:val="修订1"/>
    <w:qFormat/>
    <w:uiPriority w:val="0"/>
    <w:rPr>
      <w:rFonts w:ascii="Times New Roman" w:hAnsi="Times New Roman" w:eastAsia="宋体" w:cs="Times New Roman"/>
      <w:kern w:val="2"/>
      <w:sz w:val="21"/>
      <w:szCs w:val="24"/>
      <w:lang w:val="en-US" w:eastAsia="zh-CN" w:bidi="ar-SA"/>
    </w:rPr>
  </w:style>
  <w:style w:type="paragraph" w:customStyle="1" w:styleId="122">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2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2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2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列出段落1"/>
    <w:basedOn w:val="1"/>
    <w:qFormat/>
    <w:uiPriority w:val="0"/>
    <w:pPr>
      <w:ind w:firstLine="420" w:firstLineChars="200"/>
    </w:pPr>
    <w:rPr>
      <w:sz w:val="28"/>
      <w:szCs w:val="28"/>
    </w:rPr>
  </w:style>
  <w:style w:type="paragraph" w:customStyle="1" w:styleId="128">
    <w:name w:val="Normal_1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1">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表格2"/>
    <w:basedOn w:val="1"/>
    <w:qFormat/>
    <w:uiPriority w:val="0"/>
    <w:pPr>
      <w:adjustRightInd w:val="0"/>
      <w:spacing w:before="60" w:after="60"/>
      <w:jc w:val="center"/>
    </w:pPr>
    <w:rPr>
      <w:rFonts w:ascii="宋体"/>
      <w:color w:val="000000"/>
      <w:kern w:val="0"/>
      <w:sz w:val="24"/>
      <w:szCs w:val="20"/>
    </w:rPr>
  </w:style>
  <w:style w:type="paragraph" w:customStyle="1" w:styleId="136">
    <w:name w:val="样式1"/>
    <w:basedOn w:val="1"/>
    <w:next w:val="6"/>
    <w:qFormat/>
    <w:uiPriority w:val="0"/>
    <w:pPr>
      <w:spacing w:line="360" w:lineRule="auto"/>
      <w:ind w:firstLine="420" w:firstLineChars="200"/>
    </w:pPr>
    <w:rPr>
      <w:rFonts w:ascii="宋体" w:hAnsi="宋体"/>
      <w:szCs w:val="21"/>
    </w:rPr>
  </w:style>
  <w:style w:type="paragraph" w:customStyle="1" w:styleId="13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9">
    <w:name w:val="Intense Quote"/>
    <w:basedOn w:val="1"/>
    <w:next w:val="1"/>
    <w:link w:val="319"/>
    <w:qFormat/>
    <w:uiPriority w:val="0"/>
    <w:pPr>
      <w:pBdr>
        <w:bottom w:val="single" w:color="4F81BD" w:sz="4" w:space="4"/>
      </w:pBdr>
      <w:spacing w:before="200" w:after="280"/>
      <w:ind w:left="936" w:right="936"/>
    </w:pPr>
    <w:rPr>
      <w:b/>
      <w:bCs/>
      <w:i/>
      <w:iCs/>
      <w:color w:val="4F81BD"/>
      <w:szCs w:val="22"/>
    </w:rPr>
  </w:style>
  <w:style w:type="paragraph" w:customStyle="1" w:styleId="140">
    <w:name w:val="Normal_13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1 Char"/>
    <w:basedOn w:val="1"/>
    <w:qFormat/>
    <w:uiPriority w:val="0"/>
    <w:pPr>
      <w:widowControl/>
      <w:spacing w:after="160" w:line="240" w:lineRule="exact"/>
      <w:jc w:val="left"/>
    </w:pPr>
    <w:rPr>
      <w:rFonts w:ascii="Calibri" w:hAnsi="Calibri"/>
      <w:szCs w:val="20"/>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21"/>
    <w:basedOn w:val="1"/>
    <w:qFormat/>
    <w:uiPriority w:val="0"/>
  </w:style>
  <w:style w:type="paragraph" w:customStyle="1" w:styleId="1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7">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8">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9">
    <w:name w:val="Normal_1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0">
    <w:name w:val="Normal_14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1">
    <w:name w:val="正  文"/>
    <w:basedOn w:val="1"/>
    <w:qFormat/>
    <w:uiPriority w:val="0"/>
    <w:pPr>
      <w:spacing w:line="360" w:lineRule="auto"/>
      <w:ind w:firstLine="200" w:firstLineChars="200"/>
    </w:pPr>
    <w:rPr>
      <w:rFonts w:ascii="宋体" w:hAnsi="Calibri"/>
      <w:sz w:val="24"/>
    </w:rPr>
  </w:style>
  <w:style w:type="paragraph" w:customStyle="1" w:styleId="152">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53">
    <w:name w:val="Normal_2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7">
    <w:name w:val="招标节"/>
    <w:basedOn w:val="1"/>
    <w:next w:val="1"/>
    <w:link w:val="277"/>
    <w:qFormat/>
    <w:uiPriority w:val="0"/>
    <w:pPr>
      <w:spacing w:beforeLines="50" w:afterLines="50"/>
      <w:outlineLvl w:val="1"/>
    </w:pPr>
    <w:rPr>
      <w:b/>
      <w:kern w:val="0"/>
      <w:sz w:val="24"/>
    </w:rPr>
  </w:style>
  <w:style w:type="paragraph" w:customStyle="1" w:styleId="158">
    <w:name w:val="Normal_1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9">
    <w:name w:val="WW-表格标题"/>
    <w:basedOn w:val="160"/>
    <w:qFormat/>
    <w:uiPriority w:val="0"/>
  </w:style>
  <w:style w:type="paragraph" w:customStyle="1" w:styleId="160">
    <w:name w:val="WW-表格内容"/>
    <w:basedOn w:val="1"/>
    <w:qFormat/>
    <w:uiPriority w:val="0"/>
    <w:pPr>
      <w:suppressLineNumbers/>
      <w:suppressAutoHyphens/>
    </w:pPr>
  </w:style>
  <w:style w:type="paragraph" w:customStyle="1" w:styleId="1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62">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64">
    <w:name w:val="_Style 162"/>
    <w:qFormat/>
    <w:uiPriority w:val="0"/>
    <w:rPr>
      <w:rFonts w:ascii="Times New Roman" w:hAnsi="Times New Roman" w:eastAsia="宋体" w:cs="Times New Roman"/>
      <w:kern w:val="2"/>
      <w:sz w:val="21"/>
      <w:szCs w:val="24"/>
      <w:lang w:val="en-US" w:eastAsia="zh-CN" w:bidi="ar-SA"/>
    </w:rPr>
  </w:style>
  <w:style w:type="paragraph" w:customStyle="1" w:styleId="165">
    <w:name w:val="招标正文"/>
    <w:basedOn w:val="1"/>
    <w:link w:val="338"/>
    <w:qFormat/>
    <w:uiPriority w:val="0"/>
    <w:pPr>
      <w:spacing w:line="300" w:lineRule="auto"/>
      <w:ind w:firstLine="420" w:firstLineChars="200"/>
    </w:pPr>
    <w:rPr>
      <w:rFonts w:ascii="宋体" w:hAnsi="宋体"/>
      <w:color w:val="0070C0"/>
      <w:kern w:val="0"/>
      <w:sz w:val="20"/>
      <w:szCs w:val="21"/>
    </w:rPr>
  </w:style>
  <w:style w:type="paragraph" w:customStyle="1" w:styleId="166">
    <w:name w:val="Normal_12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8">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9">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0">
    <w:name w:val="Char2"/>
    <w:basedOn w:val="1"/>
    <w:qFormat/>
    <w:uiPriority w:val="0"/>
    <w:rPr>
      <w:rFonts w:ascii="Calibri" w:hAnsi="Calibri"/>
    </w:rPr>
  </w:style>
  <w:style w:type="paragraph" w:customStyle="1" w:styleId="171">
    <w:name w:val="Normal_1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2">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表体"/>
    <w:basedOn w:val="1"/>
    <w:next w:val="1"/>
    <w:qFormat/>
    <w:uiPriority w:val="0"/>
    <w:pPr>
      <w:spacing w:line="0" w:lineRule="atLeast"/>
    </w:pPr>
    <w:rPr>
      <w:rFonts w:ascii="Calibri" w:hAnsi="Calibri"/>
      <w:b/>
      <w:snapToGrid w:val="0"/>
      <w:szCs w:val="20"/>
    </w:rPr>
  </w:style>
  <w:style w:type="paragraph" w:customStyle="1" w:styleId="174">
    <w:name w:val="标题21"/>
    <w:basedOn w:val="4"/>
    <w:next w:val="1"/>
    <w:qFormat/>
    <w:uiPriority w:val="0"/>
    <w:pPr>
      <w:snapToGrid w:val="0"/>
      <w:spacing w:before="120" w:after="120" w:line="240" w:lineRule="auto"/>
      <w:jc w:val="left"/>
    </w:pPr>
    <w:rPr>
      <w:rFonts w:ascii="Arial" w:hAnsi="Arial" w:eastAsia="黑体"/>
      <w:bCs w:val="0"/>
      <w:sz w:val="21"/>
      <w:szCs w:val="21"/>
    </w:rPr>
  </w:style>
  <w:style w:type="paragraph" w:customStyle="1" w:styleId="175">
    <w:name w:val="Normal_13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6">
    <w:name w:val="_Style 87"/>
    <w:basedOn w:val="1"/>
    <w:qFormat/>
    <w:uiPriority w:val="99"/>
    <w:pPr>
      <w:ind w:firstLine="420" w:firstLineChars="200"/>
    </w:pPr>
    <w:rPr>
      <w:rFonts w:ascii="Calibri" w:hAnsi="Calibri"/>
      <w:sz w:val="28"/>
      <w:szCs w:val="28"/>
    </w:rPr>
  </w:style>
  <w:style w:type="paragraph" w:customStyle="1" w:styleId="17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78">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179">
    <w:name w:val="Normal_12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2">
    <w:name w:val="标题 3 Char"/>
    <w:qFormat/>
    <w:uiPriority w:val="0"/>
    <w:rPr>
      <w:rFonts w:ascii="仿宋_GB2312" w:hAnsi="Calibri" w:eastAsia="仿宋_GB2312" w:cs="Times New Roman"/>
      <w:b/>
      <w:kern w:val="0"/>
      <w:sz w:val="24"/>
      <w:szCs w:val="28"/>
    </w:rPr>
  </w:style>
  <w:style w:type="character" w:customStyle="1" w:styleId="183">
    <w:name w:val="标题 9 Char"/>
    <w:qFormat/>
    <w:uiPriority w:val="0"/>
    <w:rPr>
      <w:rFonts w:ascii="Arial" w:hAnsi="Arial" w:eastAsia="黑体" w:cs="Times New Roman"/>
      <w:szCs w:val="21"/>
    </w:rPr>
  </w:style>
  <w:style w:type="character" w:customStyle="1" w:styleId="184">
    <w:name w:val="纯文本 Char1"/>
    <w:qFormat/>
    <w:uiPriority w:val="0"/>
    <w:rPr>
      <w:rFonts w:ascii="宋体" w:hAnsi="Courier New" w:cs="Courier New"/>
      <w:kern w:val="2"/>
      <w:sz w:val="21"/>
      <w:szCs w:val="21"/>
    </w:rPr>
  </w:style>
  <w:style w:type="character" w:customStyle="1" w:styleId="185">
    <w:name w:val="docpro"/>
    <w:basedOn w:val="48"/>
    <w:qFormat/>
    <w:uiPriority w:val="0"/>
  </w:style>
  <w:style w:type="character" w:customStyle="1" w:styleId="186">
    <w:name w:val="unnamed1"/>
    <w:basedOn w:val="48"/>
    <w:qFormat/>
    <w:uiPriority w:val="0"/>
  </w:style>
  <w:style w:type="character" w:customStyle="1" w:styleId="187">
    <w:name w:val="标题 3 Char2"/>
    <w:link w:val="5"/>
    <w:qFormat/>
    <w:uiPriority w:val="0"/>
    <w:rPr>
      <w:rFonts w:eastAsia="宋体"/>
      <w:b/>
      <w:bCs/>
      <w:kern w:val="2"/>
      <w:sz w:val="32"/>
      <w:szCs w:val="32"/>
      <w:lang w:val="en-US" w:eastAsia="zh-CN" w:bidi="ar-SA"/>
    </w:rPr>
  </w:style>
  <w:style w:type="character" w:customStyle="1" w:styleId="188">
    <w:name w:val="正文文本缩进 2 Char2"/>
    <w:semiHidden/>
    <w:qFormat/>
    <w:uiPriority w:val="99"/>
    <w:rPr>
      <w:rFonts w:ascii="Calibri" w:hAnsi="Calibri" w:eastAsia="宋体" w:cs="Times New Roman"/>
      <w:szCs w:val="24"/>
    </w:rPr>
  </w:style>
  <w:style w:type="character" w:customStyle="1" w:styleId="189">
    <w:name w:val="引用 Char"/>
    <w:link w:val="81"/>
    <w:qFormat/>
    <w:uiPriority w:val="0"/>
    <w:rPr>
      <w:rFonts w:ascii="Times New Roman" w:hAnsi="Times New Roman" w:eastAsia="宋体" w:cs="Times New Roman"/>
      <w:i/>
      <w:iCs/>
      <w:color w:val="000000"/>
      <w:kern w:val="2"/>
      <w:sz w:val="21"/>
      <w:szCs w:val="24"/>
    </w:rPr>
  </w:style>
  <w:style w:type="character" w:customStyle="1" w:styleId="190">
    <w:name w:val="批注文字 Char3"/>
    <w:link w:val="16"/>
    <w:qFormat/>
    <w:uiPriority w:val="99"/>
    <w:rPr>
      <w:rFonts w:eastAsia="宋体"/>
      <w:kern w:val="2"/>
      <w:sz w:val="21"/>
      <w:szCs w:val="24"/>
      <w:lang w:val="en-US" w:eastAsia="zh-CN" w:bidi="ar-SA"/>
    </w:rPr>
  </w:style>
  <w:style w:type="character" w:customStyle="1" w:styleId="191">
    <w:name w:val="文档结构图 Char4"/>
    <w:link w:val="15"/>
    <w:qFormat/>
    <w:uiPriority w:val="0"/>
    <w:rPr>
      <w:rFonts w:eastAsia="宋体"/>
      <w:kern w:val="2"/>
      <w:sz w:val="21"/>
      <w:szCs w:val="24"/>
      <w:lang w:val="en-US" w:eastAsia="zh-CN" w:bidi="ar-SA"/>
    </w:rPr>
  </w:style>
  <w:style w:type="character" w:customStyle="1" w:styleId="192">
    <w:name w:val="color_red1"/>
    <w:qFormat/>
    <w:uiPriority w:val="0"/>
    <w:rPr>
      <w:color w:val="FA0004"/>
    </w:rPr>
  </w:style>
  <w:style w:type="character" w:customStyle="1" w:styleId="193">
    <w:name w:val="Char Char23"/>
    <w:qFormat/>
    <w:uiPriority w:val="0"/>
    <w:rPr>
      <w:rFonts w:ascii="Cambria" w:hAnsi="Cambria" w:eastAsia="宋体" w:cs="Times New Roman"/>
      <w:b/>
      <w:bCs/>
      <w:kern w:val="2"/>
      <w:sz w:val="32"/>
      <w:szCs w:val="32"/>
    </w:rPr>
  </w:style>
  <w:style w:type="character" w:customStyle="1" w:styleId="194">
    <w:name w:val="页眉 Char"/>
    <w:qFormat/>
    <w:uiPriority w:val="0"/>
    <w:rPr>
      <w:sz w:val="18"/>
      <w:szCs w:val="18"/>
    </w:rPr>
  </w:style>
  <w:style w:type="character" w:customStyle="1" w:styleId="195">
    <w:name w:val="尾注文本 Char1"/>
    <w:qFormat/>
    <w:uiPriority w:val="0"/>
    <w:rPr>
      <w:rFonts w:ascii="Arial" w:hAnsi="Arial" w:cs="Arial"/>
      <w:szCs w:val="24"/>
      <w:lang w:eastAsia="en-US"/>
    </w:rPr>
  </w:style>
  <w:style w:type="character" w:customStyle="1" w:styleId="196">
    <w:name w:val="不明显强调1"/>
    <w:qFormat/>
    <w:uiPriority w:val="0"/>
    <w:rPr>
      <w:i/>
      <w:iCs/>
      <w:color w:val="808080"/>
    </w:rPr>
  </w:style>
  <w:style w:type="character" w:customStyle="1" w:styleId="197">
    <w:name w:val="Char Char24"/>
    <w:qFormat/>
    <w:uiPriority w:val="0"/>
    <w:rPr>
      <w:b/>
      <w:bCs/>
      <w:kern w:val="44"/>
      <w:sz w:val="44"/>
      <w:szCs w:val="44"/>
    </w:rPr>
  </w:style>
  <w:style w:type="character" w:customStyle="1" w:styleId="198">
    <w:name w:val="标题 7 Char"/>
    <w:qFormat/>
    <w:uiPriority w:val="0"/>
    <w:rPr>
      <w:rFonts w:ascii="Calibri" w:hAnsi="Calibri" w:eastAsia="宋体" w:cs="Times New Roman"/>
      <w:b/>
      <w:bCs/>
      <w:sz w:val="24"/>
      <w:szCs w:val="24"/>
    </w:rPr>
  </w:style>
  <w:style w:type="character" w:customStyle="1" w:styleId="199">
    <w:name w:val="副标题 Char1"/>
    <w:qFormat/>
    <w:uiPriority w:val="11"/>
    <w:rPr>
      <w:szCs w:val="24"/>
      <w:u w:val="single"/>
      <w:lang w:eastAsia="en-US"/>
    </w:rPr>
  </w:style>
  <w:style w:type="character" w:customStyle="1" w:styleId="200">
    <w:name w:val="明显引用 Char"/>
    <w:qFormat/>
    <w:uiPriority w:val="0"/>
    <w:rPr>
      <w:rFonts w:ascii="Times New Roman" w:hAnsi="Times New Roman" w:eastAsia="宋体" w:cs="Times New Roman"/>
      <w:b/>
      <w:bCs/>
      <w:i/>
      <w:iCs/>
      <w:color w:val="4F81BD"/>
      <w:kern w:val="2"/>
      <w:sz w:val="21"/>
      <w:szCs w:val="24"/>
    </w:rPr>
  </w:style>
  <w:style w:type="character" w:customStyle="1" w:styleId="201">
    <w:name w:val="标题 2 Char1"/>
    <w:qFormat/>
    <w:uiPriority w:val="0"/>
    <w:rPr>
      <w:rFonts w:ascii="Cambria" w:hAnsi="Cambria" w:eastAsia="宋体" w:cs="Times New Roman"/>
      <w:b/>
      <w:bCs/>
      <w:kern w:val="2"/>
      <w:sz w:val="32"/>
      <w:szCs w:val="32"/>
    </w:rPr>
  </w:style>
  <w:style w:type="character" w:customStyle="1" w:styleId="202">
    <w:name w:val="正文文本缩进 Char2"/>
    <w:semiHidden/>
    <w:qFormat/>
    <w:uiPriority w:val="99"/>
    <w:rPr>
      <w:rFonts w:ascii="Calibri" w:hAnsi="Calibri" w:eastAsia="宋体" w:cs="Times New Roman"/>
      <w:szCs w:val="24"/>
    </w:rPr>
  </w:style>
  <w:style w:type="character" w:customStyle="1" w:styleId="203">
    <w:name w:val="副标题 Char"/>
    <w:qFormat/>
    <w:uiPriority w:val="0"/>
    <w:rPr>
      <w:rFonts w:ascii="Cambria" w:hAnsi="Cambria" w:eastAsia="宋体" w:cs="Times New Roman"/>
      <w:b/>
      <w:bCs/>
      <w:kern w:val="28"/>
      <w:sz w:val="32"/>
      <w:szCs w:val="32"/>
    </w:rPr>
  </w:style>
  <w:style w:type="character" w:customStyle="1" w:styleId="204">
    <w:name w:val="_Style 202"/>
    <w:qFormat/>
    <w:uiPriority w:val="0"/>
    <w:rPr>
      <w:smallCaps/>
      <w:color w:val="C0504D"/>
      <w:u w:val="single"/>
    </w:rPr>
  </w:style>
  <w:style w:type="character" w:customStyle="1" w:styleId="205">
    <w:name w:val="标题 1 Char2"/>
    <w:link w:val="3"/>
    <w:qFormat/>
    <w:uiPriority w:val="0"/>
    <w:rPr>
      <w:rFonts w:eastAsia="宋体"/>
      <w:b/>
      <w:bCs/>
      <w:kern w:val="44"/>
      <w:sz w:val="44"/>
      <w:szCs w:val="44"/>
      <w:lang w:val="en-US" w:eastAsia="zh-CN" w:bidi="ar-SA"/>
    </w:rPr>
  </w:style>
  <w:style w:type="character" w:customStyle="1" w:styleId="206">
    <w:name w:val="页眉 Char1"/>
    <w:semiHidden/>
    <w:qFormat/>
    <w:uiPriority w:val="99"/>
    <w:rPr>
      <w:kern w:val="2"/>
      <w:sz w:val="18"/>
      <w:szCs w:val="18"/>
    </w:rPr>
  </w:style>
  <w:style w:type="character" w:customStyle="1" w:styleId="207">
    <w:name w:val="Char Char32"/>
    <w:qFormat/>
    <w:uiPriority w:val="0"/>
    <w:rPr>
      <w:rFonts w:ascii="仿宋_GB2312" w:eastAsia="仿宋_GB2312" w:cs="MingLiU"/>
      <w:b/>
      <w:spacing w:val="1"/>
      <w:w w:val="99"/>
      <w:sz w:val="28"/>
      <w:szCs w:val="32"/>
    </w:rPr>
  </w:style>
  <w:style w:type="character" w:customStyle="1" w:styleId="208">
    <w:name w:val="标题 2 Char"/>
    <w:qFormat/>
    <w:uiPriority w:val="0"/>
    <w:rPr>
      <w:rFonts w:ascii="仿宋_GB2312" w:hAnsi="Calibri" w:eastAsia="仿宋_GB2312" w:cs="Times New Roman"/>
      <w:b/>
      <w:spacing w:val="1"/>
      <w:w w:val="99"/>
      <w:kern w:val="0"/>
      <w:sz w:val="28"/>
      <w:szCs w:val="32"/>
    </w:rPr>
  </w:style>
  <w:style w:type="character" w:customStyle="1" w:styleId="209">
    <w:name w:val="文档结构图 Char1"/>
    <w:qFormat/>
    <w:uiPriority w:val="0"/>
    <w:rPr>
      <w:rFonts w:ascii="宋体"/>
      <w:kern w:val="2"/>
      <w:sz w:val="18"/>
      <w:szCs w:val="18"/>
    </w:rPr>
  </w:style>
  <w:style w:type="character" w:customStyle="1" w:styleId="210">
    <w:name w:val="正文文本缩进 2 Char3"/>
    <w:link w:val="26"/>
    <w:qFormat/>
    <w:uiPriority w:val="0"/>
    <w:rPr>
      <w:rFonts w:eastAsia="宋体"/>
      <w:sz w:val="28"/>
      <w:szCs w:val="24"/>
      <w:lang w:val="en-US" w:eastAsia="zh-CN" w:bidi="ar-SA"/>
    </w:rPr>
  </w:style>
  <w:style w:type="character" w:customStyle="1" w:styleId="211">
    <w:name w:val="Section Char"/>
    <w:qFormat/>
    <w:uiPriority w:val="0"/>
    <w:rPr>
      <w:rFonts w:ascii="仿宋_GB2312" w:eastAsia="仿宋_GB2312" w:cs="MingLiU"/>
      <w:b/>
      <w:sz w:val="24"/>
      <w:szCs w:val="28"/>
      <w:lang w:val="en-US" w:eastAsia="zh-CN" w:bidi="ar-SA"/>
    </w:rPr>
  </w:style>
  <w:style w:type="character" w:customStyle="1" w:styleId="212">
    <w:name w:val="脚注文本 Char2"/>
    <w:semiHidden/>
    <w:qFormat/>
    <w:uiPriority w:val="99"/>
    <w:rPr>
      <w:rFonts w:ascii="Calibri" w:hAnsi="Calibri" w:eastAsia="宋体" w:cs="Times New Roman"/>
      <w:sz w:val="18"/>
      <w:szCs w:val="18"/>
    </w:rPr>
  </w:style>
  <w:style w:type="character" w:customStyle="1" w:styleId="213">
    <w:name w:val="HTML 预设格式 Char"/>
    <w:qFormat/>
    <w:uiPriority w:val="0"/>
    <w:rPr>
      <w:rFonts w:ascii="宋体" w:hAnsi="宋体" w:eastAsia="宋体" w:cs="宋体"/>
      <w:color w:val="000000"/>
      <w:sz w:val="24"/>
      <w:szCs w:val="24"/>
    </w:rPr>
  </w:style>
  <w:style w:type="character" w:customStyle="1" w:styleId="214">
    <w:name w:val="_Style 212"/>
    <w:qFormat/>
    <w:uiPriority w:val="0"/>
    <w:rPr>
      <w:b/>
      <w:bCs/>
      <w:smallCaps/>
      <w:color w:val="C0504D"/>
      <w:spacing w:val="5"/>
      <w:u w:val="single"/>
    </w:rPr>
  </w:style>
  <w:style w:type="character" w:customStyle="1" w:styleId="215">
    <w:name w:val="尾注文本 Char2"/>
    <w:semiHidden/>
    <w:qFormat/>
    <w:uiPriority w:val="99"/>
    <w:rPr>
      <w:rFonts w:ascii="Calibri" w:hAnsi="Calibri" w:eastAsia="宋体" w:cs="Times New Roman"/>
      <w:szCs w:val="24"/>
    </w:rPr>
  </w:style>
  <w:style w:type="character" w:customStyle="1" w:styleId="216">
    <w:name w:val="文档结构图 Char2"/>
    <w:qFormat/>
    <w:uiPriority w:val="99"/>
    <w:rPr>
      <w:kern w:val="2"/>
      <w:sz w:val="21"/>
      <w:szCs w:val="24"/>
      <w:shd w:val="clear" w:color="auto" w:fill="000080"/>
    </w:rPr>
  </w:style>
  <w:style w:type="character" w:customStyle="1" w:styleId="217">
    <w:name w:val="正文文本缩进 3 Char"/>
    <w:qFormat/>
    <w:uiPriority w:val="0"/>
    <w:rPr>
      <w:kern w:val="2"/>
      <w:sz w:val="16"/>
      <w:szCs w:val="16"/>
    </w:rPr>
  </w:style>
  <w:style w:type="character" w:customStyle="1" w:styleId="218">
    <w:name w:val="日期 Char3"/>
    <w:semiHidden/>
    <w:qFormat/>
    <w:uiPriority w:val="99"/>
    <w:rPr>
      <w:rFonts w:ascii="Calibri" w:hAnsi="Calibri" w:eastAsia="宋体" w:cs="Times New Roman"/>
      <w:szCs w:val="24"/>
    </w:rPr>
  </w:style>
  <w:style w:type="character" w:customStyle="1" w:styleId="219">
    <w:name w:val="批注框文本 Char1"/>
    <w:qFormat/>
    <w:uiPriority w:val="0"/>
    <w:rPr>
      <w:kern w:val="2"/>
      <w:sz w:val="18"/>
      <w:szCs w:val="18"/>
    </w:rPr>
  </w:style>
  <w:style w:type="character" w:customStyle="1" w:styleId="220">
    <w:name w:val="标题 7 Char1"/>
    <w:qFormat/>
    <w:uiPriority w:val="0"/>
    <w:rPr>
      <w:rFonts w:ascii="Times New Roman" w:hAnsi="Times New Roman" w:eastAsia="仿宋_GB2312" w:cs="Times New Roman"/>
      <w:sz w:val="30"/>
      <w:szCs w:val="20"/>
    </w:rPr>
  </w:style>
  <w:style w:type="character" w:customStyle="1" w:styleId="221">
    <w:name w:val="尾注文本 Char"/>
    <w:qFormat/>
    <w:uiPriority w:val="0"/>
    <w:rPr>
      <w:kern w:val="2"/>
      <w:sz w:val="21"/>
      <w:szCs w:val="24"/>
    </w:rPr>
  </w:style>
  <w:style w:type="character" w:customStyle="1" w:styleId="222">
    <w:name w:val="正文文本缩进 Char3"/>
    <w:link w:val="18"/>
    <w:qFormat/>
    <w:uiPriority w:val="0"/>
    <w:rPr>
      <w:rFonts w:eastAsia="宋体"/>
      <w:kern w:val="2"/>
      <w:sz w:val="21"/>
      <w:szCs w:val="24"/>
      <w:lang w:val="en-US" w:eastAsia="zh-CN" w:bidi="ar-SA"/>
    </w:rPr>
  </w:style>
  <w:style w:type="character" w:customStyle="1" w:styleId="223">
    <w:name w:val="标题 5 Char2"/>
    <w:link w:val="7"/>
    <w:qFormat/>
    <w:uiPriority w:val="0"/>
    <w:rPr>
      <w:rFonts w:ascii="宋体" w:hAnsi="宋体" w:eastAsia="宋体" w:cs="宋体"/>
      <w:b/>
      <w:bCs/>
      <w:lang w:val="en-US" w:eastAsia="zh-CN" w:bidi="ar-SA"/>
    </w:rPr>
  </w:style>
  <w:style w:type="character" w:customStyle="1" w:styleId="224">
    <w:name w:val="批注文字 Char1"/>
    <w:qFormat/>
    <w:uiPriority w:val="99"/>
    <w:rPr>
      <w:rFonts w:ascii="Times New Roman" w:hAnsi="Times New Roman" w:eastAsia="宋体" w:cs="Times New Roman"/>
      <w:szCs w:val="24"/>
    </w:rPr>
  </w:style>
  <w:style w:type="character" w:customStyle="1" w:styleId="225">
    <w:name w:val="引用 Char1"/>
    <w:link w:val="88"/>
    <w:qFormat/>
    <w:uiPriority w:val="29"/>
    <w:rPr>
      <w:i/>
      <w:iCs/>
      <w:color w:val="000000"/>
      <w:kern w:val="2"/>
      <w:sz w:val="21"/>
    </w:rPr>
  </w:style>
  <w:style w:type="character" w:customStyle="1" w:styleId="226">
    <w:name w:val="标题 Char"/>
    <w:qFormat/>
    <w:uiPriority w:val="0"/>
    <w:rPr>
      <w:rFonts w:ascii="Cambria" w:hAnsi="Cambria" w:eastAsia="宋体" w:cs="Times New Roman"/>
      <w:b/>
      <w:bCs/>
      <w:kern w:val="2"/>
      <w:sz w:val="32"/>
      <w:szCs w:val="32"/>
    </w:rPr>
  </w:style>
  <w:style w:type="character" w:customStyle="1" w:styleId="227">
    <w:name w:val="页脚 Char1"/>
    <w:semiHidden/>
    <w:qFormat/>
    <w:uiPriority w:val="99"/>
    <w:rPr>
      <w:kern w:val="2"/>
      <w:sz w:val="18"/>
      <w:szCs w:val="18"/>
    </w:rPr>
  </w:style>
  <w:style w:type="character" w:customStyle="1" w:styleId="228">
    <w:name w:val="批注主题 Char4"/>
    <w:link w:val="44"/>
    <w:qFormat/>
    <w:uiPriority w:val="0"/>
    <w:rPr>
      <w:rFonts w:eastAsia="宋体"/>
      <w:b/>
      <w:bCs/>
      <w:kern w:val="2"/>
      <w:sz w:val="21"/>
      <w:szCs w:val="24"/>
      <w:lang w:val="en-US" w:eastAsia="zh-CN" w:bidi="ar-SA"/>
    </w:rPr>
  </w:style>
  <w:style w:type="character" w:customStyle="1" w:styleId="229">
    <w:name w:val="正文文本缩进 3 Char1"/>
    <w:qFormat/>
    <w:uiPriority w:val="0"/>
    <w:rPr>
      <w:rFonts w:ascii="宋体" w:hAnsi="宋体"/>
      <w:kern w:val="2"/>
      <w:sz w:val="28"/>
      <w:szCs w:val="28"/>
    </w:rPr>
  </w:style>
  <w:style w:type="character" w:customStyle="1" w:styleId="230">
    <w:name w:val="style121"/>
    <w:qFormat/>
    <w:uiPriority w:val="0"/>
    <w:rPr>
      <w:rFonts w:hint="eastAsia" w:ascii="宋体" w:hAnsi="宋体" w:eastAsia="宋体"/>
      <w:sz w:val="18"/>
      <w:szCs w:val="18"/>
    </w:rPr>
  </w:style>
  <w:style w:type="character" w:customStyle="1" w:styleId="231">
    <w:name w:val="标题 Char1"/>
    <w:qFormat/>
    <w:uiPriority w:val="10"/>
    <w:rPr>
      <w:szCs w:val="24"/>
      <w:u w:val="single"/>
      <w:lang w:eastAsia="en-US"/>
    </w:rPr>
  </w:style>
  <w:style w:type="character" w:customStyle="1" w:styleId="232">
    <w:name w:val="批注主题 Char"/>
    <w:qFormat/>
    <w:uiPriority w:val="0"/>
    <w:rPr>
      <w:rFonts w:ascii="宋体" w:hAnsi="宋体" w:eastAsia="宋体"/>
      <w:kern w:val="2"/>
      <w:sz w:val="24"/>
      <w:szCs w:val="28"/>
      <w:lang w:val="en-US" w:eastAsia="zh-CN" w:bidi="ar-SA"/>
    </w:rPr>
  </w:style>
  <w:style w:type="character" w:customStyle="1" w:styleId="233">
    <w:name w:val="标题 Char3"/>
    <w:link w:val="43"/>
    <w:qFormat/>
    <w:uiPriority w:val="0"/>
    <w:rPr>
      <w:rFonts w:eastAsia="宋体"/>
      <w:szCs w:val="24"/>
      <w:u w:val="single"/>
      <w:lang w:val="en-US" w:eastAsia="en-US" w:bidi="ar-SA"/>
    </w:rPr>
  </w:style>
  <w:style w:type="character" w:customStyle="1" w:styleId="234">
    <w:name w:val="正文文本缩进 3 Char2"/>
    <w:semiHidden/>
    <w:qFormat/>
    <w:uiPriority w:val="99"/>
    <w:rPr>
      <w:rFonts w:ascii="Calibri" w:hAnsi="Calibri" w:eastAsia="宋体" w:cs="Times New Roman"/>
      <w:sz w:val="16"/>
      <w:szCs w:val="16"/>
    </w:rPr>
  </w:style>
  <w:style w:type="character" w:customStyle="1" w:styleId="235">
    <w:name w:val="引用 Char4"/>
    <w:link w:val="67"/>
    <w:qFormat/>
    <w:uiPriority w:val="0"/>
    <w:rPr>
      <w:i/>
      <w:iCs/>
      <w:color w:val="000000"/>
      <w:kern w:val="2"/>
      <w:sz w:val="21"/>
      <w:szCs w:val="22"/>
      <w:lang w:bidi="ar-SA"/>
    </w:rPr>
  </w:style>
  <w:style w:type="character" w:customStyle="1" w:styleId="236">
    <w:name w:val="ht1"/>
    <w:qFormat/>
    <w:uiPriority w:val="0"/>
    <w:rPr>
      <w:rFonts w:ascii="黑体" w:eastAsia="黑体"/>
      <w:b/>
      <w:bCs/>
    </w:rPr>
  </w:style>
  <w:style w:type="character" w:customStyle="1" w:styleId="237">
    <w:name w:val="Char Char13"/>
    <w:qFormat/>
    <w:uiPriority w:val="0"/>
    <w:rPr>
      <w:kern w:val="2"/>
      <w:sz w:val="18"/>
      <w:szCs w:val="18"/>
    </w:rPr>
  </w:style>
  <w:style w:type="character" w:customStyle="1" w:styleId="238">
    <w:name w:val="普通文字 Char Char1"/>
    <w:qFormat/>
    <w:uiPriority w:val="0"/>
    <w:rPr>
      <w:rFonts w:ascii="宋体" w:hAnsi="Courier New"/>
      <w:kern w:val="2"/>
      <w:sz w:val="28"/>
      <w:szCs w:val="28"/>
    </w:rPr>
  </w:style>
  <w:style w:type="character" w:customStyle="1" w:styleId="239">
    <w:name w:val="批注文字 Char"/>
    <w:qFormat/>
    <w:uiPriority w:val="99"/>
    <w:rPr>
      <w:rFonts w:ascii="Times New Roman" w:hAnsi="Times New Roman" w:eastAsia="宋体" w:cs="Times New Roman"/>
      <w:kern w:val="2"/>
      <w:sz w:val="21"/>
      <w:szCs w:val="24"/>
    </w:rPr>
  </w:style>
  <w:style w:type="character" w:customStyle="1" w:styleId="240">
    <w:name w:val="标题 8 Char2"/>
    <w:link w:val="11"/>
    <w:qFormat/>
    <w:uiPriority w:val="0"/>
    <w:rPr>
      <w:rFonts w:hAnsi="Arial" w:eastAsia="仿宋_GB2312"/>
      <w:sz w:val="30"/>
      <w:lang w:val="en-US" w:eastAsia="zh-CN" w:bidi="ar-SA"/>
    </w:rPr>
  </w:style>
  <w:style w:type="character" w:customStyle="1" w:styleId="241">
    <w:name w:val="标题5 Char Char"/>
    <w:link w:val="71"/>
    <w:qFormat/>
    <w:uiPriority w:val="0"/>
    <w:rPr>
      <w:rFonts w:ascii="Arial" w:hAnsi="Arial"/>
      <w:b/>
      <w:bCs/>
      <w:sz w:val="24"/>
      <w:szCs w:val="32"/>
      <w:lang w:bidi="ar-SA"/>
    </w:rPr>
  </w:style>
  <w:style w:type="character" w:customStyle="1" w:styleId="242">
    <w:name w:val="日期 Char2"/>
    <w:qFormat/>
    <w:uiPriority w:val="99"/>
    <w:rPr>
      <w:kern w:val="2"/>
      <w:sz w:val="21"/>
      <w:szCs w:val="24"/>
    </w:rPr>
  </w:style>
  <w:style w:type="character" w:customStyle="1" w:styleId="243">
    <w:name w:val="标题 4 Char2"/>
    <w:link w:val="6"/>
    <w:qFormat/>
    <w:uiPriority w:val="0"/>
    <w:rPr>
      <w:rFonts w:ascii="宋体" w:hAnsi="宋体" w:eastAsia="宋体" w:cs="宋体"/>
      <w:b/>
      <w:bCs/>
      <w:sz w:val="24"/>
      <w:szCs w:val="24"/>
      <w:lang w:val="en-US" w:eastAsia="zh-CN" w:bidi="ar-SA"/>
    </w:rPr>
  </w:style>
  <w:style w:type="character" w:customStyle="1" w:styleId="244">
    <w:name w:val="正文文本 Char4"/>
    <w:link w:val="2"/>
    <w:qFormat/>
    <w:uiPriority w:val="0"/>
    <w:rPr>
      <w:rFonts w:eastAsia="宋体"/>
      <w:kern w:val="2"/>
      <w:sz w:val="21"/>
      <w:szCs w:val="24"/>
      <w:lang w:val="en-US" w:eastAsia="zh-CN" w:bidi="ar-SA"/>
    </w:rPr>
  </w:style>
  <w:style w:type="character" w:customStyle="1" w:styleId="245">
    <w:name w:val="正文文本 2 Char"/>
    <w:link w:val="39"/>
    <w:qFormat/>
    <w:uiPriority w:val="0"/>
    <w:rPr>
      <w:i/>
      <w:iCs/>
      <w:kern w:val="2"/>
      <w:sz w:val="26"/>
      <w:szCs w:val="24"/>
    </w:rPr>
  </w:style>
  <w:style w:type="character" w:customStyle="1" w:styleId="246">
    <w:name w:val="批注框文本 Char3"/>
    <w:semiHidden/>
    <w:qFormat/>
    <w:uiPriority w:val="99"/>
    <w:rPr>
      <w:rFonts w:ascii="Calibri" w:hAnsi="Calibri" w:eastAsia="宋体" w:cs="Times New Roman"/>
      <w:sz w:val="18"/>
      <w:szCs w:val="18"/>
    </w:rPr>
  </w:style>
  <w:style w:type="character" w:customStyle="1" w:styleId="247">
    <w:name w:val="正文文本 3 Char2"/>
    <w:semiHidden/>
    <w:qFormat/>
    <w:uiPriority w:val="99"/>
    <w:rPr>
      <w:rFonts w:ascii="Calibri" w:hAnsi="Calibri" w:eastAsia="宋体" w:cs="Times New Roman"/>
      <w:sz w:val="16"/>
      <w:szCs w:val="16"/>
    </w:rPr>
  </w:style>
  <w:style w:type="character" w:customStyle="1" w:styleId="248">
    <w:name w:val="Char Char22"/>
    <w:qFormat/>
    <w:uiPriority w:val="0"/>
    <w:rPr>
      <w:b/>
      <w:bCs/>
      <w:kern w:val="2"/>
      <w:sz w:val="32"/>
      <w:szCs w:val="32"/>
    </w:rPr>
  </w:style>
  <w:style w:type="character" w:customStyle="1" w:styleId="249">
    <w:name w:val="Char Char35"/>
    <w:qFormat/>
    <w:uiPriority w:val="0"/>
    <w:rPr>
      <w:rFonts w:ascii="仿宋_GB2312" w:eastAsia="仿宋_GB2312" w:cs="MingLiU"/>
      <w:b/>
      <w:sz w:val="24"/>
      <w:szCs w:val="28"/>
    </w:rPr>
  </w:style>
  <w:style w:type="character" w:customStyle="1" w:styleId="250">
    <w:name w:val="正文文本 3 Char"/>
    <w:qFormat/>
    <w:uiPriority w:val="0"/>
    <w:rPr>
      <w:kern w:val="2"/>
      <w:sz w:val="16"/>
      <w:szCs w:val="16"/>
    </w:rPr>
  </w:style>
  <w:style w:type="character" w:customStyle="1" w:styleId="251">
    <w:name w:val="纯文本 Char"/>
    <w:qFormat/>
    <w:uiPriority w:val="0"/>
    <w:rPr>
      <w:rFonts w:ascii="宋体" w:hAnsi="Courier New"/>
      <w:sz w:val="28"/>
      <w:szCs w:val="28"/>
    </w:rPr>
  </w:style>
  <w:style w:type="character" w:customStyle="1" w:styleId="252">
    <w:name w:val="标题 2 Char2"/>
    <w:link w:val="4"/>
    <w:qFormat/>
    <w:uiPriority w:val="0"/>
    <w:rPr>
      <w:rFonts w:ascii="Cambria" w:hAnsi="Cambria" w:eastAsia="宋体"/>
      <w:b/>
      <w:bCs/>
      <w:kern w:val="2"/>
      <w:sz w:val="32"/>
      <w:szCs w:val="32"/>
      <w:lang w:val="en-US" w:eastAsia="zh-CN" w:bidi="ar-SA"/>
    </w:rPr>
  </w:style>
  <w:style w:type="character" w:customStyle="1" w:styleId="253">
    <w:name w:val="文档结构图 Char3"/>
    <w:semiHidden/>
    <w:qFormat/>
    <w:uiPriority w:val="99"/>
    <w:rPr>
      <w:rFonts w:ascii="宋体" w:hAnsi="Calibri" w:eastAsia="宋体" w:cs="Times New Roman"/>
      <w:sz w:val="18"/>
      <w:szCs w:val="18"/>
    </w:rPr>
  </w:style>
  <w:style w:type="character" w:customStyle="1" w:styleId="254">
    <w:name w:val="标题 4 Char"/>
    <w:qFormat/>
    <w:uiPriority w:val="0"/>
    <w:rPr>
      <w:rFonts w:ascii="仿宋_GB2312" w:hAnsi="Calibri" w:eastAsia="仿宋_GB2312" w:cs="Times New Roman"/>
      <w:b/>
      <w:kern w:val="0"/>
      <w:sz w:val="24"/>
      <w:szCs w:val="28"/>
    </w:rPr>
  </w:style>
  <w:style w:type="character" w:customStyle="1" w:styleId="255">
    <w:name w:val="日期 Char"/>
    <w:qFormat/>
    <w:uiPriority w:val="0"/>
    <w:rPr>
      <w:rFonts w:eastAsia="宋体"/>
      <w:szCs w:val="24"/>
    </w:rPr>
  </w:style>
  <w:style w:type="character" w:customStyle="1" w:styleId="256">
    <w:name w:val="style21"/>
    <w:qFormat/>
    <w:uiPriority w:val="0"/>
    <w:rPr>
      <w:b/>
      <w:bCs/>
      <w:sz w:val="28"/>
      <w:szCs w:val="28"/>
    </w:rPr>
  </w:style>
  <w:style w:type="character" w:customStyle="1" w:styleId="257">
    <w:name w:val="普通文字 Char Char2"/>
    <w:qFormat/>
    <w:uiPriority w:val="0"/>
    <w:rPr>
      <w:rFonts w:ascii="宋体" w:hAnsi="Courier New"/>
      <w:kern w:val="2"/>
      <w:sz w:val="28"/>
      <w:szCs w:val="28"/>
    </w:rPr>
  </w:style>
  <w:style w:type="character" w:customStyle="1" w:styleId="258">
    <w:name w:val="title11"/>
    <w:qFormat/>
    <w:uiPriority w:val="0"/>
    <w:rPr>
      <w:b/>
      <w:bCs/>
      <w:color w:val="FFFFFF"/>
      <w:sz w:val="11"/>
      <w:szCs w:val="11"/>
    </w:rPr>
  </w:style>
  <w:style w:type="character" w:customStyle="1" w:styleId="259">
    <w:name w:val="标题 3 Char1"/>
    <w:qFormat/>
    <w:uiPriority w:val="0"/>
    <w:rPr>
      <w:rFonts w:ascii="Times New Roman" w:hAnsi="Times New Roman" w:eastAsia="宋体" w:cs="Times New Roman"/>
      <w:b/>
      <w:bCs/>
      <w:kern w:val="2"/>
      <w:sz w:val="32"/>
      <w:szCs w:val="32"/>
    </w:rPr>
  </w:style>
  <w:style w:type="character" w:customStyle="1" w:styleId="260">
    <w:name w:val="HTML 预设格式 Char3"/>
    <w:link w:val="40"/>
    <w:qFormat/>
    <w:uiPriority w:val="0"/>
    <w:rPr>
      <w:rFonts w:ascii="宋体" w:hAnsi="宋体" w:eastAsia="宋体" w:cs="宋体"/>
      <w:color w:val="000000"/>
      <w:sz w:val="24"/>
      <w:szCs w:val="24"/>
      <w:lang w:val="en-US" w:eastAsia="zh-CN" w:bidi="ar-SA"/>
    </w:rPr>
  </w:style>
  <w:style w:type="character" w:customStyle="1" w:styleId="261">
    <w:name w:val="正文文本缩进 2 Char1"/>
    <w:qFormat/>
    <w:uiPriority w:val="0"/>
    <w:rPr>
      <w:sz w:val="28"/>
      <w:szCs w:val="24"/>
    </w:rPr>
  </w:style>
  <w:style w:type="character" w:customStyle="1" w:styleId="262">
    <w:name w:val="标题 8 Char"/>
    <w:qFormat/>
    <w:uiPriority w:val="0"/>
    <w:rPr>
      <w:rFonts w:ascii="Arial" w:hAnsi="Arial" w:eastAsia="黑体" w:cs="Times New Roman"/>
      <w:sz w:val="24"/>
      <w:szCs w:val="24"/>
    </w:rPr>
  </w:style>
  <w:style w:type="character" w:customStyle="1" w:styleId="263">
    <w:name w:val="_Style 261"/>
    <w:qFormat/>
    <w:uiPriority w:val="0"/>
    <w:rPr>
      <w:b/>
      <w:bCs/>
      <w:smallCaps/>
      <w:spacing w:val="5"/>
    </w:rPr>
  </w:style>
  <w:style w:type="character" w:customStyle="1" w:styleId="264">
    <w:name w:val="14t1"/>
    <w:qFormat/>
    <w:uiPriority w:val="0"/>
    <w:rPr>
      <w:rFonts w:hint="eastAsia" w:ascii="宋体" w:hAnsi="宋体" w:eastAsia="宋体"/>
      <w:sz w:val="11"/>
      <w:szCs w:val="11"/>
    </w:rPr>
  </w:style>
  <w:style w:type="character" w:customStyle="1" w:styleId="265">
    <w:name w:val="_Style 263"/>
    <w:qFormat/>
    <w:uiPriority w:val="0"/>
    <w:rPr>
      <w:i/>
      <w:iCs/>
      <w:color w:val="808080"/>
    </w:rPr>
  </w:style>
  <w:style w:type="character" w:customStyle="1" w:styleId="266">
    <w:name w:val="ss16"/>
    <w:qFormat/>
    <w:uiPriority w:val="0"/>
    <w:rPr>
      <w:rFonts w:hint="eastAsia" w:ascii="宋体" w:hAnsi="宋体" w:eastAsia="宋体"/>
      <w:color w:val="000000"/>
      <w:sz w:val="9"/>
      <w:szCs w:val="9"/>
    </w:rPr>
  </w:style>
  <w:style w:type="character" w:customStyle="1" w:styleId="267">
    <w:name w:val="批注文字 Char2"/>
    <w:qFormat/>
    <w:uiPriority w:val="0"/>
    <w:rPr>
      <w:rFonts w:ascii="Calibri" w:hAnsi="Calibri" w:eastAsia="宋体" w:cs="Times New Roman"/>
      <w:szCs w:val="24"/>
    </w:rPr>
  </w:style>
  <w:style w:type="character" w:customStyle="1" w:styleId="268">
    <w:name w:val="正文文本缩进 Char1"/>
    <w:qFormat/>
    <w:uiPriority w:val="0"/>
    <w:rPr>
      <w:kern w:val="2"/>
      <w:sz w:val="21"/>
      <w:szCs w:val="24"/>
    </w:rPr>
  </w:style>
  <w:style w:type="character" w:customStyle="1" w:styleId="269">
    <w:name w:val="Char Char21"/>
    <w:qFormat/>
    <w:uiPriority w:val="0"/>
    <w:rPr>
      <w:rFonts w:ascii="宋体" w:hAnsi="宋体" w:cs="宋体"/>
      <w:b/>
      <w:bCs/>
      <w:sz w:val="24"/>
      <w:szCs w:val="24"/>
    </w:rPr>
  </w:style>
  <w:style w:type="character" w:customStyle="1" w:styleId="270">
    <w:name w:val="批注框文本 Char"/>
    <w:qFormat/>
    <w:uiPriority w:val="0"/>
    <w:rPr>
      <w:sz w:val="18"/>
      <w:szCs w:val="18"/>
    </w:rPr>
  </w:style>
  <w:style w:type="character" w:customStyle="1" w:styleId="271">
    <w:name w:val="Char Char33"/>
    <w:qFormat/>
    <w:uiPriority w:val="0"/>
    <w:rPr>
      <w:rFonts w:ascii="仿宋_GB2312" w:eastAsia="仿宋_GB2312" w:cs="MingLiU"/>
      <w:b/>
      <w:sz w:val="24"/>
      <w:szCs w:val="28"/>
    </w:rPr>
  </w:style>
  <w:style w:type="character" w:customStyle="1" w:styleId="272">
    <w:name w:val="明显引用 Char3"/>
    <w:qFormat/>
    <w:uiPriority w:val="30"/>
    <w:rPr>
      <w:rFonts w:ascii="Calibri" w:hAnsi="Calibri" w:eastAsia="宋体" w:cs="Times New Roman"/>
      <w:b/>
      <w:bCs/>
      <w:i/>
      <w:iCs/>
      <w:color w:val="4F81BD"/>
      <w:szCs w:val="24"/>
    </w:rPr>
  </w:style>
  <w:style w:type="character" w:customStyle="1" w:styleId="273">
    <w:name w:val="l1"/>
    <w:basedOn w:val="48"/>
    <w:qFormat/>
    <w:uiPriority w:val="0"/>
  </w:style>
  <w:style w:type="character" w:customStyle="1" w:styleId="274">
    <w:name w:val="书籍标题1"/>
    <w:qFormat/>
    <w:uiPriority w:val="0"/>
    <w:rPr>
      <w:b/>
      <w:bCs/>
      <w:smallCaps/>
      <w:spacing w:val="5"/>
    </w:rPr>
  </w:style>
  <w:style w:type="character" w:customStyle="1" w:styleId="275">
    <w:name w:val="textcontents"/>
    <w:qFormat/>
    <w:uiPriority w:val="0"/>
    <w:rPr>
      <w:rFonts w:cs="Times New Roman"/>
    </w:rPr>
  </w:style>
  <w:style w:type="character" w:customStyle="1" w:styleId="276">
    <w:name w:val="标题 Char2"/>
    <w:qFormat/>
    <w:uiPriority w:val="10"/>
    <w:rPr>
      <w:rFonts w:ascii="Cambria" w:hAnsi="Cambria" w:eastAsia="宋体" w:cs="Times New Roman"/>
      <w:b/>
      <w:bCs/>
      <w:sz w:val="32"/>
      <w:szCs w:val="32"/>
    </w:rPr>
  </w:style>
  <w:style w:type="character" w:customStyle="1" w:styleId="277">
    <w:name w:val="招标节 Char"/>
    <w:link w:val="157"/>
    <w:qFormat/>
    <w:uiPriority w:val="0"/>
    <w:rPr>
      <w:b/>
      <w:sz w:val="24"/>
      <w:szCs w:val="24"/>
    </w:rPr>
  </w:style>
  <w:style w:type="character" w:customStyle="1" w:styleId="278">
    <w:name w:val="副标题 Char3"/>
    <w:link w:val="33"/>
    <w:qFormat/>
    <w:uiPriority w:val="0"/>
    <w:rPr>
      <w:rFonts w:eastAsia="宋体"/>
      <w:szCs w:val="24"/>
      <w:u w:val="single"/>
      <w:lang w:val="en-US" w:eastAsia="en-US" w:bidi="ar-SA"/>
    </w:rPr>
  </w:style>
  <w:style w:type="character" w:customStyle="1" w:styleId="279">
    <w:name w:val="页脚 Char"/>
    <w:qFormat/>
    <w:uiPriority w:val="0"/>
    <w:rPr>
      <w:sz w:val="18"/>
      <w:szCs w:val="18"/>
    </w:rPr>
  </w:style>
  <w:style w:type="character" w:customStyle="1" w:styleId="280">
    <w:name w:val="标题 6 Char2"/>
    <w:link w:val="8"/>
    <w:qFormat/>
    <w:uiPriority w:val="0"/>
    <w:rPr>
      <w:rFonts w:hAnsi="Arial" w:eastAsia="仿宋_GB2312"/>
      <w:sz w:val="30"/>
      <w:lang w:val="en-US" w:eastAsia="zh-CN" w:bidi="ar-SA"/>
    </w:rPr>
  </w:style>
  <w:style w:type="character" w:customStyle="1" w:styleId="281">
    <w:name w:val="HTML 预设格式 Char2"/>
    <w:semiHidden/>
    <w:qFormat/>
    <w:uiPriority w:val="99"/>
    <w:rPr>
      <w:rFonts w:ascii="Courier New" w:hAnsi="Courier New" w:eastAsia="宋体" w:cs="Courier New"/>
      <w:sz w:val="20"/>
      <w:szCs w:val="20"/>
    </w:rPr>
  </w:style>
  <w:style w:type="character" w:customStyle="1" w:styleId="282">
    <w:name w:val="明显引用 Char2"/>
    <w:qFormat/>
    <w:uiPriority w:val="99"/>
    <w:rPr>
      <w:b/>
      <w:bCs/>
      <w:i/>
      <w:iCs/>
      <w:color w:val="4F81BD"/>
      <w:kern w:val="2"/>
      <w:sz w:val="21"/>
      <w:szCs w:val="24"/>
    </w:rPr>
  </w:style>
  <w:style w:type="character" w:customStyle="1" w:styleId="283">
    <w:name w:val="页眉 Char2"/>
    <w:link w:val="30"/>
    <w:qFormat/>
    <w:uiPriority w:val="0"/>
    <w:rPr>
      <w:rFonts w:eastAsia="宋体"/>
      <w:kern w:val="2"/>
      <w:sz w:val="18"/>
      <w:szCs w:val="18"/>
      <w:lang w:val="en-US" w:eastAsia="zh-CN" w:bidi="ar-SA"/>
    </w:rPr>
  </w:style>
  <w:style w:type="character" w:customStyle="1" w:styleId="284">
    <w:name w:val="正文文本 2 Char1"/>
    <w:semiHidden/>
    <w:qFormat/>
    <w:uiPriority w:val="99"/>
    <w:rPr>
      <w:rFonts w:ascii="Calibri" w:hAnsi="Calibri" w:eastAsia="宋体" w:cs="Times New Roman"/>
      <w:szCs w:val="24"/>
    </w:rPr>
  </w:style>
  <w:style w:type="character" w:customStyle="1" w:styleId="285">
    <w:name w:val="引用 Char3"/>
    <w:qFormat/>
    <w:uiPriority w:val="29"/>
    <w:rPr>
      <w:rFonts w:ascii="Calibri" w:hAnsi="Calibri" w:eastAsia="宋体" w:cs="Times New Roman"/>
      <w:i/>
      <w:iCs/>
      <w:color w:val="000000"/>
      <w:szCs w:val="24"/>
    </w:rPr>
  </w:style>
  <w:style w:type="character" w:customStyle="1" w:styleId="286">
    <w:name w:val="引用 Char2"/>
    <w:qFormat/>
    <w:uiPriority w:val="99"/>
    <w:rPr>
      <w:i/>
      <w:iCs/>
      <w:color w:val="000000"/>
      <w:kern w:val="2"/>
      <w:sz w:val="21"/>
      <w:szCs w:val="24"/>
    </w:rPr>
  </w:style>
  <w:style w:type="character" w:customStyle="1" w:styleId="287">
    <w:name w:val="标题 7 Char2"/>
    <w:link w:val="10"/>
    <w:qFormat/>
    <w:uiPriority w:val="0"/>
    <w:rPr>
      <w:rFonts w:eastAsia="仿宋_GB2312"/>
      <w:sz w:val="30"/>
      <w:lang w:val="en-US" w:eastAsia="zh-CN" w:bidi="ar-SA"/>
    </w:rPr>
  </w:style>
  <w:style w:type="character" w:customStyle="1" w:styleId="288">
    <w:name w:val="标题 6 Char1"/>
    <w:qFormat/>
    <w:uiPriority w:val="0"/>
    <w:rPr>
      <w:rFonts w:ascii="Times New Roman" w:hAnsi="Arial" w:eastAsia="仿宋_GB2312" w:cs="Times New Roman"/>
      <w:sz w:val="30"/>
      <w:szCs w:val="20"/>
    </w:rPr>
  </w:style>
  <w:style w:type="character" w:customStyle="1" w:styleId="289">
    <w:name w:val="日期 Char4"/>
    <w:link w:val="25"/>
    <w:qFormat/>
    <w:uiPriority w:val="0"/>
    <w:rPr>
      <w:rFonts w:eastAsia="宋体"/>
      <w:kern w:val="2"/>
      <w:sz w:val="21"/>
      <w:szCs w:val="24"/>
      <w:lang w:val="en-US" w:eastAsia="zh-CN" w:bidi="ar-SA"/>
    </w:rPr>
  </w:style>
  <w:style w:type="character" w:customStyle="1" w:styleId="290">
    <w:name w:val="intel3"/>
    <w:basedOn w:val="48"/>
    <w:qFormat/>
    <w:uiPriority w:val="0"/>
  </w:style>
  <w:style w:type="character" w:customStyle="1" w:styleId="291">
    <w:name w:val="批注框文本 Char2"/>
    <w:qFormat/>
    <w:uiPriority w:val="99"/>
    <w:rPr>
      <w:kern w:val="2"/>
      <w:sz w:val="18"/>
      <w:szCs w:val="18"/>
    </w:rPr>
  </w:style>
  <w:style w:type="character" w:customStyle="1" w:styleId="292">
    <w:name w:val="正文文本 Char3"/>
    <w:semiHidden/>
    <w:qFormat/>
    <w:uiPriority w:val="99"/>
    <w:rPr>
      <w:rFonts w:ascii="Calibri" w:hAnsi="Calibri" w:eastAsia="宋体" w:cs="Times New Roman"/>
      <w:szCs w:val="24"/>
    </w:rPr>
  </w:style>
  <w:style w:type="character" w:customStyle="1" w:styleId="293">
    <w:name w:val="subhead1"/>
    <w:qFormat/>
    <w:uiPriority w:val="0"/>
    <w:rPr>
      <w:rFonts w:hint="default" w:ascii="Tahoma" w:hAnsi="Tahoma" w:cs="Tahoma"/>
      <w:color w:val="000000"/>
      <w:sz w:val="18"/>
      <w:szCs w:val="18"/>
      <w:u w:val="none"/>
      <w:shd w:val="clear" w:color="auto" w:fill="FFFFFF"/>
    </w:rPr>
  </w:style>
  <w:style w:type="character" w:customStyle="1" w:styleId="294">
    <w:name w:val="批注主题 Char2"/>
    <w:qFormat/>
    <w:uiPriority w:val="99"/>
    <w:rPr>
      <w:b/>
      <w:bCs/>
      <w:kern w:val="2"/>
      <w:sz w:val="21"/>
      <w:szCs w:val="24"/>
    </w:rPr>
  </w:style>
  <w:style w:type="character" w:customStyle="1" w:styleId="295">
    <w:name w:val="ITTHEADER1 Char"/>
    <w:qFormat/>
    <w:uiPriority w:val="0"/>
    <w:rPr>
      <w:rFonts w:eastAsia="黑体"/>
      <w:kern w:val="2"/>
      <w:sz w:val="44"/>
      <w:szCs w:val="44"/>
      <w:lang w:val="en-US" w:eastAsia="zh-CN" w:bidi="ar-SA"/>
    </w:rPr>
  </w:style>
  <w:style w:type="character" w:customStyle="1" w:styleId="296">
    <w:name w:val="批注主题 Char1"/>
    <w:qFormat/>
    <w:uiPriority w:val="0"/>
    <w:rPr>
      <w:b/>
      <w:bCs/>
      <w:kern w:val="2"/>
      <w:sz w:val="21"/>
      <w:szCs w:val="22"/>
    </w:rPr>
  </w:style>
  <w:style w:type="character" w:customStyle="1" w:styleId="297">
    <w:name w:val="纯文本 Char3"/>
    <w:link w:val="23"/>
    <w:qFormat/>
    <w:uiPriority w:val="0"/>
    <w:rPr>
      <w:rFonts w:ascii="宋体" w:hAnsi="Courier New" w:eastAsia="宋体" w:cs="Courier New"/>
      <w:kern w:val="2"/>
      <w:sz w:val="21"/>
      <w:szCs w:val="21"/>
      <w:lang w:val="en-US" w:eastAsia="zh-CN" w:bidi="ar-SA"/>
    </w:rPr>
  </w:style>
  <w:style w:type="character" w:customStyle="1" w:styleId="298">
    <w:name w:val="_Style 296"/>
    <w:qFormat/>
    <w:uiPriority w:val="0"/>
    <w:rPr>
      <w:b/>
      <w:bCs/>
      <w:i/>
      <w:iCs/>
      <w:color w:val="4F81BD"/>
    </w:rPr>
  </w:style>
  <w:style w:type="character" w:customStyle="1" w:styleId="299">
    <w:name w:val="s3"/>
    <w:qFormat/>
    <w:uiPriority w:val="0"/>
  </w:style>
  <w:style w:type="character" w:customStyle="1" w:styleId="300">
    <w:name w:val="明显参考1"/>
    <w:qFormat/>
    <w:uiPriority w:val="0"/>
    <w:rPr>
      <w:b/>
      <w:bCs/>
      <w:smallCaps/>
      <w:color w:val="C0504D"/>
      <w:spacing w:val="5"/>
      <w:u w:val="single"/>
    </w:rPr>
  </w:style>
  <w:style w:type="character" w:customStyle="1" w:styleId="301">
    <w:name w:val="批注文字 Char Char"/>
    <w:qFormat/>
    <w:uiPriority w:val="0"/>
    <w:rPr>
      <w:rFonts w:ascii="宋体" w:hAnsi="Times New Roman" w:eastAsia="宋体" w:cs="Times New Roman"/>
      <w:sz w:val="28"/>
      <w:szCs w:val="20"/>
    </w:rPr>
  </w:style>
  <w:style w:type="character" w:customStyle="1" w:styleId="302">
    <w:name w:val="ca-141"/>
    <w:qFormat/>
    <w:uiPriority w:val="0"/>
    <w:rPr>
      <w:rFonts w:hint="eastAsia" w:ascii="仿宋_GB2312" w:eastAsia="仿宋_GB2312"/>
      <w:sz w:val="21"/>
      <w:szCs w:val="21"/>
    </w:rPr>
  </w:style>
  <w:style w:type="character" w:customStyle="1" w:styleId="303">
    <w:name w:val="normaltext1"/>
    <w:qFormat/>
    <w:uiPriority w:val="0"/>
    <w:rPr>
      <w:rFonts w:hint="default" w:ascii="ˎ̥" w:hAnsi="ˎ̥"/>
      <w:sz w:val="9"/>
      <w:szCs w:val="9"/>
    </w:rPr>
  </w:style>
  <w:style w:type="character" w:customStyle="1" w:styleId="304">
    <w:name w:val="手改 Char Char"/>
    <w:qFormat/>
    <w:uiPriority w:val="0"/>
    <w:rPr>
      <w:kern w:val="2"/>
      <w:sz w:val="21"/>
      <w:szCs w:val="24"/>
    </w:rPr>
  </w:style>
  <w:style w:type="character" w:customStyle="1" w:styleId="305">
    <w:name w:val="Char Char11"/>
    <w:qFormat/>
    <w:locked/>
    <w:uiPriority w:val="0"/>
    <w:rPr>
      <w:rFonts w:eastAsia="黑体"/>
      <w:kern w:val="2"/>
      <w:sz w:val="44"/>
      <w:szCs w:val="44"/>
      <w:lang w:val="en-US" w:eastAsia="zh-CN" w:bidi="ar-SA"/>
    </w:rPr>
  </w:style>
  <w:style w:type="character" w:customStyle="1" w:styleId="306">
    <w:name w:val="HTML 预设格式 Char1"/>
    <w:qFormat/>
    <w:uiPriority w:val="0"/>
    <w:rPr>
      <w:rFonts w:ascii="宋体" w:hAnsi="宋体" w:cs="宋体"/>
      <w:color w:val="000000"/>
      <w:sz w:val="24"/>
      <w:szCs w:val="24"/>
    </w:rPr>
  </w:style>
  <w:style w:type="character" w:customStyle="1" w:styleId="307">
    <w:name w:val="不明显参考1"/>
    <w:qFormat/>
    <w:uiPriority w:val="0"/>
    <w:rPr>
      <w:smallCaps/>
      <w:color w:val="C0504D"/>
      <w:u w:val="single"/>
    </w:rPr>
  </w:style>
  <w:style w:type="character" w:customStyle="1" w:styleId="308">
    <w:name w:val="Char Char34"/>
    <w:qFormat/>
    <w:uiPriority w:val="0"/>
    <w:rPr>
      <w:rFonts w:ascii="仿宋_GB2312" w:eastAsia="仿宋_GB2312" w:cs="MingLiU"/>
      <w:b/>
      <w:spacing w:val="1"/>
      <w:w w:val="99"/>
      <w:sz w:val="28"/>
      <w:szCs w:val="32"/>
    </w:rPr>
  </w:style>
  <w:style w:type="character" w:customStyle="1" w:styleId="309">
    <w:name w:val="标题 9 Char1"/>
    <w:qFormat/>
    <w:uiPriority w:val="0"/>
    <w:rPr>
      <w:rFonts w:ascii="Times New Roman" w:hAnsi="Times New Roman" w:eastAsia="仿宋_GB2312" w:cs="Times New Roman"/>
      <w:sz w:val="30"/>
      <w:szCs w:val="20"/>
    </w:rPr>
  </w:style>
  <w:style w:type="character" w:customStyle="1" w:styleId="310">
    <w:name w:val="font5 Char"/>
    <w:link w:val="91"/>
    <w:qFormat/>
    <w:uiPriority w:val="0"/>
    <w:rPr>
      <w:rFonts w:ascii="宋体" w:hAnsi="宋体"/>
      <w:sz w:val="24"/>
      <w:szCs w:val="24"/>
    </w:rPr>
  </w:style>
  <w:style w:type="character" w:customStyle="1" w:styleId="311">
    <w:name w:val="标题 6 Char"/>
    <w:qFormat/>
    <w:uiPriority w:val="0"/>
    <w:rPr>
      <w:rFonts w:ascii="Arial" w:hAnsi="Arial" w:eastAsia="黑体" w:cs="Times New Roman"/>
      <w:b/>
      <w:bCs/>
      <w:sz w:val="24"/>
      <w:szCs w:val="24"/>
    </w:rPr>
  </w:style>
  <w:style w:type="character" w:customStyle="1" w:styleId="312">
    <w:name w:val="正文文本 3 Char3"/>
    <w:link w:val="17"/>
    <w:qFormat/>
    <w:uiPriority w:val="0"/>
    <w:rPr>
      <w:rFonts w:eastAsia="宋体"/>
      <w:kern w:val="2"/>
      <w:sz w:val="16"/>
      <w:szCs w:val="16"/>
      <w:lang w:val="en-US" w:eastAsia="zh-CN" w:bidi="ar-SA"/>
    </w:rPr>
  </w:style>
  <w:style w:type="character" w:customStyle="1" w:styleId="313">
    <w:name w:val="批注框文本 Char4"/>
    <w:link w:val="28"/>
    <w:qFormat/>
    <w:uiPriority w:val="0"/>
    <w:rPr>
      <w:rFonts w:eastAsia="宋体"/>
      <w:kern w:val="2"/>
      <w:sz w:val="18"/>
      <w:szCs w:val="18"/>
      <w:lang w:val="en-US" w:eastAsia="zh-CN" w:bidi="ar-SA"/>
    </w:rPr>
  </w:style>
  <w:style w:type="character" w:customStyle="1" w:styleId="314">
    <w:name w:val="main_tdbg_7601"/>
    <w:qFormat/>
    <w:uiPriority w:val="0"/>
    <w:rPr>
      <w:sz w:val="14"/>
      <w:szCs w:val="14"/>
    </w:rPr>
  </w:style>
  <w:style w:type="character" w:customStyle="1" w:styleId="315">
    <w:name w:val="Char Char17"/>
    <w:qFormat/>
    <w:uiPriority w:val="0"/>
    <w:rPr>
      <w:kern w:val="2"/>
      <w:sz w:val="26"/>
      <w:szCs w:val="24"/>
    </w:rPr>
  </w:style>
  <w:style w:type="character" w:customStyle="1" w:styleId="316">
    <w:name w:val="招标章 Char"/>
    <w:link w:val="117"/>
    <w:qFormat/>
    <w:uiPriority w:val="0"/>
    <w:rPr>
      <w:rFonts w:eastAsia="黑体"/>
      <w:b/>
      <w:sz w:val="32"/>
      <w:szCs w:val="24"/>
    </w:rPr>
  </w:style>
  <w:style w:type="character" w:customStyle="1" w:styleId="317">
    <w:name w:val="批注主题 Char3"/>
    <w:semiHidden/>
    <w:qFormat/>
    <w:uiPriority w:val="99"/>
    <w:rPr>
      <w:rFonts w:ascii="Calibri" w:hAnsi="Calibri" w:eastAsia="宋体" w:cs="Times New Roman"/>
      <w:b/>
      <w:bCs/>
      <w:szCs w:val="24"/>
    </w:rPr>
  </w:style>
  <w:style w:type="character" w:customStyle="1" w:styleId="318">
    <w:name w:val="标题 8 Char1"/>
    <w:qFormat/>
    <w:uiPriority w:val="0"/>
    <w:rPr>
      <w:rFonts w:ascii="Times New Roman" w:hAnsi="Arial" w:eastAsia="仿宋_GB2312" w:cs="Times New Roman"/>
      <w:sz w:val="30"/>
      <w:szCs w:val="20"/>
    </w:rPr>
  </w:style>
  <w:style w:type="character" w:customStyle="1" w:styleId="319">
    <w:name w:val="明显引用 Char4"/>
    <w:link w:val="139"/>
    <w:qFormat/>
    <w:uiPriority w:val="0"/>
    <w:rPr>
      <w:b/>
      <w:bCs/>
      <w:i/>
      <w:iCs/>
      <w:color w:val="4F81BD"/>
      <w:kern w:val="2"/>
      <w:sz w:val="21"/>
      <w:szCs w:val="22"/>
      <w:lang w:bidi="ar-SA"/>
    </w:rPr>
  </w:style>
  <w:style w:type="character" w:customStyle="1" w:styleId="320">
    <w:name w:val="尾注文本 Char3"/>
    <w:link w:val="27"/>
    <w:qFormat/>
    <w:uiPriority w:val="0"/>
    <w:rPr>
      <w:rFonts w:ascii="Arial" w:hAnsi="Arial" w:eastAsia="宋体" w:cs="Arial"/>
      <w:szCs w:val="24"/>
      <w:lang w:val="en-US" w:eastAsia="en-US" w:bidi="ar-SA"/>
    </w:rPr>
  </w:style>
  <w:style w:type="character" w:customStyle="1" w:styleId="321">
    <w:name w:val="Char Char9"/>
    <w:qFormat/>
    <w:locked/>
    <w:uiPriority w:val="0"/>
    <w:rPr>
      <w:rFonts w:ascii="仿宋_GB2312" w:eastAsia="仿宋_GB2312" w:cs="MingLiU"/>
      <w:b/>
      <w:sz w:val="24"/>
      <w:szCs w:val="28"/>
      <w:lang w:val="en-US" w:eastAsia="zh-CN" w:bidi="ar-SA"/>
    </w:rPr>
  </w:style>
  <w:style w:type="character" w:customStyle="1" w:styleId="322">
    <w:name w:val="正文文本缩进 2 Char"/>
    <w:qFormat/>
    <w:uiPriority w:val="0"/>
    <w:rPr>
      <w:kern w:val="2"/>
      <w:sz w:val="21"/>
      <w:szCs w:val="24"/>
    </w:rPr>
  </w:style>
  <w:style w:type="character" w:customStyle="1" w:styleId="323">
    <w:name w:val="font161"/>
    <w:qFormat/>
    <w:uiPriority w:val="0"/>
    <w:rPr>
      <w:b/>
      <w:bCs/>
      <w:sz w:val="32"/>
      <w:szCs w:val="32"/>
    </w:rPr>
  </w:style>
  <w:style w:type="character" w:customStyle="1" w:styleId="324">
    <w:name w:val="批注文字 字符"/>
    <w:semiHidden/>
    <w:qFormat/>
    <w:uiPriority w:val="99"/>
  </w:style>
  <w:style w:type="character" w:customStyle="1" w:styleId="325">
    <w:name w:val="脚注文本 Char3"/>
    <w:link w:val="34"/>
    <w:qFormat/>
    <w:uiPriority w:val="0"/>
    <w:rPr>
      <w:rFonts w:ascii="Arial" w:hAnsi="Arial" w:eastAsia="宋体" w:cs="Arial"/>
      <w:sz w:val="18"/>
      <w:szCs w:val="18"/>
      <w:lang w:val="en-US" w:eastAsia="en-US" w:bidi="ar-SA"/>
    </w:rPr>
  </w:style>
  <w:style w:type="character" w:customStyle="1" w:styleId="326">
    <w:name w:val="标题 4 Char1"/>
    <w:qFormat/>
    <w:uiPriority w:val="0"/>
    <w:rPr>
      <w:rFonts w:ascii="宋体" w:hAnsi="宋体" w:eastAsia="宋体" w:cs="宋体"/>
      <w:b/>
      <w:bCs/>
      <w:sz w:val="24"/>
      <w:szCs w:val="24"/>
    </w:rPr>
  </w:style>
  <w:style w:type="character" w:customStyle="1" w:styleId="327">
    <w:name w:val="Char Char14"/>
    <w:qFormat/>
    <w:uiPriority w:val="0"/>
    <w:rPr>
      <w:kern w:val="2"/>
      <w:sz w:val="18"/>
      <w:szCs w:val="18"/>
    </w:rPr>
  </w:style>
  <w:style w:type="character" w:customStyle="1" w:styleId="328">
    <w:name w:val="明显强调1"/>
    <w:qFormat/>
    <w:uiPriority w:val="0"/>
    <w:rPr>
      <w:b/>
      <w:bCs/>
      <w:i/>
      <w:iCs/>
      <w:color w:val="4F81BD"/>
    </w:rPr>
  </w:style>
  <w:style w:type="character" w:customStyle="1" w:styleId="329">
    <w:name w:val="脚注文本 Char"/>
    <w:qFormat/>
    <w:uiPriority w:val="0"/>
    <w:rPr>
      <w:rFonts w:ascii="Arial" w:hAnsi="Arial" w:eastAsia="宋体" w:cs="Arial"/>
      <w:sz w:val="18"/>
      <w:szCs w:val="18"/>
      <w:lang w:eastAsia="en-US"/>
    </w:rPr>
  </w:style>
  <w:style w:type="character" w:customStyle="1" w:styleId="330">
    <w:name w:val="正文文本 Char"/>
    <w:qFormat/>
    <w:uiPriority w:val="0"/>
    <w:rPr>
      <w:sz w:val="26"/>
      <w:szCs w:val="24"/>
    </w:rPr>
  </w:style>
  <w:style w:type="character" w:customStyle="1" w:styleId="331">
    <w:name w:val="日期 Char1"/>
    <w:qFormat/>
    <w:uiPriority w:val="0"/>
    <w:rPr>
      <w:kern w:val="2"/>
      <w:sz w:val="21"/>
      <w:szCs w:val="22"/>
    </w:rPr>
  </w:style>
  <w:style w:type="character" w:customStyle="1" w:styleId="332">
    <w:name w:val="style31"/>
    <w:qFormat/>
    <w:uiPriority w:val="0"/>
    <w:rPr>
      <w:sz w:val="10"/>
      <w:szCs w:val="10"/>
    </w:rPr>
  </w:style>
  <w:style w:type="character" w:customStyle="1" w:styleId="333">
    <w:name w:val="未处理的提及"/>
    <w:unhideWhenUsed/>
    <w:qFormat/>
    <w:uiPriority w:val="99"/>
    <w:rPr>
      <w:color w:val="808080"/>
      <w:shd w:val="clear" w:color="auto" w:fill="E6E6E6"/>
    </w:rPr>
  </w:style>
  <w:style w:type="character" w:customStyle="1" w:styleId="334">
    <w:name w:val="正文文本 Char2"/>
    <w:qFormat/>
    <w:uiPriority w:val="99"/>
    <w:rPr>
      <w:kern w:val="2"/>
      <w:sz w:val="21"/>
      <w:szCs w:val="24"/>
    </w:rPr>
  </w:style>
  <w:style w:type="character" w:customStyle="1" w:styleId="335">
    <w:name w:val="标题 5 Char"/>
    <w:qFormat/>
    <w:uiPriority w:val="0"/>
    <w:rPr>
      <w:rFonts w:ascii="Calibri" w:hAnsi="Calibri" w:eastAsia="宋体" w:cs="Times New Roman"/>
      <w:b/>
      <w:bCs/>
      <w:sz w:val="28"/>
      <w:szCs w:val="28"/>
    </w:rPr>
  </w:style>
  <w:style w:type="character" w:customStyle="1" w:styleId="336">
    <w:name w:val="文档结构图 Char"/>
    <w:qFormat/>
    <w:uiPriority w:val="0"/>
    <w:rPr>
      <w:rFonts w:ascii="宋体"/>
      <w:kern w:val="2"/>
      <w:sz w:val="18"/>
      <w:szCs w:val="18"/>
    </w:rPr>
  </w:style>
  <w:style w:type="character" w:customStyle="1" w:styleId="337">
    <w:name w:val="正文文本 3 Char1"/>
    <w:qFormat/>
    <w:uiPriority w:val="0"/>
    <w:rPr>
      <w:kern w:val="2"/>
      <w:sz w:val="16"/>
      <w:szCs w:val="16"/>
    </w:rPr>
  </w:style>
  <w:style w:type="character" w:customStyle="1" w:styleId="338">
    <w:name w:val="招标正文 Char"/>
    <w:link w:val="165"/>
    <w:qFormat/>
    <w:locked/>
    <w:uiPriority w:val="0"/>
    <w:rPr>
      <w:rFonts w:ascii="宋体" w:hAnsi="宋体"/>
      <w:color w:val="0070C0"/>
      <w:szCs w:val="21"/>
    </w:rPr>
  </w:style>
  <w:style w:type="character" w:customStyle="1" w:styleId="339">
    <w:name w:val="纯文本 Char2"/>
    <w:semiHidden/>
    <w:qFormat/>
    <w:uiPriority w:val="99"/>
    <w:rPr>
      <w:rFonts w:ascii="宋体" w:hAnsi="Courier New" w:eastAsia="宋体" w:cs="Courier New"/>
      <w:szCs w:val="21"/>
    </w:rPr>
  </w:style>
  <w:style w:type="character" w:customStyle="1" w:styleId="340">
    <w:name w:val="脚注文本 Char1"/>
    <w:qFormat/>
    <w:uiPriority w:val="0"/>
    <w:rPr>
      <w:rFonts w:ascii="Arial" w:hAnsi="Arial" w:cs="Arial"/>
      <w:sz w:val="18"/>
      <w:szCs w:val="18"/>
      <w:lang w:eastAsia="en-US"/>
    </w:rPr>
  </w:style>
  <w:style w:type="character" w:customStyle="1" w:styleId="341">
    <w:name w:val="页脚 Char2"/>
    <w:link w:val="29"/>
    <w:qFormat/>
    <w:uiPriority w:val="0"/>
    <w:rPr>
      <w:rFonts w:eastAsia="宋体"/>
      <w:kern w:val="2"/>
      <w:sz w:val="18"/>
      <w:szCs w:val="18"/>
      <w:lang w:val="en-US" w:eastAsia="zh-CN" w:bidi="ar-SA"/>
    </w:rPr>
  </w:style>
  <w:style w:type="character" w:customStyle="1" w:styleId="342">
    <w:name w:val="标题4 Char Char"/>
    <w:link w:val="99"/>
    <w:qFormat/>
    <w:uiPriority w:val="0"/>
    <w:rPr>
      <w:rFonts w:ascii="Arial" w:hAnsi="Arial"/>
      <w:b/>
      <w:bCs/>
      <w:sz w:val="24"/>
      <w:szCs w:val="32"/>
      <w:lang w:bidi="ar-SA"/>
    </w:rPr>
  </w:style>
  <w:style w:type="character" w:customStyle="1" w:styleId="343">
    <w:name w:val="标题 9 Char2"/>
    <w:link w:val="12"/>
    <w:qFormat/>
    <w:uiPriority w:val="0"/>
    <w:rPr>
      <w:rFonts w:eastAsia="仿宋_GB2312"/>
      <w:sz w:val="30"/>
      <w:lang w:val="en-US" w:eastAsia="zh-CN" w:bidi="ar-SA"/>
    </w:rPr>
  </w:style>
  <w:style w:type="character" w:customStyle="1" w:styleId="344">
    <w:name w:val="正文文本 Char1"/>
    <w:qFormat/>
    <w:uiPriority w:val="0"/>
    <w:rPr>
      <w:kern w:val="2"/>
      <w:sz w:val="21"/>
      <w:szCs w:val="22"/>
    </w:rPr>
  </w:style>
  <w:style w:type="character" w:customStyle="1" w:styleId="345">
    <w:name w:val="副标题 Char2"/>
    <w:qFormat/>
    <w:uiPriority w:val="11"/>
    <w:rPr>
      <w:rFonts w:ascii="Cambria" w:hAnsi="Cambria" w:eastAsia="宋体" w:cs="Times New Roman"/>
      <w:b/>
      <w:bCs/>
      <w:kern w:val="28"/>
      <w:sz w:val="32"/>
      <w:szCs w:val="32"/>
    </w:rPr>
  </w:style>
  <w:style w:type="character" w:customStyle="1" w:styleId="346">
    <w:name w:val="标题 1 Char1"/>
    <w:qFormat/>
    <w:uiPriority w:val="0"/>
    <w:rPr>
      <w:rFonts w:ascii="Times New Roman" w:hAnsi="Times New Roman" w:eastAsia="宋体" w:cs="Times New Roman"/>
      <w:b/>
      <w:bCs/>
      <w:kern w:val="44"/>
      <w:sz w:val="44"/>
      <w:szCs w:val="44"/>
    </w:rPr>
  </w:style>
  <w:style w:type="character" w:customStyle="1" w:styleId="347">
    <w:name w:val="正文文本缩进 3 Char3"/>
    <w:link w:val="36"/>
    <w:qFormat/>
    <w:uiPriority w:val="0"/>
    <w:rPr>
      <w:rFonts w:ascii="宋体" w:hAnsi="宋体" w:eastAsia="宋体"/>
      <w:kern w:val="2"/>
      <w:sz w:val="28"/>
      <w:szCs w:val="28"/>
      <w:lang w:val="en-US" w:eastAsia="zh-CN" w:bidi="ar-SA"/>
    </w:rPr>
  </w:style>
  <w:style w:type="character" w:customStyle="1" w:styleId="348">
    <w:name w:val="标题 5 Char1"/>
    <w:qFormat/>
    <w:uiPriority w:val="0"/>
    <w:rPr>
      <w:rFonts w:ascii="宋体" w:hAnsi="宋体" w:eastAsia="宋体" w:cs="宋体"/>
      <w:b/>
      <w:bCs/>
      <w:sz w:val="20"/>
      <w:szCs w:val="20"/>
    </w:rPr>
  </w:style>
  <w:style w:type="character" w:customStyle="1" w:styleId="349">
    <w:name w:val="正文文本缩进 Char"/>
    <w:qFormat/>
    <w:uiPriority w:val="0"/>
    <w:rPr>
      <w:rFonts w:ascii="黑体" w:hAnsi="宋体" w:eastAsia="黑体"/>
      <w:color w:val="000000"/>
      <w:sz w:val="28"/>
      <w:szCs w:val="32"/>
    </w:rPr>
  </w:style>
  <w:style w:type="character" w:customStyle="1" w:styleId="350">
    <w:name w:val="Char Char12"/>
    <w:qFormat/>
    <w:uiPriority w:val="0"/>
    <w:rPr>
      <w:rFonts w:eastAsia="黑体"/>
      <w:kern w:val="2"/>
      <w:sz w:val="44"/>
      <w:szCs w:val="44"/>
      <w:lang w:val="en-US" w:eastAsia="zh-CN" w:bidi="ar-SA"/>
    </w:rPr>
  </w:style>
  <w:style w:type="character" w:customStyle="1" w:styleId="351">
    <w:name w:val="标题 1 Char"/>
    <w:qFormat/>
    <w:uiPriority w:val="0"/>
    <w:rPr>
      <w:rFonts w:ascii="Times New Roman" w:hAnsi="Times New Roman" w:eastAsia="宋体" w:cs="Times New Roman"/>
      <w:b/>
      <w:bCs/>
      <w:kern w:val="44"/>
      <w:sz w:val="44"/>
      <w:szCs w:val="44"/>
    </w:rPr>
  </w:style>
  <w:style w:type="character" w:customStyle="1" w:styleId="352">
    <w:name w:val="style161"/>
    <w:qFormat/>
    <w:uiPriority w:val="0"/>
    <w:rPr>
      <w:b/>
      <w:bCs/>
      <w:color w:val="333333"/>
    </w:rPr>
  </w:style>
  <w:style w:type="character" w:customStyle="1" w:styleId="353">
    <w:name w:val="明显引用 Char1"/>
    <w:link w:val="86"/>
    <w:qFormat/>
    <w:uiPriority w:val="30"/>
    <w:rPr>
      <w:b/>
      <w:bCs/>
      <w:i/>
      <w:iCs/>
      <w:color w:val="4F81BD"/>
      <w:kern w:val="2"/>
      <w:sz w:val="21"/>
    </w:rPr>
  </w:style>
  <w:style w:type="character" w:customStyle="1" w:styleId="354">
    <w:name w:val="Char Char36"/>
    <w:qFormat/>
    <w:uiPriority w:val="0"/>
    <w:rPr>
      <w:rFonts w:ascii="仿宋_GB2312" w:eastAsia="仿宋_GB2312" w:cs="MingLiU"/>
      <w:b/>
      <w:sz w:val="24"/>
      <w:szCs w:val="28"/>
    </w:rPr>
  </w:style>
  <w:style w:type="character" w:customStyle="1" w:styleId="355">
    <w:name w:val="ITTHEADER2 Char"/>
    <w:qFormat/>
    <w:uiPriority w:val="0"/>
    <w:rPr>
      <w:rFonts w:ascii="仿宋_GB2312" w:eastAsia="仿宋_GB2312" w:cs="MingLiU"/>
      <w:b/>
      <w:spacing w:val="1"/>
      <w:w w:val="99"/>
      <w:sz w:val="28"/>
      <w:szCs w:val="32"/>
      <w:lang w:val="en-US" w:eastAsia="zh-CN" w:bidi="ar-SA"/>
    </w:rPr>
  </w:style>
  <w:style w:type="character" w:customStyle="1" w:styleId="356">
    <w:name w:val="0d1471"/>
    <w:qFormat/>
    <w:uiPriority w:val="0"/>
    <w:rPr>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125</Pages>
  <Words>4720</Words>
  <Characters>5235</Characters>
  <Lines>1483</Lines>
  <Paragraphs>417</Paragraphs>
  <TotalTime>12</TotalTime>
  <ScaleCrop>false</ScaleCrop>
  <LinksUpToDate>false</LinksUpToDate>
  <CharactersWithSpaces>5614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2021-09-27T17:18:00Z</dcterms:created>
  <dc:creator>USER</dc:creator>
  <cp:lastModifiedBy>WPS_1664260647</cp:lastModifiedBy>
  <cp:lastPrinted>2020-12-31T14:28:00Z</cp:lastPrinted>
  <dcterms:modified xsi:type="dcterms:W3CDTF">2026-03-25T08:49:53Z</dcterms:modified>
  <dc:title>第一卷</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27E6B8F80E6442CDBA0CF1E6F1235287</vt:lpwstr>
  </property>
  <property fmtid="{D5CDD505-2E9C-101B-9397-08002B2CF9AE}" pid="4" name="KSOTemplateDocerSaveRecord">
    <vt:lpwstr>eyJoZGlkIjoiNjg4MWM2YmFhNjI2ZjBiMzdmZDQ5YWQxZGNmMDQ4ZWEiLCJ1c2VySWQiOiIxNDIwMzQ5NDg4In0=</vt:lpwstr>
  </property>
</Properties>
</file>