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EC5F4">
      <w:pPr>
        <w:jc w:val="center"/>
        <w:rPr>
          <w:rFonts w:ascii="宋体" w:hAnsi="宋体"/>
          <w:b/>
          <w:sz w:val="44"/>
          <w:szCs w:val="44"/>
        </w:rPr>
      </w:pPr>
      <w:bookmarkStart w:id="0" w:name="_Toc536621766"/>
      <w:bookmarkStart w:id="1" w:name="_Toc43278824"/>
      <w:bookmarkStart w:id="2" w:name="_Toc28400"/>
      <w:bookmarkStart w:id="3" w:name="_Toc37531048"/>
      <w:bookmarkStart w:id="4" w:name="_Toc536800622"/>
      <w:bookmarkStart w:id="5" w:name="_Toc509218549"/>
      <w:bookmarkStart w:id="6" w:name="_Toc536781693"/>
      <w:bookmarkStart w:id="7" w:name="_Toc536628229"/>
      <w:bookmarkStart w:id="8" w:name="_Toc536782092"/>
      <w:bookmarkStart w:id="9" w:name="_Toc287620665"/>
      <w:bookmarkStart w:id="363" w:name="_GoBack"/>
      <w:bookmarkEnd w:id="363"/>
    </w:p>
    <w:p w14:paraId="56D31ADA">
      <w:pPr>
        <w:spacing w:line="360" w:lineRule="auto"/>
        <w:jc w:val="center"/>
        <w:rPr>
          <w:rFonts w:hint="eastAsia" w:ascii="宋体" w:hAnsi="宋体" w:eastAsia="宋体"/>
          <w:kern w:val="0"/>
          <w:sz w:val="36"/>
          <w:szCs w:val="36"/>
          <w:u w:val="single"/>
          <w:lang w:eastAsia="zh-CN"/>
        </w:rPr>
      </w:pPr>
      <w:r>
        <w:rPr>
          <w:rFonts w:hint="eastAsia" w:ascii="宋体" w:hAnsi="宋体"/>
          <w:kern w:val="0"/>
          <w:sz w:val="36"/>
          <w:szCs w:val="36"/>
          <w:u w:val="single"/>
          <w:lang w:eastAsia="zh-CN"/>
        </w:rPr>
        <w:t>垫江县高峰镇高峰社区、大井村公路扩宽工程</w:t>
      </w:r>
    </w:p>
    <w:p w14:paraId="4B52F1C4">
      <w:pPr>
        <w:autoSpaceDE w:val="0"/>
        <w:autoSpaceDN w:val="0"/>
        <w:adjustRightInd w:val="0"/>
        <w:snapToGrid w:val="0"/>
        <w:spacing w:line="360" w:lineRule="auto"/>
        <w:jc w:val="left"/>
        <w:rPr>
          <w:rFonts w:ascii="宋体" w:hAnsi="宋体"/>
          <w:kern w:val="0"/>
          <w:sz w:val="20"/>
          <w:szCs w:val="20"/>
        </w:rPr>
      </w:pPr>
    </w:p>
    <w:p w14:paraId="42AF8D50">
      <w:pPr>
        <w:autoSpaceDE w:val="0"/>
        <w:autoSpaceDN w:val="0"/>
        <w:adjustRightInd w:val="0"/>
        <w:snapToGrid w:val="0"/>
        <w:spacing w:line="360" w:lineRule="auto"/>
        <w:jc w:val="left"/>
        <w:rPr>
          <w:rFonts w:ascii="宋体" w:hAnsi="宋体"/>
          <w:kern w:val="0"/>
          <w:sz w:val="20"/>
          <w:szCs w:val="20"/>
        </w:rPr>
      </w:pPr>
    </w:p>
    <w:p w14:paraId="3328A667">
      <w:pPr>
        <w:autoSpaceDE w:val="0"/>
        <w:autoSpaceDN w:val="0"/>
        <w:adjustRightInd w:val="0"/>
        <w:snapToGrid w:val="0"/>
        <w:spacing w:line="360" w:lineRule="auto"/>
        <w:jc w:val="left"/>
        <w:rPr>
          <w:rFonts w:ascii="宋体" w:hAnsi="宋体"/>
          <w:kern w:val="0"/>
          <w:sz w:val="20"/>
          <w:szCs w:val="20"/>
        </w:rPr>
      </w:pPr>
    </w:p>
    <w:p w14:paraId="0B840D0F">
      <w:pPr>
        <w:autoSpaceDE w:val="0"/>
        <w:autoSpaceDN w:val="0"/>
        <w:adjustRightInd w:val="0"/>
        <w:snapToGrid w:val="0"/>
        <w:spacing w:line="360" w:lineRule="auto"/>
        <w:jc w:val="left"/>
        <w:rPr>
          <w:rFonts w:ascii="宋体" w:hAnsi="宋体"/>
          <w:kern w:val="0"/>
          <w:sz w:val="20"/>
          <w:szCs w:val="20"/>
        </w:rPr>
      </w:pPr>
    </w:p>
    <w:p w14:paraId="0ADAF392">
      <w:pPr>
        <w:autoSpaceDE w:val="0"/>
        <w:autoSpaceDN w:val="0"/>
        <w:adjustRightInd w:val="0"/>
        <w:snapToGrid w:val="0"/>
        <w:spacing w:line="360" w:lineRule="auto"/>
        <w:jc w:val="left"/>
        <w:rPr>
          <w:rFonts w:ascii="宋体" w:hAnsi="宋体"/>
          <w:kern w:val="0"/>
          <w:sz w:val="20"/>
          <w:szCs w:val="20"/>
        </w:rPr>
      </w:pPr>
    </w:p>
    <w:p w14:paraId="6C49A92E">
      <w:pPr>
        <w:autoSpaceDE w:val="0"/>
        <w:autoSpaceDN w:val="0"/>
        <w:adjustRightInd w:val="0"/>
        <w:snapToGrid w:val="0"/>
        <w:spacing w:line="360" w:lineRule="auto"/>
        <w:jc w:val="left"/>
        <w:rPr>
          <w:rFonts w:ascii="宋体" w:hAnsi="宋体"/>
          <w:kern w:val="0"/>
          <w:sz w:val="20"/>
          <w:szCs w:val="20"/>
        </w:rPr>
      </w:pPr>
    </w:p>
    <w:p w14:paraId="563FAAFB">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竞争性比选</w:t>
      </w:r>
      <w:r>
        <w:rPr>
          <w:rFonts w:ascii="宋体" w:hAnsi="宋体"/>
          <w:kern w:val="0"/>
          <w:sz w:val="72"/>
          <w:szCs w:val="72"/>
        </w:rPr>
        <w:t>文件</w:t>
      </w:r>
    </w:p>
    <w:p w14:paraId="78FACBE5">
      <w:pPr>
        <w:autoSpaceDE w:val="0"/>
        <w:autoSpaceDN w:val="0"/>
        <w:adjustRightInd w:val="0"/>
        <w:snapToGrid w:val="0"/>
        <w:spacing w:line="360" w:lineRule="auto"/>
        <w:jc w:val="left"/>
        <w:rPr>
          <w:rFonts w:ascii="宋体" w:hAnsi="宋体"/>
          <w:kern w:val="0"/>
          <w:sz w:val="10"/>
          <w:szCs w:val="10"/>
        </w:rPr>
      </w:pPr>
    </w:p>
    <w:p w14:paraId="41AC6F99">
      <w:pPr>
        <w:autoSpaceDE w:val="0"/>
        <w:autoSpaceDN w:val="0"/>
        <w:adjustRightInd w:val="0"/>
        <w:snapToGrid w:val="0"/>
        <w:spacing w:line="360" w:lineRule="auto"/>
        <w:jc w:val="left"/>
        <w:rPr>
          <w:rFonts w:ascii="宋体" w:hAnsi="宋体"/>
          <w:kern w:val="0"/>
          <w:sz w:val="20"/>
          <w:szCs w:val="20"/>
        </w:rPr>
      </w:pPr>
    </w:p>
    <w:p w14:paraId="44FF94C9">
      <w:pPr>
        <w:autoSpaceDE w:val="0"/>
        <w:autoSpaceDN w:val="0"/>
        <w:adjustRightInd w:val="0"/>
        <w:snapToGrid w:val="0"/>
        <w:spacing w:line="360" w:lineRule="auto"/>
        <w:jc w:val="left"/>
        <w:rPr>
          <w:rFonts w:ascii="宋体" w:hAnsi="宋体"/>
          <w:kern w:val="0"/>
          <w:sz w:val="20"/>
          <w:szCs w:val="20"/>
        </w:rPr>
      </w:pPr>
    </w:p>
    <w:p w14:paraId="07B501AA">
      <w:pPr>
        <w:autoSpaceDE w:val="0"/>
        <w:autoSpaceDN w:val="0"/>
        <w:adjustRightInd w:val="0"/>
        <w:snapToGrid w:val="0"/>
        <w:spacing w:line="360" w:lineRule="auto"/>
        <w:jc w:val="left"/>
        <w:rPr>
          <w:rFonts w:ascii="宋体" w:hAnsi="宋体"/>
          <w:kern w:val="0"/>
          <w:sz w:val="20"/>
          <w:szCs w:val="20"/>
        </w:rPr>
      </w:pPr>
    </w:p>
    <w:p w14:paraId="543A4DB3">
      <w:pPr>
        <w:autoSpaceDE w:val="0"/>
        <w:autoSpaceDN w:val="0"/>
        <w:adjustRightInd w:val="0"/>
        <w:snapToGrid w:val="0"/>
        <w:spacing w:line="360" w:lineRule="auto"/>
        <w:jc w:val="left"/>
        <w:rPr>
          <w:rFonts w:ascii="宋体" w:hAnsi="宋体"/>
          <w:kern w:val="0"/>
          <w:sz w:val="20"/>
          <w:szCs w:val="20"/>
        </w:rPr>
      </w:pPr>
    </w:p>
    <w:p w14:paraId="3936CFC7">
      <w:pPr>
        <w:autoSpaceDE w:val="0"/>
        <w:autoSpaceDN w:val="0"/>
        <w:adjustRightInd w:val="0"/>
        <w:snapToGrid w:val="0"/>
        <w:spacing w:line="360" w:lineRule="auto"/>
        <w:jc w:val="left"/>
        <w:rPr>
          <w:rFonts w:ascii="宋体" w:hAnsi="宋体"/>
          <w:kern w:val="0"/>
          <w:sz w:val="20"/>
          <w:szCs w:val="20"/>
        </w:rPr>
      </w:pPr>
    </w:p>
    <w:p w14:paraId="7BC05AA5">
      <w:pPr>
        <w:autoSpaceDE w:val="0"/>
        <w:autoSpaceDN w:val="0"/>
        <w:adjustRightInd w:val="0"/>
        <w:snapToGrid w:val="0"/>
        <w:spacing w:line="360" w:lineRule="auto"/>
        <w:jc w:val="left"/>
        <w:rPr>
          <w:rFonts w:ascii="宋体" w:hAnsi="宋体"/>
          <w:kern w:val="0"/>
          <w:sz w:val="20"/>
          <w:szCs w:val="20"/>
        </w:rPr>
      </w:pPr>
    </w:p>
    <w:p w14:paraId="1B608CF0">
      <w:pPr>
        <w:autoSpaceDE w:val="0"/>
        <w:autoSpaceDN w:val="0"/>
        <w:adjustRightInd w:val="0"/>
        <w:snapToGrid w:val="0"/>
        <w:spacing w:line="360" w:lineRule="auto"/>
        <w:jc w:val="left"/>
        <w:rPr>
          <w:rFonts w:ascii="宋体" w:hAnsi="宋体"/>
          <w:kern w:val="0"/>
          <w:sz w:val="20"/>
          <w:szCs w:val="20"/>
        </w:rPr>
      </w:pPr>
    </w:p>
    <w:p w14:paraId="0BEDE6F7">
      <w:pPr>
        <w:autoSpaceDE w:val="0"/>
        <w:autoSpaceDN w:val="0"/>
        <w:adjustRightInd w:val="0"/>
        <w:snapToGrid w:val="0"/>
        <w:spacing w:line="360" w:lineRule="auto"/>
        <w:rPr>
          <w:rFonts w:ascii="宋体" w:hAnsi="宋体"/>
          <w:kern w:val="0"/>
          <w:sz w:val="20"/>
          <w:szCs w:val="20"/>
        </w:rPr>
      </w:pPr>
    </w:p>
    <w:p w14:paraId="356B160A">
      <w:pPr>
        <w:autoSpaceDE w:val="0"/>
        <w:autoSpaceDN w:val="0"/>
        <w:adjustRightInd w:val="0"/>
        <w:snapToGrid w:val="0"/>
        <w:spacing w:line="360" w:lineRule="auto"/>
        <w:jc w:val="left"/>
        <w:rPr>
          <w:rFonts w:ascii="宋体" w:hAnsi="宋体"/>
          <w:kern w:val="0"/>
          <w:sz w:val="20"/>
          <w:szCs w:val="20"/>
        </w:rPr>
      </w:pPr>
    </w:p>
    <w:p w14:paraId="7D6B348D">
      <w:pPr>
        <w:autoSpaceDE w:val="0"/>
        <w:autoSpaceDN w:val="0"/>
        <w:adjustRightInd w:val="0"/>
        <w:snapToGrid w:val="0"/>
        <w:spacing w:line="360" w:lineRule="auto"/>
        <w:rPr>
          <w:rFonts w:ascii="宋体" w:hAnsi="宋体"/>
          <w:kern w:val="0"/>
          <w:sz w:val="20"/>
          <w:szCs w:val="20"/>
        </w:rPr>
      </w:pPr>
    </w:p>
    <w:p w14:paraId="4F080446">
      <w:pPr>
        <w:autoSpaceDE w:val="0"/>
        <w:autoSpaceDN w:val="0"/>
        <w:adjustRightInd w:val="0"/>
        <w:snapToGrid w:val="0"/>
        <w:spacing w:line="360" w:lineRule="auto"/>
        <w:rPr>
          <w:rFonts w:ascii="宋体" w:hAnsi="宋体"/>
          <w:kern w:val="0"/>
          <w:sz w:val="20"/>
          <w:szCs w:val="20"/>
        </w:rPr>
      </w:pPr>
    </w:p>
    <w:p w14:paraId="25AF44B4">
      <w:pPr>
        <w:autoSpaceDE w:val="0"/>
        <w:autoSpaceDN w:val="0"/>
        <w:adjustRightInd w:val="0"/>
        <w:snapToGrid w:val="0"/>
        <w:spacing w:line="360" w:lineRule="auto"/>
        <w:rPr>
          <w:rFonts w:ascii="宋体" w:hAnsi="宋体"/>
          <w:kern w:val="0"/>
          <w:sz w:val="20"/>
          <w:szCs w:val="20"/>
        </w:rPr>
      </w:pPr>
    </w:p>
    <w:p w14:paraId="76A67A85">
      <w:pPr>
        <w:tabs>
          <w:tab w:val="left" w:pos="6219"/>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w w:val="99"/>
          <w:kern w:val="0"/>
          <w:sz w:val="28"/>
          <w:szCs w:val="28"/>
        </w:rPr>
        <w:t>比   选</w:t>
      </w:r>
      <w:r>
        <w:rPr>
          <w:rFonts w:ascii="宋体" w:hAnsi="宋体"/>
          <w:b/>
          <w:w w:val="99"/>
          <w:kern w:val="0"/>
          <w:sz w:val="28"/>
          <w:szCs w:val="28"/>
        </w:rPr>
        <w:t>　 人：</w:t>
      </w:r>
      <w:r>
        <w:rPr>
          <w:rFonts w:hint="eastAsia" w:ascii="宋体" w:hAnsi="宋体"/>
          <w:b/>
          <w:spacing w:val="8"/>
          <w:kern w:val="0"/>
          <w:sz w:val="28"/>
          <w:szCs w:val="28"/>
          <w:u w:val="single"/>
        </w:rPr>
        <w:t>垫江县高峰镇人民政府</w:t>
      </w:r>
      <w:r>
        <w:rPr>
          <w:rFonts w:ascii="宋体" w:hAnsi="宋体"/>
          <w:kern w:val="0"/>
          <w:sz w:val="28"/>
          <w:szCs w:val="28"/>
          <w:u w:val="single"/>
        </w:rPr>
        <w:t xml:space="preserve"> </w:t>
      </w:r>
      <w:r>
        <w:rPr>
          <w:rFonts w:ascii="宋体" w:hAnsi="宋体"/>
          <w:b/>
          <w:w w:val="99"/>
          <w:kern w:val="0"/>
          <w:sz w:val="28"/>
          <w:szCs w:val="28"/>
        </w:rPr>
        <w:t>（盖单位法人章）</w:t>
      </w:r>
    </w:p>
    <w:p w14:paraId="25740A2D">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spacing w:val="8"/>
          <w:kern w:val="0"/>
          <w:sz w:val="28"/>
          <w:szCs w:val="28"/>
        </w:rPr>
        <w:t>比选</w:t>
      </w:r>
      <w:r>
        <w:rPr>
          <w:rFonts w:ascii="宋体" w:hAnsi="宋体"/>
          <w:b/>
          <w:spacing w:val="8"/>
          <w:kern w:val="0"/>
          <w:sz w:val="28"/>
          <w:szCs w:val="28"/>
        </w:rPr>
        <w:t>代理机构：</w:t>
      </w:r>
      <w:r>
        <w:rPr>
          <w:rFonts w:hint="eastAsia" w:ascii="宋体" w:hAnsi="宋体"/>
          <w:b/>
          <w:spacing w:val="8"/>
          <w:kern w:val="0"/>
          <w:sz w:val="28"/>
          <w:szCs w:val="28"/>
          <w:u w:val="single"/>
          <w:lang w:eastAsia="zh-CN"/>
        </w:rPr>
        <w:t>重庆羽丰工程项目管理咨询有限公司</w:t>
      </w:r>
      <w:r>
        <w:rPr>
          <w:rFonts w:ascii="宋体" w:hAnsi="宋体"/>
          <w:kern w:val="0"/>
          <w:sz w:val="28"/>
          <w:szCs w:val="28"/>
          <w:u w:val="single"/>
        </w:rPr>
        <w:t xml:space="preserve"> </w:t>
      </w:r>
      <w:r>
        <w:rPr>
          <w:rFonts w:ascii="宋体" w:hAnsi="宋体"/>
          <w:b/>
          <w:w w:val="99"/>
          <w:kern w:val="0"/>
          <w:sz w:val="28"/>
          <w:szCs w:val="28"/>
        </w:rPr>
        <w:t>（盖单位法人章）</w:t>
      </w:r>
    </w:p>
    <w:p w14:paraId="6C1F11F0">
      <w:pPr>
        <w:autoSpaceDE w:val="0"/>
        <w:autoSpaceDN w:val="0"/>
        <w:adjustRightInd w:val="0"/>
        <w:snapToGrid w:val="0"/>
        <w:spacing w:line="360" w:lineRule="auto"/>
        <w:jc w:val="center"/>
        <w:rPr>
          <w:rFonts w:ascii="宋体" w:hAnsi="宋体"/>
          <w:b/>
          <w:kern w:val="0"/>
          <w:sz w:val="20"/>
          <w:szCs w:val="20"/>
        </w:rPr>
      </w:pPr>
    </w:p>
    <w:p w14:paraId="29058392">
      <w:pPr>
        <w:autoSpaceDE w:val="0"/>
        <w:autoSpaceDN w:val="0"/>
        <w:adjustRightInd w:val="0"/>
        <w:snapToGrid w:val="0"/>
        <w:spacing w:line="360" w:lineRule="auto"/>
        <w:jc w:val="center"/>
        <w:rPr>
          <w:rFonts w:ascii="宋体" w:hAnsi="宋体"/>
          <w:b/>
          <w:kern w:val="0"/>
          <w:sz w:val="28"/>
          <w:szCs w:val="28"/>
        </w:rPr>
      </w:pPr>
    </w:p>
    <w:p w14:paraId="23ACC27E">
      <w:pPr>
        <w:autoSpaceDE w:val="0"/>
        <w:autoSpaceDN w:val="0"/>
        <w:adjustRightInd w:val="0"/>
        <w:snapToGrid w:val="0"/>
        <w:spacing w:line="360" w:lineRule="auto"/>
        <w:jc w:val="center"/>
        <w:rPr>
          <w:rFonts w:ascii="宋体" w:hAnsi="宋体"/>
          <w:b/>
          <w:kern w:val="0"/>
          <w:sz w:val="28"/>
          <w:szCs w:val="28"/>
        </w:rPr>
      </w:pPr>
    </w:p>
    <w:p w14:paraId="00487C48">
      <w:pPr>
        <w:jc w:val="center"/>
        <w:rPr>
          <w:rFonts w:ascii="宋体" w:hAnsi="宋体"/>
          <w:b/>
          <w:bCs/>
          <w:sz w:val="28"/>
          <w:szCs w:val="28"/>
        </w:rPr>
      </w:pPr>
      <w:r>
        <w:rPr>
          <w:rFonts w:hint="eastAsia" w:ascii="宋体" w:hAnsi="宋体"/>
          <w:b/>
          <w:bCs/>
          <w:sz w:val="28"/>
          <w:szCs w:val="28"/>
          <w:u w:val="single"/>
        </w:rPr>
        <w:t>202</w:t>
      </w:r>
      <w:r>
        <w:rPr>
          <w:rFonts w:hint="eastAsia" w:ascii="宋体" w:hAnsi="宋体"/>
          <w:b/>
          <w:bCs/>
          <w:sz w:val="28"/>
          <w:szCs w:val="28"/>
          <w:u w:val="single"/>
          <w:lang w:val="en-US" w:eastAsia="zh-CN"/>
        </w:rPr>
        <w:t>6</w:t>
      </w:r>
      <w:r>
        <w:rPr>
          <w:rFonts w:ascii="宋体" w:hAnsi="宋体"/>
          <w:b/>
          <w:bCs/>
          <w:sz w:val="28"/>
          <w:szCs w:val="28"/>
        </w:rPr>
        <w:t>年</w:t>
      </w:r>
      <w:r>
        <w:rPr>
          <w:rFonts w:hint="eastAsia" w:ascii="宋体" w:hAnsi="宋体"/>
          <w:b/>
          <w:bCs/>
          <w:sz w:val="28"/>
          <w:szCs w:val="28"/>
          <w:u w:val="single"/>
          <w:lang w:val="en-US" w:eastAsia="zh-CN"/>
        </w:rPr>
        <w:t>4</w:t>
      </w:r>
      <w:r>
        <w:rPr>
          <w:rFonts w:ascii="宋体" w:hAnsi="宋体"/>
          <w:b/>
          <w:bCs/>
          <w:sz w:val="28"/>
          <w:szCs w:val="28"/>
        </w:rPr>
        <w:t>月</w:t>
      </w:r>
      <w:bookmarkEnd w:id="0"/>
      <w:bookmarkEnd w:id="1"/>
      <w:bookmarkEnd w:id="2"/>
      <w:bookmarkEnd w:id="3"/>
      <w:bookmarkEnd w:id="4"/>
      <w:bookmarkEnd w:id="5"/>
      <w:bookmarkEnd w:id="6"/>
      <w:bookmarkEnd w:id="7"/>
      <w:bookmarkEnd w:id="8"/>
    </w:p>
    <w:p w14:paraId="1E7D3E89">
      <w:pPr>
        <w:autoSpaceDE w:val="0"/>
        <w:autoSpaceDN w:val="0"/>
        <w:adjustRightInd w:val="0"/>
        <w:snapToGrid w:val="0"/>
        <w:spacing w:line="360" w:lineRule="auto"/>
        <w:jc w:val="center"/>
        <w:rPr>
          <w:rFonts w:ascii="宋体" w:hAnsi="宋体"/>
          <w:b/>
          <w:kern w:val="0"/>
          <w:sz w:val="20"/>
          <w:szCs w:val="20"/>
        </w:rPr>
      </w:pPr>
    </w:p>
    <w:p w14:paraId="4D9AA403">
      <w:pPr>
        <w:pStyle w:val="3"/>
        <w:spacing w:line="360" w:lineRule="auto"/>
        <w:rPr>
          <w:rFonts w:ascii="宋体" w:hAnsi="宋体"/>
          <w:spacing w:val="8"/>
          <w:kern w:val="0"/>
          <w:sz w:val="28"/>
          <w:szCs w:val="28"/>
          <w:u w:val="single"/>
        </w:rPr>
        <w:sectPr>
          <w:headerReference r:id="rId3" w:type="default"/>
          <w:footerReference r:id="rId4" w:type="default"/>
          <w:pgSz w:w="11907" w:h="16840"/>
          <w:pgMar w:top="1304" w:right="1134" w:bottom="1304" w:left="1304" w:header="851" w:footer="992" w:gutter="0"/>
          <w:pgNumType w:start="1"/>
          <w:cols w:space="720" w:num="1"/>
          <w:docGrid w:linePitch="312" w:charSpace="0"/>
        </w:sectPr>
      </w:pPr>
    </w:p>
    <w:bookmarkEnd w:id="9"/>
    <w:p w14:paraId="60EC8D54">
      <w:pPr>
        <w:pStyle w:val="52"/>
        <w:jc w:val="center"/>
        <w:rPr>
          <w:rFonts w:ascii="宋体" w:hAnsi="宋体"/>
          <w:color w:val="auto"/>
          <w:sz w:val="44"/>
          <w:szCs w:val="44"/>
        </w:rPr>
      </w:pPr>
      <w:bookmarkStart w:id="10" w:name="_Toc430530414"/>
      <w:r>
        <w:rPr>
          <w:rFonts w:ascii="宋体" w:hAnsi="宋体"/>
          <w:color w:val="auto"/>
          <w:sz w:val="44"/>
          <w:szCs w:val="44"/>
          <w:lang w:val="zh-CN"/>
        </w:rPr>
        <w:t>目</w:t>
      </w:r>
      <w:r>
        <w:rPr>
          <w:rFonts w:hint="eastAsia" w:ascii="宋体" w:hAnsi="宋体"/>
          <w:color w:val="auto"/>
          <w:sz w:val="44"/>
          <w:szCs w:val="44"/>
        </w:rPr>
        <w:t xml:space="preserve"> </w:t>
      </w:r>
      <w:r>
        <w:rPr>
          <w:rFonts w:ascii="宋体" w:hAnsi="宋体"/>
          <w:color w:val="auto"/>
          <w:sz w:val="44"/>
          <w:szCs w:val="44"/>
          <w:lang w:val="zh-CN"/>
        </w:rPr>
        <w:t>录</w:t>
      </w:r>
    </w:p>
    <w:p w14:paraId="5C1393FD">
      <w:pPr>
        <w:pStyle w:val="22"/>
        <w:tabs>
          <w:tab w:val="right" w:leader="dot" w:pos="9469"/>
        </w:tabs>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"_Toc22634" </w:instrText>
      </w:r>
      <w:r>
        <w:fldChar w:fldCharType="separate"/>
      </w:r>
      <w:r>
        <w:rPr>
          <w:rFonts w:hint="eastAsia" w:ascii="宋体" w:hAnsi="宋体"/>
          <w:szCs w:val="52"/>
        </w:rPr>
        <w:t>第 一 卷</w:t>
      </w:r>
      <w:r>
        <w:tab/>
      </w:r>
      <w:r>
        <w:fldChar w:fldCharType="begin"/>
      </w:r>
      <w:r>
        <w:instrText xml:space="preserve"> PAGEREF _Toc22634 \h </w:instrText>
      </w:r>
      <w:r>
        <w:fldChar w:fldCharType="separate"/>
      </w:r>
      <w:r>
        <w:t>3</w:t>
      </w:r>
      <w:r>
        <w:fldChar w:fldCharType="end"/>
      </w:r>
      <w:r>
        <w:fldChar w:fldCharType="end"/>
      </w:r>
    </w:p>
    <w:p w14:paraId="19CFC18E">
      <w:pPr>
        <w:pStyle w:val="22"/>
        <w:tabs>
          <w:tab w:val="right" w:leader="dot" w:pos="9469"/>
        </w:tabs>
      </w:pPr>
      <w:r>
        <w:fldChar w:fldCharType="begin"/>
      </w:r>
      <w:r>
        <w:instrText xml:space="preserve"> HYPERLINK \l "_Toc18542" </w:instrText>
      </w:r>
      <w:r>
        <w:fldChar w:fldCharType="separate"/>
      </w:r>
      <w:r>
        <w:rPr>
          <w:rFonts w:ascii="宋体" w:hAnsi="宋体"/>
          <w:snapToGrid w:val="0"/>
          <w:kern w:val="0"/>
        </w:rPr>
        <w:t>第一章</w:t>
      </w:r>
      <w:r>
        <w:rPr>
          <w:rFonts w:hint="eastAsia" w:ascii="宋体" w:hAnsi="宋体"/>
          <w:snapToGrid w:val="0"/>
          <w:kern w:val="0"/>
        </w:rPr>
        <w:t xml:space="preserve">  竞争性比选</w:t>
      </w:r>
      <w:r>
        <w:rPr>
          <w:rFonts w:ascii="宋体" w:hAnsi="宋体"/>
          <w:snapToGrid w:val="0"/>
          <w:kern w:val="0"/>
        </w:rPr>
        <w:t>公告</w:t>
      </w:r>
      <w:r>
        <w:tab/>
      </w:r>
      <w:r>
        <w:fldChar w:fldCharType="begin"/>
      </w:r>
      <w:r>
        <w:instrText xml:space="preserve"> PAGEREF _Toc18542 \h </w:instrText>
      </w:r>
      <w:r>
        <w:fldChar w:fldCharType="separate"/>
      </w:r>
      <w:r>
        <w:t>4</w:t>
      </w:r>
      <w:r>
        <w:fldChar w:fldCharType="end"/>
      </w:r>
      <w:r>
        <w:fldChar w:fldCharType="end"/>
      </w:r>
    </w:p>
    <w:p w14:paraId="65DF6EAC">
      <w:pPr>
        <w:pStyle w:val="26"/>
        <w:tabs>
          <w:tab w:val="right" w:leader="dot" w:pos="9469"/>
        </w:tabs>
      </w:pPr>
      <w:r>
        <w:fldChar w:fldCharType="begin"/>
      </w:r>
      <w:r>
        <w:instrText xml:space="preserve"> HYPERLINK \l "_Toc6776" </w:instrText>
      </w:r>
      <w:r>
        <w:fldChar w:fldCharType="separate"/>
      </w:r>
      <w:r>
        <w:rPr>
          <w:rFonts w:hint="eastAsia" w:ascii="宋体" w:hAnsi="宋体" w:cs="宋体"/>
          <w:snapToGrid w:val="0"/>
        </w:rPr>
        <w:t>1. 比选条件</w:t>
      </w:r>
      <w:r>
        <w:tab/>
      </w:r>
      <w:r>
        <w:fldChar w:fldCharType="begin"/>
      </w:r>
      <w:r>
        <w:instrText xml:space="preserve"> PAGEREF _Toc6776 \h </w:instrText>
      </w:r>
      <w:r>
        <w:fldChar w:fldCharType="separate"/>
      </w:r>
      <w:r>
        <w:t>4</w:t>
      </w:r>
      <w:r>
        <w:fldChar w:fldCharType="end"/>
      </w:r>
      <w:r>
        <w:fldChar w:fldCharType="end"/>
      </w:r>
    </w:p>
    <w:p w14:paraId="3AD3E636">
      <w:pPr>
        <w:pStyle w:val="26"/>
        <w:tabs>
          <w:tab w:val="right" w:leader="dot" w:pos="9469"/>
        </w:tabs>
      </w:pPr>
      <w:r>
        <w:fldChar w:fldCharType="begin"/>
      </w:r>
      <w:r>
        <w:instrText xml:space="preserve"> HYPERLINK \l "_Toc327" </w:instrText>
      </w:r>
      <w:r>
        <w:fldChar w:fldCharType="separate"/>
      </w:r>
      <w:r>
        <w:rPr>
          <w:rFonts w:hint="eastAsia" w:ascii="宋体" w:hAnsi="宋体" w:cs="宋体"/>
          <w:snapToGrid w:val="0"/>
        </w:rPr>
        <w:t>2. 项目概况与招标范围</w:t>
      </w:r>
      <w:r>
        <w:tab/>
      </w:r>
      <w:r>
        <w:fldChar w:fldCharType="begin"/>
      </w:r>
      <w:r>
        <w:instrText xml:space="preserve"> PAGEREF _Toc327 \h </w:instrText>
      </w:r>
      <w:r>
        <w:fldChar w:fldCharType="separate"/>
      </w:r>
      <w:r>
        <w:t>4</w:t>
      </w:r>
      <w:r>
        <w:fldChar w:fldCharType="end"/>
      </w:r>
      <w:r>
        <w:fldChar w:fldCharType="end"/>
      </w:r>
    </w:p>
    <w:p w14:paraId="66046DE0">
      <w:pPr>
        <w:pStyle w:val="26"/>
        <w:tabs>
          <w:tab w:val="right" w:leader="dot" w:pos="9469"/>
        </w:tabs>
      </w:pPr>
      <w:r>
        <w:fldChar w:fldCharType="begin"/>
      </w:r>
      <w:r>
        <w:instrText xml:space="preserve"> HYPERLINK \l "_Toc11400" </w:instrText>
      </w:r>
      <w:r>
        <w:fldChar w:fldCharType="separate"/>
      </w:r>
      <w:r>
        <w:rPr>
          <w:rFonts w:hint="eastAsia" w:ascii="宋体" w:hAnsi="宋体" w:cs="宋体"/>
          <w:snapToGrid w:val="0"/>
        </w:rPr>
        <w:t>3. 比选申请人资格要求</w:t>
      </w:r>
      <w:r>
        <w:tab/>
      </w:r>
      <w:r>
        <w:fldChar w:fldCharType="begin"/>
      </w:r>
      <w:r>
        <w:instrText xml:space="preserve"> PAGEREF _Toc11400 \h </w:instrText>
      </w:r>
      <w:r>
        <w:fldChar w:fldCharType="separate"/>
      </w:r>
      <w:r>
        <w:t>4</w:t>
      </w:r>
      <w:r>
        <w:fldChar w:fldCharType="end"/>
      </w:r>
      <w:r>
        <w:fldChar w:fldCharType="end"/>
      </w:r>
    </w:p>
    <w:p w14:paraId="618F7B1C">
      <w:pPr>
        <w:pStyle w:val="26"/>
        <w:tabs>
          <w:tab w:val="right" w:leader="dot" w:pos="9469"/>
        </w:tabs>
      </w:pPr>
      <w:r>
        <w:fldChar w:fldCharType="begin"/>
      </w:r>
      <w:r>
        <w:instrText xml:space="preserve"> HYPERLINK \l "_Toc26727" </w:instrText>
      </w:r>
      <w:r>
        <w:fldChar w:fldCharType="separate"/>
      </w:r>
      <w:r>
        <w:rPr>
          <w:rFonts w:hint="eastAsia" w:ascii="宋体" w:hAnsi="宋体" w:cs="宋体"/>
          <w:snapToGrid w:val="0"/>
        </w:rPr>
        <w:t>4. 比选文件的获取</w:t>
      </w:r>
      <w:r>
        <w:tab/>
      </w:r>
      <w:r>
        <w:fldChar w:fldCharType="begin"/>
      </w:r>
      <w:r>
        <w:instrText xml:space="preserve"> PAGEREF _Toc26727 \h </w:instrText>
      </w:r>
      <w:r>
        <w:fldChar w:fldCharType="separate"/>
      </w:r>
      <w:r>
        <w:t>4</w:t>
      </w:r>
      <w:r>
        <w:fldChar w:fldCharType="end"/>
      </w:r>
      <w:r>
        <w:fldChar w:fldCharType="end"/>
      </w:r>
    </w:p>
    <w:p w14:paraId="614B227D">
      <w:pPr>
        <w:pStyle w:val="26"/>
        <w:tabs>
          <w:tab w:val="right" w:leader="dot" w:pos="9469"/>
        </w:tabs>
      </w:pPr>
      <w:r>
        <w:fldChar w:fldCharType="begin"/>
      </w:r>
      <w:r>
        <w:instrText xml:space="preserve"> HYPERLINK \l "_Toc9686" </w:instrText>
      </w:r>
      <w:r>
        <w:fldChar w:fldCharType="separate"/>
      </w:r>
      <w:r>
        <w:rPr>
          <w:rFonts w:hint="eastAsia" w:ascii="宋体" w:hAnsi="宋体" w:cs="宋体"/>
          <w:snapToGrid w:val="0"/>
        </w:rPr>
        <w:t>5. 比选申请文件的递交</w:t>
      </w:r>
      <w:r>
        <w:tab/>
      </w:r>
      <w:r>
        <w:fldChar w:fldCharType="begin"/>
      </w:r>
      <w:r>
        <w:instrText xml:space="preserve"> PAGEREF _Toc9686 \h </w:instrText>
      </w:r>
      <w:r>
        <w:fldChar w:fldCharType="separate"/>
      </w:r>
      <w:r>
        <w:t>5</w:t>
      </w:r>
      <w:r>
        <w:fldChar w:fldCharType="end"/>
      </w:r>
      <w:r>
        <w:fldChar w:fldCharType="end"/>
      </w:r>
    </w:p>
    <w:p w14:paraId="2E499B0B">
      <w:pPr>
        <w:pStyle w:val="26"/>
        <w:tabs>
          <w:tab w:val="right" w:leader="dot" w:pos="9469"/>
        </w:tabs>
      </w:pPr>
      <w:r>
        <w:fldChar w:fldCharType="begin"/>
      </w:r>
      <w:r>
        <w:instrText xml:space="preserve"> HYPERLINK \l "_Toc23702" </w:instrText>
      </w:r>
      <w:r>
        <w:fldChar w:fldCharType="separate"/>
      </w:r>
      <w:r>
        <w:rPr>
          <w:rFonts w:hint="eastAsia" w:ascii="宋体" w:hAnsi="宋体" w:cs="宋体"/>
          <w:snapToGrid w:val="0"/>
        </w:rPr>
        <w:t>6. 发布公告的媒介</w:t>
      </w:r>
      <w:r>
        <w:tab/>
      </w:r>
      <w:r>
        <w:fldChar w:fldCharType="begin"/>
      </w:r>
      <w:r>
        <w:instrText xml:space="preserve"> PAGEREF _Toc23702 \h </w:instrText>
      </w:r>
      <w:r>
        <w:fldChar w:fldCharType="separate"/>
      </w:r>
      <w:r>
        <w:t>5</w:t>
      </w:r>
      <w:r>
        <w:fldChar w:fldCharType="end"/>
      </w:r>
      <w:r>
        <w:fldChar w:fldCharType="end"/>
      </w:r>
    </w:p>
    <w:p w14:paraId="3AD44F26">
      <w:pPr>
        <w:pStyle w:val="26"/>
        <w:tabs>
          <w:tab w:val="right" w:leader="dot" w:pos="9469"/>
        </w:tabs>
      </w:pPr>
      <w:r>
        <w:fldChar w:fldCharType="begin"/>
      </w:r>
      <w:r>
        <w:instrText xml:space="preserve"> HYPERLINK \l "_Toc25752" </w:instrText>
      </w:r>
      <w:r>
        <w:fldChar w:fldCharType="separate"/>
      </w:r>
      <w:r>
        <w:rPr>
          <w:rFonts w:hint="eastAsia" w:ascii="宋体" w:hAnsi="宋体" w:cs="宋体"/>
          <w:snapToGrid w:val="0"/>
        </w:rPr>
        <w:t>7. 联系方式</w:t>
      </w:r>
      <w:r>
        <w:tab/>
      </w:r>
      <w:r>
        <w:fldChar w:fldCharType="begin"/>
      </w:r>
      <w:r>
        <w:instrText xml:space="preserve"> PAGEREF _Toc25752 \h </w:instrText>
      </w:r>
      <w:r>
        <w:fldChar w:fldCharType="separate"/>
      </w:r>
      <w:r>
        <w:t>5</w:t>
      </w:r>
      <w:r>
        <w:fldChar w:fldCharType="end"/>
      </w:r>
      <w:r>
        <w:fldChar w:fldCharType="end"/>
      </w:r>
    </w:p>
    <w:p w14:paraId="293886DD">
      <w:pPr>
        <w:pStyle w:val="22"/>
        <w:tabs>
          <w:tab w:val="right" w:leader="dot" w:pos="9469"/>
        </w:tabs>
      </w:pPr>
      <w:r>
        <w:fldChar w:fldCharType="begin"/>
      </w:r>
      <w:r>
        <w:instrText xml:space="preserve"> HYPERLINK \l "_Toc7040" </w:instrText>
      </w:r>
      <w:r>
        <w:fldChar w:fldCharType="separate"/>
      </w:r>
      <w:r>
        <w:rPr>
          <w:rFonts w:hint="eastAsia" w:ascii="宋体" w:hAnsi="宋体" w:cs="宋体"/>
          <w:snapToGrid w:val="0"/>
        </w:rPr>
        <w:t>第二章  比选申请人须知</w:t>
      </w:r>
      <w:r>
        <w:tab/>
      </w:r>
      <w:r>
        <w:fldChar w:fldCharType="begin"/>
      </w:r>
      <w:r>
        <w:instrText xml:space="preserve"> PAGEREF _Toc7040 \h </w:instrText>
      </w:r>
      <w:r>
        <w:fldChar w:fldCharType="separate"/>
      </w:r>
      <w:r>
        <w:t>6</w:t>
      </w:r>
      <w:r>
        <w:fldChar w:fldCharType="end"/>
      </w:r>
      <w:r>
        <w:fldChar w:fldCharType="end"/>
      </w:r>
    </w:p>
    <w:p w14:paraId="438B1159">
      <w:pPr>
        <w:pStyle w:val="26"/>
        <w:tabs>
          <w:tab w:val="right" w:leader="dot" w:pos="9469"/>
        </w:tabs>
      </w:pPr>
      <w:r>
        <w:fldChar w:fldCharType="begin"/>
      </w:r>
      <w:r>
        <w:instrText xml:space="preserve"> HYPERLINK \l "_Toc20210" </w:instrText>
      </w:r>
      <w:r>
        <w:fldChar w:fldCharType="separate"/>
      </w:r>
      <w:r>
        <w:rPr>
          <w:rFonts w:hint="eastAsia" w:ascii="宋体" w:hAnsi="宋体" w:cs="宋体"/>
          <w:szCs w:val="28"/>
        </w:rPr>
        <w:t>比选申请人须知前附表</w:t>
      </w:r>
      <w:r>
        <w:tab/>
      </w:r>
      <w:r>
        <w:fldChar w:fldCharType="begin"/>
      </w:r>
      <w:r>
        <w:instrText xml:space="preserve"> PAGEREF _Toc20210 \h </w:instrText>
      </w:r>
      <w:r>
        <w:fldChar w:fldCharType="separate"/>
      </w:r>
      <w:r>
        <w:t>6</w:t>
      </w:r>
      <w:r>
        <w:fldChar w:fldCharType="end"/>
      </w:r>
      <w:r>
        <w:fldChar w:fldCharType="end"/>
      </w:r>
    </w:p>
    <w:p w14:paraId="60DC8CDD">
      <w:pPr>
        <w:pStyle w:val="26"/>
        <w:tabs>
          <w:tab w:val="right" w:leader="dot" w:pos="9469"/>
        </w:tabs>
      </w:pPr>
      <w:r>
        <w:fldChar w:fldCharType="begin"/>
      </w:r>
      <w:r>
        <w:instrText xml:space="preserve"> HYPERLINK \l "_Toc7500" </w:instrText>
      </w:r>
      <w:r>
        <w:fldChar w:fldCharType="separate"/>
      </w:r>
      <w:r>
        <w:rPr>
          <w:rFonts w:hint="eastAsia" w:ascii="宋体" w:hAnsi="宋体" w:cs="宋体"/>
          <w:szCs w:val="28"/>
        </w:rPr>
        <w:t>1. 总则</w:t>
      </w:r>
      <w:r>
        <w:tab/>
      </w:r>
      <w:r>
        <w:fldChar w:fldCharType="begin"/>
      </w:r>
      <w:r>
        <w:instrText xml:space="preserve"> PAGEREF _Toc7500 \h </w:instrText>
      </w:r>
      <w:r>
        <w:fldChar w:fldCharType="separate"/>
      </w:r>
      <w:r>
        <w:t>22</w:t>
      </w:r>
      <w:r>
        <w:fldChar w:fldCharType="end"/>
      </w:r>
      <w:r>
        <w:fldChar w:fldCharType="end"/>
      </w:r>
    </w:p>
    <w:p w14:paraId="051FCF1E">
      <w:pPr>
        <w:pStyle w:val="15"/>
        <w:tabs>
          <w:tab w:val="right" w:leader="dot" w:pos="9469"/>
        </w:tabs>
        <w:rPr>
          <w:i w:val="0"/>
          <w:iCs w:val="0"/>
        </w:rPr>
      </w:pPr>
      <w:r>
        <w:fldChar w:fldCharType="begin"/>
      </w:r>
      <w:r>
        <w:instrText xml:space="preserve"> HYPERLINK \l "_Toc25758" </w:instrText>
      </w:r>
      <w:r>
        <w:fldChar w:fldCharType="separate"/>
      </w:r>
      <w:r>
        <w:rPr>
          <w:rFonts w:hint="eastAsia" w:ascii="宋体" w:hAnsi="宋体" w:cs="宋体"/>
          <w:i w:val="0"/>
          <w:iCs w:val="0"/>
          <w:szCs w:val="21"/>
        </w:rPr>
        <w:t>1.1 项目概况</w:t>
      </w:r>
      <w:r>
        <w:rPr>
          <w:i w:val="0"/>
          <w:iCs w:val="0"/>
        </w:rPr>
        <w:tab/>
      </w:r>
      <w:r>
        <w:rPr>
          <w:i w:val="0"/>
          <w:iCs w:val="0"/>
        </w:rPr>
        <w:fldChar w:fldCharType="begin"/>
      </w:r>
      <w:r>
        <w:rPr>
          <w:i w:val="0"/>
          <w:iCs w:val="0"/>
        </w:rPr>
        <w:instrText xml:space="preserve"> PAGEREF _Toc25758 \h </w:instrText>
      </w:r>
      <w:r>
        <w:rPr>
          <w:i w:val="0"/>
          <w:iCs w:val="0"/>
        </w:rPr>
        <w:fldChar w:fldCharType="separate"/>
      </w:r>
      <w:r>
        <w:rPr>
          <w:i w:val="0"/>
          <w:iCs w:val="0"/>
        </w:rPr>
        <w:t>22</w:t>
      </w:r>
      <w:r>
        <w:rPr>
          <w:i w:val="0"/>
          <w:iCs w:val="0"/>
        </w:rPr>
        <w:fldChar w:fldCharType="end"/>
      </w:r>
      <w:r>
        <w:rPr>
          <w:i w:val="0"/>
          <w:iCs w:val="0"/>
        </w:rPr>
        <w:fldChar w:fldCharType="end"/>
      </w:r>
    </w:p>
    <w:p w14:paraId="2663848E">
      <w:pPr>
        <w:pStyle w:val="15"/>
        <w:tabs>
          <w:tab w:val="right" w:leader="dot" w:pos="9469"/>
        </w:tabs>
        <w:rPr>
          <w:i w:val="0"/>
          <w:iCs w:val="0"/>
        </w:rPr>
      </w:pPr>
      <w:r>
        <w:fldChar w:fldCharType="begin"/>
      </w:r>
      <w:r>
        <w:instrText xml:space="preserve"> HYPERLINK \l "_Toc29241" </w:instrText>
      </w:r>
      <w:r>
        <w:fldChar w:fldCharType="separate"/>
      </w:r>
      <w:r>
        <w:rPr>
          <w:rFonts w:hint="eastAsia" w:ascii="宋体" w:hAnsi="宋体" w:cs="宋体"/>
          <w:i w:val="0"/>
          <w:iCs w:val="0"/>
          <w:szCs w:val="21"/>
        </w:rPr>
        <w:t>1.2 招标项目的资金来源和落实情况</w:t>
      </w:r>
      <w:r>
        <w:rPr>
          <w:i w:val="0"/>
          <w:iCs w:val="0"/>
        </w:rPr>
        <w:tab/>
      </w:r>
      <w:r>
        <w:rPr>
          <w:i w:val="0"/>
          <w:iCs w:val="0"/>
        </w:rPr>
        <w:fldChar w:fldCharType="begin"/>
      </w:r>
      <w:r>
        <w:rPr>
          <w:i w:val="0"/>
          <w:iCs w:val="0"/>
        </w:rPr>
        <w:instrText xml:space="preserve"> PAGEREF _Toc29241 \h </w:instrText>
      </w:r>
      <w:r>
        <w:rPr>
          <w:i w:val="0"/>
          <w:iCs w:val="0"/>
        </w:rPr>
        <w:fldChar w:fldCharType="separate"/>
      </w:r>
      <w:r>
        <w:rPr>
          <w:i w:val="0"/>
          <w:iCs w:val="0"/>
        </w:rPr>
        <w:t>22</w:t>
      </w:r>
      <w:r>
        <w:rPr>
          <w:i w:val="0"/>
          <w:iCs w:val="0"/>
        </w:rPr>
        <w:fldChar w:fldCharType="end"/>
      </w:r>
      <w:r>
        <w:rPr>
          <w:i w:val="0"/>
          <w:iCs w:val="0"/>
        </w:rPr>
        <w:fldChar w:fldCharType="end"/>
      </w:r>
    </w:p>
    <w:p w14:paraId="4261FAD2">
      <w:pPr>
        <w:pStyle w:val="15"/>
        <w:tabs>
          <w:tab w:val="right" w:leader="dot" w:pos="9469"/>
        </w:tabs>
        <w:rPr>
          <w:i w:val="0"/>
          <w:iCs w:val="0"/>
        </w:rPr>
      </w:pPr>
      <w:r>
        <w:fldChar w:fldCharType="begin"/>
      </w:r>
      <w:r>
        <w:instrText xml:space="preserve"> HYPERLINK \l "_Toc28320" </w:instrText>
      </w:r>
      <w:r>
        <w:fldChar w:fldCharType="separate"/>
      </w:r>
      <w:r>
        <w:rPr>
          <w:rFonts w:hint="eastAsia" w:ascii="宋体" w:hAnsi="宋体" w:cs="宋体"/>
          <w:i w:val="0"/>
          <w:iCs w:val="0"/>
          <w:szCs w:val="21"/>
        </w:rPr>
        <w:t>1.3 招标范围、计划工期、质量要求和安全目标</w:t>
      </w:r>
      <w:r>
        <w:rPr>
          <w:i w:val="0"/>
          <w:iCs w:val="0"/>
        </w:rPr>
        <w:tab/>
      </w:r>
      <w:r>
        <w:rPr>
          <w:i w:val="0"/>
          <w:iCs w:val="0"/>
        </w:rPr>
        <w:fldChar w:fldCharType="begin"/>
      </w:r>
      <w:r>
        <w:rPr>
          <w:i w:val="0"/>
          <w:iCs w:val="0"/>
        </w:rPr>
        <w:instrText xml:space="preserve"> PAGEREF _Toc28320 \h </w:instrText>
      </w:r>
      <w:r>
        <w:rPr>
          <w:i w:val="0"/>
          <w:iCs w:val="0"/>
        </w:rPr>
        <w:fldChar w:fldCharType="separate"/>
      </w:r>
      <w:r>
        <w:rPr>
          <w:i w:val="0"/>
          <w:iCs w:val="0"/>
        </w:rPr>
        <w:t>22</w:t>
      </w:r>
      <w:r>
        <w:rPr>
          <w:i w:val="0"/>
          <w:iCs w:val="0"/>
        </w:rPr>
        <w:fldChar w:fldCharType="end"/>
      </w:r>
      <w:r>
        <w:rPr>
          <w:i w:val="0"/>
          <w:iCs w:val="0"/>
        </w:rPr>
        <w:fldChar w:fldCharType="end"/>
      </w:r>
    </w:p>
    <w:p w14:paraId="7115D343">
      <w:pPr>
        <w:pStyle w:val="15"/>
        <w:tabs>
          <w:tab w:val="right" w:leader="dot" w:pos="9469"/>
        </w:tabs>
        <w:rPr>
          <w:i w:val="0"/>
          <w:iCs w:val="0"/>
        </w:rPr>
      </w:pPr>
      <w:r>
        <w:fldChar w:fldCharType="begin"/>
      </w:r>
      <w:r>
        <w:instrText xml:space="preserve"> HYPERLINK \l "_Toc23032" </w:instrText>
      </w:r>
      <w:r>
        <w:fldChar w:fldCharType="separate"/>
      </w:r>
      <w:r>
        <w:rPr>
          <w:rFonts w:hint="eastAsia" w:ascii="宋体" w:hAnsi="宋体" w:cs="宋体"/>
          <w:i w:val="0"/>
          <w:iCs w:val="0"/>
          <w:szCs w:val="21"/>
        </w:rPr>
        <w:t>1.4 比选申请人资格要求</w:t>
      </w:r>
      <w:r>
        <w:rPr>
          <w:i w:val="0"/>
          <w:iCs w:val="0"/>
        </w:rPr>
        <w:tab/>
      </w:r>
      <w:r>
        <w:rPr>
          <w:i w:val="0"/>
          <w:iCs w:val="0"/>
        </w:rPr>
        <w:fldChar w:fldCharType="begin"/>
      </w:r>
      <w:r>
        <w:rPr>
          <w:i w:val="0"/>
          <w:iCs w:val="0"/>
        </w:rPr>
        <w:instrText xml:space="preserve"> PAGEREF _Toc23032 \h </w:instrText>
      </w:r>
      <w:r>
        <w:rPr>
          <w:i w:val="0"/>
          <w:iCs w:val="0"/>
        </w:rPr>
        <w:fldChar w:fldCharType="separate"/>
      </w:r>
      <w:r>
        <w:rPr>
          <w:i w:val="0"/>
          <w:iCs w:val="0"/>
        </w:rPr>
        <w:t>22</w:t>
      </w:r>
      <w:r>
        <w:rPr>
          <w:i w:val="0"/>
          <w:iCs w:val="0"/>
        </w:rPr>
        <w:fldChar w:fldCharType="end"/>
      </w:r>
      <w:r>
        <w:rPr>
          <w:i w:val="0"/>
          <w:iCs w:val="0"/>
        </w:rPr>
        <w:fldChar w:fldCharType="end"/>
      </w:r>
    </w:p>
    <w:p w14:paraId="1AEB9ED4">
      <w:pPr>
        <w:pStyle w:val="15"/>
        <w:tabs>
          <w:tab w:val="right" w:leader="dot" w:pos="9469"/>
        </w:tabs>
        <w:rPr>
          <w:i w:val="0"/>
          <w:iCs w:val="0"/>
        </w:rPr>
      </w:pPr>
      <w:r>
        <w:fldChar w:fldCharType="begin"/>
      </w:r>
      <w:r>
        <w:instrText xml:space="preserve"> HYPERLINK \l "_Toc17849" </w:instrText>
      </w:r>
      <w:r>
        <w:fldChar w:fldCharType="separate"/>
      </w:r>
      <w:r>
        <w:rPr>
          <w:rFonts w:hint="eastAsia" w:ascii="宋体" w:hAnsi="宋体" w:cs="宋体"/>
          <w:i w:val="0"/>
          <w:iCs w:val="0"/>
          <w:szCs w:val="21"/>
        </w:rPr>
        <w:t>1.5 费用承担</w:t>
      </w:r>
      <w:r>
        <w:rPr>
          <w:i w:val="0"/>
          <w:iCs w:val="0"/>
        </w:rPr>
        <w:tab/>
      </w:r>
      <w:r>
        <w:rPr>
          <w:i w:val="0"/>
          <w:iCs w:val="0"/>
        </w:rPr>
        <w:fldChar w:fldCharType="begin"/>
      </w:r>
      <w:r>
        <w:rPr>
          <w:i w:val="0"/>
          <w:iCs w:val="0"/>
        </w:rPr>
        <w:instrText xml:space="preserve"> PAGEREF _Toc17849 \h </w:instrText>
      </w:r>
      <w:r>
        <w:rPr>
          <w:i w:val="0"/>
          <w:iCs w:val="0"/>
        </w:rPr>
        <w:fldChar w:fldCharType="separate"/>
      </w:r>
      <w:r>
        <w:rPr>
          <w:i w:val="0"/>
          <w:iCs w:val="0"/>
        </w:rPr>
        <w:t>23</w:t>
      </w:r>
      <w:r>
        <w:rPr>
          <w:i w:val="0"/>
          <w:iCs w:val="0"/>
        </w:rPr>
        <w:fldChar w:fldCharType="end"/>
      </w:r>
      <w:r>
        <w:rPr>
          <w:i w:val="0"/>
          <w:iCs w:val="0"/>
        </w:rPr>
        <w:fldChar w:fldCharType="end"/>
      </w:r>
    </w:p>
    <w:p w14:paraId="391BE3EC">
      <w:pPr>
        <w:pStyle w:val="15"/>
        <w:tabs>
          <w:tab w:val="right" w:leader="dot" w:pos="9469"/>
        </w:tabs>
        <w:rPr>
          <w:i w:val="0"/>
          <w:iCs w:val="0"/>
        </w:rPr>
      </w:pPr>
      <w:r>
        <w:fldChar w:fldCharType="begin"/>
      </w:r>
      <w:r>
        <w:instrText xml:space="preserve"> HYPERLINK \l "_Toc19146" </w:instrText>
      </w:r>
      <w:r>
        <w:fldChar w:fldCharType="separate"/>
      </w:r>
      <w:r>
        <w:rPr>
          <w:rFonts w:hint="eastAsia" w:ascii="宋体" w:hAnsi="宋体" w:cs="宋体"/>
          <w:i w:val="0"/>
          <w:iCs w:val="0"/>
          <w:szCs w:val="21"/>
        </w:rPr>
        <w:t>1.6 保密</w:t>
      </w:r>
      <w:r>
        <w:rPr>
          <w:i w:val="0"/>
          <w:iCs w:val="0"/>
        </w:rPr>
        <w:tab/>
      </w:r>
      <w:r>
        <w:rPr>
          <w:i w:val="0"/>
          <w:iCs w:val="0"/>
        </w:rPr>
        <w:fldChar w:fldCharType="begin"/>
      </w:r>
      <w:r>
        <w:rPr>
          <w:i w:val="0"/>
          <w:iCs w:val="0"/>
        </w:rPr>
        <w:instrText xml:space="preserve"> PAGEREF _Toc19146 \h </w:instrText>
      </w:r>
      <w:r>
        <w:rPr>
          <w:i w:val="0"/>
          <w:iCs w:val="0"/>
        </w:rPr>
        <w:fldChar w:fldCharType="separate"/>
      </w:r>
      <w:r>
        <w:rPr>
          <w:i w:val="0"/>
          <w:iCs w:val="0"/>
        </w:rPr>
        <w:t>23</w:t>
      </w:r>
      <w:r>
        <w:rPr>
          <w:i w:val="0"/>
          <w:iCs w:val="0"/>
        </w:rPr>
        <w:fldChar w:fldCharType="end"/>
      </w:r>
      <w:r>
        <w:rPr>
          <w:i w:val="0"/>
          <w:iCs w:val="0"/>
        </w:rPr>
        <w:fldChar w:fldCharType="end"/>
      </w:r>
    </w:p>
    <w:p w14:paraId="7E5F6104">
      <w:pPr>
        <w:pStyle w:val="15"/>
        <w:tabs>
          <w:tab w:val="right" w:leader="dot" w:pos="9469"/>
        </w:tabs>
        <w:rPr>
          <w:i w:val="0"/>
          <w:iCs w:val="0"/>
        </w:rPr>
      </w:pPr>
      <w:r>
        <w:fldChar w:fldCharType="begin"/>
      </w:r>
      <w:r>
        <w:instrText xml:space="preserve"> HYPERLINK \l "_Toc11654" </w:instrText>
      </w:r>
      <w:r>
        <w:fldChar w:fldCharType="separate"/>
      </w:r>
      <w:r>
        <w:rPr>
          <w:rFonts w:hint="eastAsia" w:ascii="宋体" w:hAnsi="宋体" w:cs="宋体"/>
          <w:i w:val="0"/>
          <w:iCs w:val="0"/>
          <w:szCs w:val="21"/>
        </w:rPr>
        <w:t>1.7 语言文字</w:t>
      </w:r>
      <w:r>
        <w:rPr>
          <w:i w:val="0"/>
          <w:iCs w:val="0"/>
        </w:rPr>
        <w:tab/>
      </w:r>
      <w:r>
        <w:rPr>
          <w:i w:val="0"/>
          <w:iCs w:val="0"/>
        </w:rPr>
        <w:fldChar w:fldCharType="begin"/>
      </w:r>
      <w:r>
        <w:rPr>
          <w:i w:val="0"/>
          <w:iCs w:val="0"/>
        </w:rPr>
        <w:instrText xml:space="preserve"> PAGEREF _Toc11654 \h </w:instrText>
      </w:r>
      <w:r>
        <w:rPr>
          <w:i w:val="0"/>
          <w:iCs w:val="0"/>
        </w:rPr>
        <w:fldChar w:fldCharType="separate"/>
      </w:r>
      <w:r>
        <w:rPr>
          <w:i w:val="0"/>
          <w:iCs w:val="0"/>
        </w:rPr>
        <w:t>23</w:t>
      </w:r>
      <w:r>
        <w:rPr>
          <w:i w:val="0"/>
          <w:iCs w:val="0"/>
        </w:rPr>
        <w:fldChar w:fldCharType="end"/>
      </w:r>
      <w:r>
        <w:rPr>
          <w:i w:val="0"/>
          <w:iCs w:val="0"/>
        </w:rPr>
        <w:fldChar w:fldCharType="end"/>
      </w:r>
    </w:p>
    <w:p w14:paraId="5886B05E">
      <w:pPr>
        <w:pStyle w:val="15"/>
        <w:tabs>
          <w:tab w:val="right" w:leader="dot" w:pos="9469"/>
        </w:tabs>
        <w:rPr>
          <w:i w:val="0"/>
          <w:iCs w:val="0"/>
        </w:rPr>
      </w:pPr>
      <w:r>
        <w:fldChar w:fldCharType="begin"/>
      </w:r>
      <w:r>
        <w:instrText xml:space="preserve"> HYPERLINK \l "_Toc3768" </w:instrText>
      </w:r>
      <w:r>
        <w:fldChar w:fldCharType="separate"/>
      </w:r>
      <w:r>
        <w:rPr>
          <w:rFonts w:hint="eastAsia" w:ascii="宋体" w:hAnsi="宋体" w:cs="宋体"/>
          <w:i w:val="0"/>
          <w:iCs w:val="0"/>
          <w:szCs w:val="21"/>
        </w:rPr>
        <w:t>1.8 计量单位</w:t>
      </w:r>
      <w:r>
        <w:rPr>
          <w:i w:val="0"/>
          <w:iCs w:val="0"/>
        </w:rPr>
        <w:tab/>
      </w:r>
      <w:r>
        <w:rPr>
          <w:i w:val="0"/>
          <w:iCs w:val="0"/>
        </w:rPr>
        <w:fldChar w:fldCharType="begin"/>
      </w:r>
      <w:r>
        <w:rPr>
          <w:i w:val="0"/>
          <w:iCs w:val="0"/>
        </w:rPr>
        <w:instrText xml:space="preserve"> PAGEREF _Toc3768 \h </w:instrText>
      </w:r>
      <w:r>
        <w:rPr>
          <w:i w:val="0"/>
          <w:iCs w:val="0"/>
        </w:rPr>
        <w:fldChar w:fldCharType="separate"/>
      </w:r>
      <w:r>
        <w:rPr>
          <w:i w:val="0"/>
          <w:iCs w:val="0"/>
        </w:rPr>
        <w:t>24</w:t>
      </w:r>
      <w:r>
        <w:rPr>
          <w:i w:val="0"/>
          <w:iCs w:val="0"/>
        </w:rPr>
        <w:fldChar w:fldCharType="end"/>
      </w:r>
      <w:r>
        <w:rPr>
          <w:i w:val="0"/>
          <w:iCs w:val="0"/>
        </w:rPr>
        <w:fldChar w:fldCharType="end"/>
      </w:r>
    </w:p>
    <w:p w14:paraId="177A96A4">
      <w:pPr>
        <w:pStyle w:val="15"/>
        <w:tabs>
          <w:tab w:val="right" w:leader="dot" w:pos="9469"/>
        </w:tabs>
        <w:rPr>
          <w:i w:val="0"/>
          <w:iCs w:val="0"/>
        </w:rPr>
      </w:pPr>
      <w:r>
        <w:fldChar w:fldCharType="begin"/>
      </w:r>
      <w:r>
        <w:instrText xml:space="preserve"> HYPERLINK \l "_Toc29025" </w:instrText>
      </w:r>
      <w:r>
        <w:fldChar w:fldCharType="separate"/>
      </w:r>
      <w:r>
        <w:rPr>
          <w:rFonts w:hint="eastAsia" w:ascii="宋体" w:hAnsi="宋体" w:cs="宋体"/>
          <w:i w:val="0"/>
          <w:iCs w:val="0"/>
          <w:szCs w:val="21"/>
        </w:rPr>
        <w:t>1.9 踏勘现场</w:t>
      </w:r>
      <w:r>
        <w:rPr>
          <w:i w:val="0"/>
          <w:iCs w:val="0"/>
        </w:rPr>
        <w:tab/>
      </w:r>
      <w:r>
        <w:rPr>
          <w:i w:val="0"/>
          <w:iCs w:val="0"/>
        </w:rPr>
        <w:fldChar w:fldCharType="begin"/>
      </w:r>
      <w:r>
        <w:rPr>
          <w:i w:val="0"/>
          <w:iCs w:val="0"/>
        </w:rPr>
        <w:instrText xml:space="preserve"> PAGEREF _Toc29025 \h </w:instrText>
      </w:r>
      <w:r>
        <w:rPr>
          <w:i w:val="0"/>
          <w:iCs w:val="0"/>
        </w:rPr>
        <w:fldChar w:fldCharType="separate"/>
      </w:r>
      <w:r>
        <w:rPr>
          <w:i w:val="0"/>
          <w:iCs w:val="0"/>
        </w:rPr>
        <w:t>24</w:t>
      </w:r>
      <w:r>
        <w:rPr>
          <w:i w:val="0"/>
          <w:iCs w:val="0"/>
        </w:rPr>
        <w:fldChar w:fldCharType="end"/>
      </w:r>
      <w:r>
        <w:rPr>
          <w:i w:val="0"/>
          <w:iCs w:val="0"/>
        </w:rPr>
        <w:fldChar w:fldCharType="end"/>
      </w:r>
    </w:p>
    <w:p w14:paraId="7FD43C59">
      <w:pPr>
        <w:pStyle w:val="15"/>
        <w:tabs>
          <w:tab w:val="right" w:leader="dot" w:pos="9469"/>
        </w:tabs>
        <w:rPr>
          <w:i w:val="0"/>
          <w:iCs w:val="0"/>
        </w:rPr>
      </w:pPr>
      <w:r>
        <w:fldChar w:fldCharType="begin"/>
      </w:r>
      <w:r>
        <w:instrText xml:space="preserve"> HYPERLINK \l "_Toc3930" </w:instrText>
      </w:r>
      <w:r>
        <w:fldChar w:fldCharType="separate"/>
      </w:r>
      <w:r>
        <w:rPr>
          <w:rFonts w:hint="eastAsia" w:ascii="宋体" w:hAnsi="宋体" w:cs="宋体"/>
          <w:i w:val="0"/>
          <w:iCs w:val="0"/>
          <w:szCs w:val="21"/>
        </w:rPr>
        <w:t>1.10 投标预备会</w:t>
      </w:r>
      <w:r>
        <w:rPr>
          <w:i w:val="0"/>
          <w:iCs w:val="0"/>
        </w:rPr>
        <w:tab/>
      </w:r>
      <w:r>
        <w:rPr>
          <w:i w:val="0"/>
          <w:iCs w:val="0"/>
        </w:rPr>
        <w:fldChar w:fldCharType="begin"/>
      </w:r>
      <w:r>
        <w:rPr>
          <w:i w:val="0"/>
          <w:iCs w:val="0"/>
        </w:rPr>
        <w:instrText xml:space="preserve"> PAGEREF _Toc3930 \h </w:instrText>
      </w:r>
      <w:r>
        <w:rPr>
          <w:i w:val="0"/>
          <w:iCs w:val="0"/>
        </w:rPr>
        <w:fldChar w:fldCharType="separate"/>
      </w:r>
      <w:r>
        <w:rPr>
          <w:i w:val="0"/>
          <w:iCs w:val="0"/>
        </w:rPr>
        <w:t>24</w:t>
      </w:r>
      <w:r>
        <w:rPr>
          <w:i w:val="0"/>
          <w:iCs w:val="0"/>
        </w:rPr>
        <w:fldChar w:fldCharType="end"/>
      </w:r>
      <w:r>
        <w:rPr>
          <w:i w:val="0"/>
          <w:iCs w:val="0"/>
        </w:rPr>
        <w:fldChar w:fldCharType="end"/>
      </w:r>
    </w:p>
    <w:p w14:paraId="71C2AEAC">
      <w:pPr>
        <w:pStyle w:val="15"/>
        <w:tabs>
          <w:tab w:val="right" w:leader="dot" w:pos="9469"/>
        </w:tabs>
        <w:rPr>
          <w:i w:val="0"/>
          <w:iCs w:val="0"/>
        </w:rPr>
      </w:pPr>
      <w:r>
        <w:fldChar w:fldCharType="begin"/>
      </w:r>
      <w:r>
        <w:instrText xml:space="preserve"> HYPERLINK \l "_Toc6528" </w:instrText>
      </w:r>
      <w:r>
        <w:fldChar w:fldCharType="separate"/>
      </w:r>
      <w:r>
        <w:rPr>
          <w:rFonts w:hint="eastAsia" w:ascii="宋体" w:hAnsi="宋体" w:cs="宋体"/>
          <w:i w:val="0"/>
          <w:iCs w:val="0"/>
          <w:szCs w:val="21"/>
        </w:rPr>
        <w:t>1.11 分包</w:t>
      </w:r>
      <w:r>
        <w:rPr>
          <w:i w:val="0"/>
          <w:iCs w:val="0"/>
        </w:rPr>
        <w:tab/>
      </w:r>
      <w:r>
        <w:rPr>
          <w:i w:val="0"/>
          <w:iCs w:val="0"/>
        </w:rPr>
        <w:fldChar w:fldCharType="begin"/>
      </w:r>
      <w:r>
        <w:rPr>
          <w:i w:val="0"/>
          <w:iCs w:val="0"/>
        </w:rPr>
        <w:instrText xml:space="preserve"> PAGEREF _Toc6528 \h </w:instrText>
      </w:r>
      <w:r>
        <w:rPr>
          <w:i w:val="0"/>
          <w:iCs w:val="0"/>
        </w:rPr>
        <w:fldChar w:fldCharType="separate"/>
      </w:r>
      <w:r>
        <w:rPr>
          <w:i w:val="0"/>
          <w:iCs w:val="0"/>
        </w:rPr>
        <w:t>24</w:t>
      </w:r>
      <w:r>
        <w:rPr>
          <w:i w:val="0"/>
          <w:iCs w:val="0"/>
        </w:rPr>
        <w:fldChar w:fldCharType="end"/>
      </w:r>
      <w:r>
        <w:rPr>
          <w:i w:val="0"/>
          <w:iCs w:val="0"/>
        </w:rPr>
        <w:fldChar w:fldCharType="end"/>
      </w:r>
    </w:p>
    <w:p w14:paraId="605A5975">
      <w:pPr>
        <w:pStyle w:val="15"/>
        <w:tabs>
          <w:tab w:val="right" w:leader="dot" w:pos="9469"/>
        </w:tabs>
        <w:rPr>
          <w:i w:val="0"/>
          <w:iCs w:val="0"/>
        </w:rPr>
      </w:pPr>
      <w:r>
        <w:fldChar w:fldCharType="begin"/>
      </w:r>
      <w:r>
        <w:instrText xml:space="preserve"> HYPERLINK \l "_Toc27914" </w:instrText>
      </w:r>
      <w:r>
        <w:fldChar w:fldCharType="separate"/>
      </w:r>
      <w:r>
        <w:rPr>
          <w:rFonts w:hint="eastAsia" w:ascii="宋体" w:hAnsi="宋体" w:cs="宋体"/>
          <w:i w:val="0"/>
          <w:iCs w:val="0"/>
          <w:szCs w:val="21"/>
        </w:rPr>
        <w:t>1.12 响应和偏差</w:t>
      </w:r>
      <w:r>
        <w:rPr>
          <w:i w:val="0"/>
          <w:iCs w:val="0"/>
        </w:rPr>
        <w:tab/>
      </w:r>
      <w:r>
        <w:rPr>
          <w:i w:val="0"/>
          <w:iCs w:val="0"/>
        </w:rPr>
        <w:fldChar w:fldCharType="begin"/>
      </w:r>
      <w:r>
        <w:rPr>
          <w:i w:val="0"/>
          <w:iCs w:val="0"/>
        </w:rPr>
        <w:instrText xml:space="preserve"> PAGEREF _Toc27914 \h </w:instrText>
      </w:r>
      <w:r>
        <w:rPr>
          <w:i w:val="0"/>
          <w:iCs w:val="0"/>
        </w:rPr>
        <w:fldChar w:fldCharType="separate"/>
      </w:r>
      <w:r>
        <w:rPr>
          <w:i w:val="0"/>
          <w:iCs w:val="0"/>
        </w:rPr>
        <w:t>25</w:t>
      </w:r>
      <w:r>
        <w:rPr>
          <w:i w:val="0"/>
          <w:iCs w:val="0"/>
        </w:rPr>
        <w:fldChar w:fldCharType="end"/>
      </w:r>
      <w:r>
        <w:rPr>
          <w:i w:val="0"/>
          <w:iCs w:val="0"/>
        </w:rPr>
        <w:fldChar w:fldCharType="end"/>
      </w:r>
    </w:p>
    <w:p w14:paraId="41287BFB">
      <w:pPr>
        <w:pStyle w:val="26"/>
        <w:tabs>
          <w:tab w:val="right" w:leader="dot" w:pos="9469"/>
        </w:tabs>
      </w:pPr>
      <w:r>
        <w:fldChar w:fldCharType="begin"/>
      </w:r>
      <w:r>
        <w:instrText xml:space="preserve"> HYPERLINK \l "_Toc493" </w:instrText>
      </w:r>
      <w:r>
        <w:fldChar w:fldCharType="separate"/>
      </w:r>
      <w:r>
        <w:rPr>
          <w:rFonts w:hint="eastAsia" w:ascii="宋体" w:hAnsi="宋体" w:cs="宋体"/>
          <w:szCs w:val="28"/>
        </w:rPr>
        <w:t>2. 比选文件</w:t>
      </w:r>
      <w:r>
        <w:tab/>
      </w:r>
      <w:r>
        <w:fldChar w:fldCharType="begin"/>
      </w:r>
      <w:r>
        <w:instrText xml:space="preserve"> PAGEREF _Toc493 \h </w:instrText>
      </w:r>
      <w:r>
        <w:fldChar w:fldCharType="separate"/>
      </w:r>
      <w:r>
        <w:t>25</w:t>
      </w:r>
      <w:r>
        <w:fldChar w:fldCharType="end"/>
      </w:r>
      <w:r>
        <w:fldChar w:fldCharType="end"/>
      </w:r>
    </w:p>
    <w:p w14:paraId="14FF8CC1">
      <w:pPr>
        <w:pStyle w:val="15"/>
        <w:tabs>
          <w:tab w:val="right" w:leader="dot" w:pos="9469"/>
        </w:tabs>
        <w:rPr>
          <w:i w:val="0"/>
          <w:iCs w:val="0"/>
        </w:rPr>
      </w:pPr>
      <w:r>
        <w:fldChar w:fldCharType="begin"/>
      </w:r>
      <w:r>
        <w:instrText xml:space="preserve"> HYPERLINK \l "_Toc9331" </w:instrText>
      </w:r>
      <w:r>
        <w:fldChar w:fldCharType="separate"/>
      </w:r>
      <w:r>
        <w:rPr>
          <w:rFonts w:hint="eastAsia" w:ascii="宋体" w:hAnsi="宋体" w:cs="宋体"/>
          <w:i w:val="0"/>
          <w:iCs w:val="0"/>
          <w:szCs w:val="21"/>
        </w:rPr>
        <w:t>2.1 比选文件的组成</w:t>
      </w:r>
      <w:r>
        <w:rPr>
          <w:i w:val="0"/>
          <w:iCs w:val="0"/>
        </w:rPr>
        <w:tab/>
      </w:r>
      <w:r>
        <w:rPr>
          <w:i w:val="0"/>
          <w:iCs w:val="0"/>
        </w:rPr>
        <w:fldChar w:fldCharType="begin"/>
      </w:r>
      <w:r>
        <w:rPr>
          <w:i w:val="0"/>
          <w:iCs w:val="0"/>
        </w:rPr>
        <w:instrText xml:space="preserve"> PAGEREF _Toc9331 \h </w:instrText>
      </w:r>
      <w:r>
        <w:rPr>
          <w:i w:val="0"/>
          <w:iCs w:val="0"/>
        </w:rPr>
        <w:fldChar w:fldCharType="separate"/>
      </w:r>
      <w:r>
        <w:rPr>
          <w:i w:val="0"/>
          <w:iCs w:val="0"/>
        </w:rPr>
        <w:t>25</w:t>
      </w:r>
      <w:r>
        <w:rPr>
          <w:i w:val="0"/>
          <w:iCs w:val="0"/>
        </w:rPr>
        <w:fldChar w:fldCharType="end"/>
      </w:r>
      <w:r>
        <w:rPr>
          <w:i w:val="0"/>
          <w:iCs w:val="0"/>
        </w:rPr>
        <w:fldChar w:fldCharType="end"/>
      </w:r>
    </w:p>
    <w:p w14:paraId="2D906F37">
      <w:pPr>
        <w:pStyle w:val="15"/>
        <w:tabs>
          <w:tab w:val="right" w:leader="dot" w:pos="9469"/>
        </w:tabs>
        <w:rPr>
          <w:i w:val="0"/>
          <w:iCs w:val="0"/>
        </w:rPr>
      </w:pPr>
      <w:r>
        <w:fldChar w:fldCharType="begin"/>
      </w:r>
      <w:r>
        <w:instrText xml:space="preserve"> HYPERLINK \l "_Toc10819" </w:instrText>
      </w:r>
      <w:r>
        <w:fldChar w:fldCharType="separate"/>
      </w:r>
      <w:r>
        <w:rPr>
          <w:rFonts w:hint="eastAsia" w:ascii="宋体" w:hAnsi="宋体" w:cs="宋体"/>
          <w:i w:val="0"/>
          <w:iCs w:val="0"/>
          <w:szCs w:val="21"/>
        </w:rPr>
        <w:t>2.2 比选文件的澄清</w:t>
      </w:r>
      <w:r>
        <w:rPr>
          <w:i w:val="0"/>
          <w:iCs w:val="0"/>
        </w:rPr>
        <w:tab/>
      </w:r>
      <w:r>
        <w:rPr>
          <w:i w:val="0"/>
          <w:iCs w:val="0"/>
        </w:rPr>
        <w:fldChar w:fldCharType="begin"/>
      </w:r>
      <w:r>
        <w:rPr>
          <w:i w:val="0"/>
          <w:iCs w:val="0"/>
        </w:rPr>
        <w:instrText xml:space="preserve"> PAGEREF _Toc10819 \h </w:instrText>
      </w:r>
      <w:r>
        <w:rPr>
          <w:i w:val="0"/>
          <w:iCs w:val="0"/>
        </w:rPr>
        <w:fldChar w:fldCharType="separate"/>
      </w:r>
      <w:r>
        <w:rPr>
          <w:i w:val="0"/>
          <w:iCs w:val="0"/>
        </w:rPr>
        <w:t>26</w:t>
      </w:r>
      <w:r>
        <w:rPr>
          <w:i w:val="0"/>
          <w:iCs w:val="0"/>
        </w:rPr>
        <w:fldChar w:fldCharType="end"/>
      </w:r>
      <w:r>
        <w:rPr>
          <w:i w:val="0"/>
          <w:iCs w:val="0"/>
        </w:rPr>
        <w:fldChar w:fldCharType="end"/>
      </w:r>
    </w:p>
    <w:p w14:paraId="4F358A1B">
      <w:pPr>
        <w:pStyle w:val="15"/>
        <w:tabs>
          <w:tab w:val="right" w:leader="dot" w:pos="9469"/>
        </w:tabs>
        <w:rPr>
          <w:i w:val="0"/>
          <w:iCs w:val="0"/>
        </w:rPr>
      </w:pPr>
      <w:r>
        <w:fldChar w:fldCharType="begin"/>
      </w:r>
      <w:r>
        <w:instrText xml:space="preserve"> HYPERLINK \l "_Toc24031" </w:instrText>
      </w:r>
      <w:r>
        <w:fldChar w:fldCharType="separate"/>
      </w:r>
      <w:r>
        <w:rPr>
          <w:rFonts w:hint="eastAsia" w:ascii="宋体" w:hAnsi="宋体" w:cs="宋体"/>
          <w:i w:val="0"/>
          <w:iCs w:val="0"/>
          <w:szCs w:val="21"/>
        </w:rPr>
        <w:t>2.3 比选文件的修改</w:t>
      </w:r>
      <w:r>
        <w:rPr>
          <w:i w:val="0"/>
          <w:iCs w:val="0"/>
        </w:rPr>
        <w:tab/>
      </w:r>
      <w:r>
        <w:rPr>
          <w:i w:val="0"/>
          <w:iCs w:val="0"/>
        </w:rPr>
        <w:fldChar w:fldCharType="begin"/>
      </w:r>
      <w:r>
        <w:rPr>
          <w:i w:val="0"/>
          <w:iCs w:val="0"/>
        </w:rPr>
        <w:instrText xml:space="preserve"> PAGEREF _Toc24031 \h </w:instrText>
      </w:r>
      <w:r>
        <w:rPr>
          <w:i w:val="0"/>
          <w:iCs w:val="0"/>
        </w:rPr>
        <w:fldChar w:fldCharType="separate"/>
      </w:r>
      <w:r>
        <w:rPr>
          <w:i w:val="0"/>
          <w:iCs w:val="0"/>
        </w:rPr>
        <w:t>26</w:t>
      </w:r>
      <w:r>
        <w:rPr>
          <w:i w:val="0"/>
          <w:iCs w:val="0"/>
        </w:rPr>
        <w:fldChar w:fldCharType="end"/>
      </w:r>
      <w:r>
        <w:rPr>
          <w:i w:val="0"/>
          <w:iCs w:val="0"/>
        </w:rPr>
        <w:fldChar w:fldCharType="end"/>
      </w:r>
    </w:p>
    <w:p w14:paraId="53E0AA60">
      <w:pPr>
        <w:pStyle w:val="26"/>
        <w:tabs>
          <w:tab w:val="right" w:leader="dot" w:pos="9469"/>
        </w:tabs>
      </w:pPr>
      <w:r>
        <w:fldChar w:fldCharType="begin"/>
      </w:r>
      <w:r>
        <w:instrText xml:space="preserve"> HYPERLINK \l "_Toc3160" </w:instrText>
      </w:r>
      <w:r>
        <w:fldChar w:fldCharType="separate"/>
      </w:r>
      <w:r>
        <w:rPr>
          <w:rFonts w:hint="eastAsia" w:ascii="宋体" w:hAnsi="宋体" w:cs="宋体"/>
          <w:szCs w:val="28"/>
        </w:rPr>
        <w:t>3. 比选申请文件</w:t>
      </w:r>
      <w:r>
        <w:tab/>
      </w:r>
      <w:r>
        <w:fldChar w:fldCharType="begin"/>
      </w:r>
      <w:r>
        <w:instrText xml:space="preserve"> PAGEREF _Toc3160 \h </w:instrText>
      </w:r>
      <w:r>
        <w:fldChar w:fldCharType="separate"/>
      </w:r>
      <w:r>
        <w:t>26</w:t>
      </w:r>
      <w:r>
        <w:fldChar w:fldCharType="end"/>
      </w:r>
      <w:r>
        <w:fldChar w:fldCharType="end"/>
      </w:r>
    </w:p>
    <w:p w14:paraId="022C9FE8">
      <w:pPr>
        <w:pStyle w:val="15"/>
        <w:tabs>
          <w:tab w:val="right" w:leader="dot" w:pos="9469"/>
        </w:tabs>
        <w:rPr>
          <w:i w:val="0"/>
          <w:iCs w:val="0"/>
        </w:rPr>
      </w:pPr>
      <w:r>
        <w:fldChar w:fldCharType="begin"/>
      </w:r>
      <w:r>
        <w:instrText xml:space="preserve"> HYPERLINK \l "_Toc7091" </w:instrText>
      </w:r>
      <w:r>
        <w:fldChar w:fldCharType="separate"/>
      </w:r>
      <w:r>
        <w:rPr>
          <w:rFonts w:hint="eastAsia" w:ascii="宋体" w:hAnsi="宋体" w:cs="宋体"/>
          <w:i w:val="0"/>
          <w:iCs w:val="0"/>
          <w:szCs w:val="21"/>
        </w:rPr>
        <w:t>3.1比选申请文件的组成</w:t>
      </w:r>
      <w:r>
        <w:rPr>
          <w:i w:val="0"/>
          <w:iCs w:val="0"/>
        </w:rPr>
        <w:tab/>
      </w:r>
      <w:r>
        <w:rPr>
          <w:i w:val="0"/>
          <w:iCs w:val="0"/>
        </w:rPr>
        <w:fldChar w:fldCharType="begin"/>
      </w:r>
      <w:r>
        <w:rPr>
          <w:i w:val="0"/>
          <w:iCs w:val="0"/>
        </w:rPr>
        <w:instrText xml:space="preserve"> PAGEREF _Toc7091 \h </w:instrText>
      </w:r>
      <w:r>
        <w:rPr>
          <w:i w:val="0"/>
          <w:iCs w:val="0"/>
        </w:rPr>
        <w:fldChar w:fldCharType="separate"/>
      </w:r>
      <w:r>
        <w:rPr>
          <w:i w:val="0"/>
          <w:iCs w:val="0"/>
        </w:rPr>
        <w:t>26</w:t>
      </w:r>
      <w:r>
        <w:rPr>
          <w:i w:val="0"/>
          <w:iCs w:val="0"/>
        </w:rPr>
        <w:fldChar w:fldCharType="end"/>
      </w:r>
      <w:r>
        <w:rPr>
          <w:i w:val="0"/>
          <w:iCs w:val="0"/>
        </w:rPr>
        <w:fldChar w:fldCharType="end"/>
      </w:r>
    </w:p>
    <w:p w14:paraId="03EF3F93">
      <w:pPr>
        <w:pStyle w:val="15"/>
        <w:tabs>
          <w:tab w:val="right" w:leader="dot" w:pos="9469"/>
        </w:tabs>
        <w:rPr>
          <w:i w:val="0"/>
          <w:iCs w:val="0"/>
        </w:rPr>
      </w:pPr>
      <w:r>
        <w:fldChar w:fldCharType="begin"/>
      </w:r>
      <w:r>
        <w:instrText xml:space="preserve"> HYPERLINK \l "_Toc31040" </w:instrText>
      </w:r>
      <w:r>
        <w:fldChar w:fldCharType="separate"/>
      </w:r>
      <w:r>
        <w:rPr>
          <w:rFonts w:hint="eastAsia" w:ascii="宋体" w:hAnsi="宋体" w:cs="宋体"/>
          <w:i w:val="0"/>
          <w:iCs w:val="0"/>
          <w:szCs w:val="21"/>
        </w:rPr>
        <w:t>3.2 投标报价</w:t>
      </w:r>
      <w:r>
        <w:rPr>
          <w:i w:val="0"/>
          <w:iCs w:val="0"/>
        </w:rPr>
        <w:tab/>
      </w:r>
      <w:r>
        <w:rPr>
          <w:i w:val="0"/>
          <w:iCs w:val="0"/>
        </w:rPr>
        <w:fldChar w:fldCharType="begin"/>
      </w:r>
      <w:r>
        <w:rPr>
          <w:i w:val="0"/>
          <w:iCs w:val="0"/>
        </w:rPr>
        <w:instrText xml:space="preserve"> PAGEREF _Toc31040 \h </w:instrText>
      </w:r>
      <w:r>
        <w:rPr>
          <w:i w:val="0"/>
          <w:iCs w:val="0"/>
        </w:rPr>
        <w:fldChar w:fldCharType="separate"/>
      </w:r>
      <w:r>
        <w:rPr>
          <w:i w:val="0"/>
          <w:iCs w:val="0"/>
        </w:rPr>
        <w:t>27</w:t>
      </w:r>
      <w:r>
        <w:rPr>
          <w:i w:val="0"/>
          <w:iCs w:val="0"/>
        </w:rPr>
        <w:fldChar w:fldCharType="end"/>
      </w:r>
      <w:r>
        <w:rPr>
          <w:i w:val="0"/>
          <w:iCs w:val="0"/>
        </w:rPr>
        <w:fldChar w:fldCharType="end"/>
      </w:r>
    </w:p>
    <w:p w14:paraId="0448A0E7">
      <w:pPr>
        <w:pStyle w:val="15"/>
        <w:tabs>
          <w:tab w:val="right" w:leader="dot" w:pos="9469"/>
        </w:tabs>
        <w:rPr>
          <w:i w:val="0"/>
          <w:iCs w:val="0"/>
        </w:rPr>
      </w:pPr>
      <w:r>
        <w:fldChar w:fldCharType="begin"/>
      </w:r>
      <w:r>
        <w:instrText xml:space="preserve"> HYPERLINK \l "_Toc27121" </w:instrText>
      </w:r>
      <w:r>
        <w:fldChar w:fldCharType="separate"/>
      </w:r>
      <w:r>
        <w:rPr>
          <w:rFonts w:hint="eastAsia" w:ascii="宋体" w:hAnsi="宋体" w:cs="宋体"/>
          <w:i w:val="0"/>
          <w:iCs w:val="0"/>
          <w:szCs w:val="21"/>
        </w:rPr>
        <w:t>3.3投标有效期</w:t>
      </w:r>
      <w:r>
        <w:rPr>
          <w:i w:val="0"/>
          <w:iCs w:val="0"/>
        </w:rPr>
        <w:tab/>
      </w:r>
      <w:r>
        <w:rPr>
          <w:i w:val="0"/>
          <w:iCs w:val="0"/>
        </w:rPr>
        <w:fldChar w:fldCharType="begin"/>
      </w:r>
      <w:r>
        <w:rPr>
          <w:i w:val="0"/>
          <w:iCs w:val="0"/>
        </w:rPr>
        <w:instrText xml:space="preserve"> PAGEREF _Toc27121 \h </w:instrText>
      </w:r>
      <w:r>
        <w:rPr>
          <w:i w:val="0"/>
          <w:iCs w:val="0"/>
        </w:rPr>
        <w:fldChar w:fldCharType="separate"/>
      </w:r>
      <w:r>
        <w:rPr>
          <w:i w:val="0"/>
          <w:iCs w:val="0"/>
        </w:rPr>
        <w:t>28</w:t>
      </w:r>
      <w:r>
        <w:rPr>
          <w:i w:val="0"/>
          <w:iCs w:val="0"/>
        </w:rPr>
        <w:fldChar w:fldCharType="end"/>
      </w:r>
      <w:r>
        <w:rPr>
          <w:i w:val="0"/>
          <w:iCs w:val="0"/>
        </w:rPr>
        <w:fldChar w:fldCharType="end"/>
      </w:r>
    </w:p>
    <w:p w14:paraId="1A52C17D">
      <w:pPr>
        <w:pStyle w:val="15"/>
        <w:tabs>
          <w:tab w:val="right" w:leader="dot" w:pos="9469"/>
        </w:tabs>
        <w:rPr>
          <w:i w:val="0"/>
          <w:iCs w:val="0"/>
        </w:rPr>
      </w:pPr>
      <w:r>
        <w:fldChar w:fldCharType="begin"/>
      </w:r>
      <w:r>
        <w:instrText xml:space="preserve"> HYPERLINK \l "_Toc14148" </w:instrText>
      </w:r>
      <w:r>
        <w:fldChar w:fldCharType="separate"/>
      </w:r>
      <w:r>
        <w:rPr>
          <w:rFonts w:hint="eastAsia" w:ascii="宋体" w:hAnsi="宋体" w:cs="宋体"/>
          <w:i w:val="0"/>
          <w:iCs w:val="0"/>
          <w:szCs w:val="21"/>
        </w:rPr>
        <w:t>3.4 投标保证金</w:t>
      </w:r>
      <w:r>
        <w:rPr>
          <w:i w:val="0"/>
          <w:iCs w:val="0"/>
        </w:rPr>
        <w:tab/>
      </w:r>
      <w:r>
        <w:rPr>
          <w:i w:val="0"/>
          <w:iCs w:val="0"/>
        </w:rPr>
        <w:fldChar w:fldCharType="begin"/>
      </w:r>
      <w:r>
        <w:rPr>
          <w:i w:val="0"/>
          <w:iCs w:val="0"/>
        </w:rPr>
        <w:instrText xml:space="preserve"> PAGEREF _Toc14148 \h </w:instrText>
      </w:r>
      <w:r>
        <w:rPr>
          <w:i w:val="0"/>
          <w:iCs w:val="0"/>
        </w:rPr>
        <w:fldChar w:fldCharType="separate"/>
      </w:r>
      <w:r>
        <w:rPr>
          <w:i w:val="0"/>
          <w:iCs w:val="0"/>
        </w:rPr>
        <w:t>28</w:t>
      </w:r>
      <w:r>
        <w:rPr>
          <w:i w:val="0"/>
          <w:iCs w:val="0"/>
        </w:rPr>
        <w:fldChar w:fldCharType="end"/>
      </w:r>
      <w:r>
        <w:rPr>
          <w:i w:val="0"/>
          <w:iCs w:val="0"/>
        </w:rPr>
        <w:fldChar w:fldCharType="end"/>
      </w:r>
    </w:p>
    <w:p w14:paraId="1B94566A">
      <w:pPr>
        <w:pStyle w:val="15"/>
        <w:tabs>
          <w:tab w:val="right" w:leader="dot" w:pos="9469"/>
        </w:tabs>
        <w:rPr>
          <w:i w:val="0"/>
          <w:iCs w:val="0"/>
        </w:rPr>
      </w:pPr>
      <w:r>
        <w:fldChar w:fldCharType="begin"/>
      </w:r>
      <w:r>
        <w:instrText xml:space="preserve"> HYPERLINK \l "_Toc32452" </w:instrText>
      </w:r>
      <w:r>
        <w:fldChar w:fldCharType="separate"/>
      </w:r>
      <w:r>
        <w:rPr>
          <w:rFonts w:hint="eastAsia" w:ascii="宋体" w:hAnsi="宋体" w:cs="宋体"/>
          <w:i w:val="0"/>
          <w:iCs w:val="0"/>
          <w:szCs w:val="21"/>
        </w:rPr>
        <w:t>3.5资格审查资料</w:t>
      </w:r>
      <w:r>
        <w:rPr>
          <w:i w:val="0"/>
          <w:iCs w:val="0"/>
        </w:rPr>
        <w:tab/>
      </w:r>
      <w:r>
        <w:rPr>
          <w:i w:val="0"/>
          <w:iCs w:val="0"/>
        </w:rPr>
        <w:fldChar w:fldCharType="begin"/>
      </w:r>
      <w:r>
        <w:rPr>
          <w:i w:val="0"/>
          <w:iCs w:val="0"/>
        </w:rPr>
        <w:instrText xml:space="preserve"> PAGEREF _Toc32452 \h </w:instrText>
      </w:r>
      <w:r>
        <w:rPr>
          <w:i w:val="0"/>
          <w:iCs w:val="0"/>
        </w:rPr>
        <w:fldChar w:fldCharType="separate"/>
      </w:r>
      <w:r>
        <w:rPr>
          <w:i w:val="0"/>
          <w:iCs w:val="0"/>
        </w:rPr>
        <w:t>29</w:t>
      </w:r>
      <w:r>
        <w:rPr>
          <w:i w:val="0"/>
          <w:iCs w:val="0"/>
        </w:rPr>
        <w:fldChar w:fldCharType="end"/>
      </w:r>
      <w:r>
        <w:rPr>
          <w:i w:val="0"/>
          <w:iCs w:val="0"/>
        </w:rPr>
        <w:fldChar w:fldCharType="end"/>
      </w:r>
    </w:p>
    <w:p w14:paraId="73E5886E">
      <w:pPr>
        <w:pStyle w:val="15"/>
        <w:tabs>
          <w:tab w:val="right" w:leader="dot" w:pos="9469"/>
        </w:tabs>
        <w:rPr>
          <w:i w:val="0"/>
          <w:iCs w:val="0"/>
        </w:rPr>
      </w:pPr>
      <w:r>
        <w:fldChar w:fldCharType="begin"/>
      </w:r>
      <w:r>
        <w:instrText xml:space="preserve"> HYPERLINK \l "_Toc12491" </w:instrText>
      </w:r>
      <w:r>
        <w:fldChar w:fldCharType="separate"/>
      </w:r>
      <w:r>
        <w:rPr>
          <w:rFonts w:hint="eastAsia" w:ascii="宋体" w:hAnsi="宋体" w:cs="宋体"/>
          <w:i w:val="0"/>
          <w:iCs w:val="0"/>
          <w:szCs w:val="21"/>
        </w:rPr>
        <w:t>3.6 备选投标方案</w:t>
      </w:r>
      <w:r>
        <w:rPr>
          <w:i w:val="0"/>
          <w:iCs w:val="0"/>
        </w:rPr>
        <w:tab/>
      </w:r>
      <w:r>
        <w:rPr>
          <w:i w:val="0"/>
          <w:iCs w:val="0"/>
        </w:rPr>
        <w:fldChar w:fldCharType="begin"/>
      </w:r>
      <w:r>
        <w:rPr>
          <w:i w:val="0"/>
          <w:iCs w:val="0"/>
        </w:rPr>
        <w:instrText xml:space="preserve"> PAGEREF _Toc12491 \h </w:instrText>
      </w:r>
      <w:r>
        <w:rPr>
          <w:i w:val="0"/>
          <w:iCs w:val="0"/>
        </w:rPr>
        <w:fldChar w:fldCharType="separate"/>
      </w:r>
      <w:r>
        <w:rPr>
          <w:i w:val="0"/>
          <w:iCs w:val="0"/>
        </w:rPr>
        <w:t>31</w:t>
      </w:r>
      <w:r>
        <w:rPr>
          <w:i w:val="0"/>
          <w:iCs w:val="0"/>
        </w:rPr>
        <w:fldChar w:fldCharType="end"/>
      </w:r>
      <w:r>
        <w:rPr>
          <w:i w:val="0"/>
          <w:iCs w:val="0"/>
        </w:rPr>
        <w:fldChar w:fldCharType="end"/>
      </w:r>
    </w:p>
    <w:p w14:paraId="7D23A227">
      <w:pPr>
        <w:pStyle w:val="15"/>
        <w:tabs>
          <w:tab w:val="right" w:leader="dot" w:pos="9469"/>
        </w:tabs>
        <w:rPr>
          <w:i w:val="0"/>
          <w:iCs w:val="0"/>
        </w:rPr>
      </w:pPr>
      <w:r>
        <w:fldChar w:fldCharType="begin"/>
      </w:r>
      <w:r>
        <w:instrText xml:space="preserve"> HYPERLINK \l "_Toc31831" </w:instrText>
      </w:r>
      <w:r>
        <w:fldChar w:fldCharType="separate"/>
      </w:r>
      <w:r>
        <w:rPr>
          <w:rFonts w:hint="eastAsia" w:ascii="宋体" w:hAnsi="宋体" w:cs="宋体"/>
          <w:i w:val="0"/>
          <w:iCs w:val="0"/>
          <w:szCs w:val="21"/>
        </w:rPr>
        <w:t>3.7 比选申请文件的编制</w:t>
      </w:r>
      <w:r>
        <w:rPr>
          <w:i w:val="0"/>
          <w:iCs w:val="0"/>
        </w:rPr>
        <w:tab/>
      </w:r>
      <w:r>
        <w:rPr>
          <w:i w:val="0"/>
          <w:iCs w:val="0"/>
        </w:rPr>
        <w:fldChar w:fldCharType="begin"/>
      </w:r>
      <w:r>
        <w:rPr>
          <w:i w:val="0"/>
          <w:iCs w:val="0"/>
        </w:rPr>
        <w:instrText xml:space="preserve"> PAGEREF _Toc31831 \h </w:instrText>
      </w:r>
      <w:r>
        <w:rPr>
          <w:i w:val="0"/>
          <w:iCs w:val="0"/>
        </w:rPr>
        <w:fldChar w:fldCharType="separate"/>
      </w:r>
      <w:r>
        <w:rPr>
          <w:i w:val="0"/>
          <w:iCs w:val="0"/>
        </w:rPr>
        <w:t>31</w:t>
      </w:r>
      <w:r>
        <w:rPr>
          <w:i w:val="0"/>
          <w:iCs w:val="0"/>
        </w:rPr>
        <w:fldChar w:fldCharType="end"/>
      </w:r>
      <w:r>
        <w:rPr>
          <w:i w:val="0"/>
          <w:iCs w:val="0"/>
        </w:rPr>
        <w:fldChar w:fldCharType="end"/>
      </w:r>
    </w:p>
    <w:p w14:paraId="1CCC8C3F">
      <w:pPr>
        <w:pStyle w:val="26"/>
        <w:tabs>
          <w:tab w:val="right" w:leader="dot" w:pos="9469"/>
        </w:tabs>
      </w:pPr>
      <w:r>
        <w:fldChar w:fldCharType="begin"/>
      </w:r>
      <w:r>
        <w:instrText xml:space="preserve"> HYPERLINK \l "_Toc17215" </w:instrText>
      </w:r>
      <w:r>
        <w:fldChar w:fldCharType="separate"/>
      </w:r>
      <w:r>
        <w:rPr>
          <w:rFonts w:hint="eastAsia" w:ascii="宋体" w:hAnsi="宋体" w:cs="宋体"/>
          <w:szCs w:val="28"/>
        </w:rPr>
        <w:t>4. 投标</w:t>
      </w:r>
      <w:r>
        <w:tab/>
      </w:r>
      <w:r>
        <w:fldChar w:fldCharType="begin"/>
      </w:r>
      <w:r>
        <w:instrText xml:space="preserve"> PAGEREF _Toc17215 \h </w:instrText>
      </w:r>
      <w:r>
        <w:fldChar w:fldCharType="separate"/>
      </w:r>
      <w:r>
        <w:t>31</w:t>
      </w:r>
      <w:r>
        <w:fldChar w:fldCharType="end"/>
      </w:r>
      <w:r>
        <w:fldChar w:fldCharType="end"/>
      </w:r>
    </w:p>
    <w:p w14:paraId="008A3E06">
      <w:pPr>
        <w:pStyle w:val="15"/>
        <w:tabs>
          <w:tab w:val="right" w:leader="dot" w:pos="9469"/>
        </w:tabs>
        <w:rPr>
          <w:i w:val="0"/>
          <w:iCs w:val="0"/>
        </w:rPr>
      </w:pPr>
      <w:r>
        <w:fldChar w:fldCharType="begin"/>
      </w:r>
      <w:r>
        <w:instrText xml:space="preserve"> HYPERLINK \l "_Toc18062" </w:instrText>
      </w:r>
      <w:r>
        <w:fldChar w:fldCharType="separate"/>
      </w:r>
      <w:r>
        <w:rPr>
          <w:rFonts w:hint="eastAsia" w:ascii="宋体" w:hAnsi="宋体" w:cs="宋体"/>
          <w:i w:val="0"/>
          <w:iCs w:val="0"/>
          <w:szCs w:val="21"/>
        </w:rPr>
        <w:t>4.1 比选申请文件的密封和标识</w:t>
      </w:r>
      <w:r>
        <w:rPr>
          <w:i w:val="0"/>
          <w:iCs w:val="0"/>
        </w:rPr>
        <w:tab/>
      </w:r>
      <w:r>
        <w:rPr>
          <w:i w:val="0"/>
          <w:iCs w:val="0"/>
        </w:rPr>
        <w:fldChar w:fldCharType="begin"/>
      </w:r>
      <w:r>
        <w:rPr>
          <w:i w:val="0"/>
          <w:iCs w:val="0"/>
        </w:rPr>
        <w:instrText xml:space="preserve"> PAGEREF _Toc18062 \h </w:instrText>
      </w:r>
      <w:r>
        <w:rPr>
          <w:i w:val="0"/>
          <w:iCs w:val="0"/>
        </w:rPr>
        <w:fldChar w:fldCharType="separate"/>
      </w:r>
      <w:r>
        <w:rPr>
          <w:i w:val="0"/>
          <w:iCs w:val="0"/>
        </w:rPr>
        <w:t>31</w:t>
      </w:r>
      <w:r>
        <w:rPr>
          <w:i w:val="0"/>
          <w:iCs w:val="0"/>
        </w:rPr>
        <w:fldChar w:fldCharType="end"/>
      </w:r>
      <w:r>
        <w:rPr>
          <w:i w:val="0"/>
          <w:iCs w:val="0"/>
        </w:rPr>
        <w:fldChar w:fldCharType="end"/>
      </w:r>
    </w:p>
    <w:p w14:paraId="0DE41E11">
      <w:pPr>
        <w:pStyle w:val="15"/>
        <w:tabs>
          <w:tab w:val="right" w:leader="dot" w:pos="9469"/>
        </w:tabs>
        <w:rPr>
          <w:i w:val="0"/>
          <w:iCs w:val="0"/>
        </w:rPr>
      </w:pPr>
      <w:r>
        <w:fldChar w:fldCharType="begin"/>
      </w:r>
      <w:r>
        <w:instrText xml:space="preserve"> HYPERLINK \l "_Toc30332" </w:instrText>
      </w:r>
      <w:r>
        <w:fldChar w:fldCharType="separate"/>
      </w:r>
      <w:r>
        <w:rPr>
          <w:rFonts w:hint="eastAsia" w:ascii="宋体" w:hAnsi="宋体" w:cs="宋体"/>
          <w:i w:val="0"/>
          <w:iCs w:val="0"/>
          <w:szCs w:val="21"/>
        </w:rPr>
        <w:t>4.2比选申请文件的递交</w:t>
      </w:r>
      <w:r>
        <w:rPr>
          <w:i w:val="0"/>
          <w:iCs w:val="0"/>
        </w:rPr>
        <w:tab/>
      </w:r>
      <w:r>
        <w:rPr>
          <w:i w:val="0"/>
          <w:iCs w:val="0"/>
        </w:rPr>
        <w:fldChar w:fldCharType="begin"/>
      </w:r>
      <w:r>
        <w:rPr>
          <w:i w:val="0"/>
          <w:iCs w:val="0"/>
        </w:rPr>
        <w:instrText xml:space="preserve"> PAGEREF _Toc30332 \h </w:instrText>
      </w:r>
      <w:r>
        <w:rPr>
          <w:i w:val="0"/>
          <w:iCs w:val="0"/>
        </w:rPr>
        <w:fldChar w:fldCharType="separate"/>
      </w:r>
      <w:r>
        <w:rPr>
          <w:i w:val="0"/>
          <w:iCs w:val="0"/>
        </w:rPr>
        <w:t>31</w:t>
      </w:r>
      <w:r>
        <w:rPr>
          <w:i w:val="0"/>
          <w:iCs w:val="0"/>
        </w:rPr>
        <w:fldChar w:fldCharType="end"/>
      </w:r>
      <w:r>
        <w:rPr>
          <w:i w:val="0"/>
          <w:iCs w:val="0"/>
        </w:rPr>
        <w:fldChar w:fldCharType="end"/>
      </w:r>
    </w:p>
    <w:p w14:paraId="2314D0E5">
      <w:pPr>
        <w:pStyle w:val="15"/>
        <w:tabs>
          <w:tab w:val="right" w:leader="dot" w:pos="9469"/>
        </w:tabs>
        <w:rPr>
          <w:i w:val="0"/>
          <w:iCs w:val="0"/>
        </w:rPr>
      </w:pPr>
      <w:r>
        <w:fldChar w:fldCharType="begin"/>
      </w:r>
      <w:r>
        <w:instrText xml:space="preserve"> HYPERLINK \l "_Toc13142" </w:instrText>
      </w:r>
      <w:r>
        <w:fldChar w:fldCharType="separate"/>
      </w:r>
      <w:r>
        <w:rPr>
          <w:rFonts w:hint="eastAsia" w:ascii="宋体" w:hAnsi="宋体" w:cs="宋体"/>
          <w:i w:val="0"/>
          <w:iCs w:val="0"/>
          <w:szCs w:val="21"/>
        </w:rPr>
        <w:t>4.3 比选申请文件的修改与撤回</w:t>
      </w:r>
      <w:r>
        <w:rPr>
          <w:i w:val="0"/>
          <w:iCs w:val="0"/>
        </w:rPr>
        <w:tab/>
      </w:r>
      <w:r>
        <w:rPr>
          <w:i w:val="0"/>
          <w:iCs w:val="0"/>
        </w:rPr>
        <w:fldChar w:fldCharType="begin"/>
      </w:r>
      <w:r>
        <w:rPr>
          <w:i w:val="0"/>
          <w:iCs w:val="0"/>
        </w:rPr>
        <w:instrText xml:space="preserve"> PAGEREF _Toc13142 \h </w:instrText>
      </w:r>
      <w:r>
        <w:rPr>
          <w:i w:val="0"/>
          <w:iCs w:val="0"/>
        </w:rPr>
        <w:fldChar w:fldCharType="separate"/>
      </w:r>
      <w:r>
        <w:rPr>
          <w:i w:val="0"/>
          <w:iCs w:val="0"/>
        </w:rPr>
        <w:t>32</w:t>
      </w:r>
      <w:r>
        <w:rPr>
          <w:i w:val="0"/>
          <w:iCs w:val="0"/>
        </w:rPr>
        <w:fldChar w:fldCharType="end"/>
      </w:r>
      <w:r>
        <w:rPr>
          <w:i w:val="0"/>
          <w:iCs w:val="0"/>
        </w:rPr>
        <w:fldChar w:fldCharType="end"/>
      </w:r>
    </w:p>
    <w:p w14:paraId="66E95974">
      <w:pPr>
        <w:pStyle w:val="26"/>
        <w:tabs>
          <w:tab w:val="right" w:leader="dot" w:pos="9469"/>
        </w:tabs>
      </w:pPr>
      <w:r>
        <w:fldChar w:fldCharType="begin"/>
      </w:r>
      <w:r>
        <w:instrText xml:space="preserve"> HYPERLINK \l "_Toc26694" </w:instrText>
      </w:r>
      <w:r>
        <w:fldChar w:fldCharType="separate"/>
      </w:r>
      <w:r>
        <w:rPr>
          <w:rFonts w:hint="eastAsia" w:ascii="宋体" w:hAnsi="宋体" w:cs="宋体"/>
          <w:szCs w:val="28"/>
        </w:rPr>
        <w:t>5. 开标</w:t>
      </w:r>
      <w:r>
        <w:tab/>
      </w:r>
      <w:r>
        <w:fldChar w:fldCharType="begin"/>
      </w:r>
      <w:r>
        <w:instrText xml:space="preserve"> PAGEREF _Toc26694 \h </w:instrText>
      </w:r>
      <w:r>
        <w:fldChar w:fldCharType="separate"/>
      </w:r>
      <w:r>
        <w:t>32</w:t>
      </w:r>
      <w:r>
        <w:fldChar w:fldCharType="end"/>
      </w:r>
      <w:r>
        <w:fldChar w:fldCharType="end"/>
      </w:r>
    </w:p>
    <w:p w14:paraId="26E5705C">
      <w:pPr>
        <w:pStyle w:val="15"/>
        <w:tabs>
          <w:tab w:val="right" w:leader="dot" w:pos="9469"/>
        </w:tabs>
        <w:rPr>
          <w:i w:val="0"/>
          <w:iCs w:val="0"/>
        </w:rPr>
      </w:pPr>
      <w:r>
        <w:fldChar w:fldCharType="begin"/>
      </w:r>
      <w:r>
        <w:instrText xml:space="preserve"> HYPERLINK \l "_Toc21162" </w:instrText>
      </w:r>
      <w:r>
        <w:fldChar w:fldCharType="separate"/>
      </w:r>
      <w:r>
        <w:rPr>
          <w:rFonts w:hint="eastAsia" w:ascii="宋体" w:hAnsi="宋体" w:cs="宋体"/>
          <w:i w:val="0"/>
          <w:iCs w:val="0"/>
          <w:szCs w:val="21"/>
        </w:rPr>
        <w:t>5.1 开标时间和地点</w:t>
      </w:r>
      <w:r>
        <w:rPr>
          <w:i w:val="0"/>
          <w:iCs w:val="0"/>
        </w:rPr>
        <w:tab/>
      </w:r>
      <w:r>
        <w:rPr>
          <w:i w:val="0"/>
          <w:iCs w:val="0"/>
        </w:rPr>
        <w:fldChar w:fldCharType="begin"/>
      </w:r>
      <w:r>
        <w:rPr>
          <w:i w:val="0"/>
          <w:iCs w:val="0"/>
        </w:rPr>
        <w:instrText xml:space="preserve"> PAGEREF _Toc21162 \h </w:instrText>
      </w:r>
      <w:r>
        <w:rPr>
          <w:i w:val="0"/>
          <w:iCs w:val="0"/>
        </w:rPr>
        <w:fldChar w:fldCharType="separate"/>
      </w:r>
      <w:r>
        <w:rPr>
          <w:i w:val="0"/>
          <w:iCs w:val="0"/>
        </w:rPr>
        <w:t>32</w:t>
      </w:r>
      <w:r>
        <w:rPr>
          <w:i w:val="0"/>
          <w:iCs w:val="0"/>
        </w:rPr>
        <w:fldChar w:fldCharType="end"/>
      </w:r>
      <w:r>
        <w:rPr>
          <w:i w:val="0"/>
          <w:iCs w:val="0"/>
        </w:rPr>
        <w:fldChar w:fldCharType="end"/>
      </w:r>
    </w:p>
    <w:p w14:paraId="7CC3231E">
      <w:pPr>
        <w:pStyle w:val="15"/>
        <w:tabs>
          <w:tab w:val="right" w:leader="dot" w:pos="9469"/>
        </w:tabs>
        <w:rPr>
          <w:i w:val="0"/>
          <w:iCs w:val="0"/>
        </w:rPr>
      </w:pPr>
      <w:r>
        <w:fldChar w:fldCharType="begin"/>
      </w:r>
      <w:r>
        <w:instrText xml:space="preserve"> HYPERLINK \l "_Toc21717" </w:instrText>
      </w:r>
      <w:r>
        <w:fldChar w:fldCharType="separate"/>
      </w:r>
      <w:r>
        <w:rPr>
          <w:rFonts w:hint="eastAsia" w:ascii="宋体" w:hAnsi="宋体" w:cs="宋体"/>
          <w:i w:val="0"/>
          <w:iCs w:val="0"/>
          <w:szCs w:val="21"/>
        </w:rPr>
        <w:t>5.2开标程序</w:t>
      </w:r>
      <w:r>
        <w:rPr>
          <w:i w:val="0"/>
          <w:iCs w:val="0"/>
        </w:rPr>
        <w:tab/>
      </w:r>
      <w:r>
        <w:rPr>
          <w:i w:val="0"/>
          <w:iCs w:val="0"/>
        </w:rPr>
        <w:fldChar w:fldCharType="begin"/>
      </w:r>
      <w:r>
        <w:rPr>
          <w:i w:val="0"/>
          <w:iCs w:val="0"/>
        </w:rPr>
        <w:instrText xml:space="preserve"> PAGEREF _Toc21717 \h </w:instrText>
      </w:r>
      <w:r>
        <w:rPr>
          <w:i w:val="0"/>
          <w:iCs w:val="0"/>
        </w:rPr>
        <w:fldChar w:fldCharType="separate"/>
      </w:r>
      <w:r>
        <w:rPr>
          <w:i w:val="0"/>
          <w:iCs w:val="0"/>
        </w:rPr>
        <w:t>32</w:t>
      </w:r>
      <w:r>
        <w:rPr>
          <w:i w:val="0"/>
          <w:iCs w:val="0"/>
        </w:rPr>
        <w:fldChar w:fldCharType="end"/>
      </w:r>
      <w:r>
        <w:rPr>
          <w:i w:val="0"/>
          <w:iCs w:val="0"/>
        </w:rPr>
        <w:fldChar w:fldCharType="end"/>
      </w:r>
    </w:p>
    <w:p w14:paraId="560DB330">
      <w:pPr>
        <w:pStyle w:val="15"/>
        <w:tabs>
          <w:tab w:val="right" w:leader="dot" w:pos="9469"/>
        </w:tabs>
        <w:rPr>
          <w:i w:val="0"/>
          <w:iCs w:val="0"/>
        </w:rPr>
      </w:pPr>
      <w:r>
        <w:fldChar w:fldCharType="begin"/>
      </w:r>
      <w:r>
        <w:instrText xml:space="preserve"> HYPERLINK \l "_Toc13179" </w:instrText>
      </w:r>
      <w:r>
        <w:fldChar w:fldCharType="separate"/>
      </w:r>
      <w:r>
        <w:rPr>
          <w:rFonts w:hint="eastAsia" w:ascii="宋体" w:hAnsi="宋体" w:cs="宋体"/>
          <w:i w:val="0"/>
          <w:iCs w:val="0"/>
          <w:szCs w:val="21"/>
        </w:rPr>
        <w:t>5.3 开标异议</w:t>
      </w:r>
      <w:r>
        <w:rPr>
          <w:i w:val="0"/>
          <w:iCs w:val="0"/>
        </w:rPr>
        <w:tab/>
      </w:r>
      <w:r>
        <w:rPr>
          <w:i w:val="0"/>
          <w:iCs w:val="0"/>
        </w:rPr>
        <w:fldChar w:fldCharType="begin"/>
      </w:r>
      <w:r>
        <w:rPr>
          <w:i w:val="0"/>
          <w:iCs w:val="0"/>
        </w:rPr>
        <w:instrText xml:space="preserve"> PAGEREF _Toc13179 \h </w:instrText>
      </w:r>
      <w:r>
        <w:rPr>
          <w:i w:val="0"/>
          <w:iCs w:val="0"/>
        </w:rPr>
        <w:fldChar w:fldCharType="separate"/>
      </w:r>
      <w:r>
        <w:rPr>
          <w:i w:val="0"/>
          <w:iCs w:val="0"/>
        </w:rPr>
        <w:t>32</w:t>
      </w:r>
      <w:r>
        <w:rPr>
          <w:i w:val="0"/>
          <w:iCs w:val="0"/>
        </w:rPr>
        <w:fldChar w:fldCharType="end"/>
      </w:r>
      <w:r>
        <w:rPr>
          <w:i w:val="0"/>
          <w:iCs w:val="0"/>
        </w:rPr>
        <w:fldChar w:fldCharType="end"/>
      </w:r>
    </w:p>
    <w:p w14:paraId="1DBF47A2">
      <w:pPr>
        <w:pStyle w:val="26"/>
        <w:tabs>
          <w:tab w:val="right" w:leader="dot" w:pos="9469"/>
        </w:tabs>
      </w:pPr>
      <w:r>
        <w:fldChar w:fldCharType="begin"/>
      </w:r>
      <w:r>
        <w:instrText xml:space="preserve"> HYPERLINK \l "_Toc11399" </w:instrText>
      </w:r>
      <w:r>
        <w:fldChar w:fldCharType="separate"/>
      </w:r>
      <w:r>
        <w:rPr>
          <w:rFonts w:hint="eastAsia" w:ascii="宋体" w:hAnsi="宋体" w:cs="宋体"/>
          <w:szCs w:val="28"/>
        </w:rPr>
        <w:t>6. 评标</w:t>
      </w:r>
      <w:r>
        <w:tab/>
      </w:r>
      <w:r>
        <w:fldChar w:fldCharType="begin"/>
      </w:r>
      <w:r>
        <w:instrText xml:space="preserve"> PAGEREF _Toc11399 \h </w:instrText>
      </w:r>
      <w:r>
        <w:fldChar w:fldCharType="separate"/>
      </w:r>
      <w:r>
        <w:t>32</w:t>
      </w:r>
      <w:r>
        <w:fldChar w:fldCharType="end"/>
      </w:r>
      <w:r>
        <w:fldChar w:fldCharType="end"/>
      </w:r>
    </w:p>
    <w:p w14:paraId="0B92266F">
      <w:pPr>
        <w:pStyle w:val="15"/>
        <w:tabs>
          <w:tab w:val="right" w:leader="dot" w:pos="9469"/>
        </w:tabs>
        <w:rPr>
          <w:i w:val="0"/>
          <w:iCs w:val="0"/>
        </w:rPr>
      </w:pPr>
      <w:r>
        <w:fldChar w:fldCharType="begin"/>
      </w:r>
      <w:r>
        <w:instrText xml:space="preserve"> HYPERLINK \l "_Toc29978" </w:instrText>
      </w:r>
      <w:r>
        <w:fldChar w:fldCharType="separate"/>
      </w:r>
      <w:r>
        <w:rPr>
          <w:rFonts w:hint="eastAsia" w:ascii="宋体" w:hAnsi="宋体" w:cs="宋体"/>
          <w:i w:val="0"/>
          <w:iCs w:val="0"/>
          <w:szCs w:val="21"/>
        </w:rPr>
        <w:t>6.1 评标委员会</w:t>
      </w:r>
      <w:r>
        <w:rPr>
          <w:i w:val="0"/>
          <w:iCs w:val="0"/>
        </w:rPr>
        <w:tab/>
      </w:r>
      <w:r>
        <w:rPr>
          <w:i w:val="0"/>
          <w:iCs w:val="0"/>
        </w:rPr>
        <w:fldChar w:fldCharType="begin"/>
      </w:r>
      <w:r>
        <w:rPr>
          <w:i w:val="0"/>
          <w:iCs w:val="0"/>
        </w:rPr>
        <w:instrText xml:space="preserve"> PAGEREF _Toc29978 \h </w:instrText>
      </w:r>
      <w:r>
        <w:rPr>
          <w:i w:val="0"/>
          <w:iCs w:val="0"/>
        </w:rPr>
        <w:fldChar w:fldCharType="separate"/>
      </w:r>
      <w:r>
        <w:rPr>
          <w:i w:val="0"/>
          <w:iCs w:val="0"/>
        </w:rPr>
        <w:t>32</w:t>
      </w:r>
      <w:r>
        <w:rPr>
          <w:i w:val="0"/>
          <w:iCs w:val="0"/>
        </w:rPr>
        <w:fldChar w:fldCharType="end"/>
      </w:r>
      <w:r>
        <w:rPr>
          <w:i w:val="0"/>
          <w:iCs w:val="0"/>
        </w:rPr>
        <w:fldChar w:fldCharType="end"/>
      </w:r>
    </w:p>
    <w:p w14:paraId="3EA812C5">
      <w:pPr>
        <w:pStyle w:val="15"/>
        <w:tabs>
          <w:tab w:val="right" w:leader="dot" w:pos="9469"/>
        </w:tabs>
        <w:rPr>
          <w:i w:val="0"/>
          <w:iCs w:val="0"/>
        </w:rPr>
      </w:pPr>
      <w:r>
        <w:fldChar w:fldCharType="begin"/>
      </w:r>
      <w:r>
        <w:instrText xml:space="preserve"> HYPERLINK \l "_Toc26662" </w:instrText>
      </w:r>
      <w:r>
        <w:fldChar w:fldCharType="separate"/>
      </w:r>
      <w:r>
        <w:rPr>
          <w:rFonts w:hint="eastAsia" w:ascii="宋体" w:hAnsi="宋体" w:cs="宋体"/>
          <w:i w:val="0"/>
          <w:iCs w:val="0"/>
          <w:szCs w:val="21"/>
        </w:rPr>
        <w:t>6.2 评标原则</w:t>
      </w:r>
      <w:r>
        <w:rPr>
          <w:i w:val="0"/>
          <w:iCs w:val="0"/>
        </w:rPr>
        <w:tab/>
      </w:r>
      <w:r>
        <w:rPr>
          <w:i w:val="0"/>
          <w:iCs w:val="0"/>
        </w:rPr>
        <w:fldChar w:fldCharType="begin"/>
      </w:r>
      <w:r>
        <w:rPr>
          <w:i w:val="0"/>
          <w:iCs w:val="0"/>
        </w:rPr>
        <w:instrText xml:space="preserve"> PAGEREF _Toc26662 \h </w:instrText>
      </w:r>
      <w:r>
        <w:rPr>
          <w:i w:val="0"/>
          <w:iCs w:val="0"/>
        </w:rPr>
        <w:fldChar w:fldCharType="separate"/>
      </w:r>
      <w:r>
        <w:rPr>
          <w:i w:val="0"/>
          <w:iCs w:val="0"/>
        </w:rPr>
        <w:t>33</w:t>
      </w:r>
      <w:r>
        <w:rPr>
          <w:i w:val="0"/>
          <w:iCs w:val="0"/>
        </w:rPr>
        <w:fldChar w:fldCharType="end"/>
      </w:r>
      <w:r>
        <w:rPr>
          <w:i w:val="0"/>
          <w:iCs w:val="0"/>
        </w:rPr>
        <w:fldChar w:fldCharType="end"/>
      </w:r>
    </w:p>
    <w:p w14:paraId="186C4BED">
      <w:pPr>
        <w:pStyle w:val="15"/>
        <w:tabs>
          <w:tab w:val="right" w:leader="dot" w:pos="9469"/>
        </w:tabs>
        <w:rPr>
          <w:i w:val="0"/>
          <w:iCs w:val="0"/>
        </w:rPr>
      </w:pPr>
      <w:r>
        <w:fldChar w:fldCharType="begin"/>
      </w:r>
      <w:r>
        <w:instrText xml:space="preserve"> HYPERLINK \l "_Toc12518" </w:instrText>
      </w:r>
      <w:r>
        <w:fldChar w:fldCharType="separate"/>
      </w:r>
      <w:r>
        <w:rPr>
          <w:rFonts w:hint="eastAsia" w:ascii="宋体" w:hAnsi="宋体" w:cs="宋体"/>
          <w:i w:val="0"/>
          <w:iCs w:val="0"/>
          <w:szCs w:val="21"/>
        </w:rPr>
        <w:t>6.3 评标</w:t>
      </w:r>
      <w:r>
        <w:rPr>
          <w:i w:val="0"/>
          <w:iCs w:val="0"/>
        </w:rPr>
        <w:tab/>
      </w:r>
      <w:r>
        <w:rPr>
          <w:i w:val="0"/>
          <w:iCs w:val="0"/>
        </w:rPr>
        <w:fldChar w:fldCharType="begin"/>
      </w:r>
      <w:r>
        <w:rPr>
          <w:i w:val="0"/>
          <w:iCs w:val="0"/>
        </w:rPr>
        <w:instrText xml:space="preserve"> PAGEREF _Toc12518 \h </w:instrText>
      </w:r>
      <w:r>
        <w:rPr>
          <w:i w:val="0"/>
          <w:iCs w:val="0"/>
        </w:rPr>
        <w:fldChar w:fldCharType="separate"/>
      </w:r>
      <w:r>
        <w:rPr>
          <w:i w:val="0"/>
          <w:iCs w:val="0"/>
        </w:rPr>
        <w:t>33</w:t>
      </w:r>
      <w:r>
        <w:rPr>
          <w:i w:val="0"/>
          <w:iCs w:val="0"/>
        </w:rPr>
        <w:fldChar w:fldCharType="end"/>
      </w:r>
      <w:r>
        <w:rPr>
          <w:i w:val="0"/>
          <w:iCs w:val="0"/>
        </w:rPr>
        <w:fldChar w:fldCharType="end"/>
      </w:r>
    </w:p>
    <w:p w14:paraId="5FB81C78">
      <w:pPr>
        <w:pStyle w:val="26"/>
        <w:tabs>
          <w:tab w:val="right" w:leader="dot" w:pos="9469"/>
        </w:tabs>
      </w:pPr>
      <w:r>
        <w:fldChar w:fldCharType="begin"/>
      </w:r>
      <w:r>
        <w:instrText xml:space="preserve"> HYPERLINK \l "_Toc6251" </w:instrText>
      </w:r>
      <w:r>
        <w:fldChar w:fldCharType="separate"/>
      </w:r>
      <w:r>
        <w:rPr>
          <w:rFonts w:hint="eastAsia" w:ascii="宋体" w:hAnsi="宋体" w:cs="宋体"/>
          <w:szCs w:val="28"/>
        </w:rPr>
        <w:t>7. 合同授予</w:t>
      </w:r>
      <w:r>
        <w:tab/>
      </w:r>
      <w:r>
        <w:fldChar w:fldCharType="begin"/>
      </w:r>
      <w:r>
        <w:instrText xml:space="preserve"> PAGEREF _Toc6251 \h </w:instrText>
      </w:r>
      <w:r>
        <w:fldChar w:fldCharType="separate"/>
      </w:r>
      <w:r>
        <w:t>33</w:t>
      </w:r>
      <w:r>
        <w:fldChar w:fldCharType="end"/>
      </w:r>
      <w:r>
        <w:fldChar w:fldCharType="end"/>
      </w:r>
    </w:p>
    <w:p w14:paraId="385854B3">
      <w:pPr>
        <w:pStyle w:val="15"/>
        <w:tabs>
          <w:tab w:val="right" w:leader="dot" w:pos="9469"/>
        </w:tabs>
        <w:rPr>
          <w:i w:val="0"/>
          <w:iCs w:val="0"/>
        </w:rPr>
      </w:pPr>
      <w:r>
        <w:fldChar w:fldCharType="begin"/>
      </w:r>
      <w:r>
        <w:instrText xml:space="preserve"> HYPERLINK \l "_Toc26168" </w:instrText>
      </w:r>
      <w:r>
        <w:fldChar w:fldCharType="separate"/>
      </w:r>
      <w:r>
        <w:rPr>
          <w:rFonts w:hint="eastAsia" w:ascii="宋体" w:hAnsi="宋体" w:cs="宋体"/>
          <w:i w:val="0"/>
          <w:iCs w:val="0"/>
          <w:szCs w:val="21"/>
        </w:rPr>
        <w:t>7.1 中标候选人公示</w:t>
      </w:r>
      <w:r>
        <w:rPr>
          <w:i w:val="0"/>
          <w:iCs w:val="0"/>
        </w:rPr>
        <w:tab/>
      </w:r>
      <w:r>
        <w:rPr>
          <w:i w:val="0"/>
          <w:iCs w:val="0"/>
        </w:rPr>
        <w:fldChar w:fldCharType="begin"/>
      </w:r>
      <w:r>
        <w:rPr>
          <w:i w:val="0"/>
          <w:iCs w:val="0"/>
        </w:rPr>
        <w:instrText xml:space="preserve"> PAGEREF _Toc26168 \h </w:instrText>
      </w:r>
      <w:r>
        <w:rPr>
          <w:i w:val="0"/>
          <w:iCs w:val="0"/>
        </w:rPr>
        <w:fldChar w:fldCharType="separate"/>
      </w:r>
      <w:r>
        <w:rPr>
          <w:i w:val="0"/>
          <w:iCs w:val="0"/>
        </w:rPr>
        <w:t>33</w:t>
      </w:r>
      <w:r>
        <w:rPr>
          <w:i w:val="0"/>
          <w:iCs w:val="0"/>
        </w:rPr>
        <w:fldChar w:fldCharType="end"/>
      </w:r>
      <w:r>
        <w:rPr>
          <w:i w:val="0"/>
          <w:iCs w:val="0"/>
        </w:rPr>
        <w:fldChar w:fldCharType="end"/>
      </w:r>
    </w:p>
    <w:p w14:paraId="43FBEC3B">
      <w:pPr>
        <w:pStyle w:val="15"/>
        <w:tabs>
          <w:tab w:val="right" w:leader="dot" w:pos="9469"/>
        </w:tabs>
        <w:rPr>
          <w:i w:val="0"/>
          <w:iCs w:val="0"/>
        </w:rPr>
      </w:pPr>
      <w:r>
        <w:fldChar w:fldCharType="begin"/>
      </w:r>
      <w:r>
        <w:instrText xml:space="preserve"> HYPERLINK \l "_Toc21166" </w:instrText>
      </w:r>
      <w:r>
        <w:fldChar w:fldCharType="separate"/>
      </w:r>
      <w:r>
        <w:rPr>
          <w:rFonts w:hint="eastAsia" w:ascii="宋体" w:hAnsi="宋体" w:cs="宋体"/>
          <w:i w:val="0"/>
          <w:iCs w:val="0"/>
          <w:szCs w:val="21"/>
        </w:rPr>
        <w:t>7.2 评标结果异议</w:t>
      </w:r>
      <w:r>
        <w:rPr>
          <w:i w:val="0"/>
          <w:iCs w:val="0"/>
        </w:rPr>
        <w:tab/>
      </w:r>
      <w:r>
        <w:rPr>
          <w:i w:val="0"/>
          <w:iCs w:val="0"/>
        </w:rPr>
        <w:fldChar w:fldCharType="begin"/>
      </w:r>
      <w:r>
        <w:rPr>
          <w:i w:val="0"/>
          <w:iCs w:val="0"/>
        </w:rPr>
        <w:instrText xml:space="preserve"> PAGEREF _Toc21166 \h </w:instrText>
      </w:r>
      <w:r>
        <w:rPr>
          <w:i w:val="0"/>
          <w:iCs w:val="0"/>
        </w:rPr>
        <w:fldChar w:fldCharType="separate"/>
      </w:r>
      <w:r>
        <w:rPr>
          <w:i w:val="0"/>
          <w:iCs w:val="0"/>
        </w:rPr>
        <w:t>33</w:t>
      </w:r>
      <w:r>
        <w:rPr>
          <w:i w:val="0"/>
          <w:iCs w:val="0"/>
        </w:rPr>
        <w:fldChar w:fldCharType="end"/>
      </w:r>
      <w:r>
        <w:rPr>
          <w:i w:val="0"/>
          <w:iCs w:val="0"/>
        </w:rPr>
        <w:fldChar w:fldCharType="end"/>
      </w:r>
    </w:p>
    <w:p w14:paraId="21488DCD">
      <w:pPr>
        <w:pStyle w:val="15"/>
        <w:tabs>
          <w:tab w:val="right" w:leader="dot" w:pos="9469"/>
        </w:tabs>
        <w:rPr>
          <w:i w:val="0"/>
          <w:iCs w:val="0"/>
        </w:rPr>
      </w:pPr>
      <w:r>
        <w:fldChar w:fldCharType="begin"/>
      </w:r>
      <w:r>
        <w:instrText xml:space="preserve"> HYPERLINK \l "_Toc8937" </w:instrText>
      </w:r>
      <w:r>
        <w:fldChar w:fldCharType="separate"/>
      </w:r>
      <w:r>
        <w:rPr>
          <w:rFonts w:hint="eastAsia" w:ascii="宋体" w:hAnsi="宋体" w:cs="宋体"/>
          <w:i w:val="0"/>
          <w:iCs w:val="0"/>
          <w:szCs w:val="21"/>
        </w:rPr>
        <w:t>7.3 中标候选人履约能力审查</w:t>
      </w:r>
      <w:r>
        <w:rPr>
          <w:i w:val="0"/>
          <w:iCs w:val="0"/>
        </w:rPr>
        <w:tab/>
      </w:r>
      <w:r>
        <w:rPr>
          <w:i w:val="0"/>
          <w:iCs w:val="0"/>
        </w:rPr>
        <w:fldChar w:fldCharType="begin"/>
      </w:r>
      <w:r>
        <w:rPr>
          <w:i w:val="0"/>
          <w:iCs w:val="0"/>
        </w:rPr>
        <w:instrText xml:space="preserve"> PAGEREF _Toc8937 \h </w:instrText>
      </w:r>
      <w:r>
        <w:rPr>
          <w:i w:val="0"/>
          <w:iCs w:val="0"/>
        </w:rPr>
        <w:fldChar w:fldCharType="separate"/>
      </w:r>
      <w:r>
        <w:rPr>
          <w:i w:val="0"/>
          <w:iCs w:val="0"/>
        </w:rPr>
        <w:t>33</w:t>
      </w:r>
      <w:r>
        <w:rPr>
          <w:i w:val="0"/>
          <w:iCs w:val="0"/>
        </w:rPr>
        <w:fldChar w:fldCharType="end"/>
      </w:r>
      <w:r>
        <w:rPr>
          <w:i w:val="0"/>
          <w:iCs w:val="0"/>
        </w:rPr>
        <w:fldChar w:fldCharType="end"/>
      </w:r>
    </w:p>
    <w:p w14:paraId="2C65BCC3">
      <w:pPr>
        <w:pStyle w:val="15"/>
        <w:tabs>
          <w:tab w:val="right" w:leader="dot" w:pos="9469"/>
        </w:tabs>
        <w:rPr>
          <w:i w:val="0"/>
          <w:iCs w:val="0"/>
        </w:rPr>
      </w:pPr>
      <w:r>
        <w:fldChar w:fldCharType="begin"/>
      </w:r>
      <w:r>
        <w:instrText xml:space="preserve"> HYPERLINK \l "_Toc27604" </w:instrText>
      </w:r>
      <w:r>
        <w:fldChar w:fldCharType="separate"/>
      </w:r>
      <w:r>
        <w:rPr>
          <w:rFonts w:hint="eastAsia" w:ascii="宋体" w:hAnsi="宋体" w:cs="宋体"/>
          <w:i w:val="0"/>
          <w:iCs w:val="0"/>
          <w:szCs w:val="21"/>
        </w:rPr>
        <w:t>7.4 定标</w:t>
      </w:r>
      <w:r>
        <w:rPr>
          <w:i w:val="0"/>
          <w:iCs w:val="0"/>
        </w:rPr>
        <w:tab/>
      </w:r>
      <w:r>
        <w:rPr>
          <w:i w:val="0"/>
          <w:iCs w:val="0"/>
        </w:rPr>
        <w:fldChar w:fldCharType="begin"/>
      </w:r>
      <w:r>
        <w:rPr>
          <w:i w:val="0"/>
          <w:iCs w:val="0"/>
        </w:rPr>
        <w:instrText xml:space="preserve"> PAGEREF _Toc27604 \h </w:instrText>
      </w:r>
      <w:r>
        <w:rPr>
          <w:i w:val="0"/>
          <w:iCs w:val="0"/>
        </w:rPr>
        <w:fldChar w:fldCharType="separate"/>
      </w:r>
      <w:r>
        <w:rPr>
          <w:i w:val="0"/>
          <w:iCs w:val="0"/>
        </w:rPr>
        <w:t>33</w:t>
      </w:r>
      <w:r>
        <w:rPr>
          <w:i w:val="0"/>
          <w:iCs w:val="0"/>
        </w:rPr>
        <w:fldChar w:fldCharType="end"/>
      </w:r>
      <w:r>
        <w:rPr>
          <w:i w:val="0"/>
          <w:iCs w:val="0"/>
        </w:rPr>
        <w:fldChar w:fldCharType="end"/>
      </w:r>
    </w:p>
    <w:p w14:paraId="510C2354">
      <w:pPr>
        <w:pStyle w:val="15"/>
        <w:tabs>
          <w:tab w:val="right" w:leader="dot" w:pos="9469"/>
        </w:tabs>
        <w:rPr>
          <w:i w:val="0"/>
          <w:iCs w:val="0"/>
        </w:rPr>
      </w:pPr>
      <w:r>
        <w:fldChar w:fldCharType="begin"/>
      </w:r>
      <w:r>
        <w:instrText xml:space="preserve"> HYPERLINK \l "_Toc13549" </w:instrText>
      </w:r>
      <w:r>
        <w:fldChar w:fldCharType="separate"/>
      </w:r>
      <w:r>
        <w:rPr>
          <w:rFonts w:hint="eastAsia" w:ascii="宋体" w:hAnsi="宋体" w:cs="宋体"/>
          <w:i w:val="0"/>
          <w:iCs w:val="0"/>
          <w:szCs w:val="21"/>
        </w:rPr>
        <w:t>7.5 中标通知</w:t>
      </w:r>
      <w:r>
        <w:rPr>
          <w:i w:val="0"/>
          <w:iCs w:val="0"/>
        </w:rPr>
        <w:tab/>
      </w:r>
      <w:r>
        <w:rPr>
          <w:i w:val="0"/>
          <w:iCs w:val="0"/>
        </w:rPr>
        <w:fldChar w:fldCharType="begin"/>
      </w:r>
      <w:r>
        <w:rPr>
          <w:i w:val="0"/>
          <w:iCs w:val="0"/>
        </w:rPr>
        <w:instrText xml:space="preserve"> PAGEREF _Toc13549 \h </w:instrText>
      </w:r>
      <w:r>
        <w:rPr>
          <w:i w:val="0"/>
          <w:iCs w:val="0"/>
        </w:rPr>
        <w:fldChar w:fldCharType="separate"/>
      </w:r>
      <w:r>
        <w:rPr>
          <w:i w:val="0"/>
          <w:iCs w:val="0"/>
        </w:rPr>
        <w:t>34</w:t>
      </w:r>
      <w:r>
        <w:rPr>
          <w:i w:val="0"/>
          <w:iCs w:val="0"/>
        </w:rPr>
        <w:fldChar w:fldCharType="end"/>
      </w:r>
      <w:r>
        <w:rPr>
          <w:i w:val="0"/>
          <w:iCs w:val="0"/>
        </w:rPr>
        <w:fldChar w:fldCharType="end"/>
      </w:r>
    </w:p>
    <w:p w14:paraId="528B3C6E">
      <w:pPr>
        <w:pStyle w:val="15"/>
        <w:tabs>
          <w:tab w:val="right" w:leader="dot" w:pos="9469"/>
        </w:tabs>
        <w:rPr>
          <w:i w:val="0"/>
          <w:iCs w:val="0"/>
        </w:rPr>
      </w:pPr>
      <w:r>
        <w:fldChar w:fldCharType="begin"/>
      </w:r>
      <w:r>
        <w:instrText xml:space="preserve"> HYPERLINK \l "_Toc15363" </w:instrText>
      </w:r>
      <w:r>
        <w:fldChar w:fldCharType="separate"/>
      </w:r>
      <w:r>
        <w:rPr>
          <w:rFonts w:hint="eastAsia" w:ascii="宋体" w:hAnsi="宋体" w:cs="宋体"/>
          <w:i w:val="0"/>
          <w:iCs w:val="0"/>
          <w:szCs w:val="21"/>
        </w:rPr>
        <w:t>7.6 中标结果公告</w:t>
      </w:r>
      <w:r>
        <w:rPr>
          <w:i w:val="0"/>
          <w:iCs w:val="0"/>
        </w:rPr>
        <w:tab/>
      </w:r>
      <w:r>
        <w:rPr>
          <w:i w:val="0"/>
          <w:iCs w:val="0"/>
        </w:rPr>
        <w:fldChar w:fldCharType="begin"/>
      </w:r>
      <w:r>
        <w:rPr>
          <w:i w:val="0"/>
          <w:iCs w:val="0"/>
        </w:rPr>
        <w:instrText xml:space="preserve"> PAGEREF _Toc15363 \h </w:instrText>
      </w:r>
      <w:r>
        <w:rPr>
          <w:i w:val="0"/>
          <w:iCs w:val="0"/>
        </w:rPr>
        <w:fldChar w:fldCharType="separate"/>
      </w:r>
      <w:r>
        <w:rPr>
          <w:i w:val="0"/>
          <w:iCs w:val="0"/>
        </w:rPr>
        <w:t>34</w:t>
      </w:r>
      <w:r>
        <w:rPr>
          <w:i w:val="0"/>
          <w:iCs w:val="0"/>
        </w:rPr>
        <w:fldChar w:fldCharType="end"/>
      </w:r>
      <w:r>
        <w:rPr>
          <w:i w:val="0"/>
          <w:iCs w:val="0"/>
        </w:rPr>
        <w:fldChar w:fldCharType="end"/>
      </w:r>
    </w:p>
    <w:p w14:paraId="0F5FE2E6">
      <w:pPr>
        <w:pStyle w:val="15"/>
        <w:tabs>
          <w:tab w:val="right" w:leader="dot" w:pos="9469"/>
        </w:tabs>
        <w:rPr>
          <w:i w:val="0"/>
          <w:iCs w:val="0"/>
        </w:rPr>
      </w:pPr>
      <w:r>
        <w:fldChar w:fldCharType="begin"/>
      </w:r>
      <w:r>
        <w:instrText xml:space="preserve"> HYPERLINK \l "_Toc21970" </w:instrText>
      </w:r>
      <w:r>
        <w:fldChar w:fldCharType="separate"/>
      </w:r>
      <w:r>
        <w:rPr>
          <w:rFonts w:hint="eastAsia" w:ascii="宋体" w:hAnsi="宋体" w:cs="宋体"/>
          <w:i w:val="0"/>
          <w:iCs w:val="0"/>
          <w:szCs w:val="21"/>
        </w:rPr>
        <w:t>7.7 履约保证金</w:t>
      </w:r>
      <w:r>
        <w:rPr>
          <w:i w:val="0"/>
          <w:iCs w:val="0"/>
        </w:rPr>
        <w:tab/>
      </w:r>
      <w:r>
        <w:rPr>
          <w:i w:val="0"/>
          <w:iCs w:val="0"/>
        </w:rPr>
        <w:fldChar w:fldCharType="begin"/>
      </w:r>
      <w:r>
        <w:rPr>
          <w:i w:val="0"/>
          <w:iCs w:val="0"/>
        </w:rPr>
        <w:instrText xml:space="preserve"> PAGEREF _Toc21970 \h </w:instrText>
      </w:r>
      <w:r>
        <w:rPr>
          <w:i w:val="0"/>
          <w:iCs w:val="0"/>
        </w:rPr>
        <w:fldChar w:fldCharType="separate"/>
      </w:r>
      <w:r>
        <w:rPr>
          <w:i w:val="0"/>
          <w:iCs w:val="0"/>
        </w:rPr>
        <w:t>34</w:t>
      </w:r>
      <w:r>
        <w:rPr>
          <w:i w:val="0"/>
          <w:iCs w:val="0"/>
        </w:rPr>
        <w:fldChar w:fldCharType="end"/>
      </w:r>
      <w:r>
        <w:rPr>
          <w:i w:val="0"/>
          <w:iCs w:val="0"/>
        </w:rPr>
        <w:fldChar w:fldCharType="end"/>
      </w:r>
    </w:p>
    <w:p w14:paraId="14E6FB90">
      <w:pPr>
        <w:pStyle w:val="15"/>
        <w:tabs>
          <w:tab w:val="right" w:leader="dot" w:pos="9469"/>
        </w:tabs>
        <w:rPr>
          <w:i w:val="0"/>
          <w:iCs w:val="0"/>
        </w:rPr>
      </w:pPr>
      <w:r>
        <w:fldChar w:fldCharType="begin"/>
      </w:r>
      <w:r>
        <w:instrText xml:space="preserve"> HYPERLINK \l "_Toc14500" </w:instrText>
      </w:r>
      <w:r>
        <w:fldChar w:fldCharType="separate"/>
      </w:r>
      <w:r>
        <w:rPr>
          <w:rFonts w:hint="eastAsia" w:ascii="宋体" w:hAnsi="宋体" w:cs="宋体"/>
          <w:i w:val="0"/>
          <w:iCs w:val="0"/>
          <w:szCs w:val="21"/>
        </w:rPr>
        <w:t>7.8 签订合同</w:t>
      </w:r>
      <w:r>
        <w:rPr>
          <w:i w:val="0"/>
          <w:iCs w:val="0"/>
        </w:rPr>
        <w:tab/>
      </w:r>
      <w:r>
        <w:rPr>
          <w:i w:val="0"/>
          <w:iCs w:val="0"/>
        </w:rPr>
        <w:fldChar w:fldCharType="begin"/>
      </w:r>
      <w:r>
        <w:rPr>
          <w:i w:val="0"/>
          <w:iCs w:val="0"/>
        </w:rPr>
        <w:instrText xml:space="preserve"> PAGEREF _Toc14500 \h </w:instrText>
      </w:r>
      <w:r>
        <w:rPr>
          <w:i w:val="0"/>
          <w:iCs w:val="0"/>
        </w:rPr>
        <w:fldChar w:fldCharType="separate"/>
      </w:r>
      <w:r>
        <w:rPr>
          <w:i w:val="0"/>
          <w:iCs w:val="0"/>
        </w:rPr>
        <w:t>34</w:t>
      </w:r>
      <w:r>
        <w:rPr>
          <w:i w:val="0"/>
          <w:iCs w:val="0"/>
        </w:rPr>
        <w:fldChar w:fldCharType="end"/>
      </w:r>
      <w:r>
        <w:rPr>
          <w:i w:val="0"/>
          <w:iCs w:val="0"/>
        </w:rPr>
        <w:fldChar w:fldCharType="end"/>
      </w:r>
    </w:p>
    <w:p w14:paraId="58144120">
      <w:pPr>
        <w:pStyle w:val="26"/>
        <w:tabs>
          <w:tab w:val="right" w:leader="dot" w:pos="9469"/>
        </w:tabs>
      </w:pPr>
      <w:r>
        <w:fldChar w:fldCharType="begin"/>
      </w:r>
      <w:r>
        <w:instrText xml:space="preserve"> HYPERLINK \l "_Toc1827" </w:instrText>
      </w:r>
      <w:r>
        <w:fldChar w:fldCharType="separate"/>
      </w:r>
      <w:r>
        <w:rPr>
          <w:rFonts w:hint="eastAsia" w:ascii="宋体" w:hAnsi="宋体" w:cs="宋体"/>
          <w:szCs w:val="28"/>
        </w:rPr>
        <w:t>8. 纪律和监督</w:t>
      </w:r>
      <w:r>
        <w:tab/>
      </w:r>
      <w:r>
        <w:fldChar w:fldCharType="begin"/>
      </w:r>
      <w:r>
        <w:instrText xml:space="preserve"> PAGEREF _Toc1827 \h </w:instrText>
      </w:r>
      <w:r>
        <w:fldChar w:fldCharType="separate"/>
      </w:r>
      <w:r>
        <w:t>35</w:t>
      </w:r>
      <w:r>
        <w:fldChar w:fldCharType="end"/>
      </w:r>
      <w:r>
        <w:fldChar w:fldCharType="end"/>
      </w:r>
    </w:p>
    <w:p w14:paraId="09604C47">
      <w:pPr>
        <w:pStyle w:val="15"/>
        <w:tabs>
          <w:tab w:val="right" w:leader="dot" w:pos="9469"/>
        </w:tabs>
        <w:rPr>
          <w:i w:val="0"/>
          <w:iCs w:val="0"/>
        </w:rPr>
      </w:pPr>
      <w:r>
        <w:fldChar w:fldCharType="begin"/>
      </w:r>
      <w:r>
        <w:instrText xml:space="preserve"> HYPERLINK \l "_Toc24500" </w:instrText>
      </w:r>
      <w:r>
        <w:fldChar w:fldCharType="separate"/>
      </w:r>
      <w:r>
        <w:rPr>
          <w:rFonts w:hint="eastAsia" w:ascii="宋体" w:hAnsi="宋体" w:cs="宋体"/>
          <w:i w:val="0"/>
          <w:iCs w:val="0"/>
          <w:szCs w:val="21"/>
        </w:rPr>
        <w:t>8.1 对比选人的纪律要求</w:t>
      </w:r>
      <w:r>
        <w:rPr>
          <w:i w:val="0"/>
          <w:iCs w:val="0"/>
        </w:rPr>
        <w:tab/>
      </w:r>
      <w:r>
        <w:rPr>
          <w:i w:val="0"/>
          <w:iCs w:val="0"/>
        </w:rPr>
        <w:fldChar w:fldCharType="begin"/>
      </w:r>
      <w:r>
        <w:rPr>
          <w:i w:val="0"/>
          <w:iCs w:val="0"/>
        </w:rPr>
        <w:instrText xml:space="preserve"> PAGEREF _Toc24500 \h </w:instrText>
      </w:r>
      <w:r>
        <w:rPr>
          <w:i w:val="0"/>
          <w:iCs w:val="0"/>
        </w:rPr>
        <w:fldChar w:fldCharType="separate"/>
      </w:r>
      <w:r>
        <w:rPr>
          <w:i w:val="0"/>
          <w:iCs w:val="0"/>
        </w:rPr>
        <w:t>35</w:t>
      </w:r>
      <w:r>
        <w:rPr>
          <w:i w:val="0"/>
          <w:iCs w:val="0"/>
        </w:rPr>
        <w:fldChar w:fldCharType="end"/>
      </w:r>
      <w:r>
        <w:rPr>
          <w:i w:val="0"/>
          <w:iCs w:val="0"/>
        </w:rPr>
        <w:fldChar w:fldCharType="end"/>
      </w:r>
    </w:p>
    <w:p w14:paraId="5ADC836F">
      <w:pPr>
        <w:pStyle w:val="15"/>
        <w:tabs>
          <w:tab w:val="right" w:leader="dot" w:pos="9469"/>
        </w:tabs>
        <w:rPr>
          <w:i w:val="0"/>
          <w:iCs w:val="0"/>
        </w:rPr>
      </w:pPr>
      <w:r>
        <w:fldChar w:fldCharType="begin"/>
      </w:r>
      <w:r>
        <w:instrText xml:space="preserve"> HYPERLINK \l "_Toc20228" </w:instrText>
      </w:r>
      <w:r>
        <w:fldChar w:fldCharType="separate"/>
      </w:r>
      <w:r>
        <w:rPr>
          <w:rFonts w:hint="eastAsia" w:ascii="宋体" w:hAnsi="宋体" w:cs="宋体"/>
          <w:i w:val="0"/>
          <w:iCs w:val="0"/>
          <w:szCs w:val="21"/>
        </w:rPr>
        <w:t>8.2 对比选申请人的纪律要求</w:t>
      </w:r>
      <w:r>
        <w:rPr>
          <w:i w:val="0"/>
          <w:iCs w:val="0"/>
        </w:rPr>
        <w:tab/>
      </w:r>
      <w:r>
        <w:rPr>
          <w:i w:val="0"/>
          <w:iCs w:val="0"/>
        </w:rPr>
        <w:fldChar w:fldCharType="begin"/>
      </w:r>
      <w:r>
        <w:rPr>
          <w:i w:val="0"/>
          <w:iCs w:val="0"/>
        </w:rPr>
        <w:instrText xml:space="preserve"> PAGEREF _Toc20228 \h </w:instrText>
      </w:r>
      <w:r>
        <w:rPr>
          <w:i w:val="0"/>
          <w:iCs w:val="0"/>
        </w:rPr>
        <w:fldChar w:fldCharType="separate"/>
      </w:r>
      <w:r>
        <w:rPr>
          <w:i w:val="0"/>
          <w:iCs w:val="0"/>
        </w:rPr>
        <w:t>35</w:t>
      </w:r>
      <w:r>
        <w:rPr>
          <w:i w:val="0"/>
          <w:iCs w:val="0"/>
        </w:rPr>
        <w:fldChar w:fldCharType="end"/>
      </w:r>
      <w:r>
        <w:rPr>
          <w:i w:val="0"/>
          <w:iCs w:val="0"/>
        </w:rPr>
        <w:fldChar w:fldCharType="end"/>
      </w:r>
    </w:p>
    <w:p w14:paraId="60C07984">
      <w:pPr>
        <w:pStyle w:val="15"/>
        <w:tabs>
          <w:tab w:val="right" w:leader="dot" w:pos="9469"/>
        </w:tabs>
        <w:rPr>
          <w:i w:val="0"/>
          <w:iCs w:val="0"/>
        </w:rPr>
      </w:pPr>
      <w:r>
        <w:fldChar w:fldCharType="begin"/>
      </w:r>
      <w:r>
        <w:instrText xml:space="preserve"> HYPERLINK \l "_Toc1662" </w:instrText>
      </w:r>
      <w:r>
        <w:fldChar w:fldCharType="separate"/>
      </w:r>
      <w:r>
        <w:rPr>
          <w:rFonts w:hint="eastAsia" w:ascii="宋体" w:hAnsi="宋体" w:cs="宋体"/>
          <w:i w:val="0"/>
          <w:iCs w:val="0"/>
          <w:szCs w:val="21"/>
        </w:rPr>
        <w:t>8.3 对评标委员会成员的纪律要求</w:t>
      </w:r>
      <w:r>
        <w:rPr>
          <w:i w:val="0"/>
          <w:iCs w:val="0"/>
        </w:rPr>
        <w:tab/>
      </w:r>
      <w:r>
        <w:rPr>
          <w:i w:val="0"/>
          <w:iCs w:val="0"/>
        </w:rPr>
        <w:fldChar w:fldCharType="begin"/>
      </w:r>
      <w:r>
        <w:rPr>
          <w:i w:val="0"/>
          <w:iCs w:val="0"/>
        </w:rPr>
        <w:instrText xml:space="preserve"> PAGEREF _Toc1662 \h </w:instrText>
      </w:r>
      <w:r>
        <w:rPr>
          <w:i w:val="0"/>
          <w:iCs w:val="0"/>
        </w:rPr>
        <w:fldChar w:fldCharType="separate"/>
      </w:r>
      <w:r>
        <w:rPr>
          <w:i w:val="0"/>
          <w:iCs w:val="0"/>
        </w:rPr>
        <w:t>36</w:t>
      </w:r>
      <w:r>
        <w:rPr>
          <w:i w:val="0"/>
          <w:iCs w:val="0"/>
        </w:rPr>
        <w:fldChar w:fldCharType="end"/>
      </w:r>
      <w:r>
        <w:rPr>
          <w:i w:val="0"/>
          <w:iCs w:val="0"/>
        </w:rPr>
        <w:fldChar w:fldCharType="end"/>
      </w:r>
    </w:p>
    <w:p w14:paraId="2FBF9403">
      <w:pPr>
        <w:pStyle w:val="15"/>
        <w:tabs>
          <w:tab w:val="right" w:leader="dot" w:pos="9469"/>
        </w:tabs>
        <w:rPr>
          <w:i w:val="0"/>
          <w:iCs w:val="0"/>
        </w:rPr>
      </w:pPr>
      <w:r>
        <w:fldChar w:fldCharType="begin"/>
      </w:r>
      <w:r>
        <w:instrText xml:space="preserve"> HYPERLINK \l "_Toc15997" </w:instrText>
      </w:r>
      <w:r>
        <w:fldChar w:fldCharType="separate"/>
      </w:r>
      <w:r>
        <w:rPr>
          <w:rFonts w:hint="eastAsia" w:ascii="宋体" w:hAnsi="宋体" w:cs="宋体"/>
          <w:i w:val="0"/>
          <w:iCs w:val="0"/>
          <w:szCs w:val="21"/>
        </w:rPr>
        <w:t>8.4 对与评标活动有关的工作人员的纪律要求</w:t>
      </w:r>
      <w:r>
        <w:rPr>
          <w:i w:val="0"/>
          <w:iCs w:val="0"/>
        </w:rPr>
        <w:tab/>
      </w:r>
      <w:r>
        <w:rPr>
          <w:i w:val="0"/>
          <w:iCs w:val="0"/>
        </w:rPr>
        <w:fldChar w:fldCharType="begin"/>
      </w:r>
      <w:r>
        <w:rPr>
          <w:i w:val="0"/>
          <w:iCs w:val="0"/>
        </w:rPr>
        <w:instrText xml:space="preserve"> PAGEREF _Toc15997 \h </w:instrText>
      </w:r>
      <w:r>
        <w:rPr>
          <w:i w:val="0"/>
          <w:iCs w:val="0"/>
        </w:rPr>
        <w:fldChar w:fldCharType="separate"/>
      </w:r>
      <w:r>
        <w:rPr>
          <w:i w:val="0"/>
          <w:iCs w:val="0"/>
        </w:rPr>
        <w:t>36</w:t>
      </w:r>
      <w:r>
        <w:rPr>
          <w:i w:val="0"/>
          <w:iCs w:val="0"/>
        </w:rPr>
        <w:fldChar w:fldCharType="end"/>
      </w:r>
      <w:r>
        <w:rPr>
          <w:i w:val="0"/>
          <w:iCs w:val="0"/>
        </w:rPr>
        <w:fldChar w:fldCharType="end"/>
      </w:r>
    </w:p>
    <w:p w14:paraId="74315B39">
      <w:pPr>
        <w:pStyle w:val="15"/>
        <w:tabs>
          <w:tab w:val="right" w:leader="dot" w:pos="9469"/>
        </w:tabs>
        <w:rPr>
          <w:i w:val="0"/>
          <w:iCs w:val="0"/>
        </w:rPr>
      </w:pPr>
      <w:r>
        <w:fldChar w:fldCharType="begin"/>
      </w:r>
      <w:r>
        <w:instrText xml:space="preserve"> HYPERLINK \l "_Toc28460" </w:instrText>
      </w:r>
      <w:r>
        <w:fldChar w:fldCharType="separate"/>
      </w:r>
      <w:r>
        <w:rPr>
          <w:rFonts w:hint="eastAsia" w:ascii="宋体" w:hAnsi="宋体" w:cs="宋体"/>
          <w:i w:val="0"/>
          <w:iCs w:val="0"/>
          <w:szCs w:val="21"/>
        </w:rPr>
        <w:t>8.5 投诉</w:t>
      </w:r>
      <w:r>
        <w:rPr>
          <w:i w:val="0"/>
          <w:iCs w:val="0"/>
        </w:rPr>
        <w:tab/>
      </w:r>
      <w:r>
        <w:rPr>
          <w:i w:val="0"/>
          <w:iCs w:val="0"/>
        </w:rPr>
        <w:fldChar w:fldCharType="begin"/>
      </w:r>
      <w:r>
        <w:rPr>
          <w:i w:val="0"/>
          <w:iCs w:val="0"/>
        </w:rPr>
        <w:instrText xml:space="preserve"> PAGEREF _Toc28460 \h </w:instrText>
      </w:r>
      <w:r>
        <w:rPr>
          <w:i w:val="0"/>
          <w:iCs w:val="0"/>
        </w:rPr>
        <w:fldChar w:fldCharType="separate"/>
      </w:r>
      <w:r>
        <w:rPr>
          <w:i w:val="0"/>
          <w:iCs w:val="0"/>
        </w:rPr>
        <w:t>36</w:t>
      </w:r>
      <w:r>
        <w:rPr>
          <w:i w:val="0"/>
          <w:iCs w:val="0"/>
        </w:rPr>
        <w:fldChar w:fldCharType="end"/>
      </w:r>
      <w:r>
        <w:rPr>
          <w:i w:val="0"/>
          <w:iCs w:val="0"/>
        </w:rPr>
        <w:fldChar w:fldCharType="end"/>
      </w:r>
    </w:p>
    <w:p w14:paraId="22584C21">
      <w:pPr>
        <w:pStyle w:val="26"/>
        <w:tabs>
          <w:tab w:val="right" w:leader="dot" w:pos="9469"/>
        </w:tabs>
      </w:pPr>
      <w:r>
        <w:fldChar w:fldCharType="begin"/>
      </w:r>
      <w:r>
        <w:instrText xml:space="preserve"> HYPERLINK \l "_Toc14157" </w:instrText>
      </w:r>
      <w:r>
        <w:fldChar w:fldCharType="separate"/>
      </w:r>
      <w:r>
        <w:rPr>
          <w:rFonts w:hint="eastAsia" w:ascii="宋体" w:hAnsi="宋体" w:cs="宋体"/>
          <w:szCs w:val="28"/>
        </w:rPr>
        <w:t>9. 是否采用电子招标投标</w:t>
      </w:r>
      <w:r>
        <w:tab/>
      </w:r>
      <w:r>
        <w:fldChar w:fldCharType="begin"/>
      </w:r>
      <w:r>
        <w:instrText xml:space="preserve"> PAGEREF _Toc14157 \h </w:instrText>
      </w:r>
      <w:r>
        <w:fldChar w:fldCharType="separate"/>
      </w:r>
      <w:r>
        <w:t>36</w:t>
      </w:r>
      <w:r>
        <w:fldChar w:fldCharType="end"/>
      </w:r>
      <w:r>
        <w:fldChar w:fldCharType="end"/>
      </w:r>
    </w:p>
    <w:p w14:paraId="0E19E284">
      <w:pPr>
        <w:pStyle w:val="26"/>
        <w:tabs>
          <w:tab w:val="right" w:leader="dot" w:pos="9469"/>
        </w:tabs>
      </w:pPr>
      <w:r>
        <w:fldChar w:fldCharType="begin"/>
      </w:r>
      <w:r>
        <w:instrText xml:space="preserve"> HYPERLINK \l "_Toc25552" </w:instrText>
      </w:r>
      <w:r>
        <w:fldChar w:fldCharType="separate"/>
      </w:r>
      <w:r>
        <w:rPr>
          <w:rFonts w:hint="eastAsia" w:ascii="宋体" w:hAnsi="宋体" w:cs="宋体"/>
          <w:szCs w:val="28"/>
        </w:rPr>
        <w:t>10. 需要补充的其他内容</w:t>
      </w:r>
      <w:r>
        <w:tab/>
      </w:r>
      <w:r>
        <w:fldChar w:fldCharType="begin"/>
      </w:r>
      <w:r>
        <w:instrText xml:space="preserve"> PAGEREF _Toc25552 \h </w:instrText>
      </w:r>
      <w:r>
        <w:fldChar w:fldCharType="separate"/>
      </w:r>
      <w:r>
        <w:t>36</w:t>
      </w:r>
      <w:r>
        <w:fldChar w:fldCharType="end"/>
      </w:r>
      <w:r>
        <w:fldChar w:fldCharType="end"/>
      </w:r>
    </w:p>
    <w:p w14:paraId="444A533D">
      <w:pPr>
        <w:pStyle w:val="22"/>
        <w:tabs>
          <w:tab w:val="right" w:leader="dot" w:pos="9469"/>
        </w:tabs>
      </w:pPr>
      <w:r>
        <w:fldChar w:fldCharType="begin"/>
      </w:r>
      <w:r>
        <w:instrText xml:space="preserve"> HYPERLINK \l "_Toc21829" </w:instrText>
      </w:r>
      <w:r>
        <w:fldChar w:fldCharType="separate"/>
      </w:r>
      <w:r>
        <w:rPr>
          <w:rFonts w:hint="eastAsia" w:ascii="宋体" w:hAnsi="宋体" w:cs="宋体"/>
          <w:snapToGrid w:val="0"/>
          <w:kern w:val="0"/>
        </w:rPr>
        <w:t>第三章  评标办法（经评审的最低投标价法）</w:t>
      </w:r>
      <w:r>
        <w:tab/>
      </w:r>
      <w:r>
        <w:fldChar w:fldCharType="begin"/>
      </w:r>
      <w:r>
        <w:instrText xml:space="preserve"> PAGEREF _Toc21829 \h </w:instrText>
      </w:r>
      <w:r>
        <w:fldChar w:fldCharType="separate"/>
      </w:r>
      <w:r>
        <w:t>42</w:t>
      </w:r>
      <w:r>
        <w:fldChar w:fldCharType="end"/>
      </w:r>
      <w:r>
        <w:fldChar w:fldCharType="end"/>
      </w:r>
    </w:p>
    <w:p w14:paraId="11A89C91">
      <w:pPr>
        <w:pStyle w:val="26"/>
        <w:tabs>
          <w:tab w:val="right" w:leader="dot" w:pos="9469"/>
        </w:tabs>
      </w:pPr>
      <w:r>
        <w:fldChar w:fldCharType="begin"/>
      </w:r>
      <w:r>
        <w:instrText xml:space="preserve"> HYPERLINK \l "_Toc19161" </w:instrText>
      </w:r>
      <w:r>
        <w:fldChar w:fldCharType="separate"/>
      </w:r>
      <w:r>
        <w:rPr>
          <w:rFonts w:hint="eastAsia" w:ascii="宋体" w:hAnsi="宋体" w:cs="宋体"/>
          <w:szCs w:val="28"/>
        </w:rPr>
        <w:t>评标办法前附表</w:t>
      </w:r>
      <w:r>
        <w:tab/>
      </w:r>
      <w:r>
        <w:fldChar w:fldCharType="begin"/>
      </w:r>
      <w:r>
        <w:instrText xml:space="preserve"> PAGEREF _Toc19161 \h </w:instrText>
      </w:r>
      <w:r>
        <w:fldChar w:fldCharType="separate"/>
      </w:r>
      <w:r>
        <w:t>42</w:t>
      </w:r>
      <w:r>
        <w:fldChar w:fldCharType="end"/>
      </w:r>
      <w:r>
        <w:fldChar w:fldCharType="end"/>
      </w:r>
    </w:p>
    <w:p w14:paraId="0FA73C5B">
      <w:pPr>
        <w:pStyle w:val="26"/>
        <w:tabs>
          <w:tab w:val="right" w:leader="dot" w:pos="9469"/>
        </w:tabs>
      </w:pPr>
      <w:r>
        <w:fldChar w:fldCharType="begin"/>
      </w:r>
      <w:r>
        <w:instrText xml:space="preserve"> HYPERLINK \l "_Toc16243" </w:instrText>
      </w:r>
      <w:r>
        <w:fldChar w:fldCharType="separate"/>
      </w:r>
      <w:r>
        <w:rPr>
          <w:rFonts w:hint="eastAsia" w:ascii="宋体" w:hAnsi="宋体" w:cs="宋体"/>
          <w:szCs w:val="28"/>
        </w:rPr>
        <w:t>1. 评标方法</w:t>
      </w:r>
      <w:r>
        <w:tab/>
      </w:r>
      <w:r>
        <w:fldChar w:fldCharType="begin"/>
      </w:r>
      <w:r>
        <w:instrText xml:space="preserve"> PAGEREF _Toc16243 \h </w:instrText>
      </w:r>
      <w:r>
        <w:fldChar w:fldCharType="separate"/>
      </w:r>
      <w:r>
        <w:t>46</w:t>
      </w:r>
      <w:r>
        <w:fldChar w:fldCharType="end"/>
      </w:r>
      <w:r>
        <w:fldChar w:fldCharType="end"/>
      </w:r>
    </w:p>
    <w:p w14:paraId="42171DA4">
      <w:pPr>
        <w:pStyle w:val="26"/>
        <w:tabs>
          <w:tab w:val="right" w:leader="dot" w:pos="9469"/>
        </w:tabs>
      </w:pPr>
      <w:r>
        <w:fldChar w:fldCharType="begin"/>
      </w:r>
      <w:r>
        <w:instrText xml:space="preserve"> HYPERLINK \l "_Toc2065" </w:instrText>
      </w:r>
      <w:r>
        <w:fldChar w:fldCharType="separate"/>
      </w:r>
      <w:r>
        <w:rPr>
          <w:rFonts w:hint="eastAsia" w:ascii="宋体" w:hAnsi="宋体" w:cs="宋体"/>
          <w:szCs w:val="28"/>
        </w:rPr>
        <w:t>2. 评审标准</w:t>
      </w:r>
      <w:r>
        <w:tab/>
      </w:r>
      <w:r>
        <w:fldChar w:fldCharType="begin"/>
      </w:r>
      <w:r>
        <w:instrText xml:space="preserve"> PAGEREF _Toc2065 \h </w:instrText>
      </w:r>
      <w:r>
        <w:fldChar w:fldCharType="separate"/>
      </w:r>
      <w:r>
        <w:t>46</w:t>
      </w:r>
      <w:r>
        <w:fldChar w:fldCharType="end"/>
      </w:r>
      <w:r>
        <w:fldChar w:fldCharType="end"/>
      </w:r>
    </w:p>
    <w:p w14:paraId="21E72918">
      <w:pPr>
        <w:pStyle w:val="15"/>
        <w:tabs>
          <w:tab w:val="right" w:leader="dot" w:pos="9469"/>
        </w:tabs>
        <w:rPr>
          <w:i w:val="0"/>
          <w:iCs w:val="0"/>
        </w:rPr>
      </w:pPr>
      <w:r>
        <w:fldChar w:fldCharType="begin"/>
      </w:r>
      <w:r>
        <w:instrText xml:space="preserve"> HYPERLINK \l "_Toc1958" </w:instrText>
      </w:r>
      <w:r>
        <w:fldChar w:fldCharType="separate"/>
      </w:r>
      <w:r>
        <w:rPr>
          <w:rFonts w:hint="eastAsia" w:ascii="宋体" w:hAnsi="宋体" w:cs="宋体"/>
          <w:i w:val="0"/>
          <w:iCs w:val="0"/>
          <w:szCs w:val="21"/>
        </w:rPr>
        <w:t>2.1报价排序标准</w:t>
      </w:r>
      <w:r>
        <w:rPr>
          <w:i w:val="0"/>
          <w:iCs w:val="0"/>
        </w:rPr>
        <w:tab/>
      </w:r>
      <w:r>
        <w:rPr>
          <w:i w:val="0"/>
          <w:iCs w:val="0"/>
        </w:rPr>
        <w:fldChar w:fldCharType="begin"/>
      </w:r>
      <w:r>
        <w:rPr>
          <w:i w:val="0"/>
          <w:iCs w:val="0"/>
        </w:rPr>
        <w:instrText xml:space="preserve"> PAGEREF _Toc1958 \h </w:instrText>
      </w:r>
      <w:r>
        <w:rPr>
          <w:i w:val="0"/>
          <w:iCs w:val="0"/>
        </w:rPr>
        <w:fldChar w:fldCharType="separate"/>
      </w:r>
      <w:r>
        <w:rPr>
          <w:i w:val="0"/>
          <w:iCs w:val="0"/>
        </w:rPr>
        <w:t>46</w:t>
      </w:r>
      <w:r>
        <w:rPr>
          <w:i w:val="0"/>
          <w:iCs w:val="0"/>
        </w:rPr>
        <w:fldChar w:fldCharType="end"/>
      </w:r>
      <w:r>
        <w:rPr>
          <w:i w:val="0"/>
          <w:iCs w:val="0"/>
        </w:rPr>
        <w:fldChar w:fldCharType="end"/>
      </w:r>
    </w:p>
    <w:p w14:paraId="14AC0F5D">
      <w:pPr>
        <w:pStyle w:val="15"/>
        <w:tabs>
          <w:tab w:val="right" w:leader="dot" w:pos="9469"/>
        </w:tabs>
        <w:rPr>
          <w:i w:val="0"/>
          <w:iCs w:val="0"/>
        </w:rPr>
      </w:pPr>
      <w:r>
        <w:fldChar w:fldCharType="begin"/>
      </w:r>
      <w:r>
        <w:instrText xml:space="preserve"> HYPERLINK \l "_Toc22158" </w:instrText>
      </w:r>
      <w:r>
        <w:fldChar w:fldCharType="separate"/>
      </w:r>
      <w:r>
        <w:rPr>
          <w:rFonts w:ascii="宋体" w:hAnsi="宋体" w:cs="宋体"/>
          <w:i w:val="0"/>
          <w:iCs w:val="0"/>
          <w:szCs w:val="21"/>
        </w:rPr>
        <w:t>2.</w:t>
      </w:r>
      <w:r>
        <w:rPr>
          <w:rFonts w:hint="eastAsia" w:ascii="宋体" w:hAnsi="宋体" w:cs="宋体"/>
          <w:i w:val="0"/>
          <w:iCs w:val="0"/>
          <w:szCs w:val="21"/>
        </w:rPr>
        <w:t>2符合性审查标准</w:t>
      </w:r>
      <w:r>
        <w:rPr>
          <w:i w:val="0"/>
          <w:iCs w:val="0"/>
        </w:rPr>
        <w:tab/>
      </w:r>
      <w:r>
        <w:rPr>
          <w:i w:val="0"/>
          <w:iCs w:val="0"/>
        </w:rPr>
        <w:fldChar w:fldCharType="begin"/>
      </w:r>
      <w:r>
        <w:rPr>
          <w:i w:val="0"/>
          <w:iCs w:val="0"/>
        </w:rPr>
        <w:instrText xml:space="preserve"> PAGEREF _Toc22158 \h </w:instrText>
      </w:r>
      <w:r>
        <w:rPr>
          <w:i w:val="0"/>
          <w:iCs w:val="0"/>
        </w:rPr>
        <w:fldChar w:fldCharType="separate"/>
      </w:r>
      <w:r>
        <w:rPr>
          <w:i w:val="0"/>
          <w:iCs w:val="0"/>
        </w:rPr>
        <w:t>46</w:t>
      </w:r>
      <w:r>
        <w:rPr>
          <w:i w:val="0"/>
          <w:iCs w:val="0"/>
        </w:rPr>
        <w:fldChar w:fldCharType="end"/>
      </w:r>
      <w:r>
        <w:rPr>
          <w:i w:val="0"/>
          <w:iCs w:val="0"/>
        </w:rPr>
        <w:fldChar w:fldCharType="end"/>
      </w:r>
    </w:p>
    <w:p w14:paraId="66FFD01B">
      <w:pPr>
        <w:pStyle w:val="26"/>
        <w:tabs>
          <w:tab w:val="right" w:leader="dot" w:pos="9469"/>
        </w:tabs>
      </w:pPr>
      <w:r>
        <w:fldChar w:fldCharType="begin"/>
      </w:r>
      <w:r>
        <w:instrText xml:space="preserve"> HYPERLINK \l "_Toc13072" </w:instrText>
      </w:r>
      <w:r>
        <w:fldChar w:fldCharType="separate"/>
      </w:r>
      <w:r>
        <w:rPr>
          <w:rFonts w:hint="eastAsia" w:ascii="宋体" w:hAnsi="宋体" w:cs="宋体"/>
          <w:szCs w:val="28"/>
        </w:rPr>
        <w:t>3. 评标程序</w:t>
      </w:r>
      <w:r>
        <w:tab/>
      </w:r>
      <w:r>
        <w:fldChar w:fldCharType="begin"/>
      </w:r>
      <w:r>
        <w:instrText xml:space="preserve"> PAGEREF _Toc13072 \h </w:instrText>
      </w:r>
      <w:r>
        <w:fldChar w:fldCharType="separate"/>
      </w:r>
      <w:r>
        <w:t>46</w:t>
      </w:r>
      <w:r>
        <w:fldChar w:fldCharType="end"/>
      </w:r>
      <w:r>
        <w:fldChar w:fldCharType="end"/>
      </w:r>
    </w:p>
    <w:p w14:paraId="67E6D650">
      <w:pPr>
        <w:pStyle w:val="15"/>
        <w:tabs>
          <w:tab w:val="right" w:leader="dot" w:pos="9469"/>
        </w:tabs>
        <w:rPr>
          <w:i w:val="0"/>
          <w:iCs w:val="0"/>
        </w:rPr>
      </w:pPr>
      <w:r>
        <w:fldChar w:fldCharType="begin"/>
      </w:r>
      <w:r>
        <w:instrText xml:space="preserve"> HYPERLINK \l "_Toc27463" </w:instrText>
      </w:r>
      <w:r>
        <w:fldChar w:fldCharType="separate"/>
      </w:r>
      <w:r>
        <w:rPr>
          <w:rFonts w:hint="eastAsia" w:ascii="宋体" w:hAnsi="宋体" w:cs="宋体"/>
          <w:i w:val="0"/>
          <w:iCs w:val="0"/>
          <w:szCs w:val="21"/>
        </w:rPr>
        <w:t>3.1报价排序</w:t>
      </w:r>
      <w:r>
        <w:rPr>
          <w:i w:val="0"/>
          <w:iCs w:val="0"/>
        </w:rPr>
        <w:tab/>
      </w:r>
      <w:r>
        <w:rPr>
          <w:i w:val="0"/>
          <w:iCs w:val="0"/>
        </w:rPr>
        <w:fldChar w:fldCharType="begin"/>
      </w:r>
      <w:r>
        <w:rPr>
          <w:i w:val="0"/>
          <w:iCs w:val="0"/>
        </w:rPr>
        <w:instrText xml:space="preserve"> PAGEREF _Toc27463 \h </w:instrText>
      </w:r>
      <w:r>
        <w:rPr>
          <w:i w:val="0"/>
          <w:iCs w:val="0"/>
        </w:rPr>
        <w:fldChar w:fldCharType="separate"/>
      </w:r>
      <w:r>
        <w:rPr>
          <w:i w:val="0"/>
          <w:iCs w:val="0"/>
        </w:rPr>
        <w:t>46</w:t>
      </w:r>
      <w:r>
        <w:rPr>
          <w:i w:val="0"/>
          <w:iCs w:val="0"/>
        </w:rPr>
        <w:fldChar w:fldCharType="end"/>
      </w:r>
      <w:r>
        <w:rPr>
          <w:i w:val="0"/>
          <w:iCs w:val="0"/>
        </w:rPr>
        <w:fldChar w:fldCharType="end"/>
      </w:r>
    </w:p>
    <w:p w14:paraId="5401C711">
      <w:pPr>
        <w:pStyle w:val="15"/>
        <w:tabs>
          <w:tab w:val="right" w:leader="dot" w:pos="9469"/>
        </w:tabs>
        <w:rPr>
          <w:i w:val="0"/>
          <w:iCs w:val="0"/>
        </w:rPr>
      </w:pPr>
      <w:r>
        <w:fldChar w:fldCharType="begin"/>
      </w:r>
      <w:r>
        <w:instrText xml:space="preserve"> HYPERLINK \l "_Toc7451" </w:instrText>
      </w:r>
      <w:r>
        <w:fldChar w:fldCharType="separate"/>
      </w:r>
      <w:r>
        <w:rPr>
          <w:rFonts w:hint="eastAsia" w:ascii="宋体" w:hAnsi="宋体" w:cs="宋体"/>
          <w:i w:val="0"/>
          <w:iCs w:val="0"/>
          <w:szCs w:val="21"/>
        </w:rPr>
        <w:t>3.2符合性审查</w:t>
      </w:r>
      <w:r>
        <w:rPr>
          <w:i w:val="0"/>
          <w:iCs w:val="0"/>
        </w:rPr>
        <w:tab/>
      </w:r>
      <w:r>
        <w:rPr>
          <w:i w:val="0"/>
          <w:iCs w:val="0"/>
        </w:rPr>
        <w:fldChar w:fldCharType="begin"/>
      </w:r>
      <w:r>
        <w:rPr>
          <w:i w:val="0"/>
          <w:iCs w:val="0"/>
        </w:rPr>
        <w:instrText xml:space="preserve"> PAGEREF _Toc7451 \h </w:instrText>
      </w:r>
      <w:r>
        <w:rPr>
          <w:i w:val="0"/>
          <w:iCs w:val="0"/>
        </w:rPr>
        <w:fldChar w:fldCharType="separate"/>
      </w:r>
      <w:r>
        <w:rPr>
          <w:i w:val="0"/>
          <w:iCs w:val="0"/>
        </w:rPr>
        <w:t>46</w:t>
      </w:r>
      <w:r>
        <w:rPr>
          <w:i w:val="0"/>
          <w:iCs w:val="0"/>
        </w:rPr>
        <w:fldChar w:fldCharType="end"/>
      </w:r>
      <w:r>
        <w:rPr>
          <w:i w:val="0"/>
          <w:iCs w:val="0"/>
        </w:rPr>
        <w:fldChar w:fldCharType="end"/>
      </w:r>
    </w:p>
    <w:p w14:paraId="5F403CBA">
      <w:pPr>
        <w:pStyle w:val="15"/>
        <w:tabs>
          <w:tab w:val="right" w:leader="dot" w:pos="9469"/>
        </w:tabs>
        <w:rPr>
          <w:i w:val="0"/>
          <w:iCs w:val="0"/>
        </w:rPr>
      </w:pPr>
      <w:r>
        <w:fldChar w:fldCharType="begin"/>
      </w:r>
      <w:r>
        <w:instrText xml:space="preserve"> HYPERLINK \l "_Toc27942" </w:instrText>
      </w:r>
      <w:r>
        <w:fldChar w:fldCharType="separate"/>
      </w:r>
      <w:r>
        <w:rPr>
          <w:rFonts w:hint="eastAsia" w:ascii="宋体" w:hAnsi="宋体" w:cs="宋体"/>
          <w:i w:val="0"/>
          <w:iCs w:val="0"/>
          <w:szCs w:val="21"/>
        </w:rPr>
        <w:t>3.3 比选申请文件的澄清和补正</w:t>
      </w:r>
      <w:r>
        <w:rPr>
          <w:i w:val="0"/>
          <w:iCs w:val="0"/>
        </w:rPr>
        <w:tab/>
      </w:r>
      <w:r>
        <w:rPr>
          <w:i w:val="0"/>
          <w:iCs w:val="0"/>
        </w:rPr>
        <w:fldChar w:fldCharType="begin"/>
      </w:r>
      <w:r>
        <w:rPr>
          <w:i w:val="0"/>
          <w:iCs w:val="0"/>
        </w:rPr>
        <w:instrText xml:space="preserve"> PAGEREF _Toc27942 \h </w:instrText>
      </w:r>
      <w:r>
        <w:rPr>
          <w:i w:val="0"/>
          <w:iCs w:val="0"/>
        </w:rPr>
        <w:fldChar w:fldCharType="separate"/>
      </w:r>
      <w:r>
        <w:rPr>
          <w:i w:val="0"/>
          <w:iCs w:val="0"/>
        </w:rPr>
        <w:t>47</w:t>
      </w:r>
      <w:r>
        <w:rPr>
          <w:i w:val="0"/>
          <w:iCs w:val="0"/>
        </w:rPr>
        <w:fldChar w:fldCharType="end"/>
      </w:r>
      <w:r>
        <w:rPr>
          <w:i w:val="0"/>
          <w:iCs w:val="0"/>
        </w:rPr>
        <w:fldChar w:fldCharType="end"/>
      </w:r>
    </w:p>
    <w:p w14:paraId="0B52006E">
      <w:pPr>
        <w:pStyle w:val="15"/>
        <w:tabs>
          <w:tab w:val="right" w:leader="dot" w:pos="9469"/>
        </w:tabs>
        <w:rPr>
          <w:i w:val="0"/>
          <w:iCs w:val="0"/>
        </w:rPr>
      </w:pPr>
      <w:r>
        <w:fldChar w:fldCharType="begin"/>
      </w:r>
      <w:r>
        <w:instrText xml:space="preserve"> HYPERLINK \l "_Toc11680" </w:instrText>
      </w:r>
      <w:r>
        <w:fldChar w:fldCharType="separate"/>
      </w:r>
      <w:r>
        <w:rPr>
          <w:rFonts w:hint="eastAsia" w:ascii="宋体" w:hAnsi="宋体" w:cs="宋体"/>
          <w:i w:val="0"/>
          <w:iCs w:val="0"/>
          <w:szCs w:val="21"/>
        </w:rPr>
        <w:t>3.4 评标结果</w:t>
      </w:r>
      <w:r>
        <w:rPr>
          <w:i w:val="0"/>
          <w:iCs w:val="0"/>
        </w:rPr>
        <w:tab/>
      </w:r>
      <w:r>
        <w:rPr>
          <w:i w:val="0"/>
          <w:iCs w:val="0"/>
        </w:rPr>
        <w:fldChar w:fldCharType="begin"/>
      </w:r>
      <w:r>
        <w:rPr>
          <w:i w:val="0"/>
          <w:iCs w:val="0"/>
        </w:rPr>
        <w:instrText xml:space="preserve"> PAGEREF _Toc11680 \h </w:instrText>
      </w:r>
      <w:r>
        <w:rPr>
          <w:i w:val="0"/>
          <w:iCs w:val="0"/>
        </w:rPr>
        <w:fldChar w:fldCharType="separate"/>
      </w:r>
      <w:r>
        <w:rPr>
          <w:i w:val="0"/>
          <w:iCs w:val="0"/>
        </w:rPr>
        <w:t>47</w:t>
      </w:r>
      <w:r>
        <w:rPr>
          <w:i w:val="0"/>
          <w:iCs w:val="0"/>
        </w:rPr>
        <w:fldChar w:fldCharType="end"/>
      </w:r>
      <w:r>
        <w:rPr>
          <w:i w:val="0"/>
          <w:iCs w:val="0"/>
        </w:rPr>
        <w:fldChar w:fldCharType="end"/>
      </w:r>
    </w:p>
    <w:p w14:paraId="7FB7BB18">
      <w:pPr>
        <w:pStyle w:val="22"/>
        <w:tabs>
          <w:tab w:val="right" w:leader="dot" w:pos="9469"/>
        </w:tabs>
      </w:pPr>
      <w:r>
        <w:fldChar w:fldCharType="begin"/>
      </w:r>
      <w:r>
        <w:instrText xml:space="preserve"> HYPERLINK \l "_Toc30413" </w:instrText>
      </w:r>
      <w:r>
        <w:fldChar w:fldCharType="separate"/>
      </w:r>
      <w:r>
        <w:rPr>
          <w:rFonts w:hint="eastAsia" w:ascii="宋体" w:hAnsi="宋体"/>
          <w:kern w:val="0"/>
        </w:rPr>
        <w:t>第四章  合同条款及格式</w:t>
      </w:r>
      <w:r>
        <w:tab/>
      </w:r>
      <w:r>
        <w:fldChar w:fldCharType="begin"/>
      </w:r>
      <w:r>
        <w:instrText xml:space="preserve"> PAGEREF _Toc30413 \h </w:instrText>
      </w:r>
      <w:r>
        <w:fldChar w:fldCharType="separate"/>
      </w:r>
      <w:r>
        <w:t>51</w:t>
      </w:r>
      <w:r>
        <w:fldChar w:fldCharType="end"/>
      </w:r>
      <w:r>
        <w:fldChar w:fldCharType="end"/>
      </w:r>
    </w:p>
    <w:p w14:paraId="1F757111">
      <w:pPr>
        <w:pStyle w:val="22"/>
        <w:tabs>
          <w:tab w:val="right" w:leader="dot" w:pos="9469"/>
        </w:tabs>
      </w:pPr>
      <w:r>
        <w:fldChar w:fldCharType="begin"/>
      </w:r>
      <w:r>
        <w:instrText xml:space="preserve"> HYPERLINK \l "_Toc27190" </w:instrText>
      </w:r>
      <w:r>
        <w:fldChar w:fldCharType="separate"/>
      </w:r>
      <w:r>
        <w:rPr>
          <w:rFonts w:hint="eastAsia" w:ascii="宋体" w:hAnsi="宋体" w:cs="宋体"/>
        </w:rPr>
        <w:t>第五章  工程量清单</w:t>
      </w:r>
      <w:r>
        <w:tab/>
      </w:r>
      <w:r>
        <w:fldChar w:fldCharType="begin"/>
      </w:r>
      <w:r>
        <w:instrText xml:space="preserve"> PAGEREF _Toc27190 \h </w:instrText>
      </w:r>
      <w:r>
        <w:fldChar w:fldCharType="separate"/>
      </w:r>
      <w:r>
        <w:t>62</w:t>
      </w:r>
      <w:r>
        <w:fldChar w:fldCharType="end"/>
      </w:r>
      <w:r>
        <w:fldChar w:fldCharType="end"/>
      </w:r>
    </w:p>
    <w:p w14:paraId="2668A4EC">
      <w:pPr>
        <w:pStyle w:val="22"/>
        <w:tabs>
          <w:tab w:val="right" w:leader="dot" w:pos="9469"/>
        </w:tabs>
      </w:pPr>
      <w:r>
        <w:fldChar w:fldCharType="begin"/>
      </w:r>
      <w:r>
        <w:instrText xml:space="preserve"> HYPERLINK \l "_Toc17211" </w:instrText>
      </w:r>
      <w:r>
        <w:fldChar w:fldCharType="separate"/>
      </w:r>
      <w:r>
        <w:rPr>
          <w:rFonts w:hint="eastAsia" w:ascii="宋体" w:hAnsi="宋体"/>
          <w:szCs w:val="52"/>
        </w:rPr>
        <w:t>第 二 卷</w:t>
      </w:r>
      <w:r>
        <w:tab/>
      </w:r>
      <w:r>
        <w:fldChar w:fldCharType="begin"/>
      </w:r>
      <w:r>
        <w:instrText xml:space="preserve"> PAGEREF _Toc17211 \h </w:instrText>
      </w:r>
      <w:r>
        <w:fldChar w:fldCharType="separate"/>
      </w:r>
      <w:r>
        <w:t>63</w:t>
      </w:r>
      <w:r>
        <w:fldChar w:fldCharType="end"/>
      </w:r>
      <w:r>
        <w:fldChar w:fldCharType="end"/>
      </w:r>
    </w:p>
    <w:p w14:paraId="607953FD">
      <w:pPr>
        <w:pStyle w:val="22"/>
        <w:tabs>
          <w:tab w:val="right" w:leader="dot" w:pos="9469"/>
        </w:tabs>
      </w:pPr>
      <w:r>
        <w:fldChar w:fldCharType="begin"/>
      </w:r>
      <w:r>
        <w:instrText xml:space="preserve"> HYPERLINK \l "_Toc6182" </w:instrText>
      </w:r>
      <w:r>
        <w:fldChar w:fldCharType="separate"/>
      </w:r>
      <w:r>
        <w:rPr>
          <w:rFonts w:hint="eastAsia" w:ascii="宋体" w:hAnsi="宋体" w:cs="宋体"/>
        </w:rPr>
        <w:t>第六章  图纸</w:t>
      </w:r>
      <w:r>
        <w:tab/>
      </w:r>
      <w:r>
        <w:fldChar w:fldCharType="begin"/>
      </w:r>
      <w:r>
        <w:instrText xml:space="preserve"> PAGEREF _Toc6182 \h </w:instrText>
      </w:r>
      <w:r>
        <w:fldChar w:fldCharType="separate"/>
      </w:r>
      <w:r>
        <w:t>64</w:t>
      </w:r>
      <w:r>
        <w:fldChar w:fldCharType="end"/>
      </w:r>
      <w:r>
        <w:fldChar w:fldCharType="end"/>
      </w:r>
    </w:p>
    <w:p w14:paraId="7E79D474">
      <w:pPr>
        <w:pStyle w:val="22"/>
        <w:tabs>
          <w:tab w:val="right" w:leader="dot" w:pos="9469"/>
        </w:tabs>
      </w:pPr>
      <w:r>
        <w:fldChar w:fldCharType="begin"/>
      </w:r>
      <w:r>
        <w:instrText xml:space="preserve"> HYPERLINK \l "_Toc16933" </w:instrText>
      </w:r>
      <w:r>
        <w:fldChar w:fldCharType="separate"/>
      </w:r>
      <w:r>
        <w:rPr>
          <w:rFonts w:hint="eastAsia" w:ascii="宋体" w:hAnsi="宋体"/>
          <w:szCs w:val="52"/>
        </w:rPr>
        <w:t>第 三 卷</w:t>
      </w:r>
      <w:r>
        <w:tab/>
      </w:r>
      <w:r>
        <w:fldChar w:fldCharType="begin"/>
      </w:r>
      <w:r>
        <w:instrText xml:space="preserve"> PAGEREF _Toc16933 \h </w:instrText>
      </w:r>
      <w:r>
        <w:fldChar w:fldCharType="separate"/>
      </w:r>
      <w:r>
        <w:t>65</w:t>
      </w:r>
      <w:r>
        <w:fldChar w:fldCharType="end"/>
      </w:r>
      <w:r>
        <w:fldChar w:fldCharType="end"/>
      </w:r>
    </w:p>
    <w:p w14:paraId="4F1CF040">
      <w:pPr>
        <w:pStyle w:val="22"/>
        <w:tabs>
          <w:tab w:val="right" w:leader="dot" w:pos="9469"/>
        </w:tabs>
      </w:pPr>
      <w:r>
        <w:fldChar w:fldCharType="begin"/>
      </w:r>
      <w:r>
        <w:instrText xml:space="preserve"> HYPERLINK \l "_Toc12247" </w:instrText>
      </w:r>
      <w:r>
        <w:fldChar w:fldCharType="separate"/>
      </w:r>
      <w:r>
        <w:rPr>
          <w:rFonts w:hint="eastAsia" w:ascii="宋体" w:hAnsi="宋体" w:cs="宋体"/>
        </w:rPr>
        <w:t>第七章  技术标准和要求</w:t>
      </w:r>
      <w:r>
        <w:tab/>
      </w:r>
      <w:r>
        <w:fldChar w:fldCharType="begin"/>
      </w:r>
      <w:r>
        <w:instrText xml:space="preserve"> PAGEREF _Toc12247 \h </w:instrText>
      </w:r>
      <w:r>
        <w:fldChar w:fldCharType="separate"/>
      </w:r>
      <w:r>
        <w:t>66</w:t>
      </w:r>
      <w:r>
        <w:fldChar w:fldCharType="end"/>
      </w:r>
      <w:r>
        <w:fldChar w:fldCharType="end"/>
      </w:r>
    </w:p>
    <w:p w14:paraId="30FEED28">
      <w:pPr>
        <w:pStyle w:val="22"/>
        <w:tabs>
          <w:tab w:val="right" w:leader="dot" w:pos="9469"/>
        </w:tabs>
      </w:pPr>
      <w:r>
        <w:fldChar w:fldCharType="begin"/>
      </w:r>
      <w:r>
        <w:instrText xml:space="preserve"> HYPERLINK \l "_Toc12775" </w:instrText>
      </w:r>
      <w:r>
        <w:fldChar w:fldCharType="separate"/>
      </w:r>
      <w:r>
        <w:rPr>
          <w:rFonts w:hint="eastAsia" w:ascii="宋体" w:hAnsi="宋体" w:cs="宋体"/>
        </w:rPr>
        <w:t xml:space="preserve">第八章 </w:t>
      </w:r>
      <w:r>
        <w:rPr>
          <w:rFonts w:ascii="宋体" w:hAnsi="宋体" w:cs="宋体"/>
        </w:rPr>
        <w:t xml:space="preserve"> 工程量清单计量规则</w:t>
      </w:r>
      <w:r>
        <w:tab/>
      </w:r>
      <w:r>
        <w:fldChar w:fldCharType="begin"/>
      </w:r>
      <w:r>
        <w:instrText xml:space="preserve"> PAGEREF _Toc12775 \h </w:instrText>
      </w:r>
      <w:r>
        <w:fldChar w:fldCharType="separate"/>
      </w:r>
      <w:r>
        <w:t>67</w:t>
      </w:r>
      <w:r>
        <w:fldChar w:fldCharType="end"/>
      </w:r>
      <w:r>
        <w:fldChar w:fldCharType="end"/>
      </w:r>
    </w:p>
    <w:p w14:paraId="3445998D">
      <w:pPr>
        <w:pStyle w:val="22"/>
        <w:tabs>
          <w:tab w:val="right" w:leader="dot" w:pos="9469"/>
        </w:tabs>
      </w:pPr>
      <w:r>
        <w:fldChar w:fldCharType="begin"/>
      </w:r>
      <w:r>
        <w:instrText xml:space="preserve"> HYPERLINK \l "_Toc24498" </w:instrText>
      </w:r>
      <w:r>
        <w:fldChar w:fldCharType="separate"/>
      </w:r>
      <w:r>
        <w:rPr>
          <w:rFonts w:hint="eastAsia" w:ascii="宋体" w:hAnsi="宋体"/>
          <w:szCs w:val="52"/>
        </w:rPr>
        <w:t>第 四 卷</w:t>
      </w:r>
      <w:r>
        <w:tab/>
      </w:r>
      <w:r>
        <w:fldChar w:fldCharType="begin"/>
      </w:r>
      <w:r>
        <w:instrText xml:space="preserve"> PAGEREF _Toc24498 \h </w:instrText>
      </w:r>
      <w:r>
        <w:fldChar w:fldCharType="separate"/>
      </w:r>
      <w:r>
        <w:t>68</w:t>
      </w:r>
      <w:r>
        <w:fldChar w:fldCharType="end"/>
      </w:r>
      <w:r>
        <w:fldChar w:fldCharType="end"/>
      </w:r>
    </w:p>
    <w:p w14:paraId="7057D94E">
      <w:pPr>
        <w:pStyle w:val="22"/>
        <w:tabs>
          <w:tab w:val="right" w:leader="dot" w:pos="9469"/>
        </w:tabs>
      </w:pPr>
      <w:r>
        <w:fldChar w:fldCharType="begin"/>
      </w:r>
      <w:r>
        <w:instrText xml:space="preserve"> HYPERLINK \l "_Toc14862" </w:instrText>
      </w:r>
      <w:r>
        <w:fldChar w:fldCharType="separate"/>
      </w:r>
      <w:r>
        <w:rPr>
          <w:rFonts w:hint="eastAsia" w:ascii="宋体" w:hAnsi="宋体" w:cs="宋体"/>
        </w:rPr>
        <w:t>第九章  比选申请文件格式</w:t>
      </w:r>
      <w:r>
        <w:tab/>
      </w:r>
      <w:r>
        <w:fldChar w:fldCharType="begin"/>
      </w:r>
      <w:r>
        <w:instrText xml:space="preserve"> PAGEREF _Toc14862 \h </w:instrText>
      </w:r>
      <w:r>
        <w:fldChar w:fldCharType="separate"/>
      </w:r>
      <w:r>
        <w:t>69</w:t>
      </w:r>
      <w:r>
        <w:fldChar w:fldCharType="end"/>
      </w:r>
      <w:r>
        <w:fldChar w:fldCharType="end"/>
      </w:r>
    </w:p>
    <w:p w14:paraId="0BEF5D2F">
      <w:pPr>
        <w:pStyle w:val="22"/>
        <w:tabs>
          <w:tab w:val="right" w:leader="dot" w:pos="9469"/>
        </w:tabs>
      </w:pPr>
      <w:r>
        <w:fldChar w:fldCharType="begin"/>
      </w:r>
      <w:r>
        <w:instrText xml:space="preserve"> HYPERLINK \l "_Toc28475" </w:instrText>
      </w:r>
      <w:r>
        <w:fldChar w:fldCharType="separate"/>
      </w:r>
      <w:r>
        <w:rPr>
          <w:rFonts w:hint="eastAsia" w:ascii="宋体" w:hAnsi="宋体"/>
          <w:szCs w:val="44"/>
        </w:rPr>
        <w:t>一、投标函部分</w:t>
      </w:r>
      <w:r>
        <w:tab/>
      </w:r>
      <w:r>
        <w:fldChar w:fldCharType="begin"/>
      </w:r>
      <w:r>
        <w:instrText xml:space="preserve"> PAGEREF _Toc28475 \h </w:instrText>
      </w:r>
      <w:r>
        <w:fldChar w:fldCharType="separate"/>
      </w:r>
      <w:r>
        <w:t>71</w:t>
      </w:r>
      <w:r>
        <w:fldChar w:fldCharType="end"/>
      </w:r>
      <w:r>
        <w:fldChar w:fldCharType="end"/>
      </w:r>
    </w:p>
    <w:p w14:paraId="10A157D6">
      <w:pPr>
        <w:pStyle w:val="22"/>
        <w:tabs>
          <w:tab w:val="right" w:leader="dot" w:pos="9469"/>
        </w:tabs>
      </w:pPr>
      <w:r>
        <w:fldChar w:fldCharType="begin"/>
      </w:r>
      <w:r>
        <w:instrText xml:space="preserve"> HYPERLINK \l "_Toc7609" </w:instrText>
      </w:r>
      <w:r>
        <w:fldChar w:fldCharType="separate"/>
      </w:r>
      <w:r>
        <w:rPr>
          <w:rFonts w:hint="eastAsia" w:ascii="宋体" w:hAnsi="宋体"/>
          <w:szCs w:val="44"/>
        </w:rPr>
        <w:t>二、经济部分</w:t>
      </w:r>
      <w:r>
        <w:tab/>
      </w:r>
      <w:r>
        <w:fldChar w:fldCharType="begin"/>
      </w:r>
      <w:r>
        <w:instrText xml:space="preserve"> PAGEREF _Toc7609 \h </w:instrText>
      </w:r>
      <w:r>
        <w:fldChar w:fldCharType="separate"/>
      </w:r>
      <w:r>
        <w:t>79</w:t>
      </w:r>
      <w:r>
        <w:fldChar w:fldCharType="end"/>
      </w:r>
      <w:r>
        <w:fldChar w:fldCharType="end"/>
      </w:r>
    </w:p>
    <w:p w14:paraId="10DD04BA">
      <w:pPr>
        <w:pStyle w:val="22"/>
        <w:tabs>
          <w:tab w:val="right" w:leader="dot" w:pos="9469"/>
        </w:tabs>
      </w:pPr>
      <w:r>
        <w:fldChar w:fldCharType="begin"/>
      </w:r>
      <w:r>
        <w:instrText xml:space="preserve"> HYPERLINK \l "_Toc1509" </w:instrText>
      </w:r>
      <w:r>
        <w:fldChar w:fldCharType="separate"/>
      </w:r>
      <w:r>
        <w:rPr>
          <w:rFonts w:hint="eastAsia" w:ascii="宋体" w:hAnsi="宋体"/>
          <w:szCs w:val="44"/>
        </w:rPr>
        <w:t>三、资格审查资料</w:t>
      </w:r>
      <w:r>
        <w:tab/>
      </w:r>
      <w:r>
        <w:fldChar w:fldCharType="begin"/>
      </w:r>
      <w:r>
        <w:instrText xml:space="preserve"> PAGEREF _Toc1509 \h </w:instrText>
      </w:r>
      <w:r>
        <w:fldChar w:fldCharType="separate"/>
      </w:r>
      <w:r>
        <w:t>83</w:t>
      </w:r>
      <w:r>
        <w:fldChar w:fldCharType="end"/>
      </w:r>
      <w:r>
        <w:fldChar w:fldCharType="end"/>
      </w:r>
    </w:p>
    <w:p w14:paraId="69302A50">
      <w:pPr>
        <w:spacing w:line="400" w:lineRule="exact"/>
        <w:rPr>
          <w:rFonts w:ascii="宋体" w:hAnsi="宋体"/>
        </w:rPr>
        <w:sectPr>
          <w:footerReference r:id="rId5" w:type="default"/>
          <w:pgSz w:w="11907" w:h="16840"/>
          <w:pgMar w:top="1304" w:right="1134" w:bottom="1304" w:left="1304" w:header="851" w:footer="992" w:gutter="0"/>
          <w:pgNumType w:start="1"/>
          <w:cols w:space="720" w:num="1"/>
          <w:docGrid w:linePitch="312" w:charSpace="0"/>
        </w:sectPr>
      </w:pPr>
      <w:r>
        <w:rPr>
          <w:rFonts w:ascii="宋体" w:hAnsi="宋体"/>
          <w:bCs/>
          <w:szCs w:val="21"/>
          <w:lang w:val="zh-CN"/>
        </w:rPr>
        <w:fldChar w:fldCharType="end"/>
      </w:r>
    </w:p>
    <w:bookmarkEnd w:id="10"/>
    <w:p w14:paraId="4769C0A9">
      <w:pPr>
        <w:rPr>
          <w:rFonts w:ascii="宋体" w:hAnsi="宋体"/>
        </w:rPr>
      </w:pPr>
      <w:bookmarkStart w:id="11" w:name="_Toc509218690"/>
    </w:p>
    <w:p w14:paraId="1C6EBD0B">
      <w:pPr>
        <w:pStyle w:val="3"/>
        <w:spacing w:before="0" w:after="0" w:line="480" w:lineRule="auto"/>
        <w:jc w:val="center"/>
        <w:rPr>
          <w:rFonts w:ascii="宋体" w:hAnsi="宋体"/>
          <w:b w:val="0"/>
          <w:bCs w:val="0"/>
          <w:sz w:val="56"/>
          <w:szCs w:val="56"/>
        </w:rPr>
      </w:pPr>
      <w:bookmarkStart w:id="12" w:name="_Toc22634"/>
      <w:r>
        <w:rPr>
          <w:rFonts w:hint="eastAsia" w:ascii="宋体" w:hAnsi="宋体"/>
          <w:sz w:val="52"/>
          <w:szCs w:val="52"/>
        </w:rPr>
        <w:t>第 一 卷</w:t>
      </w:r>
      <w:bookmarkEnd w:id="11"/>
      <w:bookmarkEnd w:id="12"/>
    </w:p>
    <w:p w14:paraId="4ABF1E6E">
      <w:pPr>
        <w:pStyle w:val="3"/>
        <w:spacing w:line="360" w:lineRule="auto"/>
        <w:jc w:val="center"/>
        <w:rPr>
          <w:rFonts w:ascii="宋体" w:hAnsi="宋体"/>
          <w:b w:val="0"/>
          <w:bCs w:val="0"/>
          <w:snapToGrid w:val="0"/>
          <w:kern w:val="0"/>
        </w:rPr>
      </w:pPr>
      <w:bookmarkStart w:id="13" w:name="_Toc224103298"/>
      <w:bookmarkStart w:id="14" w:name="_Toc509218691"/>
      <w:bookmarkStart w:id="15" w:name="_Toc287620666"/>
      <w:bookmarkStart w:id="16" w:name="_Toc430530415"/>
      <w:bookmarkStart w:id="17" w:name="_Toc287607727"/>
      <w:bookmarkStart w:id="18" w:name="_Toc277082535"/>
      <w:r>
        <w:rPr>
          <w:rFonts w:ascii="宋体" w:hAnsi="宋体"/>
          <w:snapToGrid w:val="0"/>
          <w:kern w:val="0"/>
        </w:rPr>
        <w:br w:type="page"/>
      </w:r>
      <w:bookmarkStart w:id="19" w:name="_Toc18542"/>
      <w:r>
        <w:rPr>
          <w:rFonts w:ascii="宋体" w:hAnsi="宋体"/>
          <w:snapToGrid w:val="0"/>
          <w:kern w:val="0"/>
        </w:rPr>
        <w:t>第一章</w:t>
      </w:r>
      <w:r>
        <w:rPr>
          <w:rFonts w:hint="eastAsia" w:ascii="宋体" w:hAnsi="宋体"/>
          <w:snapToGrid w:val="0"/>
          <w:kern w:val="0"/>
        </w:rPr>
        <w:t xml:space="preserve">  竞争性比选</w:t>
      </w:r>
      <w:r>
        <w:rPr>
          <w:rFonts w:ascii="宋体" w:hAnsi="宋体"/>
          <w:snapToGrid w:val="0"/>
          <w:kern w:val="0"/>
        </w:rPr>
        <w:t>公告</w:t>
      </w:r>
      <w:bookmarkEnd w:id="13"/>
      <w:bookmarkEnd w:id="14"/>
      <w:bookmarkEnd w:id="15"/>
      <w:bookmarkEnd w:id="16"/>
      <w:bookmarkEnd w:id="17"/>
      <w:bookmarkEnd w:id="18"/>
      <w:bookmarkEnd w:id="19"/>
    </w:p>
    <w:p w14:paraId="4ECDAC26">
      <w:pPr>
        <w:autoSpaceDE w:val="0"/>
        <w:autoSpaceDN w:val="0"/>
        <w:adjustRightInd w:val="0"/>
        <w:snapToGrid w:val="0"/>
        <w:spacing w:line="360" w:lineRule="auto"/>
        <w:jc w:val="center"/>
        <w:rPr>
          <w:rFonts w:ascii="宋体" w:hAnsi="宋体"/>
          <w:snapToGrid w:val="0"/>
          <w:kern w:val="0"/>
          <w:sz w:val="10"/>
          <w:szCs w:val="10"/>
        </w:rPr>
      </w:pPr>
      <w:r>
        <w:rPr>
          <w:rFonts w:hint="eastAsia" w:ascii="宋体" w:hAnsi="宋体"/>
          <w:snapToGrid w:val="0"/>
          <w:kern w:val="0"/>
          <w:sz w:val="28"/>
          <w:szCs w:val="28"/>
          <w:u w:val="single"/>
          <w:lang w:eastAsia="zh-CN"/>
        </w:rPr>
        <w:t>垫江县高峰镇高峰社区、大井村公路扩宽工程</w:t>
      </w:r>
      <w:r>
        <w:rPr>
          <w:rFonts w:hint="eastAsia" w:ascii="宋体" w:hAnsi="宋体"/>
          <w:snapToGrid w:val="0"/>
          <w:w w:val="99"/>
          <w:kern w:val="0"/>
          <w:sz w:val="28"/>
          <w:szCs w:val="28"/>
        </w:rPr>
        <w:t>竞争性比选</w:t>
      </w:r>
      <w:r>
        <w:rPr>
          <w:rFonts w:ascii="宋体" w:hAnsi="宋体"/>
          <w:snapToGrid w:val="0"/>
          <w:w w:val="99"/>
          <w:kern w:val="0"/>
          <w:sz w:val="28"/>
          <w:szCs w:val="28"/>
        </w:rPr>
        <w:t>公告</w:t>
      </w:r>
    </w:p>
    <w:p w14:paraId="50B3CE07">
      <w:pPr>
        <w:pStyle w:val="4"/>
        <w:spacing w:before="0" w:after="0" w:line="360" w:lineRule="auto"/>
        <w:rPr>
          <w:rFonts w:ascii="宋体" w:hAnsi="宋体" w:cs="宋体"/>
          <w:bCs w:val="0"/>
          <w:snapToGrid w:val="0"/>
        </w:rPr>
      </w:pPr>
      <w:bookmarkStart w:id="20" w:name="_Toc287607728"/>
      <w:bookmarkStart w:id="21" w:name="_Toc200359427"/>
      <w:bookmarkStart w:id="22" w:name="_Toc224103299"/>
      <w:bookmarkStart w:id="23" w:name="_Toc509218692"/>
      <w:bookmarkStart w:id="24" w:name="_Toc200359238"/>
      <w:bookmarkStart w:id="25" w:name="_Toc430530416"/>
      <w:bookmarkStart w:id="26" w:name="_Toc287620667"/>
      <w:bookmarkStart w:id="27" w:name="_Toc277082536"/>
      <w:bookmarkStart w:id="28" w:name="_Toc6776"/>
      <w:r>
        <w:rPr>
          <w:rFonts w:hint="eastAsia" w:ascii="宋体" w:hAnsi="宋体" w:cs="宋体"/>
          <w:bCs w:val="0"/>
          <w:snapToGrid w:val="0"/>
        </w:rPr>
        <w:t>1. 比选条件</w:t>
      </w:r>
      <w:bookmarkEnd w:id="20"/>
      <w:bookmarkEnd w:id="21"/>
      <w:bookmarkEnd w:id="22"/>
      <w:bookmarkEnd w:id="23"/>
      <w:bookmarkEnd w:id="24"/>
      <w:bookmarkEnd w:id="25"/>
      <w:bookmarkEnd w:id="26"/>
      <w:bookmarkEnd w:id="27"/>
      <w:bookmarkEnd w:id="28"/>
    </w:p>
    <w:p w14:paraId="4E9535DB">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ascii="宋体" w:hAnsi="宋体"/>
          <w:snapToGrid w:val="0"/>
          <w:kern w:val="0"/>
          <w:szCs w:val="21"/>
        </w:rPr>
      </w:pPr>
      <w:bookmarkStart w:id="29" w:name="_Toc277082537"/>
      <w:bookmarkStart w:id="30" w:name="_Toc287607729"/>
      <w:bookmarkStart w:id="31" w:name="_Toc224103300"/>
      <w:bookmarkStart w:id="32" w:name="_Toc287620668"/>
      <w:bookmarkStart w:id="33" w:name="_Toc200359428"/>
      <w:bookmarkStart w:id="34" w:name="_Toc200359239"/>
      <w:bookmarkStart w:id="35" w:name="_Toc509218693"/>
      <w:bookmarkStart w:id="36" w:name="_Toc430530417"/>
      <w:r>
        <w:rPr>
          <w:rFonts w:hint="eastAsia" w:ascii="宋体" w:hAnsi="宋体"/>
          <w:snapToGrid w:val="0"/>
          <w:kern w:val="0"/>
          <w:position w:val="-2"/>
          <w:szCs w:val="21"/>
        </w:rPr>
        <w:t>本招标项目</w:t>
      </w:r>
      <w:r>
        <w:rPr>
          <w:rFonts w:hint="eastAsia" w:ascii="宋体" w:hAnsi="宋体"/>
          <w:snapToGrid w:val="0"/>
          <w:kern w:val="0"/>
          <w:position w:val="-2"/>
          <w:szCs w:val="21"/>
          <w:u w:val="single"/>
          <w:lang w:eastAsia="zh-CN"/>
        </w:rPr>
        <w:t>垫江县高峰镇高峰社区、大井村公路扩宽工程</w:t>
      </w:r>
      <w:r>
        <w:rPr>
          <w:rFonts w:hint="eastAsia" w:ascii="宋体" w:hAnsi="宋体"/>
          <w:snapToGrid w:val="0"/>
          <w:kern w:val="0"/>
          <w:position w:val="-2"/>
          <w:szCs w:val="21"/>
        </w:rPr>
        <w:t>已由</w:t>
      </w:r>
      <w:r>
        <w:rPr>
          <w:rFonts w:hint="eastAsia" w:ascii="宋体" w:hAnsi="宋体"/>
          <w:snapToGrid w:val="0"/>
          <w:kern w:val="0"/>
          <w:position w:val="-2"/>
          <w:szCs w:val="21"/>
          <w:u w:val="single"/>
        </w:rPr>
        <w:t>垫江县发展和改革委员会</w:t>
      </w:r>
      <w:r>
        <w:rPr>
          <w:rFonts w:hint="eastAsia" w:ascii="宋体" w:hAnsi="宋体"/>
          <w:snapToGrid w:val="0"/>
          <w:kern w:val="0"/>
          <w:position w:val="-2"/>
          <w:szCs w:val="21"/>
        </w:rPr>
        <w:t>以</w:t>
      </w:r>
      <w:r>
        <w:rPr>
          <w:rFonts w:hint="eastAsia" w:ascii="宋体" w:hAnsi="宋体"/>
          <w:snapToGrid w:val="0"/>
          <w:kern w:val="0"/>
          <w:position w:val="-2"/>
          <w:szCs w:val="21"/>
          <w:u w:val="single"/>
        </w:rPr>
        <w:t>垫江发改委发【202</w:t>
      </w:r>
      <w:r>
        <w:rPr>
          <w:rFonts w:hint="eastAsia" w:ascii="宋体" w:hAnsi="宋体"/>
          <w:snapToGrid w:val="0"/>
          <w:kern w:val="0"/>
          <w:position w:val="-2"/>
          <w:szCs w:val="21"/>
          <w:u w:val="single"/>
          <w:lang w:val="en-US" w:eastAsia="zh-CN"/>
        </w:rPr>
        <w:t>6</w:t>
      </w:r>
      <w:r>
        <w:rPr>
          <w:rFonts w:hint="eastAsia" w:ascii="宋体" w:hAnsi="宋体"/>
          <w:snapToGrid w:val="0"/>
          <w:kern w:val="0"/>
          <w:position w:val="-2"/>
          <w:szCs w:val="21"/>
          <w:u w:val="single"/>
        </w:rPr>
        <w:t>】</w:t>
      </w:r>
      <w:r>
        <w:rPr>
          <w:rFonts w:hint="eastAsia" w:ascii="宋体" w:hAnsi="宋体"/>
          <w:snapToGrid w:val="0"/>
          <w:kern w:val="0"/>
          <w:position w:val="-2"/>
          <w:szCs w:val="21"/>
          <w:u w:val="single"/>
          <w:lang w:val="en-US" w:eastAsia="zh-CN"/>
        </w:rPr>
        <w:t>100</w:t>
      </w:r>
      <w:r>
        <w:rPr>
          <w:rFonts w:hint="eastAsia" w:ascii="宋体" w:hAnsi="宋体"/>
          <w:snapToGrid w:val="0"/>
          <w:kern w:val="0"/>
          <w:position w:val="-2"/>
          <w:szCs w:val="21"/>
          <w:u w:val="single"/>
        </w:rPr>
        <w:t>号</w:t>
      </w:r>
      <w:r>
        <w:rPr>
          <w:rFonts w:hint="eastAsia" w:ascii="宋体" w:hAnsi="宋体"/>
          <w:snapToGrid w:val="0"/>
          <w:kern w:val="0"/>
          <w:position w:val="-2"/>
          <w:szCs w:val="21"/>
        </w:rPr>
        <w:t>批准建设，项目业主为</w:t>
      </w:r>
      <w:r>
        <w:rPr>
          <w:rFonts w:hint="eastAsia" w:ascii="宋体" w:hAnsi="宋体"/>
          <w:snapToGrid w:val="0"/>
          <w:kern w:val="0"/>
          <w:position w:val="-2"/>
          <w:szCs w:val="21"/>
          <w:u w:val="single"/>
        </w:rPr>
        <w:t>垫江县高峰镇大井村股份经济合作联合社</w:t>
      </w:r>
      <w:r>
        <w:rPr>
          <w:rFonts w:hint="eastAsia" w:ascii="宋体" w:hAnsi="宋体"/>
          <w:snapToGrid w:val="0"/>
          <w:kern w:val="0"/>
          <w:position w:val="-2"/>
          <w:szCs w:val="21"/>
        </w:rPr>
        <w:t>，建设资金来自</w:t>
      </w:r>
      <w:r>
        <w:rPr>
          <w:rFonts w:hint="eastAsia" w:ascii="宋体" w:hAnsi="宋体"/>
          <w:snapToGrid w:val="0"/>
          <w:kern w:val="0"/>
          <w:position w:val="-2"/>
          <w:szCs w:val="21"/>
          <w:u w:val="single"/>
        </w:rPr>
        <w:t>垫江县2026年农村综合改革转移支付财政奖补项目资金</w:t>
      </w:r>
      <w:r>
        <w:rPr>
          <w:rFonts w:hint="eastAsia" w:ascii="宋体" w:hAnsi="宋体"/>
          <w:snapToGrid w:val="0"/>
          <w:kern w:val="0"/>
          <w:position w:val="-2"/>
          <w:szCs w:val="21"/>
        </w:rPr>
        <w:t>，项目出资比例为</w:t>
      </w:r>
      <w:r>
        <w:rPr>
          <w:rFonts w:hint="eastAsia" w:ascii="宋体" w:hAnsi="宋体"/>
          <w:snapToGrid w:val="0"/>
          <w:kern w:val="0"/>
          <w:position w:val="-2"/>
          <w:szCs w:val="21"/>
          <w:u w:val="single"/>
        </w:rPr>
        <w:t xml:space="preserve"> 100%，</w:t>
      </w:r>
      <w:r>
        <w:rPr>
          <w:rFonts w:hint="eastAsia" w:ascii="宋体" w:hAnsi="宋体"/>
          <w:snapToGrid w:val="0"/>
          <w:kern w:val="0"/>
          <w:position w:val="-2"/>
          <w:szCs w:val="21"/>
        </w:rPr>
        <w:t>比选人为</w:t>
      </w:r>
      <w:r>
        <w:rPr>
          <w:rFonts w:hint="eastAsia" w:ascii="宋体" w:hAnsi="宋体"/>
          <w:snapToGrid w:val="0"/>
          <w:kern w:val="0"/>
          <w:position w:val="-2"/>
          <w:szCs w:val="21"/>
          <w:u w:val="single"/>
        </w:rPr>
        <w:t>垫江县高峰镇人民政府</w:t>
      </w:r>
      <w:r>
        <w:rPr>
          <w:rFonts w:hint="eastAsia" w:ascii="宋体" w:hAnsi="宋体"/>
          <w:snapToGrid w:val="0"/>
          <w:kern w:val="0"/>
          <w:position w:val="-2"/>
          <w:szCs w:val="21"/>
        </w:rPr>
        <w:t>。项目已具备招标条件，现对该项目的</w:t>
      </w:r>
      <w:r>
        <w:rPr>
          <w:rFonts w:hint="eastAsia" w:ascii="宋体" w:hAnsi="宋体"/>
          <w:snapToGrid w:val="0"/>
          <w:kern w:val="0"/>
          <w:position w:val="-2"/>
          <w:szCs w:val="21"/>
          <w:u w:val="single"/>
        </w:rPr>
        <w:t>施工</w:t>
      </w:r>
      <w:r>
        <w:rPr>
          <w:rFonts w:hint="eastAsia" w:ascii="宋体" w:hAnsi="宋体"/>
          <w:snapToGrid w:val="0"/>
          <w:kern w:val="0"/>
          <w:position w:val="-2"/>
          <w:szCs w:val="21"/>
        </w:rPr>
        <w:t>进行公开比选</w:t>
      </w:r>
      <w:r>
        <w:rPr>
          <w:rFonts w:ascii="宋体" w:hAnsi="宋体"/>
          <w:snapToGrid w:val="0"/>
          <w:kern w:val="0"/>
          <w:position w:val="-2"/>
          <w:szCs w:val="21"/>
        </w:rPr>
        <w:t>。</w:t>
      </w:r>
    </w:p>
    <w:p w14:paraId="7AA8703B">
      <w:pPr>
        <w:pStyle w:val="4"/>
        <w:spacing w:before="0" w:after="0" w:line="360" w:lineRule="auto"/>
        <w:rPr>
          <w:rFonts w:ascii="宋体" w:hAnsi="宋体" w:cs="宋体"/>
          <w:bCs w:val="0"/>
          <w:snapToGrid w:val="0"/>
        </w:rPr>
      </w:pPr>
      <w:bookmarkStart w:id="37" w:name="_Toc327"/>
      <w:r>
        <w:rPr>
          <w:rFonts w:hint="eastAsia" w:ascii="宋体" w:hAnsi="宋体" w:cs="宋体"/>
          <w:bCs w:val="0"/>
          <w:snapToGrid w:val="0"/>
        </w:rPr>
        <w:t>2. 项目概况与招标范围</w:t>
      </w:r>
      <w:bookmarkEnd w:id="29"/>
      <w:bookmarkEnd w:id="30"/>
      <w:bookmarkEnd w:id="31"/>
      <w:bookmarkEnd w:id="32"/>
      <w:bookmarkEnd w:id="33"/>
      <w:bookmarkEnd w:id="34"/>
      <w:bookmarkEnd w:id="35"/>
      <w:bookmarkEnd w:id="36"/>
      <w:bookmarkEnd w:id="37"/>
      <w:bookmarkStart w:id="38" w:name="_Toc430530418"/>
      <w:bookmarkStart w:id="39" w:name="_Toc277082538"/>
      <w:bookmarkStart w:id="40" w:name="_Toc224103301"/>
      <w:bookmarkStart w:id="41" w:name="_Toc200359429"/>
      <w:bookmarkStart w:id="42" w:name="_Toc287620669"/>
      <w:bookmarkStart w:id="43" w:name="_Toc287607730"/>
      <w:bookmarkStart w:id="44" w:name="_Toc509218694"/>
      <w:bookmarkStart w:id="45" w:name="_Toc200359240"/>
    </w:p>
    <w:p w14:paraId="40E7288D">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.1</w:t>
      </w:r>
      <w:r>
        <w:rPr>
          <w:rFonts w:hint="eastAsia" w:ascii="宋体" w:hAnsi="宋体" w:cs="宋体"/>
          <w:snapToGrid w:val="0"/>
          <w:kern w:val="0"/>
          <w:szCs w:val="21"/>
        </w:rPr>
        <w:t xml:space="preserve"> </w:t>
      </w:r>
      <w:r>
        <w:rPr>
          <w:rFonts w:ascii="宋体" w:hAnsi="宋体" w:cs="宋体"/>
          <w:snapToGrid w:val="0"/>
          <w:kern w:val="0"/>
          <w:szCs w:val="21"/>
        </w:rPr>
        <w:t>建设地点：</w:t>
      </w:r>
      <w:r>
        <w:rPr>
          <w:rFonts w:hint="eastAsia" w:ascii="宋体" w:hAnsi="宋体" w:cs="宋体"/>
          <w:snapToGrid w:val="0"/>
          <w:kern w:val="0"/>
          <w:szCs w:val="21"/>
          <w:u w:val="single"/>
        </w:rPr>
        <w:t>垫江县高峰镇高峰社区、大井村</w:t>
      </w:r>
      <w:r>
        <w:rPr>
          <w:rFonts w:hint="eastAsia" w:ascii="宋体" w:hAnsi="宋体" w:cs="宋体"/>
          <w:snapToGrid w:val="0"/>
          <w:kern w:val="0"/>
          <w:szCs w:val="21"/>
        </w:rPr>
        <w:t>。</w:t>
      </w:r>
    </w:p>
    <w:p w14:paraId="03D78886">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.2</w:t>
      </w:r>
      <w:r>
        <w:rPr>
          <w:rFonts w:hint="eastAsia" w:ascii="宋体" w:hAnsi="宋体" w:cs="宋体"/>
          <w:snapToGrid w:val="0"/>
          <w:kern w:val="0"/>
          <w:szCs w:val="21"/>
        </w:rPr>
        <w:t xml:space="preserve"> 项目概况与</w:t>
      </w:r>
      <w:r>
        <w:rPr>
          <w:rFonts w:ascii="宋体" w:hAnsi="宋体" w:cs="宋体"/>
          <w:snapToGrid w:val="0"/>
          <w:kern w:val="0"/>
          <w:szCs w:val="21"/>
        </w:rPr>
        <w:t>建设规模：</w:t>
      </w:r>
      <w:r>
        <w:rPr>
          <w:rFonts w:hint="eastAsia" w:ascii="宋体" w:hAnsi="宋体" w:cs="宋体"/>
          <w:snapToGrid w:val="0"/>
          <w:kern w:val="0"/>
          <w:szCs w:val="21"/>
          <w:u w:val="single"/>
        </w:rPr>
        <w:t>全长0.899km</w:t>
      </w:r>
      <w:r>
        <w:rPr>
          <w:rFonts w:hint="eastAsia" w:ascii="宋体" w:hAnsi="宋体" w:cs="宋体"/>
          <w:snapToGrid w:val="0"/>
          <w:kern w:val="0"/>
          <w:szCs w:val="21"/>
          <w:u w:val="single"/>
          <w:lang w:eastAsia="zh-CN"/>
        </w:rPr>
        <w:t>（</w:t>
      </w:r>
      <w:r>
        <w:rPr>
          <w:rFonts w:hint="eastAsia" w:ascii="宋体" w:hAnsi="宋体" w:cs="宋体"/>
          <w:snapToGrid w:val="0"/>
          <w:kern w:val="0"/>
          <w:szCs w:val="21"/>
          <w:u w:val="single"/>
          <w:lang w:val="en-US" w:eastAsia="zh-CN"/>
        </w:rPr>
        <w:t>含箱涵一座</w:t>
      </w:r>
      <w:r>
        <w:rPr>
          <w:rFonts w:hint="eastAsia" w:ascii="宋体" w:hAnsi="宋体" w:cs="宋体"/>
          <w:snapToGrid w:val="0"/>
          <w:kern w:val="0"/>
          <w:szCs w:val="21"/>
          <w:u w:val="single"/>
          <w:lang w:eastAsia="zh-CN"/>
        </w:rPr>
        <w:t>）</w:t>
      </w:r>
      <w:r>
        <w:rPr>
          <w:rFonts w:hint="eastAsia" w:ascii="宋体" w:hAnsi="宋体" w:cs="宋体"/>
          <w:snapToGrid w:val="0"/>
          <w:kern w:val="0"/>
          <w:szCs w:val="21"/>
          <w:u w:val="single"/>
        </w:rPr>
        <w:t>，路基扩宽至6.5米宽，行车道扩宽至6米。</w:t>
      </w:r>
    </w:p>
    <w:p w14:paraId="486D2C5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☑本次招标项目工程总投资额：</w:t>
      </w:r>
      <w:r>
        <w:rPr>
          <w:rFonts w:hint="eastAsia" w:ascii="宋体" w:hAnsi="宋体"/>
          <w:snapToGrid w:val="0"/>
          <w:kern w:val="0"/>
          <w:szCs w:val="21"/>
          <w:u w:val="single"/>
          <w:lang w:val="en-US" w:eastAsia="zh-CN"/>
        </w:rPr>
        <w:t>950000.00</w:t>
      </w:r>
      <w:r>
        <w:rPr>
          <w:rFonts w:hint="eastAsia" w:ascii="宋体" w:hAnsi="宋体"/>
          <w:snapToGrid w:val="0"/>
          <w:kern w:val="0"/>
          <w:szCs w:val="21"/>
          <w:u w:val="single"/>
        </w:rPr>
        <w:t>元</w:t>
      </w:r>
    </w:p>
    <w:p w14:paraId="028D393B">
      <w:pPr>
        <w:tabs>
          <w:tab w:val="left" w:pos="3840"/>
          <w:tab w:val="left" w:pos="5300"/>
        </w:tabs>
        <w:autoSpaceDE w:val="0"/>
        <w:autoSpaceDN w:val="0"/>
        <w:adjustRightInd w:val="0"/>
        <w:snapToGrid w:val="0"/>
        <w:spacing w:line="460" w:lineRule="exact"/>
        <w:ind w:firstLine="840" w:firstLineChars="400"/>
        <w:jc w:val="left"/>
        <w:rPr>
          <w:rFonts w:ascii="宋体" w:hAnsi="宋体" w:cs="宋体"/>
          <w:snapToGrid w:val="0"/>
          <w:kern w:val="0"/>
          <w:szCs w:val="21"/>
        </w:rPr>
      </w:pPr>
      <w:r>
        <w:rPr>
          <w:rFonts w:hint="eastAsia" w:ascii="宋体" w:hAnsi="宋体"/>
          <w:snapToGrid w:val="0"/>
          <w:kern w:val="0"/>
          <w:szCs w:val="21"/>
        </w:rPr>
        <w:t>☑本次招标项目合同估算金额：</w:t>
      </w:r>
      <w:r>
        <w:rPr>
          <w:rFonts w:hint="eastAsia" w:ascii="宋体" w:hAnsi="宋体"/>
          <w:snapToGrid w:val="0"/>
          <w:kern w:val="0"/>
          <w:szCs w:val="21"/>
          <w:u w:val="single"/>
          <w:lang w:val="en-US" w:eastAsia="zh-CN"/>
        </w:rPr>
        <w:t>607341.00</w:t>
      </w:r>
      <w:r>
        <w:rPr>
          <w:rFonts w:hint="eastAsia" w:ascii="宋体" w:hAnsi="宋体"/>
          <w:snapToGrid w:val="0"/>
          <w:kern w:val="0"/>
          <w:szCs w:val="21"/>
          <w:u w:val="single"/>
        </w:rPr>
        <w:t xml:space="preserve">元 </w:t>
      </w:r>
    </w:p>
    <w:p w14:paraId="210575D9">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w:t>
      </w:r>
      <w:r>
        <w:rPr>
          <w:rFonts w:hint="eastAsia" w:ascii="宋体" w:hAnsi="宋体" w:cs="宋体"/>
          <w:snapToGrid w:val="0"/>
          <w:kern w:val="0"/>
          <w:szCs w:val="21"/>
        </w:rPr>
        <w:t>4 比选</w:t>
      </w:r>
      <w:r>
        <w:rPr>
          <w:rFonts w:ascii="宋体" w:hAnsi="宋体" w:cs="宋体"/>
          <w:snapToGrid w:val="0"/>
          <w:kern w:val="0"/>
          <w:szCs w:val="21"/>
        </w:rPr>
        <w:t>范围：</w:t>
      </w:r>
      <w:r>
        <w:rPr>
          <w:rFonts w:hint="eastAsia" w:ascii="宋体" w:hAnsi="宋体" w:cs="宋体"/>
          <w:snapToGrid w:val="0"/>
          <w:kern w:val="0"/>
          <w:szCs w:val="21"/>
        </w:rPr>
        <w:t>比选人提供的图纸、图说、竞争性比选文件（含答疑、补遗）等所有内容，具体以比选人发出的工程量清单为准。</w:t>
      </w:r>
    </w:p>
    <w:p w14:paraId="0ACA8D3D">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w:t>
      </w:r>
      <w:r>
        <w:rPr>
          <w:rFonts w:hint="eastAsia" w:ascii="宋体" w:hAnsi="宋体" w:cs="宋体"/>
          <w:snapToGrid w:val="0"/>
          <w:kern w:val="0"/>
          <w:szCs w:val="21"/>
        </w:rPr>
        <w:t xml:space="preserve">5 </w:t>
      </w:r>
      <w:r>
        <w:rPr>
          <w:rFonts w:ascii="宋体" w:hAnsi="宋体" w:cs="宋体"/>
          <w:snapToGrid w:val="0"/>
          <w:kern w:val="0"/>
          <w:szCs w:val="21"/>
        </w:rPr>
        <w:t>工期要求：</w:t>
      </w:r>
      <w:r>
        <w:rPr>
          <w:rFonts w:hint="eastAsia" w:ascii="宋体" w:hAnsi="宋体" w:cs="宋体"/>
          <w:snapToGrid w:val="0"/>
          <w:kern w:val="0"/>
          <w:szCs w:val="21"/>
          <w:u w:val="single"/>
          <w:lang w:val="en-US" w:eastAsia="zh-CN"/>
        </w:rPr>
        <w:t>80</w:t>
      </w:r>
      <w:r>
        <w:rPr>
          <w:rFonts w:hint="eastAsia" w:ascii="宋体" w:hAnsi="宋体" w:cs="宋体"/>
          <w:snapToGrid w:val="0"/>
          <w:kern w:val="0"/>
          <w:szCs w:val="21"/>
          <w:u w:val="single"/>
        </w:rPr>
        <w:t>日历天</w:t>
      </w:r>
    </w:p>
    <w:p w14:paraId="7E10E69D">
      <w:pPr>
        <w:spacing w:line="360" w:lineRule="auto"/>
        <w:ind w:firstLine="840" w:firstLineChars="400"/>
        <w:rPr>
          <w:rFonts w:ascii="宋体" w:hAnsi="宋体" w:cs="宋体"/>
          <w:snapToGrid w:val="0"/>
          <w:kern w:val="0"/>
          <w:szCs w:val="21"/>
          <w:u w:val="single"/>
        </w:rPr>
      </w:pPr>
      <w:r>
        <w:rPr>
          <w:rFonts w:hint="eastAsia" w:ascii="宋体" w:hAnsi="宋体" w:cs="宋体"/>
          <w:snapToGrid w:val="0"/>
          <w:kern w:val="0"/>
          <w:szCs w:val="21"/>
        </w:rPr>
        <w:t>缺陷责任期要求：</w:t>
      </w:r>
      <w:r>
        <w:rPr>
          <w:rFonts w:hint="eastAsia" w:ascii="宋体" w:hAnsi="宋体" w:cs="宋体"/>
          <w:snapToGrid w:val="0"/>
          <w:kern w:val="0"/>
          <w:szCs w:val="21"/>
          <w:u w:val="single"/>
        </w:rPr>
        <w:t xml:space="preserve"> 24个月</w:t>
      </w:r>
    </w:p>
    <w:p w14:paraId="55A256AF">
      <w:pPr>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2.6 标段划分：</w:t>
      </w:r>
      <w:bookmarkStart w:id="46" w:name="2.6_其他：_________________________________"/>
      <w:bookmarkEnd w:id="46"/>
      <w:r>
        <w:rPr>
          <w:rFonts w:hint="eastAsia" w:ascii="宋体" w:hAnsi="宋体" w:cs="宋体"/>
          <w:snapToGrid w:val="0"/>
          <w:kern w:val="0"/>
          <w:szCs w:val="21"/>
          <w:u w:val="single"/>
        </w:rPr>
        <w:t xml:space="preserve"> / </w:t>
      </w:r>
    </w:p>
    <w:p w14:paraId="3F87F557">
      <w:pPr>
        <w:spacing w:line="360" w:lineRule="auto"/>
        <w:ind w:firstLine="420" w:firstLineChars="200"/>
        <w:rPr>
          <w:rFonts w:ascii="宋体" w:hAnsi="宋体"/>
        </w:rPr>
      </w:pPr>
      <w:r>
        <w:rPr>
          <w:rFonts w:hint="eastAsia" w:ascii="宋体" w:hAnsi="宋体" w:cs="宋体"/>
          <w:snapToGrid w:val="0"/>
          <w:kern w:val="0"/>
          <w:szCs w:val="21"/>
        </w:rPr>
        <w:t>2.7 其他：</w:t>
      </w:r>
      <w:r>
        <w:rPr>
          <w:rFonts w:hint="eastAsia" w:ascii="宋体" w:hAnsi="宋体" w:cs="宋体"/>
          <w:snapToGrid w:val="0"/>
          <w:kern w:val="0"/>
          <w:szCs w:val="21"/>
          <w:u w:val="single"/>
        </w:rPr>
        <w:t xml:space="preserve">   /   </w:t>
      </w:r>
    </w:p>
    <w:p w14:paraId="1998A7D3">
      <w:pPr>
        <w:pStyle w:val="4"/>
        <w:spacing w:before="0" w:after="0" w:line="360" w:lineRule="auto"/>
        <w:rPr>
          <w:rFonts w:ascii="宋体" w:hAnsi="宋体" w:cs="宋体"/>
          <w:bCs w:val="0"/>
          <w:snapToGrid w:val="0"/>
        </w:rPr>
      </w:pPr>
      <w:bookmarkStart w:id="47" w:name="_Toc11400"/>
      <w:r>
        <w:rPr>
          <w:rFonts w:hint="eastAsia" w:ascii="宋体" w:hAnsi="宋体" w:cs="宋体"/>
          <w:bCs w:val="0"/>
          <w:snapToGrid w:val="0"/>
        </w:rPr>
        <w:t>3. 比选申请人资格要求</w:t>
      </w:r>
      <w:bookmarkEnd w:id="38"/>
      <w:bookmarkEnd w:id="39"/>
      <w:bookmarkEnd w:id="40"/>
      <w:bookmarkEnd w:id="41"/>
      <w:bookmarkEnd w:id="42"/>
      <w:bookmarkEnd w:id="43"/>
      <w:bookmarkEnd w:id="44"/>
      <w:bookmarkEnd w:id="45"/>
      <w:bookmarkEnd w:id="47"/>
    </w:p>
    <w:p w14:paraId="59863051">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 xml:space="preserve">3.1 </w:t>
      </w:r>
      <w:r>
        <w:rPr>
          <w:rFonts w:ascii="宋体" w:hAnsi="宋体"/>
          <w:snapToGrid w:val="0"/>
          <w:kern w:val="0"/>
          <w:szCs w:val="21"/>
        </w:rPr>
        <w:t>本次招标要求</w:t>
      </w:r>
      <w:r>
        <w:rPr>
          <w:rFonts w:hint="eastAsia" w:ascii="宋体" w:hAnsi="宋体"/>
          <w:snapToGrid w:val="0"/>
          <w:kern w:val="0"/>
          <w:szCs w:val="21"/>
        </w:rPr>
        <w:t>比选申请人</w:t>
      </w:r>
      <w:r>
        <w:rPr>
          <w:rFonts w:ascii="宋体" w:hAnsi="宋体"/>
          <w:snapToGrid w:val="0"/>
          <w:kern w:val="0"/>
          <w:szCs w:val="21"/>
        </w:rPr>
        <w:t>须具备</w:t>
      </w:r>
      <w:r>
        <w:rPr>
          <w:rFonts w:hint="eastAsia" w:ascii="宋体" w:hAnsi="宋体"/>
          <w:snapToGrid w:val="0"/>
          <w:kern w:val="0"/>
          <w:szCs w:val="21"/>
        </w:rPr>
        <w:t>以下条件：</w:t>
      </w:r>
    </w:p>
    <w:p w14:paraId="18D45C50">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3.1.1 本次招标要求比选申请人具备的资质条件：</w:t>
      </w:r>
      <w:r>
        <w:rPr>
          <w:rFonts w:hint="eastAsia" w:ascii="宋体" w:hAnsi="宋体" w:cs="宋体"/>
          <w:szCs w:val="21"/>
        </w:rPr>
        <w:t>具备建设行政主管部门颁发的</w:t>
      </w:r>
      <w:r>
        <w:rPr>
          <w:rFonts w:hint="eastAsia" w:ascii="宋体" w:hAnsi="宋体" w:cs="宋体"/>
          <w:szCs w:val="21"/>
          <w:u w:val="single"/>
        </w:rPr>
        <w:t>公路工程施工总承包叁级及以上资质</w:t>
      </w:r>
      <w:r>
        <w:rPr>
          <w:rFonts w:hint="eastAsia" w:ascii="宋体" w:hAnsi="宋体" w:cs="宋体"/>
          <w:szCs w:val="21"/>
        </w:rPr>
        <w:t>。</w:t>
      </w:r>
    </w:p>
    <w:p w14:paraId="34F1143C">
      <w:pPr>
        <w:pStyle w:val="12"/>
        <w:spacing w:after="0" w:line="360" w:lineRule="auto"/>
        <w:ind w:firstLine="420" w:firstLineChars="200"/>
        <w:rPr>
          <w:rFonts w:ascii="宋体" w:hAnsi="宋体"/>
          <w:szCs w:val="21"/>
        </w:rPr>
      </w:pPr>
      <w:r>
        <w:rPr>
          <w:rFonts w:hint="eastAsia" w:ascii="宋体" w:hAnsi="宋体"/>
          <w:snapToGrid w:val="0"/>
          <w:kern w:val="0"/>
          <w:szCs w:val="21"/>
        </w:rPr>
        <w:t>3.1.2 比选申请人还应在人员、设备、资金等方面具有相应的施工能力，详见比选文件第二章比选申请人须知前附表第1.4.1项内容。</w:t>
      </w:r>
    </w:p>
    <w:p w14:paraId="3F16810C">
      <w:pPr>
        <w:pStyle w:val="12"/>
        <w:spacing w:after="0" w:line="360" w:lineRule="auto"/>
        <w:ind w:firstLine="420" w:firstLineChars="200"/>
        <w:rPr>
          <w:rFonts w:ascii="宋体" w:hAnsi="宋体"/>
          <w:snapToGrid w:val="0"/>
          <w:kern w:val="0"/>
          <w:szCs w:val="21"/>
        </w:rPr>
      </w:pPr>
      <w:r>
        <w:rPr>
          <w:rFonts w:ascii="宋体" w:hAnsi="宋体"/>
          <w:snapToGrid w:val="0"/>
          <w:kern w:val="0"/>
          <w:szCs w:val="21"/>
        </w:rPr>
        <w:t>3.2</w:t>
      </w:r>
      <w:r>
        <w:rPr>
          <w:rFonts w:hint="eastAsia" w:ascii="宋体" w:hAnsi="宋体"/>
          <w:snapToGrid w:val="0"/>
          <w:kern w:val="0"/>
          <w:szCs w:val="21"/>
        </w:rPr>
        <w:t xml:space="preserve"> </w:t>
      </w:r>
      <w:r>
        <w:rPr>
          <w:rFonts w:ascii="宋体" w:hAnsi="宋体"/>
          <w:snapToGrid w:val="0"/>
          <w:kern w:val="0"/>
          <w:szCs w:val="21"/>
        </w:rPr>
        <w:t>本次招标</w:t>
      </w:r>
      <w:r>
        <w:rPr>
          <w:rFonts w:hint="eastAsia" w:ascii="宋体" w:hAnsi="宋体"/>
          <w:snapToGrid w:val="0"/>
          <w:kern w:val="0"/>
          <w:szCs w:val="21"/>
        </w:rPr>
        <w:t xml:space="preserve"> ☑不接受</w:t>
      </w:r>
      <w:r>
        <w:rPr>
          <w:rFonts w:ascii="宋体" w:hAnsi="宋体"/>
          <w:snapToGrid w:val="0"/>
          <w:kern w:val="0"/>
          <w:szCs w:val="21"/>
        </w:rPr>
        <w:t>联合体投标</w:t>
      </w:r>
      <w:r>
        <w:rPr>
          <w:rFonts w:hint="eastAsia" w:ascii="宋体" w:hAnsi="宋体"/>
          <w:snapToGrid w:val="0"/>
          <w:kern w:val="0"/>
          <w:szCs w:val="21"/>
        </w:rPr>
        <w:t>。</w:t>
      </w:r>
    </w:p>
    <w:p w14:paraId="2F6BF0FB">
      <w:pPr>
        <w:pStyle w:val="4"/>
        <w:spacing w:before="0" w:after="0" w:line="360" w:lineRule="auto"/>
        <w:rPr>
          <w:rFonts w:ascii="宋体" w:hAnsi="宋体" w:cs="宋体"/>
          <w:bCs w:val="0"/>
          <w:snapToGrid w:val="0"/>
        </w:rPr>
      </w:pPr>
      <w:bookmarkStart w:id="48" w:name="_Toc200359430"/>
      <w:bookmarkStart w:id="49" w:name="_Toc277082539"/>
      <w:bookmarkStart w:id="50" w:name="_Toc224103302"/>
      <w:bookmarkStart w:id="51" w:name="_Toc509218695"/>
      <w:bookmarkStart w:id="52" w:name="_Toc287620670"/>
      <w:bookmarkStart w:id="53" w:name="_Toc287607731"/>
      <w:bookmarkStart w:id="54" w:name="_Toc26727"/>
      <w:bookmarkStart w:id="55" w:name="_Toc200359241"/>
      <w:bookmarkStart w:id="56" w:name="_Toc430530419"/>
      <w:r>
        <w:rPr>
          <w:rFonts w:hint="eastAsia" w:ascii="宋体" w:hAnsi="宋体" w:cs="宋体"/>
          <w:bCs w:val="0"/>
          <w:snapToGrid w:val="0"/>
        </w:rPr>
        <w:t>4. 比选文件的获取</w:t>
      </w:r>
      <w:bookmarkEnd w:id="48"/>
      <w:bookmarkEnd w:id="49"/>
      <w:bookmarkEnd w:id="50"/>
      <w:bookmarkEnd w:id="51"/>
      <w:bookmarkEnd w:id="52"/>
      <w:bookmarkEnd w:id="53"/>
      <w:bookmarkEnd w:id="54"/>
      <w:bookmarkEnd w:id="55"/>
      <w:bookmarkEnd w:id="56"/>
    </w:p>
    <w:p w14:paraId="4717642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bookmarkStart w:id="57" w:name="_Toc224103303"/>
      <w:bookmarkStart w:id="58" w:name="_Toc430530420"/>
      <w:bookmarkStart w:id="59" w:name="_Toc509218696"/>
      <w:bookmarkStart w:id="60" w:name="_Toc287620671"/>
      <w:bookmarkStart w:id="61" w:name="_Toc200359242"/>
      <w:bookmarkStart w:id="62" w:name="_Toc200359431"/>
      <w:bookmarkStart w:id="63" w:name="_Toc277082540"/>
      <w:bookmarkStart w:id="64" w:name="_Toc287607732"/>
      <w:r>
        <w:rPr>
          <w:rFonts w:hint="eastAsia" w:ascii="宋体" w:hAnsi="宋体"/>
          <w:snapToGrid w:val="0"/>
          <w:kern w:val="0"/>
          <w:szCs w:val="21"/>
        </w:rPr>
        <w:t xml:space="preserve">4.1  </w:t>
      </w:r>
      <w:r>
        <w:rPr>
          <w:rFonts w:ascii="宋体" w:hAnsi="宋体"/>
          <w:snapToGrid w:val="0"/>
          <w:kern w:val="0"/>
          <w:szCs w:val="21"/>
        </w:rPr>
        <w:t>凡有意参加投标者，请于</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lang w:val="en-US" w:eastAsia="zh-CN"/>
        </w:rPr>
        <w:t>1</w:t>
      </w:r>
      <w:r>
        <w:rPr>
          <w:rFonts w:ascii="宋体" w:hAnsi="宋体"/>
          <w:snapToGrid w:val="0"/>
          <w:kern w:val="0"/>
          <w:szCs w:val="21"/>
        </w:rPr>
        <w:t>日（北京时间，下同）起在</w:t>
      </w:r>
      <w:r>
        <w:rPr>
          <w:rFonts w:hint="eastAsia" w:ascii="宋体" w:hAnsi="宋体"/>
          <w:snapToGrid w:val="0"/>
          <w:kern w:val="0"/>
          <w:szCs w:val="21"/>
        </w:rPr>
        <w:t>垫江县人民政府网（http://www.cqsdj.gov.cn）</w:t>
      </w:r>
      <w:r>
        <w:rPr>
          <w:rFonts w:ascii="宋体" w:hAnsi="宋体"/>
          <w:snapToGrid w:val="0"/>
          <w:kern w:val="0"/>
          <w:szCs w:val="21"/>
        </w:rPr>
        <w:t>下载招标文件</w:t>
      </w:r>
      <w:r>
        <w:rPr>
          <w:rFonts w:hint="eastAsia" w:ascii="宋体" w:hAnsi="宋体"/>
          <w:snapToGrid w:val="0"/>
          <w:kern w:val="0"/>
          <w:szCs w:val="21"/>
        </w:rPr>
        <w:t>、</w:t>
      </w:r>
      <w:r>
        <w:rPr>
          <w:rFonts w:ascii="宋体" w:hAnsi="宋体"/>
          <w:snapToGrid w:val="0"/>
          <w:kern w:val="0"/>
          <w:szCs w:val="21"/>
        </w:rPr>
        <w:t>工程量清单、图纸、澄清、修改、补充通知、最高限价通知等全部内容。不管下载与否都视为潜在</w:t>
      </w:r>
      <w:r>
        <w:rPr>
          <w:rFonts w:hint="eastAsia" w:ascii="宋体" w:hAnsi="宋体"/>
          <w:snapToGrid w:val="0"/>
          <w:kern w:val="0"/>
          <w:szCs w:val="21"/>
        </w:rPr>
        <w:t>比选申请人</w:t>
      </w:r>
      <w:r>
        <w:rPr>
          <w:rFonts w:ascii="宋体" w:hAnsi="宋体"/>
          <w:snapToGrid w:val="0"/>
          <w:kern w:val="0"/>
          <w:szCs w:val="21"/>
        </w:rPr>
        <w:t>全部知晓有关招投标过程和全部内容。</w:t>
      </w:r>
    </w:p>
    <w:p w14:paraId="5B9DFBB0">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4.2  比选人应于</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rPr>
        <w:t>年</w:t>
      </w:r>
      <w:r>
        <w:rPr>
          <w:rFonts w:hint="eastAsia" w:ascii="宋体" w:hAnsi="宋体" w:cs="宋体"/>
          <w:kern w:val="0"/>
          <w:szCs w:val="21"/>
          <w:u w:val="single"/>
          <w:lang w:val="en-US" w:eastAsia="zh-CN"/>
        </w:rPr>
        <w:t>4</w:t>
      </w:r>
      <w:r>
        <w:rPr>
          <w:rFonts w:hint="eastAsia" w:ascii="宋体" w:hAnsi="宋体" w:cs="宋体"/>
          <w:kern w:val="0"/>
          <w:szCs w:val="21"/>
        </w:rPr>
        <w:t>月</w:t>
      </w:r>
      <w:r>
        <w:rPr>
          <w:rFonts w:hint="eastAsia" w:ascii="宋体" w:hAnsi="宋体" w:cs="宋体"/>
          <w:kern w:val="0"/>
          <w:szCs w:val="21"/>
          <w:u w:val="single"/>
          <w:lang w:val="en-US" w:eastAsia="zh-CN"/>
        </w:rPr>
        <w:t>3</w:t>
      </w:r>
      <w:r>
        <w:rPr>
          <w:rFonts w:hint="eastAsia" w:ascii="宋体" w:hAnsi="宋体" w:cs="宋体"/>
          <w:kern w:val="0"/>
          <w:szCs w:val="21"/>
        </w:rPr>
        <w:t>日</w:t>
      </w:r>
      <w:r>
        <w:rPr>
          <w:rFonts w:hint="eastAsia" w:ascii="宋体" w:hAnsi="宋体" w:cs="宋体"/>
          <w:kern w:val="0"/>
          <w:szCs w:val="21"/>
          <w:u w:val="single"/>
        </w:rPr>
        <w:t xml:space="preserve">17 </w:t>
      </w:r>
      <w:r>
        <w:rPr>
          <w:rFonts w:hint="eastAsia" w:ascii="宋体" w:hAnsi="宋体" w:cs="宋体"/>
          <w:szCs w:val="21"/>
        </w:rPr>
        <w:t>时</w:t>
      </w:r>
      <w:r>
        <w:rPr>
          <w:rFonts w:hint="eastAsia" w:ascii="宋体" w:hAnsi="宋体" w:cs="宋体"/>
          <w:kern w:val="0"/>
          <w:szCs w:val="21"/>
          <w:u w:val="single"/>
        </w:rPr>
        <w:t>00</w:t>
      </w:r>
      <w:r>
        <w:rPr>
          <w:rFonts w:hint="eastAsia" w:ascii="宋体" w:hAnsi="宋体" w:cs="宋体"/>
          <w:szCs w:val="21"/>
        </w:rPr>
        <w:t>分</w:t>
      </w:r>
      <w:r>
        <w:rPr>
          <w:rFonts w:hint="eastAsia" w:ascii="宋体" w:hAnsi="宋体"/>
          <w:snapToGrid w:val="0"/>
          <w:kern w:val="0"/>
          <w:szCs w:val="21"/>
        </w:rPr>
        <w:t>（北京时间）前在</w:t>
      </w:r>
      <w:r>
        <w:rPr>
          <w:rFonts w:hint="eastAsia" w:ascii="宋体" w:hAnsi="宋体"/>
          <w:snapToGrid w:val="0"/>
          <w:kern w:val="0"/>
          <w:szCs w:val="21"/>
          <w:u w:val="single"/>
        </w:rPr>
        <w:t>垫江县人民政府网（http://www.cqsdj.gov.cn）</w:t>
      </w:r>
      <w:r>
        <w:rPr>
          <w:rFonts w:hint="eastAsia" w:ascii="宋体" w:hAnsi="宋体"/>
          <w:snapToGrid w:val="0"/>
          <w:kern w:val="0"/>
          <w:szCs w:val="21"/>
        </w:rPr>
        <w:t>发布澄清或修改。</w:t>
      </w:r>
    </w:p>
    <w:p w14:paraId="60D0F50F">
      <w:pPr>
        <w:pStyle w:val="4"/>
        <w:spacing w:before="0" w:after="0" w:line="360" w:lineRule="auto"/>
        <w:rPr>
          <w:rFonts w:ascii="宋体" w:hAnsi="宋体" w:cs="宋体"/>
          <w:bCs w:val="0"/>
          <w:snapToGrid w:val="0"/>
        </w:rPr>
      </w:pPr>
      <w:bookmarkStart w:id="65" w:name="_Toc9686"/>
      <w:r>
        <w:rPr>
          <w:rFonts w:hint="eastAsia" w:ascii="宋体" w:hAnsi="宋体" w:cs="宋体"/>
          <w:bCs w:val="0"/>
          <w:snapToGrid w:val="0"/>
        </w:rPr>
        <w:t>5. 比选申请文件的递交</w:t>
      </w:r>
      <w:bookmarkEnd w:id="57"/>
      <w:bookmarkEnd w:id="58"/>
      <w:bookmarkEnd w:id="59"/>
      <w:bookmarkEnd w:id="60"/>
      <w:bookmarkEnd w:id="61"/>
      <w:bookmarkEnd w:id="62"/>
      <w:bookmarkEnd w:id="63"/>
      <w:bookmarkEnd w:id="64"/>
      <w:bookmarkEnd w:id="65"/>
    </w:p>
    <w:p w14:paraId="7A6E8A6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bookmarkStart w:id="66" w:name="_Toc200359243"/>
      <w:bookmarkStart w:id="67" w:name="_Toc509218697"/>
      <w:bookmarkStart w:id="68" w:name="_Toc277082541"/>
      <w:bookmarkStart w:id="69" w:name="_Toc430530421"/>
      <w:bookmarkStart w:id="70" w:name="_Toc200359432"/>
      <w:bookmarkStart w:id="71" w:name="_Toc224103304"/>
      <w:bookmarkStart w:id="72" w:name="_Toc287620672"/>
      <w:bookmarkStart w:id="73" w:name="_Toc287607733"/>
      <w:r>
        <w:rPr>
          <w:rFonts w:ascii="宋体" w:hAnsi="宋体"/>
          <w:snapToGrid w:val="0"/>
          <w:kern w:val="0"/>
          <w:szCs w:val="21"/>
        </w:rPr>
        <w:t xml:space="preserve">5.1  </w:t>
      </w:r>
      <w:r>
        <w:rPr>
          <w:rFonts w:hint="eastAsia" w:ascii="宋体" w:hAnsi="宋体"/>
          <w:snapToGrid w:val="0"/>
          <w:kern w:val="0"/>
          <w:szCs w:val="21"/>
        </w:rPr>
        <w:t>比选申请文件</w:t>
      </w:r>
      <w:r>
        <w:rPr>
          <w:rFonts w:ascii="宋体" w:hAnsi="宋体"/>
          <w:snapToGrid w:val="0"/>
          <w:kern w:val="0"/>
          <w:szCs w:val="21"/>
        </w:rPr>
        <w:t>递交的截止时间（投标截止时间，下同）为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lang w:val="en-US" w:eastAsia="zh-CN"/>
        </w:rPr>
        <w:t>8</w:t>
      </w:r>
      <w:r>
        <w:rPr>
          <w:rFonts w:ascii="宋体" w:hAnsi="宋体"/>
          <w:snapToGrid w:val="0"/>
          <w:kern w:val="0"/>
          <w:szCs w:val="21"/>
        </w:rPr>
        <w:t>日</w:t>
      </w:r>
      <w:r>
        <w:rPr>
          <w:rFonts w:hint="eastAsia" w:ascii="宋体" w:hAnsi="宋体"/>
          <w:snapToGrid w:val="0"/>
          <w:kern w:val="0"/>
          <w:szCs w:val="21"/>
          <w:u w:val="single"/>
        </w:rPr>
        <w:t>14</w:t>
      </w:r>
      <w:r>
        <w:rPr>
          <w:rFonts w:ascii="宋体" w:hAnsi="宋体"/>
          <w:snapToGrid w:val="0"/>
          <w:kern w:val="0"/>
          <w:szCs w:val="21"/>
        </w:rPr>
        <w:t>时</w:t>
      </w:r>
      <w:r>
        <w:rPr>
          <w:rFonts w:hint="eastAsia" w:ascii="宋体" w:hAnsi="宋体"/>
          <w:snapToGrid w:val="0"/>
          <w:kern w:val="0"/>
          <w:szCs w:val="21"/>
          <w:u w:val="single"/>
        </w:rPr>
        <w:t>30</w:t>
      </w:r>
      <w:r>
        <w:rPr>
          <w:rFonts w:ascii="宋体" w:hAnsi="宋体"/>
          <w:snapToGrid w:val="0"/>
          <w:kern w:val="0"/>
          <w:szCs w:val="21"/>
        </w:rPr>
        <w:t>分，地点为</w:t>
      </w:r>
      <w:r>
        <w:rPr>
          <w:rFonts w:hint="eastAsia" w:ascii="宋体" w:hAnsi="宋体"/>
          <w:snapToGrid w:val="0"/>
          <w:kern w:val="0"/>
          <w:szCs w:val="21"/>
          <w:u w:val="single"/>
        </w:rPr>
        <w:t>垫江县高峰镇人民政府一楼会议室</w:t>
      </w:r>
      <w:r>
        <w:rPr>
          <w:rFonts w:ascii="宋体" w:hAnsi="宋体"/>
          <w:snapToGrid w:val="0"/>
          <w:kern w:val="0"/>
          <w:szCs w:val="21"/>
        </w:rPr>
        <w:t>。</w:t>
      </w:r>
    </w:p>
    <w:p w14:paraId="10F0755F">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w:t>
      </w:r>
      <w:r>
        <w:rPr>
          <w:rFonts w:hint="eastAsia" w:ascii="宋体" w:hAnsi="宋体"/>
          <w:snapToGrid w:val="0"/>
          <w:kern w:val="0"/>
          <w:szCs w:val="21"/>
        </w:rPr>
        <w:t>比选申请文件</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szCs w:val="21"/>
        </w:rPr>
        <w:t>不予受理。</w:t>
      </w:r>
    </w:p>
    <w:p w14:paraId="5773065C">
      <w:pPr>
        <w:pStyle w:val="4"/>
        <w:spacing w:before="0" w:after="0" w:line="360" w:lineRule="auto"/>
        <w:rPr>
          <w:rFonts w:ascii="宋体" w:hAnsi="宋体" w:cs="宋体"/>
          <w:bCs w:val="0"/>
          <w:snapToGrid w:val="0"/>
        </w:rPr>
      </w:pPr>
      <w:bookmarkStart w:id="74" w:name="_Toc23702"/>
      <w:r>
        <w:rPr>
          <w:rFonts w:hint="eastAsia" w:ascii="宋体" w:hAnsi="宋体" w:cs="宋体"/>
          <w:bCs w:val="0"/>
          <w:snapToGrid w:val="0"/>
        </w:rPr>
        <w:t>6. 发布公告的媒介</w:t>
      </w:r>
      <w:bookmarkEnd w:id="66"/>
      <w:bookmarkEnd w:id="67"/>
      <w:bookmarkEnd w:id="68"/>
      <w:bookmarkEnd w:id="69"/>
      <w:bookmarkEnd w:id="70"/>
      <w:bookmarkEnd w:id="71"/>
      <w:bookmarkEnd w:id="72"/>
      <w:bookmarkEnd w:id="73"/>
      <w:bookmarkEnd w:id="74"/>
    </w:p>
    <w:p w14:paraId="362F44C0">
      <w:pPr>
        <w:tabs>
          <w:tab w:val="left" w:pos="4950"/>
        </w:tabs>
        <w:autoSpaceDE w:val="0"/>
        <w:autoSpaceDN w:val="0"/>
        <w:adjustRightInd w:val="0"/>
        <w:snapToGrid w:val="0"/>
        <w:spacing w:line="360" w:lineRule="auto"/>
        <w:ind w:firstLine="420" w:firstLineChars="200"/>
        <w:rPr>
          <w:rFonts w:ascii="宋体" w:hAnsi="宋体"/>
          <w:snapToGrid w:val="0"/>
          <w:kern w:val="0"/>
          <w:szCs w:val="21"/>
        </w:rPr>
      </w:pPr>
      <w:bookmarkStart w:id="75" w:name="_Toc224103305"/>
      <w:bookmarkStart w:id="76" w:name="_Toc277082542"/>
      <w:bookmarkStart w:id="77" w:name="_Toc430530422"/>
      <w:bookmarkStart w:id="78" w:name="_Toc287620673"/>
      <w:bookmarkStart w:id="79" w:name="_Toc509218698"/>
      <w:bookmarkStart w:id="80" w:name="_Toc287607734"/>
      <w:r>
        <w:rPr>
          <w:rFonts w:ascii="宋体" w:hAnsi="宋体"/>
          <w:snapToGrid w:val="0"/>
          <w:kern w:val="0"/>
          <w:szCs w:val="21"/>
        </w:rPr>
        <w:t>本次招标公告在</w:t>
      </w:r>
      <w:r>
        <w:rPr>
          <w:rFonts w:hint="eastAsia" w:ascii="宋体" w:hAnsi="宋体"/>
          <w:snapToGrid w:val="0"/>
          <w:kern w:val="0"/>
          <w:szCs w:val="21"/>
          <w:u w:val="single"/>
        </w:rPr>
        <w:t>垫江县人民政府网（http://www.cqsdj.gov.cn）</w:t>
      </w:r>
      <w:r>
        <w:rPr>
          <w:rFonts w:ascii="宋体" w:hAnsi="宋体"/>
          <w:snapToGrid w:val="0"/>
          <w:kern w:val="0"/>
          <w:szCs w:val="21"/>
        </w:rPr>
        <w:t>上发布。</w:t>
      </w:r>
    </w:p>
    <w:p w14:paraId="26D2631F">
      <w:pPr>
        <w:pStyle w:val="4"/>
        <w:spacing w:before="0" w:after="0" w:line="360" w:lineRule="auto"/>
        <w:rPr>
          <w:rFonts w:ascii="宋体" w:hAnsi="宋体" w:cs="宋体"/>
          <w:bCs w:val="0"/>
          <w:snapToGrid w:val="0"/>
        </w:rPr>
      </w:pPr>
      <w:bookmarkStart w:id="81" w:name="_Toc25752"/>
      <w:r>
        <w:rPr>
          <w:rFonts w:hint="eastAsia" w:ascii="宋体" w:hAnsi="宋体" w:cs="宋体"/>
          <w:bCs w:val="0"/>
          <w:snapToGrid w:val="0"/>
        </w:rPr>
        <w:t xml:space="preserve">7. </w:t>
      </w:r>
      <w:bookmarkEnd w:id="75"/>
      <w:bookmarkEnd w:id="76"/>
      <w:bookmarkEnd w:id="77"/>
      <w:bookmarkEnd w:id="78"/>
      <w:bookmarkEnd w:id="79"/>
      <w:bookmarkEnd w:id="80"/>
      <w:bookmarkStart w:id="82" w:name="_Toc224103306"/>
      <w:bookmarkStart w:id="83" w:name="_Toc287607735"/>
      <w:bookmarkStart w:id="84" w:name="_Toc287620674"/>
      <w:bookmarkStart w:id="85" w:name="_Toc430530423"/>
      <w:r>
        <w:rPr>
          <w:rFonts w:hint="eastAsia" w:ascii="宋体" w:hAnsi="宋体" w:cs="宋体"/>
          <w:bCs w:val="0"/>
          <w:snapToGrid w:val="0"/>
        </w:rPr>
        <w:t>联系方式</w:t>
      </w:r>
      <w:bookmarkEnd w:id="81"/>
    </w:p>
    <w:p w14:paraId="3B910343">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hint="eastAsia" w:ascii="宋体" w:hAnsi="宋体"/>
          <w:snapToGrid w:val="0"/>
          <w:kern w:val="0"/>
          <w:szCs w:val="21"/>
        </w:rPr>
        <w:t>比 选</w:t>
      </w:r>
      <w:r>
        <w:rPr>
          <w:rFonts w:ascii="宋体" w:hAnsi="宋体"/>
          <w:snapToGrid w:val="0"/>
          <w:kern w:val="0"/>
          <w:szCs w:val="21"/>
        </w:rPr>
        <w:t xml:space="preserve"> 人：</w:t>
      </w:r>
      <w:r>
        <w:rPr>
          <w:rFonts w:hint="eastAsia" w:ascii="宋体" w:hAnsi="宋体"/>
          <w:snapToGrid w:val="0"/>
          <w:kern w:val="0"/>
          <w:szCs w:val="21"/>
          <w:u w:val="single"/>
        </w:rPr>
        <w:t xml:space="preserve">垫江县高峰镇人民政府   </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比选</w:t>
      </w:r>
      <w:r>
        <w:rPr>
          <w:rFonts w:ascii="宋体" w:hAnsi="宋体"/>
          <w:snapToGrid w:val="0"/>
          <w:kern w:val="0"/>
          <w:szCs w:val="21"/>
        </w:rPr>
        <w:t>代理机构：</w:t>
      </w:r>
      <w:r>
        <w:rPr>
          <w:rFonts w:hint="eastAsia" w:ascii="宋体" w:hAnsi="宋体"/>
          <w:snapToGrid w:val="0"/>
          <w:kern w:val="0"/>
          <w:szCs w:val="21"/>
          <w:u w:val="single"/>
          <w:lang w:eastAsia="zh-CN"/>
        </w:rPr>
        <w:t>重庆羽丰工程项目管理咨询有限公司</w:t>
      </w:r>
      <w:r>
        <w:rPr>
          <w:rFonts w:ascii="宋体" w:hAnsi="宋体"/>
          <w:snapToGrid w:val="0"/>
          <w:kern w:val="0"/>
          <w:szCs w:val="21"/>
          <w:u w:val="single"/>
        </w:rPr>
        <w:t xml:space="preserve"> </w:t>
      </w:r>
    </w:p>
    <w:p w14:paraId="1E8FCFE2">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地    址：</w:t>
      </w:r>
      <w:r>
        <w:rPr>
          <w:rFonts w:hint="eastAsia" w:ascii="宋体" w:hAnsi="宋体"/>
          <w:snapToGrid w:val="0"/>
          <w:kern w:val="0"/>
          <w:szCs w:val="21"/>
          <w:u w:val="single"/>
        </w:rPr>
        <w:t xml:space="preserve">垫江县高峰镇锦绣街1号  </w:t>
      </w:r>
      <w:r>
        <w:rPr>
          <w:rFonts w:ascii="宋体" w:hAnsi="宋体"/>
          <w:snapToGrid w:val="0"/>
          <w:kern w:val="0"/>
          <w:szCs w:val="21"/>
          <w:u w:val="single"/>
        </w:rPr>
        <w:t xml:space="preserve"> </w:t>
      </w:r>
      <w:r>
        <w:rPr>
          <w:rFonts w:ascii="宋体" w:hAnsi="宋体"/>
          <w:snapToGrid w:val="0"/>
          <w:kern w:val="0"/>
          <w:szCs w:val="21"/>
        </w:rPr>
        <w:t xml:space="preserve">     地址：</w:t>
      </w:r>
      <w:r>
        <w:rPr>
          <w:rFonts w:hint="eastAsia" w:ascii="宋体" w:hAnsi="宋体"/>
          <w:snapToGrid w:val="0"/>
          <w:kern w:val="0"/>
          <w:szCs w:val="21"/>
          <w:u w:val="single"/>
        </w:rPr>
        <w:t>渝北区回兴街道银梭路19号3-3号库房二层8室内</w:t>
      </w:r>
      <w:r>
        <w:rPr>
          <w:rFonts w:hint="eastAsia" w:ascii="宋体" w:hAnsi="宋体"/>
          <w:snapToGrid w:val="0"/>
          <w:kern w:val="0"/>
          <w:position w:val="-3"/>
          <w:szCs w:val="21"/>
          <w:u w:val="single"/>
        </w:rPr>
        <w:t xml:space="preserve">   </w:t>
      </w:r>
    </w:p>
    <w:p w14:paraId="687ECFE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张老师</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李</w:t>
      </w:r>
      <w:r>
        <w:rPr>
          <w:rFonts w:hint="eastAsia" w:ascii="宋体" w:hAnsi="宋体"/>
          <w:snapToGrid w:val="0"/>
          <w:kern w:val="0"/>
          <w:szCs w:val="21"/>
          <w:u w:val="single"/>
        </w:rPr>
        <w:t>老师</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51ACF2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13996829506</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18725618847</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819129D">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2C228AC1">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lang w:val="en-US" w:eastAsia="zh-CN"/>
        </w:rPr>
        <w:t>1</w:t>
      </w:r>
      <w:r>
        <w:rPr>
          <w:rFonts w:ascii="宋体" w:hAnsi="宋体"/>
          <w:snapToGrid w:val="0"/>
          <w:kern w:val="0"/>
          <w:szCs w:val="21"/>
        </w:rPr>
        <w:t>日</w:t>
      </w:r>
      <w:r>
        <w:rPr>
          <w:rFonts w:hint="eastAsia" w:ascii="宋体" w:hAnsi="宋体"/>
          <w:snapToGrid w:val="0"/>
          <w:kern w:val="0"/>
          <w:szCs w:val="21"/>
        </w:rPr>
        <w:t xml:space="preserve">  </w:t>
      </w:r>
    </w:p>
    <w:p w14:paraId="16F2F006">
      <w:pPr>
        <w:rPr>
          <w:rFonts w:ascii="宋体" w:hAnsi="宋体"/>
        </w:rPr>
      </w:pPr>
      <w:r>
        <w:rPr>
          <w:rFonts w:ascii="宋体" w:hAnsi="宋体"/>
        </w:rPr>
        <w:br w:type="page"/>
      </w:r>
    </w:p>
    <w:bookmarkEnd w:id="82"/>
    <w:bookmarkEnd w:id="83"/>
    <w:bookmarkEnd w:id="84"/>
    <w:bookmarkEnd w:id="85"/>
    <w:p w14:paraId="335167FE">
      <w:pPr>
        <w:pStyle w:val="3"/>
        <w:spacing w:line="360" w:lineRule="auto"/>
        <w:ind w:firstLine="883"/>
        <w:jc w:val="center"/>
        <w:rPr>
          <w:rFonts w:ascii="宋体" w:hAnsi="宋体"/>
          <w:bCs w:val="0"/>
          <w:snapToGrid w:val="0"/>
          <w:kern w:val="0"/>
        </w:rPr>
      </w:pPr>
      <w:bookmarkStart w:id="86" w:name="_Toc287620683"/>
      <w:bookmarkStart w:id="87" w:name="_Toc224103315"/>
      <w:bookmarkStart w:id="88" w:name="_Toc430530432"/>
      <w:bookmarkStart w:id="89" w:name="_Toc7040"/>
      <w:bookmarkStart w:id="90" w:name="_Toc287607744"/>
      <w:r>
        <w:rPr>
          <w:rFonts w:hint="eastAsia" w:ascii="宋体" w:hAnsi="宋体" w:cs="宋体"/>
          <w:bCs w:val="0"/>
          <w:snapToGrid w:val="0"/>
        </w:rPr>
        <w:t>第二章  比选申请人须知</w:t>
      </w:r>
      <w:bookmarkEnd w:id="86"/>
      <w:bookmarkEnd w:id="87"/>
      <w:bookmarkEnd w:id="88"/>
      <w:bookmarkEnd w:id="89"/>
      <w:bookmarkEnd w:id="90"/>
      <w:bookmarkStart w:id="91" w:name="_Toc430530433"/>
      <w:bookmarkStart w:id="92" w:name="_Toc287607745"/>
      <w:bookmarkStart w:id="93" w:name="_Toc277082551"/>
      <w:bookmarkStart w:id="94" w:name="_Toc287620684"/>
      <w:bookmarkStart w:id="95" w:name="_Toc224103316"/>
    </w:p>
    <w:p w14:paraId="54B5BDD0">
      <w:pPr>
        <w:pStyle w:val="4"/>
        <w:spacing w:before="100" w:after="100" w:line="360" w:lineRule="auto"/>
        <w:rPr>
          <w:rFonts w:ascii="宋体" w:hAnsi="宋体" w:cs="宋体"/>
          <w:bCs w:val="0"/>
          <w:sz w:val="28"/>
          <w:szCs w:val="28"/>
        </w:rPr>
      </w:pPr>
      <w:bookmarkStart w:id="96" w:name="_Toc509218708"/>
      <w:bookmarkStart w:id="97" w:name="_Toc20210"/>
      <w:r>
        <w:rPr>
          <w:rFonts w:hint="eastAsia" w:ascii="宋体" w:hAnsi="宋体" w:cs="宋体"/>
          <w:bCs w:val="0"/>
          <w:sz w:val="28"/>
          <w:szCs w:val="28"/>
        </w:rPr>
        <w:t>比选申请人须知前附表</w:t>
      </w:r>
      <w:bookmarkEnd w:id="91"/>
      <w:bookmarkEnd w:id="92"/>
      <w:bookmarkEnd w:id="93"/>
      <w:bookmarkEnd w:id="94"/>
      <w:bookmarkEnd w:id="95"/>
      <w:bookmarkEnd w:id="96"/>
      <w:bookmarkEnd w:id="97"/>
    </w:p>
    <w:p w14:paraId="4A43963C">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比选申请</w:t>
      </w:r>
      <w:r>
        <w:rPr>
          <w:rFonts w:ascii="宋体" w:hAnsi="宋体"/>
          <w:szCs w:val="21"/>
        </w:rPr>
        <w:t>人须知前附表与正文不一致的地方，以</w:t>
      </w:r>
      <w:r>
        <w:rPr>
          <w:rFonts w:hint="eastAsia" w:ascii="宋体" w:hAnsi="宋体"/>
          <w:szCs w:val="21"/>
        </w:rPr>
        <w:t>比选申请</w:t>
      </w:r>
      <w:r>
        <w:rPr>
          <w:rFonts w:ascii="宋体" w:hAnsi="宋体"/>
          <w:szCs w:val="21"/>
        </w:rPr>
        <w:t>人须知前附表为准。</w:t>
      </w:r>
    </w:p>
    <w:tbl>
      <w:tblPr>
        <w:tblStyle w:val="31"/>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15"/>
        <w:gridCol w:w="6519"/>
      </w:tblGrid>
      <w:tr w14:paraId="1CE02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B3C9EC0">
            <w:pPr>
              <w:snapToGrid w:val="0"/>
              <w:spacing w:line="400" w:lineRule="exact"/>
              <w:jc w:val="center"/>
              <w:rPr>
                <w:rFonts w:ascii="宋体" w:hAnsi="宋体" w:cs="宋体"/>
                <w:b/>
                <w:kern w:val="0"/>
                <w:szCs w:val="21"/>
                <w:highlight w:val="none"/>
              </w:rPr>
            </w:pPr>
            <w:r>
              <w:rPr>
                <w:rFonts w:hint="eastAsia" w:ascii="宋体" w:hAnsi="宋体" w:cs="宋体"/>
                <w:b/>
                <w:kern w:val="0"/>
                <w:szCs w:val="21"/>
                <w:highlight w:val="none"/>
              </w:rPr>
              <w:t>条 款 号</w:t>
            </w:r>
          </w:p>
        </w:tc>
        <w:tc>
          <w:tcPr>
            <w:tcW w:w="1615" w:type="dxa"/>
            <w:vAlign w:val="center"/>
          </w:tcPr>
          <w:p w14:paraId="67A53602">
            <w:pPr>
              <w:snapToGrid w:val="0"/>
              <w:spacing w:line="40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6519" w:type="dxa"/>
            <w:vAlign w:val="center"/>
          </w:tcPr>
          <w:p w14:paraId="4FD785FA">
            <w:pPr>
              <w:snapToGrid w:val="0"/>
              <w:spacing w:line="400" w:lineRule="exact"/>
              <w:jc w:val="center"/>
              <w:rPr>
                <w:rFonts w:ascii="宋体" w:hAnsi="宋体" w:cs="宋体"/>
                <w:b/>
                <w:kern w:val="0"/>
                <w:szCs w:val="21"/>
                <w:highlight w:val="none"/>
              </w:rPr>
            </w:pPr>
            <w:r>
              <w:rPr>
                <w:rFonts w:hint="eastAsia" w:ascii="宋体" w:hAnsi="宋体" w:cs="宋体"/>
                <w:b/>
                <w:kern w:val="0"/>
                <w:szCs w:val="21"/>
                <w:highlight w:val="none"/>
              </w:rPr>
              <w:t>编  列  内  容</w:t>
            </w:r>
          </w:p>
        </w:tc>
      </w:tr>
      <w:tr w14:paraId="7A333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D9C69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1.1.2</w:t>
            </w:r>
          </w:p>
        </w:tc>
        <w:tc>
          <w:tcPr>
            <w:tcW w:w="1615" w:type="dxa"/>
            <w:vAlign w:val="center"/>
          </w:tcPr>
          <w:p w14:paraId="6CBB7A4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比选人</w:t>
            </w:r>
          </w:p>
        </w:tc>
        <w:tc>
          <w:tcPr>
            <w:tcW w:w="6519" w:type="dxa"/>
            <w:vAlign w:val="center"/>
          </w:tcPr>
          <w:p w14:paraId="1597B36F">
            <w:pPr>
              <w:snapToGrid w:val="0"/>
              <w:spacing w:line="400" w:lineRule="exact"/>
              <w:rPr>
                <w:rFonts w:ascii="宋体" w:hAnsi="宋体" w:cs="宋体"/>
                <w:kern w:val="0"/>
                <w:szCs w:val="21"/>
                <w:highlight w:val="none"/>
              </w:rPr>
            </w:pPr>
            <w:r>
              <w:rPr>
                <w:rFonts w:hint="eastAsia" w:ascii="宋体" w:hAnsi="宋体" w:cs="宋体"/>
                <w:kern w:val="0"/>
                <w:szCs w:val="21"/>
                <w:highlight w:val="none"/>
              </w:rPr>
              <w:t>名称：</w:t>
            </w:r>
            <w:r>
              <w:rPr>
                <w:rFonts w:hint="eastAsia" w:ascii="宋体" w:hAnsi="宋体"/>
                <w:snapToGrid w:val="0"/>
                <w:kern w:val="0"/>
                <w:szCs w:val="21"/>
                <w:highlight w:val="none"/>
              </w:rPr>
              <w:t>垫江县高峰镇人民政府</w:t>
            </w:r>
          </w:p>
          <w:p w14:paraId="50CEE976">
            <w:pPr>
              <w:snapToGrid w:val="0"/>
              <w:spacing w:line="400" w:lineRule="exact"/>
              <w:rPr>
                <w:rFonts w:ascii="宋体" w:hAnsi="宋体" w:cs="宋体"/>
                <w:kern w:val="0"/>
                <w:szCs w:val="21"/>
                <w:highlight w:val="none"/>
              </w:rPr>
            </w:pPr>
            <w:r>
              <w:rPr>
                <w:rFonts w:hint="eastAsia" w:ascii="宋体" w:hAnsi="宋体" w:cs="宋体"/>
                <w:kern w:val="0"/>
                <w:szCs w:val="21"/>
                <w:highlight w:val="none"/>
              </w:rPr>
              <w:t>地址：垫江县高峰镇锦绣街1号</w:t>
            </w:r>
          </w:p>
          <w:p w14:paraId="6CF16CEF">
            <w:pPr>
              <w:snapToGrid w:val="0"/>
              <w:spacing w:line="400" w:lineRule="exact"/>
              <w:rPr>
                <w:rFonts w:ascii="宋体" w:hAnsi="宋体" w:cs="宋体"/>
                <w:kern w:val="0"/>
                <w:szCs w:val="21"/>
                <w:highlight w:val="none"/>
              </w:rPr>
            </w:pPr>
            <w:r>
              <w:rPr>
                <w:rFonts w:hint="eastAsia" w:ascii="宋体" w:hAnsi="宋体" w:cs="宋体"/>
                <w:kern w:val="0"/>
                <w:szCs w:val="21"/>
                <w:highlight w:val="none"/>
              </w:rPr>
              <w:t>联系人：张</w:t>
            </w:r>
            <w:r>
              <w:rPr>
                <w:rFonts w:hint="eastAsia" w:ascii="宋体" w:hAnsi="宋体"/>
                <w:snapToGrid w:val="0"/>
                <w:kern w:val="0"/>
                <w:szCs w:val="21"/>
                <w:highlight w:val="none"/>
              </w:rPr>
              <w:t>老师</w:t>
            </w:r>
          </w:p>
          <w:p w14:paraId="631AD303">
            <w:pPr>
              <w:snapToGrid w:val="0"/>
              <w:spacing w:line="400" w:lineRule="exact"/>
              <w:rPr>
                <w:rFonts w:ascii="宋体" w:hAnsi="宋体" w:cs="宋体"/>
                <w:kern w:val="0"/>
                <w:szCs w:val="21"/>
                <w:highlight w:val="none"/>
              </w:rPr>
            </w:pPr>
            <w:r>
              <w:rPr>
                <w:rFonts w:hint="eastAsia" w:ascii="宋体" w:hAnsi="宋体" w:cs="宋体"/>
                <w:kern w:val="0"/>
                <w:szCs w:val="21"/>
                <w:highlight w:val="none"/>
              </w:rPr>
              <w:t>电话：13996829506</w:t>
            </w:r>
          </w:p>
        </w:tc>
      </w:tr>
      <w:tr w14:paraId="5F563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6ABCB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1.1.3</w:t>
            </w:r>
          </w:p>
        </w:tc>
        <w:tc>
          <w:tcPr>
            <w:tcW w:w="1615" w:type="dxa"/>
            <w:vAlign w:val="center"/>
          </w:tcPr>
          <w:p w14:paraId="5A8165B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比选代理机构</w:t>
            </w:r>
          </w:p>
        </w:tc>
        <w:tc>
          <w:tcPr>
            <w:tcW w:w="6519" w:type="dxa"/>
            <w:vAlign w:val="center"/>
          </w:tcPr>
          <w:p w14:paraId="5B2ED21A">
            <w:pPr>
              <w:snapToGrid w:val="0"/>
              <w:spacing w:line="40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rPr>
              <w:t>名称：</w:t>
            </w:r>
            <w:r>
              <w:rPr>
                <w:rFonts w:hint="eastAsia" w:ascii="宋体" w:hAnsi="宋体"/>
                <w:snapToGrid w:val="0"/>
                <w:kern w:val="0"/>
                <w:szCs w:val="21"/>
                <w:highlight w:val="none"/>
                <w:lang w:eastAsia="zh-CN"/>
              </w:rPr>
              <w:t>重庆羽丰工程项目管理咨询有限公司</w:t>
            </w:r>
          </w:p>
          <w:p w14:paraId="25E296CD">
            <w:pPr>
              <w:snapToGrid w:val="0"/>
              <w:spacing w:line="400" w:lineRule="exact"/>
              <w:rPr>
                <w:rFonts w:ascii="宋体" w:hAnsi="宋体" w:cs="宋体"/>
                <w:kern w:val="0"/>
                <w:szCs w:val="21"/>
                <w:highlight w:val="none"/>
              </w:rPr>
            </w:pPr>
            <w:r>
              <w:rPr>
                <w:rFonts w:hint="eastAsia" w:ascii="宋体" w:hAnsi="宋体" w:cs="宋体"/>
                <w:kern w:val="0"/>
                <w:szCs w:val="21"/>
                <w:highlight w:val="none"/>
              </w:rPr>
              <w:t>地址：渝北区回兴街道银梭路19号3-3号库房二层8室内</w:t>
            </w:r>
          </w:p>
          <w:p w14:paraId="44A18CAF">
            <w:pPr>
              <w:snapToGrid w:val="0"/>
              <w:spacing w:line="400" w:lineRule="exact"/>
              <w:rPr>
                <w:rFonts w:ascii="宋体" w:hAnsi="宋体" w:cs="宋体"/>
                <w:kern w:val="0"/>
                <w:szCs w:val="21"/>
                <w:highlight w:val="none"/>
              </w:rPr>
            </w:pPr>
            <w:r>
              <w:rPr>
                <w:rFonts w:hint="eastAsia" w:ascii="宋体" w:hAnsi="宋体" w:cs="宋体"/>
                <w:kern w:val="0"/>
                <w:szCs w:val="21"/>
                <w:highlight w:val="none"/>
              </w:rPr>
              <w:t>联系人：</w:t>
            </w:r>
            <w:r>
              <w:rPr>
                <w:rFonts w:hint="eastAsia" w:ascii="宋体" w:hAnsi="宋体"/>
                <w:snapToGrid w:val="0"/>
                <w:kern w:val="0"/>
                <w:szCs w:val="21"/>
                <w:highlight w:val="none"/>
                <w:lang w:val="en-US" w:eastAsia="zh-CN"/>
              </w:rPr>
              <w:t>李</w:t>
            </w:r>
            <w:r>
              <w:rPr>
                <w:rFonts w:hint="eastAsia" w:ascii="宋体" w:hAnsi="宋体"/>
                <w:snapToGrid w:val="0"/>
                <w:kern w:val="0"/>
                <w:szCs w:val="21"/>
                <w:highlight w:val="none"/>
              </w:rPr>
              <w:t>老师</w:t>
            </w:r>
          </w:p>
          <w:p w14:paraId="0C04BB99">
            <w:pPr>
              <w:snapToGrid w:val="0"/>
              <w:spacing w:line="400" w:lineRule="exact"/>
              <w:rPr>
                <w:rFonts w:ascii="宋体" w:hAnsi="宋体" w:cs="宋体"/>
                <w:kern w:val="0"/>
                <w:szCs w:val="21"/>
                <w:highlight w:val="none"/>
              </w:rPr>
            </w:pPr>
            <w:r>
              <w:rPr>
                <w:rFonts w:hint="eastAsia" w:ascii="宋体" w:hAnsi="宋体" w:cs="宋体"/>
                <w:kern w:val="0"/>
                <w:szCs w:val="21"/>
                <w:highlight w:val="none"/>
              </w:rPr>
              <w:t>电话：18725618847</w:t>
            </w:r>
          </w:p>
        </w:tc>
      </w:tr>
      <w:tr w14:paraId="2D8B6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787DD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1.1.4</w:t>
            </w:r>
          </w:p>
        </w:tc>
        <w:tc>
          <w:tcPr>
            <w:tcW w:w="1615" w:type="dxa"/>
            <w:vAlign w:val="center"/>
          </w:tcPr>
          <w:p w14:paraId="3549AA47">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项目名称</w:t>
            </w:r>
          </w:p>
        </w:tc>
        <w:tc>
          <w:tcPr>
            <w:tcW w:w="6519" w:type="dxa"/>
            <w:vAlign w:val="center"/>
          </w:tcPr>
          <w:p w14:paraId="25F6BCC4">
            <w:pPr>
              <w:snapToGrid w:val="0"/>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垫江县高峰镇高峰社区、大井村公路扩宽工程</w:t>
            </w:r>
          </w:p>
        </w:tc>
      </w:tr>
      <w:tr w14:paraId="69D4A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5F905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1.1.5</w:t>
            </w:r>
          </w:p>
        </w:tc>
        <w:tc>
          <w:tcPr>
            <w:tcW w:w="1615" w:type="dxa"/>
            <w:vAlign w:val="center"/>
          </w:tcPr>
          <w:p w14:paraId="3623816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建设地点</w:t>
            </w:r>
          </w:p>
        </w:tc>
        <w:tc>
          <w:tcPr>
            <w:tcW w:w="6519" w:type="dxa"/>
            <w:vAlign w:val="center"/>
          </w:tcPr>
          <w:p w14:paraId="7AA61F6A">
            <w:pPr>
              <w:snapToGrid w:val="0"/>
              <w:spacing w:line="400" w:lineRule="exact"/>
              <w:jc w:val="left"/>
              <w:rPr>
                <w:rFonts w:ascii="宋体" w:hAnsi="宋体" w:cs="宋体"/>
                <w:szCs w:val="21"/>
                <w:highlight w:val="none"/>
              </w:rPr>
            </w:pPr>
            <w:r>
              <w:rPr>
                <w:rFonts w:hint="eastAsia" w:ascii="宋体" w:hAnsi="宋体" w:cs="宋体"/>
                <w:szCs w:val="21"/>
                <w:highlight w:val="none"/>
              </w:rPr>
              <w:t>垫江县高峰镇高峰社区、大井村</w:t>
            </w:r>
          </w:p>
        </w:tc>
      </w:tr>
      <w:tr w14:paraId="6CF1B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E60F8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1.1.6</w:t>
            </w:r>
          </w:p>
        </w:tc>
        <w:tc>
          <w:tcPr>
            <w:tcW w:w="1615" w:type="dxa"/>
            <w:vAlign w:val="center"/>
          </w:tcPr>
          <w:p w14:paraId="1E978CA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项目相关单位</w:t>
            </w:r>
          </w:p>
        </w:tc>
        <w:tc>
          <w:tcPr>
            <w:tcW w:w="6519" w:type="dxa"/>
            <w:vAlign w:val="center"/>
          </w:tcPr>
          <w:p w14:paraId="5EF6FE13">
            <w:pPr>
              <w:pStyle w:val="51"/>
              <w:spacing w:line="400" w:lineRule="exact"/>
              <w:rPr>
                <w:rFonts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设计单位：</w:t>
            </w:r>
            <w:r>
              <w:rPr>
                <w:rFonts w:hint="eastAsia" w:ascii="宋体" w:hAnsi="宋体" w:eastAsia="宋体" w:cs="宋体"/>
                <w:kern w:val="2"/>
                <w:sz w:val="21"/>
                <w:szCs w:val="21"/>
                <w:highlight w:val="none"/>
                <w:u w:val="single"/>
                <w:lang w:val="en-US" w:bidi="ar-SA"/>
              </w:rPr>
              <w:t xml:space="preserve"> </w:t>
            </w:r>
            <w:r>
              <w:rPr>
                <w:rFonts w:hint="eastAsia" w:ascii="宋体" w:hAnsi="宋体" w:eastAsia="宋体" w:cs="宋体"/>
                <w:kern w:val="2"/>
                <w:sz w:val="21"/>
                <w:szCs w:val="21"/>
                <w:highlight w:val="none"/>
                <w:u w:val="single"/>
                <w:lang w:val="en-US" w:eastAsia="zh-CN" w:bidi="ar-SA"/>
              </w:rPr>
              <w:t xml:space="preserve">     /   </w:t>
            </w:r>
            <w:r>
              <w:rPr>
                <w:rFonts w:hint="eastAsia" w:ascii="宋体" w:hAnsi="宋体" w:eastAsia="宋体" w:cs="宋体"/>
                <w:kern w:val="2"/>
                <w:sz w:val="21"/>
                <w:szCs w:val="21"/>
                <w:highlight w:val="none"/>
                <w:u w:val="single"/>
                <w:lang w:val="en-US" w:bidi="ar-SA"/>
              </w:rPr>
              <w:t xml:space="preserve"> </w:t>
            </w:r>
            <w:r>
              <w:rPr>
                <w:rFonts w:hint="eastAsia" w:ascii="宋体" w:hAnsi="宋体" w:eastAsia="宋体" w:cs="宋体"/>
                <w:kern w:val="2"/>
                <w:sz w:val="21"/>
                <w:szCs w:val="21"/>
                <w:highlight w:val="none"/>
                <w:lang w:val="en-US" w:bidi="ar-SA"/>
              </w:rPr>
              <w:t>　</w:t>
            </w:r>
          </w:p>
          <w:p w14:paraId="7675BAF6">
            <w:pPr>
              <w:pStyle w:val="51"/>
              <w:spacing w:line="400" w:lineRule="exact"/>
              <w:rPr>
                <w:rFonts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施工图设计咨询服务单位：</w:t>
            </w:r>
            <w:r>
              <w:rPr>
                <w:rFonts w:hint="eastAsia" w:ascii="宋体" w:hAnsi="宋体" w:eastAsia="宋体" w:cs="宋体"/>
                <w:kern w:val="2"/>
                <w:sz w:val="21"/>
                <w:szCs w:val="21"/>
                <w:highlight w:val="none"/>
                <w:u w:val="single"/>
                <w:lang w:val="en-US" w:bidi="ar-SA"/>
              </w:rPr>
              <w:t xml:space="preserve">   /   </w:t>
            </w:r>
          </w:p>
        </w:tc>
      </w:tr>
      <w:tr w14:paraId="04AE6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9C348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1.2.1</w:t>
            </w:r>
          </w:p>
        </w:tc>
        <w:tc>
          <w:tcPr>
            <w:tcW w:w="1615" w:type="dxa"/>
            <w:vAlign w:val="center"/>
          </w:tcPr>
          <w:p w14:paraId="1F042DEC">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资金来源及比例</w:t>
            </w:r>
          </w:p>
        </w:tc>
        <w:tc>
          <w:tcPr>
            <w:tcW w:w="6519" w:type="dxa"/>
            <w:vAlign w:val="center"/>
          </w:tcPr>
          <w:p w14:paraId="435577AA">
            <w:pPr>
              <w:snapToGrid w:val="0"/>
              <w:spacing w:line="400" w:lineRule="exact"/>
              <w:ind w:firstLine="420" w:firstLineChars="200"/>
              <w:rPr>
                <w:rFonts w:ascii="宋体" w:hAnsi="宋体" w:cs="宋体"/>
                <w:szCs w:val="21"/>
                <w:highlight w:val="none"/>
              </w:rPr>
            </w:pPr>
            <w:r>
              <w:rPr>
                <w:rFonts w:hint="eastAsia" w:ascii="宋体" w:hAnsi="宋体"/>
                <w:snapToGrid w:val="0"/>
                <w:kern w:val="0"/>
                <w:position w:val="-2"/>
                <w:szCs w:val="21"/>
                <w:highlight w:val="none"/>
                <w:u w:val="single"/>
              </w:rPr>
              <w:t>垫江县2026年农村综合改革转移支付财政奖补项目资金</w:t>
            </w:r>
            <w:r>
              <w:rPr>
                <w:rFonts w:hint="eastAsia" w:ascii="宋体" w:hAnsi="宋体" w:cs="宋体"/>
                <w:szCs w:val="21"/>
                <w:highlight w:val="none"/>
              </w:rPr>
              <w:t>；</w:t>
            </w:r>
            <w:r>
              <w:rPr>
                <w:rFonts w:hint="eastAsia" w:ascii="宋体" w:hAnsi="宋体" w:cs="宋体"/>
                <w:szCs w:val="21"/>
                <w:highlight w:val="none"/>
                <w:u w:val="single"/>
              </w:rPr>
              <w:t>100%。</w:t>
            </w:r>
          </w:p>
        </w:tc>
      </w:tr>
      <w:tr w14:paraId="53BB0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FB51A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1.2.2</w:t>
            </w:r>
          </w:p>
        </w:tc>
        <w:tc>
          <w:tcPr>
            <w:tcW w:w="1615" w:type="dxa"/>
            <w:vAlign w:val="center"/>
          </w:tcPr>
          <w:p w14:paraId="2E6699E0">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资金落实情况</w:t>
            </w:r>
          </w:p>
        </w:tc>
        <w:tc>
          <w:tcPr>
            <w:tcW w:w="6519" w:type="dxa"/>
            <w:vAlign w:val="center"/>
          </w:tcPr>
          <w:p w14:paraId="7C918EE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已落实</w:t>
            </w:r>
          </w:p>
        </w:tc>
      </w:tr>
      <w:tr w14:paraId="4C336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AF907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1.3.1</w:t>
            </w:r>
          </w:p>
        </w:tc>
        <w:tc>
          <w:tcPr>
            <w:tcW w:w="1615" w:type="dxa"/>
            <w:vAlign w:val="center"/>
          </w:tcPr>
          <w:p w14:paraId="0795E07C">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比选范围</w:t>
            </w:r>
          </w:p>
        </w:tc>
        <w:tc>
          <w:tcPr>
            <w:tcW w:w="6519" w:type="dxa"/>
            <w:vAlign w:val="center"/>
          </w:tcPr>
          <w:p w14:paraId="2900E67F">
            <w:pPr>
              <w:snapToGrid w:val="0"/>
              <w:spacing w:line="400" w:lineRule="exact"/>
              <w:ind w:firstLine="420" w:firstLineChars="200"/>
              <w:rPr>
                <w:rFonts w:ascii="宋体" w:hAnsi="宋体" w:cs="宋体"/>
                <w:szCs w:val="21"/>
                <w:highlight w:val="none"/>
              </w:rPr>
            </w:pPr>
            <w:r>
              <w:rPr>
                <w:rFonts w:hint="eastAsia" w:ascii="宋体" w:hAnsi="宋体" w:cs="宋体"/>
                <w:snapToGrid w:val="0"/>
                <w:kern w:val="0"/>
                <w:szCs w:val="21"/>
                <w:highlight w:val="none"/>
              </w:rPr>
              <w:t>比选人提供的图纸、图说、竞争性比选文件（含答疑、补遗）等所有内容，具体以比选人发出的工程量清单为准。</w:t>
            </w:r>
          </w:p>
        </w:tc>
      </w:tr>
      <w:tr w14:paraId="78F7D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887D2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1.3.2</w:t>
            </w:r>
          </w:p>
        </w:tc>
        <w:tc>
          <w:tcPr>
            <w:tcW w:w="1615" w:type="dxa"/>
            <w:vAlign w:val="center"/>
          </w:tcPr>
          <w:p w14:paraId="7E00763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计划工期</w:t>
            </w:r>
          </w:p>
          <w:p w14:paraId="06586045">
            <w:pPr>
              <w:snapToGrid w:val="0"/>
              <w:spacing w:line="400" w:lineRule="exact"/>
              <w:jc w:val="center"/>
              <w:rPr>
                <w:highlight w:val="none"/>
              </w:rPr>
            </w:pPr>
            <w:r>
              <w:rPr>
                <w:rFonts w:hint="eastAsia"/>
                <w:highlight w:val="none"/>
              </w:rPr>
              <w:t>缺陷责任期</w:t>
            </w:r>
          </w:p>
        </w:tc>
        <w:tc>
          <w:tcPr>
            <w:tcW w:w="6519" w:type="dxa"/>
            <w:vAlign w:val="center"/>
          </w:tcPr>
          <w:p w14:paraId="7EF312DD">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工期：</w:t>
            </w:r>
            <w:r>
              <w:rPr>
                <w:rFonts w:hint="eastAsia" w:ascii="宋体" w:hAnsi="宋体" w:cs="宋体"/>
                <w:kern w:val="0"/>
                <w:szCs w:val="21"/>
                <w:highlight w:val="none"/>
                <w:u w:val="single"/>
                <w:lang w:val="en-US" w:eastAsia="zh-CN"/>
              </w:rPr>
              <w:t>80</w:t>
            </w:r>
            <w:r>
              <w:rPr>
                <w:rFonts w:hint="eastAsia" w:ascii="宋体" w:hAnsi="宋体" w:cs="宋体"/>
                <w:kern w:val="0"/>
                <w:szCs w:val="21"/>
                <w:highlight w:val="none"/>
                <w:u w:val="single"/>
              </w:rPr>
              <w:t>日历天</w:t>
            </w:r>
          </w:p>
          <w:p w14:paraId="020A6982">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计划开工日期：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p>
          <w:p w14:paraId="15CD0188">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计划交工日期：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p>
          <w:p w14:paraId="3A09667D">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缺陷责任期：</w:t>
            </w:r>
            <w:r>
              <w:rPr>
                <w:rFonts w:hint="eastAsia" w:ascii="宋体" w:hAnsi="宋体" w:cs="宋体"/>
                <w:kern w:val="0"/>
                <w:szCs w:val="21"/>
                <w:highlight w:val="none"/>
                <w:u w:val="single"/>
              </w:rPr>
              <w:t xml:space="preserve"> 24个月</w:t>
            </w:r>
          </w:p>
        </w:tc>
      </w:tr>
      <w:tr w14:paraId="4A5FC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E7A73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1.3.3</w:t>
            </w:r>
          </w:p>
        </w:tc>
        <w:tc>
          <w:tcPr>
            <w:tcW w:w="1615" w:type="dxa"/>
            <w:vAlign w:val="center"/>
          </w:tcPr>
          <w:p w14:paraId="14082DC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质量要求</w:t>
            </w:r>
          </w:p>
        </w:tc>
        <w:tc>
          <w:tcPr>
            <w:tcW w:w="6519" w:type="dxa"/>
            <w:vAlign w:val="center"/>
          </w:tcPr>
          <w:p w14:paraId="4E764FF7">
            <w:pPr>
              <w:spacing w:line="400" w:lineRule="exact"/>
              <w:ind w:firstLine="420" w:firstLineChars="200"/>
              <w:rPr>
                <w:rFonts w:ascii="宋体" w:hAnsi="宋体" w:cs="宋体"/>
                <w:i/>
                <w:szCs w:val="21"/>
                <w:highlight w:val="none"/>
              </w:rPr>
            </w:pPr>
            <w:r>
              <w:rPr>
                <w:rFonts w:hint="eastAsia"/>
                <w:highlight w:val="none"/>
              </w:rPr>
              <w:t>工程交（竣）工验收的质量评定：合格</w:t>
            </w:r>
          </w:p>
        </w:tc>
      </w:tr>
      <w:tr w14:paraId="4F004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4ECB9E">
            <w:pPr>
              <w:snapToGrid w:val="0"/>
              <w:spacing w:line="400" w:lineRule="exact"/>
              <w:jc w:val="center"/>
              <w:rPr>
                <w:rFonts w:ascii="宋体" w:hAnsi="宋体" w:cs="宋体"/>
                <w:szCs w:val="21"/>
                <w:highlight w:val="none"/>
              </w:rPr>
            </w:pPr>
            <w:r>
              <w:rPr>
                <w:rFonts w:hint="eastAsia" w:ascii="宋体" w:hAnsi="宋体" w:cs="宋体"/>
                <w:szCs w:val="21"/>
                <w:highlight w:val="none"/>
              </w:rPr>
              <w:t>1.3.4</w:t>
            </w:r>
          </w:p>
        </w:tc>
        <w:tc>
          <w:tcPr>
            <w:tcW w:w="1615" w:type="dxa"/>
            <w:vAlign w:val="center"/>
          </w:tcPr>
          <w:p w14:paraId="4ECE03D3">
            <w:pPr>
              <w:snapToGrid w:val="0"/>
              <w:spacing w:line="400" w:lineRule="exact"/>
              <w:jc w:val="center"/>
              <w:rPr>
                <w:rFonts w:ascii="宋体" w:hAnsi="宋体" w:cs="宋体"/>
                <w:szCs w:val="21"/>
                <w:highlight w:val="none"/>
              </w:rPr>
            </w:pPr>
            <w:r>
              <w:rPr>
                <w:rFonts w:hint="eastAsia" w:ascii="宋体" w:hAnsi="宋体" w:cs="宋体"/>
                <w:szCs w:val="21"/>
                <w:highlight w:val="none"/>
              </w:rPr>
              <w:t>安全目标</w:t>
            </w:r>
          </w:p>
        </w:tc>
        <w:tc>
          <w:tcPr>
            <w:tcW w:w="6519" w:type="dxa"/>
            <w:vAlign w:val="center"/>
          </w:tcPr>
          <w:p w14:paraId="1EBC998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安全目标评定：无安全生产事故。</w:t>
            </w:r>
          </w:p>
        </w:tc>
      </w:tr>
      <w:tr w14:paraId="065FD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406EB1">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1.4.1</w:t>
            </w:r>
          </w:p>
        </w:tc>
        <w:tc>
          <w:tcPr>
            <w:tcW w:w="1615" w:type="dxa"/>
            <w:vAlign w:val="center"/>
          </w:tcPr>
          <w:p w14:paraId="149F84F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比选申请人资质条件、能力和信誉</w:t>
            </w:r>
          </w:p>
        </w:tc>
        <w:tc>
          <w:tcPr>
            <w:tcW w:w="6519" w:type="dxa"/>
            <w:vAlign w:val="center"/>
          </w:tcPr>
          <w:p w14:paraId="0F76A754">
            <w:pPr>
              <w:autoSpaceDE w:val="0"/>
              <w:autoSpaceDN w:val="0"/>
              <w:adjustRightInd w:val="0"/>
              <w:snapToGrid w:val="0"/>
              <w:spacing w:line="400" w:lineRule="exact"/>
              <w:ind w:firstLine="420" w:firstLineChars="200"/>
              <w:rPr>
                <w:highlight w:val="none"/>
              </w:rPr>
            </w:pPr>
            <w:r>
              <w:rPr>
                <w:highlight w:val="none"/>
              </w:rPr>
              <w:t>本工程施工招标实行资格后审，</w:t>
            </w:r>
            <w:r>
              <w:rPr>
                <w:rFonts w:hint="eastAsia"/>
                <w:highlight w:val="none"/>
              </w:rPr>
              <w:t>比选申请人</w:t>
            </w:r>
            <w:r>
              <w:rPr>
                <w:highlight w:val="none"/>
              </w:rPr>
              <w:t>应具备以下资格条件：</w:t>
            </w:r>
          </w:p>
          <w:p w14:paraId="26F1DBA8">
            <w:pPr>
              <w:autoSpaceDE w:val="0"/>
              <w:autoSpaceDN w:val="0"/>
              <w:adjustRightInd w:val="0"/>
              <w:snapToGrid w:val="0"/>
              <w:spacing w:line="400" w:lineRule="exact"/>
              <w:ind w:firstLine="420" w:firstLineChars="200"/>
              <w:rPr>
                <w:highlight w:val="none"/>
              </w:rPr>
            </w:pPr>
            <w:r>
              <w:rPr>
                <w:rFonts w:hint="eastAsia"/>
                <w:highlight w:val="none"/>
              </w:rPr>
              <w:t>1、资质条件、营业执照及安全生产条件</w:t>
            </w:r>
          </w:p>
          <w:p w14:paraId="41990A25">
            <w:pPr>
              <w:autoSpaceDE w:val="0"/>
              <w:autoSpaceDN w:val="0"/>
              <w:adjustRightInd w:val="0"/>
              <w:snapToGrid w:val="0"/>
              <w:spacing w:line="400" w:lineRule="exact"/>
              <w:ind w:firstLine="420" w:firstLineChars="200"/>
              <w:rPr>
                <w:highlight w:val="none"/>
              </w:rPr>
            </w:pPr>
            <w:r>
              <w:rPr>
                <w:highlight w:val="none"/>
              </w:rPr>
              <w:t>（1）具备建设行政主管部门颁发的有效的</w:t>
            </w:r>
            <w:r>
              <w:rPr>
                <w:rFonts w:hint="eastAsia"/>
                <w:highlight w:val="none"/>
              </w:rPr>
              <w:t>公路工程施工总承包叁级及以上资质</w:t>
            </w:r>
            <w:r>
              <w:rPr>
                <w:highlight w:val="none"/>
              </w:rPr>
              <w:t>。</w:t>
            </w:r>
          </w:p>
          <w:p w14:paraId="5C8502A4">
            <w:pPr>
              <w:autoSpaceDE w:val="0"/>
              <w:autoSpaceDN w:val="0"/>
              <w:adjustRightInd w:val="0"/>
              <w:snapToGrid w:val="0"/>
              <w:spacing w:line="400" w:lineRule="exact"/>
              <w:ind w:firstLine="420" w:firstLineChars="200"/>
              <w:rPr>
                <w:highlight w:val="none"/>
              </w:rPr>
            </w:pPr>
            <w:r>
              <w:rPr>
                <w:rFonts w:hint="eastAsia"/>
                <w:highlight w:val="none"/>
              </w:rPr>
              <w:t>比选申请人须在比选申请文件资格审查部分提供有效的资质证书。</w:t>
            </w:r>
          </w:p>
          <w:p w14:paraId="6C758809">
            <w:pPr>
              <w:autoSpaceDE w:val="0"/>
              <w:autoSpaceDN w:val="0"/>
              <w:adjustRightInd w:val="0"/>
              <w:snapToGrid w:val="0"/>
              <w:spacing w:line="400" w:lineRule="exact"/>
              <w:ind w:firstLine="420" w:firstLineChars="200"/>
              <w:rPr>
                <w:highlight w:val="none"/>
              </w:rPr>
            </w:pPr>
            <w:r>
              <w:rPr>
                <w:highlight w:val="none"/>
              </w:rPr>
              <w:t>（2）具备有效的营业执照。</w:t>
            </w:r>
          </w:p>
          <w:p w14:paraId="5E11DAC0">
            <w:pPr>
              <w:autoSpaceDE w:val="0"/>
              <w:autoSpaceDN w:val="0"/>
              <w:adjustRightInd w:val="0"/>
              <w:snapToGrid w:val="0"/>
              <w:spacing w:line="400" w:lineRule="exact"/>
              <w:ind w:firstLine="420" w:firstLineChars="200"/>
              <w:rPr>
                <w:highlight w:val="none"/>
              </w:rPr>
            </w:pPr>
            <w:r>
              <w:rPr>
                <w:rFonts w:hint="eastAsia"/>
                <w:highlight w:val="none"/>
              </w:rPr>
              <w:t>比选申请人须在比选申请文件资格审查部分提供有效的营业执照。注：不得将比选申请人营业执照记载的经营范围作为评审因素。</w:t>
            </w:r>
          </w:p>
          <w:p w14:paraId="149887B9">
            <w:pPr>
              <w:autoSpaceDE w:val="0"/>
              <w:autoSpaceDN w:val="0"/>
              <w:adjustRightInd w:val="0"/>
              <w:snapToGrid w:val="0"/>
              <w:spacing w:line="400" w:lineRule="exact"/>
              <w:ind w:firstLine="420" w:firstLineChars="200"/>
              <w:rPr>
                <w:highlight w:val="none"/>
              </w:rPr>
            </w:pPr>
            <w:r>
              <w:rPr>
                <w:rFonts w:hint="eastAsia"/>
                <w:highlight w:val="none"/>
              </w:rPr>
              <w:t>（3）具备建设行政主管部门颁发的安全生产许可证, 企业主要负责人具备相应的由交通行政主管部门颁发的有效的安全生产考核合格证书。</w:t>
            </w:r>
          </w:p>
          <w:p w14:paraId="771C6B4A">
            <w:pPr>
              <w:autoSpaceDE w:val="0"/>
              <w:autoSpaceDN w:val="0"/>
              <w:adjustRightInd w:val="0"/>
              <w:snapToGrid w:val="0"/>
              <w:spacing w:line="400" w:lineRule="exact"/>
              <w:ind w:firstLine="420" w:firstLineChars="200"/>
              <w:rPr>
                <w:highlight w:val="none"/>
              </w:rPr>
            </w:pPr>
            <w:r>
              <w:rPr>
                <w:rFonts w:hint="eastAsia"/>
                <w:highlight w:val="none"/>
              </w:rPr>
              <w:t>比选申请人须在比选申请文件资格审查部分提供有效的安全生产许可证</w:t>
            </w:r>
            <w:r>
              <w:rPr>
                <w:highlight w:val="none"/>
              </w:rPr>
              <w:t>及安全生产考核合格证书</w:t>
            </w:r>
            <w:r>
              <w:rPr>
                <w:rFonts w:hint="eastAsia"/>
                <w:highlight w:val="none"/>
              </w:rPr>
              <w:t>。</w:t>
            </w:r>
          </w:p>
          <w:p w14:paraId="2A550AD9">
            <w:pPr>
              <w:autoSpaceDE w:val="0"/>
              <w:autoSpaceDN w:val="0"/>
              <w:adjustRightInd w:val="0"/>
              <w:snapToGrid w:val="0"/>
              <w:spacing w:line="400" w:lineRule="exact"/>
              <w:ind w:firstLine="420" w:firstLineChars="200"/>
              <w:rPr>
                <w:highlight w:val="none"/>
              </w:rPr>
            </w:pPr>
            <w:r>
              <w:rPr>
                <w:rFonts w:hint="eastAsia"/>
                <w:highlight w:val="none"/>
              </w:rPr>
              <w:t>□2、财务要求</w:t>
            </w:r>
          </w:p>
          <w:p w14:paraId="46062EF1">
            <w:pPr>
              <w:spacing w:line="400" w:lineRule="exact"/>
              <w:ind w:firstLine="420" w:firstLineChars="200"/>
              <w:rPr>
                <w:highlight w:val="none"/>
              </w:rPr>
            </w:pPr>
            <w:r>
              <w:rPr>
                <w:rFonts w:hint="eastAsia"/>
                <w:highlight w:val="none"/>
              </w:rPr>
              <w:t>无。</w:t>
            </w:r>
          </w:p>
          <w:p w14:paraId="5274B3E3">
            <w:pPr>
              <w:autoSpaceDE w:val="0"/>
              <w:autoSpaceDN w:val="0"/>
              <w:adjustRightInd w:val="0"/>
              <w:snapToGrid w:val="0"/>
              <w:spacing w:line="400" w:lineRule="exact"/>
              <w:ind w:firstLine="420" w:firstLineChars="200"/>
              <w:rPr>
                <w:highlight w:val="none"/>
              </w:rPr>
            </w:pPr>
            <w:r>
              <w:rPr>
                <w:rFonts w:hint="eastAsia"/>
                <w:highlight w:val="none"/>
              </w:rPr>
              <w:t>□3、业绩要求</w:t>
            </w:r>
          </w:p>
          <w:p w14:paraId="12BB41FA">
            <w:pPr>
              <w:autoSpaceDE w:val="0"/>
              <w:autoSpaceDN w:val="0"/>
              <w:adjustRightInd w:val="0"/>
              <w:snapToGrid w:val="0"/>
              <w:spacing w:line="400" w:lineRule="exact"/>
              <w:ind w:firstLine="415" w:firstLineChars="198"/>
              <w:rPr>
                <w:highlight w:val="none"/>
              </w:rPr>
            </w:pPr>
            <w:r>
              <w:rPr>
                <w:rFonts w:hint="eastAsia"/>
                <w:highlight w:val="none"/>
              </w:rPr>
              <w:t>无。</w:t>
            </w:r>
          </w:p>
          <w:p w14:paraId="7EF6E532">
            <w:pPr>
              <w:autoSpaceDE w:val="0"/>
              <w:autoSpaceDN w:val="0"/>
              <w:adjustRightInd w:val="0"/>
              <w:snapToGrid w:val="0"/>
              <w:spacing w:line="400" w:lineRule="exact"/>
              <w:ind w:firstLine="420" w:firstLineChars="200"/>
              <w:rPr>
                <w:highlight w:val="none"/>
              </w:rPr>
            </w:pPr>
            <w:r>
              <w:rPr>
                <w:rFonts w:hint="eastAsia"/>
                <w:highlight w:val="none"/>
              </w:rPr>
              <w:t>4、投标截止日投标资格情况要求</w:t>
            </w:r>
          </w:p>
          <w:p w14:paraId="60C5B038">
            <w:pPr>
              <w:snapToGrid w:val="0"/>
              <w:spacing w:line="400" w:lineRule="exact"/>
              <w:ind w:firstLine="420" w:firstLineChars="200"/>
              <w:rPr>
                <w:highlight w:val="none"/>
              </w:rPr>
            </w:pPr>
            <w:r>
              <w:rPr>
                <w:rFonts w:hint="eastAsia"/>
                <w:highlight w:val="none"/>
              </w:rPr>
              <w:t>比选申请人自行承诺（格式见第九章比选申请文件格式）不得存在下列情形之一：</w:t>
            </w:r>
          </w:p>
          <w:p w14:paraId="5258FEAA">
            <w:pPr>
              <w:snapToGrid w:val="0"/>
              <w:spacing w:line="400" w:lineRule="exact"/>
              <w:ind w:firstLine="420" w:firstLineChars="200"/>
              <w:jc w:val="left"/>
              <w:rPr>
                <w:highlight w:val="none"/>
              </w:rPr>
            </w:pPr>
            <w:r>
              <w:rPr>
                <w:rFonts w:hint="eastAsia"/>
                <w:highlight w:val="none"/>
              </w:rPr>
              <w:t>（1）被人民法院列入失信被执行人名单且在被执行期内；</w:t>
            </w:r>
          </w:p>
          <w:p w14:paraId="0A50E9A9">
            <w:pPr>
              <w:snapToGrid w:val="0"/>
              <w:spacing w:line="400" w:lineRule="exact"/>
              <w:ind w:firstLine="420" w:firstLineChars="200"/>
              <w:rPr>
                <w:highlight w:val="none"/>
              </w:rPr>
            </w:pPr>
            <w:r>
              <w:rPr>
                <w:rFonts w:hint="eastAsia"/>
                <w:highlight w:val="none"/>
              </w:rPr>
              <w:t>（2）被列入《重庆市工程建设领域招标投标信用管理暂行办法》规定的重点关注名单且记分达到12分且在记分有效期内；</w:t>
            </w:r>
          </w:p>
          <w:p w14:paraId="7DC70787">
            <w:pPr>
              <w:snapToGrid w:val="0"/>
              <w:spacing w:line="400" w:lineRule="exact"/>
              <w:ind w:firstLine="420" w:firstLineChars="200"/>
              <w:rPr>
                <w:highlight w:val="none"/>
              </w:rPr>
            </w:pPr>
            <w:r>
              <w:rPr>
                <w:rFonts w:hint="eastAsia"/>
                <w:highlight w:val="none"/>
              </w:rPr>
              <w:t>（3）被列入《重庆市工程建设领域招标投标信用管理暂行办法》规定的重庆市工程建设领域招标投标失信惩戒对象名单（以下称黑名单）且在记分有效期内；</w:t>
            </w:r>
          </w:p>
          <w:p w14:paraId="70C40059">
            <w:pPr>
              <w:snapToGrid w:val="0"/>
              <w:spacing w:line="400" w:lineRule="exact"/>
              <w:ind w:firstLine="420" w:firstLineChars="200"/>
              <w:rPr>
                <w:highlight w:val="none"/>
              </w:rPr>
            </w:pPr>
            <w:r>
              <w:rPr>
                <w:rFonts w:hint="eastAsia"/>
                <w:highlight w:val="none"/>
              </w:rPr>
              <w:t>（4）被国家、重庆市（含市或任意区县）有关行政部门处以暂停投标资格行政处罚，且在处罚期限内；</w:t>
            </w:r>
          </w:p>
          <w:p w14:paraId="4EC588AD">
            <w:pPr>
              <w:spacing w:line="400" w:lineRule="exact"/>
              <w:ind w:firstLine="420" w:firstLineChars="200"/>
              <w:rPr>
                <w:highlight w:val="none"/>
              </w:rPr>
            </w:pPr>
            <w:r>
              <w:rPr>
                <w:rFonts w:hint="eastAsia"/>
                <w:highlight w:val="none"/>
              </w:rPr>
              <w:t>（5）被重庆市市级有关行业主管部门暂停在渝承揽新业务且在暂停期内；</w:t>
            </w:r>
          </w:p>
          <w:p w14:paraId="148B56C4">
            <w:pPr>
              <w:spacing w:line="400" w:lineRule="exact"/>
              <w:ind w:firstLine="420" w:firstLineChars="200"/>
              <w:rPr>
                <w:highlight w:val="none"/>
              </w:rPr>
            </w:pPr>
            <w:r>
              <w:rPr>
                <w:rFonts w:hint="eastAsia"/>
                <w:highlight w:val="none"/>
              </w:rPr>
              <w:t>（6）被责令停业，暂扣或吊销执照，或吊销资质证书；</w:t>
            </w:r>
          </w:p>
          <w:p w14:paraId="18F29065">
            <w:pPr>
              <w:spacing w:line="400" w:lineRule="exact"/>
              <w:ind w:firstLine="420" w:firstLineChars="200"/>
              <w:rPr>
                <w:highlight w:val="none"/>
              </w:rPr>
            </w:pPr>
            <w:r>
              <w:rPr>
                <w:rFonts w:hint="eastAsia"/>
                <w:highlight w:val="none"/>
              </w:rPr>
              <w:t>（7）进入清算程序，或被宣告破产，或其他丧失履约能力的情形；</w:t>
            </w:r>
          </w:p>
          <w:p w14:paraId="0DE944B8">
            <w:pPr>
              <w:spacing w:line="400" w:lineRule="exact"/>
              <w:ind w:firstLine="420" w:firstLineChars="200"/>
              <w:rPr>
                <w:highlight w:val="none"/>
              </w:rPr>
            </w:pPr>
            <w:r>
              <w:rPr>
                <w:rFonts w:hint="eastAsia"/>
                <w:highlight w:val="none"/>
              </w:rPr>
              <w:t>（8）在国家企业信用信息公示系统（http://www.gsxt.gov.cn/）中被列入严重违法失信企业名单；</w:t>
            </w:r>
          </w:p>
          <w:p w14:paraId="45551EB2">
            <w:pPr>
              <w:spacing w:line="400" w:lineRule="exact"/>
              <w:ind w:firstLine="420" w:firstLineChars="200"/>
              <w:rPr>
                <w:highlight w:val="none"/>
              </w:rPr>
            </w:pPr>
            <w:r>
              <w:rPr>
                <w:rFonts w:hint="eastAsia"/>
                <w:highlight w:val="none"/>
              </w:rPr>
              <w:t>（9）比选申请人或其法定代表人、拟委任的项目经理在近两年内有行贿犯罪行为的。</w:t>
            </w:r>
          </w:p>
          <w:p w14:paraId="4E7A9796">
            <w:pPr>
              <w:spacing w:line="400" w:lineRule="exact"/>
              <w:ind w:firstLine="420" w:firstLineChars="200"/>
              <w:rPr>
                <w:highlight w:val="none"/>
              </w:rPr>
            </w:pPr>
            <w:r>
              <w:rPr>
                <w:rFonts w:hint="eastAsia"/>
                <w:highlight w:val="none"/>
              </w:rPr>
              <w:t>比选申请人须在比选申请文件资格审查部分提供承诺。</w:t>
            </w:r>
          </w:p>
          <w:p w14:paraId="1D73D55C">
            <w:pPr>
              <w:spacing w:line="400" w:lineRule="exact"/>
              <w:ind w:firstLine="420" w:firstLineChars="200"/>
              <w:rPr>
                <w:highlight w:val="none"/>
              </w:rPr>
            </w:pPr>
            <w:r>
              <w:rPr>
                <w:rFonts w:hint="eastAsia"/>
                <w:highlight w:val="none"/>
              </w:rPr>
              <w:t>上述第（2）、（3）款信用情况在开标现场进行查询，查询结果交由评标委员会评审，若比选申请人针对上述第（2）、（3）款的承诺内容与查询结果不符，由评标委员会作否决投标处理。</w:t>
            </w:r>
          </w:p>
          <w:p w14:paraId="74A057B9">
            <w:pPr>
              <w:spacing w:line="400" w:lineRule="exact"/>
              <w:ind w:firstLine="420" w:firstLineChars="200"/>
              <w:rPr>
                <w:highlight w:val="none"/>
              </w:rPr>
            </w:pPr>
            <w:r>
              <w:rPr>
                <w:rFonts w:hint="eastAsia"/>
                <w:highlight w:val="none"/>
              </w:rPr>
              <w:t>注：比选申请人是否因有不良行为记分、进入重点关注名单或黑名单而被限制投标的，以开标环节信用状况查询结果为准。联合体投标的，任一成员单位出现被限制投标的情形，该联合体将被否决投标。</w:t>
            </w:r>
          </w:p>
          <w:p w14:paraId="6E6E702D">
            <w:pPr>
              <w:autoSpaceDE w:val="0"/>
              <w:autoSpaceDN w:val="0"/>
              <w:adjustRightInd w:val="0"/>
              <w:snapToGrid w:val="0"/>
              <w:spacing w:line="400" w:lineRule="exact"/>
              <w:ind w:firstLine="420" w:firstLineChars="200"/>
              <w:rPr>
                <w:highlight w:val="none"/>
              </w:rPr>
            </w:pPr>
            <w:r>
              <w:rPr>
                <w:rFonts w:hint="eastAsia"/>
                <w:highlight w:val="none"/>
              </w:rPr>
              <w:t>5、项目经理和项目总工资格</w:t>
            </w:r>
          </w:p>
          <w:p w14:paraId="0A2B3EDB">
            <w:pPr>
              <w:spacing w:line="400" w:lineRule="exact"/>
              <w:ind w:firstLine="420" w:firstLineChars="200"/>
              <w:rPr>
                <w:highlight w:val="none"/>
              </w:rPr>
            </w:pPr>
            <w:r>
              <w:rPr>
                <w:rFonts w:hint="eastAsia"/>
                <w:highlight w:val="none"/>
              </w:rPr>
              <w:t>5.1项目经理：1 人。</w:t>
            </w:r>
          </w:p>
          <w:p w14:paraId="37C49D13">
            <w:pPr>
              <w:snapToGrid w:val="0"/>
              <w:spacing w:line="400" w:lineRule="exact"/>
              <w:ind w:firstLine="420" w:firstLineChars="200"/>
              <w:rPr>
                <w:highlight w:val="none"/>
              </w:rPr>
            </w:pPr>
            <w:r>
              <w:rPr>
                <w:rFonts w:hint="eastAsia"/>
                <w:highlight w:val="none"/>
              </w:rPr>
              <w:t>5.1.1比选申请人拟派的</w:t>
            </w:r>
            <w:r>
              <w:rPr>
                <w:highlight w:val="none"/>
              </w:rPr>
              <w:t>项目经理必须已在</w:t>
            </w:r>
            <w:r>
              <w:rPr>
                <w:rFonts w:hint="eastAsia"/>
                <w:highlight w:val="none"/>
              </w:rPr>
              <w:t>比选申请人本</w:t>
            </w:r>
            <w:r>
              <w:rPr>
                <w:highlight w:val="none"/>
              </w:rPr>
              <w:t>单位注册并应具有</w:t>
            </w:r>
            <w:r>
              <w:rPr>
                <w:rFonts w:hint="eastAsia"/>
                <w:highlight w:val="none"/>
              </w:rPr>
              <w:t>公路工程专业二</w:t>
            </w:r>
            <w:r>
              <w:rPr>
                <w:highlight w:val="none"/>
              </w:rPr>
              <w:t>级及以上注册建造师执业资格</w:t>
            </w:r>
            <w:r>
              <w:rPr>
                <w:rFonts w:hint="eastAsia"/>
                <w:highlight w:val="none"/>
              </w:rPr>
              <w:t>，并具有省级及以上交通行政主管部门颁发的安全生产考核合格证书（B类）。</w:t>
            </w:r>
          </w:p>
          <w:p w14:paraId="5CF2F93E">
            <w:pPr>
              <w:snapToGrid w:val="0"/>
              <w:spacing w:line="400" w:lineRule="exact"/>
              <w:ind w:firstLine="420" w:firstLineChars="200"/>
              <w:rPr>
                <w:highlight w:val="none"/>
              </w:rPr>
            </w:pPr>
            <w:r>
              <w:rPr>
                <w:rFonts w:hint="eastAsia"/>
                <w:highlight w:val="none"/>
              </w:rPr>
              <w:t>5.1.2项目经理承诺要求：比选申请人须承诺拟派项目经理按注册建造师的相关规定到岗履职和未被禁止参与投标。</w:t>
            </w:r>
          </w:p>
          <w:p w14:paraId="0087D987">
            <w:pPr>
              <w:snapToGrid w:val="0"/>
              <w:spacing w:line="400" w:lineRule="exact"/>
              <w:ind w:firstLine="420" w:firstLineChars="200"/>
              <w:rPr>
                <w:highlight w:val="none"/>
              </w:rPr>
            </w:pPr>
            <w:r>
              <w:rPr>
                <w:rFonts w:hint="eastAsia"/>
                <w:highlight w:val="none"/>
              </w:rPr>
              <w:t>5.1.2.1到岗履职承诺要求：承诺拟派项目经理中标后在本项目任职，签订合同时拟派的项目经理必须与比选申请文件中的项目经理一致，并满足办理施工许可手续的相关要求。不能按承诺到岗履约的，按合同相关条款处罚并上报行政主管部门，给比选人造成损失的，比选申请人依法承担违约赔偿责任。拟派项目经理中标后不得随意更换。</w:t>
            </w:r>
          </w:p>
          <w:p w14:paraId="717641AE">
            <w:pPr>
              <w:snapToGrid w:val="0"/>
              <w:spacing w:line="400" w:lineRule="exact"/>
              <w:ind w:firstLine="420" w:firstLineChars="200"/>
              <w:rPr>
                <w:highlight w:val="none"/>
              </w:rPr>
            </w:pPr>
            <w:r>
              <w:rPr>
                <w:rFonts w:hint="eastAsia"/>
                <w:highlight w:val="none"/>
              </w:rPr>
              <w:t>5.1.2.2未被禁止参与投标承诺要求：承诺拟派项目经理未被重庆市市级有关行业主管部门暂停在渝承揽新业务。若被暂停在渝承揽新业务但仍参加投标，将被否决投标；已取得中标候选人资格或中标资格的，比选人有权取消其中标候选人资格或中标资格；给比选人造成损失的，比选申请人依法承担违约赔偿责任。</w:t>
            </w:r>
          </w:p>
          <w:p w14:paraId="3FDD2CF3">
            <w:pPr>
              <w:snapToGrid w:val="0"/>
              <w:spacing w:line="400" w:lineRule="exact"/>
              <w:ind w:firstLine="420" w:firstLineChars="200"/>
              <w:rPr>
                <w:highlight w:val="none"/>
              </w:rPr>
            </w:pPr>
            <w:r>
              <w:rPr>
                <w:rFonts w:hint="eastAsia"/>
                <w:highlight w:val="none"/>
              </w:rPr>
              <w:t>5.1.2.3</w:t>
            </w:r>
            <w:r>
              <w:rPr>
                <w:highlight w:val="none"/>
              </w:rPr>
              <w:t>项目经理的其它承诺要求：为保证</w:t>
            </w:r>
            <w:r>
              <w:rPr>
                <w:rFonts w:hint="eastAsia"/>
                <w:highlight w:val="none"/>
              </w:rPr>
              <w:t>比选申请人</w:t>
            </w:r>
            <w:r>
              <w:rPr>
                <w:highlight w:val="none"/>
              </w:rPr>
              <w:t>拟派的项目经理到本项目到岗履职，</w:t>
            </w:r>
            <w:r>
              <w:rPr>
                <w:rFonts w:hint="eastAsia"/>
                <w:highlight w:val="none"/>
              </w:rPr>
              <w:t>比选申请人</w:t>
            </w:r>
            <w:r>
              <w:rPr>
                <w:highlight w:val="none"/>
              </w:rPr>
              <w:t>还需承诺：</w:t>
            </w:r>
          </w:p>
          <w:p w14:paraId="6D5ADC8F">
            <w:pPr>
              <w:snapToGrid w:val="0"/>
              <w:spacing w:line="400" w:lineRule="exact"/>
              <w:ind w:firstLine="420" w:firstLineChars="200"/>
              <w:rPr>
                <w:highlight w:val="none"/>
              </w:rPr>
            </w:pPr>
            <w:r>
              <w:rPr>
                <w:highlight w:val="none"/>
              </w:rPr>
              <w:t>若</w:t>
            </w:r>
            <w:r>
              <w:rPr>
                <w:rFonts w:hint="eastAsia"/>
                <w:highlight w:val="none"/>
              </w:rPr>
              <w:t>比选申请人</w:t>
            </w:r>
            <w:r>
              <w:rPr>
                <w:highlight w:val="none"/>
              </w:rPr>
              <w:t>拟派本项目的项目经理有在其他项目任职的情形的（或有在其他项目中标或拟中标的情形的），应在收到中标通知书后 14 日内，办理完成放弃在其他项目任职的手续（或办理完成放弃在其他项目中标</w:t>
            </w:r>
            <w:r>
              <w:rPr>
                <w:rFonts w:hint="eastAsia"/>
                <w:highlight w:val="none"/>
              </w:rPr>
              <w:t>或拟中标</w:t>
            </w:r>
            <w:r>
              <w:rPr>
                <w:highlight w:val="none"/>
              </w:rPr>
              <w:t>的手续），</w:t>
            </w:r>
            <w:r>
              <w:rPr>
                <w:rFonts w:hint="eastAsia"/>
                <w:highlight w:val="none"/>
              </w:rPr>
              <w:t>比选人</w:t>
            </w:r>
            <w:r>
              <w:rPr>
                <w:highlight w:val="none"/>
              </w:rPr>
              <w:t>在合同签订前有权对</w:t>
            </w:r>
            <w:r>
              <w:rPr>
                <w:rFonts w:hint="eastAsia"/>
                <w:highlight w:val="none"/>
              </w:rPr>
              <w:t>比选申请人</w:t>
            </w:r>
            <w:r>
              <w:rPr>
                <w:highlight w:val="none"/>
              </w:rPr>
              <w:t>拟派项目经理在其他项目的任职情形（或在其他项目的中标或拟中标情形）进行核查，若与</w:t>
            </w:r>
            <w:r>
              <w:rPr>
                <w:rFonts w:hint="eastAsia"/>
                <w:highlight w:val="none"/>
              </w:rPr>
              <w:t>比选申请人</w:t>
            </w:r>
            <w:r>
              <w:rPr>
                <w:highlight w:val="none"/>
              </w:rPr>
              <w:t>承诺内容不符或</w:t>
            </w:r>
            <w:r>
              <w:rPr>
                <w:rFonts w:hint="eastAsia"/>
                <w:highlight w:val="none"/>
              </w:rPr>
              <w:t>比选申请人</w:t>
            </w:r>
            <w:r>
              <w:rPr>
                <w:highlight w:val="none"/>
              </w:rPr>
              <w:t>未在上述时间内按照</w:t>
            </w:r>
            <w:r>
              <w:rPr>
                <w:rFonts w:hint="eastAsia"/>
                <w:highlight w:val="none"/>
              </w:rPr>
              <w:t>比选文件</w:t>
            </w:r>
            <w:r>
              <w:rPr>
                <w:highlight w:val="none"/>
              </w:rPr>
              <w:t>规定递交放弃在其他项目任职、中标或拟中标的相关资料，视为</w:t>
            </w:r>
            <w:r>
              <w:rPr>
                <w:rFonts w:hint="eastAsia"/>
                <w:highlight w:val="none"/>
              </w:rPr>
              <w:t>比选申请人</w:t>
            </w:r>
            <w:r>
              <w:rPr>
                <w:highlight w:val="none"/>
              </w:rPr>
              <w:t>放弃中标资格，</w:t>
            </w:r>
            <w:r>
              <w:rPr>
                <w:rFonts w:hint="eastAsia"/>
                <w:highlight w:val="none"/>
              </w:rPr>
              <w:t>比选人</w:t>
            </w:r>
            <w:r>
              <w:rPr>
                <w:highlight w:val="none"/>
              </w:rPr>
              <w:t>不退还其投标保证金。在合同签订时，</w:t>
            </w:r>
            <w:r>
              <w:rPr>
                <w:rFonts w:hint="eastAsia"/>
                <w:highlight w:val="none"/>
              </w:rPr>
              <w:t>比选申请人</w:t>
            </w:r>
            <w:r>
              <w:rPr>
                <w:highlight w:val="none"/>
              </w:rPr>
              <w:t>需确保拟派项目经理符合《建筑施工企业项目经理资质管理办法》规定的项目经理任职条件，否则视为</w:t>
            </w:r>
            <w:r>
              <w:rPr>
                <w:rFonts w:hint="eastAsia"/>
                <w:highlight w:val="none"/>
              </w:rPr>
              <w:t>比选申请人</w:t>
            </w:r>
            <w:r>
              <w:rPr>
                <w:highlight w:val="none"/>
              </w:rPr>
              <w:t>放弃中标资格，</w:t>
            </w:r>
            <w:r>
              <w:rPr>
                <w:rFonts w:hint="eastAsia"/>
                <w:highlight w:val="none"/>
              </w:rPr>
              <w:t>比选人</w:t>
            </w:r>
            <w:r>
              <w:rPr>
                <w:highlight w:val="none"/>
              </w:rPr>
              <w:t>不退还其投标保证金。</w:t>
            </w:r>
          </w:p>
          <w:p w14:paraId="5D3B03BF">
            <w:pPr>
              <w:snapToGrid w:val="0"/>
              <w:spacing w:line="400" w:lineRule="exact"/>
              <w:ind w:firstLine="420" w:firstLineChars="200"/>
              <w:rPr>
                <w:highlight w:val="none"/>
              </w:rPr>
            </w:pPr>
            <w:r>
              <w:rPr>
                <w:highlight w:val="none"/>
              </w:rPr>
              <w:t>放弃在其他项目任职的需提供</w:t>
            </w:r>
            <w:r>
              <w:rPr>
                <w:rFonts w:hint="eastAsia"/>
                <w:highlight w:val="none"/>
              </w:rPr>
              <w:t>：</w:t>
            </w:r>
            <w:r>
              <w:rPr>
                <w:highlight w:val="none"/>
              </w:rPr>
              <w:t>①</w:t>
            </w:r>
            <w:r>
              <w:rPr>
                <w:rFonts w:hint="eastAsia"/>
                <w:highlight w:val="none"/>
              </w:rPr>
              <w:t>经</w:t>
            </w:r>
            <w:r>
              <w:rPr>
                <w:highlight w:val="none"/>
              </w:rPr>
              <w:t>业主或建设单位同意任职变更的文件；②负责项目监管的行业行政主管部门出具同意任职变更的证明材料。</w:t>
            </w:r>
          </w:p>
          <w:p w14:paraId="6A86BA85">
            <w:pPr>
              <w:snapToGrid w:val="0"/>
              <w:spacing w:line="400" w:lineRule="exact"/>
              <w:ind w:firstLine="420" w:firstLineChars="200"/>
              <w:rPr>
                <w:highlight w:val="none"/>
              </w:rPr>
            </w:pPr>
            <w:r>
              <w:rPr>
                <w:highlight w:val="none"/>
              </w:rPr>
              <w:t>放弃在其他项目中标或拟中标的需提供</w:t>
            </w:r>
            <w:r>
              <w:rPr>
                <w:rFonts w:hint="eastAsia"/>
                <w:highlight w:val="none"/>
              </w:rPr>
              <w:t>：</w:t>
            </w:r>
            <w:r>
              <w:rPr>
                <w:highlight w:val="none"/>
              </w:rPr>
              <w:t>①经中标或拟中标的其他项目建设单位同意的放弃中标函</w:t>
            </w:r>
            <w:r>
              <w:rPr>
                <w:rFonts w:hint="eastAsia"/>
                <w:highlight w:val="none"/>
              </w:rPr>
              <w:t>。</w:t>
            </w:r>
          </w:p>
          <w:p w14:paraId="23379153">
            <w:pPr>
              <w:snapToGrid w:val="0"/>
              <w:spacing w:line="400" w:lineRule="exact"/>
              <w:ind w:firstLine="420" w:firstLineChars="200"/>
              <w:rPr>
                <w:highlight w:val="none"/>
              </w:rPr>
            </w:pPr>
            <w:r>
              <w:rPr>
                <w:rFonts w:hint="eastAsia"/>
                <w:highlight w:val="none"/>
              </w:rPr>
              <w:t>5.1.2.4未提供上述承诺或承诺内容不符合要求的，由评标委员会作否决投标处理</w:t>
            </w:r>
            <w:r>
              <w:rPr>
                <w:highlight w:val="none"/>
              </w:rPr>
              <w:t>。</w:t>
            </w:r>
          </w:p>
          <w:p w14:paraId="17B8284A">
            <w:pPr>
              <w:snapToGrid w:val="0"/>
              <w:spacing w:line="400" w:lineRule="exact"/>
              <w:ind w:firstLine="420" w:firstLineChars="200"/>
              <w:rPr>
                <w:highlight w:val="none"/>
              </w:rPr>
            </w:pPr>
            <w:r>
              <w:rPr>
                <w:rFonts w:hint="eastAsia"/>
                <w:highlight w:val="none"/>
              </w:rPr>
              <w:t>比选申请人必须在比选申请文件资格审查部分提供有效的拟派项目经理身份证、建造师注册证、安全生产考核合格证书（B类）、比选申请人为其交纳的养老保险证明材料，拟派项目经理到岗履职和未被禁止参与投标的承诺（承诺格式见第九章比选申请文件格式）。</w:t>
            </w:r>
          </w:p>
          <w:p w14:paraId="5CF43663">
            <w:pPr>
              <w:snapToGrid w:val="0"/>
              <w:spacing w:line="400" w:lineRule="exact"/>
              <w:ind w:firstLine="420" w:firstLineChars="200"/>
              <w:rPr>
                <w:highlight w:val="none"/>
              </w:rPr>
            </w:pPr>
            <w:r>
              <w:rPr>
                <w:rFonts w:hint="eastAsia"/>
                <w:highlight w:val="none"/>
              </w:rPr>
              <w:t>注：（1）提供拟派的项目经理为一级建造师或重庆市二级建造师注册人员的，必须提供建造师电子注册证书，且该建造师电子注册证书须由建造师本人在个人签名处手写本人签名。</w:t>
            </w:r>
          </w:p>
          <w:p w14:paraId="589CD7D6">
            <w:pPr>
              <w:snapToGrid w:val="0"/>
              <w:spacing w:line="400" w:lineRule="exact"/>
              <w:ind w:firstLine="420" w:firstLineChars="200"/>
              <w:rPr>
                <w:highlight w:val="none"/>
              </w:rPr>
            </w:pPr>
            <w:r>
              <w:rPr>
                <w:rFonts w:hint="eastAsia"/>
                <w:highlight w:val="none"/>
              </w:rPr>
              <w:t>（2）重庆市以外的省级住房城乡建设主管部门对二级建造师电子注册证书使用有明确规定的，从其规定。未规定使用电子注册证书的，可提供纸质证书扫描件。</w:t>
            </w:r>
          </w:p>
          <w:p w14:paraId="4D2F0CDD">
            <w:pPr>
              <w:autoSpaceDE w:val="0"/>
              <w:autoSpaceDN w:val="0"/>
              <w:adjustRightInd w:val="0"/>
              <w:snapToGrid w:val="0"/>
              <w:spacing w:line="400" w:lineRule="exact"/>
              <w:ind w:firstLine="420" w:firstLineChars="200"/>
              <w:rPr>
                <w:highlight w:val="none"/>
              </w:rPr>
            </w:pPr>
            <w:r>
              <w:rPr>
                <w:rFonts w:hint="eastAsia"/>
                <w:highlight w:val="none"/>
              </w:rPr>
              <w:t>（3）建造师电子注册证书本人手写签名与签名图像笔迹是否一致不作为否决投标的情形。</w:t>
            </w:r>
          </w:p>
          <w:p w14:paraId="464466A6">
            <w:pPr>
              <w:spacing w:line="400" w:lineRule="exact"/>
              <w:ind w:firstLine="420" w:firstLineChars="200"/>
              <w:rPr>
                <w:highlight w:val="none"/>
              </w:rPr>
            </w:pPr>
            <w:r>
              <w:rPr>
                <w:rFonts w:hint="eastAsia"/>
                <w:highlight w:val="none"/>
              </w:rPr>
              <w:t>5.2项目总工：1人。</w:t>
            </w:r>
          </w:p>
          <w:p w14:paraId="3A6A6F03">
            <w:pPr>
              <w:autoSpaceDE w:val="0"/>
              <w:autoSpaceDN w:val="0"/>
              <w:adjustRightInd w:val="0"/>
              <w:snapToGrid w:val="0"/>
              <w:spacing w:line="400" w:lineRule="exact"/>
              <w:ind w:firstLine="420" w:firstLineChars="200"/>
              <w:rPr>
                <w:highlight w:val="none"/>
              </w:rPr>
            </w:pPr>
            <w:r>
              <w:rPr>
                <w:rFonts w:hint="eastAsia"/>
                <w:highlight w:val="none"/>
              </w:rPr>
              <w:t>5.2.1比选申请人拟派的项目总工</w:t>
            </w:r>
            <w:r>
              <w:rPr>
                <w:highlight w:val="none"/>
              </w:rPr>
              <w:t>应具有</w:t>
            </w:r>
            <w:r>
              <w:rPr>
                <w:rFonts w:hint="eastAsia"/>
                <w:highlight w:val="none"/>
                <w:u w:val="single"/>
              </w:rPr>
              <w:t>公路工程</w:t>
            </w:r>
            <w:r>
              <w:rPr>
                <w:rFonts w:hint="eastAsia"/>
                <w:highlight w:val="none"/>
              </w:rPr>
              <w:t>专业中</w:t>
            </w:r>
            <w:r>
              <w:rPr>
                <w:highlight w:val="none"/>
              </w:rPr>
              <w:t>级及以上职称</w:t>
            </w:r>
            <w:r>
              <w:rPr>
                <w:rFonts w:hint="eastAsia"/>
                <w:highlight w:val="none"/>
              </w:rPr>
              <w:t>，并具有省级及以上交通行政主管部门颁发的安全生产考核合格证书（B类）。</w:t>
            </w:r>
          </w:p>
          <w:p w14:paraId="3D451264">
            <w:pPr>
              <w:snapToGrid w:val="0"/>
              <w:spacing w:line="400" w:lineRule="exact"/>
              <w:ind w:firstLine="420" w:firstLineChars="200"/>
              <w:rPr>
                <w:highlight w:val="none"/>
              </w:rPr>
            </w:pPr>
            <w:r>
              <w:rPr>
                <w:rFonts w:hint="eastAsia"/>
                <w:highlight w:val="none"/>
              </w:rPr>
              <w:t>5.2.2项目总工承诺要求：比选申请人须承诺拟派项目总工按相关规定到岗履职和未被禁止参与投标。</w:t>
            </w:r>
          </w:p>
          <w:p w14:paraId="6BA858C4">
            <w:pPr>
              <w:snapToGrid w:val="0"/>
              <w:spacing w:line="400" w:lineRule="exact"/>
              <w:ind w:firstLine="420" w:firstLineChars="200"/>
              <w:rPr>
                <w:highlight w:val="none"/>
              </w:rPr>
            </w:pPr>
            <w:r>
              <w:rPr>
                <w:rFonts w:hint="eastAsia"/>
                <w:highlight w:val="none"/>
              </w:rPr>
              <w:t>5.2.2.1到岗履职承诺要求：承诺拟派项目总工中标后只能在本项目任职，签订合同时拟派的项目总工必须与比选申请文件中的项目总工一致，并满足办理施工许可手续的相关要求。不能按承诺到岗履约的，按合同相关条款处罚并上报行政主管部门，给比选人造成损失的，比选申请人依法承担违约赔偿责任。拟派项目总工中标后不得随意更换。</w:t>
            </w:r>
          </w:p>
          <w:p w14:paraId="2A95FF26">
            <w:pPr>
              <w:snapToGrid w:val="0"/>
              <w:spacing w:line="400" w:lineRule="exact"/>
              <w:ind w:firstLine="420" w:firstLineChars="200"/>
              <w:rPr>
                <w:highlight w:val="none"/>
              </w:rPr>
            </w:pPr>
            <w:r>
              <w:rPr>
                <w:rFonts w:hint="eastAsia"/>
                <w:highlight w:val="none"/>
              </w:rPr>
              <w:t>5.2.2.2未被禁止参与投标承诺要求：承诺拟派项目总工未被重庆市交通主管部门暂停在渝承揽新业务。若被暂停在渝承揽新业务但仍参加投标，将被否决投标；已取得中标候选人资格或中标资格的，比选人有权取消其中标候选人资格或中标资格；给比选人造成损失的，比选申请人依法承担违约赔偿责任。</w:t>
            </w:r>
          </w:p>
          <w:p w14:paraId="71949010">
            <w:pPr>
              <w:snapToGrid w:val="0"/>
              <w:spacing w:line="400" w:lineRule="exact"/>
              <w:ind w:firstLine="420" w:firstLineChars="200"/>
              <w:rPr>
                <w:highlight w:val="none"/>
              </w:rPr>
            </w:pPr>
            <w:r>
              <w:rPr>
                <w:rFonts w:hint="eastAsia"/>
                <w:highlight w:val="none"/>
              </w:rPr>
              <w:t>5.2.2.3未提供上述承诺或承诺内容不符合要求的，由评标委员会作否决投标处理</w:t>
            </w:r>
            <w:r>
              <w:rPr>
                <w:highlight w:val="none"/>
              </w:rPr>
              <w:t>。</w:t>
            </w:r>
          </w:p>
          <w:p w14:paraId="12751968">
            <w:pPr>
              <w:autoSpaceDE w:val="0"/>
              <w:autoSpaceDN w:val="0"/>
              <w:adjustRightInd w:val="0"/>
              <w:snapToGrid w:val="0"/>
              <w:spacing w:line="400" w:lineRule="exact"/>
              <w:ind w:firstLine="420" w:firstLineChars="200"/>
              <w:rPr>
                <w:highlight w:val="none"/>
              </w:rPr>
            </w:pPr>
            <w:r>
              <w:rPr>
                <w:rFonts w:hint="eastAsia"/>
                <w:highlight w:val="none"/>
              </w:rPr>
              <w:t>比选申请人必须在比选申请文件资格审查部分提供有效的拟派项目总工身份证、职称证、安全生产考核合格证书（B类）、比选申请人为其交纳的养老保险证明材料，拟派项目总工到岗履职和未被禁止参与投标的承诺（承诺格式见第九章比选申请文件格式）。</w:t>
            </w:r>
          </w:p>
          <w:p w14:paraId="18D961C5">
            <w:pPr>
              <w:autoSpaceDE w:val="0"/>
              <w:autoSpaceDN w:val="0"/>
              <w:adjustRightInd w:val="0"/>
              <w:snapToGrid w:val="0"/>
              <w:spacing w:line="400" w:lineRule="exact"/>
              <w:ind w:firstLine="420" w:firstLineChars="200"/>
              <w:rPr>
                <w:highlight w:val="none"/>
              </w:rPr>
            </w:pPr>
            <w:r>
              <w:rPr>
                <w:rFonts w:hint="eastAsia"/>
                <w:highlight w:val="none"/>
              </w:rPr>
              <w:t>☑6、其他管理和技术人员要求</w:t>
            </w:r>
          </w:p>
          <w:p w14:paraId="3F76735E">
            <w:pPr>
              <w:spacing w:line="400" w:lineRule="exact"/>
              <w:ind w:firstLine="420" w:firstLineChars="200"/>
              <w:rPr>
                <w:highlight w:val="none"/>
              </w:rPr>
            </w:pPr>
            <w:r>
              <w:rPr>
                <w:rFonts w:hint="eastAsia"/>
                <w:highlight w:val="none"/>
              </w:rPr>
              <w:t>投标时比选申请人只须在比选申请文件资格审查部分提供拟投入其他管理和技术人员承诺，无需提供人员的具体证明材料，具体人员由比选人和中标人在合同谈判阶段确定。</w:t>
            </w:r>
          </w:p>
          <w:p w14:paraId="6D6A5B5D">
            <w:pPr>
              <w:spacing w:line="400" w:lineRule="exact"/>
              <w:ind w:firstLine="420" w:firstLineChars="200"/>
              <w:rPr>
                <w:highlight w:val="none"/>
              </w:rPr>
            </w:pPr>
            <w:r>
              <w:rPr>
                <w:rFonts w:hint="eastAsia"/>
                <w:highlight w:val="none"/>
              </w:rPr>
              <w:t>☑7、主要机械设备和试验检测设备要求</w:t>
            </w:r>
          </w:p>
          <w:p w14:paraId="5C0D836F">
            <w:pPr>
              <w:spacing w:line="400" w:lineRule="exact"/>
              <w:ind w:firstLine="420" w:firstLineChars="200"/>
              <w:rPr>
                <w:highlight w:val="none"/>
              </w:rPr>
            </w:pPr>
            <w:r>
              <w:rPr>
                <w:rFonts w:hint="eastAsia"/>
                <w:highlight w:val="none"/>
              </w:rPr>
              <w:t>投标时比选申请人只须在比选申请文件资格审查部分提供拟投入主要机械设备和试验检测设备承诺，无需提供设备的具体证明材料，具体设备由比选人和中标人在合同谈判阶段确定。</w:t>
            </w:r>
          </w:p>
          <w:p w14:paraId="427EA689">
            <w:pPr>
              <w:autoSpaceDE w:val="0"/>
              <w:autoSpaceDN w:val="0"/>
              <w:adjustRightInd w:val="0"/>
              <w:snapToGrid w:val="0"/>
              <w:spacing w:line="400" w:lineRule="exact"/>
              <w:ind w:firstLine="420" w:firstLineChars="200"/>
              <w:rPr>
                <w:highlight w:val="none"/>
              </w:rPr>
            </w:pPr>
            <w:r>
              <w:rPr>
                <w:rFonts w:hint="eastAsia"/>
                <w:highlight w:val="none"/>
              </w:rPr>
              <w:t>8、委托代理人：</w:t>
            </w:r>
          </w:p>
          <w:p w14:paraId="323C0151">
            <w:pPr>
              <w:spacing w:line="400" w:lineRule="exact"/>
              <w:ind w:firstLine="420" w:firstLineChars="200"/>
              <w:rPr>
                <w:highlight w:val="none"/>
              </w:rPr>
            </w:pPr>
            <w:r>
              <w:rPr>
                <w:rFonts w:hint="eastAsia"/>
                <w:highlight w:val="none"/>
              </w:rPr>
              <w:t>委托代理人必须为比选申请人本单位人员。</w:t>
            </w:r>
          </w:p>
          <w:p w14:paraId="78F2A6A1">
            <w:pPr>
              <w:spacing w:line="400" w:lineRule="exact"/>
              <w:ind w:firstLine="420" w:firstLineChars="200"/>
              <w:rPr>
                <w:highlight w:val="none"/>
              </w:rPr>
            </w:pPr>
            <w:r>
              <w:rPr>
                <w:rFonts w:hint="eastAsia"/>
                <w:highlight w:val="none"/>
              </w:rPr>
              <w:t>比选申请人须在比选申请文件资格审查部分提供比选申请人为该委托代理人缴纳的养老保险证明。否则，将由评标委员会作否决投标处理。</w:t>
            </w:r>
          </w:p>
          <w:p w14:paraId="028EBD14">
            <w:pPr>
              <w:autoSpaceDE w:val="0"/>
              <w:autoSpaceDN w:val="0"/>
              <w:adjustRightInd w:val="0"/>
              <w:snapToGrid w:val="0"/>
              <w:spacing w:line="400" w:lineRule="exact"/>
              <w:ind w:firstLine="415" w:firstLineChars="198"/>
              <w:rPr>
                <w:highlight w:val="none"/>
              </w:rPr>
            </w:pPr>
            <w:r>
              <w:rPr>
                <w:rFonts w:hint="eastAsia"/>
                <w:highlight w:val="none"/>
              </w:rPr>
              <w:t>特别说明：</w:t>
            </w:r>
          </w:p>
          <w:p w14:paraId="769B80F9">
            <w:pPr>
              <w:autoSpaceDE w:val="0"/>
              <w:autoSpaceDN w:val="0"/>
              <w:adjustRightInd w:val="0"/>
              <w:snapToGrid w:val="0"/>
              <w:spacing w:line="400" w:lineRule="exact"/>
              <w:ind w:firstLine="420" w:firstLineChars="200"/>
              <w:rPr>
                <w:highlight w:val="none"/>
              </w:rPr>
            </w:pPr>
            <w:r>
              <w:rPr>
                <w:rFonts w:hint="eastAsia"/>
                <w:highlight w:val="none"/>
              </w:rPr>
              <w:t>（1）</w:t>
            </w:r>
            <w:r>
              <w:rPr>
                <w:rFonts w:hint="eastAsia" w:ascii="宋体" w:hAnsi="宋体" w:cs="宋体"/>
                <w:szCs w:val="21"/>
                <w:highlight w:val="none"/>
              </w:rPr>
              <w:t>上述要求须提交的相关证明材料复印件均应加盖投标单位法人章并装入比选申请文件资格审查部分中。投标时比选申请人的委托代理人须随身携带以上所有复印件的原件及原件清单（营业执照、资质证书、带二维码的证件、身份证、网页打印件、截图、承诺书、声明除外），在递交比选申请文件时一次性递交，不得补交，原件袋必须密封。评标委员会审查时必须对有关证明和证件的原件核查，若经审查复印件与原件不一致，或未提交原件的，则比选申请文件由评标委员会作否决投标处理。上述要求</w:t>
            </w:r>
            <w:r>
              <w:rPr>
                <w:rFonts w:hint="eastAsia" w:ascii="宋体" w:hAnsi="宋体" w:cs="宋体"/>
                <w:kern w:val="0"/>
                <w:szCs w:val="21"/>
                <w:highlight w:val="none"/>
              </w:rPr>
              <w:t>，有一条不满足则比选申请文件由评标委员会</w:t>
            </w:r>
            <w:r>
              <w:rPr>
                <w:rFonts w:hint="eastAsia" w:ascii="宋体" w:hAnsi="宋体" w:cs="宋体"/>
                <w:szCs w:val="21"/>
                <w:highlight w:val="none"/>
              </w:rPr>
              <w:t>作否决投标处理</w:t>
            </w:r>
            <w:r>
              <w:rPr>
                <w:rFonts w:hint="eastAsia"/>
                <w:highlight w:val="none"/>
              </w:rPr>
              <w:t>。</w:t>
            </w:r>
          </w:p>
          <w:p w14:paraId="33F904ED">
            <w:pPr>
              <w:autoSpaceDE w:val="0"/>
              <w:autoSpaceDN w:val="0"/>
              <w:adjustRightInd w:val="0"/>
              <w:snapToGrid w:val="0"/>
              <w:spacing w:line="400" w:lineRule="exact"/>
              <w:ind w:firstLine="420" w:firstLineChars="200"/>
              <w:rPr>
                <w:highlight w:val="none"/>
              </w:rPr>
            </w:pPr>
            <w:r>
              <w:rPr>
                <w:rFonts w:hint="eastAsia"/>
                <w:highlight w:val="none"/>
              </w:rPr>
              <w:t>（2）比选申请人须自行承诺其提供的上述相关证明材料真实有效，不存在弄虚作假情形（格式见第九章比选申请文件格式）。比选人在合同签订前均有权对比选申请人提供的资料进行核实，若发现弄虚作假，按相关规定取消其中标资格，并按相关法律法规报招标投标监督部门，其投标保证金不予退还，比选申请人承担因此造成的相关责任并赔偿相应损失。</w:t>
            </w:r>
          </w:p>
          <w:p w14:paraId="74C70603">
            <w:pPr>
              <w:spacing w:line="400" w:lineRule="exact"/>
              <w:ind w:firstLine="420" w:firstLineChars="200"/>
              <w:rPr>
                <w:highlight w:val="none"/>
              </w:rPr>
            </w:pPr>
            <w:r>
              <w:rPr>
                <w:rFonts w:hint="eastAsia"/>
                <w:highlight w:val="none"/>
              </w:rPr>
              <w:t>（3）本比选文件中所要求的人员养老保险证明要求如下：</w:t>
            </w:r>
          </w:p>
          <w:p w14:paraId="01F4A350">
            <w:pPr>
              <w:spacing w:line="400" w:lineRule="exact"/>
              <w:ind w:firstLine="420" w:firstLineChars="200"/>
              <w:rPr>
                <w:highlight w:val="none"/>
              </w:rPr>
            </w:pPr>
            <w:r>
              <w:rPr>
                <w:rFonts w:hint="eastAsia"/>
                <w:highlight w:val="none"/>
              </w:rPr>
              <w:t>①企业提供养老保险证明，事业单位提供养老保险证明或行政主管部门在编证明。</w:t>
            </w:r>
          </w:p>
          <w:p w14:paraId="3D1492EC">
            <w:pPr>
              <w:spacing w:line="400" w:lineRule="exact"/>
              <w:ind w:firstLine="420" w:firstLineChars="200"/>
              <w:rPr>
                <w:highlight w:val="none"/>
              </w:rPr>
            </w:pPr>
            <w:r>
              <w:rPr>
                <w:rFonts w:hint="eastAsia"/>
                <w:highlight w:val="none"/>
              </w:rPr>
              <w:t>②项目经理、项目总工和委托代理人的连续养老保险证明期限须包含202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月至202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ascii="宋体" w:hAnsi="宋体"/>
                <w:bCs/>
                <w:szCs w:val="21"/>
                <w:highlight w:val="none"/>
              </w:rPr>
              <w:t>养老保险证明原件必须加盖社保部门公章，提供的养老保险参保证明须体现上述人员的姓名、身份证号（或社保号）、单位名称、本单位参保时间（或起始参保时间）。为确保对所有比选申请人的公开、公平、公正，比选申请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11E6C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17EE46">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1.4.2</w:t>
            </w:r>
          </w:p>
        </w:tc>
        <w:tc>
          <w:tcPr>
            <w:tcW w:w="1615" w:type="dxa"/>
            <w:vAlign w:val="center"/>
          </w:tcPr>
          <w:p w14:paraId="6CC0FAD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是否接受联合体投标</w:t>
            </w:r>
          </w:p>
        </w:tc>
        <w:tc>
          <w:tcPr>
            <w:tcW w:w="6519" w:type="dxa"/>
            <w:vAlign w:val="center"/>
          </w:tcPr>
          <w:p w14:paraId="43D36904">
            <w:pPr>
              <w:snapToGrid w:val="0"/>
              <w:spacing w:line="400" w:lineRule="exact"/>
              <w:ind w:firstLine="420" w:firstLineChars="200"/>
              <w:rPr>
                <w:rFonts w:ascii="宋体" w:hAnsi="宋体" w:cs="宋体"/>
                <w:bCs/>
                <w:szCs w:val="21"/>
                <w:highlight w:val="none"/>
              </w:rPr>
            </w:pPr>
            <w:r>
              <w:rPr>
                <w:rFonts w:hint="eastAsia" w:ascii="宋体" w:hAnsi="宋体" w:cs="宋体"/>
                <w:kern w:val="0"/>
                <w:szCs w:val="21"/>
                <w:highlight w:val="none"/>
              </w:rPr>
              <w:t>不接受</w:t>
            </w:r>
          </w:p>
        </w:tc>
      </w:tr>
      <w:tr w14:paraId="564FE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84E2E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1.4.3</w:t>
            </w:r>
          </w:p>
        </w:tc>
        <w:tc>
          <w:tcPr>
            <w:tcW w:w="1615" w:type="dxa"/>
            <w:vAlign w:val="center"/>
          </w:tcPr>
          <w:p w14:paraId="436ABD3C">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比选申请人不得存在的其他关联情形</w:t>
            </w:r>
          </w:p>
        </w:tc>
        <w:tc>
          <w:tcPr>
            <w:tcW w:w="6519" w:type="dxa"/>
            <w:vAlign w:val="center"/>
          </w:tcPr>
          <w:p w14:paraId="54C1AF6A">
            <w:pPr>
              <w:tabs>
                <w:tab w:val="left" w:pos="212"/>
              </w:tabs>
              <w:snapToGrid w:val="0"/>
              <w:spacing w:line="400" w:lineRule="exact"/>
              <w:ind w:firstLine="420" w:firstLineChars="200"/>
              <w:rPr>
                <w:rFonts w:ascii="宋体" w:hAnsi="宋体" w:cs="宋体"/>
                <w:kern w:val="0"/>
                <w:szCs w:val="21"/>
                <w:highlight w:val="none"/>
              </w:rPr>
            </w:pPr>
            <w:r>
              <w:rPr>
                <w:rFonts w:hint="eastAsia" w:ascii="宋体" w:hAnsi="宋体" w:cs="宋体"/>
                <w:bCs/>
                <w:iCs/>
                <w:szCs w:val="21"/>
                <w:highlight w:val="none"/>
              </w:rPr>
              <w:t>无</w:t>
            </w:r>
          </w:p>
        </w:tc>
      </w:tr>
      <w:tr w14:paraId="69EED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A6F4D9">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1.11.1</w:t>
            </w:r>
          </w:p>
        </w:tc>
        <w:tc>
          <w:tcPr>
            <w:tcW w:w="1615" w:type="dxa"/>
            <w:vAlign w:val="center"/>
          </w:tcPr>
          <w:p w14:paraId="327C5F9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分包</w:t>
            </w:r>
          </w:p>
        </w:tc>
        <w:tc>
          <w:tcPr>
            <w:tcW w:w="6519" w:type="dxa"/>
            <w:vAlign w:val="center"/>
          </w:tcPr>
          <w:p w14:paraId="34D37F8E">
            <w:pPr>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不允许</w:t>
            </w:r>
          </w:p>
        </w:tc>
      </w:tr>
      <w:tr w14:paraId="414F4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9C7B71">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615" w:type="dxa"/>
            <w:vAlign w:val="center"/>
          </w:tcPr>
          <w:p w14:paraId="473B2AA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构成比选文件的其他材料</w:t>
            </w:r>
          </w:p>
        </w:tc>
        <w:tc>
          <w:tcPr>
            <w:tcW w:w="6519" w:type="dxa"/>
            <w:vAlign w:val="center"/>
          </w:tcPr>
          <w:p w14:paraId="53BA3BE4">
            <w:pPr>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比选人发出的澄清及修改</w:t>
            </w:r>
          </w:p>
        </w:tc>
      </w:tr>
      <w:tr w14:paraId="5D304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9CDC4C">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2.2.1</w:t>
            </w:r>
          </w:p>
        </w:tc>
        <w:tc>
          <w:tcPr>
            <w:tcW w:w="1615" w:type="dxa"/>
            <w:vAlign w:val="center"/>
          </w:tcPr>
          <w:p w14:paraId="29222487">
            <w:pPr>
              <w:widowControl/>
              <w:spacing w:line="400" w:lineRule="exact"/>
              <w:jc w:val="center"/>
              <w:rPr>
                <w:rFonts w:ascii="宋体" w:hAnsi="宋体" w:cs="宋体"/>
                <w:kern w:val="0"/>
                <w:szCs w:val="21"/>
                <w:highlight w:val="none"/>
              </w:rPr>
            </w:pPr>
            <w:r>
              <w:rPr>
                <w:rFonts w:hint="eastAsia" w:ascii="宋体" w:hAnsi="宋体"/>
                <w:kern w:val="0"/>
                <w:szCs w:val="21"/>
                <w:highlight w:val="none"/>
              </w:rPr>
              <w:t>比选申请人</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提出</w:t>
            </w:r>
            <w:r>
              <w:rPr>
                <w:rFonts w:hint="eastAsia" w:ascii="宋体" w:hAnsi="宋体"/>
                <w:kern w:val="0"/>
                <w:szCs w:val="21"/>
                <w:highlight w:val="none"/>
              </w:rPr>
              <w:t>疑问</w:t>
            </w:r>
            <w:r>
              <w:rPr>
                <w:rFonts w:ascii="宋体" w:hAnsi="宋体"/>
                <w:kern w:val="0"/>
                <w:szCs w:val="21"/>
                <w:highlight w:val="none"/>
              </w:rPr>
              <w:t>的截止时间</w:t>
            </w:r>
          </w:p>
        </w:tc>
        <w:tc>
          <w:tcPr>
            <w:tcW w:w="6519" w:type="dxa"/>
            <w:vAlign w:val="center"/>
          </w:tcPr>
          <w:p w14:paraId="6E733B50">
            <w:pPr>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比选申请人应仔细阅读比选文件及附件的所有内容，如有文字表述不清，图纸尺寸标注不明以及存在错、漏、缺、概念模糊和有可能出现歧义或理解上的偏差的内容等应在</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u w:val="single"/>
              </w:rPr>
              <w:t>日12时00分</w:t>
            </w:r>
            <w:r>
              <w:rPr>
                <w:rFonts w:hint="eastAsia" w:ascii="宋体" w:hAnsi="宋体" w:cs="宋体"/>
                <w:kern w:val="0"/>
                <w:szCs w:val="21"/>
                <w:highlight w:val="none"/>
              </w:rPr>
              <w:t>前在以书面形式提交招标代理机构。</w:t>
            </w:r>
          </w:p>
        </w:tc>
      </w:tr>
      <w:tr w14:paraId="1D523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Merge w:val="restart"/>
            <w:vAlign w:val="center"/>
          </w:tcPr>
          <w:p w14:paraId="4475046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2.2.2</w:t>
            </w:r>
          </w:p>
        </w:tc>
        <w:tc>
          <w:tcPr>
            <w:tcW w:w="1615" w:type="dxa"/>
            <w:vAlign w:val="center"/>
          </w:tcPr>
          <w:p w14:paraId="79C478D2">
            <w:pPr>
              <w:widowControl/>
              <w:spacing w:line="400" w:lineRule="exact"/>
              <w:jc w:val="center"/>
              <w:rPr>
                <w:rFonts w:ascii="宋体" w:hAnsi="宋体" w:cs="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w:t>
            </w:r>
            <w:r>
              <w:rPr>
                <w:rFonts w:hint="eastAsia" w:ascii="宋体" w:hAnsi="宋体"/>
                <w:kern w:val="0"/>
                <w:szCs w:val="21"/>
                <w:highlight w:val="none"/>
              </w:rPr>
              <w:t>比选文件澄清</w:t>
            </w:r>
            <w:r>
              <w:rPr>
                <w:rFonts w:ascii="宋体" w:hAnsi="宋体"/>
                <w:kern w:val="0"/>
                <w:szCs w:val="21"/>
                <w:highlight w:val="none"/>
              </w:rPr>
              <w:t>的截止时间</w:t>
            </w:r>
          </w:p>
        </w:tc>
        <w:tc>
          <w:tcPr>
            <w:tcW w:w="6519" w:type="dxa"/>
            <w:vAlign w:val="center"/>
          </w:tcPr>
          <w:p w14:paraId="30EB020A">
            <w:pPr>
              <w:snapToGrid w:val="0"/>
              <w:spacing w:line="400" w:lineRule="exact"/>
              <w:ind w:firstLine="420" w:firstLineChars="200"/>
              <w:rPr>
                <w:rFonts w:ascii="宋体" w:hAnsi="宋体" w:cs="宋体"/>
                <w:kern w:val="0"/>
                <w:szCs w:val="21"/>
                <w:highlight w:val="none"/>
                <w:u w:val="single"/>
              </w:rPr>
            </w:pPr>
            <w:r>
              <w:rPr>
                <w:rFonts w:hint="eastAsia" w:ascii="宋体" w:hAnsi="宋体"/>
                <w:szCs w:val="21"/>
                <w:highlight w:val="none"/>
              </w:rPr>
              <w:t>比选人应在</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u w:val="single"/>
              </w:rPr>
              <w:t>日17时00分</w:t>
            </w:r>
            <w:r>
              <w:rPr>
                <w:rFonts w:hint="eastAsia" w:ascii="宋体" w:hAnsi="宋体" w:cs="宋体"/>
                <w:kern w:val="0"/>
                <w:szCs w:val="21"/>
                <w:highlight w:val="none"/>
              </w:rPr>
              <w:t>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rPr>
              <w:t>垫江县人民政府网（http://www.cqsdj.gov.cn）发布澄清</w:t>
            </w:r>
            <w:r>
              <w:rPr>
                <w:rFonts w:ascii="宋体" w:hAnsi="宋体"/>
                <w:kern w:val="0"/>
                <w:szCs w:val="21"/>
                <w:highlight w:val="none"/>
              </w:rPr>
              <w:t>。</w:t>
            </w:r>
          </w:p>
        </w:tc>
      </w:tr>
      <w:tr w14:paraId="0F057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7F68B5D4">
            <w:pPr>
              <w:snapToGrid w:val="0"/>
              <w:spacing w:line="400" w:lineRule="exact"/>
              <w:jc w:val="center"/>
              <w:rPr>
                <w:rFonts w:ascii="宋体" w:hAnsi="宋体" w:cs="宋体"/>
                <w:kern w:val="0"/>
                <w:szCs w:val="21"/>
                <w:highlight w:val="none"/>
              </w:rPr>
            </w:pPr>
          </w:p>
        </w:tc>
        <w:tc>
          <w:tcPr>
            <w:tcW w:w="1615" w:type="dxa"/>
            <w:vAlign w:val="center"/>
          </w:tcPr>
          <w:p w14:paraId="30BCC798">
            <w:pPr>
              <w:widowControl/>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519" w:type="dxa"/>
            <w:vAlign w:val="center"/>
          </w:tcPr>
          <w:p w14:paraId="36C8D481">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u w:val="single"/>
              </w:rPr>
              <w:t>详见竞争性比选公告规定的投标截止时间。</w:t>
            </w:r>
          </w:p>
        </w:tc>
      </w:tr>
      <w:tr w14:paraId="61424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7336E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2.2.3</w:t>
            </w:r>
          </w:p>
        </w:tc>
        <w:tc>
          <w:tcPr>
            <w:tcW w:w="1615" w:type="dxa"/>
            <w:vAlign w:val="center"/>
          </w:tcPr>
          <w:p w14:paraId="38838760">
            <w:pPr>
              <w:widowControl/>
              <w:spacing w:line="400" w:lineRule="exact"/>
              <w:jc w:val="center"/>
              <w:rPr>
                <w:rFonts w:ascii="宋体" w:hAnsi="宋体" w:cs="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进行</w:t>
            </w:r>
            <w:r>
              <w:rPr>
                <w:rFonts w:hint="eastAsia" w:ascii="宋体" w:hAnsi="宋体"/>
                <w:kern w:val="0"/>
                <w:szCs w:val="21"/>
                <w:highlight w:val="none"/>
              </w:rPr>
              <w:t>修改</w:t>
            </w:r>
            <w:r>
              <w:rPr>
                <w:rFonts w:ascii="宋体" w:hAnsi="宋体"/>
                <w:kern w:val="0"/>
                <w:szCs w:val="21"/>
                <w:highlight w:val="none"/>
              </w:rPr>
              <w:t>的时间</w:t>
            </w:r>
          </w:p>
        </w:tc>
        <w:tc>
          <w:tcPr>
            <w:tcW w:w="6519" w:type="dxa"/>
            <w:vAlign w:val="center"/>
          </w:tcPr>
          <w:p w14:paraId="4E8B5EB0">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修改</w:t>
            </w:r>
            <w:r>
              <w:rPr>
                <w:rFonts w:ascii="宋体" w:hAnsi="宋体"/>
                <w:snapToGrid w:val="0"/>
                <w:kern w:val="0"/>
                <w:szCs w:val="21"/>
                <w:highlight w:val="none"/>
              </w:rPr>
              <w:t>内容可能影响</w:t>
            </w:r>
            <w:r>
              <w:rPr>
                <w:rFonts w:hint="eastAsia" w:ascii="宋体" w:hAnsi="宋体"/>
                <w:snapToGrid w:val="0"/>
                <w:kern w:val="0"/>
                <w:szCs w:val="21"/>
                <w:highlight w:val="none"/>
              </w:rPr>
              <w:t>比选申请文件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rPr>
              <w:t>5</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rPr>
              <w:t>5</w:t>
            </w:r>
            <w:r>
              <w:rPr>
                <w:rFonts w:ascii="宋体" w:hAnsi="宋体"/>
                <w:snapToGrid w:val="0"/>
                <w:kern w:val="0"/>
                <w:szCs w:val="21"/>
                <w:highlight w:val="none"/>
              </w:rPr>
              <w:t>日的，须相应延后投标截止时间。</w:t>
            </w:r>
          </w:p>
        </w:tc>
      </w:tr>
      <w:tr w14:paraId="3574B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3A7BD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2.2.4</w:t>
            </w:r>
          </w:p>
        </w:tc>
        <w:tc>
          <w:tcPr>
            <w:tcW w:w="1615" w:type="dxa"/>
            <w:vAlign w:val="center"/>
          </w:tcPr>
          <w:p w14:paraId="3DDC2D87">
            <w:pPr>
              <w:widowControl/>
              <w:spacing w:line="400" w:lineRule="exact"/>
              <w:jc w:val="center"/>
              <w:rPr>
                <w:rFonts w:ascii="宋体" w:hAnsi="宋体" w:cs="宋体"/>
                <w:kern w:val="0"/>
                <w:szCs w:val="21"/>
                <w:highlight w:val="none"/>
                <w:lang w:bidi="ar"/>
              </w:rPr>
            </w:pPr>
            <w:r>
              <w:rPr>
                <w:rFonts w:hint="eastAsia" w:ascii="宋体" w:hAnsi="宋体"/>
                <w:kern w:val="0"/>
                <w:szCs w:val="21"/>
                <w:highlight w:val="none"/>
              </w:rPr>
              <w:t>比选申请人</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及</w:t>
            </w:r>
            <w:r>
              <w:rPr>
                <w:rFonts w:hint="eastAsia" w:ascii="宋体" w:hAnsi="宋体"/>
                <w:kern w:val="0"/>
                <w:szCs w:val="21"/>
                <w:highlight w:val="none"/>
              </w:rPr>
              <w:t>澄清修改</w:t>
            </w:r>
            <w:r>
              <w:rPr>
                <w:rFonts w:ascii="宋体" w:hAnsi="宋体"/>
                <w:kern w:val="0"/>
                <w:szCs w:val="21"/>
                <w:highlight w:val="none"/>
              </w:rPr>
              <w:t>提出异议的截止时间</w:t>
            </w:r>
          </w:p>
        </w:tc>
        <w:tc>
          <w:tcPr>
            <w:tcW w:w="6519" w:type="dxa"/>
            <w:vAlign w:val="center"/>
          </w:tcPr>
          <w:p w14:paraId="7EF0526E">
            <w:pPr>
              <w:widowControl/>
              <w:spacing w:line="400" w:lineRule="exact"/>
              <w:ind w:firstLine="420" w:firstLineChars="200"/>
              <w:jc w:val="left"/>
              <w:rPr>
                <w:rFonts w:ascii="宋体" w:hAnsi="宋体" w:cs="宋体"/>
                <w:kern w:val="0"/>
                <w:szCs w:val="21"/>
                <w:highlight w:val="none"/>
                <w:lang w:bidi="ar"/>
              </w:rPr>
            </w:pPr>
            <w:r>
              <w:rPr>
                <w:rFonts w:hint="eastAsia" w:ascii="宋体" w:hAnsi="宋体"/>
                <w:snapToGrid w:val="0"/>
                <w:kern w:val="0"/>
                <w:szCs w:val="21"/>
                <w:highlight w:val="none"/>
              </w:rPr>
              <w:t>比选申请人</w:t>
            </w:r>
            <w:r>
              <w:rPr>
                <w:rFonts w:ascii="宋体" w:hAnsi="宋体"/>
                <w:snapToGrid w:val="0"/>
                <w:kern w:val="0"/>
                <w:szCs w:val="21"/>
                <w:highlight w:val="none"/>
              </w:rPr>
              <w:t>对</w:t>
            </w:r>
            <w:r>
              <w:rPr>
                <w:rFonts w:hint="eastAsia" w:ascii="宋体" w:hAnsi="宋体"/>
                <w:snapToGrid w:val="0"/>
                <w:kern w:val="0"/>
                <w:szCs w:val="21"/>
                <w:highlight w:val="none"/>
              </w:rPr>
              <w:t>比选文件</w:t>
            </w:r>
            <w:r>
              <w:rPr>
                <w:rFonts w:ascii="宋体" w:hAnsi="宋体"/>
                <w:snapToGrid w:val="0"/>
                <w:kern w:val="0"/>
                <w:szCs w:val="21"/>
                <w:highlight w:val="none"/>
              </w:rPr>
              <w:t>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w:t>
            </w:r>
            <w:r>
              <w:rPr>
                <w:rFonts w:hint="eastAsia" w:ascii="宋体" w:hAnsi="宋体"/>
                <w:snapToGrid w:val="0"/>
                <w:kern w:val="0"/>
                <w:szCs w:val="21"/>
                <w:highlight w:val="none"/>
              </w:rPr>
              <w:t>以书面形式通过代理机构提出</w:t>
            </w:r>
            <w:r>
              <w:rPr>
                <w:rFonts w:ascii="宋体" w:hAnsi="宋体"/>
                <w:snapToGrid w:val="0"/>
                <w:kern w:val="0"/>
                <w:szCs w:val="21"/>
                <w:highlight w:val="none"/>
              </w:rPr>
              <w:t>。</w:t>
            </w:r>
            <w:r>
              <w:rPr>
                <w:rFonts w:hint="eastAsia" w:ascii="宋体" w:hAnsi="宋体"/>
                <w:snapToGrid w:val="0"/>
                <w:kern w:val="0"/>
                <w:szCs w:val="21"/>
                <w:highlight w:val="none"/>
              </w:rPr>
              <w:t>比选人</w:t>
            </w:r>
            <w:r>
              <w:rPr>
                <w:rFonts w:ascii="宋体" w:hAnsi="宋体"/>
                <w:snapToGrid w:val="0"/>
                <w:kern w:val="0"/>
                <w:szCs w:val="21"/>
                <w:highlight w:val="none"/>
              </w:rPr>
              <w:t>应当自收到异议之日起3日内做出答复，</w:t>
            </w:r>
            <w:r>
              <w:rPr>
                <w:rFonts w:hint="eastAsia" w:ascii="宋体" w:hAnsi="宋体"/>
                <w:snapToGrid w:val="0"/>
                <w:kern w:val="0"/>
                <w:szCs w:val="21"/>
                <w:highlight w:val="none"/>
              </w:rPr>
              <w:t>答复内容可能影响比选申请文件编制的，将以修改的形式于投标截止时间5日前在</w:t>
            </w:r>
            <w:r>
              <w:rPr>
                <w:rFonts w:hint="eastAsia" w:ascii="宋体" w:hAnsi="宋体"/>
                <w:kern w:val="0"/>
                <w:szCs w:val="21"/>
                <w:highlight w:val="none"/>
              </w:rPr>
              <w:t>垫江县人民政府网（http://www.cqsdj.gov.cn）</w:t>
            </w:r>
            <w:r>
              <w:rPr>
                <w:rFonts w:hint="eastAsia" w:ascii="宋体" w:hAnsi="宋体"/>
                <w:snapToGrid w:val="0"/>
                <w:kern w:val="0"/>
                <w:szCs w:val="21"/>
                <w:highlight w:val="none"/>
              </w:rPr>
              <w:t>澄清修改区发布。发布时间至投标截止时间不足5日的，须相应延后投标截止时间。</w:t>
            </w:r>
          </w:p>
        </w:tc>
      </w:tr>
      <w:tr w14:paraId="78F88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5FECF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3.1.1</w:t>
            </w:r>
          </w:p>
        </w:tc>
        <w:tc>
          <w:tcPr>
            <w:tcW w:w="1615" w:type="dxa"/>
            <w:vAlign w:val="center"/>
          </w:tcPr>
          <w:p w14:paraId="42DBF848">
            <w:pPr>
              <w:widowControl/>
              <w:spacing w:line="400" w:lineRule="exact"/>
              <w:jc w:val="center"/>
              <w:rPr>
                <w:rFonts w:ascii="宋体" w:hAnsi="宋体" w:cs="宋体"/>
                <w:kern w:val="0"/>
                <w:szCs w:val="21"/>
                <w:highlight w:val="none"/>
                <w:lang w:bidi="ar"/>
              </w:rPr>
            </w:pPr>
            <w:r>
              <w:rPr>
                <w:rFonts w:hint="eastAsia" w:ascii="宋体" w:hAnsi="宋体" w:cs="宋体"/>
                <w:spacing w:val="-1"/>
                <w:szCs w:val="21"/>
                <w:highlight w:val="none"/>
              </w:rPr>
              <w:t>构成比选申请文件的其他资料</w:t>
            </w:r>
          </w:p>
        </w:tc>
        <w:tc>
          <w:tcPr>
            <w:tcW w:w="6519" w:type="dxa"/>
            <w:vAlign w:val="center"/>
          </w:tcPr>
          <w:p w14:paraId="573225B1">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比选申请人的书面澄清、说明和补正（但不得改变比选申请文件的实质性内容）</w:t>
            </w:r>
          </w:p>
        </w:tc>
      </w:tr>
      <w:tr w14:paraId="3246C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335" w:type="dxa"/>
            <w:vMerge w:val="restart"/>
            <w:vAlign w:val="center"/>
          </w:tcPr>
          <w:p w14:paraId="2C262D80">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3.2.1</w:t>
            </w:r>
          </w:p>
        </w:tc>
        <w:tc>
          <w:tcPr>
            <w:tcW w:w="1615" w:type="dxa"/>
            <w:vAlign w:val="center"/>
          </w:tcPr>
          <w:p w14:paraId="4B002E0E">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增值税税金的计算方法</w:t>
            </w:r>
          </w:p>
        </w:tc>
        <w:tc>
          <w:tcPr>
            <w:tcW w:w="6519" w:type="dxa"/>
            <w:vAlign w:val="center"/>
          </w:tcPr>
          <w:p w14:paraId="78D828C6">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一般计税法</w:t>
            </w:r>
          </w:p>
        </w:tc>
      </w:tr>
      <w:tr w14:paraId="5D30A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5C2C3E1A">
            <w:pPr>
              <w:snapToGrid w:val="0"/>
              <w:spacing w:line="400" w:lineRule="exact"/>
              <w:jc w:val="center"/>
              <w:rPr>
                <w:rFonts w:ascii="宋体" w:hAnsi="宋体" w:cs="宋体"/>
                <w:snapToGrid w:val="0"/>
                <w:kern w:val="0"/>
                <w:szCs w:val="21"/>
                <w:highlight w:val="none"/>
              </w:rPr>
            </w:pPr>
          </w:p>
        </w:tc>
        <w:tc>
          <w:tcPr>
            <w:tcW w:w="1615" w:type="dxa"/>
            <w:vAlign w:val="center"/>
          </w:tcPr>
          <w:p w14:paraId="4856C81A">
            <w:pPr>
              <w:snapToGrid w:val="0"/>
              <w:spacing w:line="400" w:lineRule="exact"/>
              <w:jc w:val="center"/>
              <w:rPr>
                <w:rFonts w:ascii="宋体" w:hAnsi="宋体" w:cs="宋体"/>
                <w:szCs w:val="21"/>
                <w:highlight w:val="none"/>
              </w:rPr>
            </w:pPr>
            <w:r>
              <w:rPr>
                <w:rFonts w:hint="eastAsia" w:ascii="宋体" w:hAnsi="宋体" w:cs="宋体"/>
                <w:szCs w:val="21"/>
                <w:highlight w:val="none"/>
              </w:rPr>
              <w:t>工程量清单的填写方式</w:t>
            </w:r>
          </w:p>
        </w:tc>
        <w:tc>
          <w:tcPr>
            <w:tcW w:w="6519" w:type="dxa"/>
            <w:vAlign w:val="center"/>
          </w:tcPr>
          <w:p w14:paraId="70A4753C">
            <w:pPr>
              <w:pStyle w:val="51"/>
              <w:spacing w:line="400" w:lineRule="exact"/>
              <w:ind w:left="113" w:right="86" w:firstLine="420" w:firstLineChars="200"/>
              <w:rPr>
                <w:highlight w:val="none"/>
                <w:lang w:val="en-US"/>
              </w:rPr>
            </w:pPr>
            <w:r>
              <w:rPr>
                <w:rFonts w:hint="eastAsia" w:ascii="宋体" w:hAnsi="宋体" w:eastAsia="宋体" w:cs="宋体"/>
                <w:kern w:val="2"/>
                <w:sz w:val="21"/>
                <w:szCs w:val="21"/>
                <w:highlight w:val="none"/>
                <w:lang w:val="en-US" w:bidi="ar-SA"/>
              </w:rPr>
              <w:t>比选申请人按照比选人提供的工程量固化清单电子文件填写工程量清单，下载网站：垫江县人民政府网（http://www.cqsdj.gov.cn）。</w:t>
            </w:r>
          </w:p>
        </w:tc>
      </w:tr>
      <w:tr w14:paraId="74AA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63D3A1">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3.2.3</w:t>
            </w:r>
          </w:p>
        </w:tc>
        <w:tc>
          <w:tcPr>
            <w:tcW w:w="1615" w:type="dxa"/>
            <w:vAlign w:val="center"/>
          </w:tcPr>
          <w:p w14:paraId="11EBE3A3">
            <w:pPr>
              <w:widowControl/>
              <w:spacing w:line="400" w:lineRule="exact"/>
              <w:jc w:val="center"/>
              <w:rPr>
                <w:rFonts w:ascii="宋体" w:hAnsi="宋体" w:cs="宋体"/>
                <w:szCs w:val="21"/>
                <w:highlight w:val="none"/>
              </w:rPr>
            </w:pPr>
            <w:r>
              <w:rPr>
                <w:rFonts w:hint="eastAsia" w:ascii="宋体" w:hAnsi="宋体" w:cs="宋体"/>
                <w:kern w:val="0"/>
                <w:szCs w:val="21"/>
                <w:highlight w:val="none"/>
                <w:lang w:bidi="ar"/>
              </w:rPr>
              <w:t>报价方式</w:t>
            </w:r>
          </w:p>
        </w:tc>
        <w:tc>
          <w:tcPr>
            <w:tcW w:w="6519" w:type="dxa"/>
            <w:vAlign w:val="center"/>
          </w:tcPr>
          <w:p w14:paraId="49FFF860">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☑单价</w:t>
            </w:r>
          </w:p>
          <w:p w14:paraId="3CC4EEC4">
            <w:pPr>
              <w:widowControl/>
              <w:spacing w:line="400" w:lineRule="exact"/>
              <w:ind w:firstLine="420" w:firstLineChars="200"/>
              <w:jc w:val="left"/>
              <w:rPr>
                <w:rFonts w:ascii="宋体" w:hAnsi="宋体" w:cs="宋体"/>
                <w:b/>
                <w:szCs w:val="21"/>
                <w:highlight w:val="none"/>
              </w:rPr>
            </w:pPr>
            <w:r>
              <w:rPr>
                <w:rFonts w:hint="eastAsia" w:ascii="宋体" w:hAnsi="宋体" w:cs="宋体"/>
                <w:kern w:val="0"/>
                <w:szCs w:val="21"/>
                <w:highlight w:val="none"/>
                <w:lang w:bidi="ar"/>
              </w:rPr>
              <w:t>□总价</w:t>
            </w:r>
          </w:p>
        </w:tc>
      </w:tr>
      <w:tr w14:paraId="35EF1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21EEC4">
            <w:pPr>
              <w:spacing w:line="400" w:lineRule="exact"/>
              <w:jc w:val="center"/>
              <w:rPr>
                <w:rFonts w:ascii="宋体" w:hAnsi="宋体" w:cs="宋体"/>
                <w:highlight w:val="none"/>
              </w:rPr>
            </w:pPr>
            <w:r>
              <w:rPr>
                <w:rFonts w:hint="eastAsia" w:ascii="宋体" w:hAnsi="宋体" w:cs="宋体"/>
                <w:highlight w:val="none"/>
              </w:rPr>
              <w:t>3.2.5</w:t>
            </w:r>
          </w:p>
        </w:tc>
        <w:tc>
          <w:tcPr>
            <w:tcW w:w="1615" w:type="dxa"/>
            <w:vAlign w:val="center"/>
          </w:tcPr>
          <w:p w14:paraId="5AB5E9D0">
            <w:pPr>
              <w:spacing w:line="400" w:lineRule="exact"/>
              <w:jc w:val="center"/>
              <w:rPr>
                <w:rFonts w:ascii="宋体" w:hAnsi="宋体" w:cs="宋体"/>
                <w:highlight w:val="none"/>
              </w:rPr>
            </w:pPr>
            <w:r>
              <w:rPr>
                <w:rFonts w:hint="eastAsia" w:ascii="宋体" w:hAnsi="宋体" w:cs="宋体"/>
                <w:highlight w:val="none"/>
              </w:rPr>
              <w:t>安全生产费</w:t>
            </w:r>
          </w:p>
        </w:tc>
        <w:tc>
          <w:tcPr>
            <w:tcW w:w="6519" w:type="dxa"/>
          </w:tcPr>
          <w:p w14:paraId="119E1B5A">
            <w:pPr>
              <w:pStyle w:val="51"/>
              <w:spacing w:line="400" w:lineRule="exact"/>
              <w:ind w:left="113" w:right="86" w:firstLine="420" w:firstLineChars="200"/>
              <w:rPr>
                <w:rFonts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根据《公路工程建设项目概算预算编制办法》（JTG 3830-2018）</w:t>
            </w:r>
          </w:p>
          <w:p w14:paraId="0C425B94">
            <w:pPr>
              <w:pStyle w:val="51"/>
              <w:spacing w:line="400" w:lineRule="exact"/>
              <w:ind w:right="86"/>
              <w:rPr>
                <w:rFonts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规定，按建筑安装工程费的1.5%计取。</w:t>
            </w:r>
          </w:p>
        </w:tc>
      </w:tr>
      <w:tr w14:paraId="36670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72F29F">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3.2.6</w:t>
            </w:r>
          </w:p>
        </w:tc>
        <w:tc>
          <w:tcPr>
            <w:tcW w:w="1615" w:type="dxa"/>
            <w:vAlign w:val="center"/>
          </w:tcPr>
          <w:p w14:paraId="00826E5F">
            <w:pPr>
              <w:widowControl/>
              <w:spacing w:line="400" w:lineRule="exact"/>
              <w:jc w:val="center"/>
              <w:rPr>
                <w:rFonts w:ascii="宋体" w:hAnsi="宋体" w:cs="宋体"/>
                <w:szCs w:val="21"/>
                <w:highlight w:val="none"/>
              </w:rPr>
            </w:pPr>
            <w:r>
              <w:rPr>
                <w:rFonts w:hint="eastAsia" w:ascii="宋体" w:hAnsi="宋体" w:cs="宋体"/>
                <w:kern w:val="0"/>
                <w:szCs w:val="21"/>
                <w:highlight w:val="none"/>
                <w:lang w:bidi="ar"/>
              </w:rPr>
              <w:t>是否接受调价函</w:t>
            </w:r>
          </w:p>
        </w:tc>
        <w:tc>
          <w:tcPr>
            <w:tcW w:w="6519" w:type="dxa"/>
            <w:vAlign w:val="center"/>
          </w:tcPr>
          <w:p w14:paraId="7A4936E4">
            <w:pPr>
              <w:widowControl/>
              <w:spacing w:line="400" w:lineRule="exact"/>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否</w:t>
            </w:r>
          </w:p>
        </w:tc>
      </w:tr>
      <w:tr w14:paraId="06D16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1ABC9A">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3.2.8</w:t>
            </w:r>
          </w:p>
        </w:tc>
        <w:tc>
          <w:tcPr>
            <w:tcW w:w="1615" w:type="dxa"/>
            <w:vAlign w:val="center"/>
          </w:tcPr>
          <w:p w14:paraId="423E01D1">
            <w:pPr>
              <w:widowControl/>
              <w:spacing w:line="400" w:lineRule="exact"/>
              <w:jc w:val="center"/>
              <w:rPr>
                <w:rFonts w:ascii="宋体" w:hAnsi="宋体" w:cs="宋体"/>
                <w:b/>
                <w:kern w:val="0"/>
                <w:szCs w:val="21"/>
                <w:highlight w:val="none"/>
              </w:rPr>
            </w:pPr>
            <w:r>
              <w:rPr>
                <w:rFonts w:hint="eastAsia" w:ascii="宋体" w:hAnsi="宋体" w:cs="宋体"/>
                <w:kern w:val="0"/>
                <w:szCs w:val="21"/>
                <w:highlight w:val="none"/>
                <w:lang w:bidi="ar"/>
              </w:rPr>
              <w:t>最高投标限价</w:t>
            </w:r>
          </w:p>
        </w:tc>
        <w:tc>
          <w:tcPr>
            <w:tcW w:w="6519" w:type="dxa"/>
            <w:vAlign w:val="center"/>
          </w:tcPr>
          <w:p w14:paraId="0EF4F18E">
            <w:pPr>
              <w:widowControl/>
              <w:spacing w:line="400" w:lineRule="exact"/>
              <w:ind w:firstLine="420" w:firstLineChars="200"/>
              <w:jc w:val="left"/>
              <w:rPr>
                <w:rFonts w:ascii="宋体" w:hAnsi="宋体" w:cs="宋体"/>
                <w:kern w:val="0"/>
                <w:szCs w:val="21"/>
                <w:highlight w:val="none"/>
                <w:u w:val="single"/>
                <w:lang w:bidi="ar"/>
              </w:rPr>
            </w:pPr>
            <w:r>
              <w:rPr>
                <w:rFonts w:hint="eastAsia" w:ascii="宋体" w:hAnsi="宋体" w:cs="宋体"/>
                <w:kern w:val="0"/>
                <w:szCs w:val="21"/>
                <w:highlight w:val="none"/>
                <w:lang w:bidi="ar"/>
              </w:rPr>
              <w:t>☑有，最高投标限价：</w:t>
            </w:r>
            <w:r>
              <w:rPr>
                <w:rFonts w:hint="eastAsia" w:ascii="宋体" w:hAnsi="宋体" w:cs="宋体"/>
                <w:kern w:val="0"/>
                <w:szCs w:val="21"/>
                <w:highlight w:val="none"/>
                <w:u w:val="single"/>
                <w:lang w:val="en-US" w:eastAsia="zh-CN" w:bidi="ar"/>
              </w:rPr>
              <w:t>607341.00</w:t>
            </w:r>
            <w:r>
              <w:rPr>
                <w:rFonts w:hint="eastAsia" w:ascii="宋体" w:hAnsi="宋体" w:cs="宋体"/>
                <w:kern w:val="0"/>
                <w:szCs w:val="21"/>
                <w:highlight w:val="none"/>
                <w:u w:val="single"/>
                <w:lang w:bidi="ar"/>
              </w:rPr>
              <w:t xml:space="preserve">元 </w:t>
            </w:r>
          </w:p>
        </w:tc>
      </w:tr>
      <w:tr w14:paraId="4BE19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62C731">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3.2.9</w:t>
            </w:r>
          </w:p>
        </w:tc>
        <w:tc>
          <w:tcPr>
            <w:tcW w:w="1615" w:type="dxa"/>
            <w:vAlign w:val="center"/>
          </w:tcPr>
          <w:p w14:paraId="67FFD6DA">
            <w:pPr>
              <w:widowControl/>
              <w:spacing w:line="400" w:lineRule="exact"/>
              <w:jc w:val="center"/>
              <w:rPr>
                <w:rFonts w:ascii="宋体" w:hAnsi="宋体" w:cs="宋体"/>
                <w:b/>
                <w:kern w:val="0"/>
                <w:szCs w:val="21"/>
                <w:highlight w:val="none"/>
              </w:rPr>
            </w:pPr>
            <w:r>
              <w:rPr>
                <w:rFonts w:hint="eastAsia" w:ascii="宋体" w:hAnsi="宋体" w:cs="宋体"/>
                <w:kern w:val="0"/>
                <w:szCs w:val="21"/>
                <w:highlight w:val="none"/>
                <w:lang w:bidi="ar"/>
              </w:rPr>
              <w:t>投标报价的其他要求</w:t>
            </w:r>
          </w:p>
        </w:tc>
        <w:tc>
          <w:tcPr>
            <w:tcW w:w="6519" w:type="dxa"/>
            <w:vAlign w:val="center"/>
          </w:tcPr>
          <w:p w14:paraId="19FFE9B2">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szCs w:val="21"/>
                <w:highlight w:val="none"/>
              </w:rPr>
              <w:t>无</w:t>
            </w:r>
          </w:p>
          <w:p w14:paraId="51084A7A">
            <w:pPr>
              <w:pStyle w:val="12"/>
              <w:spacing w:after="0" w:line="400" w:lineRule="exact"/>
              <w:ind w:firstLine="420" w:firstLineChars="200"/>
              <w:rPr>
                <w:rFonts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szCs w:val="21"/>
                <w:highlight w:val="none"/>
              </w:rPr>
              <w:t>有，具体要求为：</w:t>
            </w:r>
          </w:p>
          <w:p w14:paraId="0005A65F">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比选人将公布投标总报价最高限价。</w:t>
            </w:r>
          </w:p>
          <w:p w14:paraId="0CAA1286">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比选申请人的投标总报价不应高于投标总报价最高限价，否则由评标委员会作否决投标处理；</w:t>
            </w:r>
          </w:p>
          <w:p w14:paraId="28C88B3D">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比选人在合同签订前将对中标人“已标价工程量清单”进行复核，若出现差错则按以下原则进行处理（或结算）：</w:t>
            </w:r>
          </w:p>
          <w:p w14:paraId="2FB92854">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1）分部分项工程量清单报价汇总计算结果与投标函总报价不一致时，按就低不就高原则进行修正，即：汇总计算结果高于投标函总报价则以投标函总报价为准，按汇总计算结果与投标函总报价相比的降低幅度同比例修正分项报价和各清单子目单价； 汇总计算结果低于投标函总报价则以分部分项工程量清单报价汇总计算结果为准进行签约或结算；</w:t>
            </w:r>
          </w:p>
          <w:p w14:paraId="36114FC3">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（2）依据单价和数量计算结果与其合价不符的，按不利于比选申请人原则（就低不就高）对其单价和合价进行修正。</w:t>
            </w:r>
          </w:p>
          <w:p w14:paraId="677A881C">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工程量清单漏项的，按该项单价为0进行修正（即视为该项工作内容的报价已包括在其他项目报价内），超出比选人提供的工程量清单范围的清单项目报价不予认可，按该清单项目报价为0对其单价和合价进行修正。</w:t>
            </w:r>
          </w:p>
          <w:p w14:paraId="7878192C">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比选申请人须在比选申请文件资格审查部分提供承诺（格式详见第九章比选申请文件格式），并包括以下内容：</w:t>
            </w:r>
          </w:p>
          <w:p w14:paraId="29ABBF24">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（1）按照第五章“工程量清单”、第八章“工程量清单计量规则”的规定进行报价。</w:t>
            </w:r>
          </w:p>
          <w:p w14:paraId="66AA89C5">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（2）比选文件中规定工程量清单不允许修改的内容不得修改。</w:t>
            </w:r>
          </w:p>
          <w:p w14:paraId="048F2E28">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（3）投标总报价不高于比选人公布的投标总报价最高限价。</w:t>
            </w:r>
          </w:p>
          <w:p w14:paraId="49CD0218">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）若出现差错，按比选文件第二章比选申请人须知前附表第3.2.9项规定的原则进行处理（或结算）。</w:t>
            </w:r>
          </w:p>
          <w:p w14:paraId="23D78F0A">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比选申请人未按上述要求提供承诺函的，由评标委员会作否决投标处理。</w:t>
            </w:r>
          </w:p>
        </w:tc>
      </w:tr>
      <w:tr w14:paraId="610F9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2E775B">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3.3.1</w:t>
            </w:r>
          </w:p>
        </w:tc>
        <w:tc>
          <w:tcPr>
            <w:tcW w:w="1615" w:type="dxa"/>
            <w:vAlign w:val="center"/>
          </w:tcPr>
          <w:p w14:paraId="0D1EE7B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投标有效期</w:t>
            </w:r>
          </w:p>
        </w:tc>
        <w:tc>
          <w:tcPr>
            <w:tcW w:w="6519" w:type="dxa"/>
            <w:vAlign w:val="center"/>
          </w:tcPr>
          <w:p w14:paraId="5745C5EA">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90 </w:t>
            </w:r>
            <w:r>
              <w:rPr>
                <w:rFonts w:hint="eastAsia" w:ascii="宋体" w:hAnsi="宋体" w:cs="宋体"/>
                <w:szCs w:val="21"/>
                <w:highlight w:val="none"/>
              </w:rPr>
              <w:t>日历天（从提交比选申请文件截止日起计算）</w:t>
            </w:r>
          </w:p>
        </w:tc>
      </w:tr>
      <w:tr w14:paraId="4A2BF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98FE2A">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3.4.1</w:t>
            </w:r>
          </w:p>
        </w:tc>
        <w:tc>
          <w:tcPr>
            <w:tcW w:w="1615" w:type="dxa"/>
            <w:vAlign w:val="center"/>
          </w:tcPr>
          <w:p w14:paraId="45AF4985">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投标保证金</w:t>
            </w:r>
          </w:p>
        </w:tc>
        <w:tc>
          <w:tcPr>
            <w:tcW w:w="6519" w:type="dxa"/>
            <w:vAlign w:val="center"/>
          </w:tcPr>
          <w:p w14:paraId="015576AB">
            <w:pPr>
              <w:snapToGrid w:val="0"/>
              <w:spacing w:line="400" w:lineRule="exact"/>
              <w:ind w:firstLine="420" w:firstLineChars="200"/>
              <w:rPr>
                <w:highlight w:val="none"/>
              </w:rPr>
            </w:pPr>
            <w:r>
              <w:rPr>
                <w:rFonts w:hint="eastAsia"/>
                <w:highlight w:val="none"/>
              </w:rPr>
              <w:t>一、以转账支票或电汇形式交纳投标保证金</w:t>
            </w:r>
          </w:p>
          <w:p w14:paraId="3BB72EE8">
            <w:pPr>
              <w:snapToGrid w:val="0"/>
              <w:spacing w:line="400" w:lineRule="exact"/>
              <w:ind w:firstLine="420" w:firstLineChars="200"/>
              <w:rPr>
                <w:highlight w:val="none"/>
              </w:rPr>
            </w:pPr>
            <w:r>
              <w:rPr>
                <w:rFonts w:hint="eastAsia"/>
                <w:highlight w:val="none"/>
              </w:rPr>
              <w:t>1、投标保证金交款形式及要求：比选申请人从企业的基本账户（开户行）在</w:t>
            </w:r>
            <w:r>
              <w:rPr>
                <w:rFonts w:hint="eastAsia"/>
                <w:highlight w:val="none"/>
                <w:lang w:val="en-US" w:eastAsia="zh-CN"/>
              </w:rPr>
              <w:t>2026年4月7日17时00分</w:t>
            </w:r>
            <w:r>
              <w:rPr>
                <w:rFonts w:hint="eastAsia"/>
                <w:highlight w:val="none"/>
              </w:rPr>
              <w:t>前通过转账支票直接划付或以电汇方式直接划付至下面指定的投标保证金账户。</w:t>
            </w:r>
            <w:r>
              <w:rPr>
                <w:rFonts w:hint="eastAsia" w:ascii="宋体" w:hAnsi="宋体"/>
                <w:kern w:val="0"/>
                <w:szCs w:val="21"/>
                <w:highlight w:val="none"/>
              </w:rPr>
              <w:t>不满足上述要求的投标保证金</w:t>
            </w:r>
            <w:r>
              <w:rPr>
                <w:rFonts w:ascii="宋体" w:hAnsi="宋体"/>
                <w:kern w:val="0"/>
                <w:szCs w:val="21"/>
                <w:highlight w:val="none"/>
              </w:rPr>
              <w:t>无效。</w:t>
            </w:r>
          </w:p>
          <w:p w14:paraId="4ED53C02">
            <w:pPr>
              <w:snapToGrid w:val="0"/>
              <w:spacing w:line="400" w:lineRule="exact"/>
              <w:ind w:firstLine="420" w:firstLineChars="200"/>
              <w:rPr>
                <w:highlight w:val="none"/>
              </w:rPr>
            </w:pPr>
            <w:r>
              <w:rPr>
                <w:rFonts w:hint="eastAsia"/>
                <w:highlight w:val="none"/>
              </w:rPr>
              <w:t>比选申请人自行考虑汇入时间风险，如同城汇入、异地汇入、跨行汇入的时间要求。</w:t>
            </w:r>
          </w:p>
          <w:p w14:paraId="60C3022F">
            <w:pPr>
              <w:snapToGrid w:val="0"/>
              <w:spacing w:line="400" w:lineRule="exact"/>
              <w:ind w:firstLine="420" w:firstLineChars="200"/>
              <w:rPr>
                <w:highlight w:val="none"/>
              </w:rPr>
            </w:pPr>
            <w:r>
              <w:rPr>
                <w:rFonts w:hint="eastAsia"/>
                <w:highlight w:val="none"/>
              </w:rPr>
              <w:t>2、以转账支票或电汇形式提交投标保证金的金额：</w:t>
            </w:r>
            <w:r>
              <w:rPr>
                <w:rFonts w:hint="eastAsia"/>
                <w:highlight w:val="none"/>
                <w:u w:val="single"/>
              </w:rPr>
              <w:t xml:space="preserve"> 1.5 </w:t>
            </w:r>
            <w:r>
              <w:rPr>
                <w:rFonts w:hint="eastAsia"/>
                <w:highlight w:val="none"/>
              </w:rPr>
              <w:t>万元整（人民币）。</w:t>
            </w:r>
          </w:p>
          <w:p w14:paraId="088EA970">
            <w:pPr>
              <w:snapToGrid w:val="0"/>
              <w:spacing w:line="400" w:lineRule="exact"/>
              <w:ind w:firstLine="420" w:firstLineChars="200"/>
              <w:rPr>
                <w:highlight w:val="none"/>
              </w:rPr>
            </w:pPr>
            <w:r>
              <w:rPr>
                <w:rFonts w:hint="eastAsia"/>
                <w:highlight w:val="none"/>
              </w:rPr>
              <w:t>3、投标保证金账户及账号：</w:t>
            </w:r>
          </w:p>
          <w:p w14:paraId="38EE2620">
            <w:pPr>
              <w:snapToGrid w:val="0"/>
              <w:spacing w:line="400" w:lineRule="exact"/>
              <w:ind w:firstLine="420" w:firstLineChars="200"/>
              <w:rPr>
                <w:highlight w:val="none"/>
              </w:rPr>
            </w:pPr>
            <w:r>
              <w:rPr>
                <w:rFonts w:hint="eastAsia"/>
                <w:highlight w:val="none"/>
              </w:rPr>
              <w:t xml:space="preserve">户名：垫江县财政局-高峰镇人民政府 </w:t>
            </w:r>
          </w:p>
          <w:p w14:paraId="619EA5B8">
            <w:pPr>
              <w:snapToGrid w:val="0"/>
              <w:spacing w:line="400" w:lineRule="exact"/>
              <w:ind w:firstLine="420" w:firstLineChars="200"/>
              <w:rPr>
                <w:highlight w:val="none"/>
              </w:rPr>
            </w:pPr>
            <w:r>
              <w:rPr>
                <w:rFonts w:hint="eastAsia"/>
                <w:highlight w:val="none"/>
              </w:rPr>
              <w:t>开户行：重庆农村商业银行</w:t>
            </w:r>
          </w:p>
          <w:p w14:paraId="582DB8C3">
            <w:pPr>
              <w:snapToGrid w:val="0"/>
              <w:spacing w:line="400" w:lineRule="exact"/>
              <w:ind w:firstLine="420" w:firstLineChars="200"/>
              <w:rPr>
                <w:highlight w:val="none"/>
              </w:rPr>
            </w:pPr>
            <w:r>
              <w:rPr>
                <w:rFonts w:hint="eastAsia"/>
                <w:highlight w:val="none"/>
              </w:rPr>
              <w:t>账号：2501010120010007754715001</w:t>
            </w:r>
          </w:p>
          <w:p w14:paraId="1BDF3042">
            <w:pPr>
              <w:snapToGrid w:val="0"/>
              <w:spacing w:line="400" w:lineRule="exact"/>
              <w:ind w:firstLine="420" w:firstLineChars="200"/>
              <w:rPr>
                <w:highlight w:val="none"/>
              </w:rPr>
            </w:pPr>
            <w:r>
              <w:rPr>
                <w:rFonts w:hint="eastAsia"/>
                <w:highlight w:val="none"/>
              </w:rPr>
              <w:t>投标保证金以</w:t>
            </w:r>
            <w:r>
              <w:rPr>
                <w:rFonts w:hint="eastAsia"/>
                <w:highlight w:val="none"/>
                <w:u w:val="single"/>
              </w:rPr>
              <w:t>垫江县高峰镇人民政府</w:t>
            </w:r>
            <w:r>
              <w:rPr>
                <w:rFonts w:hint="eastAsia"/>
                <w:highlight w:val="none"/>
              </w:rPr>
              <w:t>查询到账的保证金交纳情况为准。比选申请人须在比选申请文件资格审查部分</w:t>
            </w:r>
            <w:r>
              <w:rPr>
                <w:rFonts w:hint="eastAsia" w:ascii="宋体" w:hAnsi="宋体"/>
                <w:kern w:val="0"/>
                <w:szCs w:val="21"/>
                <w:highlight w:val="none"/>
              </w:rPr>
              <w:t>“其他资料”中</w:t>
            </w:r>
            <w:r>
              <w:rPr>
                <w:rFonts w:hint="eastAsia"/>
                <w:highlight w:val="none"/>
              </w:rPr>
              <w:t>提供企业基本账户开户证明文件。</w:t>
            </w:r>
          </w:p>
          <w:p w14:paraId="2A7CD3EE">
            <w:pPr>
              <w:snapToGrid w:val="0"/>
              <w:spacing w:line="400" w:lineRule="exact"/>
              <w:ind w:firstLine="420" w:firstLineChars="200"/>
              <w:rPr>
                <w:highlight w:val="none"/>
                <w:u w:val="single"/>
              </w:rPr>
            </w:pPr>
            <w:r>
              <w:rPr>
                <w:rFonts w:hint="eastAsia"/>
                <w:highlight w:val="none"/>
              </w:rPr>
              <w:t>4、比选申请人必须在付款凭证备注栏中注明是“</w:t>
            </w:r>
            <w:r>
              <w:rPr>
                <w:rFonts w:hint="eastAsia"/>
                <w:highlight w:val="none"/>
                <w:u w:val="single"/>
                <w:lang w:eastAsia="zh-CN"/>
              </w:rPr>
              <w:t>垫江县高峰镇高峰社区、大井村公路扩宽工程</w:t>
            </w:r>
            <w:r>
              <w:rPr>
                <w:rFonts w:hint="eastAsia"/>
                <w:highlight w:val="none"/>
              </w:rPr>
              <w:t>项目投标保证金”。项目名称可简写成：</w:t>
            </w:r>
            <w:r>
              <w:rPr>
                <w:rFonts w:hint="eastAsia"/>
                <w:highlight w:val="none"/>
                <w:u w:val="single"/>
              </w:rPr>
              <w:t>高峰镇</w:t>
            </w:r>
            <w:r>
              <w:rPr>
                <w:rFonts w:hint="eastAsia"/>
                <w:highlight w:val="none"/>
                <w:u w:val="single"/>
                <w:lang w:val="en-US" w:eastAsia="zh-CN"/>
              </w:rPr>
              <w:t>公路扩宽</w:t>
            </w:r>
            <w:r>
              <w:rPr>
                <w:rFonts w:hint="eastAsia"/>
                <w:highlight w:val="none"/>
                <w:u w:val="single"/>
              </w:rPr>
              <w:t xml:space="preserve">工程 </w:t>
            </w:r>
            <w:r>
              <w:rPr>
                <w:rFonts w:hint="eastAsia"/>
                <w:highlight w:val="none"/>
              </w:rPr>
              <w:t>。</w:t>
            </w:r>
          </w:p>
          <w:p w14:paraId="40FDCB51">
            <w:pPr>
              <w:snapToGrid w:val="0"/>
              <w:spacing w:line="400" w:lineRule="exact"/>
              <w:ind w:firstLine="420" w:firstLineChars="200"/>
              <w:rPr>
                <w:highlight w:val="none"/>
              </w:rPr>
            </w:pPr>
            <w:r>
              <w:rPr>
                <w:rFonts w:hint="eastAsia"/>
                <w:highlight w:val="none"/>
              </w:rPr>
              <w:t>5、投标保证金有效期与投标有效期一致。</w:t>
            </w:r>
          </w:p>
          <w:p w14:paraId="5FD095F9">
            <w:pPr>
              <w:snapToGrid w:val="0"/>
              <w:spacing w:line="400" w:lineRule="exact"/>
              <w:ind w:firstLine="420" w:firstLineChars="200"/>
              <w:rPr>
                <w:highlight w:val="none"/>
              </w:rPr>
            </w:pPr>
            <w:r>
              <w:rPr>
                <w:rFonts w:hint="eastAsia"/>
                <w:highlight w:val="none"/>
              </w:rPr>
              <w:t>二、投标保证金的退还</w:t>
            </w:r>
          </w:p>
          <w:p w14:paraId="582CB25F">
            <w:pPr>
              <w:snapToGrid w:val="0"/>
              <w:spacing w:line="400" w:lineRule="exact"/>
              <w:ind w:firstLine="420" w:firstLineChars="200"/>
              <w:rPr>
                <w:highlight w:val="none"/>
              </w:rPr>
            </w:pPr>
            <w:r>
              <w:rPr>
                <w:rFonts w:hint="eastAsia"/>
                <w:highlight w:val="none"/>
              </w:rPr>
              <w:t>比选人应当在法定时间内确定中标人。比选人应当在中标通知书发出后2个工作日内向除中标人和中标候选人以外的比选申请人，退还投标保证金。</w:t>
            </w:r>
          </w:p>
          <w:p w14:paraId="378AB187">
            <w:pPr>
              <w:snapToGrid w:val="0"/>
              <w:spacing w:line="400" w:lineRule="exact"/>
              <w:ind w:firstLine="420" w:firstLineChars="200"/>
              <w:rPr>
                <w:rFonts w:ascii="宋体" w:hAnsi="宋体" w:cs="宋体"/>
                <w:kern w:val="0"/>
                <w:szCs w:val="21"/>
                <w:highlight w:val="none"/>
              </w:rPr>
            </w:pPr>
            <w:r>
              <w:rPr>
                <w:rFonts w:hint="eastAsia"/>
                <w:highlight w:val="none"/>
              </w:rPr>
              <w:t>比选人应当在法定时间内和中标人签订合同。比选人应当在合同生效后2个工作日内向中标人和中标候选人退还投标保证金。</w:t>
            </w:r>
          </w:p>
        </w:tc>
      </w:tr>
      <w:tr w14:paraId="5F3F7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2202A">
            <w:pPr>
              <w:snapToGrid w:val="0"/>
              <w:spacing w:line="400" w:lineRule="exact"/>
              <w:jc w:val="center"/>
              <w:rPr>
                <w:rFonts w:ascii="宋体" w:hAnsi="宋体" w:cs="宋体"/>
                <w:snapToGrid w:val="0"/>
                <w:kern w:val="0"/>
                <w:szCs w:val="21"/>
                <w:highlight w:val="none"/>
              </w:rPr>
            </w:pPr>
            <w:r>
              <w:rPr>
                <w:rFonts w:hint="eastAsia" w:ascii="宋体" w:hAnsi="宋体" w:cs="宋体"/>
                <w:highlight w:val="none"/>
              </w:rPr>
              <w:t>3.4.3</w:t>
            </w:r>
          </w:p>
        </w:tc>
        <w:tc>
          <w:tcPr>
            <w:tcW w:w="1615" w:type="dxa"/>
            <w:vAlign w:val="center"/>
          </w:tcPr>
          <w:p w14:paraId="49BE2F7D">
            <w:pPr>
              <w:snapToGrid w:val="0"/>
              <w:spacing w:line="400" w:lineRule="exact"/>
              <w:jc w:val="center"/>
              <w:rPr>
                <w:rFonts w:ascii="宋体" w:hAnsi="宋体" w:cs="宋体"/>
                <w:kern w:val="0"/>
                <w:szCs w:val="21"/>
                <w:highlight w:val="none"/>
              </w:rPr>
            </w:pPr>
            <w:r>
              <w:rPr>
                <w:rFonts w:hint="eastAsia" w:ascii="宋体" w:hAnsi="宋体" w:cs="宋体"/>
                <w:spacing w:val="-1"/>
                <w:szCs w:val="21"/>
                <w:highlight w:val="none"/>
              </w:rPr>
              <w:t>投标保证金的利息计算原则</w:t>
            </w:r>
          </w:p>
        </w:tc>
        <w:tc>
          <w:tcPr>
            <w:tcW w:w="6519" w:type="dxa"/>
            <w:vAlign w:val="center"/>
          </w:tcPr>
          <w:p w14:paraId="1F134397">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不计息</w:t>
            </w:r>
          </w:p>
        </w:tc>
      </w:tr>
      <w:tr w14:paraId="568D2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1ACCB">
            <w:pPr>
              <w:snapToGrid w:val="0"/>
              <w:spacing w:line="400" w:lineRule="exact"/>
              <w:jc w:val="center"/>
              <w:rPr>
                <w:rFonts w:ascii="宋体" w:hAnsi="宋体" w:cs="宋体"/>
                <w:snapToGrid w:val="0"/>
                <w:kern w:val="0"/>
                <w:szCs w:val="21"/>
                <w:highlight w:val="none"/>
              </w:rPr>
            </w:pPr>
            <w:r>
              <w:rPr>
                <w:rFonts w:hint="eastAsia" w:ascii="宋体" w:hAnsi="宋体" w:cs="宋体"/>
                <w:highlight w:val="none"/>
              </w:rPr>
              <w:t>3.4.4</w:t>
            </w:r>
          </w:p>
        </w:tc>
        <w:tc>
          <w:tcPr>
            <w:tcW w:w="1615" w:type="dxa"/>
            <w:vAlign w:val="center"/>
          </w:tcPr>
          <w:p w14:paraId="55D089AF">
            <w:pPr>
              <w:widowControl/>
              <w:spacing w:line="400" w:lineRule="exact"/>
              <w:jc w:val="center"/>
              <w:rPr>
                <w:rFonts w:ascii="宋体" w:hAnsi="宋体" w:cs="宋体"/>
                <w:spacing w:val="-1"/>
                <w:szCs w:val="21"/>
                <w:highlight w:val="none"/>
              </w:rPr>
            </w:pPr>
            <w:r>
              <w:rPr>
                <w:rFonts w:hint="eastAsia" w:ascii="宋体" w:hAnsi="宋体" w:cs="宋体"/>
                <w:kern w:val="0"/>
                <w:szCs w:val="21"/>
                <w:highlight w:val="none"/>
                <w:lang w:bidi="ar"/>
              </w:rPr>
              <w:t>其他可以不予退还投标保证金的情形</w:t>
            </w:r>
          </w:p>
        </w:tc>
        <w:tc>
          <w:tcPr>
            <w:tcW w:w="6519" w:type="dxa"/>
            <w:vAlign w:val="center"/>
          </w:tcPr>
          <w:p w14:paraId="31D9113F">
            <w:pPr>
              <w:widowControl/>
              <w:spacing w:line="400" w:lineRule="exact"/>
              <w:ind w:firstLine="420" w:firstLineChars="200"/>
              <w:jc w:val="left"/>
              <w:rPr>
                <w:rFonts w:ascii="宋体" w:hAnsi="宋体" w:cs="宋体"/>
                <w:kern w:val="0"/>
                <w:szCs w:val="21"/>
                <w:highlight w:val="none"/>
              </w:rPr>
            </w:pPr>
            <w:r>
              <w:rPr>
                <w:rFonts w:hint="eastAsia" w:ascii="宋体" w:hAnsi="宋体" w:cs="宋体"/>
                <w:iCs/>
                <w:szCs w:val="21"/>
                <w:highlight w:val="none"/>
              </w:rPr>
              <w:t>/</w:t>
            </w:r>
          </w:p>
        </w:tc>
      </w:tr>
      <w:tr w14:paraId="570DD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D9B055">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3.5</w:t>
            </w:r>
          </w:p>
        </w:tc>
        <w:tc>
          <w:tcPr>
            <w:tcW w:w="1615" w:type="dxa"/>
            <w:vAlign w:val="center"/>
          </w:tcPr>
          <w:p w14:paraId="4155D945">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资格审查资料的特殊要求</w:t>
            </w:r>
          </w:p>
        </w:tc>
        <w:tc>
          <w:tcPr>
            <w:tcW w:w="6519" w:type="dxa"/>
            <w:vAlign w:val="center"/>
          </w:tcPr>
          <w:p w14:paraId="7D3DF209">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lang w:bidi="ar"/>
              </w:rPr>
              <w:t>无</w:t>
            </w:r>
          </w:p>
        </w:tc>
      </w:tr>
      <w:tr w14:paraId="6C978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C56829">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3.6.1</w:t>
            </w:r>
          </w:p>
        </w:tc>
        <w:tc>
          <w:tcPr>
            <w:tcW w:w="1615" w:type="dxa"/>
            <w:vAlign w:val="center"/>
          </w:tcPr>
          <w:p w14:paraId="605C855C">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是否允许递交</w:t>
            </w:r>
          </w:p>
          <w:p w14:paraId="0DADEC0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备选投标方案</w:t>
            </w:r>
          </w:p>
        </w:tc>
        <w:tc>
          <w:tcPr>
            <w:tcW w:w="6519" w:type="dxa"/>
            <w:vAlign w:val="center"/>
          </w:tcPr>
          <w:p w14:paraId="071F71AA">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不允许</w:t>
            </w:r>
          </w:p>
        </w:tc>
      </w:tr>
      <w:tr w14:paraId="25B15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608DA9">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3.7.1</w:t>
            </w:r>
          </w:p>
        </w:tc>
        <w:tc>
          <w:tcPr>
            <w:tcW w:w="1615" w:type="dxa"/>
            <w:vAlign w:val="center"/>
          </w:tcPr>
          <w:p w14:paraId="7952BA5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比选申请文件格式要求</w:t>
            </w:r>
          </w:p>
        </w:tc>
        <w:tc>
          <w:tcPr>
            <w:tcW w:w="6519" w:type="dxa"/>
            <w:vAlign w:val="center"/>
          </w:tcPr>
          <w:p w14:paraId="7EF0638E">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编制比选申请文件时不得对第九章“比选申请文件格式”的相应要素作实质性修改，否则视为重大偏差，由评标委员会作否决投标处理。</w:t>
            </w:r>
          </w:p>
        </w:tc>
      </w:tr>
      <w:tr w14:paraId="5E0EE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BD285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3.7.3</w:t>
            </w:r>
          </w:p>
        </w:tc>
        <w:tc>
          <w:tcPr>
            <w:tcW w:w="1615" w:type="dxa"/>
            <w:vAlign w:val="center"/>
          </w:tcPr>
          <w:p w14:paraId="5FE9381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签名盖章要求</w:t>
            </w:r>
          </w:p>
        </w:tc>
        <w:tc>
          <w:tcPr>
            <w:tcW w:w="6519" w:type="dxa"/>
            <w:vAlign w:val="center"/>
          </w:tcPr>
          <w:p w14:paraId="78BE5C87">
            <w:pPr>
              <w:snapToGrid w:val="0"/>
              <w:spacing w:line="400" w:lineRule="exact"/>
              <w:ind w:firstLine="420" w:firstLineChars="200"/>
              <w:rPr>
                <w:rFonts w:ascii="宋体" w:hAnsi="宋体"/>
                <w:szCs w:val="21"/>
                <w:highlight w:val="none"/>
              </w:rPr>
            </w:pPr>
            <w:r>
              <w:rPr>
                <w:rFonts w:hint="eastAsia" w:ascii="宋体" w:hAnsi="宋体"/>
                <w:szCs w:val="21"/>
                <w:highlight w:val="none"/>
              </w:rPr>
              <w:t>比选申请文件应用不褪色的材料书写或打印，并由比选申请人的法定代表人或其委托代理人在招标文件规定的位置按招标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324FE4BF">
            <w:pPr>
              <w:snapToGrid w:val="0"/>
              <w:spacing w:line="400" w:lineRule="exact"/>
              <w:ind w:firstLine="420" w:firstLineChars="200"/>
              <w:rPr>
                <w:rFonts w:ascii="宋体" w:hAnsi="宋体" w:cs="宋体"/>
                <w:szCs w:val="21"/>
                <w:highlight w:val="none"/>
              </w:rPr>
            </w:pPr>
            <w:r>
              <w:rPr>
                <w:rFonts w:hint="eastAsia" w:ascii="宋体" w:hAnsi="宋体"/>
                <w:szCs w:val="21"/>
                <w:highlight w:val="none"/>
              </w:rPr>
              <w:t>未按上述规定执行的，交由评标委员会作否决投标处理。</w:t>
            </w:r>
          </w:p>
        </w:tc>
      </w:tr>
      <w:tr w14:paraId="07DF6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08C21">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3.7.4</w:t>
            </w:r>
          </w:p>
        </w:tc>
        <w:tc>
          <w:tcPr>
            <w:tcW w:w="1615" w:type="dxa"/>
            <w:vAlign w:val="center"/>
          </w:tcPr>
          <w:p w14:paraId="5D9C54C2">
            <w:pPr>
              <w:snapToGrid w:val="0"/>
              <w:spacing w:line="400" w:lineRule="exact"/>
              <w:rPr>
                <w:rFonts w:ascii="宋体" w:hAnsi="宋体" w:cs="宋体"/>
                <w:spacing w:val="-6"/>
                <w:kern w:val="0"/>
                <w:szCs w:val="21"/>
                <w:highlight w:val="none"/>
              </w:rPr>
            </w:pPr>
            <w:r>
              <w:rPr>
                <w:rFonts w:hint="eastAsia" w:ascii="宋体" w:hAnsi="宋体" w:cs="宋体"/>
                <w:spacing w:val="-6"/>
                <w:kern w:val="0"/>
                <w:szCs w:val="21"/>
                <w:highlight w:val="none"/>
              </w:rPr>
              <w:t>比选申请文件的份数</w:t>
            </w:r>
          </w:p>
        </w:tc>
        <w:tc>
          <w:tcPr>
            <w:tcW w:w="6519" w:type="dxa"/>
            <w:vAlign w:val="center"/>
          </w:tcPr>
          <w:p w14:paraId="58D26174">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比选申请文件</w:t>
            </w:r>
            <w:r>
              <w:rPr>
                <w:rFonts w:ascii="宋体" w:hAnsi="宋体"/>
                <w:kern w:val="0"/>
                <w:szCs w:val="21"/>
                <w:highlight w:val="none"/>
              </w:rPr>
              <w:t>正本</w:t>
            </w:r>
            <w:r>
              <w:rPr>
                <w:rFonts w:hint="eastAsia" w:ascii="宋体" w:hAnsi="宋体"/>
                <w:kern w:val="0"/>
                <w:szCs w:val="21"/>
                <w:highlight w:val="none"/>
              </w:rPr>
              <w:t>1份、副本2份，电子版形式（U盘）1份。当副本和正本不一致时，以正本为准。否则由评标委员会作否决投标处理。</w:t>
            </w:r>
          </w:p>
          <w:p w14:paraId="4844BD9C">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电子版形式（U盘）中的经济部分：应包含经济部分全部excel格式预算表格，工程量清单综合单价分析表无须装订入比选申请文件纸质版中，但清单项目的综合单价分析表（excel格式）必须</w:t>
            </w:r>
            <w:r>
              <w:rPr>
                <w:rFonts w:hint="eastAsia" w:ascii="宋体" w:hAnsi="宋体"/>
                <w:kern w:val="0"/>
                <w:szCs w:val="21"/>
                <w:highlight w:val="none"/>
                <w:lang w:val="en-US" w:eastAsia="zh-CN"/>
              </w:rPr>
              <w:t>装入U盘</w:t>
            </w:r>
            <w:r>
              <w:rPr>
                <w:rFonts w:hint="eastAsia" w:ascii="宋体" w:hAnsi="宋体"/>
                <w:kern w:val="0"/>
                <w:szCs w:val="21"/>
                <w:highlight w:val="none"/>
              </w:rPr>
              <w:t>中</w:t>
            </w:r>
            <w:r>
              <w:rPr>
                <w:rFonts w:hint="eastAsia" w:ascii="宋体" w:hAnsi="宋体"/>
                <w:kern w:val="0"/>
                <w:szCs w:val="21"/>
                <w:highlight w:val="none"/>
                <w:lang w:eastAsia="zh-CN"/>
              </w:rPr>
              <w:t>，</w:t>
            </w:r>
            <w:r>
              <w:rPr>
                <w:rFonts w:hint="eastAsia" w:ascii="宋体" w:hAnsi="宋体"/>
                <w:kern w:val="0"/>
                <w:szCs w:val="21"/>
                <w:highlight w:val="none"/>
                <w:lang w:val="en-US" w:eastAsia="zh-CN"/>
              </w:rPr>
              <w:t>整个投标文件正本扫描件（PDF版本）须装入U盘中</w:t>
            </w:r>
            <w:r>
              <w:rPr>
                <w:rFonts w:hint="eastAsia" w:ascii="宋体" w:hAnsi="宋体"/>
                <w:kern w:val="0"/>
                <w:szCs w:val="21"/>
                <w:highlight w:val="none"/>
              </w:rPr>
              <w:t>。</w:t>
            </w:r>
          </w:p>
          <w:p w14:paraId="4A4DEF01">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kern w:val="0"/>
                <w:szCs w:val="21"/>
                <w:highlight w:val="none"/>
              </w:rPr>
              <w:t>注：在核发中标通知书时，中标人应另外补充一式</w:t>
            </w:r>
            <w:r>
              <w:rPr>
                <w:rFonts w:hint="eastAsia" w:ascii="宋体" w:hAnsi="宋体"/>
                <w:kern w:val="0"/>
                <w:szCs w:val="21"/>
                <w:highlight w:val="none"/>
                <w:u w:val="single"/>
              </w:rPr>
              <w:t>2</w:t>
            </w:r>
            <w:r>
              <w:rPr>
                <w:rFonts w:hint="eastAsia" w:ascii="宋体" w:hAnsi="宋体"/>
                <w:kern w:val="0"/>
                <w:szCs w:val="21"/>
                <w:highlight w:val="none"/>
              </w:rPr>
              <w:t>份比选申请文件（除需增加的工程量清单综合单价分析表外，其他内容必须与投标时提交的比选申请文件相一致）。</w:t>
            </w:r>
          </w:p>
        </w:tc>
      </w:tr>
      <w:tr w14:paraId="1F28C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D7784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3.7.5</w:t>
            </w:r>
          </w:p>
        </w:tc>
        <w:tc>
          <w:tcPr>
            <w:tcW w:w="1615" w:type="dxa"/>
            <w:vAlign w:val="center"/>
          </w:tcPr>
          <w:p w14:paraId="3BC673C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装订要求</w:t>
            </w:r>
          </w:p>
        </w:tc>
        <w:tc>
          <w:tcPr>
            <w:tcW w:w="6519" w:type="dxa"/>
            <w:vAlign w:val="center"/>
          </w:tcPr>
          <w:p w14:paraId="22ED6F1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1、应将投标函部分、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14:paraId="5EEA4C50">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14:paraId="53FA6FE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）投标函部分的装订要求</w:t>
            </w:r>
          </w:p>
          <w:p w14:paraId="77DC6150">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w:t>
            </w:r>
            <w:r>
              <w:rPr>
                <w:rFonts w:hint="eastAsia" w:ascii="宋体" w:hAnsi="宋体"/>
                <w:szCs w:val="21"/>
                <w:highlight w:val="none"/>
              </w:rPr>
              <w:t>九</w:t>
            </w:r>
            <w:r>
              <w:rPr>
                <w:rFonts w:ascii="宋体" w:hAnsi="宋体"/>
                <w:szCs w:val="21"/>
                <w:highlight w:val="none"/>
              </w:rPr>
              <w:t>章规定格式装订成册，</w:t>
            </w:r>
            <w:r>
              <w:rPr>
                <w:rFonts w:hint="eastAsia" w:asciiTheme="minorEastAsia" w:hAnsiTheme="minorEastAsia" w:eastAsiaTheme="minorEastAsia" w:cstheme="minorEastAsia"/>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p>
          <w:p w14:paraId="4B13E3E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70D0A1FD">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w:t>
            </w:r>
            <w:r>
              <w:rPr>
                <w:rFonts w:hint="eastAsia" w:ascii="宋体" w:hAnsi="宋体"/>
                <w:szCs w:val="21"/>
                <w:highlight w:val="none"/>
              </w:rPr>
              <w:t>九</w:t>
            </w:r>
            <w:r>
              <w:rPr>
                <w:rFonts w:ascii="宋体" w:hAnsi="宋体"/>
                <w:szCs w:val="21"/>
                <w:highlight w:val="none"/>
              </w:rPr>
              <w:t>章规定格式装订成册，</w:t>
            </w:r>
            <w:r>
              <w:rPr>
                <w:rFonts w:hint="eastAsia" w:asciiTheme="minorEastAsia" w:hAnsiTheme="minorEastAsia" w:eastAsiaTheme="minorEastAsia" w:cstheme="minorEastAsia"/>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（但不得将目录编制作为评审因素），标注页码。</w:t>
            </w:r>
          </w:p>
          <w:p w14:paraId="5D36A868">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6DD20E31">
            <w:pPr>
              <w:pStyle w:val="12"/>
              <w:spacing w:after="0" w:line="400" w:lineRule="exact"/>
              <w:ind w:firstLine="420" w:firstLineChars="200"/>
              <w:rPr>
                <w:highlight w:val="none"/>
              </w:rPr>
            </w:pPr>
            <w:r>
              <w:rPr>
                <w:rFonts w:ascii="宋体" w:hAnsi="宋体"/>
                <w:szCs w:val="21"/>
                <w:highlight w:val="none"/>
              </w:rPr>
              <w:t>应按照第</w:t>
            </w:r>
            <w:r>
              <w:rPr>
                <w:rFonts w:hint="eastAsia" w:ascii="宋体" w:hAnsi="宋体"/>
                <w:szCs w:val="21"/>
                <w:highlight w:val="none"/>
              </w:rPr>
              <w:t>九</w:t>
            </w:r>
            <w:r>
              <w:rPr>
                <w:rFonts w:ascii="宋体" w:hAnsi="宋体"/>
                <w:szCs w:val="21"/>
                <w:highlight w:val="none"/>
              </w:rPr>
              <w:t>章规定格式装订成册，</w:t>
            </w:r>
            <w:r>
              <w:rPr>
                <w:rFonts w:hint="eastAsia" w:asciiTheme="minorEastAsia" w:hAnsiTheme="minorEastAsia" w:eastAsiaTheme="minorEastAsia" w:cstheme="minorEastAsia"/>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r>
              <w:rPr>
                <w:rFonts w:hint="eastAsia" w:ascii="宋体" w:hAnsi="宋体"/>
                <w:szCs w:val="21"/>
                <w:highlight w:val="none"/>
              </w:rPr>
              <w:t>。</w:t>
            </w:r>
          </w:p>
        </w:tc>
      </w:tr>
      <w:tr w14:paraId="03CF4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9AA6B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4.1.1</w:t>
            </w:r>
          </w:p>
        </w:tc>
        <w:tc>
          <w:tcPr>
            <w:tcW w:w="1615" w:type="dxa"/>
            <w:vAlign w:val="center"/>
          </w:tcPr>
          <w:p w14:paraId="285E1EBD">
            <w:pPr>
              <w:snapToGrid w:val="0"/>
              <w:spacing w:line="400" w:lineRule="exact"/>
              <w:jc w:val="center"/>
              <w:rPr>
                <w:rFonts w:ascii="宋体" w:hAnsi="宋体" w:cs="宋体"/>
                <w:kern w:val="0"/>
                <w:szCs w:val="21"/>
                <w:highlight w:val="none"/>
              </w:rPr>
            </w:pPr>
            <w:r>
              <w:rPr>
                <w:rFonts w:hint="eastAsia" w:ascii="宋体" w:hAnsi="宋体"/>
                <w:spacing w:val="-6"/>
                <w:kern w:val="0"/>
                <w:szCs w:val="21"/>
                <w:highlight w:val="none"/>
              </w:rPr>
              <w:t>比选申请文件</w:t>
            </w:r>
            <w:r>
              <w:rPr>
                <w:rFonts w:ascii="宋体" w:hAnsi="宋体"/>
                <w:spacing w:val="-6"/>
                <w:kern w:val="0"/>
                <w:szCs w:val="21"/>
                <w:highlight w:val="none"/>
              </w:rPr>
              <w:t>的密封</w:t>
            </w:r>
          </w:p>
        </w:tc>
        <w:tc>
          <w:tcPr>
            <w:tcW w:w="6519" w:type="dxa"/>
            <w:vAlign w:val="center"/>
          </w:tcPr>
          <w:p w14:paraId="712C8267">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 比选申请文件</w:t>
            </w:r>
            <w:r>
              <w:rPr>
                <w:rFonts w:ascii="宋体" w:hAnsi="宋体"/>
                <w:szCs w:val="21"/>
                <w:highlight w:val="none"/>
              </w:rPr>
              <w:t>袋使用“投标函部分”袋、“</w:t>
            </w:r>
            <w:r>
              <w:rPr>
                <w:rFonts w:hint="eastAsia" w:ascii="宋体" w:hAnsi="宋体"/>
                <w:szCs w:val="21"/>
                <w:highlight w:val="none"/>
              </w:rPr>
              <w:t>经济</w:t>
            </w:r>
            <w:r>
              <w:rPr>
                <w:rFonts w:ascii="宋体" w:hAnsi="宋体"/>
                <w:szCs w:val="21"/>
                <w:highlight w:val="none"/>
              </w:rPr>
              <w:t>部分”袋、“</w:t>
            </w:r>
            <w:r>
              <w:rPr>
                <w:rFonts w:hint="eastAsia" w:ascii="宋体" w:hAnsi="宋体"/>
                <w:szCs w:val="21"/>
                <w:highlight w:val="none"/>
              </w:rPr>
              <w:t>资格审查部分</w:t>
            </w:r>
            <w:r>
              <w:rPr>
                <w:rFonts w:ascii="宋体" w:hAnsi="宋体"/>
                <w:szCs w:val="21"/>
                <w:highlight w:val="none"/>
              </w:rPr>
              <w:t>”袋以及“</w:t>
            </w:r>
            <w:r>
              <w:rPr>
                <w:rFonts w:hint="eastAsia" w:ascii="宋体" w:hAnsi="宋体"/>
                <w:szCs w:val="21"/>
                <w:highlight w:val="none"/>
              </w:rPr>
              <w:t>比选申请文件</w:t>
            </w:r>
            <w:r>
              <w:rPr>
                <w:rFonts w:ascii="宋体" w:hAnsi="宋体"/>
                <w:szCs w:val="21"/>
                <w:highlight w:val="none"/>
              </w:rPr>
              <w:t>”大袋。</w:t>
            </w:r>
          </w:p>
          <w:p w14:paraId="4B02A348">
            <w:pPr>
              <w:spacing w:line="40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和电子版形式（</w:t>
            </w:r>
            <w:r>
              <w:rPr>
                <w:rFonts w:hint="eastAsia" w:ascii="宋体" w:hAnsi="宋体"/>
                <w:szCs w:val="21"/>
                <w:highlight w:val="none"/>
                <w:lang w:val="en-US" w:eastAsia="zh-CN"/>
              </w:rPr>
              <w:t>U</w:t>
            </w:r>
            <w:r>
              <w:rPr>
                <w:rFonts w:hint="eastAsia" w:ascii="宋体" w:hAnsi="宋体"/>
                <w:szCs w:val="21"/>
                <w:highlight w:val="none"/>
              </w:rPr>
              <w:t>盘）</w:t>
            </w:r>
            <w:r>
              <w:rPr>
                <w:rFonts w:ascii="宋体" w:hAnsi="宋体"/>
                <w:szCs w:val="21"/>
                <w:highlight w:val="none"/>
              </w:rPr>
              <w:t>装入“投标函部分”袋中，密封并在袋上加盖</w:t>
            </w:r>
            <w:r>
              <w:rPr>
                <w:rFonts w:hint="eastAsia" w:ascii="宋体" w:hAnsi="宋体"/>
                <w:szCs w:val="21"/>
                <w:highlight w:val="none"/>
              </w:rPr>
              <w:t>比选申请人</w:t>
            </w:r>
            <w:r>
              <w:rPr>
                <w:rFonts w:ascii="宋体" w:hAnsi="宋体"/>
                <w:szCs w:val="21"/>
                <w:highlight w:val="none"/>
              </w:rPr>
              <w:t>单位</w:t>
            </w:r>
            <w:r>
              <w:rPr>
                <w:rFonts w:hint="eastAsia" w:ascii="宋体" w:hAnsi="宋体"/>
                <w:szCs w:val="21"/>
                <w:highlight w:val="none"/>
              </w:rPr>
              <w:t>法人</w:t>
            </w:r>
            <w:r>
              <w:rPr>
                <w:rFonts w:ascii="宋体" w:hAnsi="宋体"/>
                <w:szCs w:val="21"/>
                <w:highlight w:val="none"/>
              </w:rPr>
              <w:t>章。</w:t>
            </w:r>
          </w:p>
          <w:p w14:paraId="38C4A33F">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 </w:t>
            </w:r>
            <w:r>
              <w:rPr>
                <w:rFonts w:hint="eastAsia" w:ascii="宋体" w:hAnsi="宋体"/>
                <w:spacing w:val="4"/>
                <w:szCs w:val="21"/>
                <w:highlight w:val="none"/>
              </w:rPr>
              <w:t>经济</w:t>
            </w:r>
            <w:r>
              <w:rPr>
                <w:rFonts w:ascii="宋体" w:hAnsi="宋体"/>
                <w:spacing w:val="4"/>
                <w:szCs w:val="21"/>
                <w:highlight w:val="none"/>
              </w:rPr>
              <w:t>部分装入“</w:t>
            </w:r>
            <w:r>
              <w:rPr>
                <w:rFonts w:hint="eastAsia" w:ascii="宋体" w:hAnsi="宋体"/>
                <w:spacing w:val="4"/>
                <w:szCs w:val="21"/>
                <w:highlight w:val="none"/>
              </w:rPr>
              <w:t>经济</w:t>
            </w:r>
            <w:r>
              <w:rPr>
                <w:rFonts w:ascii="宋体" w:hAnsi="宋体"/>
                <w:spacing w:val="4"/>
                <w:szCs w:val="21"/>
                <w:highlight w:val="none"/>
              </w:rPr>
              <w:t>部分”袋中，密封并在袋上加盖</w:t>
            </w:r>
            <w:r>
              <w:rPr>
                <w:rFonts w:hint="eastAsia" w:ascii="宋体" w:hAnsi="宋体"/>
                <w:spacing w:val="4"/>
                <w:szCs w:val="21"/>
                <w:highlight w:val="none"/>
              </w:rPr>
              <w:t>比选申请人</w:t>
            </w:r>
            <w:r>
              <w:rPr>
                <w:rFonts w:ascii="宋体" w:hAnsi="宋体"/>
                <w:spacing w:val="4"/>
                <w:szCs w:val="21"/>
                <w:highlight w:val="none"/>
              </w:rPr>
              <w:t>单</w:t>
            </w:r>
            <w:r>
              <w:rPr>
                <w:rFonts w:ascii="宋体" w:hAnsi="宋体"/>
                <w:szCs w:val="21"/>
                <w:highlight w:val="none"/>
              </w:rPr>
              <w:t>位</w:t>
            </w:r>
            <w:r>
              <w:rPr>
                <w:rFonts w:hint="eastAsia" w:ascii="宋体" w:hAnsi="宋体"/>
                <w:szCs w:val="21"/>
                <w:highlight w:val="none"/>
              </w:rPr>
              <w:t>法人</w:t>
            </w:r>
            <w:r>
              <w:rPr>
                <w:rFonts w:ascii="宋体" w:hAnsi="宋体"/>
                <w:szCs w:val="21"/>
                <w:highlight w:val="none"/>
              </w:rPr>
              <w:t>章。</w:t>
            </w:r>
          </w:p>
          <w:p w14:paraId="7B3281F4">
            <w:pPr>
              <w:spacing w:line="400" w:lineRule="exact"/>
              <w:ind w:firstLine="420" w:firstLineChars="200"/>
              <w:rPr>
                <w:rFonts w:ascii="宋体" w:hAnsi="宋体"/>
                <w:szCs w:val="21"/>
                <w:highlight w:val="none"/>
              </w:rPr>
            </w:pPr>
            <w:r>
              <w:rPr>
                <w:rFonts w:hint="eastAsia" w:ascii="宋体" w:hAnsi="宋体"/>
                <w:szCs w:val="21"/>
                <w:highlight w:val="none"/>
              </w:rPr>
              <w:t>4. 资格审查部分装入“资格审查部分”袋中，密封并在袋上加盖比选申请人单位法人章。</w:t>
            </w:r>
          </w:p>
          <w:p w14:paraId="497F9EEE">
            <w:pPr>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经济</w:t>
            </w:r>
            <w:r>
              <w:rPr>
                <w:rFonts w:ascii="宋体" w:hAnsi="宋体"/>
                <w:szCs w:val="21"/>
                <w:highlight w:val="none"/>
              </w:rPr>
              <w:t>部分”、</w:t>
            </w:r>
            <w:r>
              <w:rPr>
                <w:rFonts w:hint="eastAsia" w:ascii="宋体" w:hAnsi="宋体"/>
                <w:szCs w:val="21"/>
                <w:highlight w:val="none"/>
              </w:rPr>
              <w:t>“资格审查部分”</w:t>
            </w:r>
            <w:r>
              <w:rPr>
                <w:rFonts w:ascii="宋体" w:hAnsi="宋体"/>
                <w:szCs w:val="21"/>
                <w:highlight w:val="none"/>
              </w:rPr>
              <w:t>等小袋装入“</w:t>
            </w:r>
            <w:r>
              <w:rPr>
                <w:rFonts w:hint="eastAsia" w:ascii="宋体" w:hAnsi="宋体"/>
                <w:szCs w:val="21"/>
                <w:highlight w:val="none"/>
              </w:rPr>
              <w:t>比选申请文件</w:t>
            </w:r>
            <w:r>
              <w:rPr>
                <w:rFonts w:ascii="宋体" w:hAnsi="宋体"/>
                <w:szCs w:val="21"/>
                <w:highlight w:val="none"/>
              </w:rPr>
              <w:t>”大袋中，密封并在大袋上加盖</w:t>
            </w:r>
            <w:r>
              <w:rPr>
                <w:rFonts w:hint="eastAsia" w:ascii="宋体" w:hAnsi="宋体"/>
                <w:szCs w:val="21"/>
                <w:highlight w:val="none"/>
              </w:rPr>
              <w:t>比选申请人</w:t>
            </w:r>
            <w:r>
              <w:rPr>
                <w:rFonts w:ascii="宋体" w:hAnsi="宋体"/>
                <w:szCs w:val="21"/>
                <w:highlight w:val="none"/>
              </w:rPr>
              <w:t>单位</w:t>
            </w:r>
            <w:r>
              <w:rPr>
                <w:rFonts w:hint="eastAsia" w:ascii="宋体" w:hAnsi="宋体"/>
                <w:szCs w:val="21"/>
                <w:highlight w:val="none"/>
              </w:rPr>
              <w:t>法人</w:t>
            </w:r>
            <w:r>
              <w:rPr>
                <w:rFonts w:ascii="宋体" w:hAnsi="宋体"/>
                <w:szCs w:val="21"/>
                <w:highlight w:val="none"/>
              </w:rPr>
              <w:t>章，同时“</w:t>
            </w:r>
            <w:r>
              <w:rPr>
                <w:rFonts w:hint="eastAsia" w:ascii="宋体" w:hAnsi="宋体"/>
                <w:szCs w:val="21"/>
                <w:highlight w:val="none"/>
              </w:rPr>
              <w:t>比选申请文件</w:t>
            </w:r>
            <w:r>
              <w:rPr>
                <w:rFonts w:ascii="宋体" w:hAnsi="宋体"/>
                <w:szCs w:val="21"/>
                <w:highlight w:val="none"/>
              </w:rPr>
              <w:t>”大袋应按本表第4.1.2项的规定写明相应内容。</w:t>
            </w:r>
            <w:r>
              <w:rPr>
                <w:rFonts w:hint="eastAsia" w:ascii="宋体" w:hAnsi="宋体"/>
                <w:szCs w:val="21"/>
                <w:highlight w:val="none"/>
              </w:rPr>
              <w:t>一个大袋装不下的，可使用多个大袋分册封装。大袋未按要求密封的，比选人或代理机构应该拒收。</w:t>
            </w:r>
          </w:p>
          <w:p w14:paraId="715FB4D4">
            <w:pPr>
              <w:adjustRightInd w:val="0"/>
              <w:snapToGrid w:val="0"/>
              <w:spacing w:line="400" w:lineRule="exact"/>
              <w:ind w:firstLine="420" w:firstLineChars="200"/>
              <w:rPr>
                <w:rFonts w:ascii="宋体" w:hAnsi="宋体" w:cs="宋体"/>
                <w:szCs w:val="21"/>
                <w:highlight w:val="none"/>
              </w:rPr>
            </w:pPr>
            <w:r>
              <w:rPr>
                <w:rFonts w:hint="eastAsia" w:ascii="宋体" w:hAnsi="宋体"/>
                <w:szCs w:val="21"/>
                <w:highlight w:val="none"/>
              </w:rPr>
              <w:t>注：“投标函部分”袋、“经济部分”袋、“资格审查部分”袋只为方便比选申请文件分装，不作为判定密封合格与否的条件。但为了方便开标，请各比选申请人主动配合，按要求分装。</w:t>
            </w:r>
          </w:p>
        </w:tc>
      </w:tr>
      <w:tr w14:paraId="3AD4D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2827F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4.1.2</w:t>
            </w:r>
          </w:p>
        </w:tc>
        <w:tc>
          <w:tcPr>
            <w:tcW w:w="1615" w:type="dxa"/>
            <w:vAlign w:val="center"/>
          </w:tcPr>
          <w:p w14:paraId="6CEC6C0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封套上写明</w:t>
            </w:r>
          </w:p>
        </w:tc>
        <w:tc>
          <w:tcPr>
            <w:tcW w:w="6519" w:type="dxa"/>
            <w:vAlign w:val="center"/>
          </w:tcPr>
          <w:p w14:paraId="4A4575E9">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应在</w:t>
            </w:r>
            <w:r>
              <w:rPr>
                <w:rFonts w:hint="eastAsia" w:ascii="宋体" w:hAnsi="宋体" w:cs="宋体"/>
                <w:szCs w:val="21"/>
                <w:highlight w:val="none"/>
              </w:rPr>
              <w:t xml:space="preserve"> </w:t>
            </w:r>
            <w:r>
              <w:rPr>
                <w:rFonts w:hint="eastAsia" w:ascii="宋体" w:hAnsi="宋体" w:cs="宋体"/>
                <w:kern w:val="0"/>
                <w:szCs w:val="21"/>
                <w:highlight w:val="none"/>
              </w:rPr>
              <w:t>“比选申请文件”袋封套上写明如下内容：</w:t>
            </w:r>
          </w:p>
          <w:p w14:paraId="442E09C8">
            <w:pPr>
              <w:snapToGrid w:val="0"/>
              <w:spacing w:line="40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比选人名称：</w:t>
            </w:r>
            <w:r>
              <w:rPr>
                <w:rFonts w:hint="eastAsia" w:ascii="宋体" w:hAnsi="宋体" w:cs="宋体"/>
                <w:kern w:val="0"/>
                <w:szCs w:val="21"/>
                <w:highlight w:val="none"/>
                <w:u w:val="single"/>
              </w:rPr>
              <w:t xml:space="preserve">            </w:t>
            </w:r>
          </w:p>
          <w:p w14:paraId="00A3737F">
            <w:pPr>
              <w:snapToGrid w:val="0"/>
              <w:spacing w:line="40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比选申请人名称：</w:t>
            </w:r>
            <w:r>
              <w:rPr>
                <w:rFonts w:hint="eastAsia" w:ascii="宋体" w:hAnsi="宋体" w:cs="宋体"/>
                <w:kern w:val="0"/>
                <w:szCs w:val="21"/>
                <w:highlight w:val="none"/>
                <w:u w:val="single"/>
              </w:rPr>
              <w:t xml:space="preserve">            </w:t>
            </w:r>
          </w:p>
          <w:p w14:paraId="06B7692A">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u w:val="single"/>
              </w:rPr>
              <w:t xml:space="preserve">                （项目名称）</w:t>
            </w:r>
            <w:r>
              <w:rPr>
                <w:rFonts w:hint="eastAsia" w:ascii="宋体" w:hAnsi="宋体" w:cs="宋体"/>
                <w:kern w:val="0"/>
                <w:szCs w:val="21"/>
                <w:highlight w:val="none"/>
              </w:rPr>
              <w:t>比选申请文件</w:t>
            </w:r>
          </w:p>
          <w:p w14:paraId="4B94F718">
            <w:pPr>
              <w:adjustRightInd w:val="0"/>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分前不得开启</w:t>
            </w:r>
          </w:p>
        </w:tc>
      </w:tr>
      <w:tr w14:paraId="7596C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20D91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4.2.2</w:t>
            </w:r>
          </w:p>
        </w:tc>
        <w:tc>
          <w:tcPr>
            <w:tcW w:w="1615" w:type="dxa"/>
            <w:vAlign w:val="center"/>
          </w:tcPr>
          <w:p w14:paraId="6F3EA52C">
            <w:pPr>
              <w:snapToGrid w:val="0"/>
              <w:spacing w:line="400" w:lineRule="exact"/>
              <w:jc w:val="center"/>
              <w:rPr>
                <w:rFonts w:ascii="宋体" w:hAnsi="宋体" w:cs="宋体"/>
                <w:kern w:val="0"/>
                <w:szCs w:val="21"/>
                <w:highlight w:val="none"/>
              </w:rPr>
            </w:pPr>
            <w:r>
              <w:rPr>
                <w:rFonts w:hint="eastAsia" w:ascii="宋体" w:hAnsi="宋体" w:cs="宋体"/>
                <w:snapToGrid w:val="0"/>
                <w:kern w:val="0"/>
                <w:szCs w:val="21"/>
                <w:highlight w:val="none"/>
              </w:rPr>
              <w:t>比选申请人递交比选申请文件的地点</w:t>
            </w:r>
          </w:p>
        </w:tc>
        <w:tc>
          <w:tcPr>
            <w:tcW w:w="6519" w:type="dxa"/>
            <w:vAlign w:val="center"/>
          </w:tcPr>
          <w:p w14:paraId="3560AE1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垫江县高峰镇人民政府一楼会议室</w:t>
            </w:r>
          </w:p>
        </w:tc>
      </w:tr>
      <w:tr w14:paraId="27AA7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960C0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4.2.3</w:t>
            </w:r>
          </w:p>
        </w:tc>
        <w:tc>
          <w:tcPr>
            <w:tcW w:w="1615" w:type="dxa"/>
            <w:vAlign w:val="center"/>
          </w:tcPr>
          <w:p w14:paraId="1F57C899">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是否退还比选申请文件</w:t>
            </w:r>
          </w:p>
        </w:tc>
        <w:tc>
          <w:tcPr>
            <w:tcW w:w="6519" w:type="dxa"/>
            <w:vAlign w:val="center"/>
          </w:tcPr>
          <w:p w14:paraId="7598F610">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否</w:t>
            </w:r>
          </w:p>
        </w:tc>
      </w:tr>
      <w:tr w14:paraId="16D96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FA39D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5.1.1</w:t>
            </w:r>
          </w:p>
        </w:tc>
        <w:tc>
          <w:tcPr>
            <w:tcW w:w="1615" w:type="dxa"/>
            <w:vAlign w:val="center"/>
          </w:tcPr>
          <w:p w14:paraId="6C79852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开标时间和</w:t>
            </w:r>
          </w:p>
          <w:p w14:paraId="4913D29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地点</w:t>
            </w:r>
          </w:p>
        </w:tc>
        <w:tc>
          <w:tcPr>
            <w:tcW w:w="6519" w:type="dxa"/>
            <w:vAlign w:val="center"/>
          </w:tcPr>
          <w:p w14:paraId="334DEBBA">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递交比选申请文件开始时间：202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日14时00分</w:t>
            </w:r>
          </w:p>
          <w:p w14:paraId="75C227CF">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递交比选申请文件截止时间：202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日14时30分</w:t>
            </w:r>
          </w:p>
          <w:p w14:paraId="54141BCD">
            <w:pPr>
              <w:snapToGrid w:val="0"/>
              <w:spacing w:line="40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开标地点：</w:t>
            </w:r>
            <w:r>
              <w:rPr>
                <w:rFonts w:hint="eastAsia" w:ascii="宋体" w:hAnsi="宋体" w:cs="宋体"/>
                <w:szCs w:val="21"/>
                <w:highlight w:val="none"/>
              </w:rPr>
              <w:t>垫江县高峰镇人民政府一楼会议室</w:t>
            </w:r>
            <w:r>
              <w:rPr>
                <w:rFonts w:hint="eastAsia" w:ascii="宋体" w:hAnsi="宋体" w:cs="宋体"/>
                <w:bCs/>
                <w:szCs w:val="21"/>
                <w:highlight w:val="none"/>
              </w:rPr>
              <w:t>。</w:t>
            </w:r>
          </w:p>
        </w:tc>
      </w:tr>
      <w:tr w14:paraId="51B7A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3FF428">
            <w:pPr>
              <w:snapToGrid w:val="0"/>
              <w:spacing w:line="400" w:lineRule="exact"/>
              <w:jc w:val="center"/>
              <w:rPr>
                <w:rFonts w:ascii="宋体" w:hAnsi="宋体" w:cs="宋体"/>
                <w:szCs w:val="21"/>
                <w:highlight w:val="none"/>
              </w:rPr>
            </w:pPr>
            <w:r>
              <w:rPr>
                <w:rFonts w:hint="eastAsia" w:ascii="宋体" w:hAnsi="宋体" w:cs="宋体"/>
                <w:szCs w:val="21"/>
                <w:highlight w:val="none"/>
              </w:rPr>
              <w:t>5.2</w:t>
            </w:r>
          </w:p>
        </w:tc>
        <w:tc>
          <w:tcPr>
            <w:tcW w:w="1615" w:type="dxa"/>
            <w:vAlign w:val="center"/>
          </w:tcPr>
          <w:p w14:paraId="4D2E32C1">
            <w:pPr>
              <w:snapToGrid w:val="0"/>
              <w:spacing w:line="400" w:lineRule="exact"/>
              <w:jc w:val="center"/>
              <w:rPr>
                <w:rFonts w:ascii="宋体" w:hAnsi="宋体" w:cs="宋体"/>
                <w:szCs w:val="21"/>
                <w:highlight w:val="none"/>
              </w:rPr>
            </w:pPr>
            <w:r>
              <w:rPr>
                <w:rFonts w:hint="eastAsia" w:ascii="宋体" w:hAnsi="宋体" w:cs="宋体"/>
                <w:szCs w:val="21"/>
                <w:highlight w:val="none"/>
              </w:rPr>
              <w:t>开标程序</w:t>
            </w:r>
          </w:p>
        </w:tc>
        <w:tc>
          <w:tcPr>
            <w:tcW w:w="6519" w:type="dxa"/>
            <w:vAlign w:val="center"/>
          </w:tcPr>
          <w:p w14:paraId="30A29A4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4A6ED312">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rPr>
              <w:t>比选申请人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w:t>
            </w:r>
            <w:r>
              <w:rPr>
                <w:rFonts w:hint="eastAsia" w:ascii="宋体" w:hAnsi="宋体"/>
                <w:szCs w:val="21"/>
                <w:highlight w:val="none"/>
                <w:lang w:val="en-US" w:eastAsia="zh-CN"/>
              </w:rPr>
              <w:t>投标保证金回单、</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36400E40">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14:paraId="170F058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14:paraId="1949821E">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w:t>
            </w:r>
            <w:r>
              <w:rPr>
                <w:rFonts w:hint="eastAsia" w:ascii="宋体" w:hAnsi="宋体"/>
                <w:szCs w:val="21"/>
                <w:highlight w:val="none"/>
              </w:rPr>
              <w:t>比选申请文件</w:t>
            </w:r>
            <w:r>
              <w:rPr>
                <w:rFonts w:ascii="宋体" w:hAnsi="宋体"/>
                <w:szCs w:val="21"/>
                <w:highlight w:val="none"/>
              </w:rPr>
              <w:t>的</w:t>
            </w:r>
            <w:r>
              <w:rPr>
                <w:rFonts w:hint="eastAsia" w:ascii="宋体" w:hAnsi="宋体"/>
                <w:szCs w:val="21"/>
                <w:highlight w:val="none"/>
              </w:rPr>
              <w:t>比选申请人</w:t>
            </w:r>
            <w:r>
              <w:rPr>
                <w:rFonts w:ascii="宋体" w:hAnsi="宋体"/>
                <w:szCs w:val="21"/>
                <w:highlight w:val="none"/>
              </w:rPr>
              <w:t>名称</w:t>
            </w:r>
            <w:r>
              <w:rPr>
                <w:rFonts w:hint="eastAsia" w:ascii="宋体" w:hAnsi="宋体"/>
                <w:szCs w:val="21"/>
                <w:highlight w:val="none"/>
              </w:rPr>
              <w:t>。</w:t>
            </w:r>
          </w:p>
          <w:p w14:paraId="650339B7">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比选申请文件的密封检查：比选申请人可对自己的比选申请文件封装情况进行检查，以确认其比选申请文件密封完好。</w:t>
            </w:r>
          </w:p>
          <w:p w14:paraId="175F01AB">
            <w:pPr>
              <w:snapToGrid w:val="0"/>
              <w:spacing w:line="400" w:lineRule="exact"/>
              <w:ind w:firstLine="420" w:firstLineChars="200"/>
              <w:rPr>
                <w:rFonts w:ascii="宋体" w:hAnsi="宋体"/>
                <w:szCs w:val="21"/>
                <w:highlight w:val="none"/>
              </w:rPr>
            </w:pPr>
            <w:r>
              <w:rPr>
                <w:rFonts w:hint="eastAsia" w:ascii="宋体" w:hAnsi="宋体"/>
                <w:szCs w:val="21"/>
                <w:highlight w:val="none"/>
              </w:rPr>
              <w:t>6.  展示以电子转账方式递交投标保证金的保证金交纳情况，应至少包含比选申请人名称、金额、投标保证金打入指定账户的时间等，异常情况在开标记录表“备注”栏中记录并交由评标委员会评审。保证金来款账户非基本账户的，交由评标委员会作否决投标处理。</w:t>
            </w:r>
          </w:p>
          <w:p w14:paraId="67B22557">
            <w:pPr>
              <w:snapToGrid w:val="0"/>
              <w:spacing w:line="400" w:lineRule="exact"/>
              <w:ind w:firstLine="420" w:firstLineChars="200"/>
              <w:rPr>
                <w:rFonts w:ascii="宋体" w:hAnsi="宋体"/>
                <w:szCs w:val="21"/>
                <w:highlight w:val="none"/>
              </w:rPr>
            </w:pPr>
            <w:r>
              <w:rPr>
                <w:rFonts w:ascii="宋体" w:hAnsi="宋体"/>
                <w:szCs w:val="21"/>
                <w:highlight w:val="none"/>
              </w:rPr>
              <w:t>7. 公布最高限价</w:t>
            </w:r>
            <w:r>
              <w:rPr>
                <w:rFonts w:hint="eastAsia" w:ascii="宋体" w:hAnsi="宋体"/>
                <w:szCs w:val="21"/>
                <w:highlight w:val="none"/>
              </w:rPr>
              <w:t>，采用经评审最低投标价法的还需计算最高限价的85%数值，以便评标委员会评审。</w:t>
            </w:r>
          </w:p>
          <w:p w14:paraId="6CE985EB">
            <w:pPr>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rPr>
              <w:t>比选申请文件</w:t>
            </w:r>
            <w:r>
              <w:rPr>
                <w:rFonts w:ascii="宋体" w:hAnsi="宋体"/>
                <w:szCs w:val="21"/>
                <w:highlight w:val="none"/>
              </w:rPr>
              <w:t>。开启</w:t>
            </w:r>
            <w:r>
              <w:rPr>
                <w:rFonts w:hint="eastAsia" w:ascii="宋体" w:hAnsi="宋体"/>
                <w:szCs w:val="21"/>
                <w:highlight w:val="none"/>
              </w:rPr>
              <w:t>比选申请文件</w:t>
            </w:r>
            <w:r>
              <w:rPr>
                <w:rFonts w:ascii="宋体" w:hAnsi="宋体"/>
                <w:szCs w:val="21"/>
                <w:highlight w:val="none"/>
              </w:rPr>
              <w:t>大袋及投标函部分袋、</w:t>
            </w:r>
            <w:r>
              <w:rPr>
                <w:rFonts w:hint="eastAsia" w:ascii="宋体" w:hAnsi="宋体"/>
                <w:szCs w:val="21"/>
                <w:highlight w:val="none"/>
              </w:rPr>
              <w:t>经济</w:t>
            </w:r>
            <w:r>
              <w:rPr>
                <w:rFonts w:ascii="宋体" w:hAnsi="宋体"/>
                <w:szCs w:val="21"/>
                <w:highlight w:val="none"/>
              </w:rPr>
              <w:t>部分袋、</w:t>
            </w:r>
            <w:r>
              <w:rPr>
                <w:rFonts w:hint="eastAsia" w:ascii="宋体" w:hAnsi="宋体"/>
                <w:szCs w:val="21"/>
                <w:highlight w:val="none"/>
              </w:rPr>
              <w:t>资格审查部分袋</w:t>
            </w:r>
            <w:r>
              <w:rPr>
                <w:rFonts w:ascii="宋体" w:hAnsi="宋体"/>
                <w:szCs w:val="21"/>
                <w:highlight w:val="none"/>
              </w:rPr>
              <w:t>；公布</w:t>
            </w:r>
            <w:r>
              <w:rPr>
                <w:rFonts w:hint="eastAsia" w:ascii="宋体" w:hAnsi="宋体"/>
                <w:szCs w:val="21"/>
                <w:highlight w:val="none"/>
              </w:rPr>
              <w:t>比选申请人</w:t>
            </w:r>
            <w:r>
              <w:rPr>
                <w:rFonts w:ascii="宋体" w:hAnsi="宋体"/>
                <w:szCs w:val="21"/>
                <w:highlight w:val="none"/>
              </w:rPr>
              <w:t>名称、投标报价、质量要求、工期及其他内容并记录在案</w:t>
            </w:r>
            <w:r>
              <w:rPr>
                <w:rFonts w:hint="eastAsia" w:ascii="宋体" w:hAnsi="宋体"/>
                <w:szCs w:val="21"/>
                <w:highlight w:val="none"/>
              </w:rPr>
              <w:t>。</w:t>
            </w:r>
          </w:p>
          <w:p w14:paraId="14D6FB0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9. 比选申请人对开标有异议的，应当场提出，由比选人或代理机构当场答复，并记录到开标记录表中。异议处理完毕后，汇总开标情况，打印开标记录表。</w:t>
            </w:r>
          </w:p>
          <w:p w14:paraId="49FEA4F7">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10</w:t>
            </w:r>
            <w:r>
              <w:rPr>
                <w:rFonts w:ascii="宋体" w:hAnsi="宋体"/>
                <w:szCs w:val="21"/>
                <w:highlight w:val="none"/>
              </w:rPr>
              <w:t xml:space="preserve">. </w:t>
            </w:r>
            <w:r>
              <w:rPr>
                <w:rFonts w:hint="eastAsia" w:ascii="宋体" w:hAnsi="宋体"/>
                <w:szCs w:val="21"/>
                <w:highlight w:val="none"/>
              </w:rPr>
              <w:t>比选申请人</w:t>
            </w:r>
            <w:r>
              <w:rPr>
                <w:rFonts w:ascii="宋体" w:hAnsi="宋体"/>
                <w:szCs w:val="21"/>
                <w:highlight w:val="none"/>
              </w:rPr>
              <w:t>代表、</w:t>
            </w:r>
            <w:r>
              <w:rPr>
                <w:rFonts w:hint="eastAsia" w:ascii="宋体" w:hAnsi="宋体"/>
                <w:szCs w:val="21"/>
                <w:highlight w:val="none"/>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6731B310">
            <w:pPr>
              <w:autoSpaceDE w:val="0"/>
              <w:autoSpaceDN w:val="0"/>
              <w:adjustRightInd w:val="0"/>
              <w:snapToGrid w:val="0"/>
              <w:spacing w:line="400" w:lineRule="exact"/>
              <w:ind w:firstLine="420" w:firstLineChars="200"/>
              <w:rPr>
                <w:rFonts w:ascii="宋体" w:hAnsi="宋体" w:cs="宋体"/>
                <w:szCs w:val="21"/>
                <w:highlight w:val="none"/>
              </w:rPr>
            </w:pPr>
            <w:r>
              <w:rPr>
                <w:rFonts w:hint="eastAsia" w:ascii="宋体" w:hAnsi="宋体"/>
                <w:szCs w:val="21"/>
                <w:highlight w:val="none"/>
              </w:rPr>
              <w:t>11.</w:t>
            </w:r>
            <w:r>
              <w:rPr>
                <w:rFonts w:ascii="宋体" w:hAnsi="宋体"/>
                <w:szCs w:val="21"/>
                <w:highlight w:val="none"/>
              </w:rPr>
              <w:t xml:space="preserve"> 开标结束。</w:t>
            </w:r>
          </w:p>
        </w:tc>
      </w:tr>
      <w:tr w14:paraId="6CE20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AF4C0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6.1.1</w:t>
            </w:r>
          </w:p>
        </w:tc>
        <w:tc>
          <w:tcPr>
            <w:tcW w:w="1615" w:type="dxa"/>
            <w:vAlign w:val="center"/>
          </w:tcPr>
          <w:p w14:paraId="4E7B315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评标委员会的组建</w:t>
            </w:r>
          </w:p>
        </w:tc>
        <w:tc>
          <w:tcPr>
            <w:tcW w:w="6519" w:type="dxa"/>
            <w:vAlign w:val="center"/>
          </w:tcPr>
          <w:p w14:paraId="630F4AFB">
            <w:pPr>
              <w:snapToGrid w:val="0"/>
              <w:spacing w:line="400" w:lineRule="exact"/>
              <w:ind w:firstLine="436" w:firstLineChars="200"/>
              <w:rPr>
                <w:rFonts w:ascii="宋体" w:hAnsi="宋体" w:cs="宋体"/>
                <w:kern w:val="0"/>
                <w:szCs w:val="21"/>
                <w:highlight w:val="none"/>
              </w:rPr>
            </w:pPr>
            <w:r>
              <w:rPr>
                <w:rFonts w:hint="eastAsia" w:ascii="宋体" w:hAnsi="宋体" w:cs="宋体"/>
                <w:spacing w:val="4"/>
                <w:kern w:val="0"/>
                <w:szCs w:val="21"/>
                <w:highlight w:val="none"/>
              </w:rPr>
              <w:t>由比选人按法律法规及相关规定依法组建评标委员会</w:t>
            </w:r>
            <w:r>
              <w:rPr>
                <w:rFonts w:hint="eastAsia" w:ascii="宋体" w:hAnsi="宋体" w:cs="宋体"/>
                <w:kern w:val="0"/>
                <w:szCs w:val="21"/>
                <w:highlight w:val="none"/>
              </w:rPr>
              <w:t>。</w:t>
            </w:r>
          </w:p>
        </w:tc>
      </w:tr>
      <w:tr w14:paraId="5D389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DC5E7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6.3.2</w:t>
            </w:r>
          </w:p>
        </w:tc>
        <w:tc>
          <w:tcPr>
            <w:tcW w:w="1615" w:type="dxa"/>
            <w:vAlign w:val="center"/>
          </w:tcPr>
          <w:p w14:paraId="4F0553BD">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评标委员会推荐中标候选人的</w:t>
            </w:r>
            <w:r>
              <w:rPr>
                <w:rFonts w:hint="eastAsia" w:ascii="宋体" w:hAnsi="宋体" w:cs="宋体"/>
                <w:kern w:val="0"/>
                <w:szCs w:val="21"/>
                <w:highlight w:val="none"/>
              </w:rPr>
              <w:t>人数</w:t>
            </w:r>
          </w:p>
        </w:tc>
        <w:tc>
          <w:tcPr>
            <w:tcW w:w="6519" w:type="dxa"/>
            <w:vAlign w:val="center"/>
          </w:tcPr>
          <w:p w14:paraId="2F0510ED">
            <w:pPr>
              <w:snapToGrid w:val="0"/>
              <w:spacing w:line="400" w:lineRule="exact"/>
              <w:ind w:firstLine="436" w:firstLineChars="200"/>
              <w:rPr>
                <w:rFonts w:ascii="宋体" w:hAnsi="宋体" w:cs="宋体"/>
                <w:spacing w:val="4"/>
                <w:kern w:val="0"/>
                <w:szCs w:val="21"/>
                <w:highlight w:val="none"/>
              </w:rPr>
            </w:pPr>
            <w:r>
              <w:rPr>
                <w:rFonts w:hint="eastAsia" w:ascii="宋体" w:hAnsi="宋体" w:cs="宋体"/>
                <w:spacing w:val="4"/>
                <w:kern w:val="0"/>
                <w:szCs w:val="21"/>
                <w:highlight w:val="none"/>
              </w:rPr>
              <w:t>1至3名</w:t>
            </w:r>
          </w:p>
        </w:tc>
      </w:tr>
      <w:tr w14:paraId="2C580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9F8EC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7.1</w:t>
            </w:r>
          </w:p>
        </w:tc>
        <w:tc>
          <w:tcPr>
            <w:tcW w:w="1615" w:type="dxa"/>
            <w:vAlign w:val="center"/>
          </w:tcPr>
          <w:p w14:paraId="0BE236AF">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中标候选人公示</w:t>
            </w:r>
          </w:p>
        </w:tc>
        <w:tc>
          <w:tcPr>
            <w:tcW w:w="6519" w:type="dxa"/>
            <w:vAlign w:val="center"/>
          </w:tcPr>
          <w:p w14:paraId="56781062">
            <w:pPr>
              <w:snapToGrid w:val="0"/>
              <w:spacing w:line="400" w:lineRule="exact"/>
              <w:ind w:firstLine="420" w:firstLineChars="200"/>
              <w:rPr>
                <w:rFonts w:ascii="宋体" w:hAnsi="宋体" w:cs="宋体"/>
                <w:spacing w:val="4"/>
                <w:kern w:val="0"/>
                <w:szCs w:val="21"/>
                <w:highlight w:val="none"/>
              </w:rPr>
            </w:pPr>
            <w:r>
              <w:rPr>
                <w:rFonts w:hint="eastAsia" w:ascii="宋体" w:hAnsi="宋体" w:cs="宋体"/>
                <w:szCs w:val="21"/>
                <w:highlight w:val="none"/>
              </w:rPr>
              <w:t>比选人在收到评标报告后3日内将评标结果在</w:t>
            </w:r>
            <w:r>
              <w:rPr>
                <w:rFonts w:hint="eastAsia" w:ascii="宋体" w:hAnsi="宋体" w:cs="宋体"/>
                <w:szCs w:val="21"/>
                <w:highlight w:val="none"/>
                <w:u w:val="single"/>
              </w:rPr>
              <w:t>垫江县人民政府网（http://www.cqsdj.gov.cn）</w:t>
            </w:r>
            <w:r>
              <w:rPr>
                <w:rFonts w:hint="eastAsia" w:ascii="宋体" w:hAnsi="宋体" w:cs="宋体"/>
                <w:szCs w:val="21"/>
                <w:highlight w:val="none"/>
              </w:rPr>
              <w:t>上进行公示，公示期为3日。</w:t>
            </w:r>
          </w:p>
        </w:tc>
      </w:tr>
      <w:tr w14:paraId="7B478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D65DD6">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7.4</w:t>
            </w:r>
          </w:p>
        </w:tc>
        <w:tc>
          <w:tcPr>
            <w:tcW w:w="1615" w:type="dxa"/>
            <w:vAlign w:val="center"/>
          </w:tcPr>
          <w:p w14:paraId="4E1806E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是否授权评标委员会确定中标人</w:t>
            </w:r>
          </w:p>
        </w:tc>
        <w:tc>
          <w:tcPr>
            <w:tcW w:w="6519" w:type="dxa"/>
            <w:vAlign w:val="center"/>
          </w:tcPr>
          <w:p w14:paraId="6245E214">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□是</w:t>
            </w:r>
          </w:p>
          <w:p w14:paraId="66180A79">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☑A否，推荐经评审合格的报价由低到高排名前三名为中标候选人。</w:t>
            </w:r>
          </w:p>
        </w:tc>
      </w:tr>
      <w:tr w14:paraId="7FD6E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25C94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7.5</w:t>
            </w:r>
          </w:p>
        </w:tc>
        <w:tc>
          <w:tcPr>
            <w:tcW w:w="1615" w:type="dxa"/>
            <w:vAlign w:val="center"/>
          </w:tcPr>
          <w:p w14:paraId="6D5BAE81">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中标通知书和中标结果通知发出的形式</w:t>
            </w:r>
          </w:p>
        </w:tc>
        <w:tc>
          <w:tcPr>
            <w:tcW w:w="6519" w:type="dxa"/>
            <w:vAlign w:val="center"/>
          </w:tcPr>
          <w:p w14:paraId="51053674">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以书面的形式发出</w:t>
            </w:r>
          </w:p>
        </w:tc>
      </w:tr>
      <w:tr w14:paraId="4D94A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1FEEC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7.6</w:t>
            </w:r>
          </w:p>
        </w:tc>
        <w:tc>
          <w:tcPr>
            <w:tcW w:w="1615" w:type="dxa"/>
            <w:vAlign w:val="center"/>
          </w:tcPr>
          <w:p w14:paraId="469B0552">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中标结果公告媒介及期限</w:t>
            </w:r>
          </w:p>
        </w:tc>
        <w:tc>
          <w:tcPr>
            <w:tcW w:w="6519" w:type="dxa"/>
            <w:vAlign w:val="center"/>
          </w:tcPr>
          <w:p w14:paraId="29B4C3DE">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比选人将中标结果在</w:t>
            </w:r>
            <w:r>
              <w:rPr>
                <w:rFonts w:hint="eastAsia" w:ascii="宋体" w:hAnsi="宋体" w:cs="宋体"/>
                <w:szCs w:val="21"/>
                <w:highlight w:val="none"/>
                <w:u w:val="single"/>
              </w:rPr>
              <w:t xml:space="preserve">垫江县人民政府网（http://www.cqsdj.gov.cn） </w:t>
            </w:r>
            <w:r>
              <w:rPr>
                <w:rFonts w:hint="eastAsia" w:ascii="宋体" w:hAnsi="宋体" w:cs="宋体"/>
                <w:szCs w:val="21"/>
                <w:highlight w:val="none"/>
              </w:rPr>
              <w:t>上进行公示</w:t>
            </w:r>
            <w:r>
              <w:rPr>
                <w:rFonts w:hint="eastAsia" w:ascii="宋体" w:hAnsi="宋体" w:cs="宋体"/>
                <w:kern w:val="0"/>
                <w:szCs w:val="21"/>
                <w:highlight w:val="none"/>
                <w:lang w:bidi="ar"/>
              </w:rPr>
              <w:t xml:space="preserve">            </w:t>
            </w:r>
          </w:p>
        </w:tc>
      </w:tr>
      <w:tr w14:paraId="2D64B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A3A90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7.7.1</w:t>
            </w:r>
          </w:p>
        </w:tc>
        <w:tc>
          <w:tcPr>
            <w:tcW w:w="1615" w:type="dxa"/>
            <w:vAlign w:val="center"/>
          </w:tcPr>
          <w:p w14:paraId="4AFB870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履约保证金</w:t>
            </w:r>
          </w:p>
        </w:tc>
        <w:tc>
          <w:tcPr>
            <w:tcW w:w="6519" w:type="dxa"/>
            <w:vAlign w:val="center"/>
          </w:tcPr>
          <w:p w14:paraId="4C2F35D5">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1、中标人是否提供履约担保：</w:t>
            </w:r>
            <w:r>
              <w:rPr>
                <w:rFonts w:hint="eastAsia" w:ascii="宋体" w:hAnsi="宋体" w:cs="宋体"/>
                <w:kern w:val="0"/>
                <w:szCs w:val="21"/>
                <w:highlight w:val="none"/>
                <w:u w:val="single"/>
              </w:rPr>
              <w:t>提供</w:t>
            </w:r>
            <w:r>
              <w:rPr>
                <w:rFonts w:hint="eastAsia" w:ascii="宋体" w:hAnsi="宋体" w:cs="宋体"/>
                <w:kern w:val="0"/>
                <w:szCs w:val="21"/>
                <w:highlight w:val="none"/>
              </w:rPr>
              <w:t>。</w:t>
            </w:r>
          </w:p>
          <w:p w14:paraId="761A6174">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2、中标人提供履约担保的形式、金额及期限：</w:t>
            </w:r>
          </w:p>
          <w:p w14:paraId="464532A8">
            <w:pPr>
              <w:snapToGrid w:val="0"/>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（1）履约担保的形式：现金</w:t>
            </w:r>
            <w:r>
              <w:rPr>
                <w:rFonts w:hint="eastAsia" w:ascii="宋体" w:hAnsi="宋体"/>
                <w:szCs w:val="21"/>
                <w:highlight w:val="none"/>
              </w:rPr>
              <w:t>。</w:t>
            </w:r>
          </w:p>
          <w:p w14:paraId="46896390">
            <w:pPr>
              <w:snapToGrid w:val="0"/>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）履约担保的金额：</w:t>
            </w:r>
            <w:r>
              <w:rPr>
                <w:rFonts w:hint="eastAsia" w:ascii="宋体" w:hAnsi="宋体" w:cs="宋体"/>
                <w:kern w:val="0"/>
                <w:szCs w:val="21"/>
                <w:highlight w:val="none"/>
                <w:u w:val="single"/>
              </w:rPr>
              <w:t>签约合同价格的10%</w:t>
            </w:r>
            <w:r>
              <w:rPr>
                <w:rFonts w:hint="eastAsia" w:ascii="宋体" w:hAnsi="宋体"/>
                <w:kern w:val="0"/>
                <w:szCs w:val="21"/>
                <w:highlight w:val="none"/>
              </w:rPr>
              <w:t>。</w:t>
            </w:r>
          </w:p>
          <w:p w14:paraId="36E2277B">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）履约担保的提交时间：见专用合同条款。</w:t>
            </w:r>
          </w:p>
          <w:p w14:paraId="07678DC6">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）履约担保的期限：见专用合同条款。</w:t>
            </w:r>
          </w:p>
          <w:p w14:paraId="1B506BBE">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）履约担保的退还时间：见专用合同条款。</w:t>
            </w:r>
          </w:p>
        </w:tc>
      </w:tr>
      <w:tr w14:paraId="09445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A37CB8">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7.8.1</w:t>
            </w:r>
          </w:p>
        </w:tc>
        <w:tc>
          <w:tcPr>
            <w:tcW w:w="1615" w:type="dxa"/>
            <w:vAlign w:val="center"/>
          </w:tcPr>
          <w:p w14:paraId="34A09289">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签订合同</w:t>
            </w:r>
          </w:p>
        </w:tc>
        <w:tc>
          <w:tcPr>
            <w:tcW w:w="6519" w:type="dxa"/>
            <w:vAlign w:val="center"/>
          </w:tcPr>
          <w:p w14:paraId="2699F3E9">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5A906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91313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8.5.1</w:t>
            </w:r>
          </w:p>
        </w:tc>
        <w:tc>
          <w:tcPr>
            <w:tcW w:w="1615" w:type="dxa"/>
            <w:vAlign w:val="center"/>
          </w:tcPr>
          <w:p w14:paraId="58A2FBB6">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监督部门</w:t>
            </w:r>
          </w:p>
        </w:tc>
        <w:tc>
          <w:tcPr>
            <w:tcW w:w="6519" w:type="dxa"/>
            <w:vAlign w:val="center"/>
          </w:tcPr>
          <w:p w14:paraId="2CC0D0B2">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监督部门：</w:t>
            </w:r>
            <w:r>
              <w:rPr>
                <w:rFonts w:hint="eastAsia" w:ascii="宋体" w:hAnsi="宋体" w:cs="宋体"/>
                <w:kern w:val="0"/>
                <w:szCs w:val="21"/>
                <w:highlight w:val="none"/>
                <w:u w:val="single"/>
                <w:lang w:bidi="ar"/>
              </w:rPr>
              <w:t xml:space="preserve"> 垫江县交通运输委员会  </w:t>
            </w:r>
            <w:r>
              <w:rPr>
                <w:rFonts w:hint="eastAsia" w:ascii="宋体" w:hAnsi="宋体" w:cs="宋体"/>
                <w:kern w:val="0"/>
                <w:szCs w:val="21"/>
                <w:highlight w:val="none"/>
                <w:lang w:bidi="ar"/>
              </w:rPr>
              <w:t xml:space="preserve">   </w:t>
            </w:r>
          </w:p>
          <w:p w14:paraId="158DF7F3">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地 址：</w:t>
            </w:r>
            <w:r>
              <w:rPr>
                <w:rFonts w:hint="eastAsia" w:ascii="宋体" w:hAnsi="宋体" w:cs="宋体"/>
                <w:kern w:val="0"/>
                <w:szCs w:val="21"/>
                <w:highlight w:val="none"/>
                <w:u w:val="single"/>
                <w:lang w:bidi="ar"/>
              </w:rPr>
              <w:t xml:space="preserve">垫江县桂阳街道桂西大道南二段金融科技大厦23楼2314   </w:t>
            </w:r>
            <w:r>
              <w:rPr>
                <w:rFonts w:hint="eastAsia" w:ascii="宋体" w:hAnsi="宋体" w:cs="宋体"/>
                <w:kern w:val="0"/>
                <w:szCs w:val="21"/>
                <w:highlight w:val="none"/>
                <w:lang w:bidi="ar"/>
              </w:rPr>
              <w:t xml:space="preserve"> </w:t>
            </w:r>
          </w:p>
          <w:p w14:paraId="526DE293">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 xml:space="preserve">电 话： </w:t>
            </w:r>
            <w:r>
              <w:rPr>
                <w:rFonts w:hint="eastAsia" w:ascii="宋体" w:hAnsi="宋体" w:cs="宋体"/>
                <w:kern w:val="0"/>
                <w:szCs w:val="21"/>
                <w:highlight w:val="none"/>
                <w:u w:val="single"/>
                <w:lang w:bidi="ar"/>
              </w:rPr>
              <w:t xml:space="preserve">023-74512216 </w:t>
            </w:r>
          </w:p>
          <w:p w14:paraId="24DFFE40">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传 真：</w:t>
            </w:r>
            <w:r>
              <w:rPr>
                <w:rFonts w:hint="eastAsia" w:ascii="宋体" w:hAnsi="宋体" w:cs="宋体"/>
                <w:kern w:val="0"/>
                <w:szCs w:val="21"/>
                <w:highlight w:val="none"/>
                <w:u w:val="single"/>
                <w:lang w:bidi="ar"/>
              </w:rPr>
              <w:t xml:space="preserve">      /       </w:t>
            </w:r>
            <w:r>
              <w:rPr>
                <w:rFonts w:hint="eastAsia" w:ascii="宋体" w:hAnsi="宋体" w:cs="宋体"/>
                <w:kern w:val="0"/>
                <w:szCs w:val="21"/>
                <w:highlight w:val="none"/>
                <w:lang w:bidi="ar"/>
              </w:rPr>
              <w:t xml:space="preserve"> </w:t>
            </w:r>
          </w:p>
          <w:p w14:paraId="081DD906">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lang w:bidi="ar"/>
              </w:rPr>
              <w:t>邮政编码：</w:t>
            </w:r>
            <w:r>
              <w:rPr>
                <w:rFonts w:hint="eastAsia" w:ascii="宋体" w:hAnsi="宋体" w:cs="宋体"/>
                <w:kern w:val="0"/>
                <w:szCs w:val="21"/>
                <w:highlight w:val="none"/>
                <w:u w:val="single"/>
                <w:lang w:bidi="ar"/>
              </w:rPr>
              <w:t xml:space="preserve">     /        </w:t>
            </w:r>
            <w:r>
              <w:rPr>
                <w:rFonts w:hint="eastAsia" w:ascii="宋体" w:hAnsi="宋体" w:cs="宋体"/>
                <w:kern w:val="0"/>
                <w:szCs w:val="21"/>
                <w:highlight w:val="none"/>
                <w:lang w:bidi="ar"/>
              </w:rPr>
              <w:t xml:space="preserve"> </w:t>
            </w:r>
          </w:p>
        </w:tc>
      </w:tr>
      <w:tr w14:paraId="2E833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50BFE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9</w:t>
            </w:r>
          </w:p>
        </w:tc>
        <w:tc>
          <w:tcPr>
            <w:tcW w:w="1615" w:type="dxa"/>
            <w:vAlign w:val="center"/>
          </w:tcPr>
          <w:p w14:paraId="5AA53573">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是否采用电子招标投标</w:t>
            </w:r>
          </w:p>
        </w:tc>
        <w:tc>
          <w:tcPr>
            <w:tcW w:w="6519" w:type="dxa"/>
            <w:vAlign w:val="center"/>
          </w:tcPr>
          <w:p w14:paraId="6BD81742">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不采用</w:t>
            </w:r>
          </w:p>
        </w:tc>
      </w:tr>
      <w:tr w14:paraId="4FE1B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ECA72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w:t>
            </w:r>
          </w:p>
        </w:tc>
        <w:tc>
          <w:tcPr>
            <w:tcW w:w="8134" w:type="dxa"/>
            <w:gridSpan w:val="2"/>
            <w:vAlign w:val="center"/>
          </w:tcPr>
          <w:p w14:paraId="4D33A49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需要补充的其他内容</w:t>
            </w:r>
          </w:p>
        </w:tc>
      </w:tr>
      <w:tr w14:paraId="6D9DC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D477D6">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10.1</w:t>
            </w:r>
          </w:p>
        </w:tc>
        <w:tc>
          <w:tcPr>
            <w:tcW w:w="1615" w:type="dxa"/>
            <w:vAlign w:val="center"/>
          </w:tcPr>
          <w:p w14:paraId="2C1253F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支付担保</w:t>
            </w:r>
          </w:p>
        </w:tc>
        <w:tc>
          <w:tcPr>
            <w:tcW w:w="6519" w:type="dxa"/>
            <w:vAlign w:val="center"/>
          </w:tcPr>
          <w:p w14:paraId="13E9DF48">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比选人应按第四章合同专用条款约定向中标人提供相应的支付担保。</w:t>
            </w:r>
          </w:p>
          <w:p w14:paraId="51C3AE2A">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比选人将在中标人提供履约担保后，签订合同协议书之前向中标人提交支付担保。</w:t>
            </w:r>
          </w:p>
        </w:tc>
      </w:tr>
      <w:tr w14:paraId="1D87E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94102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10.2</w:t>
            </w:r>
          </w:p>
        </w:tc>
        <w:tc>
          <w:tcPr>
            <w:tcW w:w="1615" w:type="dxa"/>
            <w:vAlign w:val="center"/>
          </w:tcPr>
          <w:p w14:paraId="1DE64D0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项目经理答辩</w:t>
            </w:r>
          </w:p>
        </w:tc>
        <w:tc>
          <w:tcPr>
            <w:tcW w:w="6519" w:type="dxa"/>
            <w:vAlign w:val="center"/>
          </w:tcPr>
          <w:p w14:paraId="5F6263B9">
            <w:pPr>
              <w:snapToGrid w:val="0"/>
              <w:spacing w:line="400" w:lineRule="exact"/>
              <w:ind w:firstLine="420" w:firstLineChars="200"/>
              <w:rPr>
                <w:highlight w:val="none"/>
              </w:rPr>
            </w:pPr>
            <w:r>
              <w:rPr>
                <w:rFonts w:hint="eastAsia" w:ascii="宋体" w:hAnsi="宋体" w:cs="宋体"/>
                <w:kern w:val="0"/>
                <w:szCs w:val="21"/>
                <w:highlight w:val="none"/>
              </w:rPr>
              <w:t>项目经理答辩：□有；☑无。</w:t>
            </w:r>
          </w:p>
        </w:tc>
      </w:tr>
      <w:tr w14:paraId="04D98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54985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10.3</w:t>
            </w:r>
          </w:p>
        </w:tc>
        <w:tc>
          <w:tcPr>
            <w:tcW w:w="1615" w:type="dxa"/>
            <w:vAlign w:val="center"/>
          </w:tcPr>
          <w:p w14:paraId="629A178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异议、投诉处理</w:t>
            </w:r>
          </w:p>
        </w:tc>
        <w:tc>
          <w:tcPr>
            <w:tcW w:w="6519" w:type="dxa"/>
            <w:vAlign w:val="center"/>
          </w:tcPr>
          <w:p w14:paraId="10C3A47A">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 比选申请人或者其他利害关系人就本项目的比选文件（含澄清修改）、开标情况、评标结果等事项提出投诉的，应当先向比选人提出异议；比选人应当在规定时间内答复；对比选人的答复不满意，可向行政监督部门投诉。</w:t>
            </w:r>
          </w:p>
          <w:p w14:paraId="5EE02587">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提出异议或投诉时应当包括下列内容：</w:t>
            </w:r>
          </w:p>
          <w:p w14:paraId="74763BCA">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（1）异议人或投诉人的名称、地址及有效联系方式；</w:t>
            </w:r>
          </w:p>
          <w:p w14:paraId="308C565A">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（2）被异议人或被投诉人的名称、地址及有效联系方式；</w:t>
            </w:r>
          </w:p>
          <w:p w14:paraId="2C9FEA57">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（3）异议或投诉事项的基本事实；</w:t>
            </w:r>
          </w:p>
          <w:p w14:paraId="7FD8DFBC">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（4）请求及主张；</w:t>
            </w:r>
          </w:p>
          <w:p w14:paraId="2E6312F7">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（5）涉及事项的证据、证明材料。</w:t>
            </w:r>
          </w:p>
          <w:p w14:paraId="2C5C691D">
            <w:pPr>
              <w:widowControl/>
              <w:spacing w:line="400" w:lineRule="exact"/>
              <w:ind w:firstLine="420" w:firstLineChars="200"/>
              <w:rPr>
                <w:rFonts w:ascii="宋体" w:hAnsi="宋体" w:cs="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w:t>
            </w:r>
            <w:r>
              <w:rPr>
                <w:rFonts w:hint="eastAsia" w:ascii="宋体" w:hAnsi="宋体" w:cs="宋体"/>
                <w:kern w:val="0"/>
                <w:szCs w:val="21"/>
                <w:highlight w:val="none"/>
              </w:rPr>
              <w:t>。如有关材料是外文，应当同时提供中文译本。</w:t>
            </w:r>
          </w:p>
          <w:p w14:paraId="0BAEBD16">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 行政监督部门依照《中华人民共和国招标投标法》、《中华人民共和国招标投标法实施条例》、《公路工程建设项目招标投标管理办法》、《重庆市招标投标条例》、《工程建设项目招标投标活动投诉处理办法》（七部委令第11号（根据九部门2013年第23号令修正））、</w:t>
            </w:r>
            <w:r>
              <w:rPr>
                <w:rFonts w:hint="eastAsia" w:asciiTheme="minorEastAsia" w:hAnsiTheme="minorEastAsia" w:eastAsiaTheme="minorEastAsia" w:cstheme="minorEastAsia"/>
                <w:kern w:val="0"/>
                <w:szCs w:val="21"/>
                <w:highlight w:val="none"/>
              </w:rPr>
              <w:t>《关于印发&lt;重庆市招标投标活动投诉处理实施细则（修订）&gt;的通知》（渝公管发〔2021〕54号）</w:t>
            </w:r>
            <w:r>
              <w:rPr>
                <w:rFonts w:hint="eastAsia" w:ascii="宋体" w:hAnsi="宋体" w:cs="宋体"/>
                <w:kern w:val="0"/>
                <w:szCs w:val="21"/>
                <w:highlight w:val="none"/>
              </w:rPr>
              <w:t>等法律法规文件处理投诉。</w:t>
            </w:r>
          </w:p>
          <w:p w14:paraId="406EC319">
            <w:pPr>
              <w:widowControl/>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3. 根据《重庆市工程建设领域招标投标信用管理暂行办法》的规定，比选申请人捏造事实、伪造材料，或者以非法手段获取证明材料进行质疑或者投诉的，将被列入黑名单管理；给他人造成损失的，依法承担</w:t>
            </w:r>
            <w:r>
              <w:rPr>
                <w:rFonts w:ascii="宋体" w:hAnsi="宋体"/>
                <w:kern w:val="0"/>
                <w:szCs w:val="21"/>
                <w:highlight w:val="none"/>
              </w:rPr>
              <w:t>赔偿责任。</w:t>
            </w:r>
          </w:p>
          <w:p w14:paraId="3E0E190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w:t>
            </w:r>
            <w:r>
              <w:rPr>
                <w:rFonts w:ascii="宋体" w:hAnsi="宋体"/>
                <w:kern w:val="0"/>
                <w:szCs w:val="21"/>
                <w:highlight w:val="none"/>
              </w:rPr>
              <w:t xml:space="preserve">. </w:t>
            </w:r>
            <w:r>
              <w:rPr>
                <w:rFonts w:hint="eastAsia" w:ascii="宋体" w:hAnsi="宋体"/>
                <w:kern w:val="0"/>
                <w:szCs w:val="21"/>
                <w:highlight w:val="none"/>
              </w:rPr>
              <w:t>异议受理单位：垫江县高峰镇人民政府</w:t>
            </w:r>
          </w:p>
          <w:p w14:paraId="20550CC0">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r>
              <w:rPr>
                <w:rFonts w:hint="eastAsia" w:ascii="宋体" w:hAnsi="宋体" w:cs="宋体"/>
                <w:kern w:val="0"/>
                <w:szCs w:val="21"/>
                <w:highlight w:val="none"/>
              </w:rPr>
              <w:t>13996829506</w:t>
            </w:r>
          </w:p>
          <w:p w14:paraId="1B76D20C">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投诉受理部门：垫江县交通运输委员会</w:t>
            </w:r>
          </w:p>
          <w:p w14:paraId="23DBAF3D">
            <w:pPr>
              <w:snapToGrid w:val="0"/>
              <w:spacing w:line="400" w:lineRule="exact"/>
              <w:ind w:firstLine="420" w:firstLineChars="200"/>
              <w:rPr>
                <w:rFonts w:ascii="宋体" w:hAnsi="宋体" w:cs="宋体"/>
                <w:kern w:val="0"/>
                <w:szCs w:val="21"/>
                <w:highlight w:val="none"/>
              </w:rPr>
            </w:pPr>
            <w:r>
              <w:rPr>
                <w:rFonts w:hint="eastAsia" w:ascii="宋体" w:hAnsi="宋体"/>
                <w:kern w:val="0"/>
                <w:szCs w:val="21"/>
                <w:highlight w:val="none"/>
              </w:rPr>
              <w:t>联系电话：023-74512216</w:t>
            </w:r>
          </w:p>
        </w:tc>
      </w:tr>
      <w:tr w14:paraId="7A26E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DEC1D2">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10.4</w:t>
            </w:r>
          </w:p>
        </w:tc>
        <w:tc>
          <w:tcPr>
            <w:tcW w:w="1615" w:type="dxa"/>
            <w:vAlign w:val="center"/>
          </w:tcPr>
          <w:p w14:paraId="0FFA25E9">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工程量清单</w:t>
            </w:r>
          </w:p>
          <w:p w14:paraId="4C26F2B1">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编制说明</w:t>
            </w:r>
          </w:p>
        </w:tc>
        <w:tc>
          <w:tcPr>
            <w:tcW w:w="6519" w:type="dxa"/>
            <w:vAlign w:val="center"/>
          </w:tcPr>
          <w:p w14:paraId="19958E23">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p>
        </w:tc>
      </w:tr>
      <w:tr w14:paraId="3178B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5BD0B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10.5</w:t>
            </w:r>
          </w:p>
        </w:tc>
        <w:tc>
          <w:tcPr>
            <w:tcW w:w="1615" w:type="dxa"/>
            <w:vAlign w:val="center"/>
          </w:tcPr>
          <w:p w14:paraId="506C6BC8">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建筑领域实施农民工工资专用账户相关要求</w:t>
            </w:r>
          </w:p>
        </w:tc>
        <w:tc>
          <w:tcPr>
            <w:tcW w:w="6519" w:type="dxa"/>
            <w:vAlign w:val="center"/>
          </w:tcPr>
          <w:p w14:paraId="4BF7DCCF">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交通运输部关于公路水运工程建设领域保障农民工工资支付的意见》（交公路规〔2020〕5号）、《重庆市人民政府办公厅关于全面治理拖欠农民工工资问题的实施意见》（渝府办发〔2016〕101号）</w:t>
            </w:r>
            <w:r>
              <w:rPr>
                <w:rFonts w:hint="eastAsia" w:ascii="宋体" w:hAnsi="宋体"/>
                <w:kern w:val="0"/>
                <w:szCs w:val="21"/>
                <w:highlight w:val="none"/>
              </w:rPr>
              <w:t>。</w:t>
            </w:r>
          </w:p>
          <w:p w14:paraId="28096E3F">
            <w:pPr>
              <w:widowControl/>
              <w:spacing w:line="400" w:lineRule="exact"/>
              <w:ind w:firstLine="420" w:firstLineChars="200"/>
              <w:rPr>
                <w:rFonts w:ascii="宋体" w:hAnsi="宋体" w:cs="宋体"/>
                <w:i/>
                <w:kern w:val="0"/>
                <w:szCs w:val="21"/>
                <w:highlight w:val="none"/>
              </w:rPr>
            </w:pPr>
            <w:r>
              <w:rPr>
                <w:rFonts w:hint="eastAsia" w:ascii="宋体" w:hAnsi="宋体"/>
                <w:kern w:val="0"/>
                <w:szCs w:val="21"/>
                <w:highlight w:val="none"/>
              </w:rPr>
              <w:t>比选申请人中标后，在与发包人签订的合同中，必须明确在重庆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610C2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A2B251">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10.6</w:t>
            </w:r>
          </w:p>
        </w:tc>
        <w:tc>
          <w:tcPr>
            <w:tcW w:w="1615" w:type="dxa"/>
            <w:vAlign w:val="center"/>
          </w:tcPr>
          <w:p w14:paraId="3358697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低价风险担保</w:t>
            </w:r>
          </w:p>
          <w:p w14:paraId="5E577E90">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（采用经评审的最低投标价法适用）</w:t>
            </w:r>
          </w:p>
        </w:tc>
        <w:tc>
          <w:tcPr>
            <w:tcW w:w="6519" w:type="dxa"/>
            <w:vAlign w:val="center"/>
          </w:tcPr>
          <w:p w14:paraId="23CA8699">
            <w:pPr>
              <w:widowControl/>
              <w:spacing w:line="400" w:lineRule="exact"/>
              <w:ind w:firstLine="420" w:firstLineChars="200"/>
              <w:rPr>
                <w:highlight w:val="none"/>
              </w:rPr>
            </w:pPr>
            <w:r>
              <w:rPr>
                <w:rFonts w:hint="eastAsia"/>
                <w:highlight w:val="none"/>
              </w:rPr>
              <w:t>1、低价风险担保：中标价低于最高限价的85%时提供，如不按时足额提供，视为中标人放弃中标，比选人有权不退还其投标保证金，并报招标投标行政监督部门按照信用管理办法的规定处理，对中标人的不良行为直接记12分，纳入重点关注名单。若比选申请人为联合体，由联合体牵头人或按照联合体协议的约定提交低价风险担保。</w:t>
            </w:r>
          </w:p>
          <w:p w14:paraId="6F1B085C">
            <w:pPr>
              <w:widowControl/>
              <w:spacing w:line="400" w:lineRule="exact"/>
              <w:ind w:firstLine="420" w:firstLineChars="200"/>
              <w:rPr>
                <w:highlight w:val="none"/>
              </w:rPr>
            </w:pPr>
            <w:r>
              <w:rPr>
                <w:rFonts w:hint="eastAsia"/>
                <w:highlight w:val="none"/>
              </w:rPr>
              <w:t>2、中标人提供低价风险担保的形式、金额及期限：</w:t>
            </w:r>
          </w:p>
          <w:p w14:paraId="23FA9957">
            <w:pPr>
              <w:widowControl/>
              <w:spacing w:line="400" w:lineRule="exact"/>
              <w:ind w:firstLine="420" w:firstLineChars="200"/>
              <w:rPr>
                <w:highlight w:val="none"/>
                <w:u w:val="single"/>
              </w:rPr>
            </w:pPr>
            <w:r>
              <w:rPr>
                <w:rFonts w:hint="eastAsia"/>
                <w:highlight w:val="none"/>
              </w:rPr>
              <w:t>（1）低价风险担保的形式：现金或银行保函或现金+银行保函的组合；采用银行保函形式的，保函必须为不可撤销、不可转让且见索即付的独立保函，保函格式详见第四章合同条款及格式附件，中标人出具保函时，</w:t>
            </w:r>
            <w:r>
              <w:rPr>
                <w:rFonts w:hint="eastAsia" w:ascii="宋体" w:hAnsi="宋体"/>
                <w:szCs w:val="21"/>
                <w:highlight w:val="none"/>
              </w:rPr>
              <w:t>不得修改“低价风险担保保函”名称，也不得对低价风险担保保函示范文本中付款条件等实质性内容进行修改，否则视为不符合比选文件规定</w:t>
            </w:r>
            <w:r>
              <w:rPr>
                <w:rFonts w:hint="eastAsia"/>
                <w:highlight w:val="none"/>
              </w:rPr>
              <w:t>。</w:t>
            </w:r>
          </w:p>
          <w:p w14:paraId="7E1D1690">
            <w:pPr>
              <w:autoSpaceDE w:val="0"/>
              <w:autoSpaceDN w:val="0"/>
              <w:adjustRightInd w:val="0"/>
              <w:snapToGrid w:val="0"/>
              <w:spacing w:line="400" w:lineRule="exact"/>
              <w:ind w:firstLine="420" w:firstLineChars="200"/>
              <w:rPr>
                <w:highlight w:val="none"/>
              </w:rPr>
            </w:pPr>
            <w:r>
              <w:rPr>
                <w:rFonts w:hint="eastAsia"/>
                <w:highlight w:val="none"/>
              </w:rPr>
              <w:t>（2）低价风险担保的金额：（最高限价×85%-中标价）×□1□2☑3，</w:t>
            </w:r>
            <w:r>
              <w:rPr>
                <w:highlight w:val="none"/>
              </w:rPr>
              <w:t>且最高不超过最高限价的85%</w:t>
            </w:r>
            <w:r>
              <w:rPr>
                <w:rFonts w:hint="eastAsia"/>
                <w:highlight w:val="none"/>
              </w:rPr>
              <w:t>。</w:t>
            </w:r>
          </w:p>
          <w:p w14:paraId="5935709C">
            <w:pPr>
              <w:widowControl/>
              <w:spacing w:line="400" w:lineRule="exact"/>
              <w:ind w:firstLine="420" w:firstLineChars="200"/>
              <w:rPr>
                <w:highlight w:val="none"/>
              </w:rPr>
            </w:pPr>
            <w:r>
              <w:rPr>
                <w:rFonts w:hint="eastAsia"/>
                <w:highlight w:val="none"/>
              </w:rPr>
              <w:t>（3）低价风险担保送达比选人的时间：从比选人</w:t>
            </w:r>
            <w:r>
              <w:rPr>
                <w:rFonts w:hint="eastAsia"/>
                <w:szCs w:val="21"/>
                <w:highlight w:val="none"/>
              </w:rPr>
              <w:t>中标通知书</w:t>
            </w:r>
            <w:r>
              <w:rPr>
                <w:rFonts w:hint="eastAsia"/>
                <w:highlight w:val="none"/>
              </w:rPr>
              <w:t>送达拟中标人之日起</w:t>
            </w:r>
            <w:r>
              <w:rPr>
                <w:rFonts w:hint="eastAsia"/>
                <w:highlight w:val="none"/>
                <w:u w:val="single"/>
              </w:rPr>
              <w:t xml:space="preserve"> 10个 </w:t>
            </w:r>
            <w:r>
              <w:rPr>
                <w:rFonts w:hint="eastAsia"/>
                <w:highlight w:val="none"/>
              </w:rPr>
              <w:t>工作日内；</w:t>
            </w:r>
          </w:p>
          <w:p w14:paraId="67559A97">
            <w:pPr>
              <w:widowControl/>
              <w:spacing w:line="400" w:lineRule="exact"/>
              <w:ind w:firstLine="420" w:firstLineChars="200"/>
              <w:rPr>
                <w:highlight w:val="none"/>
              </w:rPr>
            </w:pPr>
            <w:r>
              <w:rPr>
                <w:rFonts w:hint="eastAsia"/>
                <w:highlight w:val="none"/>
              </w:rPr>
              <w:t>（4）中标人因自身原因未按中标通知书规定的时限与比选人签订合同的，比选人有权扣除其低价风险担保并取消中标资格。</w:t>
            </w:r>
          </w:p>
          <w:p w14:paraId="121E1C0C">
            <w:pPr>
              <w:widowControl/>
              <w:spacing w:line="400" w:lineRule="exact"/>
              <w:ind w:firstLine="420" w:firstLineChars="200"/>
              <w:rPr>
                <w:highlight w:val="none"/>
              </w:rPr>
            </w:pPr>
            <w:r>
              <w:rPr>
                <w:rFonts w:hint="eastAsia"/>
                <w:highlight w:val="none"/>
              </w:rPr>
              <w:t>（5）低价风险担保的期限：</w:t>
            </w:r>
            <w:r>
              <w:rPr>
                <w:rFonts w:hint="eastAsia"/>
                <w:highlight w:val="none"/>
                <w:u w:val="single"/>
              </w:rPr>
              <w:t>自低价风险担保生效之日起至工程交（竣）工验收合格之日止</w:t>
            </w:r>
            <w:r>
              <w:rPr>
                <w:rFonts w:hint="eastAsia"/>
                <w:highlight w:val="none"/>
              </w:rPr>
              <w:t>。</w:t>
            </w:r>
          </w:p>
          <w:p w14:paraId="6C095FF6">
            <w:pPr>
              <w:widowControl/>
              <w:spacing w:line="400" w:lineRule="exact"/>
              <w:ind w:firstLine="420" w:firstLineChars="200"/>
              <w:rPr>
                <w:highlight w:val="none"/>
              </w:rPr>
            </w:pPr>
            <w:r>
              <w:rPr>
                <w:rFonts w:hint="eastAsia"/>
                <w:highlight w:val="none"/>
              </w:rPr>
              <w:t>3、低价风险担保的退还时间：见专用合同条款。</w:t>
            </w:r>
          </w:p>
          <w:p w14:paraId="774F3CB0">
            <w:pPr>
              <w:widowControl/>
              <w:spacing w:line="400" w:lineRule="exact"/>
              <w:ind w:firstLine="420" w:firstLineChars="200"/>
              <w:rPr>
                <w:highlight w:val="none"/>
              </w:rPr>
            </w:pPr>
            <w:r>
              <w:rPr>
                <w:rFonts w:hint="eastAsia"/>
                <w:highlight w:val="none"/>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14:paraId="559B038D">
            <w:pPr>
              <w:widowControl/>
              <w:spacing w:line="400" w:lineRule="exact"/>
              <w:ind w:firstLine="420" w:firstLineChars="200"/>
              <w:rPr>
                <w:highlight w:val="none"/>
              </w:rPr>
            </w:pPr>
            <w:r>
              <w:rPr>
                <w:rFonts w:hint="eastAsia"/>
                <w:highlight w:val="none"/>
              </w:rPr>
              <w:t>备注：当中标人或拟中标人未按时提交低价风险担保，且属于可以延长低价风险担保提交期限的特殊情形时，经比选人同意，可适当延长低价风险担保的提交期限。</w:t>
            </w:r>
          </w:p>
          <w:p w14:paraId="0DA2E841">
            <w:pPr>
              <w:widowControl/>
              <w:spacing w:line="400" w:lineRule="exact"/>
              <w:ind w:firstLine="420" w:firstLineChars="200"/>
              <w:rPr>
                <w:highlight w:val="none"/>
              </w:rPr>
            </w:pPr>
            <w:r>
              <w:rPr>
                <w:rFonts w:hint="eastAsia"/>
                <w:highlight w:val="none"/>
              </w:rPr>
              <w:t>5、投标总报价低于最高限价85%的，比选申请人应在编制比选申请文件时，在投标函部分中递交低价风险担保提交承诺书。承诺书格式详见第九章比选申请文件格式。</w:t>
            </w:r>
          </w:p>
        </w:tc>
      </w:tr>
      <w:tr w14:paraId="4858C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7DF1A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10.7</w:t>
            </w:r>
          </w:p>
        </w:tc>
        <w:tc>
          <w:tcPr>
            <w:tcW w:w="1615" w:type="dxa"/>
            <w:vAlign w:val="center"/>
          </w:tcPr>
          <w:p w14:paraId="4E50811A">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关于对比选文件及投标争议的解释</w:t>
            </w:r>
          </w:p>
        </w:tc>
        <w:tc>
          <w:tcPr>
            <w:tcW w:w="6519" w:type="dxa"/>
            <w:vAlign w:val="center"/>
          </w:tcPr>
          <w:p w14:paraId="25BE5100">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对资格预审文件或者比选文件的评标标准和方法，以及资格审查和否决投标条款理解有争议的，应当作出不利于比选人的解释，但违背国家利益、社会公共利益的除外。</w:t>
            </w:r>
          </w:p>
          <w:p w14:paraId="223EEAB5">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对比选申请文件理解有争议的，应当作出不利于提交该比选申请文件的比选申请人的解释。</w:t>
            </w:r>
          </w:p>
        </w:tc>
      </w:tr>
      <w:tr w14:paraId="2B031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96544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10.8</w:t>
            </w:r>
          </w:p>
        </w:tc>
        <w:tc>
          <w:tcPr>
            <w:tcW w:w="1615" w:type="dxa"/>
            <w:vAlign w:val="center"/>
          </w:tcPr>
          <w:p w14:paraId="70B1844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重新招标的情形</w:t>
            </w:r>
          </w:p>
        </w:tc>
        <w:tc>
          <w:tcPr>
            <w:tcW w:w="6519" w:type="dxa"/>
            <w:vAlign w:val="center"/>
          </w:tcPr>
          <w:p w14:paraId="09B05D4C">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有下列情形之一的，比选人将重新招标：</w:t>
            </w:r>
          </w:p>
          <w:p w14:paraId="0B2156A0">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（1）投标截止时间止，比选申请人少于 3 个的；</w:t>
            </w:r>
          </w:p>
          <w:p w14:paraId="7059F568">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（2）经评标委员会评审后否决所有投标的；</w:t>
            </w:r>
          </w:p>
          <w:p w14:paraId="39EAF33E">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3）经评标委员会评审后部分投标被否决，导致有效比选申请人不足三个的，评标委员会应当否决所有投标。但是有效比选申请人的经济、技术等指标仍然具有市场竞争力，能够满足比选文件要求的，评标委员会可以继续评标并确定中标候选人；</w:t>
            </w:r>
          </w:p>
          <w:p w14:paraId="302EA832">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（4）法律法规规定的其他情形。</w:t>
            </w:r>
          </w:p>
          <w:p w14:paraId="623072F5">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注：本款只适用于首次招标。</w:t>
            </w:r>
          </w:p>
        </w:tc>
      </w:tr>
      <w:tr w14:paraId="127FD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C95C9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10.10</w:t>
            </w:r>
          </w:p>
        </w:tc>
        <w:tc>
          <w:tcPr>
            <w:tcW w:w="1615" w:type="dxa"/>
            <w:vAlign w:val="center"/>
          </w:tcPr>
          <w:p w14:paraId="4E1326C5">
            <w:pPr>
              <w:snapToGrid w:val="0"/>
              <w:spacing w:line="400" w:lineRule="exact"/>
              <w:jc w:val="center"/>
              <w:rPr>
                <w:rFonts w:ascii="宋体" w:hAnsi="宋体" w:cs="宋体"/>
                <w:szCs w:val="21"/>
                <w:highlight w:val="none"/>
              </w:rPr>
            </w:pPr>
            <w:bookmarkStart w:id="98" w:name="_Toc13210670"/>
            <w:bookmarkStart w:id="99" w:name="_Toc509218709"/>
            <w:bookmarkStart w:id="100" w:name="_Toc536628250"/>
            <w:bookmarkStart w:id="101" w:name="_Toc16930431"/>
            <w:bookmarkStart w:id="102" w:name="_Toc430530434"/>
            <w:r>
              <w:rPr>
                <w:rFonts w:hint="eastAsia" w:ascii="宋体" w:hAnsi="宋体" w:cs="宋体"/>
                <w:kern w:val="0"/>
                <w:szCs w:val="21"/>
                <w:highlight w:val="none"/>
              </w:rPr>
              <w:t>重新招标和不再招标</w:t>
            </w:r>
            <w:bookmarkEnd w:id="98"/>
            <w:bookmarkEnd w:id="99"/>
            <w:bookmarkEnd w:id="100"/>
            <w:bookmarkEnd w:id="101"/>
            <w:bookmarkEnd w:id="102"/>
          </w:p>
        </w:tc>
        <w:tc>
          <w:tcPr>
            <w:tcW w:w="6519" w:type="dxa"/>
            <w:vAlign w:val="center"/>
          </w:tcPr>
          <w:p w14:paraId="602A5A7D">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重新招标的比选申请人仍然少于三个的，按照招标投标法律法规规定的程序开标和评标。重新招标经评审有有效比选申请人的，应当依法确定中标候选人；无有效比选申请人的，可以不再进行招标，但是按照国家有关规定需要履行审批、核准、备案手续的依法必须进行招标的项目，应当报原项目投资主管部门审批、核准、备案。</w:t>
            </w:r>
          </w:p>
        </w:tc>
      </w:tr>
      <w:tr w14:paraId="4DF9F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527557">
            <w:pPr>
              <w:snapToGrid w:val="0"/>
              <w:spacing w:line="400" w:lineRule="exact"/>
              <w:jc w:val="center"/>
              <w:rPr>
                <w:rFonts w:ascii="宋体" w:hAnsi="宋体" w:cs="宋体"/>
                <w:kern w:val="0"/>
                <w:szCs w:val="21"/>
                <w:highlight w:val="none"/>
              </w:rPr>
            </w:pPr>
            <w:r>
              <w:rPr>
                <w:rFonts w:hint="eastAsia" w:ascii="宋体" w:hAnsi="宋体"/>
                <w:kern w:val="0"/>
                <w:szCs w:val="21"/>
                <w:highlight w:val="none"/>
              </w:rPr>
              <w:t>☑</w:t>
            </w:r>
            <w:r>
              <w:rPr>
                <w:rFonts w:hint="eastAsia" w:ascii="宋体" w:hAnsi="宋体" w:cs="宋体"/>
                <w:kern w:val="0"/>
                <w:szCs w:val="21"/>
                <w:highlight w:val="none"/>
              </w:rPr>
              <w:t>10.11</w:t>
            </w:r>
          </w:p>
        </w:tc>
        <w:tc>
          <w:tcPr>
            <w:tcW w:w="1615" w:type="dxa"/>
            <w:vAlign w:val="center"/>
          </w:tcPr>
          <w:p w14:paraId="45EED4F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不平衡报价</w:t>
            </w:r>
          </w:p>
        </w:tc>
        <w:tc>
          <w:tcPr>
            <w:tcW w:w="6519" w:type="dxa"/>
            <w:vAlign w:val="center"/>
          </w:tcPr>
          <w:p w14:paraId="23578E0D">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ascii="宋体" w:hAnsi="宋体"/>
                <w:kern w:val="0"/>
                <w:szCs w:val="21"/>
                <w:highlight w:val="none"/>
                <w:u w:val="single"/>
              </w:rPr>
              <w:t>关于不平衡报价的约定，详见第四章 专用合同条款第</w:t>
            </w:r>
            <w:r>
              <w:rPr>
                <w:rFonts w:hint="eastAsia" w:ascii="宋体" w:hAnsi="宋体"/>
                <w:kern w:val="0"/>
                <w:szCs w:val="21"/>
                <w:highlight w:val="none"/>
                <w:u w:val="single"/>
              </w:rPr>
              <w:t>25.3</w:t>
            </w:r>
            <w:r>
              <w:rPr>
                <w:rFonts w:ascii="宋体" w:hAnsi="宋体"/>
                <w:kern w:val="0"/>
                <w:szCs w:val="21"/>
                <w:highlight w:val="none"/>
                <w:u w:val="single"/>
              </w:rPr>
              <w:t>款</w:t>
            </w:r>
            <w:r>
              <w:rPr>
                <w:rFonts w:ascii="宋体" w:hAnsi="宋体"/>
                <w:kern w:val="0"/>
                <w:szCs w:val="21"/>
                <w:highlight w:val="none"/>
              </w:rPr>
              <w:t>。</w:t>
            </w:r>
          </w:p>
        </w:tc>
      </w:tr>
      <w:tr w14:paraId="26910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0F9C9D">
            <w:pPr>
              <w:snapToGrid w:val="0"/>
              <w:spacing w:line="400" w:lineRule="exact"/>
              <w:jc w:val="center"/>
              <w:rPr>
                <w:rFonts w:ascii="宋体" w:hAnsi="宋体"/>
                <w:kern w:val="0"/>
                <w:szCs w:val="21"/>
                <w:highlight w:val="none"/>
              </w:rPr>
            </w:pPr>
            <w:r>
              <w:rPr>
                <w:rFonts w:hint="eastAsia" w:ascii="宋体" w:hAnsi="宋体"/>
                <w:kern w:val="0"/>
                <w:szCs w:val="21"/>
                <w:highlight w:val="none"/>
              </w:rPr>
              <w:t>☑</w:t>
            </w:r>
            <w:r>
              <w:rPr>
                <w:rFonts w:hint="eastAsia" w:ascii="宋体" w:hAnsi="宋体" w:cs="宋体"/>
                <w:kern w:val="0"/>
                <w:szCs w:val="21"/>
                <w:highlight w:val="none"/>
              </w:rPr>
              <w:t>10.12</w:t>
            </w:r>
          </w:p>
        </w:tc>
        <w:tc>
          <w:tcPr>
            <w:tcW w:w="1615" w:type="dxa"/>
            <w:vAlign w:val="center"/>
          </w:tcPr>
          <w:p w14:paraId="2C0FE75F">
            <w:pPr>
              <w:snapToGrid w:val="0"/>
              <w:spacing w:line="400" w:lineRule="exact"/>
              <w:jc w:val="center"/>
              <w:rPr>
                <w:rFonts w:ascii="宋体" w:hAnsi="宋体" w:cs="宋体"/>
                <w:kern w:val="0"/>
                <w:szCs w:val="21"/>
                <w:highlight w:val="none"/>
              </w:rPr>
            </w:pPr>
            <w:r>
              <w:rPr>
                <w:rFonts w:hint="eastAsia" w:ascii="宋体" w:hAnsi="宋体"/>
                <w:kern w:val="0"/>
                <w:szCs w:val="21"/>
                <w:highlight w:val="none"/>
              </w:rPr>
              <w:t>不允许负数报价</w:t>
            </w:r>
          </w:p>
        </w:tc>
        <w:tc>
          <w:tcPr>
            <w:tcW w:w="6519" w:type="dxa"/>
            <w:vAlign w:val="center"/>
          </w:tcPr>
          <w:p w14:paraId="47082E8B">
            <w:pPr>
              <w:autoSpaceDE w:val="0"/>
              <w:autoSpaceDN w:val="0"/>
              <w:adjustRightInd w:val="0"/>
              <w:snapToGrid w:val="0"/>
              <w:spacing w:line="400" w:lineRule="exact"/>
              <w:ind w:firstLine="420" w:firstLineChars="200"/>
              <w:rPr>
                <w:rFonts w:ascii="宋体" w:hAnsi="宋体"/>
                <w:kern w:val="0"/>
                <w:szCs w:val="21"/>
                <w:highlight w:val="none"/>
                <w:u w:val="single"/>
              </w:rPr>
            </w:pPr>
            <w:r>
              <w:rPr>
                <w:rFonts w:hint="eastAsia" w:ascii="宋体" w:hAnsi="宋体"/>
                <w:kern w:val="0"/>
                <w:szCs w:val="21"/>
                <w:highlight w:val="none"/>
                <w:u w:val="single"/>
              </w:rPr>
              <w:t>比选申请人</w:t>
            </w:r>
            <w:r>
              <w:rPr>
                <w:rFonts w:ascii="宋体" w:hAnsi="宋体"/>
                <w:kern w:val="0"/>
                <w:szCs w:val="21"/>
                <w:highlight w:val="none"/>
                <w:u w:val="single"/>
              </w:rPr>
              <w:t>的</w:t>
            </w:r>
            <w:r>
              <w:rPr>
                <w:rFonts w:hint="eastAsia" w:ascii="宋体" w:hAnsi="宋体"/>
                <w:kern w:val="0"/>
                <w:szCs w:val="21"/>
                <w:highlight w:val="none"/>
                <w:u w:val="single"/>
              </w:rPr>
              <w:t>各项</w:t>
            </w:r>
            <w:r>
              <w:rPr>
                <w:rFonts w:ascii="宋体" w:hAnsi="宋体"/>
                <w:kern w:val="0"/>
                <w:szCs w:val="21"/>
                <w:highlight w:val="none"/>
                <w:u w:val="single"/>
              </w:rPr>
              <w:t>报价不得</w:t>
            </w:r>
            <w:r>
              <w:rPr>
                <w:rFonts w:hint="eastAsia" w:ascii="宋体" w:hAnsi="宋体"/>
                <w:kern w:val="0"/>
                <w:szCs w:val="21"/>
                <w:highlight w:val="none"/>
                <w:u w:val="single"/>
              </w:rPr>
              <w:t>为负数</w:t>
            </w:r>
            <w:r>
              <w:rPr>
                <w:rFonts w:ascii="宋体" w:hAnsi="宋体"/>
                <w:kern w:val="0"/>
                <w:szCs w:val="21"/>
                <w:highlight w:val="none"/>
                <w:u w:val="single"/>
              </w:rPr>
              <w:t>。</w:t>
            </w:r>
            <w:r>
              <w:rPr>
                <w:rFonts w:hint="eastAsia" w:ascii="宋体" w:hAnsi="宋体"/>
                <w:kern w:val="0"/>
                <w:szCs w:val="21"/>
                <w:highlight w:val="none"/>
                <w:u w:val="single"/>
              </w:rPr>
              <w:t>比选人</w:t>
            </w:r>
            <w:r>
              <w:rPr>
                <w:rFonts w:ascii="宋体" w:hAnsi="宋体"/>
                <w:kern w:val="0"/>
                <w:szCs w:val="21"/>
                <w:highlight w:val="none"/>
                <w:u w:val="single"/>
              </w:rPr>
              <w:t>在发出中标通知书前将对中标人</w:t>
            </w:r>
            <w:r>
              <w:rPr>
                <w:rFonts w:hint="eastAsia" w:ascii="宋体" w:hAnsi="宋体"/>
                <w:kern w:val="0"/>
                <w:szCs w:val="21"/>
                <w:highlight w:val="none"/>
                <w:u w:val="single"/>
              </w:rPr>
              <w:t>的各项报价</w:t>
            </w:r>
            <w:r>
              <w:rPr>
                <w:rFonts w:ascii="宋体" w:hAnsi="宋体"/>
                <w:kern w:val="0"/>
                <w:szCs w:val="21"/>
                <w:highlight w:val="none"/>
                <w:u w:val="single"/>
              </w:rPr>
              <w:t>进行复核，若发现中标人</w:t>
            </w:r>
            <w:r>
              <w:rPr>
                <w:rFonts w:hint="eastAsia" w:ascii="宋体" w:hAnsi="宋体"/>
                <w:kern w:val="0"/>
                <w:szCs w:val="21"/>
                <w:highlight w:val="none"/>
                <w:u w:val="single"/>
              </w:rPr>
              <w:t>各项报价</w:t>
            </w:r>
            <w:r>
              <w:rPr>
                <w:rFonts w:ascii="宋体" w:hAnsi="宋体"/>
                <w:kern w:val="0"/>
                <w:szCs w:val="21"/>
                <w:highlight w:val="none"/>
                <w:u w:val="single"/>
              </w:rPr>
              <w:t>中存在</w:t>
            </w:r>
            <w:r>
              <w:rPr>
                <w:rFonts w:hint="eastAsia" w:ascii="宋体" w:hAnsi="宋体"/>
                <w:kern w:val="0"/>
                <w:szCs w:val="21"/>
                <w:highlight w:val="none"/>
                <w:u w:val="single"/>
              </w:rPr>
              <w:t>负数报价</w:t>
            </w:r>
            <w:r>
              <w:rPr>
                <w:rFonts w:ascii="宋体" w:hAnsi="宋体"/>
                <w:kern w:val="0"/>
                <w:szCs w:val="21"/>
                <w:highlight w:val="none"/>
                <w:u w:val="single"/>
              </w:rPr>
              <w:t>的情形，</w:t>
            </w:r>
            <w:r>
              <w:rPr>
                <w:rFonts w:hint="eastAsia" w:ascii="宋体" w:hAnsi="宋体"/>
                <w:kern w:val="0"/>
                <w:szCs w:val="21"/>
                <w:highlight w:val="none"/>
                <w:u w:val="single"/>
              </w:rPr>
              <w:t>比选人</w:t>
            </w:r>
            <w:r>
              <w:rPr>
                <w:rFonts w:ascii="宋体" w:hAnsi="宋体"/>
                <w:kern w:val="0"/>
                <w:szCs w:val="21"/>
                <w:highlight w:val="none"/>
                <w:u w:val="single"/>
              </w:rPr>
              <w:t>按相关规定取消其中标资格，其投标保证金不予退还，中标人承担因此造成的相关责任并赔偿相应损失。</w:t>
            </w:r>
          </w:p>
        </w:tc>
      </w:tr>
      <w:tr w14:paraId="384C4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21F1CE">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10.13</w:t>
            </w:r>
          </w:p>
        </w:tc>
        <w:tc>
          <w:tcPr>
            <w:tcW w:w="1615" w:type="dxa"/>
            <w:vAlign w:val="center"/>
          </w:tcPr>
          <w:p w14:paraId="6BDFBD7B">
            <w:pPr>
              <w:widowControl/>
              <w:jc w:val="left"/>
              <w:rPr>
                <w:highlight w:val="none"/>
              </w:rPr>
            </w:pPr>
            <w:r>
              <w:rPr>
                <w:rFonts w:hint="eastAsia" w:ascii="宋体" w:hAnsi="宋体" w:cs="宋体"/>
                <w:color w:val="000000"/>
                <w:kern w:val="0"/>
                <w:szCs w:val="21"/>
                <w:highlight w:val="none"/>
                <w:lang w:bidi="ar"/>
              </w:rPr>
              <w:t>代理服务费</w:t>
            </w:r>
          </w:p>
          <w:p w14:paraId="27BEF09F">
            <w:pPr>
              <w:snapToGrid w:val="0"/>
              <w:spacing w:line="400" w:lineRule="exact"/>
              <w:jc w:val="center"/>
              <w:rPr>
                <w:rFonts w:ascii="宋体" w:hAnsi="宋体" w:cs="宋体"/>
                <w:kern w:val="0"/>
                <w:szCs w:val="21"/>
                <w:highlight w:val="none"/>
              </w:rPr>
            </w:pPr>
          </w:p>
        </w:tc>
        <w:tc>
          <w:tcPr>
            <w:tcW w:w="6519" w:type="dxa"/>
            <w:vAlign w:val="center"/>
          </w:tcPr>
          <w:p w14:paraId="330B816A">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招标代理服务费：本项目招标代理服务费金额</w:t>
            </w: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 xml:space="preserve">000元（大写： </w:t>
            </w:r>
          </w:p>
          <w:p w14:paraId="256E57EA">
            <w:pPr>
              <w:autoSpaceDE w:val="0"/>
              <w:autoSpaceDN w:val="0"/>
              <w:adjustRightInd w:val="0"/>
              <w:snapToGrid w:val="0"/>
              <w:spacing w:line="400" w:lineRule="exact"/>
              <w:rPr>
                <w:highlight w:val="none"/>
              </w:rPr>
            </w:pPr>
            <w:r>
              <w:rPr>
                <w:rFonts w:hint="eastAsia" w:ascii="宋体" w:hAnsi="宋体" w:cs="宋体"/>
                <w:snapToGrid w:val="0"/>
                <w:kern w:val="0"/>
                <w:szCs w:val="21"/>
                <w:highlight w:val="none"/>
                <w:lang w:val="en-US" w:eastAsia="zh-CN"/>
              </w:rPr>
              <w:t>伍</w:t>
            </w:r>
            <w:r>
              <w:rPr>
                <w:rFonts w:hint="eastAsia" w:ascii="宋体" w:hAnsi="宋体" w:cs="宋体"/>
                <w:snapToGrid w:val="0"/>
                <w:kern w:val="0"/>
                <w:szCs w:val="21"/>
                <w:highlight w:val="none"/>
              </w:rPr>
              <w:t>仟元整），由中标人在领取中标通知书时向代理机构一次性支付。</w:t>
            </w:r>
          </w:p>
        </w:tc>
      </w:tr>
    </w:tbl>
    <w:p w14:paraId="29354B21">
      <w:pPr>
        <w:spacing w:line="360" w:lineRule="auto"/>
        <w:jc w:val="left"/>
        <w:rPr>
          <w:rFonts w:ascii="宋体" w:hAnsi="宋体" w:cs="宋体"/>
          <w:szCs w:val="21"/>
        </w:rPr>
      </w:pPr>
      <w:bookmarkStart w:id="103" w:name="_Toc277082552"/>
      <w:bookmarkStart w:id="104" w:name="_Toc200513126"/>
      <w:bookmarkStart w:id="105" w:name="_Toc287620685"/>
      <w:bookmarkStart w:id="106" w:name="_Toc224103317"/>
      <w:bookmarkStart w:id="107" w:name="_Toc287607746"/>
      <w:bookmarkStart w:id="108" w:name="_Toc430530435"/>
      <w:r>
        <w:rPr>
          <w:rFonts w:hint="eastAsia" w:ascii="宋体" w:hAnsi="宋体" w:cs="宋体"/>
          <w:b/>
          <w:bCs/>
          <w:sz w:val="28"/>
          <w:szCs w:val="28"/>
        </w:rPr>
        <w:t xml:space="preserve"> </w:t>
      </w:r>
      <w:bookmarkEnd w:id="103"/>
      <w:bookmarkEnd w:id="104"/>
      <w:bookmarkEnd w:id="105"/>
      <w:bookmarkEnd w:id="106"/>
      <w:bookmarkEnd w:id="107"/>
      <w:bookmarkEnd w:id="108"/>
      <w:r>
        <w:rPr>
          <w:rFonts w:hint="eastAsia" w:ascii="宋体" w:hAnsi="宋体" w:cs="宋体"/>
          <w:b/>
          <w:szCs w:val="21"/>
        </w:rPr>
        <w:br w:type="page"/>
      </w:r>
      <w:r>
        <w:rPr>
          <w:rFonts w:hint="eastAsia" w:ascii="宋体" w:hAnsi="宋体" w:cs="宋体"/>
          <w:b/>
          <w:szCs w:val="21"/>
        </w:rPr>
        <w:t>以下部分为比选申请人须知正文。</w:t>
      </w:r>
    </w:p>
    <w:p w14:paraId="36A8FE96">
      <w:pPr>
        <w:pStyle w:val="4"/>
        <w:spacing w:before="0" w:after="0" w:line="360" w:lineRule="auto"/>
        <w:rPr>
          <w:rFonts w:ascii="宋体" w:hAnsi="宋体" w:cs="宋体"/>
          <w:sz w:val="28"/>
          <w:szCs w:val="28"/>
        </w:rPr>
      </w:pPr>
      <w:bookmarkStart w:id="109" w:name="_Toc7500"/>
      <w:r>
        <w:rPr>
          <w:rFonts w:hint="eastAsia" w:ascii="宋体" w:hAnsi="宋体" w:cs="宋体"/>
          <w:sz w:val="28"/>
          <w:szCs w:val="28"/>
        </w:rPr>
        <w:t>1. 总则</w:t>
      </w:r>
      <w:bookmarkEnd w:id="109"/>
    </w:p>
    <w:p w14:paraId="79C8DCEE">
      <w:pPr>
        <w:pStyle w:val="5"/>
        <w:spacing w:before="0" w:after="0" w:line="360" w:lineRule="auto"/>
        <w:rPr>
          <w:rFonts w:ascii="宋体" w:hAnsi="宋体" w:cs="宋体"/>
          <w:sz w:val="21"/>
          <w:szCs w:val="21"/>
        </w:rPr>
      </w:pPr>
      <w:bookmarkStart w:id="110" w:name="_Toc25758"/>
      <w:r>
        <w:rPr>
          <w:rFonts w:hint="eastAsia" w:ascii="宋体" w:hAnsi="宋体" w:cs="宋体"/>
          <w:sz w:val="21"/>
          <w:szCs w:val="21"/>
        </w:rPr>
        <w:t>1.1 项目概况</w:t>
      </w:r>
      <w:bookmarkEnd w:id="110"/>
    </w:p>
    <w:p w14:paraId="7660CAD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 xml:space="preserve">1.1.1 </w:t>
      </w:r>
      <w:r>
        <w:rPr>
          <w:rFonts w:hint="eastAsia" w:ascii="宋体" w:hAnsi="宋体" w:eastAsia="宋体" w:cs="宋体"/>
          <w:spacing w:val="-1"/>
          <w:sz w:val="21"/>
          <w:szCs w:val="21"/>
          <w:lang w:eastAsia="zh-CN"/>
        </w:rPr>
        <w:t>根据《中华人民</w:t>
      </w:r>
      <w:r>
        <w:rPr>
          <w:rFonts w:hint="eastAsia" w:ascii="宋体" w:hAnsi="宋体" w:eastAsia="宋体" w:cs="宋体"/>
          <w:sz w:val="21"/>
          <w:szCs w:val="21"/>
          <w:lang w:eastAsia="zh-CN"/>
        </w:rPr>
        <w:t>共和国招标投标法》《中华人民共和国招标投标法实施条例》《公路工程建设项目招标投标管理办法》等有关法律、法规和规章的规定，本招标项目已具备的招标条件见比选申请人须知前附表，现对本标段施工进行比选。</w:t>
      </w:r>
    </w:p>
    <w:p w14:paraId="1431709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 本招标项目比选人：见比选申请人须知前附表。</w:t>
      </w:r>
    </w:p>
    <w:p w14:paraId="0C43C61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1.1.3 本</w:t>
      </w:r>
      <w:r>
        <w:rPr>
          <w:rFonts w:hint="eastAsia" w:ascii="宋体" w:hAnsi="宋体" w:eastAsia="宋体" w:cs="宋体"/>
          <w:sz w:val="21"/>
          <w:szCs w:val="21"/>
          <w:lang w:val="en-US" w:eastAsia="zh-CN"/>
        </w:rPr>
        <w:t>招标项目</w:t>
      </w:r>
      <w:r>
        <w:rPr>
          <w:rFonts w:hint="eastAsia" w:ascii="宋体" w:hAnsi="宋体" w:eastAsia="宋体" w:cs="宋体"/>
          <w:sz w:val="21"/>
          <w:szCs w:val="21"/>
          <w:lang w:eastAsia="zh-CN"/>
        </w:rPr>
        <w:t>招标代理机构：见比选申请人须知前附表。</w:t>
      </w:r>
    </w:p>
    <w:p w14:paraId="5D0B1E2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1.1.4 本招标项目名称：见比选申请人须知前附表。</w:t>
      </w:r>
    </w:p>
    <w:p w14:paraId="1403DB3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1.1.5 本</w:t>
      </w:r>
      <w:r>
        <w:rPr>
          <w:rFonts w:hint="eastAsia" w:ascii="宋体" w:hAnsi="宋体" w:eastAsia="宋体" w:cs="宋体"/>
          <w:sz w:val="21"/>
          <w:szCs w:val="21"/>
          <w:lang w:val="en-US" w:eastAsia="zh-CN"/>
        </w:rPr>
        <w:t>招标项目</w:t>
      </w:r>
      <w:r>
        <w:rPr>
          <w:rFonts w:hint="eastAsia" w:ascii="宋体" w:hAnsi="宋体" w:eastAsia="宋体" w:cs="宋体"/>
          <w:sz w:val="21"/>
          <w:szCs w:val="21"/>
          <w:lang w:eastAsia="zh-CN"/>
        </w:rPr>
        <w:t>建设地点：见比选申请人须知前附表。</w:t>
      </w:r>
    </w:p>
    <w:p w14:paraId="645D432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1.1.6 本</w:t>
      </w:r>
      <w:r>
        <w:rPr>
          <w:rFonts w:hint="eastAsia" w:ascii="宋体" w:hAnsi="宋体" w:eastAsia="宋体" w:cs="宋体"/>
          <w:sz w:val="21"/>
          <w:szCs w:val="21"/>
          <w:lang w:val="en-US" w:eastAsia="zh-CN"/>
        </w:rPr>
        <w:t>招标</w:t>
      </w:r>
      <w:r>
        <w:rPr>
          <w:rFonts w:hint="eastAsia" w:ascii="宋体" w:hAnsi="宋体" w:eastAsia="宋体" w:cs="宋体"/>
          <w:sz w:val="21"/>
          <w:szCs w:val="21"/>
          <w:lang w:eastAsia="zh-CN"/>
        </w:rPr>
        <w:t>项目相关单位：见比选申请人须知前附表。</w:t>
      </w:r>
    </w:p>
    <w:p w14:paraId="5BD72C3B">
      <w:pPr>
        <w:pStyle w:val="5"/>
        <w:spacing w:before="0" w:after="0" w:line="360" w:lineRule="auto"/>
        <w:rPr>
          <w:rFonts w:ascii="宋体" w:hAnsi="宋体" w:cs="宋体"/>
          <w:sz w:val="21"/>
          <w:szCs w:val="21"/>
        </w:rPr>
      </w:pPr>
      <w:bookmarkStart w:id="111" w:name="_Toc29241"/>
      <w:r>
        <w:rPr>
          <w:rFonts w:hint="eastAsia" w:ascii="宋体" w:hAnsi="宋体" w:cs="宋体"/>
          <w:sz w:val="21"/>
          <w:szCs w:val="21"/>
        </w:rPr>
        <w:t>1.2 招标项目的资金来源和落实情况</w:t>
      </w:r>
      <w:bookmarkEnd w:id="111"/>
    </w:p>
    <w:p w14:paraId="6D23952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1.2.1 资金来源及比例：见比选申请人须知前附表。</w:t>
      </w:r>
    </w:p>
    <w:p w14:paraId="749AA58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1.2.2 资金落实情况：见比选申请人须知前附表。</w:t>
      </w:r>
    </w:p>
    <w:p w14:paraId="1189630D">
      <w:pPr>
        <w:pStyle w:val="5"/>
        <w:spacing w:before="0" w:after="0" w:line="360" w:lineRule="auto"/>
        <w:rPr>
          <w:rFonts w:ascii="宋体" w:hAnsi="宋体" w:cs="宋体"/>
          <w:sz w:val="21"/>
          <w:szCs w:val="21"/>
        </w:rPr>
      </w:pPr>
      <w:bookmarkStart w:id="112" w:name="_Toc28320"/>
      <w:r>
        <w:rPr>
          <w:rFonts w:hint="eastAsia" w:ascii="宋体" w:hAnsi="宋体" w:cs="宋体"/>
          <w:sz w:val="21"/>
          <w:szCs w:val="21"/>
        </w:rPr>
        <w:t>1.3 招标范围、计划工期、质量要求和安全目标</w:t>
      </w:r>
      <w:bookmarkEnd w:id="112"/>
    </w:p>
    <w:p w14:paraId="551C2DE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1.3.1 招标范围：见比选申请人须知前附表。</w:t>
      </w:r>
    </w:p>
    <w:p w14:paraId="2F40E16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1.3.2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计划工期：见比选申请人须知前附表。</w:t>
      </w:r>
    </w:p>
    <w:p w14:paraId="54551FA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1.3.3 质量要求：</w:t>
      </w:r>
      <w:r>
        <w:rPr>
          <w:rFonts w:hint="eastAsia" w:ascii="宋体" w:hAnsi="宋体" w:eastAsia="宋体" w:cs="宋体"/>
          <w:sz w:val="21"/>
          <w:szCs w:val="21"/>
          <w:lang w:eastAsia="zh-CN"/>
        </w:rPr>
        <w:t>见比选申请人须知前附表。</w:t>
      </w:r>
    </w:p>
    <w:p w14:paraId="58113358">
      <w:pPr>
        <w:pStyle w:val="70"/>
        <w:spacing w:before="0" w:after="0" w:line="360" w:lineRule="auto"/>
        <w:ind w:firstLine="420" w:firstLineChars="200"/>
        <w:jc w:val="left"/>
        <w:rPr>
          <w:rFonts w:ascii="宋体" w:hAnsi="宋体" w:eastAsia="宋体" w:cs="宋体"/>
          <w:sz w:val="21"/>
          <w:szCs w:val="21"/>
          <w:lang w:val="en-US" w:eastAsia="zh-CN"/>
        </w:rPr>
      </w:pPr>
      <w:r>
        <w:rPr>
          <w:rFonts w:hint="eastAsia" w:ascii="宋体" w:hAnsi="宋体" w:eastAsia="宋体" w:cs="宋体"/>
          <w:sz w:val="21"/>
          <w:szCs w:val="21"/>
          <w:lang w:val="en-US" w:eastAsia="zh-CN"/>
        </w:rPr>
        <w:t>1.3.4 安全目标：</w:t>
      </w:r>
      <w:r>
        <w:rPr>
          <w:rFonts w:hint="eastAsia" w:ascii="宋体" w:hAnsi="宋体" w:eastAsia="宋体" w:cs="宋体"/>
          <w:sz w:val="21"/>
          <w:szCs w:val="21"/>
          <w:lang w:eastAsia="zh-CN"/>
        </w:rPr>
        <w:t>见比选申请人须知前附表。</w:t>
      </w:r>
    </w:p>
    <w:p w14:paraId="6DA95314">
      <w:pPr>
        <w:pStyle w:val="5"/>
        <w:spacing w:before="0" w:after="0" w:line="360" w:lineRule="auto"/>
        <w:rPr>
          <w:rFonts w:ascii="宋体" w:hAnsi="宋体" w:cs="宋体"/>
          <w:sz w:val="21"/>
          <w:szCs w:val="21"/>
        </w:rPr>
      </w:pPr>
      <w:bookmarkStart w:id="113" w:name="_Toc23032"/>
      <w:r>
        <w:rPr>
          <w:rFonts w:hint="eastAsia" w:ascii="宋体" w:hAnsi="宋体" w:cs="宋体"/>
          <w:sz w:val="21"/>
          <w:szCs w:val="21"/>
        </w:rPr>
        <w:t>1.4 比选申请人资格要求</w:t>
      </w:r>
      <w:bookmarkEnd w:id="113"/>
    </w:p>
    <w:p w14:paraId="5896B18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1.4.1 比选申请人应具备承担本项目施工的资质条件、能力和信誉。</w:t>
      </w:r>
    </w:p>
    <w:p w14:paraId="710AA60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sz w:val="21"/>
          <w:szCs w:val="21"/>
          <w:lang w:eastAsia="zh-CN"/>
        </w:rPr>
        <w:t>资质条件、营业执照及安全生产条件：</w:t>
      </w:r>
      <w:r>
        <w:rPr>
          <w:rFonts w:hint="eastAsia" w:ascii="宋体" w:hAnsi="宋体" w:eastAsia="宋体" w:cs="宋体"/>
          <w:sz w:val="21"/>
          <w:szCs w:val="21"/>
          <w:lang w:eastAsia="zh-CN"/>
        </w:rPr>
        <w:t>见比选申请人须知前附表；</w:t>
      </w:r>
    </w:p>
    <w:p w14:paraId="6967245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（2）财务要求：见比选申请人须知前附表；</w:t>
      </w:r>
    </w:p>
    <w:p w14:paraId="18EAA9C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（3）业绩要求：见比选申请人须知前附表；</w:t>
      </w:r>
    </w:p>
    <w:p w14:paraId="2555297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lang w:eastAsia="zh-CN" w:bidi="ar"/>
        </w:rPr>
        <w:t>投标截止日投标资格情况要求</w:t>
      </w:r>
      <w:r>
        <w:rPr>
          <w:rFonts w:hint="eastAsia" w:ascii="宋体" w:hAnsi="宋体" w:eastAsia="宋体" w:cs="宋体"/>
          <w:sz w:val="21"/>
          <w:szCs w:val="21"/>
          <w:lang w:eastAsia="zh-CN"/>
        </w:rPr>
        <w:t>：见比选申请人须知前附表；</w:t>
      </w:r>
    </w:p>
    <w:p w14:paraId="52665FB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（5）项目经理和项目总工资格：见比选申请人须知前附表；</w:t>
      </w:r>
    </w:p>
    <w:p w14:paraId="5F7BAF1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（6）其他管理和技术人员要求：见比选申请人须知前附表；</w:t>
      </w:r>
    </w:p>
    <w:p w14:paraId="79F9F09A">
      <w:pPr>
        <w:pStyle w:val="69"/>
        <w:tabs>
          <w:tab w:val="left" w:pos="1647"/>
        </w:tabs>
        <w:spacing w:line="360" w:lineRule="auto"/>
        <w:ind w:left="0" w:firstLineChars="200"/>
        <w:rPr>
          <w:sz w:val="21"/>
          <w:szCs w:val="21"/>
          <w:lang w:val="ru-RU" w:bidi="ar-SA"/>
        </w:rPr>
      </w:pPr>
      <w:r>
        <w:rPr>
          <w:rFonts w:hint="eastAsia"/>
          <w:sz w:val="21"/>
          <w:szCs w:val="21"/>
          <w:lang w:val="ru-RU" w:bidi="ar-SA"/>
        </w:rPr>
        <w:t>（7）主要机械设备和试验检测设备要求：见比选申请人须知前附表；</w:t>
      </w:r>
    </w:p>
    <w:p w14:paraId="5C6BE0A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（8）其他要求：见比选申请人须知前附表。</w:t>
      </w:r>
    </w:p>
    <w:p w14:paraId="5CDEE2A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1.4.2 比选申请人须知前附表规定接受联合体投标的，联合体应当符合本</w:t>
      </w:r>
      <w:r>
        <w:rPr>
          <w:rFonts w:hint="eastAsia" w:ascii="宋体" w:hAnsi="宋体" w:eastAsia="宋体" w:cs="宋体"/>
          <w:sz w:val="21"/>
          <w:szCs w:val="21"/>
          <w:lang w:val="en-US" w:eastAsia="zh-CN"/>
        </w:rPr>
        <w:t>章第</w:t>
      </w:r>
      <w:r>
        <w:rPr>
          <w:rFonts w:hint="eastAsia" w:ascii="宋体" w:hAnsi="宋体" w:eastAsia="宋体" w:cs="宋体"/>
          <w:sz w:val="21"/>
          <w:szCs w:val="21"/>
          <w:lang w:eastAsia="zh-CN"/>
        </w:rPr>
        <w:t>1.4.1 项和比选申请人须知前附表的要求外，还应遵守以下规定：</w:t>
      </w:r>
    </w:p>
    <w:p w14:paraId="4F465F4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（1）联合体各方应按比选文件提供的格式签订联合体协议书，明确联合体牵头人和各方权利义务</w:t>
      </w:r>
      <w:r>
        <w:rPr>
          <w:rFonts w:hint="eastAsia" w:ascii="宋体" w:hAnsi="宋体" w:eastAsia="宋体"/>
          <w:sz w:val="21"/>
          <w:szCs w:val="21"/>
          <w:lang w:eastAsia="zh-CN"/>
        </w:rPr>
        <w:t xml:space="preserve"> </w:t>
      </w:r>
      <w:r>
        <w:rPr>
          <w:rFonts w:hint="eastAsia" w:ascii="宋体" w:hAnsi="宋体" w:eastAsia="宋体" w:cs="宋体"/>
          <w:sz w:val="21"/>
          <w:szCs w:val="21"/>
          <w:lang w:eastAsia="zh-CN"/>
        </w:rPr>
        <w:t>，并承诺就中标项目向比选人承担连带责任；</w:t>
      </w:r>
    </w:p>
    <w:p w14:paraId="3571155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（2）由同一专业的单位组成的联合体，按照资质等级较低的单位确定资质等级；</w:t>
      </w:r>
    </w:p>
    <w:p w14:paraId="6DDC498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（3）联合体各方不得再以自己名义单独或参加其他联合体在同一标段中投标；</w:t>
      </w:r>
    </w:p>
    <w:p w14:paraId="43796DF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联合体各方应分别按照本比选文件的要求，填写比选申请文件中的相应表格，并由联合体牵头人负责对联合体各成员的资料进行统一汇总后一并提交给比选人；联合体牵头人所提交的比选申请文件应认为已代表了联合体各成员的真实情况；</w:t>
      </w:r>
    </w:p>
    <w:p w14:paraId="13B6BEA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（5）尽管委任了联合体牵头人，但联合体各成员在投标、签约与履约合同过程中，仍负有连带的和各自的法律责任。</w:t>
      </w:r>
    </w:p>
    <w:p w14:paraId="40001FB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 xml:space="preserve">1.4.3 </w:t>
      </w:r>
      <w:r>
        <w:rPr>
          <w:rFonts w:hint="eastAsia" w:ascii="宋体" w:hAnsi="宋体" w:eastAsia="宋体" w:cs="宋体"/>
          <w:sz w:val="21"/>
          <w:szCs w:val="21"/>
          <w:lang w:eastAsia="zh-CN"/>
        </w:rPr>
        <w:t>比选申请人（包括联合体各成员）不得与本标段相关单位存在下列关联关系：</w:t>
      </w:r>
    </w:p>
    <w:p w14:paraId="691A03D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（1）为比选人不具有独立法人资格的附属机构（单位）；</w:t>
      </w:r>
    </w:p>
    <w:p w14:paraId="4D8F0F6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（2）与比选人存在利害关系且可能影响招标公正性；</w:t>
      </w:r>
    </w:p>
    <w:p w14:paraId="6CC1AC3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（3）与本标段的其他比选申请人同为一个单位负责人；</w:t>
      </w:r>
    </w:p>
    <w:p w14:paraId="2624F84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（4）与本标段的其他比选申请人存在控股、管理关系；</w:t>
      </w:r>
    </w:p>
    <w:p w14:paraId="632F75B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（5）为本标段前期准备提供设计或咨询服务的法人或其任何附属机构（单位）；</w:t>
      </w:r>
    </w:p>
    <w:p w14:paraId="5AFD007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（6）为本标段的监理人；</w:t>
      </w:r>
    </w:p>
    <w:p w14:paraId="4664AA6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（7）为本标段的代建人；</w:t>
      </w:r>
    </w:p>
    <w:p w14:paraId="0455C3D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（8）为本标段的招标代理机构；</w:t>
      </w:r>
    </w:p>
    <w:p w14:paraId="125EAF2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）与本标段的监理人或代建人或招标代理机构同为一个法定代表人；</w:t>
      </w:r>
    </w:p>
    <w:p w14:paraId="316C77F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（10）与本标段的监理人或代建人或招标代理机构存在控股或参股关系；</w:t>
      </w:r>
    </w:p>
    <w:p w14:paraId="77EF918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val="en-US" w:eastAsia="zh-CN"/>
        </w:rPr>
        <w:t>11</w:t>
      </w:r>
      <w:r>
        <w:rPr>
          <w:rFonts w:hint="eastAsia" w:ascii="宋体" w:hAnsi="宋体" w:eastAsia="宋体" w:cs="宋体"/>
          <w:sz w:val="21"/>
          <w:szCs w:val="21"/>
          <w:lang w:eastAsia="zh-CN"/>
        </w:rPr>
        <w:t>）法律法规或比选申请人须知前附表规定的其他情形。</w:t>
      </w:r>
    </w:p>
    <w:p w14:paraId="02B28107">
      <w:pPr>
        <w:pStyle w:val="5"/>
        <w:spacing w:before="0" w:after="0" w:line="360" w:lineRule="auto"/>
        <w:rPr>
          <w:rFonts w:ascii="宋体" w:hAnsi="宋体" w:cs="宋体"/>
          <w:sz w:val="21"/>
          <w:szCs w:val="21"/>
        </w:rPr>
      </w:pPr>
      <w:bookmarkStart w:id="114" w:name="_Toc17849"/>
      <w:r>
        <w:rPr>
          <w:rFonts w:hint="eastAsia" w:ascii="宋体" w:hAnsi="宋体" w:cs="宋体"/>
          <w:sz w:val="21"/>
          <w:szCs w:val="21"/>
        </w:rPr>
        <w:t>1.5 费用承担</w:t>
      </w:r>
      <w:bookmarkEnd w:id="114"/>
    </w:p>
    <w:p w14:paraId="1FAF3EF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比选申请人准备和参加投标活动发生的费用自理。</w:t>
      </w:r>
    </w:p>
    <w:p w14:paraId="699FF86A">
      <w:pPr>
        <w:pStyle w:val="5"/>
        <w:spacing w:before="0" w:after="0" w:line="360" w:lineRule="auto"/>
        <w:rPr>
          <w:rFonts w:ascii="宋体" w:hAnsi="宋体" w:cs="宋体"/>
          <w:sz w:val="21"/>
          <w:szCs w:val="21"/>
        </w:rPr>
      </w:pPr>
      <w:bookmarkStart w:id="115" w:name="_Toc19146"/>
      <w:r>
        <w:rPr>
          <w:rFonts w:hint="eastAsia" w:ascii="宋体" w:hAnsi="宋体" w:cs="宋体"/>
          <w:sz w:val="21"/>
          <w:szCs w:val="21"/>
        </w:rPr>
        <w:t>1.6 保密</w:t>
      </w:r>
      <w:bookmarkEnd w:id="115"/>
    </w:p>
    <w:p w14:paraId="51DBE73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参与招标投标活动的各方应对比选文件和比选申请文件中的商业和技术等秘密保密，否则应承担相应的法律责任。</w:t>
      </w:r>
    </w:p>
    <w:p w14:paraId="5275A20D">
      <w:pPr>
        <w:pStyle w:val="5"/>
        <w:spacing w:before="0" w:after="0" w:line="360" w:lineRule="auto"/>
        <w:rPr>
          <w:rFonts w:ascii="宋体" w:hAnsi="宋体" w:cs="宋体"/>
          <w:sz w:val="21"/>
          <w:szCs w:val="21"/>
        </w:rPr>
      </w:pPr>
      <w:bookmarkStart w:id="116" w:name="_Toc11654"/>
      <w:r>
        <w:rPr>
          <w:rFonts w:hint="eastAsia" w:ascii="宋体" w:hAnsi="宋体" w:cs="宋体"/>
          <w:sz w:val="21"/>
          <w:szCs w:val="21"/>
        </w:rPr>
        <w:t>1.7 语言文字</w:t>
      </w:r>
      <w:bookmarkEnd w:id="116"/>
    </w:p>
    <w:p w14:paraId="056C951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招标比选申请文件使用的语言文字为中文。专用术语使用外文的，应附有中文注释。</w:t>
      </w:r>
    </w:p>
    <w:p w14:paraId="74C51CB0">
      <w:pPr>
        <w:pStyle w:val="5"/>
        <w:spacing w:before="0" w:after="0" w:line="360" w:lineRule="auto"/>
        <w:rPr>
          <w:rFonts w:ascii="宋体" w:hAnsi="宋体" w:cs="宋体"/>
          <w:sz w:val="21"/>
          <w:szCs w:val="21"/>
        </w:rPr>
      </w:pPr>
      <w:bookmarkStart w:id="117" w:name="_Toc3768"/>
      <w:r>
        <w:rPr>
          <w:rFonts w:hint="eastAsia" w:ascii="宋体" w:hAnsi="宋体" w:cs="宋体"/>
          <w:sz w:val="21"/>
          <w:szCs w:val="21"/>
        </w:rPr>
        <w:t>1.8 计量单位</w:t>
      </w:r>
      <w:bookmarkEnd w:id="117"/>
    </w:p>
    <w:p w14:paraId="5A1CB69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所有计量均采用中华人民共和国法定计量单位。</w:t>
      </w:r>
    </w:p>
    <w:p w14:paraId="1C4DEFCC">
      <w:pPr>
        <w:pStyle w:val="5"/>
        <w:spacing w:before="0" w:after="0" w:line="360" w:lineRule="auto"/>
        <w:rPr>
          <w:rFonts w:ascii="宋体" w:hAnsi="宋体" w:cs="宋体"/>
          <w:sz w:val="21"/>
          <w:szCs w:val="21"/>
        </w:rPr>
      </w:pPr>
      <w:bookmarkStart w:id="118" w:name="_Toc29025"/>
      <w:r>
        <w:rPr>
          <w:rFonts w:hint="eastAsia" w:ascii="宋体" w:hAnsi="宋体" w:cs="宋体"/>
          <w:sz w:val="21"/>
          <w:szCs w:val="21"/>
        </w:rPr>
        <w:t>1.9 踏勘现场</w:t>
      </w:r>
      <w:bookmarkEnd w:id="118"/>
    </w:p>
    <w:p w14:paraId="2F1B4EA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1.9.1比选申请人须知前附表规定组织踏勘现场的，比选人按比选申请人须知前附表规定的时间、地点组织比选申请人踏勘项目现场。</w:t>
      </w:r>
    </w:p>
    <w:p w14:paraId="62B1794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1.9.2比选申请人踏勘现场发生的费用自理。</w:t>
      </w:r>
    </w:p>
    <w:p w14:paraId="2B6852F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1.9.3除比选人的原因外，比选申请人自行负责在踏勘现场中所发生的人员伤亡和财产损失。</w:t>
      </w:r>
    </w:p>
    <w:p w14:paraId="6893A10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1.9.4比选人提供的本合同工程的水文、地质、气象和料场分布、取土场、弃土场位置等参考资料，并不构成合同文件的组成部分，比选申请人应对自己就上述资料的解释、推论和应用负责，比选人不对比选申请人据此作出的判断和决策承担任何责任。</w:t>
      </w:r>
    </w:p>
    <w:p w14:paraId="0742704D">
      <w:pPr>
        <w:pStyle w:val="5"/>
        <w:spacing w:before="0" w:after="0" w:line="360" w:lineRule="auto"/>
        <w:rPr>
          <w:rFonts w:ascii="宋体" w:hAnsi="宋体" w:cs="宋体"/>
          <w:sz w:val="21"/>
          <w:szCs w:val="21"/>
        </w:rPr>
      </w:pPr>
      <w:bookmarkStart w:id="119" w:name="_Toc3930"/>
      <w:r>
        <w:rPr>
          <w:rFonts w:hint="eastAsia" w:ascii="宋体" w:hAnsi="宋体" w:cs="宋体"/>
          <w:sz w:val="21"/>
          <w:szCs w:val="21"/>
        </w:rPr>
        <w:t>1.10 投标预备会</w:t>
      </w:r>
      <w:bookmarkEnd w:id="119"/>
    </w:p>
    <w:p w14:paraId="54C1E75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1.10.1 比选申请人须知前附表规定召开投标预备会的，比选人按比选申请人须知前附表规定的时间和地点召开投标预备会，澄清比选申请人提出的问题。</w:t>
      </w:r>
    </w:p>
    <w:p w14:paraId="25E0D2C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1.10.2 比选申请人应在比选申请人须知前附表规定的时间前，以书面形式将提出的问题送达比选人，以便比选人在会议期间澄清。</w:t>
      </w:r>
    </w:p>
    <w:p w14:paraId="4CB0341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1.10.3 投标预备会后，比选人在比选申请人须知前附表规定的时间内，将对比选申请人所提问题的澄清，以比选申请人须知前附表规定的形式通知所有比选申请人。该澄清内容为比选文件的组成部分。</w:t>
      </w:r>
    </w:p>
    <w:p w14:paraId="66CB7BED">
      <w:pPr>
        <w:pStyle w:val="5"/>
        <w:spacing w:before="0" w:after="0" w:line="360" w:lineRule="auto"/>
        <w:rPr>
          <w:rFonts w:ascii="宋体" w:hAnsi="宋体" w:cs="宋体"/>
          <w:sz w:val="21"/>
          <w:szCs w:val="21"/>
        </w:rPr>
      </w:pPr>
      <w:bookmarkStart w:id="120" w:name="_Toc6528"/>
      <w:r>
        <w:rPr>
          <w:rFonts w:hint="eastAsia" w:ascii="宋体" w:hAnsi="宋体" w:cs="宋体"/>
          <w:sz w:val="21"/>
          <w:szCs w:val="21"/>
        </w:rPr>
        <w:t>1.11 分包</w:t>
      </w:r>
      <w:bookmarkEnd w:id="120"/>
    </w:p>
    <w:p w14:paraId="452B7EB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1.11.1 比选申请人拟在中标后将中标项目的部分非主体、非关键性工作进行分包的，应符合以下规定：</w:t>
      </w:r>
    </w:p>
    <w:p w14:paraId="7C10A64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（1）分包内容要求：允许分包的工程范围仅限于非关键性工程或适合专业化队伍施工的专项工程。比选人允许分包或不允许分包的专项工程（如有）应在比选申请人须知前附表中载明。</w:t>
      </w:r>
    </w:p>
    <w:p w14:paraId="554138D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（2）接受分包的第三人资格要求：分包人的资格能力应与其分包工程的标准和规模相适应，且具备比选申请人须知前附表中规定的资格条件。</w:t>
      </w:r>
    </w:p>
    <w:p w14:paraId="1A48371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（3）其他要求：比选申请人如有分包计划，应按第九章“比选申请文件格式”的要求填写“拟分包项目情况表”，明确拟分包的工程及规模，且比选申请人中标后的分包应满足合同条款第 4.3 款的相关要求。</w:t>
      </w:r>
    </w:p>
    <w:p w14:paraId="2991D00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1.11.2 中标人不得向他人转让中标项目，接受分包的人不得再次分包。中标人应就分包项目向比选人负责，接受分包的人就分包项目承担连带责任。</w:t>
      </w:r>
    </w:p>
    <w:p w14:paraId="536B45A8">
      <w:pPr>
        <w:pStyle w:val="5"/>
        <w:spacing w:before="0" w:after="0" w:line="360" w:lineRule="auto"/>
        <w:rPr>
          <w:rFonts w:ascii="宋体" w:hAnsi="宋体" w:cs="宋体"/>
          <w:sz w:val="21"/>
          <w:szCs w:val="21"/>
        </w:rPr>
      </w:pPr>
      <w:bookmarkStart w:id="121" w:name="_Toc27914"/>
      <w:r>
        <w:rPr>
          <w:rFonts w:hint="eastAsia" w:ascii="宋体" w:hAnsi="宋体" w:cs="宋体"/>
          <w:sz w:val="21"/>
          <w:szCs w:val="21"/>
        </w:rPr>
        <w:t>1.12 响应和偏差</w:t>
      </w:r>
      <w:bookmarkEnd w:id="121"/>
    </w:p>
    <w:p w14:paraId="109B4AC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1.12.1 比选申请文件偏离比选文件某些要求，视为比选申请文件存在偏差。偏差包括重大偏差和细微偏差。</w:t>
      </w:r>
    </w:p>
    <w:p w14:paraId="783A609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1.12.2 比选申请文件应对比选文件的实质性要求和条件作出满足性或更有利于比选人的响应，否则，视为比选申请文件存在重大偏差，比选申请人的投标将被否决。</w:t>
      </w:r>
    </w:p>
    <w:p w14:paraId="748BC1B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比选申请文件存在第三章“评标办法”中所列任一否决投标情形的，均属于存在重大偏差。</w:t>
      </w:r>
    </w:p>
    <w:p w14:paraId="6CFDEA8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1.12.3 比选申请文件中的下列偏差为细微偏差：</w:t>
      </w:r>
    </w:p>
    <w:p w14:paraId="2A06B3B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14:paraId="1C78EF6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1.12.4 评标委员会对比选申请文件中的细微偏差按如下规定处理：</w:t>
      </w:r>
    </w:p>
    <w:p w14:paraId="5E1C376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对于本章第 1.12.3 项所述的细微偏差，按照第三章“评标办法”的规定予以修正并要求比选申请人进行澄清；</w:t>
      </w:r>
    </w:p>
    <w:p w14:paraId="5C15BA2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1.12.5 比选申请人应根据比选文件的要求提供施工组织设计等内容以对比选文件作出响应。</w:t>
      </w:r>
    </w:p>
    <w:p w14:paraId="706AF3A1">
      <w:pPr>
        <w:pStyle w:val="4"/>
        <w:spacing w:before="0" w:after="0" w:line="360" w:lineRule="auto"/>
        <w:rPr>
          <w:rFonts w:ascii="宋体" w:hAnsi="宋体" w:cs="宋体"/>
          <w:sz w:val="28"/>
          <w:szCs w:val="28"/>
        </w:rPr>
      </w:pPr>
      <w:bookmarkStart w:id="122" w:name="_Toc493"/>
      <w:r>
        <w:rPr>
          <w:rFonts w:hint="eastAsia" w:ascii="宋体" w:hAnsi="宋体" w:cs="宋体"/>
          <w:sz w:val="28"/>
          <w:szCs w:val="28"/>
        </w:rPr>
        <w:t>2. 比选文件</w:t>
      </w:r>
      <w:bookmarkEnd w:id="122"/>
    </w:p>
    <w:p w14:paraId="3331715C">
      <w:pPr>
        <w:pStyle w:val="5"/>
        <w:spacing w:before="0" w:after="0" w:line="360" w:lineRule="auto"/>
        <w:rPr>
          <w:rFonts w:ascii="宋体" w:hAnsi="宋体" w:cs="宋体"/>
          <w:sz w:val="21"/>
          <w:szCs w:val="21"/>
        </w:rPr>
      </w:pPr>
      <w:bookmarkStart w:id="123" w:name="_Toc9331"/>
      <w:r>
        <w:rPr>
          <w:rFonts w:hint="eastAsia" w:ascii="宋体" w:hAnsi="宋体" w:cs="宋体"/>
          <w:sz w:val="21"/>
          <w:szCs w:val="21"/>
        </w:rPr>
        <w:t>2.1 比选文件的组成</w:t>
      </w:r>
      <w:bookmarkEnd w:id="123"/>
    </w:p>
    <w:p w14:paraId="56DB50C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本比选文件包括：</w:t>
      </w:r>
    </w:p>
    <w:p w14:paraId="4876CE1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（1）招标公告；</w:t>
      </w:r>
    </w:p>
    <w:p w14:paraId="655CEF4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（2）比选申请人须知；</w:t>
      </w:r>
    </w:p>
    <w:p w14:paraId="6F85654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（3）评标办法；</w:t>
      </w:r>
    </w:p>
    <w:p w14:paraId="5005A3F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（4）合同条款及格式；</w:t>
      </w:r>
    </w:p>
    <w:p w14:paraId="138639A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（5）工程量清单；</w:t>
      </w:r>
    </w:p>
    <w:p w14:paraId="4CF4985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（6）图纸；</w:t>
      </w:r>
    </w:p>
    <w:p w14:paraId="1047505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（7）技术规范；</w:t>
      </w:r>
    </w:p>
    <w:p w14:paraId="1A7F5A0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（8）工程量清单计量规则；</w:t>
      </w:r>
    </w:p>
    <w:p w14:paraId="2F5BEAC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（9）比选申请文件格式；</w:t>
      </w:r>
    </w:p>
    <w:p w14:paraId="3A4D6B1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（10）比选申请人须知前附表规定的其他资料。</w:t>
      </w:r>
    </w:p>
    <w:p w14:paraId="7185F25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根据本章第1.10 款、第2.2 款和第2.3 款对比选文件所作的澄清、修改，构成比选文件的组成部分。</w:t>
      </w:r>
    </w:p>
    <w:p w14:paraId="3A38202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当比选文件、比选文件的澄清或修改等在同一内容的表述上不一致时，以最后发出的书面文件为准。当对比选文件的理解有争议的，应当作出不利于比选人的解释，但违背国家利益、社会公共利益的除外。</w:t>
      </w:r>
    </w:p>
    <w:p w14:paraId="3A28478E">
      <w:pPr>
        <w:pStyle w:val="5"/>
        <w:spacing w:before="0" w:after="0" w:line="360" w:lineRule="auto"/>
        <w:rPr>
          <w:rFonts w:ascii="宋体" w:hAnsi="宋体" w:cs="宋体"/>
          <w:sz w:val="21"/>
          <w:szCs w:val="21"/>
        </w:rPr>
      </w:pPr>
      <w:bookmarkStart w:id="124" w:name="_Toc10819"/>
      <w:r>
        <w:rPr>
          <w:rFonts w:hint="eastAsia" w:ascii="宋体" w:hAnsi="宋体" w:cs="宋体"/>
          <w:sz w:val="21"/>
          <w:szCs w:val="21"/>
        </w:rPr>
        <w:t>2.2 比选文件的澄清</w:t>
      </w:r>
      <w:bookmarkEnd w:id="124"/>
    </w:p>
    <w:p w14:paraId="398E1E9C">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sz w:val="21"/>
          <w:szCs w:val="21"/>
          <w:lang w:eastAsia="zh-CN"/>
        </w:rPr>
        <w:t>2.2.1 比选申请人应仔细阅读和检查比选文件的全部内容。如发现缺页或附件不全，应及时向比选人提出，以便补齐。如有疑问，应在比选申请人须知前附表规定的时间前</w:t>
      </w:r>
      <w:r>
        <w:rPr>
          <w:rFonts w:hint="eastAsia" w:ascii="宋体" w:hAnsi="宋体" w:eastAsia="宋体" w:cs="宋体"/>
          <w:sz w:val="21"/>
          <w:szCs w:val="21"/>
          <w:lang w:eastAsia="zh-CN"/>
        </w:rPr>
        <w:t>在相应法定网站提问</w:t>
      </w:r>
      <w:r>
        <w:rPr>
          <w:rFonts w:hint="eastAsia" w:ascii="宋体" w:hAnsi="宋体" w:eastAsia="宋体" w:cs="宋体"/>
          <w:snapToGrid w:val="0"/>
          <w:sz w:val="21"/>
          <w:szCs w:val="21"/>
          <w:lang w:eastAsia="zh-CN"/>
        </w:rPr>
        <w:t>，要求比选人对比选文件予以澄清。</w:t>
      </w:r>
    </w:p>
    <w:p w14:paraId="50E5699C">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sz w:val="21"/>
          <w:szCs w:val="21"/>
          <w:lang w:eastAsia="zh-CN"/>
        </w:rPr>
        <w:t>2.2.2 比选文件的澄清将在比选申请人须知前附表规定的投标截止时间</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天前</w:t>
      </w:r>
      <w:r>
        <w:rPr>
          <w:rFonts w:hint="eastAsia" w:ascii="宋体" w:hAnsi="宋体" w:eastAsia="宋体" w:cs="宋体"/>
          <w:sz w:val="21"/>
          <w:szCs w:val="21"/>
          <w:lang w:eastAsia="zh-CN"/>
        </w:rPr>
        <w:t>在相应法定网站发布，</w:t>
      </w:r>
      <w:r>
        <w:rPr>
          <w:rFonts w:hint="eastAsia" w:ascii="宋体" w:hAnsi="宋体" w:eastAsia="宋体" w:cs="宋体"/>
          <w:snapToGrid w:val="0"/>
          <w:sz w:val="21"/>
          <w:szCs w:val="21"/>
          <w:lang w:eastAsia="zh-CN"/>
        </w:rPr>
        <w:t>但不指明澄清问题的来源。如果澄清发出的时间距投标截止时间不足</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天，相应延长投标截止时间。</w:t>
      </w:r>
    </w:p>
    <w:p w14:paraId="274861B1">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2.2.3 </w:t>
      </w:r>
      <w:r>
        <w:rPr>
          <w:rFonts w:hint="eastAsia" w:ascii="宋体" w:hAnsi="宋体" w:eastAsia="宋体" w:cs="宋体"/>
          <w:sz w:val="21"/>
          <w:szCs w:val="21"/>
          <w:lang w:eastAsia="zh-CN"/>
        </w:rPr>
        <w:t>比选人对比选文件的</w:t>
      </w:r>
      <w:r>
        <w:rPr>
          <w:rFonts w:hint="eastAsia" w:ascii="宋体" w:hAnsi="宋体" w:eastAsia="宋体" w:cs="宋体"/>
          <w:snapToGrid w:val="0"/>
          <w:sz w:val="21"/>
          <w:szCs w:val="21"/>
          <w:lang w:eastAsia="zh-CN"/>
        </w:rPr>
        <w:t>修改内容可能影响比选申请文件编制的，须在投标截止时间</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日前发布，发布时间至投标截止时间不足</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日的，须相应延后投标截止时间。</w:t>
      </w:r>
    </w:p>
    <w:p w14:paraId="681663F0">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position w:val="-2"/>
          <w:sz w:val="21"/>
          <w:szCs w:val="21"/>
          <w:lang w:eastAsia="zh-CN"/>
        </w:rPr>
        <w:t>2.2.4 比选申请人对比选文件和澄清修改仍有异议的，可于投标截止时间</w:t>
      </w:r>
      <w:r>
        <w:rPr>
          <w:rFonts w:hint="eastAsia" w:ascii="宋体" w:hAnsi="宋体" w:eastAsia="宋体" w:cs="宋体"/>
          <w:snapToGrid w:val="0"/>
          <w:position w:val="-2"/>
          <w:sz w:val="21"/>
          <w:szCs w:val="21"/>
          <w:lang w:val="en-US" w:eastAsia="zh-CN"/>
        </w:rPr>
        <w:t>3</w:t>
      </w:r>
      <w:r>
        <w:rPr>
          <w:rFonts w:hint="eastAsia" w:ascii="宋体" w:hAnsi="宋体" w:eastAsia="宋体" w:cs="宋体"/>
          <w:snapToGrid w:val="0"/>
          <w:position w:val="-2"/>
          <w:sz w:val="21"/>
          <w:szCs w:val="21"/>
          <w:lang w:eastAsia="zh-CN"/>
        </w:rPr>
        <w:t>日前，通过重庆市电子招投标系统提出</w:t>
      </w:r>
      <w:r>
        <w:rPr>
          <w:rFonts w:hint="eastAsia" w:ascii="宋体" w:hAnsi="宋体" w:eastAsia="宋体" w:cs="宋体"/>
          <w:snapToGrid w:val="0"/>
          <w:sz w:val="21"/>
          <w:szCs w:val="21"/>
          <w:lang w:eastAsia="zh-CN"/>
        </w:rPr>
        <w:t>。比选人应将答复以修改的形式在</w:t>
      </w:r>
      <w:r>
        <w:rPr>
          <w:rFonts w:hint="eastAsia" w:ascii="宋体" w:hAnsi="宋体" w:eastAsia="宋体" w:cs="宋体"/>
          <w:sz w:val="21"/>
          <w:szCs w:val="21"/>
          <w:lang w:eastAsia="zh-CN"/>
        </w:rPr>
        <w:t>相应法定网站发布</w:t>
      </w:r>
      <w:r>
        <w:rPr>
          <w:rFonts w:hint="eastAsia" w:ascii="宋体" w:hAnsi="宋体" w:eastAsia="宋体" w:cs="宋体"/>
          <w:snapToGrid w:val="0"/>
          <w:sz w:val="21"/>
          <w:szCs w:val="21"/>
          <w:lang w:eastAsia="zh-CN"/>
        </w:rPr>
        <w:t>。修改内容可能影响比选申请文件编制的，须在投标截止时间</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日前发布，发布时间至投标截止时间不足</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日的，须相应延后投标截止时间。</w:t>
      </w:r>
    </w:p>
    <w:p w14:paraId="5B924576">
      <w:pPr>
        <w:pStyle w:val="5"/>
        <w:spacing w:before="0" w:after="0" w:line="360" w:lineRule="auto"/>
        <w:rPr>
          <w:rFonts w:ascii="宋体" w:hAnsi="宋体" w:cs="宋体"/>
          <w:sz w:val="21"/>
          <w:szCs w:val="21"/>
        </w:rPr>
      </w:pPr>
      <w:bookmarkStart w:id="125" w:name="_Toc24031"/>
      <w:r>
        <w:rPr>
          <w:rFonts w:hint="eastAsia" w:ascii="宋体" w:hAnsi="宋体" w:cs="宋体"/>
          <w:sz w:val="21"/>
          <w:szCs w:val="21"/>
        </w:rPr>
        <w:t>2.3 比选文件的修改</w:t>
      </w:r>
      <w:bookmarkEnd w:id="125"/>
    </w:p>
    <w:p w14:paraId="3FE3D2D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按照本章第2.2款比选文件的澄清相关内容及方式执行。</w:t>
      </w:r>
    </w:p>
    <w:p w14:paraId="13EADCA1">
      <w:pPr>
        <w:pStyle w:val="4"/>
        <w:spacing w:before="0" w:after="0" w:line="360" w:lineRule="auto"/>
        <w:rPr>
          <w:rFonts w:ascii="宋体" w:hAnsi="宋体" w:cs="宋体"/>
          <w:sz w:val="28"/>
          <w:szCs w:val="28"/>
        </w:rPr>
      </w:pPr>
      <w:bookmarkStart w:id="126" w:name="_Toc3160"/>
      <w:r>
        <w:rPr>
          <w:rFonts w:hint="eastAsia" w:ascii="宋体" w:hAnsi="宋体" w:cs="宋体"/>
          <w:sz w:val="28"/>
          <w:szCs w:val="28"/>
        </w:rPr>
        <w:t>3. 比选申请文件</w:t>
      </w:r>
      <w:bookmarkEnd w:id="126"/>
    </w:p>
    <w:p w14:paraId="160A1768">
      <w:pPr>
        <w:pStyle w:val="5"/>
        <w:spacing w:before="0" w:after="0" w:line="360" w:lineRule="auto"/>
        <w:rPr>
          <w:rFonts w:ascii="宋体" w:hAnsi="宋体" w:cs="宋体"/>
          <w:sz w:val="21"/>
          <w:szCs w:val="21"/>
        </w:rPr>
      </w:pPr>
      <w:bookmarkStart w:id="127" w:name="_Toc7091"/>
      <w:r>
        <w:rPr>
          <w:rFonts w:hint="eastAsia" w:ascii="宋体" w:hAnsi="宋体" w:cs="宋体"/>
          <w:sz w:val="21"/>
          <w:szCs w:val="21"/>
        </w:rPr>
        <w:t>3.1比选申请文件的组成</w:t>
      </w:r>
      <w:bookmarkEnd w:id="127"/>
    </w:p>
    <w:p w14:paraId="269C825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3.1.1 比选申请文件应包括下列内容：</w:t>
      </w:r>
    </w:p>
    <w:p w14:paraId="164FE386">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3.1.1.1投标函部分</w:t>
      </w:r>
    </w:p>
    <w:p w14:paraId="79CD6FE8">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（1）投标函</w:t>
      </w:r>
    </w:p>
    <w:p w14:paraId="3A419C1B">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（2）投标函附录</w:t>
      </w:r>
    </w:p>
    <w:p w14:paraId="15C3534A">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（3）法定代表人身份证明或附有法定代表人身份证明的授权委托书</w:t>
      </w:r>
    </w:p>
    <w:p w14:paraId="475154F7">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（4）低价风险担保</w:t>
      </w:r>
      <w:r>
        <w:rPr>
          <w:rFonts w:hint="eastAsia" w:ascii="宋体" w:hAnsi="宋体" w:cs="宋体"/>
          <w:kern w:val="0"/>
          <w:szCs w:val="21"/>
        </w:rPr>
        <w:t>提交</w:t>
      </w:r>
      <w:r>
        <w:rPr>
          <w:rFonts w:hint="eastAsia" w:ascii="宋体" w:hAnsi="宋体" w:cs="宋体"/>
          <w:kern w:val="0"/>
          <w:szCs w:val="21"/>
          <w:lang w:val="ru-RU"/>
        </w:rPr>
        <w:t>承诺书（如有）</w:t>
      </w:r>
    </w:p>
    <w:p w14:paraId="3E2EA975">
      <w:pPr>
        <w:spacing w:line="360" w:lineRule="auto"/>
        <w:ind w:firstLine="420" w:firstLineChars="200"/>
        <w:rPr>
          <w:rFonts w:ascii="宋体" w:hAnsi="宋体"/>
          <w:lang w:val="ru-RU"/>
        </w:rPr>
      </w:pPr>
      <w:r>
        <w:rPr>
          <w:rFonts w:hint="eastAsia" w:ascii="宋体" w:hAnsi="宋体" w:cs="宋体"/>
          <w:kern w:val="0"/>
          <w:szCs w:val="21"/>
          <w:lang w:val="ru-RU"/>
        </w:rPr>
        <w:t>3.1.1.</w:t>
      </w:r>
      <w:r>
        <w:rPr>
          <w:rFonts w:hint="eastAsia" w:ascii="宋体" w:hAnsi="宋体" w:cs="宋体"/>
          <w:kern w:val="0"/>
          <w:szCs w:val="21"/>
        </w:rPr>
        <w:t>2经济</w:t>
      </w:r>
      <w:r>
        <w:rPr>
          <w:rFonts w:hint="eastAsia" w:ascii="宋体" w:hAnsi="宋体" w:cs="宋体"/>
          <w:kern w:val="0"/>
          <w:szCs w:val="21"/>
          <w:lang w:val="ru-RU"/>
        </w:rPr>
        <w:t>部分</w:t>
      </w:r>
    </w:p>
    <w:p w14:paraId="6E543966">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1</w:t>
      </w:r>
      <w:r>
        <w:rPr>
          <w:rFonts w:hint="eastAsia" w:ascii="宋体" w:hAnsi="宋体" w:cs="宋体"/>
          <w:kern w:val="0"/>
          <w:szCs w:val="21"/>
          <w:lang w:val="ru-RU"/>
        </w:rPr>
        <w:t>）已标价工程量清单</w:t>
      </w:r>
    </w:p>
    <w:p w14:paraId="4758027A">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3.1.1.</w:t>
      </w:r>
      <w:r>
        <w:rPr>
          <w:rFonts w:hint="eastAsia" w:ascii="宋体" w:hAnsi="宋体" w:cs="宋体"/>
          <w:kern w:val="0"/>
          <w:szCs w:val="21"/>
        </w:rPr>
        <w:t>3</w:t>
      </w:r>
      <w:r>
        <w:rPr>
          <w:rFonts w:hint="eastAsia" w:ascii="宋体" w:hAnsi="宋体" w:cs="宋体"/>
          <w:kern w:val="0"/>
          <w:szCs w:val="21"/>
          <w:lang w:val="ru-RU"/>
        </w:rPr>
        <w:t>资格审查部分</w:t>
      </w:r>
    </w:p>
    <w:p w14:paraId="45F19572">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（1）法定代表人身份证明或附有法定代表人身份证明的授权委托书</w:t>
      </w:r>
    </w:p>
    <w:p w14:paraId="755DF6F1">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2</w:t>
      </w:r>
      <w:r>
        <w:rPr>
          <w:rFonts w:hint="eastAsia" w:ascii="宋体" w:hAnsi="宋体" w:cs="宋体"/>
          <w:kern w:val="0"/>
          <w:szCs w:val="21"/>
          <w:lang w:val="ru-RU"/>
        </w:rPr>
        <w:t>）比选申请人基本情况表</w:t>
      </w:r>
    </w:p>
    <w:p w14:paraId="29B33BC2">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3</w:t>
      </w:r>
      <w:r>
        <w:rPr>
          <w:rFonts w:hint="eastAsia" w:ascii="宋体" w:hAnsi="宋体" w:cs="宋体"/>
          <w:kern w:val="0"/>
          <w:szCs w:val="21"/>
          <w:lang w:val="ru-RU"/>
        </w:rPr>
        <w:t>）项目管理机构</w:t>
      </w:r>
    </w:p>
    <w:p w14:paraId="1E456911">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4</w:t>
      </w:r>
      <w:r>
        <w:rPr>
          <w:rFonts w:hint="eastAsia" w:ascii="宋体" w:hAnsi="宋体" w:cs="宋体"/>
          <w:kern w:val="0"/>
          <w:szCs w:val="21"/>
          <w:lang w:val="ru-RU"/>
        </w:rPr>
        <w:t>）</w:t>
      </w:r>
      <w:r>
        <w:rPr>
          <w:rFonts w:hint="eastAsia" w:ascii="宋体" w:hAnsi="宋体" w:cs="宋体"/>
          <w:kern w:val="0"/>
          <w:szCs w:val="21"/>
        </w:rPr>
        <w:t>承诺</w:t>
      </w:r>
    </w:p>
    <w:p w14:paraId="39282A33">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5</w:t>
      </w:r>
      <w:r>
        <w:rPr>
          <w:rFonts w:hint="eastAsia" w:ascii="宋体" w:hAnsi="宋体" w:cs="宋体"/>
          <w:kern w:val="0"/>
          <w:szCs w:val="21"/>
          <w:lang w:val="ru-RU"/>
        </w:rPr>
        <w:t>）其他资料</w:t>
      </w:r>
    </w:p>
    <w:p w14:paraId="0ECF631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比选申请人在评标过程中作出的符合法律法规和比选文件规定的澄清确认，构成比选申请文件的组成部分。</w:t>
      </w:r>
    </w:p>
    <w:p w14:paraId="4CD84D6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3.1.2比选申请人须知前附表规定不接受联合体投标的，或比选申请人没有组成联合体的，比选申请文件不包括联合体协议书。</w:t>
      </w:r>
    </w:p>
    <w:p w14:paraId="0C9EFFD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3.1.3 比选申请人须知前附表未要求提交投标保证金的，比选申请文件不包括投标保证金。</w:t>
      </w:r>
    </w:p>
    <w:p w14:paraId="76ADC296">
      <w:pPr>
        <w:pStyle w:val="5"/>
        <w:spacing w:before="0" w:after="0" w:line="360" w:lineRule="auto"/>
        <w:rPr>
          <w:rFonts w:ascii="宋体" w:hAnsi="宋体" w:cs="宋体"/>
          <w:sz w:val="21"/>
          <w:szCs w:val="21"/>
        </w:rPr>
      </w:pPr>
      <w:bookmarkStart w:id="128" w:name="_Toc31040"/>
      <w:r>
        <w:rPr>
          <w:rFonts w:hint="eastAsia" w:ascii="宋体" w:hAnsi="宋体" w:cs="宋体"/>
          <w:sz w:val="21"/>
          <w:szCs w:val="21"/>
        </w:rPr>
        <w:t>3.2 投标报价</w:t>
      </w:r>
      <w:bookmarkEnd w:id="128"/>
    </w:p>
    <w:p w14:paraId="694ABC7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3.2.1 投标报价应包括国家规定的增值税税金，除比选申请人须知前附表另有规定外，增值税税金按一般计税方法计算。比选申请人应按第九章“比选申请文件格式”的要求在投标函中进行报价并填写工程量清单相应表格。</w:t>
      </w:r>
    </w:p>
    <w:p w14:paraId="24179A7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本项目招标采用工程量固化清单，比选人将工程量清单电子文件上传至比选申请人须知前附表载明的网站供比选申请人自行下载。比选申请人填写工程量清单中各子目的单价及总额价，即可完成投标工程量清单的编制，确定投标报价，编入比选申请文件。比选申请人未在工程量清单中填入单价或总额价的工程子目，将被认为其已包含在工程量清单其他子目的单价和总额价中，比选人将不予支付。</w:t>
      </w:r>
    </w:p>
    <w:p w14:paraId="13B96B0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比选申请人必须严格遵循工程量固化清单电子文件中的数据、格式及运算定义，严禁比选申请人修改工程量固化清单电子文件中的数据、格式及运算定义。</w:t>
      </w:r>
    </w:p>
    <w:p w14:paraId="08E91D7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比选申请人根据比选人提供的工程量固化清单电子文件填报完成并生成的投标工程量清单中的投标报价和投标函大写金额报价应一致，如果报价金额出现差异，其投标将被否决。</w:t>
      </w:r>
    </w:p>
    <w:p w14:paraId="6DE6771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3.2.2 比选申请人应充分了解本项目的总体情况以及影响投标报价的其他要素。</w:t>
      </w:r>
    </w:p>
    <w:p w14:paraId="0406533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3.2.3 本项目的报价方式见比选申请人须知前附表。比选申请人在投标截止时间前修改投标函中的投标总报价，应同时修改比选申请文件“已标价工程量清单”中的相应报价。此修改须符合本章第 4.3 款的有关要求。</w:t>
      </w:r>
    </w:p>
    <w:p w14:paraId="220EB32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3.2.4 比选申请人如果发现工程量清单中的数量与图纸中数量不一致时，应立即通知比选人核查，除非比选人按照本章第2.2 款或2.3 款的有关要求，以比选文件澄清或修改的方式予以更正，否则，应以工程量清单中列出的数量为准。</w:t>
      </w:r>
    </w:p>
    <w:p w14:paraId="133BA48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3.2.5 比选申请人应根据《公路水运工程安全生产监督管理办法》，在投标总价中计入安全生产费用，安全生产费用应符合合同条款第 9.2.5 项的规定。工程量清单第 100章内列有上述安全生产费的支付子目，由比选申请人按比选文件的规定填写总额价。</w:t>
      </w:r>
    </w:p>
    <w:p w14:paraId="6B37113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3.2.6 除比选申请人须知前附表另有规定外，比选人不接受调价函。</w:t>
      </w:r>
    </w:p>
    <w:p w14:paraId="1A1E1B1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3.2.7 在合同实施期间，比选申请人填写的单价、合价和总额价是否由于物价波动进行价格调整按照合同条款第 16.1 款的规定处理。如果按照合同条款第 16.1.1 项的规定采用价格调整公式进行价格调整，由比选人根据项目实际情况测算确定价格调整公式中的变值权重范围，并在投标函附录价格指数和权重表中约定范围；比选申请人在此范围内填写各可调因子的权重，合同实施期间将按此权重进行调价。</w:t>
      </w:r>
    </w:p>
    <w:p w14:paraId="0D4E980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3.2.8 比选人设有最高投标限价的，比选申请人的投标报价不得超过最高投标限价，最高投标限价在比选申请人须知前附表中载明。</w:t>
      </w:r>
    </w:p>
    <w:p w14:paraId="5A9C634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3.2.9 投标报价的其他要求见比选申请人须知前附表。</w:t>
      </w:r>
    </w:p>
    <w:p w14:paraId="52AB54C9">
      <w:pPr>
        <w:pStyle w:val="5"/>
        <w:spacing w:before="0" w:after="0" w:line="360" w:lineRule="auto"/>
        <w:rPr>
          <w:rFonts w:ascii="宋体" w:hAnsi="宋体" w:cs="宋体"/>
          <w:sz w:val="21"/>
          <w:szCs w:val="21"/>
        </w:rPr>
      </w:pPr>
      <w:bookmarkStart w:id="129" w:name="_Toc27121"/>
      <w:r>
        <w:rPr>
          <w:rFonts w:hint="eastAsia" w:ascii="宋体" w:hAnsi="宋体" w:cs="宋体"/>
          <w:sz w:val="21"/>
          <w:szCs w:val="21"/>
        </w:rPr>
        <w:t>3.3投标有效期</w:t>
      </w:r>
      <w:bookmarkEnd w:id="129"/>
    </w:p>
    <w:p w14:paraId="4E66BE9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3.3.1 除比选申请人须知前附表另有规定外，投标有效期为 90 日。</w:t>
      </w:r>
    </w:p>
    <w:p w14:paraId="089E61D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3.3.2 在投标有效期内，比选申请人撤销比选申请文件的，应承担比选文件和法律规定的责任。</w:t>
      </w:r>
    </w:p>
    <w:p w14:paraId="536C7DA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3.3.3 出现特殊情况需要延长投标有效期的，比选人在比选申请人须知前附表载明的网站，以公告形式通知所有比选申请人延长投标有效期。在公告发布的 24 小时内， 若比选人未接到比选申请人拒绝延长的书面答复，就视为所有比选申请人都同意延长，比选申请人应当相应延长其投标保证金的有效期，但不得要求或被允许修改其比选申请文件；比选申请人拒绝延长的，其投标失效，但比选申请人有权收回其投标保证金及以现金或支票形式递交的投标保证金的银 行同期活期存款利息。</w:t>
      </w:r>
    </w:p>
    <w:p w14:paraId="48A41C9E">
      <w:pPr>
        <w:pStyle w:val="5"/>
        <w:spacing w:before="0" w:after="0" w:line="360" w:lineRule="auto"/>
        <w:rPr>
          <w:rFonts w:ascii="宋体" w:hAnsi="宋体" w:cs="宋体"/>
          <w:sz w:val="21"/>
          <w:szCs w:val="21"/>
        </w:rPr>
      </w:pPr>
      <w:bookmarkStart w:id="130" w:name="_Toc14148"/>
      <w:r>
        <w:rPr>
          <w:rFonts w:hint="eastAsia" w:ascii="宋体" w:hAnsi="宋体" w:cs="宋体"/>
          <w:sz w:val="21"/>
          <w:szCs w:val="21"/>
        </w:rPr>
        <w:t>3.4 投标保证金</w:t>
      </w:r>
      <w:bookmarkEnd w:id="130"/>
    </w:p>
    <w:p w14:paraId="1130E3E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3.4.1 比选申请人在递交比选申请文件的同时，应按比选申请人须知前附表规定的金额、担保形式和</w:t>
      </w:r>
      <w:r>
        <w:rPr>
          <w:rFonts w:hint="eastAsia" w:ascii="宋体" w:hAnsi="宋体" w:eastAsia="宋体" w:cs="宋体"/>
          <w:sz w:val="21"/>
          <w:szCs w:val="21"/>
          <w:lang w:val="en-US" w:eastAsia="zh-CN"/>
        </w:rPr>
        <w:t>其他</w:t>
      </w:r>
      <w:r>
        <w:rPr>
          <w:rFonts w:hint="eastAsia" w:ascii="宋体" w:hAnsi="宋体" w:eastAsia="宋体" w:cs="宋体"/>
          <w:sz w:val="21"/>
          <w:szCs w:val="21"/>
          <w:lang w:eastAsia="zh-CN"/>
        </w:rPr>
        <w:t>要求递交投标保证金，并作为其比选申请文件的组成部分。联合体投标的，其投标保证金由牵头人递交，并应符合比选申请人须知前附表的规定。</w:t>
      </w:r>
    </w:p>
    <w:p w14:paraId="2FE6C9A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投标保证金应采用现金、支票、银行保函或比选人在比选申请人须知前附表规定的其他形式。</w:t>
      </w:r>
    </w:p>
    <w:p w14:paraId="28DA2DE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无论采取何种形式的投标保证金，投标保证金有效期均应与投标有效期一致。比选人如果按本章第 3.3.3 项的规定延长了投标有效期，则投标保证金的有效期也相应延长。</w:t>
      </w:r>
    </w:p>
    <w:p w14:paraId="3EFE644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3.4.2 比选申请人不按本章第 3.4.1 项要求提交投标保证金的，评标委员会将否决其投标。</w:t>
      </w:r>
    </w:p>
    <w:p w14:paraId="5B5AED6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3.4.3 比选人最迟将在中标通知书发出后 5 日内向中标候选人以外的其他比选申请人退还投标保证金，与中标人签订合同后 5 日内向中标人和其他中标候选人退还投标保证金。投标保证金以现金或支票形式递交的，比选人应同时退还投标保证金的银行同期活期存款利息，且退还至比选申请人的基本账户。</w:t>
      </w:r>
    </w:p>
    <w:p w14:paraId="5801C1B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利息计算原则见比选申请人须知前附表。</w:t>
      </w:r>
    </w:p>
    <w:p w14:paraId="1626703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3.4.4 有下列情形之一的，投标保证金将不予退还：</w:t>
      </w:r>
    </w:p>
    <w:p w14:paraId="46D6BCA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（1）比选申请人在投标有效期内撤销比选申请文件；</w:t>
      </w:r>
    </w:p>
    <w:p w14:paraId="308162AB">
      <w:pPr>
        <w:pStyle w:val="70"/>
        <w:spacing w:before="0" w:after="0" w:line="360" w:lineRule="auto"/>
        <w:ind w:firstLine="420" w:firstLineChars="200"/>
        <w:jc w:val="lef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（2）中标人在收到中标通知书后，无正当理由不与比选人订立合同，在签订合同时向比选人提出附加条件，或者不按照比选文件要求提交履约保证金；</w:t>
      </w:r>
    </w:p>
    <w:p w14:paraId="436C1AB3">
      <w:pPr>
        <w:pStyle w:val="70"/>
        <w:spacing w:before="0" w:after="0" w:line="360" w:lineRule="auto"/>
        <w:ind w:firstLine="420" w:firstLineChars="200"/>
        <w:jc w:val="lef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）中标人（或拟中标人）拒不提供或者不按时提供低价风险担保（适用于经评审的最低投标价法）；</w:t>
      </w:r>
    </w:p>
    <w:p w14:paraId="43AFAA6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）比选申请人被发现</w:t>
      </w:r>
      <w:r>
        <w:rPr>
          <w:rFonts w:hint="eastAsia" w:ascii="宋体" w:hAnsi="宋体" w:eastAsia="宋体" w:cs="宋体"/>
          <w:sz w:val="21"/>
          <w:szCs w:val="21"/>
          <w:lang w:val="en-US" w:eastAsia="zh-CN"/>
        </w:rPr>
        <w:t>本次投标</w:t>
      </w:r>
      <w:r>
        <w:rPr>
          <w:rFonts w:hint="eastAsia" w:ascii="宋体" w:hAnsi="宋体" w:eastAsia="宋体" w:cs="宋体"/>
          <w:sz w:val="21"/>
          <w:szCs w:val="21"/>
          <w:lang w:eastAsia="zh-CN"/>
        </w:rPr>
        <w:t>存在串通投标、弄虚造假、行贿等违法行为的；</w:t>
      </w:r>
    </w:p>
    <w:p w14:paraId="6BEF59B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）发生比选申请人须知前附表规定的其他可以不予退还投标保证金的情形。</w:t>
      </w:r>
    </w:p>
    <w:p w14:paraId="4672BCE6">
      <w:pPr>
        <w:pStyle w:val="5"/>
        <w:spacing w:before="0" w:after="0" w:line="360" w:lineRule="auto"/>
        <w:rPr>
          <w:rFonts w:ascii="宋体" w:hAnsi="宋体" w:cs="宋体"/>
          <w:sz w:val="21"/>
          <w:szCs w:val="21"/>
        </w:rPr>
      </w:pPr>
      <w:bookmarkStart w:id="131" w:name="_Toc32452"/>
      <w:r>
        <w:rPr>
          <w:rFonts w:hint="eastAsia" w:ascii="宋体" w:hAnsi="宋体" w:cs="宋体"/>
          <w:sz w:val="21"/>
          <w:szCs w:val="21"/>
        </w:rPr>
        <w:t>3.5资格审查资料</w:t>
      </w:r>
      <w:bookmarkEnd w:id="131"/>
    </w:p>
    <w:p w14:paraId="12124DE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除比选申请人须知前附表另有规定外，比选申请人应按下列规定提供资格审查资料，以证明其满足本章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 xml:space="preserve"> 1.4 款规定的资质、财务、业绩、信誉等要求。</w:t>
      </w:r>
    </w:p>
    <w:p w14:paraId="6A9B591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3.5.1“比选申请人基本情况表”应附企业法人营业执照副本、施工资质证书副本（带二维码）、安全生产许可证副本的扫描件。</w:t>
      </w:r>
    </w:p>
    <w:p w14:paraId="549F7F3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企业法人营业执照副本、施工资质证书副本、安全生产许可证副本的扫描件应提供全本（证书封面、封底、空白页除外），应包括比选申请人名称、比选申请人其他相关信息、颁发机构名称、比选申请人信息变更情况等关键页在内。</w:t>
      </w:r>
    </w:p>
    <w:p w14:paraId="178FF08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3.5.2“财务状况表”应附经会计师事务所或审计机构</w:t>
      </w:r>
      <w:r>
        <w:rPr>
          <w:rFonts w:hint="eastAsia" w:ascii="宋体" w:hAnsi="宋体" w:eastAsia="宋体" w:cs="宋体"/>
          <w:sz w:val="21"/>
          <w:szCs w:val="21"/>
          <w:lang w:val="en-US" w:eastAsia="zh-CN"/>
        </w:rPr>
        <w:t>出具</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合法有效的</w:t>
      </w:r>
      <w:r>
        <w:rPr>
          <w:rFonts w:hint="eastAsia" w:ascii="宋体" w:hAnsi="宋体" w:eastAsia="宋体" w:cs="宋体"/>
          <w:sz w:val="21"/>
          <w:szCs w:val="21"/>
          <w:lang w:eastAsia="zh-CN"/>
        </w:rPr>
        <w:t>财务审计报表扫描件，包括资产负债表、现金流量表、利润表和财务情况说明书，具体年份要求见比选申请人须知前附表。比选申请人的成立时间少于比选申请人须知前附表规定年份的，应提供成立以来的财务状况表。</w:t>
      </w:r>
    </w:p>
    <w:p w14:paraId="0EF9BB9D">
      <w:pPr>
        <w:pStyle w:val="70"/>
        <w:spacing w:before="0" w:after="0" w:line="360" w:lineRule="auto"/>
        <w:ind w:firstLine="420" w:firstLineChars="200"/>
        <w:jc w:val="left"/>
        <w:rPr>
          <w:rFonts w:ascii="宋体" w:hAnsi="宋体" w:eastAsia="宋体"/>
          <w:sz w:val="21"/>
          <w:szCs w:val="21"/>
          <w:lang w:eastAsia="zh-CN"/>
        </w:rPr>
      </w:pPr>
      <w:r>
        <w:rPr>
          <w:rFonts w:hint="eastAsia" w:ascii="宋体" w:hAnsi="宋体" w:eastAsia="宋体" w:cs="宋体"/>
          <w:sz w:val="21"/>
          <w:szCs w:val="21"/>
          <w:lang w:eastAsia="zh-CN"/>
        </w:rPr>
        <w:t>3.5.3 “类似项目”</w:t>
      </w:r>
      <w:r>
        <w:rPr>
          <w:rFonts w:hint="eastAsia" w:ascii="宋体" w:hAnsi="宋体" w:eastAsia="宋体"/>
          <w:sz w:val="21"/>
          <w:szCs w:val="21"/>
          <w:lang w:eastAsia="zh-CN"/>
        </w:rPr>
        <w:t>应是已列入交通运输主管部门</w:t>
      </w:r>
      <w:r>
        <w:rPr>
          <w:rFonts w:hint="eastAsia" w:ascii="宋体" w:hAnsi="宋体" w:eastAsia="宋体" w:cs="宋体"/>
          <w:sz w:val="21"/>
          <w:szCs w:val="21"/>
          <w:lang w:eastAsia="zh-CN"/>
        </w:rPr>
        <w:t>“</w:t>
      </w:r>
      <w:r>
        <w:rPr>
          <w:rFonts w:hint="eastAsia" w:ascii="宋体" w:hAnsi="宋体" w:eastAsia="宋体"/>
          <w:sz w:val="21"/>
          <w:szCs w:val="21"/>
          <w:lang w:eastAsia="zh-CN"/>
        </w:rPr>
        <w:t>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并公开的主包已建业绩或分包已建业绩，具体时间要求见比选申请人须知前附表。</w:t>
      </w:r>
    </w:p>
    <w:p w14:paraId="32FE6E28">
      <w:pPr>
        <w:pStyle w:val="70"/>
        <w:spacing w:before="0" w:after="0" w:line="360" w:lineRule="auto"/>
        <w:ind w:firstLine="420" w:firstLineChars="200"/>
        <w:jc w:val="left"/>
        <w:rPr>
          <w:rFonts w:ascii="宋体" w:hAnsi="宋体" w:eastAsia="宋体"/>
          <w:sz w:val="21"/>
          <w:szCs w:val="21"/>
          <w:lang w:eastAsia="zh-CN"/>
        </w:rPr>
      </w:pPr>
      <w:r>
        <w:rPr>
          <w:rFonts w:hint="eastAsia" w:ascii="宋体" w:hAnsi="宋体" w:eastAsia="宋体" w:cs="宋体"/>
          <w:sz w:val="21"/>
          <w:szCs w:val="21"/>
          <w:lang w:eastAsia="zh-CN"/>
        </w:rPr>
        <w:t>“</w:t>
      </w:r>
      <w:r>
        <w:rPr>
          <w:rFonts w:hint="eastAsia" w:ascii="宋体" w:hAnsi="宋体" w:eastAsia="宋体"/>
          <w:sz w:val="21"/>
          <w:szCs w:val="21"/>
          <w:lang w:eastAsia="zh-CN"/>
        </w:rPr>
        <w:t>类似项目情况表</w:t>
      </w:r>
      <w:r>
        <w:rPr>
          <w:rFonts w:hint="eastAsia" w:ascii="宋体" w:hAnsi="宋体" w:eastAsia="宋体" w:cs="宋体"/>
          <w:sz w:val="21"/>
          <w:szCs w:val="21"/>
          <w:lang w:eastAsia="zh-CN"/>
        </w:rPr>
        <w:t>”</w:t>
      </w:r>
      <w:r>
        <w:rPr>
          <w:rFonts w:hint="eastAsia" w:ascii="宋体" w:hAnsi="宋体" w:eastAsia="宋体"/>
          <w:sz w:val="21"/>
          <w:szCs w:val="21"/>
          <w:lang w:eastAsia="zh-CN"/>
        </w:rPr>
        <w:t>应附在交通运输部</w:t>
      </w:r>
      <w:r>
        <w:rPr>
          <w:rFonts w:hint="eastAsia" w:ascii="宋体" w:hAnsi="宋体" w:eastAsia="宋体" w:cs="宋体"/>
          <w:sz w:val="21"/>
          <w:szCs w:val="21"/>
          <w:lang w:eastAsia="zh-CN"/>
        </w:rPr>
        <w:t>“</w:t>
      </w:r>
      <w:r>
        <w:rPr>
          <w:rFonts w:hint="eastAsia" w:ascii="宋体" w:hAnsi="宋体" w:eastAsia="宋体"/>
          <w:sz w:val="21"/>
          <w:szCs w:val="21"/>
          <w:lang w:eastAsia="zh-CN"/>
        </w:rPr>
        <w:t>全国公路建设市场信用信息管理系统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中查询到的企业</w:t>
      </w:r>
      <w:r>
        <w:rPr>
          <w:rFonts w:hint="eastAsia" w:ascii="宋体" w:hAnsi="宋体" w:eastAsia="宋体" w:cs="宋体"/>
          <w:sz w:val="21"/>
          <w:szCs w:val="21"/>
          <w:lang w:eastAsia="zh-CN"/>
        </w:rPr>
        <w:t>“</w:t>
      </w:r>
      <w:r>
        <w:rPr>
          <w:rFonts w:hint="eastAsia" w:ascii="宋体" w:hAnsi="宋体" w:eastAsia="宋体"/>
          <w:sz w:val="21"/>
          <w:szCs w:val="21"/>
          <w:lang w:eastAsia="zh-CN"/>
        </w:rPr>
        <w:t>业绩信息</w:t>
      </w:r>
      <w:r>
        <w:rPr>
          <w:rFonts w:hint="eastAsia" w:ascii="宋体" w:hAnsi="宋体" w:eastAsia="宋体" w:cs="宋体"/>
          <w:sz w:val="21"/>
          <w:szCs w:val="21"/>
          <w:lang w:eastAsia="zh-CN"/>
        </w:rPr>
        <w:t>”</w:t>
      </w:r>
      <w:r>
        <w:rPr>
          <w:rFonts w:hint="eastAsia" w:ascii="宋体" w:hAnsi="宋体" w:eastAsia="宋体"/>
          <w:sz w:val="21"/>
          <w:szCs w:val="21"/>
          <w:lang w:eastAsia="zh-CN"/>
        </w:rPr>
        <w:t>相关项目网页截图复印件，即包括</w:t>
      </w:r>
      <w:r>
        <w:rPr>
          <w:rFonts w:hint="eastAsia" w:ascii="宋体" w:hAnsi="宋体" w:eastAsia="宋体" w:cs="宋体"/>
          <w:sz w:val="21"/>
          <w:szCs w:val="21"/>
          <w:lang w:eastAsia="zh-CN"/>
        </w:rPr>
        <w:t>“</w:t>
      </w:r>
      <w:r>
        <w:rPr>
          <w:rFonts w:hint="eastAsia" w:ascii="宋体" w:hAnsi="宋体" w:eastAsia="宋体"/>
          <w:sz w:val="21"/>
          <w:szCs w:val="21"/>
          <w:lang w:eastAsia="zh-CN"/>
        </w:rPr>
        <w:t>项目名称</w:t>
      </w:r>
      <w:r>
        <w:rPr>
          <w:rFonts w:hint="eastAsia" w:ascii="宋体" w:hAnsi="宋体" w:eastAsia="宋体" w:cs="宋体"/>
          <w:sz w:val="21"/>
          <w:szCs w:val="21"/>
          <w:lang w:eastAsia="zh-CN"/>
        </w:rPr>
        <w:t>”“</w:t>
      </w:r>
      <w:r>
        <w:rPr>
          <w:rFonts w:hint="eastAsia" w:ascii="宋体" w:hAnsi="宋体" w:eastAsia="宋体"/>
          <w:sz w:val="21"/>
          <w:szCs w:val="21"/>
          <w:lang w:eastAsia="zh-CN"/>
        </w:rPr>
        <w:t>标段类型</w:t>
      </w:r>
      <w:r>
        <w:rPr>
          <w:rFonts w:hint="eastAsia" w:ascii="宋体" w:hAnsi="宋体" w:eastAsia="宋体" w:cs="宋体"/>
          <w:sz w:val="21"/>
          <w:szCs w:val="21"/>
          <w:lang w:eastAsia="zh-CN"/>
        </w:rPr>
        <w:t>”“</w:t>
      </w:r>
      <w:r>
        <w:rPr>
          <w:rFonts w:hint="eastAsia" w:ascii="宋体" w:hAnsi="宋体" w:eastAsia="宋体"/>
          <w:sz w:val="21"/>
          <w:szCs w:val="21"/>
          <w:lang w:eastAsia="zh-CN"/>
        </w:rPr>
        <w:t>合同价</w:t>
      </w:r>
      <w:r>
        <w:rPr>
          <w:rFonts w:hint="eastAsia" w:ascii="宋体" w:hAnsi="宋体" w:eastAsia="宋体" w:cs="宋体"/>
          <w:sz w:val="21"/>
          <w:szCs w:val="21"/>
          <w:lang w:eastAsia="zh-CN"/>
        </w:rPr>
        <w:t>”“</w:t>
      </w:r>
      <w:r>
        <w:rPr>
          <w:rFonts w:hint="eastAsia" w:ascii="宋体" w:hAnsi="宋体" w:eastAsia="宋体"/>
          <w:sz w:val="21"/>
          <w:szCs w:val="21"/>
          <w:lang w:eastAsia="zh-CN"/>
        </w:rPr>
        <w:t>主要工程量</w:t>
      </w:r>
      <w:r>
        <w:rPr>
          <w:rFonts w:hint="eastAsia" w:ascii="宋体" w:hAnsi="宋体" w:eastAsia="宋体" w:cs="宋体"/>
          <w:sz w:val="21"/>
          <w:szCs w:val="21"/>
          <w:lang w:eastAsia="zh-CN"/>
        </w:rPr>
        <w:t>”“</w:t>
      </w:r>
      <w:r>
        <w:rPr>
          <w:rFonts w:hint="eastAsia" w:ascii="宋体" w:hAnsi="宋体" w:eastAsia="宋体"/>
          <w:sz w:val="21"/>
          <w:szCs w:val="21"/>
          <w:lang w:eastAsia="zh-CN"/>
        </w:rPr>
        <w:t>项目主要管理人员</w:t>
      </w:r>
      <w:r>
        <w:rPr>
          <w:rFonts w:hint="eastAsia" w:ascii="宋体" w:hAnsi="宋体" w:eastAsia="宋体" w:cs="宋体"/>
          <w:sz w:val="21"/>
          <w:szCs w:val="21"/>
          <w:lang w:eastAsia="zh-CN"/>
        </w:rPr>
        <w:t>”</w:t>
      </w:r>
      <w:r>
        <w:rPr>
          <w:rFonts w:hint="eastAsia" w:ascii="宋体" w:hAnsi="宋体" w:eastAsia="宋体"/>
          <w:sz w:val="21"/>
          <w:szCs w:val="21"/>
          <w:lang w:eastAsia="zh-CN"/>
        </w:rPr>
        <w:t>等栏目在内的项目详细信息网页截图。在交通运输部</w:t>
      </w:r>
      <w:r>
        <w:rPr>
          <w:rFonts w:hint="eastAsia" w:ascii="宋体" w:hAnsi="宋体" w:eastAsia="宋体" w:cs="宋体"/>
          <w:sz w:val="21"/>
          <w:szCs w:val="21"/>
          <w:lang w:eastAsia="zh-CN"/>
        </w:rPr>
        <w:t>“</w:t>
      </w:r>
      <w:r>
        <w:rPr>
          <w:rFonts w:hint="eastAsia" w:ascii="宋体" w:hAnsi="宋体" w:eastAsia="宋体"/>
          <w:sz w:val="21"/>
          <w:szCs w:val="21"/>
          <w:lang w:eastAsia="zh-CN"/>
        </w:rPr>
        <w:t>全国公路建设市场信用信息管理系统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中无法查询，但可在省级交通运输主管部门</w:t>
      </w:r>
      <w:r>
        <w:rPr>
          <w:rFonts w:hint="eastAsia" w:ascii="宋体" w:hAnsi="宋体" w:eastAsia="宋体" w:cs="宋体"/>
          <w:sz w:val="21"/>
          <w:szCs w:val="21"/>
          <w:lang w:eastAsia="zh-CN"/>
        </w:rPr>
        <w:t>“</w:t>
      </w:r>
      <w:r>
        <w:rPr>
          <w:rFonts w:hint="eastAsia" w:ascii="宋体" w:hAnsi="宋体" w:eastAsia="宋体"/>
          <w:sz w:val="21"/>
          <w:szCs w:val="21"/>
          <w:lang w:eastAsia="zh-CN"/>
        </w:rPr>
        <w:t>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中查询的，应附省级交通运输主管部门</w:t>
      </w:r>
      <w:r>
        <w:rPr>
          <w:rFonts w:hint="eastAsia" w:ascii="宋体" w:hAnsi="宋体" w:eastAsia="宋体" w:cs="宋体"/>
          <w:sz w:val="21"/>
          <w:szCs w:val="21"/>
          <w:lang w:eastAsia="zh-CN"/>
        </w:rPr>
        <w:t>“</w:t>
      </w:r>
      <w:r>
        <w:rPr>
          <w:rFonts w:hint="eastAsia" w:ascii="宋体" w:hAnsi="宋体" w:eastAsia="宋体"/>
          <w:sz w:val="21"/>
          <w:szCs w:val="21"/>
          <w:lang w:eastAsia="zh-CN"/>
        </w:rPr>
        <w:t>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中查询到的网页截图。除网页截图外，比选申请人无须再提供任何业绩证明材料。</w:t>
      </w:r>
    </w:p>
    <w:p w14:paraId="6477578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sz w:val="21"/>
          <w:szCs w:val="21"/>
          <w:lang w:eastAsia="zh-CN"/>
        </w:rPr>
        <w:t>如比选申请人未提供相关项目网页截图或相关项目网页截图中的信息无法证实比选申请人满足比选文件规定的资格审查条件（业绩最低要求），则该项目业绩不予认定</w:t>
      </w:r>
      <w:r>
        <w:rPr>
          <w:rFonts w:hint="eastAsia" w:ascii="宋体" w:hAnsi="宋体" w:eastAsia="宋体" w:cs="宋体"/>
          <w:sz w:val="21"/>
          <w:szCs w:val="21"/>
          <w:lang w:eastAsia="zh-CN"/>
        </w:rPr>
        <w:t>。</w:t>
      </w:r>
    </w:p>
    <w:p w14:paraId="2178B87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3.5.4“比选申请人的信誉情况表”应附比选申请人在国家企业信用信息公示系统中未被列入严重违法失信企业名单，在“信用中国”网站未被列入失信惩戒对象名单的网页截图。</w:t>
      </w:r>
    </w:p>
    <w:p w14:paraId="77AF872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14:paraId="688EFC0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拟委任的项目经理和项目总工资历表”还应附交通运输部“全国公路建设市场信用信息管理系统”中载明的、能够证明项目经理和项目总工具有相关业绩的网页截图。在交通运输部“全国公路建设市场信用信息管理系统”中无法查询，但可在省级交通运输主管部门“公路建设市场信用信息管理系统”中查询的，应附省级交通运输主管部门“公路建设市场信用信息管理系统”中查询到的网页截图。除网页截图复印件外，比选申请人无须再提供任何业绩证明材料。如比选申请人未提供相关业绩网页截图或相关业绩网页截图中的信息无法证实比选申请人满足比选文件规定的资格审查条件（项目经理和项目总工最低要求），则该业绩不予认定。</w:t>
      </w:r>
    </w:p>
    <w:p w14:paraId="4D9A9CE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3.5.6“拟委任的其他管理和技术人员汇总表”（如有）应按前附表规定填报满足本章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1.4.1</w:t>
      </w:r>
      <w:r>
        <w:rPr>
          <w:rFonts w:hint="eastAsia" w:ascii="宋体" w:hAnsi="宋体" w:eastAsia="宋体" w:cs="宋体"/>
          <w:sz w:val="21"/>
          <w:szCs w:val="21"/>
          <w:lang w:val="en-US" w:eastAsia="zh-CN"/>
        </w:rPr>
        <w:t xml:space="preserve"> 项</w:t>
      </w:r>
      <w:r>
        <w:rPr>
          <w:rFonts w:hint="eastAsia" w:ascii="宋体" w:hAnsi="宋体" w:eastAsia="宋体" w:cs="宋体"/>
          <w:sz w:val="21"/>
          <w:szCs w:val="21"/>
          <w:lang w:eastAsia="zh-CN"/>
        </w:rPr>
        <w:t>规定的其他人员的相关信息。</w:t>
      </w:r>
    </w:p>
    <w:p w14:paraId="26E89E7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3.5.7“拟投入本标段的主要施工机械表”“拟配备本标段的主要材料试验、测量、质检仪器设备表”（如有））应按前附表规定填报满足本章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 xml:space="preserve">1.4.1 </w:t>
      </w:r>
      <w:r>
        <w:rPr>
          <w:rFonts w:hint="eastAsia" w:ascii="宋体" w:hAnsi="宋体" w:eastAsia="宋体" w:cs="宋体"/>
          <w:sz w:val="21"/>
          <w:szCs w:val="21"/>
          <w:lang w:val="en-US" w:eastAsia="zh-CN"/>
        </w:rPr>
        <w:t>项</w:t>
      </w:r>
      <w:r>
        <w:rPr>
          <w:rFonts w:hint="eastAsia" w:ascii="宋体" w:hAnsi="宋体" w:eastAsia="宋体" w:cs="宋体"/>
          <w:sz w:val="21"/>
          <w:szCs w:val="21"/>
          <w:lang w:eastAsia="zh-CN"/>
        </w:rPr>
        <w:t>规定的机械设备和试验检测设备。</w:t>
      </w:r>
    </w:p>
    <w:p w14:paraId="0E959EE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3.5.8 比选申请人须知前附表规定接受联合体投标的，本章第3.5.1 项至第3.5.7 项规定的表格和资料应包括联合体各方相关情况。</w:t>
      </w:r>
    </w:p>
    <w:p w14:paraId="7EAF84E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3.5.9 除合同条款约定的特殊情形外，比选申请人在比选申请文件中填报的项目经理和项目总工不允许更换，否则将按合同条款的约定予以处罚。</w:t>
      </w:r>
    </w:p>
    <w:p w14:paraId="1D85F8B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3.5.10 比选申请人在比选申请文件中填报的资质、业绩、主要人员资历和目前在岗情况、信用等级等信息，应与其在交通运输部或</w:t>
      </w:r>
      <w:r>
        <w:rPr>
          <w:rFonts w:hint="eastAsia" w:ascii="宋体" w:hAnsi="宋体" w:eastAsia="宋体" w:cs="宋体"/>
          <w:sz w:val="21"/>
          <w:szCs w:val="21"/>
          <w:lang w:val="en-US" w:eastAsia="zh-CN"/>
        </w:rPr>
        <w:t>省级</w:t>
      </w:r>
      <w:r>
        <w:rPr>
          <w:rFonts w:hint="eastAsia" w:ascii="宋体" w:hAnsi="宋体" w:eastAsia="宋体" w:cs="宋体"/>
          <w:sz w:val="21"/>
          <w:szCs w:val="21"/>
          <w:lang w:eastAsia="zh-CN"/>
        </w:rPr>
        <w:t>交通行政主管部门“公路建设市场信用信息管理系统”上填报并发布的相关信息一致。比选申请人应根据本单位实际情况及时完成相关信息的申报、录入和动态更新，并对相关信息的真实性、完整性和准确性负责。</w:t>
      </w:r>
    </w:p>
    <w:p w14:paraId="30AA0B2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3.5.11 比选人有权核查比选申请人在资格预审申请文件和比选申请文件中提供的材料，若在评标期间发现比选申请人提供了虚假资料，其投标将被否决；若在签订合同前发现作为中标候选人的比选申请人提供了虚假资料，比选人有权取消其中标资格；若在合同实施期间发现比选申请人提供了虚假资料，比选人有权从工程支付款或履约保证金中扣除不超过10％签约合同价的金额作为违约金。同时比选人将比选申请人上述弄虚作假行为上报</w:t>
      </w:r>
      <w:r>
        <w:rPr>
          <w:rFonts w:hint="eastAsia" w:ascii="宋体" w:hAnsi="宋体" w:eastAsia="宋体" w:cs="宋体"/>
          <w:sz w:val="21"/>
          <w:szCs w:val="21"/>
          <w:lang w:val="en-US" w:eastAsia="zh-CN"/>
        </w:rPr>
        <w:t>省级</w:t>
      </w:r>
      <w:r>
        <w:rPr>
          <w:rFonts w:hint="eastAsia" w:ascii="宋体" w:hAnsi="宋体" w:eastAsia="宋体" w:cs="宋体"/>
          <w:sz w:val="21"/>
          <w:szCs w:val="21"/>
          <w:lang w:eastAsia="zh-CN"/>
        </w:rPr>
        <w:t>交通行政主管部门，作为不良记录纳入公路建设市场信用信息管理系统。</w:t>
      </w:r>
    </w:p>
    <w:p w14:paraId="639D74B4">
      <w:pPr>
        <w:pStyle w:val="5"/>
        <w:spacing w:before="0" w:after="0" w:line="360" w:lineRule="auto"/>
        <w:rPr>
          <w:rFonts w:ascii="宋体" w:hAnsi="宋体" w:cs="宋体"/>
          <w:sz w:val="21"/>
          <w:szCs w:val="21"/>
        </w:rPr>
      </w:pPr>
      <w:bookmarkStart w:id="132" w:name="_Toc12491"/>
      <w:r>
        <w:rPr>
          <w:rFonts w:hint="eastAsia" w:ascii="宋体" w:hAnsi="宋体" w:cs="宋体"/>
          <w:sz w:val="21"/>
          <w:szCs w:val="21"/>
        </w:rPr>
        <w:t>3.6 备选投标方案</w:t>
      </w:r>
      <w:bookmarkEnd w:id="132"/>
    </w:p>
    <w:p w14:paraId="57E08F9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3.6.1 除比选申请人须知前附表规定允许外，比选申请人不得递交备选投标方案，否则其投标将被否决。</w:t>
      </w:r>
    </w:p>
    <w:p w14:paraId="671E0F3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3.6.2 允许比选申请人递交备选投标方案的，只有中标人所递交的备选投标方案方可予以考虑。评标委员会认为中标人的备选投标方案优于其按照比选文件要求编制的投标方案的，比选人可以接受该备选投标方案。</w:t>
      </w:r>
    </w:p>
    <w:p w14:paraId="2169D8A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3.6.3 比选申请人提供两个或两个以上投标报价，或在比选申请文件中提供一个报价，但同时提供两个或两个以上施工组织设计的，视为提供备选方案。</w:t>
      </w:r>
    </w:p>
    <w:p w14:paraId="7CACA351">
      <w:pPr>
        <w:pStyle w:val="5"/>
        <w:spacing w:before="0" w:after="0" w:line="360" w:lineRule="auto"/>
        <w:rPr>
          <w:rFonts w:ascii="宋体" w:hAnsi="宋体" w:cs="宋体"/>
          <w:sz w:val="21"/>
          <w:szCs w:val="21"/>
        </w:rPr>
      </w:pPr>
      <w:bookmarkStart w:id="133" w:name="_Toc31831"/>
      <w:r>
        <w:rPr>
          <w:rFonts w:hint="eastAsia" w:ascii="宋体" w:hAnsi="宋体" w:cs="宋体"/>
          <w:sz w:val="21"/>
          <w:szCs w:val="21"/>
        </w:rPr>
        <w:t>3.7 比选申请文件的编制</w:t>
      </w:r>
      <w:bookmarkEnd w:id="133"/>
    </w:p>
    <w:p w14:paraId="4011214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3.7.1 比选申请文件应按第九章“比选申请文件格式”进行编写，如有必要，可以增加附页，作为比选申请文件的组成部分。其中，投标函附录在满足比选文件实质性要求的基础上，可以提出比比选文件要求更有利于比选人的承诺。</w:t>
      </w:r>
    </w:p>
    <w:p w14:paraId="3D4C8F5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3.7.2 比选申请文件应对比选文件有关工期、投标有效期、质量要求、安全目标、技术标准和要求、招标范围等实质性内容作出响应。</w:t>
      </w:r>
    </w:p>
    <w:p w14:paraId="7621FB8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3.7.3 比选申请文件的签名盖章要求：按本章比选申请人须知前附表第3.7.3项执行。</w:t>
      </w:r>
    </w:p>
    <w:p w14:paraId="6C45181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3.7.4 比选申请文件份数：比选申请人网上提交加密比选申请文件一份。</w:t>
      </w:r>
    </w:p>
    <w:p w14:paraId="33A85C0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3.7.5 比选申请文件应按规定格式排版，并编制目录，具体编制要求见比选申请人须知前附表规定。</w:t>
      </w:r>
    </w:p>
    <w:p w14:paraId="274CF949">
      <w:pPr>
        <w:pStyle w:val="4"/>
        <w:spacing w:before="0" w:after="0" w:line="360" w:lineRule="auto"/>
        <w:rPr>
          <w:rFonts w:ascii="宋体" w:hAnsi="宋体" w:cs="宋体"/>
          <w:sz w:val="28"/>
          <w:szCs w:val="28"/>
        </w:rPr>
      </w:pPr>
      <w:bookmarkStart w:id="134" w:name="_Toc17215"/>
      <w:r>
        <w:rPr>
          <w:rFonts w:hint="eastAsia" w:ascii="宋体" w:hAnsi="宋体" w:cs="宋体"/>
          <w:sz w:val="28"/>
          <w:szCs w:val="28"/>
        </w:rPr>
        <w:t>4. 投标</w:t>
      </w:r>
      <w:bookmarkEnd w:id="134"/>
    </w:p>
    <w:p w14:paraId="23B41342">
      <w:pPr>
        <w:pStyle w:val="5"/>
        <w:spacing w:before="0" w:after="0" w:line="360" w:lineRule="auto"/>
        <w:rPr>
          <w:rFonts w:ascii="宋体" w:hAnsi="宋体" w:cs="宋体"/>
          <w:sz w:val="21"/>
          <w:szCs w:val="21"/>
        </w:rPr>
      </w:pPr>
      <w:bookmarkStart w:id="135" w:name="_Toc18062"/>
      <w:r>
        <w:rPr>
          <w:rFonts w:hint="eastAsia" w:ascii="宋体" w:hAnsi="宋体" w:cs="宋体"/>
          <w:sz w:val="21"/>
          <w:szCs w:val="21"/>
        </w:rPr>
        <w:t>4.1 比选申请文件的密封和标识</w:t>
      </w:r>
      <w:bookmarkEnd w:id="135"/>
    </w:p>
    <w:p w14:paraId="50AEF6D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4.1.1 比选申请文件的密封：见比选申请人须知前附表。</w:t>
      </w:r>
    </w:p>
    <w:p w14:paraId="118758F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4.1.2 比选申请文件</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封套上应写明的内容：见比选申请人须知前附表。</w:t>
      </w:r>
    </w:p>
    <w:p w14:paraId="2FFEF7EA">
      <w:pPr>
        <w:pStyle w:val="5"/>
        <w:spacing w:before="0" w:after="0" w:line="360" w:lineRule="auto"/>
        <w:rPr>
          <w:rFonts w:ascii="宋体" w:hAnsi="宋体" w:cs="宋体"/>
          <w:sz w:val="21"/>
          <w:szCs w:val="21"/>
        </w:rPr>
      </w:pPr>
      <w:bookmarkStart w:id="136" w:name="_Toc30332"/>
      <w:r>
        <w:rPr>
          <w:rFonts w:hint="eastAsia" w:ascii="宋体" w:hAnsi="宋体" w:cs="宋体"/>
          <w:sz w:val="21"/>
          <w:szCs w:val="21"/>
        </w:rPr>
        <w:t>4.2比选申请文件的递交</w:t>
      </w:r>
      <w:bookmarkEnd w:id="136"/>
    </w:p>
    <w:p w14:paraId="0FF9510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4.2.1 比选申请人应在比选申请人须知前附表第 2.2.2 项规定的投标截止时间前递交比选申请文件。。</w:t>
      </w:r>
    </w:p>
    <w:p w14:paraId="002164A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4.2.2 比选申请人递交比选申请文件的地点：见比选申请人须知前附表。</w:t>
      </w:r>
    </w:p>
    <w:p w14:paraId="6AF2B8A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4.2.3 除比选申请人须知前附表另有规定外，比选申请人所递交的比选申请文件不予退还。</w:t>
      </w:r>
    </w:p>
    <w:p w14:paraId="32BFB02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4.2.4比选人收到比选申请文件后，由重庆市电子招投标系统向比选申请人出具签收凭证。</w:t>
      </w:r>
    </w:p>
    <w:p w14:paraId="6A6A283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 xml:space="preserve"> 逾期送达的或者未送达指定地点的比选申请文件，比选人不予受理。</w:t>
      </w:r>
    </w:p>
    <w:p w14:paraId="3BAEF7AC">
      <w:pPr>
        <w:pStyle w:val="5"/>
        <w:spacing w:before="0" w:after="0" w:line="360" w:lineRule="auto"/>
        <w:rPr>
          <w:rFonts w:ascii="宋体" w:hAnsi="宋体" w:cs="宋体"/>
          <w:sz w:val="21"/>
          <w:szCs w:val="21"/>
        </w:rPr>
      </w:pPr>
      <w:bookmarkStart w:id="137" w:name="_Toc13142"/>
      <w:r>
        <w:rPr>
          <w:rFonts w:hint="eastAsia" w:ascii="宋体" w:hAnsi="宋体" w:cs="宋体"/>
          <w:sz w:val="21"/>
          <w:szCs w:val="21"/>
        </w:rPr>
        <w:t>4.3 比选申请文件的修改与撤回</w:t>
      </w:r>
      <w:bookmarkEnd w:id="137"/>
    </w:p>
    <w:p w14:paraId="7043A1E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 xml:space="preserve">4.3.1 </w:t>
      </w:r>
      <w:r>
        <w:rPr>
          <w:rFonts w:ascii="宋体" w:hAnsi="宋体" w:eastAsia="宋体"/>
          <w:snapToGrid w:val="0"/>
          <w:sz w:val="21"/>
          <w:szCs w:val="21"/>
          <w:lang w:eastAsia="zh-CN"/>
        </w:rPr>
        <w:t>在</w:t>
      </w:r>
      <w:r>
        <w:rPr>
          <w:rFonts w:hint="eastAsia" w:ascii="宋体" w:hAnsi="宋体" w:eastAsia="宋体"/>
          <w:snapToGrid w:val="0"/>
          <w:sz w:val="21"/>
          <w:szCs w:val="21"/>
          <w:lang w:eastAsia="zh-CN"/>
        </w:rPr>
        <w:t>比选申请人</w:t>
      </w:r>
      <w:r>
        <w:rPr>
          <w:rFonts w:ascii="宋体" w:hAnsi="宋体" w:eastAsia="宋体"/>
          <w:snapToGrid w:val="0"/>
          <w:sz w:val="21"/>
          <w:szCs w:val="21"/>
          <w:lang w:eastAsia="zh-CN"/>
        </w:rPr>
        <w:t>须知前附表第2.2.2项规定的投标截止时间前</w:t>
      </w:r>
      <w:r>
        <w:rPr>
          <w:rFonts w:hint="eastAsia" w:ascii="宋体" w:hAnsi="宋体" w:eastAsia="宋体" w:cs="宋体"/>
          <w:sz w:val="21"/>
          <w:szCs w:val="21"/>
          <w:lang w:eastAsia="zh-CN"/>
        </w:rPr>
        <w:t>，比选申请人可以修改或撤回已递交的比选申请文件。</w:t>
      </w:r>
      <w:r>
        <w:rPr>
          <w:rFonts w:hint="eastAsia" w:ascii="宋体" w:hAnsi="宋体" w:eastAsia="宋体" w:cs="宋体"/>
          <w:sz w:val="21"/>
          <w:szCs w:val="21"/>
          <w:lang w:val="en-US" w:eastAsia="zh-CN"/>
        </w:rPr>
        <w:t>比选申请人修改比选申请文件的，</w:t>
      </w:r>
      <w:r>
        <w:rPr>
          <w:rFonts w:hint="eastAsia" w:ascii="宋体" w:hAnsi="宋体" w:eastAsia="宋体" w:cs="宋体"/>
          <w:sz w:val="21"/>
          <w:szCs w:val="21"/>
          <w:lang w:eastAsia="zh-CN"/>
        </w:rPr>
        <w:t>应按照本章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3.7.3 项的要求重新对比选申请文件进行电子签章，再</w:t>
      </w:r>
      <w:r>
        <w:rPr>
          <w:rFonts w:hint="eastAsia" w:ascii="宋体" w:hAnsi="宋体" w:eastAsia="宋体" w:cs="宋体"/>
          <w:sz w:val="21"/>
          <w:szCs w:val="21"/>
          <w:lang w:val="en-US" w:eastAsia="zh-CN"/>
        </w:rPr>
        <w:t>按照</w:t>
      </w:r>
      <w:r>
        <w:rPr>
          <w:rFonts w:hint="eastAsia" w:ascii="宋体" w:hAnsi="宋体" w:eastAsia="宋体" w:cs="宋体"/>
          <w:sz w:val="21"/>
          <w:szCs w:val="21"/>
          <w:lang w:eastAsia="zh-CN"/>
        </w:rPr>
        <w:t>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 xml:space="preserve">4.2 </w:t>
      </w:r>
      <w:r>
        <w:rPr>
          <w:rFonts w:hint="eastAsia" w:ascii="宋体" w:hAnsi="宋体" w:eastAsia="宋体" w:cs="宋体"/>
          <w:sz w:val="21"/>
          <w:szCs w:val="21"/>
          <w:lang w:val="en-US" w:eastAsia="zh-CN"/>
        </w:rPr>
        <w:t>款</w:t>
      </w:r>
      <w:r>
        <w:rPr>
          <w:rFonts w:hint="eastAsia" w:ascii="宋体" w:hAnsi="宋体" w:eastAsia="宋体" w:cs="宋体"/>
          <w:sz w:val="21"/>
          <w:szCs w:val="21"/>
          <w:lang w:eastAsia="zh-CN"/>
        </w:rPr>
        <w:t>的要求提交。</w:t>
      </w:r>
    </w:p>
    <w:p w14:paraId="5B767221">
      <w:pPr>
        <w:pStyle w:val="4"/>
        <w:spacing w:before="0" w:after="0" w:line="360" w:lineRule="auto"/>
        <w:rPr>
          <w:rFonts w:ascii="宋体" w:hAnsi="宋体" w:cs="宋体"/>
          <w:sz w:val="28"/>
          <w:szCs w:val="28"/>
        </w:rPr>
      </w:pPr>
      <w:bookmarkStart w:id="138" w:name="_Toc26694"/>
      <w:r>
        <w:rPr>
          <w:rFonts w:hint="eastAsia" w:ascii="宋体" w:hAnsi="宋体" w:cs="宋体"/>
          <w:sz w:val="28"/>
          <w:szCs w:val="28"/>
        </w:rPr>
        <w:t>5. 开标</w:t>
      </w:r>
      <w:bookmarkEnd w:id="138"/>
    </w:p>
    <w:p w14:paraId="40B498E8">
      <w:pPr>
        <w:pStyle w:val="5"/>
        <w:spacing w:before="0" w:after="0" w:line="360" w:lineRule="auto"/>
        <w:rPr>
          <w:rFonts w:ascii="宋体" w:hAnsi="宋体" w:cs="宋体"/>
          <w:sz w:val="21"/>
          <w:szCs w:val="21"/>
        </w:rPr>
      </w:pPr>
      <w:bookmarkStart w:id="139" w:name="_Toc21162"/>
      <w:r>
        <w:rPr>
          <w:rFonts w:hint="eastAsia" w:ascii="宋体" w:hAnsi="宋体" w:cs="宋体"/>
          <w:sz w:val="21"/>
          <w:szCs w:val="21"/>
        </w:rPr>
        <w:t>5.1 开标时间和地点</w:t>
      </w:r>
      <w:bookmarkEnd w:id="139"/>
    </w:p>
    <w:p w14:paraId="1CA9F23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5.1.1</w:t>
      </w:r>
      <w:r>
        <w:rPr>
          <w:rFonts w:hint="eastAsia" w:ascii="宋体" w:hAnsi="宋体" w:eastAsia="宋体" w:cs="宋体"/>
          <w:sz w:val="21"/>
          <w:szCs w:val="21"/>
          <w:lang w:eastAsia="zh-CN"/>
        </w:rPr>
        <w:t>比选人在本章第 4.2.1 项规定的投标截止时间（开标时间）和比选申请人须知前附表规定的地点对收到的比选申请文件公开开标，并邀请所有比选申请人的法定代表人或其委托代理人准时参加。</w:t>
      </w:r>
    </w:p>
    <w:p w14:paraId="1FFFDE7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比选申请人若未派法定代表人或委托代理人出席开标活动，视为该比选申请人默认开标结果。</w:t>
      </w:r>
    </w:p>
    <w:p w14:paraId="3974920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5.1.2</w:t>
      </w:r>
      <w:r>
        <w:rPr>
          <w:rFonts w:hint="eastAsia" w:ascii="宋体" w:hAnsi="宋体" w:eastAsia="宋体"/>
          <w:snapToGrid w:val="0"/>
          <w:sz w:val="21"/>
          <w:szCs w:val="21"/>
          <w:lang w:eastAsia="zh-CN"/>
        </w:rPr>
        <w:t>比选申请人在比选申请人须知前附表第 5.1.2 项规定的解密时间内在线或到开标现场完成比选申请文件解密工作</w:t>
      </w:r>
      <w:r>
        <w:rPr>
          <w:rFonts w:hint="eastAsia" w:ascii="宋体" w:hAnsi="宋体" w:eastAsia="宋体" w:cs="宋体"/>
          <w:sz w:val="21"/>
          <w:szCs w:val="21"/>
          <w:lang w:eastAsia="zh-CN"/>
        </w:rPr>
        <w:t>。</w:t>
      </w:r>
    </w:p>
    <w:p w14:paraId="67070B48">
      <w:pPr>
        <w:pStyle w:val="5"/>
        <w:spacing w:before="0" w:after="0" w:line="360" w:lineRule="auto"/>
        <w:rPr>
          <w:rFonts w:ascii="宋体" w:hAnsi="宋体" w:cs="宋体"/>
          <w:sz w:val="21"/>
          <w:szCs w:val="21"/>
        </w:rPr>
      </w:pPr>
      <w:bookmarkStart w:id="140" w:name="_Toc21717"/>
      <w:r>
        <w:rPr>
          <w:rFonts w:hint="eastAsia" w:ascii="宋体" w:hAnsi="宋体" w:cs="宋体"/>
          <w:sz w:val="21"/>
          <w:szCs w:val="21"/>
        </w:rPr>
        <w:t>5.2开标程序</w:t>
      </w:r>
      <w:bookmarkEnd w:id="140"/>
    </w:p>
    <w:p w14:paraId="5DE2A418">
      <w:pPr>
        <w:pStyle w:val="70"/>
        <w:spacing w:before="0" w:after="0" w:line="360" w:lineRule="auto"/>
        <w:ind w:firstLine="420" w:firstLineChars="200"/>
        <w:jc w:val="left"/>
        <w:rPr>
          <w:rFonts w:ascii="宋体" w:hAnsi="宋体" w:eastAsia="宋体" w:cs="宋体"/>
          <w:sz w:val="21"/>
          <w:szCs w:val="21"/>
          <w:lang w:eastAsia="zh-CN"/>
        </w:rPr>
      </w:pPr>
      <w:r>
        <w:rPr>
          <w:rFonts w:ascii="宋体" w:hAnsi="宋体" w:eastAsia="宋体"/>
          <w:sz w:val="21"/>
          <w:szCs w:val="21"/>
          <w:lang w:eastAsia="zh-CN"/>
        </w:rPr>
        <w:t>详见</w:t>
      </w:r>
      <w:r>
        <w:rPr>
          <w:rFonts w:hint="eastAsia" w:ascii="宋体" w:hAnsi="宋体" w:eastAsia="宋体"/>
          <w:sz w:val="21"/>
          <w:szCs w:val="21"/>
          <w:lang w:eastAsia="zh-CN"/>
        </w:rPr>
        <w:t>比选申请人</w:t>
      </w:r>
      <w:r>
        <w:rPr>
          <w:rFonts w:ascii="宋体" w:hAnsi="宋体" w:eastAsia="宋体"/>
          <w:sz w:val="21"/>
          <w:szCs w:val="21"/>
          <w:lang w:eastAsia="zh-CN"/>
        </w:rPr>
        <w:t>须知前附表第5.2款开标程序</w:t>
      </w:r>
      <w:r>
        <w:rPr>
          <w:rFonts w:hint="eastAsia" w:ascii="宋体" w:hAnsi="宋体" w:eastAsia="宋体" w:cs="宋体"/>
          <w:sz w:val="21"/>
          <w:szCs w:val="21"/>
          <w:lang w:eastAsia="zh-CN"/>
        </w:rPr>
        <w:t>。</w:t>
      </w:r>
    </w:p>
    <w:p w14:paraId="1FB935E0">
      <w:pPr>
        <w:pStyle w:val="5"/>
        <w:spacing w:before="0" w:after="0" w:line="360" w:lineRule="auto"/>
        <w:rPr>
          <w:rFonts w:ascii="宋体" w:hAnsi="宋体" w:cs="宋体"/>
          <w:sz w:val="21"/>
          <w:szCs w:val="21"/>
        </w:rPr>
      </w:pPr>
      <w:bookmarkStart w:id="141" w:name="_Toc13179"/>
      <w:r>
        <w:rPr>
          <w:rFonts w:hint="eastAsia" w:ascii="宋体" w:hAnsi="宋体" w:cs="宋体"/>
          <w:sz w:val="21"/>
          <w:szCs w:val="21"/>
        </w:rPr>
        <w:t>5.3 开标异议</w:t>
      </w:r>
      <w:bookmarkEnd w:id="141"/>
    </w:p>
    <w:p w14:paraId="39A1B0B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对开标有异议的，应在开标现场提出，开标现场提出异议的，应出示法定代表人身份证明或附有法定代表人身份证明的授权委托书。比选人当场作出答复，并制作记录，有异议的比选申请人代表、比选人代表、记录人等有关人员在记录上签名确认。</w:t>
      </w:r>
    </w:p>
    <w:p w14:paraId="08EC0787">
      <w:pPr>
        <w:pStyle w:val="4"/>
        <w:spacing w:before="0" w:after="0" w:line="360" w:lineRule="auto"/>
        <w:rPr>
          <w:rFonts w:ascii="宋体" w:hAnsi="宋体" w:cs="宋体"/>
          <w:sz w:val="28"/>
          <w:szCs w:val="28"/>
        </w:rPr>
      </w:pPr>
      <w:bookmarkStart w:id="142" w:name="_Toc11399"/>
      <w:r>
        <w:rPr>
          <w:rFonts w:hint="eastAsia" w:ascii="宋体" w:hAnsi="宋体" w:cs="宋体"/>
          <w:sz w:val="28"/>
          <w:szCs w:val="28"/>
        </w:rPr>
        <w:t>6. 评标</w:t>
      </w:r>
      <w:bookmarkEnd w:id="142"/>
    </w:p>
    <w:p w14:paraId="4B84D646">
      <w:pPr>
        <w:pStyle w:val="5"/>
        <w:spacing w:before="0" w:after="0" w:line="360" w:lineRule="auto"/>
        <w:rPr>
          <w:rFonts w:ascii="宋体" w:hAnsi="宋体" w:cs="宋体"/>
          <w:sz w:val="21"/>
          <w:szCs w:val="21"/>
        </w:rPr>
      </w:pPr>
      <w:bookmarkStart w:id="143" w:name="_Toc29978"/>
      <w:r>
        <w:rPr>
          <w:rFonts w:hint="eastAsia" w:ascii="宋体" w:hAnsi="宋体" w:cs="宋体"/>
          <w:sz w:val="21"/>
          <w:szCs w:val="21"/>
        </w:rPr>
        <w:t>6.1 评标委员会</w:t>
      </w:r>
      <w:bookmarkEnd w:id="143"/>
    </w:p>
    <w:p w14:paraId="22C9EBC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6.1.1</w:t>
      </w:r>
      <w:r>
        <w:rPr>
          <w:rFonts w:hint="eastAsia" w:ascii="宋体" w:hAnsi="宋体" w:eastAsia="宋体" w:cs="宋体"/>
          <w:sz w:val="21"/>
          <w:szCs w:val="21"/>
          <w:lang w:val="en-US" w:eastAsia="zh-CN"/>
        </w:rPr>
        <w:t>评标委员会的组建：</w:t>
      </w:r>
      <w:r>
        <w:rPr>
          <w:rFonts w:hint="eastAsia" w:ascii="宋体" w:hAnsi="宋体" w:eastAsia="宋体" w:cs="宋体"/>
          <w:sz w:val="21"/>
          <w:szCs w:val="21"/>
          <w:lang w:eastAsia="zh-CN"/>
        </w:rPr>
        <w:t>见比选申请人须知前附表。</w:t>
      </w:r>
    </w:p>
    <w:p w14:paraId="276E610D">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6.1.2 评标委员会成员有下列情形之一的，应主动提出回避：</w:t>
      </w:r>
    </w:p>
    <w:p w14:paraId="01B5C944">
      <w:pPr>
        <w:spacing w:line="360" w:lineRule="auto"/>
        <w:ind w:firstLine="420" w:firstLineChars="200"/>
        <w:rPr>
          <w:rFonts w:ascii="宋体" w:hAnsi="宋体"/>
          <w:szCs w:val="21"/>
        </w:rPr>
      </w:pPr>
      <w:r>
        <w:rPr>
          <w:rFonts w:hint="eastAsia" w:ascii="宋体" w:hAnsi="宋体"/>
          <w:szCs w:val="21"/>
        </w:rPr>
        <w:t>（1）为负责招标项目监督管理的交通运输主管部门的工作人员，或招标项目的主管部门的工作人员，或对该项目有监督职责的行政监督部门的工作人员；</w:t>
      </w:r>
    </w:p>
    <w:p w14:paraId="53A30665">
      <w:pPr>
        <w:spacing w:line="360" w:lineRule="auto"/>
        <w:ind w:firstLine="420" w:firstLineChars="200"/>
        <w:rPr>
          <w:rFonts w:ascii="宋体" w:hAnsi="宋体"/>
          <w:szCs w:val="21"/>
        </w:rPr>
      </w:pPr>
      <w:r>
        <w:rPr>
          <w:rFonts w:hint="eastAsia" w:ascii="宋体" w:hAnsi="宋体"/>
          <w:szCs w:val="21"/>
        </w:rPr>
        <w:t>（2）比选人或招标代理机构主要负责人的近亲属，或与比选申请人法定代表人或其委托代理人有近亲属关系；</w:t>
      </w:r>
    </w:p>
    <w:p w14:paraId="3D9FC515">
      <w:pPr>
        <w:spacing w:line="360" w:lineRule="auto"/>
        <w:ind w:firstLine="420" w:firstLineChars="200"/>
        <w:rPr>
          <w:rFonts w:ascii="宋体" w:hAnsi="宋体"/>
          <w:szCs w:val="21"/>
        </w:rPr>
      </w:pPr>
      <w:r>
        <w:rPr>
          <w:rFonts w:hint="eastAsia" w:ascii="宋体" w:hAnsi="宋体"/>
          <w:szCs w:val="21"/>
        </w:rPr>
        <w:t>（3）为比选申请人的工作人员或退休人员；</w:t>
      </w:r>
    </w:p>
    <w:p w14:paraId="609BC381">
      <w:pPr>
        <w:spacing w:line="360" w:lineRule="auto"/>
        <w:ind w:firstLine="420" w:firstLineChars="200"/>
        <w:rPr>
          <w:rFonts w:ascii="宋体" w:hAnsi="宋体"/>
          <w:szCs w:val="21"/>
        </w:rPr>
      </w:pPr>
      <w:r>
        <w:rPr>
          <w:rFonts w:hint="eastAsia" w:ascii="宋体" w:hAnsi="宋体"/>
          <w:szCs w:val="21"/>
        </w:rPr>
        <w:t>（4）与比选申请人有其他利害关系，可能影响评标活动公正性；</w:t>
      </w:r>
    </w:p>
    <w:p w14:paraId="625EB6C3">
      <w:pPr>
        <w:spacing w:line="360" w:lineRule="auto"/>
        <w:ind w:firstLine="420" w:firstLineChars="200"/>
        <w:rPr>
          <w:rFonts w:ascii="宋体" w:hAnsi="宋体"/>
          <w:szCs w:val="21"/>
        </w:rPr>
      </w:pPr>
      <w:r>
        <w:rPr>
          <w:rFonts w:hint="eastAsia" w:ascii="宋体" w:hAnsi="宋体"/>
          <w:szCs w:val="21"/>
        </w:rPr>
        <w:t>（5）在与招标投标有关的活动中有过违法违规行为、曾受过行政处罚或刑事处罚；</w:t>
      </w:r>
    </w:p>
    <w:p w14:paraId="7C935FB3">
      <w:pPr>
        <w:spacing w:line="360" w:lineRule="auto"/>
        <w:ind w:firstLine="420" w:firstLineChars="200"/>
        <w:rPr>
          <w:rFonts w:ascii="宋体" w:hAnsi="宋体"/>
          <w:szCs w:val="21"/>
        </w:rPr>
      </w:pPr>
      <w:r>
        <w:rPr>
          <w:rFonts w:hint="eastAsia" w:ascii="宋体" w:hAnsi="宋体"/>
          <w:szCs w:val="21"/>
        </w:rPr>
        <w:t>（6）比选人及其子公司、比选人的上级主管部门或者控股公司、招标代理机构的工作人员或者退休人员；</w:t>
      </w:r>
    </w:p>
    <w:p w14:paraId="2233F2F3">
      <w:pPr>
        <w:spacing w:line="360" w:lineRule="auto"/>
        <w:ind w:firstLine="420" w:firstLineChars="200"/>
        <w:rPr>
          <w:rFonts w:ascii="宋体" w:hAnsi="宋体"/>
          <w:szCs w:val="21"/>
        </w:rPr>
      </w:pPr>
      <w:r>
        <w:rPr>
          <w:rFonts w:hint="eastAsia" w:ascii="宋体" w:hAnsi="宋体"/>
          <w:szCs w:val="21"/>
        </w:rPr>
        <w:t>（7）近3年在比选人、比选申请人或招标代理机构工作过的人员。</w:t>
      </w:r>
    </w:p>
    <w:p w14:paraId="3071E24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14:paraId="733B8D33">
      <w:pPr>
        <w:pStyle w:val="5"/>
        <w:spacing w:before="0" w:after="0" w:line="360" w:lineRule="auto"/>
        <w:rPr>
          <w:rFonts w:ascii="宋体" w:hAnsi="宋体" w:cs="宋体"/>
          <w:sz w:val="21"/>
          <w:szCs w:val="21"/>
        </w:rPr>
      </w:pPr>
      <w:bookmarkStart w:id="144" w:name="_Toc26662"/>
      <w:r>
        <w:rPr>
          <w:rFonts w:hint="eastAsia" w:ascii="宋体" w:hAnsi="宋体" w:cs="宋体"/>
          <w:sz w:val="21"/>
          <w:szCs w:val="21"/>
        </w:rPr>
        <w:t>6.2 评标原则</w:t>
      </w:r>
      <w:bookmarkEnd w:id="144"/>
    </w:p>
    <w:p w14:paraId="6A3ECFB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评标活动遵循公平、公正、科学和择优的原则。</w:t>
      </w:r>
    </w:p>
    <w:p w14:paraId="56EA1A84">
      <w:pPr>
        <w:pStyle w:val="5"/>
        <w:spacing w:before="0" w:after="0" w:line="360" w:lineRule="auto"/>
        <w:rPr>
          <w:rFonts w:ascii="宋体" w:hAnsi="宋体" w:cs="宋体"/>
          <w:sz w:val="21"/>
          <w:szCs w:val="21"/>
        </w:rPr>
      </w:pPr>
      <w:bookmarkStart w:id="145" w:name="_Toc12518"/>
      <w:r>
        <w:rPr>
          <w:rFonts w:hint="eastAsia" w:ascii="宋体" w:hAnsi="宋体" w:cs="宋体"/>
          <w:sz w:val="21"/>
          <w:szCs w:val="21"/>
        </w:rPr>
        <w:t>6.3 评标</w:t>
      </w:r>
      <w:bookmarkEnd w:id="145"/>
    </w:p>
    <w:p w14:paraId="365125E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6.3.1</w:t>
      </w:r>
      <w:r>
        <w:rPr>
          <w:rFonts w:hint="eastAsia" w:ascii="宋体" w:hAnsi="宋体" w:eastAsia="宋体" w:cs="宋体"/>
          <w:sz w:val="21"/>
          <w:szCs w:val="21"/>
          <w:lang w:eastAsia="zh-CN"/>
        </w:rPr>
        <w:t>评标委员会按照第三章“评标办法”规定的方法、评审因素、标准和程序对比选申请文件进行评审。第三章“评标办法”没有规定的方法、评审因素和标准，不作为评标依据。</w:t>
      </w:r>
    </w:p>
    <w:p w14:paraId="6DA0DAB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6.3.2</w:t>
      </w:r>
      <w:r>
        <w:rPr>
          <w:rFonts w:hint="eastAsia" w:ascii="宋体" w:hAnsi="宋体" w:eastAsia="宋体" w:cs="宋体"/>
          <w:sz w:val="21"/>
          <w:szCs w:val="21"/>
          <w:lang w:eastAsia="zh-CN"/>
        </w:rPr>
        <w:t>评标完成后，评标委员会应向比选人提交书面评标报告和中标候选人名单。评标委员会推荐中标候选人的人数见比选申请人须知前附表。</w:t>
      </w:r>
    </w:p>
    <w:p w14:paraId="67FCF368">
      <w:pPr>
        <w:pStyle w:val="4"/>
        <w:spacing w:before="0" w:after="0" w:line="360" w:lineRule="auto"/>
        <w:rPr>
          <w:rFonts w:ascii="宋体" w:hAnsi="宋体" w:cs="宋体"/>
          <w:sz w:val="28"/>
          <w:szCs w:val="28"/>
        </w:rPr>
      </w:pPr>
      <w:bookmarkStart w:id="146" w:name="_Toc6251"/>
      <w:r>
        <w:rPr>
          <w:rFonts w:hint="eastAsia" w:ascii="宋体" w:hAnsi="宋体" w:cs="宋体"/>
          <w:sz w:val="28"/>
          <w:szCs w:val="28"/>
        </w:rPr>
        <w:t>7. 合同授予</w:t>
      </w:r>
      <w:bookmarkEnd w:id="146"/>
    </w:p>
    <w:p w14:paraId="0FF48396">
      <w:pPr>
        <w:pStyle w:val="5"/>
        <w:spacing w:before="0" w:after="0" w:line="360" w:lineRule="auto"/>
        <w:rPr>
          <w:rFonts w:ascii="宋体" w:hAnsi="宋体" w:cs="宋体"/>
          <w:sz w:val="21"/>
          <w:szCs w:val="21"/>
        </w:rPr>
      </w:pPr>
      <w:bookmarkStart w:id="147" w:name="_Toc26168"/>
      <w:r>
        <w:rPr>
          <w:rFonts w:hint="eastAsia" w:ascii="宋体" w:hAnsi="宋体" w:cs="宋体"/>
          <w:sz w:val="21"/>
          <w:szCs w:val="21"/>
        </w:rPr>
        <w:t>7.1 中标候选人公示</w:t>
      </w:r>
      <w:bookmarkEnd w:id="147"/>
    </w:p>
    <w:p w14:paraId="3F62D83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比选人在收到评标报告之日起 3 日内，按照比选申请人须知前附表规定的公示媒介和期限公示中标候选人，公示期不得少于 3 日，公示内容包括：</w:t>
      </w:r>
    </w:p>
    <w:p w14:paraId="2CCD5F9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（1）中标候选人排序、名称、投标报价，对工程质量要求、安全目标和工期的响应情况；</w:t>
      </w:r>
    </w:p>
    <w:p w14:paraId="365CDC9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（2）中标候选人在比选申请文件中承诺的项目经理和项目总工姓名、个人业绩、相关证书名称和编号；</w:t>
      </w:r>
    </w:p>
    <w:p w14:paraId="0D5E257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（3）中标候选人在比选申请文件中填报的项目业绩；</w:t>
      </w:r>
    </w:p>
    <w:p w14:paraId="0B6A108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（4）被否决投标的比选申请人名称、否决依据和原因；</w:t>
      </w:r>
    </w:p>
    <w:p w14:paraId="0D5A6F1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（5）提出异议的渠道和方式；</w:t>
      </w:r>
    </w:p>
    <w:p w14:paraId="48ABC75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（6）比选申请人须知前附表规定公示的其他内容。</w:t>
      </w:r>
    </w:p>
    <w:p w14:paraId="7BD2AAC6">
      <w:pPr>
        <w:pStyle w:val="5"/>
        <w:spacing w:before="0" w:after="0" w:line="360" w:lineRule="auto"/>
        <w:rPr>
          <w:rFonts w:ascii="宋体" w:hAnsi="宋体" w:cs="宋体"/>
          <w:sz w:val="21"/>
          <w:szCs w:val="21"/>
        </w:rPr>
      </w:pPr>
      <w:bookmarkStart w:id="148" w:name="_Toc21166"/>
      <w:r>
        <w:rPr>
          <w:rFonts w:hint="eastAsia" w:ascii="宋体" w:hAnsi="宋体" w:cs="宋体"/>
          <w:sz w:val="21"/>
          <w:szCs w:val="21"/>
        </w:rPr>
        <w:t>7.2 评标结果异议</w:t>
      </w:r>
      <w:bookmarkEnd w:id="148"/>
    </w:p>
    <w:p w14:paraId="3DF5598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比选申请人或其他利害关系人对依法必须进行招标的项目的评标结果有异议的，应在中标候选人公示期间提出。比选人将在收到异议之日起 3 日内作出答复；作出答复前，将暂停招标投标活动。</w:t>
      </w:r>
    </w:p>
    <w:p w14:paraId="30647D6A">
      <w:pPr>
        <w:pStyle w:val="5"/>
        <w:spacing w:before="0" w:after="0" w:line="360" w:lineRule="auto"/>
        <w:rPr>
          <w:rFonts w:ascii="宋体" w:hAnsi="宋体" w:cs="宋体"/>
          <w:sz w:val="21"/>
          <w:szCs w:val="21"/>
        </w:rPr>
      </w:pPr>
      <w:bookmarkStart w:id="149" w:name="_Toc8937"/>
      <w:r>
        <w:rPr>
          <w:rFonts w:hint="eastAsia" w:ascii="宋体" w:hAnsi="宋体" w:cs="宋体"/>
          <w:sz w:val="21"/>
          <w:szCs w:val="21"/>
        </w:rPr>
        <w:t>7.3 中标候选人履约能力审查</w:t>
      </w:r>
      <w:bookmarkEnd w:id="149"/>
    </w:p>
    <w:p w14:paraId="38DC4A4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中标候选人的经营、财务状况发生较大变化或存在违法行为，比选人认为可能影响其履约能力的，将在发出中标通知书前提请原评标委员会按照比选文件规定的标准和方法进行审查确认。</w:t>
      </w:r>
    </w:p>
    <w:p w14:paraId="6D3116F0">
      <w:pPr>
        <w:pStyle w:val="5"/>
        <w:spacing w:before="0" w:after="0" w:line="360" w:lineRule="auto"/>
        <w:rPr>
          <w:rFonts w:ascii="宋体" w:hAnsi="宋体" w:cs="宋体"/>
          <w:sz w:val="21"/>
          <w:szCs w:val="21"/>
        </w:rPr>
      </w:pPr>
      <w:bookmarkStart w:id="150" w:name="_Toc27604"/>
      <w:r>
        <w:rPr>
          <w:rFonts w:hint="eastAsia" w:ascii="宋体" w:hAnsi="宋体" w:cs="宋体"/>
          <w:sz w:val="21"/>
          <w:szCs w:val="21"/>
        </w:rPr>
        <w:t>7.4 定标</w:t>
      </w:r>
      <w:bookmarkEnd w:id="150"/>
    </w:p>
    <w:p w14:paraId="1DF77CC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按照比选申请人须知前附表的规定，比选人或比选人授权的评标委员会依法确定中标人。</w:t>
      </w:r>
    </w:p>
    <w:p w14:paraId="62E09A28">
      <w:pPr>
        <w:pStyle w:val="5"/>
        <w:spacing w:before="0" w:after="0" w:line="360" w:lineRule="auto"/>
        <w:rPr>
          <w:rFonts w:ascii="宋体" w:hAnsi="宋体" w:cs="宋体"/>
          <w:sz w:val="21"/>
          <w:szCs w:val="21"/>
        </w:rPr>
      </w:pPr>
      <w:bookmarkStart w:id="151" w:name="_Toc13549"/>
      <w:r>
        <w:rPr>
          <w:rFonts w:hint="eastAsia" w:ascii="宋体" w:hAnsi="宋体" w:cs="宋体"/>
          <w:sz w:val="21"/>
          <w:szCs w:val="21"/>
        </w:rPr>
        <w:t>7.5 中标通知</w:t>
      </w:r>
      <w:bookmarkEnd w:id="151"/>
    </w:p>
    <w:p w14:paraId="2E24C07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在本章第 3.3 款规定的投标有效期内，比选人以比选申请人须知前附表规定的形式向中标人发出中标通知书，同时将中标结果通知未中标的比选申请人。</w:t>
      </w:r>
    </w:p>
    <w:p w14:paraId="572A8F30">
      <w:pPr>
        <w:pStyle w:val="5"/>
        <w:spacing w:before="0" w:after="0" w:line="360" w:lineRule="auto"/>
        <w:rPr>
          <w:rFonts w:ascii="宋体" w:hAnsi="宋体" w:cs="宋体"/>
          <w:sz w:val="21"/>
          <w:szCs w:val="21"/>
        </w:rPr>
      </w:pPr>
      <w:bookmarkStart w:id="152" w:name="_Toc15363"/>
      <w:r>
        <w:rPr>
          <w:rFonts w:hint="eastAsia" w:ascii="宋体" w:hAnsi="宋体" w:cs="宋体"/>
          <w:sz w:val="21"/>
          <w:szCs w:val="21"/>
        </w:rPr>
        <w:t>7.6 中标结果公告</w:t>
      </w:r>
      <w:bookmarkEnd w:id="152"/>
    </w:p>
    <w:p w14:paraId="61BDDB5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比选人在确定中标人之日起 3 日内，按照比选申请人须知前附表规定的公告媒介和期限公告中标结果，公告期不得少于 3 日。公告内容包括中标人名称、中标价。</w:t>
      </w:r>
    </w:p>
    <w:p w14:paraId="61A297B0">
      <w:pPr>
        <w:pStyle w:val="5"/>
        <w:spacing w:before="0" w:after="0" w:line="360" w:lineRule="auto"/>
        <w:rPr>
          <w:rFonts w:ascii="宋体" w:hAnsi="宋体" w:cs="宋体"/>
          <w:sz w:val="21"/>
          <w:szCs w:val="21"/>
        </w:rPr>
      </w:pPr>
      <w:bookmarkStart w:id="153" w:name="_Toc21970"/>
      <w:r>
        <w:rPr>
          <w:rFonts w:hint="eastAsia" w:ascii="宋体" w:hAnsi="宋体" w:cs="宋体"/>
          <w:sz w:val="21"/>
          <w:szCs w:val="21"/>
        </w:rPr>
        <w:t>7.7 履约保证金</w:t>
      </w:r>
      <w:bookmarkEnd w:id="153"/>
    </w:p>
    <w:p w14:paraId="2D80034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7.7.1 在签订合同前，中标人应按比选申请人须知前附表规定的形式、金额和比选文件第四章“合同条款及格式”规定的或事先经过比选人书面认可的履约保证金格式向比选人提交履约保证金。除比选申请人须知前附表另有规定外，履约保证金为签约合同价的</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%。联合体中标的，其履约保证金以联合体各方或联合体中牵头人的名义提交。</w:t>
      </w:r>
    </w:p>
    <w:p w14:paraId="75CE610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采用银行保函时，应由符合比选申请人须知前附表规定级别的银行开具，所需的费用由中标人承担，中标人应保证银行保函有效。</w:t>
      </w:r>
    </w:p>
    <w:p w14:paraId="7B8F130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7.7.2 中标人不能按本章第 7.7.1 项要求提交履约保证金的，视为放弃中标，其投标保证金不予退还，给比选人造成的损失超过投标保证金数额的，中标人还应对超过部分予以赔偿。</w:t>
      </w:r>
    </w:p>
    <w:p w14:paraId="72C57A55">
      <w:pPr>
        <w:pStyle w:val="5"/>
        <w:spacing w:before="0" w:after="0" w:line="360" w:lineRule="auto"/>
        <w:rPr>
          <w:rFonts w:ascii="宋体" w:hAnsi="宋体" w:cs="宋体"/>
          <w:sz w:val="21"/>
          <w:szCs w:val="21"/>
        </w:rPr>
      </w:pPr>
      <w:bookmarkStart w:id="154" w:name="_Toc14500"/>
      <w:r>
        <w:rPr>
          <w:rFonts w:hint="eastAsia" w:ascii="宋体" w:hAnsi="宋体" w:cs="宋体"/>
          <w:sz w:val="21"/>
          <w:szCs w:val="21"/>
        </w:rPr>
        <w:t>7.8 签订合同</w:t>
      </w:r>
      <w:bookmarkEnd w:id="154"/>
    </w:p>
    <w:p w14:paraId="69268A9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7.8.1 比选人和中标人应在中标通知书发出之日起 30 日内，根据比选文件和中标人的比选申请文件订立书面合同。中标人放弃中标项目，无正当理由拒签合同，在签订合同时向比选人提出附加条件或者更改合同实质性内容，或不按照比选文件要求提交低价风险担保（适用于经评审最低投标价法）或履约保证金的，比选人取消其中标资格，其投标保证金不予退还；给比选人造成的损失超过投标保证金数额的，中标人还应对超过部分予以赔偿。</w:t>
      </w:r>
    </w:p>
    <w:p w14:paraId="47BBEF8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7.8.2 发出中标通知书后，比选人无正当理由拒签合同，或在签订合同时向中标人提出附加条件的，比选人向中标人退还投标保证金；给中标人造成损失的，还应赔偿损失。</w:t>
      </w:r>
    </w:p>
    <w:p w14:paraId="6C38D15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7.8.3 签约合同价的确定原则如下：（如比选申请人按照比选人提供的工程量固化清单电子文件填写工程量清单，无须按照第三章“评标办法”的相关规定对投标报价进行修正，则本项不适用。）</w:t>
      </w:r>
    </w:p>
    <w:p w14:paraId="05C6118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（1）按照评标办法规定对投标报价进行修正后，若修正后的最终投标报价小于开标时的投标函大写金额报价，则签订合同时以修正后的最终投标报价为准；</w:t>
      </w:r>
    </w:p>
    <w:p w14:paraId="22D48C52">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14:paraId="7F185C0A">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7.8.4 联合体中标的，联合体各方应共同与比选人签订合同，就中标项目向比选人承担连带责任。</w:t>
      </w:r>
    </w:p>
    <w:p w14:paraId="3F65699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7.8.5 比选人和中标人在签订合同协议书的同时，须按照本比选文件规定的格式和要求签订廉政合同及安全生产合同，明确双方在廉政建设和安全生产方面的权利和义务以及应承担的违约责任。</w:t>
      </w:r>
    </w:p>
    <w:p w14:paraId="7EBC5C26">
      <w:pPr>
        <w:pStyle w:val="4"/>
        <w:spacing w:before="0" w:after="0" w:line="360" w:lineRule="auto"/>
        <w:rPr>
          <w:rFonts w:ascii="宋体" w:hAnsi="宋体" w:cs="宋体"/>
          <w:sz w:val="28"/>
          <w:szCs w:val="28"/>
        </w:rPr>
      </w:pPr>
      <w:bookmarkStart w:id="155" w:name="_Toc1827"/>
      <w:r>
        <w:rPr>
          <w:rFonts w:hint="eastAsia" w:ascii="宋体" w:hAnsi="宋体" w:cs="宋体"/>
          <w:sz w:val="28"/>
          <w:szCs w:val="28"/>
        </w:rPr>
        <w:t>8. 纪律和监督</w:t>
      </w:r>
      <w:bookmarkEnd w:id="155"/>
    </w:p>
    <w:p w14:paraId="5278164D">
      <w:pPr>
        <w:pStyle w:val="5"/>
        <w:spacing w:before="0" w:after="0" w:line="360" w:lineRule="auto"/>
        <w:rPr>
          <w:rFonts w:ascii="宋体" w:hAnsi="宋体" w:cs="宋体"/>
          <w:sz w:val="21"/>
          <w:szCs w:val="21"/>
        </w:rPr>
      </w:pPr>
      <w:bookmarkStart w:id="156" w:name="_Toc24500"/>
      <w:r>
        <w:rPr>
          <w:rFonts w:hint="eastAsia" w:ascii="宋体" w:hAnsi="宋体" w:cs="宋体"/>
          <w:sz w:val="21"/>
          <w:szCs w:val="21"/>
        </w:rPr>
        <w:t>8.1 对比选人的纪律要求</w:t>
      </w:r>
      <w:bookmarkEnd w:id="156"/>
    </w:p>
    <w:p w14:paraId="3C692AA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比选人不得泄露招标投标活动中应保密的情况和资料，不得与比选申请人串通损害国家利益、社会公共利益或他人合法权益。</w:t>
      </w:r>
    </w:p>
    <w:p w14:paraId="0FD40AD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有下列情形之一的，属于比选人与比选申请人串通投标：</w:t>
      </w:r>
    </w:p>
    <w:p w14:paraId="1EF7817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（1）比选人在开标前开启比选申请文件并将有关信息泄露给其他比选申请人；</w:t>
      </w:r>
    </w:p>
    <w:p w14:paraId="0B83FE2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（2）比选人直接或者间接向比选申请人泄露标底、评标委员会成员等信息；</w:t>
      </w:r>
    </w:p>
    <w:p w14:paraId="632DF0B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（3）比选人明示或者暗示比选申请人压低或者抬高投标报价；</w:t>
      </w:r>
    </w:p>
    <w:p w14:paraId="29B20D2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（4）比选人授意比选申请人撤换、修改比选申请文件；</w:t>
      </w:r>
    </w:p>
    <w:p w14:paraId="18D1B71F">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（5）比选人明示或者暗示比选申请人为特定比选申请人中标提供方便；</w:t>
      </w:r>
    </w:p>
    <w:p w14:paraId="17AC1A2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（6）比选人与比选申请人为谋求特定比选申请人中标而采取的其他串通行为。</w:t>
      </w:r>
    </w:p>
    <w:p w14:paraId="03CBA367">
      <w:pPr>
        <w:pStyle w:val="5"/>
        <w:spacing w:before="0" w:after="0" w:line="360" w:lineRule="auto"/>
        <w:rPr>
          <w:rFonts w:ascii="宋体" w:hAnsi="宋体" w:cs="宋体"/>
          <w:sz w:val="21"/>
          <w:szCs w:val="21"/>
        </w:rPr>
      </w:pPr>
      <w:bookmarkStart w:id="157" w:name="_Toc20228"/>
      <w:r>
        <w:rPr>
          <w:rFonts w:hint="eastAsia" w:ascii="宋体" w:hAnsi="宋体" w:cs="宋体"/>
          <w:sz w:val="21"/>
          <w:szCs w:val="21"/>
        </w:rPr>
        <w:t>8.2 对比选申请人的纪律要求</w:t>
      </w:r>
      <w:bookmarkEnd w:id="157"/>
    </w:p>
    <w:p w14:paraId="4B5559D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比选申请人不得相互串通投标或与比选人串通投标，不得向比选人或评标委员会成员行贿谋取中标，不得以他人名义投标或以其他方式弄虚作假骗取中标；比选申请人不得以任何方式干扰、影响评标工作。</w:t>
      </w:r>
    </w:p>
    <w:p w14:paraId="24104973">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8.2.1 有下列情形之一的，属于比选申请人相互串通投标：</w:t>
      </w:r>
    </w:p>
    <w:p w14:paraId="565E7B7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（1）比选申请人之间协商投标报价等比选申请文件的实质性内容；</w:t>
      </w:r>
    </w:p>
    <w:p w14:paraId="18D511B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（2）比选申请人之间约定中标人；</w:t>
      </w:r>
    </w:p>
    <w:p w14:paraId="575A07B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（3）比选申请人之间约定部分比选申请人放弃投标或者中标；</w:t>
      </w:r>
    </w:p>
    <w:p w14:paraId="699A033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（4）属于同一集团、协会、商会等组织成员的比选申请人按照该组织要求协同投标；</w:t>
      </w:r>
    </w:p>
    <w:p w14:paraId="1A53DC0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（5）比选申请人之间为谋取中标或者排斥特定比选申请人而采取的其他联合行动。</w:t>
      </w:r>
    </w:p>
    <w:p w14:paraId="1D8DA35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8.2.2 有下列情形之一的，视为比选申请人相互串通投标：</w:t>
      </w:r>
    </w:p>
    <w:p w14:paraId="3CB27BA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（1）不同比选申请人的比选申请文件由同一单位或者个人编制；</w:t>
      </w:r>
    </w:p>
    <w:p w14:paraId="30B9E31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（2）不同比选申请人委托同一单位或者个人办理投标事宜；</w:t>
      </w:r>
    </w:p>
    <w:p w14:paraId="6AF3A6BE">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（3）不同比选申请人的比选申请文件载明的项目管理成员为同一人；</w:t>
      </w:r>
    </w:p>
    <w:p w14:paraId="00FD7498">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（4）不同比选申请人的比选申请文件异常一致或者投标报价呈规律性差异；</w:t>
      </w:r>
    </w:p>
    <w:p w14:paraId="75F6F91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（5）不同比选申请人的比选申请文件相互混装；</w:t>
      </w:r>
    </w:p>
    <w:p w14:paraId="5135F29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（6）不同比选申请人的投标保证金从同一单位或者个人的账户转出；</w:t>
      </w:r>
    </w:p>
    <w:p w14:paraId="0D535D2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（7）不同比选申请人的电子比选申请文件MAC地址相同。</w:t>
      </w:r>
    </w:p>
    <w:p w14:paraId="4B0BEB94">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8.2.3 使用通过受让或者租借等方式获取的资格、资质证书投标的，属于以他人名义投标。</w:t>
      </w:r>
    </w:p>
    <w:p w14:paraId="376036B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8.2.4 比选申请人有下列情形之一的，属于以其他方式弄虚作假的行为：</w:t>
      </w:r>
    </w:p>
    <w:p w14:paraId="4BB1F521">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（1）使用伪造、变造的许可证件；</w:t>
      </w:r>
    </w:p>
    <w:p w14:paraId="74AD9FF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（2）提供虚假的财务状况或者业绩；</w:t>
      </w:r>
    </w:p>
    <w:p w14:paraId="17841CE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（3）提供虚假的项目负责人或者主要技术人员简历、劳动关系证明；</w:t>
      </w:r>
    </w:p>
    <w:p w14:paraId="70A16BE5">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（4）提供虚假的信用状况；</w:t>
      </w:r>
    </w:p>
    <w:p w14:paraId="5D352C0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（5）其他弄虚作假的行为。</w:t>
      </w:r>
    </w:p>
    <w:p w14:paraId="6F1035BF">
      <w:pPr>
        <w:pStyle w:val="5"/>
        <w:spacing w:before="0" w:after="0" w:line="360" w:lineRule="auto"/>
        <w:rPr>
          <w:rFonts w:ascii="宋体" w:hAnsi="宋体" w:cs="宋体"/>
          <w:sz w:val="21"/>
          <w:szCs w:val="21"/>
        </w:rPr>
      </w:pPr>
      <w:bookmarkStart w:id="158" w:name="_Toc1662"/>
      <w:r>
        <w:rPr>
          <w:rFonts w:hint="eastAsia" w:ascii="宋体" w:hAnsi="宋体" w:cs="宋体"/>
          <w:sz w:val="21"/>
          <w:szCs w:val="21"/>
        </w:rPr>
        <w:t>8.3 对评标委员会成员的纪律要求</w:t>
      </w:r>
      <w:bookmarkEnd w:id="158"/>
    </w:p>
    <w:p w14:paraId="0CD6CA0C">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评标委员会成员不得收受他人的财物或其他好处，不得向他人透露对比选申请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比选文件中《否决投标情况一览表》以外的内容予以否决投标，否则对评标委员会成员按《重庆市综合评标专家库和评标专家管理暂行办法》进行处理。</w:t>
      </w:r>
    </w:p>
    <w:p w14:paraId="738DB943">
      <w:pPr>
        <w:pStyle w:val="5"/>
        <w:spacing w:before="0" w:after="0" w:line="360" w:lineRule="auto"/>
        <w:rPr>
          <w:rFonts w:ascii="宋体" w:hAnsi="宋体" w:cs="宋体"/>
          <w:sz w:val="21"/>
          <w:szCs w:val="21"/>
        </w:rPr>
      </w:pPr>
      <w:bookmarkStart w:id="159" w:name="_Toc15997"/>
      <w:r>
        <w:rPr>
          <w:rFonts w:hint="eastAsia" w:ascii="宋体" w:hAnsi="宋体" w:cs="宋体"/>
          <w:sz w:val="21"/>
          <w:szCs w:val="21"/>
        </w:rPr>
        <w:t>8.4 对与评标活动有关的工作人员的纪律要求</w:t>
      </w:r>
      <w:bookmarkEnd w:id="159"/>
    </w:p>
    <w:p w14:paraId="46D8995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与评标活动有关的工作人员不得收受他人的财物或其他好处，不得向他人透露对比选申请文件的评审和比较、中标候选人的推荐情况以及评标有关的其他情况。在评标活动中，与评标活动有关的工作人员不得擅离职守，影响评标程序正常进行。</w:t>
      </w:r>
    </w:p>
    <w:p w14:paraId="0CE96003">
      <w:pPr>
        <w:pStyle w:val="5"/>
        <w:spacing w:before="0" w:after="0" w:line="360" w:lineRule="auto"/>
        <w:rPr>
          <w:rFonts w:ascii="宋体" w:hAnsi="宋体" w:cs="宋体"/>
          <w:sz w:val="21"/>
          <w:szCs w:val="21"/>
        </w:rPr>
      </w:pPr>
      <w:bookmarkStart w:id="160" w:name="_Toc28460"/>
      <w:r>
        <w:rPr>
          <w:rFonts w:hint="eastAsia" w:ascii="宋体" w:hAnsi="宋体" w:cs="宋体"/>
          <w:sz w:val="21"/>
          <w:szCs w:val="21"/>
        </w:rPr>
        <w:t>8.5 投诉</w:t>
      </w:r>
      <w:bookmarkEnd w:id="160"/>
    </w:p>
    <w:p w14:paraId="4737F08B">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8.5.1 比选申请人或其他利害关系人认为招标投标活动不符合法律、行政法规规定的，可以自知道或应当知道之日起 10 日内向有关行政监督部门投诉。投诉应有明确的请求和必要的证明材料。</w:t>
      </w:r>
    </w:p>
    <w:p w14:paraId="1E40DF76">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监督部门的联系方式见比选申请人须知前附表。</w:t>
      </w:r>
    </w:p>
    <w:p w14:paraId="4285E187">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8.5.2 比选申请人或其他利害关系人对比选文件、开标和评标结果提出投诉的，应按照本章第 2.2 款、第 5.3 款和第 7.2 款的规定先向比选人提出异议。异议答复期间不计算在第 8.5.1 项规定的期限内。</w:t>
      </w:r>
    </w:p>
    <w:p w14:paraId="531208D8">
      <w:pPr>
        <w:pStyle w:val="4"/>
        <w:spacing w:before="0" w:after="0" w:line="360" w:lineRule="auto"/>
        <w:rPr>
          <w:rFonts w:ascii="宋体" w:hAnsi="宋体" w:cs="宋体"/>
          <w:sz w:val="28"/>
          <w:szCs w:val="28"/>
        </w:rPr>
      </w:pPr>
      <w:bookmarkStart w:id="161" w:name="_Toc14157"/>
      <w:r>
        <w:rPr>
          <w:rFonts w:hint="eastAsia" w:ascii="宋体" w:hAnsi="宋体" w:cs="宋体"/>
          <w:sz w:val="28"/>
          <w:szCs w:val="28"/>
        </w:rPr>
        <w:t>9. 是否采用电子招标投标</w:t>
      </w:r>
      <w:bookmarkEnd w:id="161"/>
    </w:p>
    <w:p w14:paraId="642AF4C0">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本招标项目是否采用电子招标投标方式：见比选申请人须知前附表。</w:t>
      </w:r>
    </w:p>
    <w:p w14:paraId="7C808A8B">
      <w:pPr>
        <w:pStyle w:val="4"/>
        <w:spacing w:before="0" w:after="0" w:line="360" w:lineRule="auto"/>
        <w:rPr>
          <w:rFonts w:ascii="宋体" w:hAnsi="宋体" w:cs="宋体"/>
          <w:sz w:val="28"/>
          <w:szCs w:val="28"/>
        </w:rPr>
      </w:pPr>
      <w:bookmarkStart w:id="162" w:name="_Toc25552"/>
      <w:r>
        <w:rPr>
          <w:rFonts w:hint="eastAsia" w:ascii="宋体" w:hAnsi="宋体" w:cs="宋体"/>
          <w:sz w:val="28"/>
          <w:szCs w:val="28"/>
        </w:rPr>
        <w:t>10. 需要补充的其他内容</w:t>
      </w:r>
      <w:bookmarkEnd w:id="162"/>
    </w:p>
    <w:p w14:paraId="02901BB9">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需要补充的其他内容：见比选申请人须知前附表。</w:t>
      </w:r>
    </w:p>
    <w:p w14:paraId="5784ABA0">
      <w:pPr>
        <w:autoSpaceDE w:val="0"/>
        <w:autoSpaceDN w:val="0"/>
        <w:adjustRightInd w:val="0"/>
        <w:snapToGrid w:val="0"/>
        <w:spacing w:line="360" w:lineRule="auto"/>
        <w:ind w:firstLine="420"/>
        <w:jc w:val="left"/>
        <w:rPr>
          <w:rFonts w:ascii="宋体" w:hAnsi="宋体"/>
          <w:snapToGrid w:val="0"/>
          <w:kern w:val="0"/>
          <w:szCs w:val="21"/>
          <w:lang w:val="ru-RU"/>
        </w:rPr>
        <w:sectPr>
          <w:footerReference r:id="rId6" w:type="default"/>
          <w:pgSz w:w="11906" w:h="16838"/>
          <w:pgMar w:top="1304" w:right="1134" w:bottom="1304" w:left="1304" w:header="851" w:footer="992" w:gutter="0"/>
          <w:cols w:space="720" w:num="1"/>
          <w:docGrid w:type="lines" w:linePitch="312" w:charSpace="0"/>
        </w:sectPr>
      </w:pPr>
    </w:p>
    <w:p w14:paraId="670C4FA4">
      <w:pPr>
        <w:autoSpaceDE w:val="0"/>
        <w:autoSpaceDN w:val="0"/>
        <w:adjustRightInd w:val="0"/>
        <w:snapToGrid w:val="0"/>
        <w:spacing w:line="360" w:lineRule="auto"/>
        <w:ind w:firstLine="420"/>
        <w:jc w:val="left"/>
        <w:rPr>
          <w:rFonts w:ascii="宋体" w:hAnsi="宋体"/>
          <w:snapToGrid w:val="0"/>
          <w:kern w:val="0"/>
          <w:szCs w:val="21"/>
          <w:lang w:val="ru-RU"/>
        </w:rPr>
      </w:pPr>
    </w:p>
    <w:p w14:paraId="7929616E">
      <w:pPr>
        <w:autoSpaceDE w:val="0"/>
        <w:autoSpaceDN w:val="0"/>
        <w:adjustRightInd w:val="0"/>
        <w:snapToGrid w:val="0"/>
        <w:spacing w:line="360" w:lineRule="auto"/>
        <w:jc w:val="left"/>
        <w:rPr>
          <w:rFonts w:ascii="宋体" w:hAnsi="宋体"/>
          <w:snapToGrid w:val="0"/>
          <w:kern w:val="0"/>
          <w:szCs w:val="21"/>
        </w:rPr>
      </w:pPr>
    </w:p>
    <w:p w14:paraId="11D83CD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3F33EB93">
      <w:pPr>
        <w:autoSpaceDE w:val="0"/>
        <w:autoSpaceDN w:val="0"/>
        <w:adjustRightInd w:val="0"/>
        <w:snapToGrid w:val="0"/>
        <w:spacing w:line="360" w:lineRule="auto"/>
        <w:jc w:val="left"/>
        <w:rPr>
          <w:rFonts w:ascii="宋体" w:hAnsi="宋体"/>
          <w:b/>
          <w:snapToGrid w:val="0"/>
          <w:kern w:val="0"/>
        </w:rPr>
      </w:pPr>
    </w:p>
    <w:p w14:paraId="477F8437">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2D199296">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31"/>
        <w:tblW w:w="137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97"/>
        <w:gridCol w:w="3827"/>
        <w:gridCol w:w="1134"/>
        <w:gridCol w:w="1418"/>
        <w:gridCol w:w="1275"/>
        <w:gridCol w:w="1276"/>
        <w:gridCol w:w="1134"/>
        <w:gridCol w:w="1134"/>
        <w:gridCol w:w="906"/>
        <w:gridCol w:w="1020"/>
      </w:tblGrid>
      <w:tr w14:paraId="30D14F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597" w:type="dxa"/>
            <w:vAlign w:val="center"/>
          </w:tcPr>
          <w:p w14:paraId="43EE0E4C">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827" w:type="dxa"/>
            <w:vAlign w:val="center"/>
          </w:tcPr>
          <w:p w14:paraId="5433D63A">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比选申请人</w:t>
            </w:r>
          </w:p>
        </w:tc>
        <w:tc>
          <w:tcPr>
            <w:tcW w:w="1134" w:type="dxa"/>
            <w:vAlign w:val="center"/>
          </w:tcPr>
          <w:p w14:paraId="6E03337F">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解密</w:t>
            </w:r>
            <w:r>
              <w:rPr>
                <w:rFonts w:ascii="宋体" w:hAnsi="宋体"/>
                <w:snapToGrid w:val="0"/>
                <w:kern w:val="0"/>
                <w:szCs w:val="21"/>
              </w:rPr>
              <w:t>情况</w:t>
            </w:r>
          </w:p>
        </w:tc>
        <w:tc>
          <w:tcPr>
            <w:tcW w:w="1418" w:type="dxa"/>
            <w:vAlign w:val="center"/>
          </w:tcPr>
          <w:p w14:paraId="2FA17A7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275" w:type="dxa"/>
            <w:vAlign w:val="center"/>
          </w:tcPr>
          <w:p w14:paraId="60E73C1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1276" w:type="dxa"/>
            <w:vAlign w:val="center"/>
          </w:tcPr>
          <w:p w14:paraId="09B1373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134" w:type="dxa"/>
            <w:vAlign w:val="center"/>
          </w:tcPr>
          <w:p w14:paraId="1B98E293">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1134" w:type="dxa"/>
            <w:tcBorders>
              <w:right w:val="single" w:color="auto" w:sz="4" w:space="0"/>
            </w:tcBorders>
            <w:vAlign w:val="center"/>
          </w:tcPr>
          <w:p w14:paraId="54712EE4">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项目总工</w:t>
            </w:r>
          </w:p>
        </w:tc>
        <w:tc>
          <w:tcPr>
            <w:tcW w:w="906" w:type="dxa"/>
            <w:tcBorders>
              <w:left w:val="single" w:color="auto" w:sz="4" w:space="0"/>
            </w:tcBorders>
            <w:vAlign w:val="center"/>
          </w:tcPr>
          <w:p w14:paraId="6DE43072">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020" w:type="dxa"/>
            <w:vAlign w:val="center"/>
          </w:tcPr>
          <w:p w14:paraId="2063A80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14:paraId="7C933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vAlign w:val="center"/>
          </w:tcPr>
          <w:p w14:paraId="2386E0B1">
            <w:pPr>
              <w:autoSpaceDE w:val="0"/>
              <w:autoSpaceDN w:val="0"/>
              <w:adjustRightInd w:val="0"/>
              <w:snapToGrid w:val="0"/>
              <w:jc w:val="left"/>
              <w:rPr>
                <w:rFonts w:ascii="宋体" w:hAnsi="宋体"/>
                <w:snapToGrid w:val="0"/>
                <w:kern w:val="0"/>
                <w:sz w:val="28"/>
                <w:szCs w:val="28"/>
              </w:rPr>
            </w:pPr>
          </w:p>
        </w:tc>
        <w:tc>
          <w:tcPr>
            <w:tcW w:w="3827" w:type="dxa"/>
            <w:vAlign w:val="center"/>
          </w:tcPr>
          <w:p w14:paraId="4017E972">
            <w:pPr>
              <w:autoSpaceDE w:val="0"/>
              <w:autoSpaceDN w:val="0"/>
              <w:adjustRightInd w:val="0"/>
              <w:snapToGrid w:val="0"/>
              <w:jc w:val="left"/>
              <w:rPr>
                <w:rFonts w:ascii="宋体" w:hAnsi="宋体"/>
                <w:snapToGrid w:val="0"/>
                <w:kern w:val="0"/>
                <w:sz w:val="28"/>
                <w:szCs w:val="28"/>
              </w:rPr>
            </w:pPr>
          </w:p>
        </w:tc>
        <w:tc>
          <w:tcPr>
            <w:tcW w:w="1134" w:type="dxa"/>
            <w:vAlign w:val="center"/>
          </w:tcPr>
          <w:p w14:paraId="1CBF0F20">
            <w:pPr>
              <w:autoSpaceDE w:val="0"/>
              <w:autoSpaceDN w:val="0"/>
              <w:adjustRightInd w:val="0"/>
              <w:snapToGrid w:val="0"/>
              <w:jc w:val="left"/>
              <w:rPr>
                <w:rFonts w:ascii="宋体" w:hAnsi="宋体"/>
                <w:snapToGrid w:val="0"/>
                <w:kern w:val="0"/>
                <w:szCs w:val="21"/>
              </w:rPr>
            </w:pPr>
          </w:p>
        </w:tc>
        <w:tc>
          <w:tcPr>
            <w:tcW w:w="1418" w:type="dxa"/>
            <w:vAlign w:val="center"/>
          </w:tcPr>
          <w:p w14:paraId="758860FF">
            <w:pPr>
              <w:autoSpaceDE w:val="0"/>
              <w:autoSpaceDN w:val="0"/>
              <w:adjustRightInd w:val="0"/>
              <w:snapToGrid w:val="0"/>
              <w:jc w:val="left"/>
              <w:rPr>
                <w:rFonts w:ascii="宋体" w:hAnsi="宋体"/>
                <w:snapToGrid w:val="0"/>
                <w:kern w:val="0"/>
                <w:sz w:val="28"/>
                <w:szCs w:val="28"/>
              </w:rPr>
            </w:pPr>
          </w:p>
        </w:tc>
        <w:tc>
          <w:tcPr>
            <w:tcW w:w="1275" w:type="dxa"/>
            <w:vAlign w:val="center"/>
          </w:tcPr>
          <w:p w14:paraId="75C2B496">
            <w:pPr>
              <w:autoSpaceDE w:val="0"/>
              <w:autoSpaceDN w:val="0"/>
              <w:adjustRightInd w:val="0"/>
              <w:snapToGrid w:val="0"/>
              <w:jc w:val="left"/>
              <w:rPr>
                <w:rFonts w:ascii="宋体" w:hAnsi="宋体"/>
                <w:snapToGrid w:val="0"/>
                <w:kern w:val="0"/>
                <w:sz w:val="28"/>
                <w:szCs w:val="28"/>
              </w:rPr>
            </w:pPr>
          </w:p>
        </w:tc>
        <w:tc>
          <w:tcPr>
            <w:tcW w:w="1276" w:type="dxa"/>
            <w:vAlign w:val="center"/>
          </w:tcPr>
          <w:p w14:paraId="125D0615">
            <w:pPr>
              <w:autoSpaceDE w:val="0"/>
              <w:autoSpaceDN w:val="0"/>
              <w:adjustRightInd w:val="0"/>
              <w:snapToGrid w:val="0"/>
              <w:jc w:val="left"/>
              <w:rPr>
                <w:rFonts w:ascii="宋体" w:hAnsi="宋体"/>
                <w:snapToGrid w:val="0"/>
                <w:kern w:val="0"/>
                <w:sz w:val="28"/>
                <w:szCs w:val="28"/>
              </w:rPr>
            </w:pPr>
          </w:p>
        </w:tc>
        <w:tc>
          <w:tcPr>
            <w:tcW w:w="1134" w:type="dxa"/>
            <w:vAlign w:val="center"/>
          </w:tcPr>
          <w:p w14:paraId="410673C1">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14:paraId="7F4F79AD">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14:paraId="55967415">
            <w:pPr>
              <w:autoSpaceDE w:val="0"/>
              <w:autoSpaceDN w:val="0"/>
              <w:adjustRightInd w:val="0"/>
              <w:snapToGrid w:val="0"/>
              <w:jc w:val="left"/>
              <w:rPr>
                <w:rFonts w:ascii="宋体" w:hAnsi="宋体"/>
                <w:snapToGrid w:val="0"/>
                <w:kern w:val="0"/>
                <w:sz w:val="28"/>
                <w:szCs w:val="28"/>
              </w:rPr>
            </w:pPr>
          </w:p>
        </w:tc>
        <w:tc>
          <w:tcPr>
            <w:tcW w:w="1020" w:type="dxa"/>
            <w:vAlign w:val="center"/>
          </w:tcPr>
          <w:p w14:paraId="19E00387">
            <w:pPr>
              <w:autoSpaceDE w:val="0"/>
              <w:autoSpaceDN w:val="0"/>
              <w:adjustRightInd w:val="0"/>
              <w:snapToGrid w:val="0"/>
              <w:jc w:val="left"/>
              <w:rPr>
                <w:rFonts w:ascii="宋体" w:hAnsi="宋体"/>
                <w:snapToGrid w:val="0"/>
                <w:kern w:val="0"/>
                <w:sz w:val="28"/>
                <w:szCs w:val="28"/>
              </w:rPr>
            </w:pPr>
          </w:p>
        </w:tc>
      </w:tr>
      <w:tr w14:paraId="3D612E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vAlign w:val="center"/>
          </w:tcPr>
          <w:p w14:paraId="11F19FFE">
            <w:pPr>
              <w:autoSpaceDE w:val="0"/>
              <w:autoSpaceDN w:val="0"/>
              <w:adjustRightInd w:val="0"/>
              <w:snapToGrid w:val="0"/>
              <w:jc w:val="left"/>
              <w:rPr>
                <w:rFonts w:ascii="宋体" w:hAnsi="宋体"/>
                <w:snapToGrid w:val="0"/>
                <w:kern w:val="0"/>
                <w:sz w:val="28"/>
                <w:szCs w:val="28"/>
              </w:rPr>
            </w:pPr>
          </w:p>
        </w:tc>
        <w:tc>
          <w:tcPr>
            <w:tcW w:w="3827" w:type="dxa"/>
            <w:vAlign w:val="center"/>
          </w:tcPr>
          <w:p w14:paraId="7F310C23">
            <w:pPr>
              <w:autoSpaceDE w:val="0"/>
              <w:autoSpaceDN w:val="0"/>
              <w:adjustRightInd w:val="0"/>
              <w:snapToGrid w:val="0"/>
              <w:jc w:val="left"/>
              <w:rPr>
                <w:rFonts w:ascii="宋体" w:hAnsi="宋体"/>
                <w:snapToGrid w:val="0"/>
                <w:kern w:val="0"/>
                <w:sz w:val="28"/>
                <w:szCs w:val="28"/>
              </w:rPr>
            </w:pPr>
          </w:p>
        </w:tc>
        <w:tc>
          <w:tcPr>
            <w:tcW w:w="1134" w:type="dxa"/>
            <w:vAlign w:val="center"/>
          </w:tcPr>
          <w:p w14:paraId="7DC2CD14">
            <w:pPr>
              <w:autoSpaceDE w:val="0"/>
              <w:autoSpaceDN w:val="0"/>
              <w:adjustRightInd w:val="0"/>
              <w:snapToGrid w:val="0"/>
              <w:jc w:val="left"/>
              <w:rPr>
                <w:rFonts w:ascii="宋体" w:hAnsi="宋体"/>
                <w:snapToGrid w:val="0"/>
                <w:kern w:val="0"/>
                <w:sz w:val="28"/>
                <w:szCs w:val="28"/>
              </w:rPr>
            </w:pPr>
          </w:p>
        </w:tc>
        <w:tc>
          <w:tcPr>
            <w:tcW w:w="1418" w:type="dxa"/>
            <w:vAlign w:val="center"/>
          </w:tcPr>
          <w:p w14:paraId="1A723BF2">
            <w:pPr>
              <w:autoSpaceDE w:val="0"/>
              <w:autoSpaceDN w:val="0"/>
              <w:adjustRightInd w:val="0"/>
              <w:snapToGrid w:val="0"/>
              <w:jc w:val="left"/>
              <w:rPr>
                <w:rFonts w:ascii="宋体" w:hAnsi="宋体"/>
                <w:snapToGrid w:val="0"/>
                <w:kern w:val="0"/>
                <w:sz w:val="28"/>
                <w:szCs w:val="28"/>
              </w:rPr>
            </w:pPr>
          </w:p>
        </w:tc>
        <w:tc>
          <w:tcPr>
            <w:tcW w:w="1275" w:type="dxa"/>
            <w:vAlign w:val="center"/>
          </w:tcPr>
          <w:p w14:paraId="21900044">
            <w:pPr>
              <w:autoSpaceDE w:val="0"/>
              <w:autoSpaceDN w:val="0"/>
              <w:adjustRightInd w:val="0"/>
              <w:snapToGrid w:val="0"/>
              <w:jc w:val="left"/>
              <w:rPr>
                <w:rFonts w:ascii="宋体" w:hAnsi="宋体"/>
                <w:snapToGrid w:val="0"/>
                <w:kern w:val="0"/>
                <w:sz w:val="28"/>
                <w:szCs w:val="28"/>
              </w:rPr>
            </w:pPr>
          </w:p>
        </w:tc>
        <w:tc>
          <w:tcPr>
            <w:tcW w:w="1276" w:type="dxa"/>
            <w:vAlign w:val="center"/>
          </w:tcPr>
          <w:p w14:paraId="09D8B7A6">
            <w:pPr>
              <w:autoSpaceDE w:val="0"/>
              <w:autoSpaceDN w:val="0"/>
              <w:adjustRightInd w:val="0"/>
              <w:snapToGrid w:val="0"/>
              <w:jc w:val="left"/>
              <w:rPr>
                <w:rFonts w:ascii="宋体" w:hAnsi="宋体"/>
                <w:snapToGrid w:val="0"/>
                <w:kern w:val="0"/>
                <w:sz w:val="28"/>
                <w:szCs w:val="28"/>
              </w:rPr>
            </w:pPr>
          </w:p>
        </w:tc>
        <w:tc>
          <w:tcPr>
            <w:tcW w:w="1134" w:type="dxa"/>
            <w:vAlign w:val="center"/>
          </w:tcPr>
          <w:p w14:paraId="18C206A6">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14:paraId="564650ED">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14:paraId="123BA0BC">
            <w:pPr>
              <w:autoSpaceDE w:val="0"/>
              <w:autoSpaceDN w:val="0"/>
              <w:adjustRightInd w:val="0"/>
              <w:snapToGrid w:val="0"/>
              <w:jc w:val="left"/>
              <w:rPr>
                <w:rFonts w:ascii="宋体" w:hAnsi="宋体"/>
                <w:snapToGrid w:val="0"/>
                <w:kern w:val="0"/>
                <w:sz w:val="28"/>
                <w:szCs w:val="28"/>
              </w:rPr>
            </w:pPr>
          </w:p>
        </w:tc>
        <w:tc>
          <w:tcPr>
            <w:tcW w:w="1020" w:type="dxa"/>
            <w:vAlign w:val="center"/>
          </w:tcPr>
          <w:p w14:paraId="69EE1C6E">
            <w:pPr>
              <w:autoSpaceDE w:val="0"/>
              <w:autoSpaceDN w:val="0"/>
              <w:adjustRightInd w:val="0"/>
              <w:snapToGrid w:val="0"/>
              <w:jc w:val="left"/>
              <w:rPr>
                <w:rFonts w:ascii="宋体" w:hAnsi="宋体"/>
                <w:snapToGrid w:val="0"/>
                <w:kern w:val="0"/>
                <w:sz w:val="28"/>
                <w:szCs w:val="28"/>
              </w:rPr>
            </w:pPr>
          </w:p>
        </w:tc>
      </w:tr>
      <w:tr w14:paraId="285635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vAlign w:val="center"/>
          </w:tcPr>
          <w:p w14:paraId="5D3DA2C8">
            <w:pPr>
              <w:autoSpaceDE w:val="0"/>
              <w:autoSpaceDN w:val="0"/>
              <w:adjustRightInd w:val="0"/>
              <w:snapToGrid w:val="0"/>
              <w:jc w:val="left"/>
              <w:rPr>
                <w:rFonts w:ascii="宋体" w:hAnsi="宋体"/>
                <w:snapToGrid w:val="0"/>
                <w:kern w:val="0"/>
                <w:sz w:val="28"/>
                <w:szCs w:val="28"/>
              </w:rPr>
            </w:pPr>
          </w:p>
        </w:tc>
        <w:tc>
          <w:tcPr>
            <w:tcW w:w="3827" w:type="dxa"/>
            <w:vAlign w:val="center"/>
          </w:tcPr>
          <w:p w14:paraId="6AA4BD30">
            <w:pPr>
              <w:autoSpaceDE w:val="0"/>
              <w:autoSpaceDN w:val="0"/>
              <w:adjustRightInd w:val="0"/>
              <w:snapToGrid w:val="0"/>
              <w:jc w:val="left"/>
              <w:rPr>
                <w:rFonts w:ascii="宋体" w:hAnsi="宋体"/>
                <w:snapToGrid w:val="0"/>
                <w:kern w:val="0"/>
                <w:sz w:val="28"/>
                <w:szCs w:val="28"/>
              </w:rPr>
            </w:pPr>
          </w:p>
        </w:tc>
        <w:tc>
          <w:tcPr>
            <w:tcW w:w="1134" w:type="dxa"/>
            <w:vAlign w:val="center"/>
          </w:tcPr>
          <w:p w14:paraId="617FDD2E">
            <w:pPr>
              <w:autoSpaceDE w:val="0"/>
              <w:autoSpaceDN w:val="0"/>
              <w:adjustRightInd w:val="0"/>
              <w:snapToGrid w:val="0"/>
              <w:jc w:val="left"/>
              <w:rPr>
                <w:rFonts w:ascii="宋体" w:hAnsi="宋体"/>
                <w:snapToGrid w:val="0"/>
                <w:kern w:val="0"/>
                <w:sz w:val="28"/>
                <w:szCs w:val="28"/>
              </w:rPr>
            </w:pPr>
          </w:p>
        </w:tc>
        <w:tc>
          <w:tcPr>
            <w:tcW w:w="1418" w:type="dxa"/>
            <w:vAlign w:val="center"/>
          </w:tcPr>
          <w:p w14:paraId="5DE89241">
            <w:pPr>
              <w:autoSpaceDE w:val="0"/>
              <w:autoSpaceDN w:val="0"/>
              <w:adjustRightInd w:val="0"/>
              <w:snapToGrid w:val="0"/>
              <w:jc w:val="left"/>
              <w:rPr>
                <w:rFonts w:ascii="宋体" w:hAnsi="宋体"/>
                <w:snapToGrid w:val="0"/>
                <w:kern w:val="0"/>
                <w:sz w:val="28"/>
                <w:szCs w:val="28"/>
              </w:rPr>
            </w:pPr>
          </w:p>
        </w:tc>
        <w:tc>
          <w:tcPr>
            <w:tcW w:w="1275" w:type="dxa"/>
            <w:vAlign w:val="center"/>
          </w:tcPr>
          <w:p w14:paraId="138058B0">
            <w:pPr>
              <w:autoSpaceDE w:val="0"/>
              <w:autoSpaceDN w:val="0"/>
              <w:adjustRightInd w:val="0"/>
              <w:snapToGrid w:val="0"/>
              <w:jc w:val="left"/>
              <w:rPr>
                <w:rFonts w:ascii="宋体" w:hAnsi="宋体"/>
                <w:snapToGrid w:val="0"/>
                <w:kern w:val="0"/>
                <w:sz w:val="28"/>
                <w:szCs w:val="28"/>
              </w:rPr>
            </w:pPr>
          </w:p>
        </w:tc>
        <w:tc>
          <w:tcPr>
            <w:tcW w:w="1276" w:type="dxa"/>
            <w:vAlign w:val="center"/>
          </w:tcPr>
          <w:p w14:paraId="2A0E5C75">
            <w:pPr>
              <w:autoSpaceDE w:val="0"/>
              <w:autoSpaceDN w:val="0"/>
              <w:adjustRightInd w:val="0"/>
              <w:snapToGrid w:val="0"/>
              <w:jc w:val="left"/>
              <w:rPr>
                <w:rFonts w:ascii="宋体" w:hAnsi="宋体"/>
                <w:snapToGrid w:val="0"/>
                <w:kern w:val="0"/>
                <w:sz w:val="28"/>
                <w:szCs w:val="28"/>
              </w:rPr>
            </w:pPr>
          </w:p>
        </w:tc>
        <w:tc>
          <w:tcPr>
            <w:tcW w:w="1134" w:type="dxa"/>
            <w:vAlign w:val="center"/>
          </w:tcPr>
          <w:p w14:paraId="5574BE7A">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14:paraId="20A7000F">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14:paraId="5868999A">
            <w:pPr>
              <w:autoSpaceDE w:val="0"/>
              <w:autoSpaceDN w:val="0"/>
              <w:adjustRightInd w:val="0"/>
              <w:snapToGrid w:val="0"/>
              <w:jc w:val="left"/>
              <w:rPr>
                <w:rFonts w:ascii="宋体" w:hAnsi="宋体"/>
                <w:snapToGrid w:val="0"/>
                <w:kern w:val="0"/>
                <w:sz w:val="28"/>
                <w:szCs w:val="28"/>
              </w:rPr>
            </w:pPr>
          </w:p>
        </w:tc>
        <w:tc>
          <w:tcPr>
            <w:tcW w:w="1020" w:type="dxa"/>
            <w:vAlign w:val="center"/>
          </w:tcPr>
          <w:p w14:paraId="537DB8B6">
            <w:pPr>
              <w:autoSpaceDE w:val="0"/>
              <w:autoSpaceDN w:val="0"/>
              <w:adjustRightInd w:val="0"/>
              <w:snapToGrid w:val="0"/>
              <w:jc w:val="left"/>
              <w:rPr>
                <w:rFonts w:ascii="宋体" w:hAnsi="宋体"/>
                <w:snapToGrid w:val="0"/>
                <w:kern w:val="0"/>
                <w:sz w:val="28"/>
                <w:szCs w:val="28"/>
              </w:rPr>
            </w:pPr>
          </w:p>
        </w:tc>
      </w:tr>
      <w:tr w14:paraId="790EA2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vAlign w:val="center"/>
          </w:tcPr>
          <w:p w14:paraId="254CF4E5">
            <w:pPr>
              <w:autoSpaceDE w:val="0"/>
              <w:autoSpaceDN w:val="0"/>
              <w:adjustRightInd w:val="0"/>
              <w:snapToGrid w:val="0"/>
              <w:jc w:val="left"/>
              <w:rPr>
                <w:rFonts w:ascii="宋体" w:hAnsi="宋体"/>
                <w:snapToGrid w:val="0"/>
                <w:kern w:val="0"/>
                <w:sz w:val="28"/>
                <w:szCs w:val="28"/>
              </w:rPr>
            </w:pPr>
          </w:p>
        </w:tc>
        <w:tc>
          <w:tcPr>
            <w:tcW w:w="3827" w:type="dxa"/>
            <w:vAlign w:val="center"/>
          </w:tcPr>
          <w:p w14:paraId="789BA9C1">
            <w:pPr>
              <w:autoSpaceDE w:val="0"/>
              <w:autoSpaceDN w:val="0"/>
              <w:adjustRightInd w:val="0"/>
              <w:snapToGrid w:val="0"/>
              <w:jc w:val="left"/>
              <w:rPr>
                <w:rFonts w:ascii="宋体" w:hAnsi="宋体"/>
                <w:snapToGrid w:val="0"/>
                <w:kern w:val="0"/>
                <w:sz w:val="28"/>
                <w:szCs w:val="28"/>
              </w:rPr>
            </w:pPr>
          </w:p>
        </w:tc>
        <w:tc>
          <w:tcPr>
            <w:tcW w:w="1134" w:type="dxa"/>
            <w:vAlign w:val="center"/>
          </w:tcPr>
          <w:p w14:paraId="4189D171">
            <w:pPr>
              <w:autoSpaceDE w:val="0"/>
              <w:autoSpaceDN w:val="0"/>
              <w:adjustRightInd w:val="0"/>
              <w:snapToGrid w:val="0"/>
              <w:jc w:val="left"/>
              <w:rPr>
                <w:rFonts w:ascii="宋体" w:hAnsi="宋体"/>
                <w:snapToGrid w:val="0"/>
                <w:kern w:val="0"/>
                <w:sz w:val="28"/>
                <w:szCs w:val="28"/>
              </w:rPr>
            </w:pPr>
          </w:p>
        </w:tc>
        <w:tc>
          <w:tcPr>
            <w:tcW w:w="1418" w:type="dxa"/>
            <w:vAlign w:val="center"/>
          </w:tcPr>
          <w:p w14:paraId="7317C65A">
            <w:pPr>
              <w:autoSpaceDE w:val="0"/>
              <w:autoSpaceDN w:val="0"/>
              <w:adjustRightInd w:val="0"/>
              <w:snapToGrid w:val="0"/>
              <w:jc w:val="left"/>
              <w:rPr>
                <w:rFonts w:ascii="宋体" w:hAnsi="宋体"/>
                <w:snapToGrid w:val="0"/>
                <w:kern w:val="0"/>
                <w:sz w:val="28"/>
                <w:szCs w:val="28"/>
              </w:rPr>
            </w:pPr>
          </w:p>
        </w:tc>
        <w:tc>
          <w:tcPr>
            <w:tcW w:w="1275" w:type="dxa"/>
            <w:vAlign w:val="center"/>
          </w:tcPr>
          <w:p w14:paraId="1B017EAD">
            <w:pPr>
              <w:autoSpaceDE w:val="0"/>
              <w:autoSpaceDN w:val="0"/>
              <w:adjustRightInd w:val="0"/>
              <w:snapToGrid w:val="0"/>
              <w:jc w:val="left"/>
              <w:rPr>
                <w:rFonts w:ascii="宋体" w:hAnsi="宋体"/>
                <w:snapToGrid w:val="0"/>
                <w:kern w:val="0"/>
                <w:sz w:val="28"/>
                <w:szCs w:val="28"/>
              </w:rPr>
            </w:pPr>
          </w:p>
        </w:tc>
        <w:tc>
          <w:tcPr>
            <w:tcW w:w="1276" w:type="dxa"/>
            <w:vAlign w:val="center"/>
          </w:tcPr>
          <w:p w14:paraId="64A254CB">
            <w:pPr>
              <w:autoSpaceDE w:val="0"/>
              <w:autoSpaceDN w:val="0"/>
              <w:adjustRightInd w:val="0"/>
              <w:snapToGrid w:val="0"/>
              <w:jc w:val="left"/>
              <w:rPr>
                <w:rFonts w:ascii="宋体" w:hAnsi="宋体"/>
                <w:snapToGrid w:val="0"/>
                <w:kern w:val="0"/>
                <w:sz w:val="28"/>
                <w:szCs w:val="28"/>
              </w:rPr>
            </w:pPr>
          </w:p>
        </w:tc>
        <w:tc>
          <w:tcPr>
            <w:tcW w:w="1134" w:type="dxa"/>
            <w:vAlign w:val="center"/>
          </w:tcPr>
          <w:p w14:paraId="72CE9C27">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14:paraId="766CF8E1">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14:paraId="35BDF677">
            <w:pPr>
              <w:autoSpaceDE w:val="0"/>
              <w:autoSpaceDN w:val="0"/>
              <w:adjustRightInd w:val="0"/>
              <w:snapToGrid w:val="0"/>
              <w:jc w:val="left"/>
              <w:rPr>
                <w:rFonts w:ascii="宋体" w:hAnsi="宋体"/>
                <w:snapToGrid w:val="0"/>
                <w:kern w:val="0"/>
                <w:sz w:val="28"/>
                <w:szCs w:val="28"/>
              </w:rPr>
            </w:pPr>
          </w:p>
        </w:tc>
        <w:tc>
          <w:tcPr>
            <w:tcW w:w="1020" w:type="dxa"/>
            <w:vAlign w:val="center"/>
          </w:tcPr>
          <w:p w14:paraId="04B366CE">
            <w:pPr>
              <w:autoSpaceDE w:val="0"/>
              <w:autoSpaceDN w:val="0"/>
              <w:adjustRightInd w:val="0"/>
              <w:snapToGrid w:val="0"/>
              <w:jc w:val="left"/>
              <w:rPr>
                <w:rFonts w:ascii="宋体" w:hAnsi="宋体"/>
                <w:snapToGrid w:val="0"/>
                <w:kern w:val="0"/>
                <w:sz w:val="28"/>
                <w:szCs w:val="28"/>
              </w:rPr>
            </w:pPr>
          </w:p>
        </w:tc>
      </w:tr>
      <w:tr w14:paraId="4D0ADD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97" w:type="dxa"/>
            <w:vAlign w:val="center"/>
          </w:tcPr>
          <w:p w14:paraId="0EC627B5">
            <w:pPr>
              <w:autoSpaceDE w:val="0"/>
              <w:autoSpaceDN w:val="0"/>
              <w:adjustRightInd w:val="0"/>
              <w:snapToGrid w:val="0"/>
              <w:jc w:val="left"/>
              <w:rPr>
                <w:rFonts w:ascii="宋体" w:hAnsi="宋体"/>
                <w:snapToGrid w:val="0"/>
                <w:kern w:val="0"/>
                <w:sz w:val="28"/>
                <w:szCs w:val="28"/>
              </w:rPr>
            </w:pPr>
          </w:p>
        </w:tc>
        <w:tc>
          <w:tcPr>
            <w:tcW w:w="3827" w:type="dxa"/>
            <w:vAlign w:val="center"/>
          </w:tcPr>
          <w:p w14:paraId="2953409A">
            <w:pPr>
              <w:autoSpaceDE w:val="0"/>
              <w:autoSpaceDN w:val="0"/>
              <w:adjustRightInd w:val="0"/>
              <w:snapToGrid w:val="0"/>
              <w:jc w:val="left"/>
              <w:rPr>
                <w:rFonts w:ascii="宋体" w:hAnsi="宋体"/>
                <w:snapToGrid w:val="0"/>
                <w:kern w:val="0"/>
                <w:sz w:val="28"/>
                <w:szCs w:val="28"/>
              </w:rPr>
            </w:pPr>
          </w:p>
        </w:tc>
        <w:tc>
          <w:tcPr>
            <w:tcW w:w="1134" w:type="dxa"/>
            <w:vAlign w:val="center"/>
          </w:tcPr>
          <w:p w14:paraId="345AF490">
            <w:pPr>
              <w:autoSpaceDE w:val="0"/>
              <w:autoSpaceDN w:val="0"/>
              <w:adjustRightInd w:val="0"/>
              <w:snapToGrid w:val="0"/>
              <w:jc w:val="left"/>
              <w:rPr>
                <w:rFonts w:ascii="宋体" w:hAnsi="宋体"/>
                <w:snapToGrid w:val="0"/>
                <w:kern w:val="0"/>
                <w:sz w:val="28"/>
                <w:szCs w:val="28"/>
              </w:rPr>
            </w:pPr>
          </w:p>
        </w:tc>
        <w:tc>
          <w:tcPr>
            <w:tcW w:w="1418" w:type="dxa"/>
            <w:vAlign w:val="center"/>
          </w:tcPr>
          <w:p w14:paraId="78793433">
            <w:pPr>
              <w:autoSpaceDE w:val="0"/>
              <w:autoSpaceDN w:val="0"/>
              <w:adjustRightInd w:val="0"/>
              <w:snapToGrid w:val="0"/>
              <w:jc w:val="left"/>
              <w:rPr>
                <w:rFonts w:ascii="宋体" w:hAnsi="宋体"/>
                <w:snapToGrid w:val="0"/>
                <w:kern w:val="0"/>
                <w:sz w:val="28"/>
                <w:szCs w:val="28"/>
              </w:rPr>
            </w:pPr>
          </w:p>
        </w:tc>
        <w:tc>
          <w:tcPr>
            <w:tcW w:w="1275" w:type="dxa"/>
            <w:vAlign w:val="center"/>
          </w:tcPr>
          <w:p w14:paraId="34E4F56D">
            <w:pPr>
              <w:autoSpaceDE w:val="0"/>
              <w:autoSpaceDN w:val="0"/>
              <w:adjustRightInd w:val="0"/>
              <w:snapToGrid w:val="0"/>
              <w:jc w:val="left"/>
              <w:rPr>
                <w:rFonts w:ascii="宋体" w:hAnsi="宋体"/>
                <w:snapToGrid w:val="0"/>
                <w:kern w:val="0"/>
                <w:sz w:val="28"/>
                <w:szCs w:val="28"/>
              </w:rPr>
            </w:pPr>
          </w:p>
        </w:tc>
        <w:tc>
          <w:tcPr>
            <w:tcW w:w="1276" w:type="dxa"/>
            <w:vAlign w:val="center"/>
          </w:tcPr>
          <w:p w14:paraId="7A1AB700">
            <w:pPr>
              <w:autoSpaceDE w:val="0"/>
              <w:autoSpaceDN w:val="0"/>
              <w:adjustRightInd w:val="0"/>
              <w:snapToGrid w:val="0"/>
              <w:jc w:val="left"/>
              <w:rPr>
                <w:rFonts w:ascii="宋体" w:hAnsi="宋体"/>
                <w:snapToGrid w:val="0"/>
                <w:kern w:val="0"/>
                <w:sz w:val="28"/>
                <w:szCs w:val="28"/>
              </w:rPr>
            </w:pPr>
          </w:p>
        </w:tc>
        <w:tc>
          <w:tcPr>
            <w:tcW w:w="1134" w:type="dxa"/>
            <w:vAlign w:val="center"/>
          </w:tcPr>
          <w:p w14:paraId="31780C7D">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14:paraId="01556A45">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14:paraId="785F5C7B">
            <w:pPr>
              <w:autoSpaceDE w:val="0"/>
              <w:autoSpaceDN w:val="0"/>
              <w:adjustRightInd w:val="0"/>
              <w:snapToGrid w:val="0"/>
              <w:jc w:val="left"/>
              <w:rPr>
                <w:rFonts w:ascii="宋体" w:hAnsi="宋体"/>
                <w:snapToGrid w:val="0"/>
                <w:kern w:val="0"/>
                <w:sz w:val="28"/>
                <w:szCs w:val="28"/>
              </w:rPr>
            </w:pPr>
          </w:p>
        </w:tc>
        <w:tc>
          <w:tcPr>
            <w:tcW w:w="1020" w:type="dxa"/>
            <w:vAlign w:val="center"/>
          </w:tcPr>
          <w:p w14:paraId="3A763D28">
            <w:pPr>
              <w:autoSpaceDE w:val="0"/>
              <w:autoSpaceDN w:val="0"/>
              <w:adjustRightInd w:val="0"/>
              <w:snapToGrid w:val="0"/>
              <w:jc w:val="left"/>
              <w:rPr>
                <w:rFonts w:ascii="宋体" w:hAnsi="宋体"/>
                <w:snapToGrid w:val="0"/>
                <w:kern w:val="0"/>
                <w:sz w:val="28"/>
                <w:szCs w:val="28"/>
              </w:rPr>
            </w:pPr>
          </w:p>
        </w:tc>
      </w:tr>
      <w:tr w14:paraId="0650D3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424" w:type="dxa"/>
            <w:gridSpan w:val="2"/>
            <w:vAlign w:val="center"/>
          </w:tcPr>
          <w:p w14:paraId="656FB58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9297" w:type="dxa"/>
            <w:gridSpan w:val="8"/>
            <w:vAlign w:val="center"/>
          </w:tcPr>
          <w:p w14:paraId="4D0C2F2A">
            <w:pPr>
              <w:autoSpaceDE w:val="0"/>
              <w:autoSpaceDN w:val="0"/>
              <w:adjustRightInd w:val="0"/>
              <w:snapToGrid w:val="0"/>
              <w:jc w:val="left"/>
              <w:rPr>
                <w:rFonts w:ascii="宋体" w:hAnsi="宋体"/>
                <w:snapToGrid w:val="0"/>
                <w:kern w:val="0"/>
                <w:szCs w:val="21"/>
              </w:rPr>
            </w:pPr>
          </w:p>
        </w:tc>
      </w:tr>
      <w:tr w14:paraId="020CAD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424" w:type="dxa"/>
            <w:gridSpan w:val="2"/>
            <w:vAlign w:val="center"/>
          </w:tcPr>
          <w:p w14:paraId="71BD7051">
            <w:pPr>
              <w:autoSpaceDE w:val="0"/>
              <w:autoSpaceDN w:val="0"/>
              <w:adjustRightInd w:val="0"/>
              <w:snapToGrid w:val="0"/>
              <w:jc w:val="center"/>
              <w:rPr>
                <w:rFonts w:ascii="宋体" w:hAnsi="宋体"/>
                <w:snapToGrid w:val="0"/>
                <w:kern w:val="0"/>
                <w:szCs w:val="21"/>
              </w:rPr>
            </w:pPr>
            <w:r>
              <w:rPr>
                <w:rFonts w:hint="eastAsia"/>
                <w:szCs w:val="21"/>
              </w:rPr>
              <w:t>最高限价的8</w:t>
            </w:r>
            <w:r>
              <w:rPr>
                <w:szCs w:val="21"/>
              </w:rPr>
              <w:t>5</w:t>
            </w:r>
            <w:r>
              <w:rPr>
                <w:rFonts w:hint="eastAsia"/>
                <w:szCs w:val="21"/>
              </w:rPr>
              <w:t>%</w:t>
            </w:r>
          </w:p>
        </w:tc>
        <w:tc>
          <w:tcPr>
            <w:tcW w:w="9297" w:type="dxa"/>
            <w:gridSpan w:val="8"/>
            <w:vAlign w:val="center"/>
          </w:tcPr>
          <w:p w14:paraId="4102AB34">
            <w:pPr>
              <w:autoSpaceDE w:val="0"/>
              <w:autoSpaceDN w:val="0"/>
              <w:adjustRightInd w:val="0"/>
              <w:snapToGrid w:val="0"/>
              <w:ind w:firstLine="420" w:firstLineChars="200"/>
              <w:jc w:val="left"/>
              <w:rPr>
                <w:rFonts w:ascii="宋体" w:hAnsi="宋体"/>
                <w:snapToGrid w:val="0"/>
                <w:kern w:val="0"/>
                <w:szCs w:val="21"/>
              </w:rPr>
            </w:pPr>
            <w:r>
              <w:rPr>
                <w:rFonts w:hint="eastAsia" w:ascii="宋体" w:hAnsi="宋体"/>
                <w:i/>
                <w:kern w:val="0"/>
                <w:szCs w:val="21"/>
              </w:rPr>
              <w:t>[提示：经评审的最低投标价法适用]</w:t>
            </w:r>
          </w:p>
        </w:tc>
      </w:tr>
      <w:tr w14:paraId="65D9DA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424" w:type="dxa"/>
            <w:gridSpan w:val="2"/>
            <w:vAlign w:val="center"/>
          </w:tcPr>
          <w:p w14:paraId="48F6AC20">
            <w:pPr>
              <w:autoSpaceDE w:val="0"/>
              <w:autoSpaceDN w:val="0"/>
              <w:adjustRightInd w:val="0"/>
              <w:snapToGrid w:val="0"/>
              <w:jc w:val="center"/>
              <w:rPr>
                <w:szCs w:val="21"/>
              </w:rPr>
            </w:pPr>
            <w:r>
              <w:rPr>
                <w:rFonts w:hint="eastAsia"/>
                <w:szCs w:val="21"/>
              </w:rPr>
              <w:t>异常情况</w:t>
            </w:r>
          </w:p>
        </w:tc>
        <w:tc>
          <w:tcPr>
            <w:tcW w:w="9297" w:type="dxa"/>
            <w:gridSpan w:val="8"/>
            <w:vAlign w:val="center"/>
          </w:tcPr>
          <w:p w14:paraId="14BF0FBA">
            <w:pPr>
              <w:autoSpaceDE w:val="0"/>
              <w:autoSpaceDN w:val="0"/>
              <w:adjustRightInd w:val="0"/>
              <w:snapToGrid w:val="0"/>
              <w:ind w:firstLine="420" w:firstLineChars="200"/>
              <w:jc w:val="left"/>
              <w:rPr>
                <w:rFonts w:ascii="宋体" w:hAnsi="宋体"/>
                <w:i/>
                <w:kern w:val="0"/>
                <w:szCs w:val="21"/>
              </w:rPr>
            </w:pPr>
          </w:p>
        </w:tc>
      </w:tr>
    </w:tbl>
    <w:p w14:paraId="10A923CE">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21976209">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Pr>
          <w:rFonts w:hint="eastAsia" w:ascii="宋体" w:hAnsi="宋体"/>
          <w:snapToGrid w:val="0"/>
          <w:kern w:val="0"/>
          <w:szCs w:val="21"/>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2AE0DD51">
      <w:pPr>
        <w:autoSpaceDE w:val="0"/>
        <w:autoSpaceDN w:val="0"/>
        <w:adjustRightInd w:val="0"/>
        <w:snapToGrid w:val="0"/>
        <w:spacing w:before="62" w:beforeLines="20" w:line="360" w:lineRule="auto"/>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14:paraId="372C4341">
      <w:pPr>
        <w:autoSpaceDE w:val="0"/>
        <w:autoSpaceDN w:val="0"/>
        <w:adjustRightInd w:val="0"/>
        <w:snapToGrid w:val="0"/>
        <w:spacing w:before="62" w:beforeLines="20" w:line="360" w:lineRule="auto"/>
        <w:rPr>
          <w:rFonts w:ascii="宋体" w:hAnsi="宋体"/>
          <w:snapToGrid w:val="0"/>
          <w:kern w:val="0"/>
          <w:sz w:val="24"/>
        </w:rPr>
      </w:pPr>
      <w:r>
        <w:rPr>
          <w:rFonts w:ascii="宋体" w:hAnsi="宋体"/>
          <w:snapToGrid w:val="0"/>
          <w:kern w:val="0"/>
          <w:szCs w:val="21"/>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14:paraId="12A4F475">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14:paraId="30D60276">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31"/>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046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099AADF">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序号</w:t>
            </w:r>
          </w:p>
        </w:tc>
        <w:tc>
          <w:tcPr>
            <w:tcW w:w="4160" w:type="dxa"/>
          </w:tcPr>
          <w:p w14:paraId="6202BD89">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比选申请人</w:t>
            </w:r>
          </w:p>
        </w:tc>
        <w:tc>
          <w:tcPr>
            <w:tcW w:w="3088" w:type="dxa"/>
          </w:tcPr>
          <w:p w14:paraId="0E6F05F8">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金额（元）</w:t>
            </w:r>
          </w:p>
        </w:tc>
        <w:tc>
          <w:tcPr>
            <w:tcW w:w="2987" w:type="dxa"/>
          </w:tcPr>
          <w:p w14:paraId="2F95EC7A">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递交时间</w:t>
            </w:r>
          </w:p>
        </w:tc>
        <w:tc>
          <w:tcPr>
            <w:tcW w:w="3175" w:type="dxa"/>
          </w:tcPr>
          <w:p w14:paraId="1C6C2252">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备注</w:t>
            </w:r>
          </w:p>
        </w:tc>
      </w:tr>
      <w:tr w14:paraId="17E7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07E8160">
            <w:pPr>
              <w:autoSpaceDE w:val="0"/>
              <w:autoSpaceDN w:val="0"/>
              <w:adjustRightInd w:val="0"/>
              <w:snapToGrid w:val="0"/>
              <w:spacing w:before="62" w:beforeLines="20" w:line="360" w:lineRule="auto"/>
              <w:rPr>
                <w:rFonts w:ascii="宋体" w:hAnsi="宋体"/>
                <w:szCs w:val="21"/>
              </w:rPr>
            </w:pPr>
          </w:p>
        </w:tc>
        <w:tc>
          <w:tcPr>
            <w:tcW w:w="4160" w:type="dxa"/>
          </w:tcPr>
          <w:p w14:paraId="60573E72">
            <w:pPr>
              <w:autoSpaceDE w:val="0"/>
              <w:autoSpaceDN w:val="0"/>
              <w:adjustRightInd w:val="0"/>
              <w:snapToGrid w:val="0"/>
              <w:spacing w:before="62" w:beforeLines="20" w:line="360" w:lineRule="auto"/>
              <w:rPr>
                <w:rFonts w:ascii="宋体" w:hAnsi="宋体"/>
                <w:szCs w:val="21"/>
              </w:rPr>
            </w:pPr>
          </w:p>
        </w:tc>
        <w:tc>
          <w:tcPr>
            <w:tcW w:w="3088" w:type="dxa"/>
          </w:tcPr>
          <w:p w14:paraId="77E82A4F">
            <w:pPr>
              <w:autoSpaceDE w:val="0"/>
              <w:autoSpaceDN w:val="0"/>
              <w:adjustRightInd w:val="0"/>
              <w:snapToGrid w:val="0"/>
              <w:spacing w:before="62" w:beforeLines="20" w:line="360" w:lineRule="auto"/>
              <w:rPr>
                <w:rFonts w:ascii="宋体" w:hAnsi="宋体"/>
                <w:szCs w:val="21"/>
              </w:rPr>
            </w:pPr>
          </w:p>
        </w:tc>
        <w:tc>
          <w:tcPr>
            <w:tcW w:w="2987" w:type="dxa"/>
          </w:tcPr>
          <w:p w14:paraId="4E54E71F">
            <w:pPr>
              <w:autoSpaceDE w:val="0"/>
              <w:autoSpaceDN w:val="0"/>
              <w:adjustRightInd w:val="0"/>
              <w:snapToGrid w:val="0"/>
              <w:spacing w:before="62" w:beforeLines="20" w:line="360" w:lineRule="auto"/>
              <w:rPr>
                <w:rFonts w:ascii="宋体" w:hAnsi="宋体"/>
                <w:szCs w:val="21"/>
              </w:rPr>
            </w:pPr>
          </w:p>
        </w:tc>
        <w:tc>
          <w:tcPr>
            <w:tcW w:w="3175" w:type="dxa"/>
          </w:tcPr>
          <w:p w14:paraId="4922BA7A">
            <w:pPr>
              <w:autoSpaceDE w:val="0"/>
              <w:autoSpaceDN w:val="0"/>
              <w:adjustRightInd w:val="0"/>
              <w:snapToGrid w:val="0"/>
              <w:spacing w:before="62" w:beforeLines="20" w:line="360" w:lineRule="auto"/>
              <w:rPr>
                <w:rFonts w:ascii="宋体" w:hAnsi="宋体"/>
                <w:szCs w:val="21"/>
              </w:rPr>
            </w:pPr>
          </w:p>
        </w:tc>
      </w:tr>
      <w:tr w14:paraId="4A6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8B9E632">
            <w:pPr>
              <w:autoSpaceDE w:val="0"/>
              <w:autoSpaceDN w:val="0"/>
              <w:adjustRightInd w:val="0"/>
              <w:snapToGrid w:val="0"/>
              <w:spacing w:before="62" w:beforeLines="20" w:line="360" w:lineRule="auto"/>
              <w:rPr>
                <w:rFonts w:ascii="宋体" w:hAnsi="宋体"/>
                <w:szCs w:val="21"/>
              </w:rPr>
            </w:pPr>
          </w:p>
        </w:tc>
        <w:tc>
          <w:tcPr>
            <w:tcW w:w="4160" w:type="dxa"/>
          </w:tcPr>
          <w:p w14:paraId="5A09135A">
            <w:pPr>
              <w:autoSpaceDE w:val="0"/>
              <w:autoSpaceDN w:val="0"/>
              <w:adjustRightInd w:val="0"/>
              <w:snapToGrid w:val="0"/>
              <w:spacing w:before="62" w:beforeLines="20" w:line="360" w:lineRule="auto"/>
              <w:rPr>
                <w:rFonts w:ascii="宋体" w:hAnsi="宋体"/>
                <w:szCs w:val="21"/>
              </w:rPr>
            </w:pPr>
          </w:p>
        </w:tc>
        <w:tc>
          <w:tcPr>
            <w:tcW w:w="3088" w:type="dxa"/>
          </w:tcPr>
          <w:p w14:paraId="79BACB40">
            <w:pPr>
              <w:autoSpaceDE w:val="0"/>
              <w:autoSpaceDN w:val="0"/>
              <w:adjustRightInd w:val="0"/>
              <w:snapToGrid w:val="0"/>
              <w:spacing w:before="62" w:beforeLines="20" w:line="360" w:lineRule="auto"/>
              <w:rPr>
                <w:rFonts w:ascii="宋体" w:hAnsi="宋体"/>
                <w:szCs w:val="21"/>
              </w:rPr>
            </w:pPr>
          </w:p>
        </w:tc>
        <w:tc>
          <w:tcPr>
            <w:tcW w:w="2987" w:type="dxa"/>
          </w:tcPr>
          <w:p w14:paraId="620187FB">
            <w:pPr>
              <w:autoSpaceDE w:val="0"/>
              <w:autoSpaceDN w:val="0"/>
              <w:adjustRightInd w:val="0"/>
              <w:snapToGrid w:val="0"/>
              <w:spacing w:before="62" w:beforeLines="20" w:line="360" w:lineRule="auto"/>
              <w:rPr>
                <w:rFonts w:ascii="宋体" w:hAnsi="宋体"/>
                <w:szCs w:val="21"/>
              </w:rPr>
            </w:pPr>
          </w:p>
        </w:tc>
        <w:tc>
          <w:tcPr>
            <w:tcW w:w="3175" w:type="dxa"/>
          </w:tcPr>
          <w:p w14:paraId="354ECD73">
            <w:pPr>
              <w:autoSpaceDE w:val="0"/>
              <w:autoSpaceDN w:val="0"/>
              <w:adjustRightInd w:val="0"/>
              <w:snapToGrid w:val="0"/>
              <w:spacing w:before="62" w:beforeLines="20" w:line="360" w:lineRule="auto"/>
              <w:rPr>
                <w:rFonts w:ascii="宋体" w:hAnsi="宋体"/>
                <w:szCs w:val="21"/>
              </w:rPr>
            </w:pPr>
          </w:p>
        </w:tc>
      </w:tr>
      <w:tr w14:paraId="160D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0048768">
            <w:pPr>
              <w:autoSpaceDE w:val="0"/>
              <w:autoSpaceDN w:val="0"/>
              <w:adjustRightInd w:val="0"/>
              <w:snapToGrid w:val="0"/>
              <w:spacing w:before="62" w:beforeLines="20" w:line="360" w:lineRule="auto"/>
              <w:rPr>
                <w:rFonts w:ascii="宋体" w:hAnsi="宋体"/>
                <w:szCs w:val="21"/>
              </w:rPr>
            </w:pPr>
          </w:p>
        </w:tc>
        <w:tc>
          <w:tcPr>
            <w:tcW w:w="4160" w:type="dxa"/>
          </w:tcPr>
          <w:p w14:paraId="46454A1B">
            <w:pPr>
              <w:autoSpaceDE w:val="0"/>
              <w:autoSpaceDN w:val="0"/>
              <w:adjustRightInd w:val="0"/>
              <w:snapToGrid w:val="0"/>
              <w:spacing w:before="62" w:beforeLines="20" w:line="360" w:lineRule="auto"/>
              <w:rPr>
                <w:rFonts w:ascii="宋体" w:hAnsi="宋体"/>
                <w:szCs w:val="21"/>
              </w:rPr>
            </w:pPr>
          </w:p>
        </w:tc>
        <w:tc>
          <w:tcPr>
            <w:tcW w:w="3088" w:type="dxa"/>
          </w:tcPr>
          <w:p w14:paraId="0ED6F5D1">
            <w:pPr>
              <w:autoSpaceDE w:val="0"/>
              <w:autoSpaceDN w:val="0"/>
              <w:adjustRightInd w:val="0"/>
              <w:snapToGrid w:val="0"/>
              <w:spacing w:before="62" w:beforeLines="20" w:line="360" w:lineRule="auto"/>
              <w:rPr>
                <w:rFonts w:ascii="宋体" w:hAnsi="宋体"/>
                <w:szCs w:val="21"/>
              </w:rPr>
            </w:pPr>
          </w:p>
        </w:tc>
        <w:tc>
          <w:tcPr>
            <w:tcW w:w="2987" w:type="dxa"/>
          </w:tcPr>
          <w:p w14:paraId="7DE679ED">
            <w:pPr>
              <w:autoSpaceDE w:val="0"/>
              <w:autoSpaceDN w:val="0"/>
              <w:adjustRightInd w:val="0"/>
              <w:snapToGrid w:val="0"/>
              <w:spacing w:before="62" w:beforeLines="20" w:line="360" w:lineRule="auto"/>
              <w:rPr>
                <w:rFonts w:ascii="宋体" w:hAnsi="宋体"/>
                <w:szCs w:val="21"/>
              </w:rPr>
            </w:pPr>
          </w:p>
        </w:tc>
        <w:tc>
          <w:tcPr>
            <w:tcW w:w="3175" w:type="dxa"/>
          </w:tcPr>
          <w:p w14:paraId="7FA7ABFF">
            <w:pPr>
              <w:autoSpaceDE w:val="0"/>
              <w:autoSpaceDN w:val="0"/>
              <w:adjustRightInd w:val="0"/>
              <w:snapToGrid w:val="0"/>
              <w:spacing w:before="62" w:beforeLines="20" w:line="360" w:lineRule="auto"/>
              <w:rPr>
                <w:rFonts w:ascii="宋体" w:hAnsi="宋体"/>
                <w:szCs w:val="21"/>
              </w:rPr>
            </w:pPr>
          </w:p>
        </w:tc>
      </w:tr>
      <w:tr w14:paraId="3B9F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EB14A11">
            <w:pPr>
              <w:autoSpaceDE w:val="0"/>
              <w:autoSpaceDN w:val="0"/>
              <w:adjustRightInd w:val="0"/>
              <w:snapToGrid w:val="0"/>
              <w:spacing w:before="62" w:beforeLines="20" w:line="360" w:lineRule="auto"/>
              <w:rPr>
                <w:rFonts w:ascii="宋体" w:hAnsi="宋体"/>
                <w:szCs w:val="21"/>
              </w:rPr>
            </w:pPr>
          </w:p>
        </w:tc>
        <w:tc>
          <w:tcPr>
            <w:tcW w:w="4160" w:type="dxa"/>
          </w:tcPr>
          <w:p w14:paraId="4FA93253">
            <w:pPr>
              <w:autoSpaceDE w:val="0"/>
              <w:autoSpaceDN w:val="0"/>
              <w:adjustRightInd w:val="0"/>
              <w:snapToGrid w:val="0"/>
              <w:spacing w:before="62" w:beforeLines="20" w:line="360" w:lineRule="auto"/>
              <w:rPr>
                <w:rFonts w:ascii="宋体" w:hAnsi="宋体"/>
                <w:szCs w:val="21"/>
              </w:rPr>
            </w:pPr>
          </w:p>
        </w:tc>
        <w:tc>
          <w:tcPr>
            <w:tcW w:w="3088" w:type="dxa"/>
          </w:tcPr>
          <w:p w14:paraId="5F8A88B7">
            <w:pPr>
              <w:autoSpaceDE w:val="0"/>
              <w:autoSpaceDN w:val="0"/>
              <w:adjustRightInd w:val="0"/>
              <w:snapToGrid w:val="0"/>
              <w:spacing w:before="62" w:beforeLines="20" w:line="360" w:lineRule="auto"/>
              <w:rPr>
                <w:rFonts w:ascii="宋体" w:hAnsi="宋体"/>
                <w:szCs w:val="21"/>
              </w:rPr>
            </w:pPr>
          </w:p>
        </w:tc>
        <w:tc>
          <w:tcPr>
            <w:tcW w:w="2987" w:type="dxa"/>
          </w:tcPr>
          <w:p w14:paraId="1A5AB289">
            <w:pPr>
              <w:autoSpaceDE w:val="0"/>
              <w:autoSpaceDN w:val="0"/>
              <w:adjustRightInd w:val="0"/>
              <w:snapToGrid w:val="0"/>
              <w:spacing w:before="62" w:beforeLines="20" w:line="360" w:lineRule="auto"/>
              <w:rPr>
                <w:rFonts w:ascii="宋体" w:hAnsi="宋体"/>
                <w:szCs w:val="21"/>
              </w:rPr>
            </w:pPr>
          </w:p>
        </w:tc>
        <w:tc>
          <w:tcPr>
            <w:tcW w:w="3175" w:type="dxa"/>
          </w:tcPr>
          <w:p w14:paraId="39A5E5EF">
            <w:pPr>
              <w:autoSpaceDE w:val="0"/>
              <w:autoSpaceDN w:val="0"/>
              <w:adjustRightInd w:val="0"/>
              <w:snapToGrid w:val="0"/>
              <w:spacing w:before="62" w:beforeLines="20" w:line="360" w:lineRule="auto"/>
              <w:rPr>
                <w:rFonts w:ascii="宋体" w:hAnsi="宋体"/>
                <w:szCs w:val="21"/>
              </w:rPr>
            </w:pPr>
          </w:p>
        </w:tc>
      </w:tr>
      <w:tr w14:paraId="2138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2B48EFB">
            <w:pPr>
              <w:autoSpaceDE w:val="0"/>
              <w:autoSpaceDN w:val="0"/>
              <w:adjustRightInd w:val="0"/>
              <w:snapToGrid w:val="0"/>
              <w:spacing w:before="62" w:beforeLines="20" w:line="360" w:lineRule="auto"/>
              <w:rPr>
                <w:rFonts w:ascii="宋体" w:hAnsi="宋体"/>
                <w:szCs w:val="21"/>
              </w:rPr>
            </w:pPr>
          </w:p>
        </w:tc>
        <w:tc>
          <w:tcPr>
            <w:tcW w:w="4160" w:type="dxa"/>
          </w:tcPr>
          <w:p w14:paraId="16536539">
            <w:pPr>
              <w:autoSpaceDE w:val="0"/>
              <w:autoSpaceDN w:val="0"/>
              <w:adjustRightInd w:val="0"/>
              <w:snapToGrid w:val="0"/>
              <w:spacing w:before="62" w:beforeLines="20" w:line="360" w:lineRule="auto"/>
              <w:rPr>
                <w:rFonts w:ascii="宋体" w:hAnsi="宋体"/>
                <w:szCs w:val="21"/>
              </w:rPr>
            </w:pPr>
          </w:p>
        </w:tc>
        <w:tc>
          <w:tcPr>
            <w:tcW w:w="3088" w:type="dxa"/>
          </w:tcPr>
          <w:p w14:paraId="3287BB65">
            <w:pPr>
              <w:autoSpaceDE w:val="0"/>
              <w:autoSpaceDN w:val="0"/>
              <w:adjustRightInd w:val="0"/>
              <w:snapToGrid w:val="0"/>
              <w:spacing w:before="62" w:beforeLines="20" w:line="360" w:lineRule="auto"/>
              <w:rPr>
                <w:rFonts w:ascii="宋体" w:hAnsi="宋体"/>
                <w:szCs w:val="21"/>
              </w:rPr>
            </w:pPr>
          </w:p>
        </w:tc>
        <w:tc>
          <w:tcPr>
            <w:tcW w:w="2987" w:type="dxa"/>
          </w:tcPr>
          <w:p w14:paraId="4521DA2B">
            <w:pPr>
              <w:autoSpaceDE w:val="0"/>
              <w:autoSpaceDN w:val="0"/>
              <w:adjustRightInd w:val="0"/>
              <w:snapToGrid w:val="0"/>
              <w:spacing w:before="62" w:beforeLines="20" w:line="360" w:lineRule="auto"/>
              <w:rPr>
                <w:rFonts w:ascii="宋体" w:hAnsi="宋体"/>
                <w:szCs w:val="21"/>
              </w:rPr>
            </w:pPr>
          </w:p>
        </w:tc>
        <w:tc>
          <w:tcPr>
            <w:tcW w:w="3175" w:type="dxa"/>
          </w:tcPr>
          <w:p w14:paraId="6BB9B72B">
            <w:pPr>
              <w:autoSpaceDE w:val="0"/>
              <w:autoSpaceDN w:val="0"/>
              <w:adjustRightInd w:val="0"/>
              <w:snapToGrid w:val="0"/>
              <w:spacing w:before="62" w:beforeLines="20" w:line="360" w:lineRule="auto"/>
              <w:rPr>
                <w:rFonts w:ascii="宋体" w:hAnsi="宋体"/>
                <w:szCs w:val="21"/>
              </w:rPr>
            </w:pPr>
          </w:p>
        </w:tc>
      </w:tr>
      <w:tr w14:paraId="2D26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622F614">
            <w:pPr>
              <w:autoSpaceDE w:val="0"/>
              <w:autoSpaceDN w:val="0"/>
              <w:adjustRightInd w:val="0"/>
              <w:snapToGrid w:val="0"/>
              <w:spacing w:before="62" w:beforeLines="20" w:line="360" w:lineRule="auto"/>
              <w:rPr>
                <w:rFonts w:ascii="宋体" w:hAnsi="宋体"/>
                <w:szCs w:val="21"/>
              </w:rPr>
            </w:pPr>
          </w:p>
        </w:tc>
        <w:tc>
          <w:tcPr>
            <w:tcW w:w="4160" w:type="dxa"/>
          </w:tcPr>
          <w:p w14:paraId="069E66E6">
            <w:pPr>
              <w:autoSpaceDE w:val="0"/>
              <w:autoSpaceDN w:val="0"/>
              <w:adjustRightInd w:val="0"/>
              <w:snapToGrid w:val="0"/>
              <w:spacing w:before="62" w:beforeLines="20" w:line="360" w:lineRule="auto"/>
              <w:rPr>
                <w:rFonts w:ascii="宋体" w:hAnsi="宋体"/>
                <w:szCs w:val="21"/>
              </w:rPr>
            </w:pPr>
          </w:p>
        </w:tc>
        <w:tc>
          <w:tcPr>
            <w:tcW w:w="3088" w:type="dxa"/>
          </w:tcPr>
          <w:p w14:paraId="2792ACB1">
            <w:pPr>
              <w:autoSpaceDE w:val="0"/>
              <w:autoSpaceDN w:val="0"/>
              <w:adjustRightInd w:val="0"/>
              <w:snapToGrid w:val="0"/>
              <w:spacing w:before="62" w:beforeLines="20" w:line="360" w:lineRule="auto"/>
              <w:rPr>
                <w:rFonts w:ascii="宋体" w:hAnsi="宋体"/>
                <w:szCs w:val="21"/>
              </w:rPr>
            </w:pPr>
          </w:p>
        </w:tc>
        <w:tc>
          <w:tcPr>
            <w:tcW w:w="2987" w:type="dxa"/>
          </w:tcPr>
          <w:p w14:paraId="01D7BCA7">
            <w:pPr>
              <w:autoSpaceDE w:val="0"/>
              <w:autoSpaceDN w:val="0"/>
              <w:adjustRightInd w:val="0"/>
              <w:snapToGrid w:val="0"/>
              <w:spacing w:before="62" w:beforeLines="20" w:line="360" w:lineRule="auto"/>
              <w:rPr>
                <w:rFonts w:ascii="宋体" w:hAnsi="宋体"/>
                <w:szCs w:val="21"/>
              </w:rPr>
            </w:pPr>
          </w:p>
        </w:tc>
        <w:tc>
          <w:tcPr>
            <w:tcW w:w="3175" w:type="dxa"/>
          </w:tcPr>
          <w:p w14:paraId="09641060">
            <w:pPr>
              <w:autoSpaceDE w:val="0"/>
              <w:autoSpaceDN w:val="0"/>
              <w:adjustRightInd w:val="0"/>
              <w:snapToGrid w:val="0"/>
              <w:spacing w:before="62" w:beforeLines="20" w:line="360" w:lineRule="auto"/>
              <w:rPr>
                <w:rFonts w:ascii="宋体" w:hAnsi="宋体"/>
                <w:szCs w:val="21"/>
              </w:rPr>
            </w:pPr>
          </w:p>
        </w:tc>
      </w:tr>
      <w:tr w14:paraId="10EE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33C174D">
            <w:pPr>
              <w:autoSpaceDE w:val="0"/>
              <w:autoSpaceDN w:val="0"/>
              <w:adjustRightInd w:val="0"/>
              <w:snapToGrid w:val="0"/>
              <w:spacing w:before="62" w:beforeLines="20" w:line="360" w:lineRule="auto"/>
              <w:rPr>
                <w:rFonts w:ascii="宋体" w:hAnsi="宋体"/>
                <w:szCs w:val="21"/>
              </w:rPr>
            </w:pPr>
          </w:p>
        </w:tc>
        <w:tc>
          <w:tcPr>
            <w:tcW w:w="4160" w:type="dxa"/>
          </w:tcPr>
          <w:p w14:paraId="51017FE0">
            <w:pPr>
              <w:autoSpaceDE w:val="0"/>
              <w:autoSpaceDN w:val="0"/>
              <w:adjustRightInd w:val="0"/>
              <w:snapToGrid w:val="0"/>
              <w:spacing w:before="62" w:beforeLines="20" w:line="360" w:lineRule="auto"/>
              <w:rPr>
                <w:rFonts w:ascii="宋体" w:hAnsi="宋体"/>
                <w:szCs w:val="21"/>
              </w:rPr>
            </w:pPr>
          </w:p>
        </w:tc>
        <w:tc>
          <w:tcPr>
            <w:tcW w:w="3088" w:type="dxa"/>
          </w:tcPr>
          <w:p w14:paraId="125AF178">
            <w:pPr>
              <w:autoSpaceDE w:val="0"/>
              <w:autoSpaceDN w:val="0"/>
              <w:adjustRightInd w:val="0"/>
              <w:snapToGrid w:val="0"/>
              <w:spacing w:before="62" w:beforeLines="20" w:line="360" w:lineRule="auto"/>
              <w:rPr>
                <w:rFonts w:ascii="宋体" w:hAnsi="宋体"/>
                <w:szCs w:val="21"/>
              </w:rPr>
            </w:pPr>
          </w:p>
        </w:tc>
        <w:tc>
          <w:tcPr>
            <w:tcW w:w="2987" w:type="dxa"/>
          </w:tcPr>
          <w:p w14:paraId="3A52BA64">
            <w:pPr>
              <w:autoSpaceDE w:val="0"/>
              <w:autoSpaceDN w:val="0"/>
              <w:adjustRightInd w:val="0"/>
              <w:snapToGrid w:val="0"/>
              <w:spacing w:before="62" w:beforeLines="20" w:line="360" w:lineRule="auto"/>
              <w:rPr>
                <w:rFonts w:ascii="宋体" w:hAnsi="宋体"/>
                <w:szCs w:val="21"/>
              </w:rPr>
            </w:pPr>
          </w:p>
        </w:tc>
        <w:tc>
          <w:tcPr>
            <w:tcW w:w="3175" w:type="dxa"/>
          </w:tcPr>
          <w:p w14:paraId="6F1FDE1B">
            <w:pPr>
              <w:autoSpaceDE w:val="0"/>
              <w:autoSpaceDN w:val="0"/>
              <w:adjustRightInd w:val="0"/>
              <w:snapToGrid w:val="0"/>
              <w:spacing w:before="62" w:beforeLines="20" w:line="360" w:lineRule="auto"/>
              <w:rPr>
                <w:rFonts w:ascii="宋体" w:hAnsi="宋体"/>
                <w:szCs w:val="21"/>
              </w:rPr>
            </w:pPr>
          </w:p>
        </w:tc>
      </w:tr>
      <w:tr w14:paraId="0E26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9590027">
            <w:pPr>
              <w:autoSpaceDE w:val="0"/>
              <w:autoSpaceDN w:val="0"/>
              <w:adjustRightInd w:val="0"/>
              <w:snapToGrid w:val="0"/>
              <w:spacing w:before="62" w:beforeLines="20" w:line="360" w:lineRule="auto"/>
              <w:rPr>
                <w:rFonts w:ascii="宋体" w:hAnsi="宋体"/>
                <w:szCs w:val="21"/>
              </w:rPr>
            </w:pPr>
          </w:p>
        </w:tc>
        <w:tc>
          <w:tcPr>
            <w:tcW w:w="4160" w:type="dxa"/>
          </w:tcPr>
          <w:p w14:paraId="64B70A62">
            <w:pPr>
              <w:autoSpaceDE w:val="0"/>
              <w:autoSpaceDN w:val="0"/>
              <w:adjustRightInd w:val="0"/>
              <w:snapToGrid w:val="0"/>
              <w:spacing w:before="62" w:beforeLines="20" w:line="360" w:lineRule="auto"/>
              <w:rPr>
                <w:rFonts w:ascii="宋体" w:hAnsi="宋体"/>
                <w:szCs w:val="21"/>
              </w:rPr>
            </w:pPr>
          </w:p>
        </w:tc>
        <w:tc>
          <w:tcPr>
            <w:tcW w:w="3088" w:type="dxa"/>
          </w:tcPr>
          <w:p w14:paraId="234B715A">
            <w:pPr>
              <w:autoSpaceDE w:val="0"/>
              <w:autoSpaceDN w:val="0"/>
              <w:adjustRightInd w:val="0"/>
              <w:snapToGrid w:val="0"/>
              <w:spacing w:before="62" w:beforeLines="20" w:line="360" w:lineRule="auto"/>
              <w:rPr>
                <w:rFonts w:ascii="宋体" w:hAnsi="宋体"/>
                <w:szCs w:val="21"/>
              </w:rPr>
            </w:pPr>
          </w:p>
        </w:tc>
        <w:tc>
          <w:tcPr>
            <w:tcW w:w="2987" w:type="dxa"/>
          </w:tcPr>
          <w:p w14:paraId="199AD552">
            <w:pPr>
              <w:autoSpaceDE w:val="0"/>
              <w:autoSpaceDN w:val="0"/>
              <w:adjustRightInd w:val="0"/>
              <w:snapToGrid w:val="0"/>
              <w:spacing w:before="62" w:beforeLines="20" w:line="360" w:lineRule="auto"/>
              <w:rPr>
                <w:rFonts w:ascii="宋体" w:hAnsi="宋体"/>
                <w:szCs w:val="21"/>
              </w:rPr>
            </w:pPr>
          </w:p>
        </w:tc>
        <w:tc>
          <w:tcPr>
            <w:tcW w:w="3175" w:type="dxa"/>
          </w:tcPr>
          <w:p w14:paraId="7E2A1BD1">
            <w:pPr>
              <w:autoSpaceDE w:val="0"/>
              <w:autoSpaceDN w:val="0"/>
              <w:adjustRightInd w:val="0"/>
              <w:snapToGrid w:val="0"/>
              <w:spacing w:before="62" w:beforeLines="20" w:line="360" w:lineRule="auto"/>
              <w:rPr>
                <w:rFonts w:ascii="宋体" w:hAnsi="宋体"/>
                <w:szCs w:val="21"/>
              </w:rPr>
            </w:pPr>
          </w:p>
        </w:tc>
      </w:tr>
      <w:tr w14:paraId="6C78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DE2DDEE">
            <w:pPr>
              <w:autoSpaceDE w:val="0"/>
              <w:autoSpaceDN w:val="0"/>
              <w:adjustRightInd w:val="0"/>
              <w:snapToGrid w:val="0"/>
              <w:spacing w:before="62" w:beforeLines="20" w:line="360" w:lineRule="auto"/>
              <w:rPr>
                <w:rFonts w:ascii="宋体" w:hAnsi="宋体"/>
                <w:szCs w:val="21"/>
              </w:rPr>
            </w:pPr>
          </w:p>
        </w:tc>
        <w:tc>
          <w:tcPr>
            <w:tcW w:w="4160" w:type="dxa"/>
          </w:tcPr>
          <w:p w14:paraId="759DDFC9">
            <w:pPr>
              <w:autoSpaceDE w:val="0"/>
              <w:autoSpaceDN w:val="0"/>
              <w:adjustRightInd w:val="0"/>
              <w:snapToGrid w:val="0"/>
              <w:spacing w:before="62" w:beforeLines="20" w:line="360" w:lineRule="auto"/>
              <w:rPr>
                <w:rFonts w:ascii="宋体" w:hAnsi="宋体"/>
                <w:szCs w:val="21"/>
              </w:rPr>
            </w:pPr>
          </w:p>
        </w:tc>
        <w:tc>
          <w:tcPr>
            <w:tcW w:w="3088" w:type="dxa"/>
          </w:tcPr>
          <w:p w14:paraId="5CC697D0">
            <w:pPr>
              <w:autoSpaceDE w:val="0"/>
              <w:autoSpaceDN w:val="0"/>
              <w:adjustRightInd w:val="0"/>
              <w:snapToGrid w:val="0"/>
              <w:spacing w:before="62" w:beforeLines="20" w:line="360" w:lineRule="auto"/>
              <w:rPr>
                <w:rFonts w:ascii="宋体" w:hAnsi="宋体"/>
                <w:szCs w:val="21"/>
              </w:rPr>
            </w:pPr>
          </w:p>
        </w:tc>
        <w:tc>
          <w:tcPr>
            <w:tcW w:w="2987" w:type="dxa"/>
          </w:tcPr>
          <w:p w14:paraId="2F782E58">
            <w:pPr>
              <w:autoSpaceDE w:val="0"/>
              <w:autoSpaceDN w:val="0"/>
              <w:adjustRightInd w:val="0"/>
              <w:snapToGrid w:val="0"/>
              <w:spacing w:before="62" w:beforeLines="20" w:line="360" w:lineRule="auto"/>
              <w:rPr>
                <w:rFonts w:ascii="宋体" w:hAnsi="宋体"/>
                <w:szCs w:val="21"/>
              </w:rPr>
            </w:pPr>
          </w:p>
        </w:tc>
        <w:tc>
          <w:tcPr>
            <w:tcW w:w="3175" w:type="dxa"/>
          </w:tcPr>
          <w:p w14:paraId="638011E0">
            <w:pPr>
              <w:autoSpaceDE w:val="0"/>
              <w:autoSpaceDN w:val="0"/>
              <w:adjustRightInd w:val="0"/>
              <w:snapToGrid w:val="0"/>
              <w:spacing w:before="62" w:beforeLines="20" w:line="360" w:lineRule="auto"/>
              <w:rPr>
                <w:rFonts w:ascii="宋体" w:hAnsi="宋体"/>
                <w:szCs w:val="21"/>
              </w:rPr>
            </w:pPr>
          </w:p>
        </w:tc>
      </w:tr>
      <w:tr w14:paraId="56CE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3DF377B">
            <w:pPr>
              <w:autoSpaceDE w:val="0"/>
              <w:autoSpaceDN w:val="0"/>
              <w:adjustRightInd w:val="0"/>
              <w:snapToGrid w:val="0"/>
              <w:spacing w:before="62" w:beforeLines="20" w:line="360" w:lineRule="auto"/>
              <w:rPr>
                <w:rFonts w:ascii="宋体" w:hAnsi="宋体"/>
                <w:szCs w:val="21"/>
              </w:rPr>
            </w:pPr>
          </w:p>
        </w:tc>
        <w:tc>
          <w:tcPr>
            <w:tcW w:w="4160" w:type="dxa"/>
          </w:tcPr>
          <w:p w14:paraId="7AFC9A87">
            <w:pPr>
              <w:autoSpaceDE w:val="0"/>
              <w:autoSpaceDN w:val="0"/>
              <w:adjustRightInd w:val="0"/>
              <w:snapToGrid w:val="0"/>
              <w:spacing w:before="62" w:beforeLines="20" w:line="360" w:lineRule="auto"/>
              <w:rPr>
                <w:rFonts w:ascii="宋体" w:hAnsi="宋体"/>
                <w:szCs w:val="21"/>
              </w:rPr>
            </w:pPr>
          </w:p>
        </w:tc>
        <w:tc>
          <w:tcPr>
            <w:tcW w:w="3088" w:type="dxa"/>
          </w:tcPr>
          <w:p w14:paraId="4FAA558D">
            <w:pPr>
              <w:autoSpaceDE w:val="0"/>
              <w:autoSpaceDN w:val="0"/>
              <w:adjustRightInd w:val="0"/>
              <w:snapToGrid w:val="0"/>
              <w:spacing w:before="62" w:beforeLines="20" w:line="360" w:lineRule="auto"/>
              <w:rPr>
                <w:rFonts w:ascii="宋体" w:hAnsi="宋体"/>
                <w:szCs w:val="21"/>
              </w:rPr>
            </w:pPr>
          </w:p>
        </w:tc>
        <w:tc>
          <w:tcPr>
            <w:tcW w:w="2987" w:type="dxa"/>
          </w:tcPr>
          <w:p w14:paraId="03DCB771">
            <w:pPr>
              <w:autoSpaceDE w:val="0"/>
              <w:autoSpaceDN w:val="0"/>
              <w:adjustRightInd w:val="0"/>
              <w:snapToGrid w:val="0"/>
              <w:spacing w:before="62" w:beforeLines="20" w:line="360" w:lineRule="auto"/>
              <w:rPr>
                <w:rFonts w:ascii="宋体" w:hAnsi="宋体"/>
                <w:szCs w:val="21"/>
              </w:rPr>
            </w:pPr>
          </w:p>
        </w:tc>
        <w:tc>
          <w:tcPr>
            <w:tcW w:w="3175" w:type="dxa"/>
          </w:tcPr>
          <w:p w14:paraId="347A94B6">
            <w:pPr>
              <w:autoSpaceDE w:val="0"/>
              <w:autoSpaceDN w:val="0"/>
              <w:adjustRightInd w:val="0"/>
              <w:snapToGrid w:val="0"/>
              <w:spacing w:before="62" w:beforeLines="20" w:line="360" w:lineRule="auto"/>
              <w:rPr>
                <w:rFonts w:ascii="宋体" w:hAnsi="宋体"/>
                <w:szCs w:val="21"/>
              </w:rPr>
            </w:pPr>
          </w:p>
        </w:tc>
      </w:tr>
      <w:tr w14:paraId="32C1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3459883">
            <w:pPr>
              <w:autoSpaceDE w:val="0"/>
              <w:autoSpaceDN w:val="0"/>
              <w:adjustRightInd w:val="0"/>
              <w:snapToGrid w:val="0"/>
              <w:spacing w:before="62" w:beforeLines="20" w:line="360" w:lineRule="auto"/>
              <w:rPr>
                <w:rFonts w:ascii="宋体" w:hAnsi="宋体"/>
                <w:szCs w:val="21"/>
              </w:rPr>
            </w:pPr>
          </w:p>
        </w:tc>
        <w:tc>
          <w:tcPr>
            <w:tcW w:w="4160" w:type="dxa"/>
          </w:tcPr>
          <w:p w14:paraId="34D1BB27">
            <w:pPr>
              <w:autoSpaceDE w:val="0"/>
              <w:autoSpaceDN w:val="0"/>
              <w:adjustRightInd w:val="0"/>
              <w:snapToGrid w:val="0"/>
              <w:spacing w:before="62" w:beforeLines="20" w:line="360" w:lineRule="auto"/>
              <w:rPr>
                <w:rFonts w:ascii="宋体" w:hAnsi="宋体"/>
                <w:szCs w:val="21"/>
              </w:rPr>
            </w:pPr>
          </w:p>
        </w:tc>
        <w:tc>
          <w:tcPr>
            <w:tcW w:w="3088" w:type="dxa"/>
          </w:tcPr>
          <w:p w14:paraId="2C297362">
            <w:pPr>
              <w:autoSpaceDE w:val="0"/>
              <w:autoSpaceDN w:val="0"/>
              <w:adjustRightInd w:val="0"/>
              <w:snapToGrid w:val="0"/>
              <w:spacing w:before="62" w:beforeLines="20" w:line="360" w:lineRule="auto"/>
              <w:rPr>
                <w:rFonts w:ascii="宋体" w:hAnsi="宋体"/>
                <w:szCs w:val="21"/>
              </w:rPr>
            </w:pPr>
          </w:p>
        </w:tc>
        <w:tc>
          <w:tcPr>
            <w:tcW w:w="2987" w:type="dxa"/>
          </w:tcPr>
          <w:p w14:paraId="764FC33D">
            <w:pPr>
              <w:autoSpaceDE w:val="0"/>
              <w:autoSpaceDN w:val="0"/>
              <w:adjustRightInd w:val="0"/>
              <w:snapToGrid w:val="0"/>
              <w:spacing w:before="62" w:beforeLines="20" w:line="360" w:lineRule="auto"/>
              <w:rPr>
                <w:rFonts w:ascii="宋体" w:hAnsi="宋体"/>
                <w:szCs w:val="21"/>
              </w:rPr>
            </w:pPr>
          </w:p>
        </w:tc>
        <w:tc>
          <w:tcPr>
            <w:tcW w:w="3175" w:type="dxa"/>
          </w:tcPr>
          <w:p w14:paraId="6FDE51A6">
            <w:pPr>
              <w:autoSpaceDE w:val="0"/>
              <w:autoSpaceDN w:val="0"/>
              <w:adjustRightInd w:val="0"/>
              <w:snapToGrid w:val="0"/>
              <w:spacing w:before="62" w:beforeLines="20" w:line="360" w:lineRule="auto"/>
              <w:rPr>
                <w:rFonts w:ascii="宋体" w:hAnsi="宋体"/>
                <w:szCs w:val="21"/>
              </w:rPr>
            </w:pPr>
          </w:p>
        </w:tc>
      </w:tr>
      <w:tr w14:paraId="43B1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AF29132">
            <w:pPr>
              <w:autoSpaceDE w:val="0"/>
              <w:autoSpaceDN w:val="0"/>
              <w:adjustRightInd w:val="0"/>
              <w:snapToGrid w:val="0"/>
              <w:spacing w:before="62" w:beforeLines="20" w:line="360" w:lineRule="auto"/>
              <w:rPr>
                <w:rFonts w:ascii="宋体" w:hAnsi="宋体"/>
                <w:szCs w:val="21"/>
              </w:rPr>
            </w:pPr>
          </w:p>
        </w:tc>
        <w:tc>
          <w:tcPr>
            <w:tcW w:w="4160" w:type="dxa"/>
          </w:tcPr>
          <w:p w14:paraId="5FE62744">
            <w:pPr>
              <w:autoSpaceDE w:val="0"/>
              <w:autoSpaceDN w:val="0"/>
              <w:adjustRightInd w:val="0"/>
              <w:snapToGrid w:val="0"/>
              <w:spacing w:before="62" w:beforeLines="20" w:line="360" w:lineRule="auto"/>
              <w:rPr>
                <w:rFonts w:ascii="宋体" w:hAnsi="宋体"/>
                <w:szCs w:val="21"/>
              </w:rPr>
            </w:pPr>
          </w:p>
        </w:tc>
        <w:tc>
          <w:tcPr>
            <w:tcW w:w="3088" w:type="dxa"/>
          </w:tcPr>
          <w:p w14:paraId="00B98EA5">
            <w:pPr>
              <w:autoSpaceDE w:val="0"/>
              <w:autoSpaceDN w:val="0"/>
              <w:adjustRightInd w:val="0"/>
              <w:snapToGrid w:val="0"/>
              <w:spacing w:before="62" w:beforeLines="20" w:line="360" w:lineRule="auto"/>
              <w:rPr>
                <w:rFonts w:ascii="宋体" w:hAnsi="宋体"/>
                <w:szCs w:val="21"/>
              </w:rPr>
            </w:pPr>
          </w:p>
        </w:tc>
        <w:tc>
          <w:tcPr>
            <w:tcW w:w="2987" w:type="dxa"/>
          </w:tcPr>
          <w:p w14:paraId="39DC21D1">
            <w:pPr>
              <w:autoSpaceDE w:val="0"/>
              <w:autoSpaceDN w:val="0"/>
              <w:adjustRightInd w:val="0"/>
              <w:snapToGrid w:val="0"/>
              <w:spacing w:before="62" w:beforeLines="20" w:line="360" w:lineRule="auto"/>
              <w:rPr>
                <w:rFonts w:ascii="宋体" w:hAnsi="宋体"/>
                <w:szCs w:val="21"/>
              </w:rPr>
            </w:pPr>
          </w:p>
        </w:tc>
        <w:tc>
          <w:tcPr>
            <w:tcW w:w="3175" w:type="dxa"/>
          </w:tcPr>
          <w:p w14:paraId="6A529425">
            <w:pPr>
              <w:autoSpaceDE w:val="0"/>
              <w:autoSpaceDN w:val="0"/>
              <w:adjustRightInd w:val="0"/>
              <w:snapToGrid w:val="0"/>
              <w:spacing w:before="62" w:beforeLines="20" w:line="360" w:lineRule="auto"/>
              <w:rPr>
                <w:rFonts w:ascii="宋体" w:hAnsi="宋体"/>
                <w:szCs w:val="21"/>
              </w:rPr>
            </w:pPr>
          </w:p>
        </w:tc>
      </w:tr>
    </w:tbl>
    <w:p w14:paraId="7BEF61C7">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14:paraId="11236948">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3693EC13">
      <w:pPr>
        <w:autoSpaceDE w:val="0"/>
        <w:autoSpaceDN w:val="0"/>
        <w:adjustRightInd w:val="0"/>
        <w:snapToGrid w:val="0"/>
        <w:spacing w:before="62" w:beforeLines="20" w:line="360" w:lineRule="auto"/>
        <w:jc w:val="right"/>
        <w:rPr>
          <w:rFonts w:ascii="宋体" w:hAnsi="宋体"/>
          <w:snapToGrid w:val="0"/>
          <w:kern w:val="0"/>
          <w:szCs w:val="21"/>
        </w:rPr>
        <w:sectPr>
          <w:pgSz w:w="16838" w:h="11906" w:orient="landscape"/>
          <w:pgMar w:top="1304" w:right="1304" w:bottom="1134" w:left="1304" w:header="851" w:footer="992" w:gutter="0"/>
          <w:cols w:space="720" w:num="1"/>
          <w:docGrid w:type="lines" w:linePitch="312" w:charSpace="0"/>
        </w:sectPr>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CF5CE43">
      <w:pPr>
        <w:autoSpaceDE w:val="0"/>
        <w:autoSpaceDN w:val="0"/>
        <w:adjustRightInd w:val="0"/>
        <w:snapToGrid w:val="0"/>
        <w:spacing w:before="62" w:beforeLines="20" w:line="360" w:lineRule="auto"/>
        <w:jc w:val="right"/>
        <w:rPr>
          <w:rFonts w:ascii="宋体" w:hAnsi="宋体"/>
          <w:snapToGrid w:val="0"/>
          <w:kern w:val="0"/>
          <w:sz w:val="24"/>
        </w:rPr>
      </w:pPr>
    </w:p>
    <w:p w14:paraId="2FE747BE">
      <w:pPr>
        <w:autoSpaceDE w:val="0"/>
        <w:autoSpaceDN w:val="0"/>
        <w:adjustRightInd w:val="0"/>
        <w:snapToGrid w:val="0"/>
        <w:spacing w:before="62" w:beforeLines="20" w:line="360" w:lineRule="auto"/>
        <w:jc w:val="right"/>
        <w:rPr>
          <w:rFonts w:ascii="宋体" w:hAnsi="宋体"/>
          <w:snapToGrid w:val="0"/>
          <w:kern w:val="0"/>
          <w:sz w:val="24"/>
        </w:rPr>
      </w:pPr>
    </w:p>
    <w:p w14:paraId="503583DD">
      <w:pPr>
        <w:pStyle w:val="12"/>
        <w:rPr>
          <w:rFonts w:ascii="宋体" w:hAnsi="宋体"/>
        </w:rPr>
      </w:pPr>
    </w:p>
    <w:p w14:paraId="0926B979">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14:paraId="7A548146">
      <w:pPr>
        <w:pStyle w:val="12"/>
        <w:rPr>
          <w:rFonts w:ascii="宋体" w:hAnsi="宋体"/>
        </w:rPr>
      </w:pPr>
    </w:p>
    <w:p w14:paraId="0C363C90">
      <w:pPr>
        <w:autoSpaceDE w:val="0"/>
        <w:autoSpaceDN w:val="0"/>
        <w:adjustRightInd w:val="0"/>
        <w:snapToGrid w:val="0"/>
        <w:spacing w:line="360" w:lineRule="auto"/>
        <w:jc w:val="center"/>
        <w:rPr>
          <w:rFonts w:ascii="宋体" w:hAnsi="宋体"/>
          <w:b/>
          <w:snapToGrid w:val="0"/>
          <w:kern w:val="0"/>
          <w:sz w:val="32"/>
          <w:szCs w:val="32"/>
        </w:rPr>
      </w:pPr>
      <w:r>
        <w:rPr>
          <w:rFonts w:hint="eastAsia" w:ascii="宋体" w:hAnsi="宋体"/>
          <w:b/>
          <w:snapToGrid w:val="0"/>
          <w:w w:val="99"/>
          <w:kern w:val="0"/>
          <w:sz w:val="32"/>
          <w:szCs w:val="32"/>
        </w:rPr>
        <w:t>问题澄清通知</w:t>
      </w:r>
    </w:p>
    <w:p w14:paraId="0BA33D1D">
      <w:pPr>
        <w:autoSpaceDE w:val="0"/>
        <w:autoSpaceDN w:val="0"/>
        <w:adjustRightInd w:val="0"/>
        <w:snapToGrid w:val="0"/>
        <w:spacing w:line="360" w:lineRule="auto"/>
        <w:ind w:firstLine="3255" w:firstLineChars="1550"/>
        <w:jc w:val="left"/>
        <w:rPr>
          <w:rFonts w:ascii="宋体" w:hAnsi="宋体"/>
          <w:snapToGrid w:val="0"/>
          <w:kern w:val="0"/>
          <w:szCs w:val="21"/>
        </w:rPr>
      </w:pPr>
    </w:p>
    <w:p w14:paraId="6D9717B5">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786095CB">
      <w:pPr>
        <w:autoSpaceDE w:val="0"/>
        <w:autoSpaceDN w:val="0"/>
        <w:adjustRightInd w:val="0"/>
        <w:snapToGrid w:val="0"/>
        <w:spacing w:line="360" w:lineRule="auto"/>
        <w:jc w:val="left"/>
        <w:rPr>
          <w:rFonts w:ascii="宋体" w:hAnsi="宋体"/>
          <w:b/>
          <w:snapToGrid w:val="0"/>
          <w:kern w:val="0"/>
          <w:sz w:val="24"/>
        </w:rPr>
      </w:pPr>
    </w:p>
    <w:p w14:paraId="331F9344">
      <w:pPr>
        <w:autoSpaceDE w:val="0"/>
        <w:autoSpaceDN w:val="0"/>
        <w:adjustRightInd w:val="0"/>
        <w:snapToGrid w:val="0"/>
        <w:spacing w:line="360" w:lineRule="auto"/>
        <w:rPr>
          <w:rFonts w:ascii="宋体" w:hAnsi="宋体"/>
          <w:snapToGrid w:val="0"/>
          <w:kern w:val="0"/>
          <w:sz w:val="28"/>
          <w:szCs w:val="28"/>
        </w:rPr>
      </w:pPr>
    </w:p>
    <w:p w14:paraId="6C74F944">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比选申请人</w:t>
      </w:r>
      <w:r>
        <w:rPr>
          <w:rFonts w:ascii="宋体" w:hAnsi="宋体"/>
          <w:snapToGrid w:val="0"/>
          <w:kern w:val="0"/>
          <w:szCs w:val="21"/>
          <w:u w:val="single"/>
        </w:rPr>
        <w:t>名称）</w:t>
      </w:r>
      <w:r>
        <w:rPr>
          <w:rFonts w:ascii="宋体" w:hAnsi="宋体"/>
          <w:snapToGrid w:val="0"/>
          <w:kern w:val="0"/>
          <w:szCs w:val="21"/>
        </w:rPr>
        <w:t>：</w:t>
      </w:r>
    </w:p>
    <w:p w14:paraId="75ED71DC">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招标的评标委员会，对你方的</w:t>
      </w:r>
      <w:r>
        <w:rPr>
          <w:rFonts w:hint="eastAsia" w:ascii="宋体" w:hAnsi="宋体"/>
          <w:snapToGrid w:val="0"/>
          <w:kern w:val="0"/>
          <w:szCs w:val="21"/>
        </w:rPr>
        <w:t>比选申请文件</w:t>
      </w:r>
      <w:r>
        <w:rPr>
          <w:rFonts w:ascii="宋体" w:hAnsi="宋体"/>
          <w:snapToGrid w:val="0"/>
          <w:kern w:val="0"/>
          <w:szCs w:val="21"/>
        </w:rPr>
        <w:t>进行了仔细的审查，现需你方对下列问题予以澄清：</w:t>
      </w:r>
    </w:p>
    <w:p w14:paraId="1FB85701">
      <w:pPr>
        <w:autoSpaceDE w:val="0"/>
        <w:autoSpaceDN w:val="0"/>
        <w:adjustRightInd w:val="0"/>
        <w:snapToGrid w:val="0"/>
        <w:spacing w:line="360" w:lineRule="auto"/>
        <w:jc w:val="left"/>
        <w:rPr>
          <w:rFonts w:ascii="宋体" w:hAnsi="宋体"/>
          <w:snapToGrid w:val="0"/>
          <w:kern w:val="0"/>
          <w:sz w:val="24"/>
        </w:rPr>
      </w:pPr>
    </w:p>
    <w:p w14:paraId="0F16FE9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3F3818A6">
      <w:pPr>
        <w:autoSpaceDE w:val="0"/>
        <w:autoSpaceDN w:val="0"/>
        <w:adjustRightInd w:val="0"/>
        <w:snapToGrid w:val="0"/>
        <w:spacing w:line="360" w:lineRule="auto"/>
        <w:jc w:val="left"/>
        <w:rPr>
          <w:rFonts w:ascii="宋体" w:hAnsi="宋体"/>
          <w:snapToGrid w:val="0"/>
          <w:kern w:val="0"/>
          <w:szCs w:val="21"/>
        </w:rPr>
      </w:pPr>
    </w:p>
    <w:p w14:paraId="03EC0A17">
      <w:pPr>
        <w:autoSpaceDE w:val="0"/>
        <w:autoSpaceDN w:val="0"/>
        <w:adjustRightInd w:val="0"/>
        <w:snapToGrid w:val="0"/>
        <w:spacing w:line="360" w:lineRule="auto"/>
        <w:jc w:val="left"/>
        <w:rPr>
          <w:rFonts w:ascii="宋体" w:hAnsi="宋体"/>
          <w:snapToGrid w:val="0"/>
          <w:kern w:val="0"/>
          <w:szCs w:val="21"/>
        </w:rPr>
      </w:pPr>
    </w:p>
    <w:p w14:paraId="6C4234FA">
      <w:pPr>
        <w:autoSpaceDE w:val="0"/>
        <w:autoSpaceDN w:val="0"/>
        <w:adjustRightInd w:val="0"/>
        <w:snapToGrid w:val="0"/>
        <w:spacing w:line="360" w:lineRule="auto"/>
        <w:jc w:val="left"/>
        <w:rPr>
          <w:rFonts w:ascii="宋体" w:hAnsi="宋体"/>
          <w:snapToGrid w:val="0"/>
          <w:kern w:val="0"/>
          <w:szCs w:val="21"/>
        </w:rPr>
      </w:pPr>
    </w:p>
    <w:p w14:paraId="0871307B">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9F456AA">
      <w:pPr>
        <w:autoSpaceDE w:val="0"/>
        <w:autoSpaceDN w:val="0"/>
        <w:adjustRightInd w:val="0"/>
        <w:snapToGrid w:val="0"/>
        <w:spacing w:line="360" w:lineRule="auto"/>
        <w:jc w:val="left"/>
        <w:rPr>
          <w:rFonts w:ascii="宋体" w:hAnsi="宋体"/>
          <w:snapToGrid w:val="0"/>
          <w:kern w:val="0"/>
          <w:sz w:val="18"/>
          <w:szCs w:val="18"/>
        </w:rPr>
      </w:pPr>
    </w:p>
    <w:p w14:paraId="7F20A419">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172A7C65">
      <w:pPr>
        <w:autoSpaceDE w:val="0"/>
        <w:autoSpaceDN w:val="0"/>
        <w:adjustRightInd w:val="0"/>
        <w:snapToGrid w:val="0"/>
        <w:spacing w:line="360" w:lineRule="auto"/>
        <w:jc w:val="left"/>
        <w:rPr>
          <w:rFonts w:ascii="宋体" w:hAnsi="宋体"/>
          <w:snapToGrid w:val="0"/>
          <w:kern w:val="0"/>
          <w:sz w:val="14"/>
          <w:szCs w:val="14"/>
        </w:rPr>
      </w:pPr>
    </w:p>
    <w:p w14:paraId="2EFF1AA7">
      <w:pPr>
        <w:autoSpaceDE w:val="0"/>
        <w:autoSpaceDN w:val="0"/>
        <w:adjustRightInd w:val="0"/>
        <w:snapToGrid w:val="0"/>
        <w:spacing w:line="360" w:lineRule="auto"/>
        <w:jc w:val="left"/>
        <w:rPr>
          <w:rFonts w:ascii="宋体" w:hAnsi="宋体"/>
          <w:snapToGrid w:val="0"/>
          <w:kern w:val="0"/>
          <w:sz w:val="14"/>
          <w:szCs w:val="14"/>
        </w:rPr>
      </w:pPr>
    </w:p>
    <w:p w14:paraId="53EE7F26">
      <w:pPr>
        <w:autoSpaceDE w:val="0"/>
        <w:autoSpaceDN w:val="0"/>
        <w:adjustRightInd w:val="0"/>
        <w:snapToGrid w:val="0"/>
        <w:spacing w:line="360" w:lineRule="auto"/>
        <w:jc w:val="left"/>
        <w:rPr>
          <w:rFonts w:ascii="宋体" w:hAnsi="宋体"/>
          <w:snapToGrid w:val="0"/>
          <w:kern w:val="0"/>
          <w:sz w:val="14"/>
          <w:szCs w:val="14"/>
        </w:rPr>
      </w:pPr>
    </w:p>
    <w:p w14:paraId="0E1FDB82">
      <w:pPr>
        <w:autoSpaceDE w:val="0"/>
        <w:autoSpaceDN w:val="0"/>
        <w:adjustRightInd w:val="0"/>
        <w:snapToGrid w:val="0"/>
        <w:spacing w:line="360" w:lineRule="auto"/>
        <w:jc w:val="left"/>
        <w:rPr>
          <w:rFonts w:ascii="宋体" w:hAnsi="宋体"/>
          <w:snapToGrid w:val="0"/>
          <w:kern w:val="0"/>
          <w:sz w:val="20"/>
          <w:szCs w:val="20"/>
        </w:rPr>
      </w:pPr>
    </w:p>
    <w:p w14:paraId="7D34A59D">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通过重庆市电子招投标系统提交。</w:t>
      </w:r>
    </w:p>
    <w:p w14:paraId="2A3786F2">
      <w:pPr>
        <w:pStyle w:val="12"/>
      </w:pPr>
    </w:p>
    <w:p w14:paraId="7271B5FF">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0B0BBA2D">
      <w:pPr>
        <w:autoSpaceDE w:val="0"/>
        <w:autoSpaceDN w:val="0"/>
        <w:adjustRightInd w:val="0"/>
        <w:snapToGrid w:val="0"/>
        <w:spacing w:line="360" w:lineRule="auto"/>
        <w:ind w:firstLine="315" w:firstLineChars="150"/>
        <w:jc w:val="right"/>
        <w:rPr>
          <w:rFonts w:ascii="宋体" w:hAnsi="宋体"/>
          <w:snapToGrid w:val="0"/>
          <w:kern w:val="0"/>
          <w:szCs w:val="21"/>
        </w:rPr>
      </w:pPr>
    </w:p>
    <w:p w14:paraId="583CD9C2">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14:paraId="3B2F1A8B">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14:paraId="798AD5F8">
      <w:pPr>
        <w:autoSpaceDE w:val="0"/>
        <w:autoSpaceDN w:val="0"/>
        <w:adjustRightInd w:val="0"/>
        <w:snapToGrid w:val="0"/>
        <w:spacing w:line="360" w:lineRule="auto"/>
        <w:jc w:val="left"/>
        <w:rPr>
          <w:rFonts w:ascii="宋体" w:hAnsi="宋体"/>
          <w:b/>
          <w:snapToGrid w:val="0"/>
          <w:kern w:val="0"/>
          <w:sz w:val="10"/>
          <w:szCs w:val="10"/>
        </w:rPr>
      </w:pPr>
    </w:p>
    <w:p w14:paraId="53B5C1BA">
      <w:pPr>
        <w:autoSpaceDE w:val="0"/>
        <w:autoSpaceDN w:val="0"/>
        <w:adjustRightInd w:val="0"/>
        <w:snapToGrid w:val="0"/>
        <w:spacing w:line="360" w:lineRule="auto"/>
        <w:rPr>
          <w:rFonts w:ascii="宋体" w:hAnsi="宋体"/>
          <w:b/>
          <w:snapToGrid w:val="0"/>
          <w:w w:val="99"/>
          <w:kern w:val="0"/>
          <w:sz w:val="32"/>
          <w:szCs w:val="32"/>
        </w:rPr>
      </w:pPr>
    </w:p>
    <w:p w14:paraId="27C81EC0">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6ABB13CD">
      <w:pPr>
        <w:autoSpaceDE w:val="0"/>
        <w:autoSpaceDN w:val="0"/>
        <w:adjustRightInd w:val="0"/>
        <w:snapToGrid w:val="0"/>
        <w:spacing w:line="360" w:lineRule="auto"/>
        <w:jc w:val="left"/>
        <w:rPr>
          <w:rFonts w:ascii="宋体" w:hAnsi="宋体"/>
          <w:snapToGrid w:val="0"/>
          <w:kern w:val="0"/>
          <w:szCs w:val="21"/>
        </w:rPr>
      </w:pPr>
    </w:p>
    <w:p w14:paraId="5F373F89">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519B7DEF">
      <w:pPr>
        <w:autoSpaceDE w:val="0"/>
        <w:autoSpaceDN w:val="0"/>
        <w:adjustRightInd w:val="0"/>
        <w:snapToGrid w:val="0"/>
        <w:spacing w:line="360" w:lineRule="auto"/>
        <w:rPr>
          <w:rFonts w:ascii="宋体" w:hAnsi="宋体"/>
          <w:snapToGrid w:val="0"/>
          <w:kern w:val="0"/>
          <w:szCs w:val="21"/>
        </w:rPr>
      </w:pPr>
    </w:p>
    <w:p w14:paraId="281FDD1B">
      <w:pPr>
        <w:autoSpaceDE w:val="0"/>
        <w:autoSpaceDN w:val="0"/>
        <w:adjustRightInd w:val="0"/>
        <w:snapToGrid w:val="0"/>
        <w:spacing w:line="360" w:lineRule="auto"/>
        <w:rPr>
          <w:rFonts w:ascii="宋体" w:hAnsi="宋体"/>
          <w:snapToGrid w:val="0"/>
          <w:kern w:val="0"/>
          <w:szCs w:val="21"/>
        </w:rPr>
      </w:pPr>
    </w:p>
    <w:p w14:paraId="06BADCC1">
      <w:pPr>
        <w:tabs>
          <w:tab w:val="left" w:pos="2415"/>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467FBD72">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08932C8B">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4D317EED">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4AA17EB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5FE344EE">
      <w:pPr>
        <w:autoSpaceDE w:val="0"/>
        <w:autoSpaceDN w:val="0"/>
        <w:adjustRightInd w:val="0"/>
        <w:snapToGrid w:val="0"/>
        <w:spacing w:line="360" w:lineRule="auto"/>
        <w:jc w:val="left"/>
        <w:rPr>
          <w:rFonts w:ascii="宋体" w:hAnsi="宋体"/>
          <w:snapToGrid w:val="0"/>
          <w:kern w:val="0"/>
          <w:sz w:val="18"/>
          <w:szCs w:val="18"/>
        </w:rPr>
      </w:pPr>
    </w:p>
    <w:p w14:paraId="70F66CB9">
      <w:pPr>
        <w:autoSpaceDE w:val="0"/>
        <w:autoSpaceDN w:val="0"/>
        <w:adjustRightInd w:val="0"/>
        <w:snapToGrid w:val="0"/>
        <w:spacing w:line="360" w:lineRule="auto"/>
        <w:jc w:val="left"/>
        <w:rPr>
          <w:rFonts w:ascii="宋体" w:hAnsi="宋体"/>
          <w:snapToGrid w:val="0"/>
          <w:kern w:val="0"/>
          <w:sz w:val="18"/>
          <w:szCs w:val="18"/>
        </w:rPr>
      </w:pPr>
    </w:p>
    <w:p w14:paraId="294B5DCA">
      <w:pPr>
        <w:autoSpaceDE w:val="0"/>
        <w:autoSpaceDN w:val="0"/>
        <w:adjustRightInd w:val="0"/>
        <w:snapToGrid w:val="0"/>
        <w:spacing w:line="360" w:lineRule="auto"/>
        <w:jc w:val="left"/>
        <w:rPr>
          <w:rFonts w:ascii="宋体" w:hAnsi="宋体"/>
          <w:snapToGrid w:val="0"/>
          <w:kern w:val="0"/>
          <w:sz w:val="18"/>
          <w:szCs w:val="18"/>
        </w:rPr>
      </w:pPr>
    </w:p>
    <w:p w14:paraId="5FC888F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0D7D1BE5">
      <w:pPr>
        <w:autoSpaceDE w:val="0"/>
        <w:autoSpaceDN w:val="0"/>
        <w:adjustRightInd w:val="0"/>
        <w:snapToGrid w:val="0"/>
        <w:spacing w:line="360" w:lineRule="auto"/>
        <w:jc w:val="left"/>
        <w:rPr>
          <w:rFonts w:ascii="宋体" w:hAnsi="宋体"/>
          <w:snapToGrid w:val="0"/>
          <w:kern w:val="0"/>
          <w:sz w:val="20"/>
          <w:szCs w:val="20"/>
        </w:rPr>
      </w:pPr>
    </w:p>
    <w:p w14:paraId="24F6B6A5">
      <w:pPr>
        <w:autoSpaceDE w:val="0"/>
        <w:autoSpaceDN w:val="0"/>
        <w:adjustRightInd w:val="0"/>
        <w:snapToGrid w:val="0"/>
        <w:spacing w:line="360" w:lineRule="auto"/>
        <w:jc w:val="left"/>
        <w:rPr>
          <w:rFonts w:ascii="宋体" w:hAnsi="宋体"/>
          <w:snapToGrid w:val="0"/>
          <w:kern w:val="0"/>
          <w:sz w:val="20"/>
          <w:szCs w:val="20"/>
        </w:rPr>
      </w:pPr>
    </w:p>
    <w:p w14:paraId="5BEB974B">
      <w:pPr>
        <w:autoSpaceDE w:val="0"/>
        <w:autoSpaceDN w:val="0"/>
        <w:adjustRightInd w:val="0"/>
        <w:snapToGrid w:val="0"/>
        <w:spacing w:line="360" w:lineRule="auto"/>
        <w:jc w:val="left"/>
        <w:rPr>
          <w:rFonts w:ascii="宋体" w:hAnsi="宋体"/>
          <w:snapToGrid w:val="0"/>
          <w:kern w:val="0"/>
          <w:sz w:val="22"/>
          <w:szCs w:val="22"/>
        </w:rPr>
      </w:pPr>
    </w:p>
    <w:p w14:paraId="4191A9D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57009898">
      <w:pPr>
        <w:autoSpaceDE w:val="0"/>
        <w:autoSpaceDN w:val="0"/>
        <w:adjustRightInd w:val="0"/>
        <w:snapToGrid w:val="0"/>
        <w:spacing w:line="360" w:lineRule="auto"/>
        <w:jc w:val="left"/>
        <w:rPr>
          <w:rFonts w:ascii="宋体" w:hAnsi="宋体"/>
          <w:snapToGrid w:val="0"/>
          <w:kern w:val="0"/>
          <w:sz w:val="18"/>
          <w:szCs w:val="18"/>
        </w:rPr>
      </w:pPr>
    </w:p>
    <w:p w14:paraId="3319E44E">
      <w:pPr>
        <w:autoSpaceDE w:val="0"/>
        <w:autoSpaceDN w:val="0"/>
        <w:adjustRightInd w:val="0"/>
        <w:snapToGrid w:val="0"/>
        <w:spacing w:line="360" w:lineRule="auto"/>
        <w:jc w:val="left"/>
        <w:rPr>
          <w:rFonts w:ascii="宋体" w:hAnsi="宋体"/>
          <w:snapToGrid w:val="0"/>
          <w:kern w:val="0"/>
          <w:sz w:val="20"/>
          <w:szCs w:val="20"/>
        </w:rPr>
      </w:pPr>
    </w:p>
    <w:p w14:paraId="15C82E86">
      <w:pPr>
        <w:autoSpaceDE w:val="0"/>
        <w:autoSpaceDN w:val="0"/>
        <w:adjustRightInd w:val="0"/>
        <w:snapToGrid w:val="0"/>
        <w:spacing w:line="360" w:lineRule="auto"/>
        <w:jc w:val="left"/>
        <w:rPr>
          <w:rFonts w:ascii="宋体" w:hAnsi="宋体"/>
          <w:snapToGrid w:val="0"/>
          <w:kern w:val="0"/>
          <w:sz w:val="20"/>
          <w:szCs w:val="20"/>
        </w:rPr>
      </w:pPr>
    </w:p>
    <w:p w14:paraId="03791B5C">
      <w:pPr>
        <w:autoSpaceDE w:val="0"/>
        <w:autoSpaceDN w:val="0"/>
        <w:adjustRightInd w:val="0"/>
        <w:snapToGrid w:val="0"/>
        <w:spacing w:line="360" w:lineRule="auto"/>
        <w:jc w:val="left"/>
        <w:rPr>
          <w:rFonts w:ascii="宋体" w:hAnsi="宋体"/>
          <w:snapToGrid w:val="0"/>
          <w:kern w:val="0"/>
          <w:sz w:val="20"/>
          <w:szCs w:val="20"/>
        </w:rPr>
      </w:pPr>
    </w:p>
    <w:p w14:paraId="3AF9F491">
      <w:pPr>
        <w:autoSpaceDE w:val="0"/>
        <w:autoSpaceDN w:val="0"/>
        <w:adjustRightInd w:val="0"/>
        <w:snapToGrid w:val="0"/>
        <w:spacing w:line="360" w:lineRule="auto"/>
        <w:jc w:val="left"/>
        <w:rPr>
          <w:rFonts w:ascii="宋体" w:hAnsi="宋体"/>
          <w:snapToGrid w:val="0"/>
          <w:kern w:val="0"/>
          <w:sz w:val="20"/>
          <w:szCs w:val="20"/>
        </w:rPr>
      </w:pPr>
    </w:p>
    <w:p w14:paraId="39DA09D0">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hint="eastAsia" w:ascii="宋体" w:hAnsi="宋体"/>
          <w:snapToGrid w:val="0"/>
          <w:kern w:val="0"/>
          <w:szCs w:val="21"/>
        </w:rPr>
        <w:t>比选申请人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57C72377">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6E680320">
      <w:pPr>
        <w:autoSpaceDE w:val="0"/>
        <w:autoSpaceDN w:val="0"/>
        <w:adjustRightInd w:val="0"/>
        <w:snapToGrid w:val="0"/>
        <w:spacing w:line="360" w:lineRule="auto"/>
        <w:jc w:val="right"/>
        <w:rPr>
          <w:rFonts w:ascii="宋体" w:hAnsi="宋体"/>
          <w:snapToGrid w:val="0"/>
          <w:kern w:val="0"/>
          <w:sz w:val="20"/>
          <w:szCs w:val="20"/>
        </w:rPr>
      </w:pPr>
    </w:p>
    <w:p w14:paraId="35BD7DF9">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14:paraId="54EBC4CF">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br w:type="page"/>
      </w: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14:paraId="28A90896">
      <w:pPr>
        <w:autoSpaceDE w:val="0"/>
        <w:autoSpaceDN w:val="0"/>
        <w:adjustRightInd w:val="0"/>
        <w:spacing w:line="360" w:lineRule="auto"/>
        <w:jc w:val="left"/>
        <w:rPr>
          <w:rFonts w:ascii="宋体" w:hAnsi="宋体"/>
          <w:snapToGrid w:val="0"/>
          <w:kern w:val="0"/>
          <w:sz w:val="20"/>
          <w:szCs w:val="20"/>
        </w:rPr>
      </w:pPr>
    </w:p>
    <w:p w14:paraId="5A7E13A1">
      <w:pPr>
        <w:widowControl/>
        <w:spacing w:before="100" w:beforeAutospacing="1" w:after="100" w:afterAutospacing="1" w:line="360" w:lineRule="auto"/>
        <w:jc w:val="center"/>
        <w:rPr>
          <w:rFonts w:ascii="宋体" w:hAnsi="宋体"/>
          <w:b/>
          <w:kern w:val="0"/>
          <w:sz w:val="32"/>
          <w:szCs w:val="32"/>
        </w:rPr>
      </w:pPr>
      <w:r>
        <w:rPr>
          <w:rFonts w:hint="eastAsia" w:ascii="宋体" w:hAnsi="宋体"/>
          <w:b/>
          <w:bCs/>
          <w:kern w:val="0"/>
          <w:sz w:val="32"/>
          <w:szCs w:val="32"/>
        </w:rPr>
        <w:t>重庆市公路工程中标通知书</w:t>
      </w:r>
    </w:p>
    <w:p w14:paraId="226ECC76">
      <w:pPr>
        <w:spacing w:line="360" w:lineRule="auto"/>
        <w:rPr>
          <w:rFonts w:ascii="宋体" w:hAnsi="宋体"/>
          <w:bCs/>
          <w:kern w:val="0"/>
          <w:szCs w:val="21"/>
          <w:u w:val="single"/>
        </w:rPr>
      </w:pPr>
      <w:r>
        <w:rPr>
          <w:rFonts w:ascii="宋体" w:hAnsi="宋体"/>
          <w:bCs/>
          <w:kern w:val="0"/>
          <w:sz w:val="24"/>
          <w:u w:val="single"/>
        </w:rPr>
        <w:t xml:space="preserve">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kern w:val="0"/>
          <w:szCs w:val="21"/>
          <w:u w:val="single"/>
        </w:rPr>
        <w:t>中标单位</w:t>
      </w:r>
      <w:r>
        <w:rPr>
          <w:rFonts w:ascii="宋体" w:hAnsi="宋体"/>
          <w:bCs/>
          <w:kern w:val="0"/>
          <w:sz w:val="24"/>
          <w:u w:val="single"/>
        </w:rPr>
        <w:t xml:space="preserve">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rPr>
        <w:t>：</w:t>
      </w:r>
    </w:p>
    <w:p w14:paraId="488CFDE2">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 xml:space="preserve">  （项目名称）    </w:t>
      </w:r>
      <w:r>
        <w:rPr>
          <w:rFonts w:ascii="宋体" w:hAnsi="宋体"/>
          <w:kern w:val="0"/>
          <w:szCs w:val="21"/>
        </w:rPr>
        <w:t>于</w:t>
      </w:r>
      <w:r>
        <w:rPr>
          <w:rFonts w:hint="eastAsia"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w:t>
      </w:r>
      <w:r>
        <w:rPr>
          <w:rFonts w:hint="eastAsia" w:ascii="宋体" w:hAnsi="宋体"/>
          <w:kern w:val="0"/>
          <w:szCs w:val="21"/>
        </w:rPr>
        <w:t>要求：</w:t>
      </w:r>
      <w:r>
        <w:rPr>
          <w:rFonts w:hint="eastAsia" w:ascii="宋体" w:hAnsi="宋体"/>
          <w:kern w:val="0"/>
          <w:szCs w:val="21"/>
          <w:u w:val="single"/>
        </w:rPr>
        <w:t xml:space="preserve">              </w:t>
      </w:r>
      <w:r>
        <w:rPr>
          <w:rFonts w:hint="eastAsia" w:ascii="宋体" w:hAnsi="宋体"/>
          <w:kern w:val="0"/>
          <w:szCs w:val="21"/>
        </w:rPr>
        <w:t xml:space="preserve"> ，工程安全目标：</w:t>
      </w:r>
      <w:r>
        <w:rPr>
          <w:rFonts w:hint="eastAsia" w:ascii="宋体" w:hAnsi="宋体"/>
          <w:kern w:val="0"/>
          <w:szCs w:val="21"/>
          <w:u w:val="single"/>
        </w:rPr>
        <w:t xml:space="preserve">              </w:t>
      </w:r>
      <w:r>
        <w:rPr>
          <w:rFonts w:hint="eastAsia" w:ascii="宋体" w:hAnsi="宋体"/>
          <w:kern w:val="0"/>
          <w:szCs w:val="21"/>
        </w:rPr>
        <w:t xml:space="preserve"> ，</w:t>
      </w:r>
      <w:r>
        <w:rPr>
          <w:rFonts w:ascii="宋体" w:hAnsi="宋体"/>
          <w:kern w:val="0"/>
          <w:szCs w:val="21"/>
        </w:rPr>
        <w:t>项目经理由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r>
        <w:rPr>
          <w:rFonts w:hint="eastAsia" w:ascii="宋体" w:hAnsi="宋体"/>
          <w:kern w:val="0"/>
          <w:szCs w:val="21"/>
        </w:rPr>
        <w:t>，</w:t>
      </w:r>
      <w:r>
        <w:rPr>
          <w:rFonts w:ascii="宋体" w:hAnsi="宋体"/>
          <w:kern w:val="0"/>
          <w:szCs w:val="21"/>
        </w:rPr>
        <w:t>项目</w:t>
      </w:r>
      <w:r>
        <w:rPr>
          <w:rFonts w:hint="eastAsia" w:ascii="宋体" w:hAnsi="宋体"/>
          <w:kern w:val="0"/>
          <w:szCs w:val="21"/>
        </w:rPr>
        <w:t>总工</w:t>
      </w:r>
      <w:r>
        <w:rPr>
          <w:rFonts w:ascii="宋体" w:hAnsi="宋体"/>
          <w:kern w:val="0"/>
          <w:szCs w:val="21"/>
        </w:rPr>
        <w:t>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0E45B300">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szCs w:val="21"/>
        </w:rPr>
        <w:t>在此之前按</w:t>
      </w:r>
      <w:r>
        <w:rPr>
          <w:rFonts w:hint="eastAsia"/>
          <w:szCs w:val="21"/>
        </w:rPr>
        <w:t>比选文件</w:t>
      </w:r>
      <w:r>
        <w:rPr>
          <w:szCs w:val="21"/>
        </w:rPr>
        <w:t>第二章</w:t>
      </w:r>
      <w:r>
        <w:rPr>
          <w:rFonts w:hint="eastAsia"/>
          <w:szCs w:val="21"/>
        </w:rPr>
        <w:t>“比选申请人</w:t>
      </w:r>
      <w:r>
        <w:rPr>
          <w:szCs w:val="21"/>
        </w:rPr>
        <w:t>须知</w:t>
      </w:r>
      <w:r>
        <w:rPr>
          <w:rFonts w:hint="eastAsia"/>
          <w:szCs w:val="21"/>
        </w:rPr>
        <w:t>”</w:t>
      </w:r>
      <w:r>
        <w:rPr>
          <w:szCs w:val="21"/>
        </w:rPr>
        <w:t>第</w:t>
      </w:r>
      <w:r>
        <w:rPr>
          <w:rFonts w:ascii="宋体" w:hAnsi="宋体"/>
          <w:szCs w:val="21"/>
        </w:rPr>
        <w:t>7.</w:t>
      </w:r>
      <w:r>
        <w:rPr>
          <w:rFonts w:hint="eastAsia" w:ascii="宋体" w:hAnsi="宋体"/>
          <w:szCs w:val="21"/>
        </w:rPr>
        <w:t>7</w:t>
      </w:r>
      <w:r>
        <w:rPr>
          <w:szCs w:val="21"/>
        </w:rPr>
        <w:t>款规定向我方提交履约担保。</w:t>
      </w:r>
    </w:p>
    <w:p w14:paraId="5F0FED7E">
      <w:pPr>
        <w:spacing w:line="360" w:lineRule="auto"/>
        <w:ind w:firstLine="420" w:firstLineChars="200"/>
        <w:rPr>
          <w:rFonts w:ascii="宋体" w:hAnsi="宋体"/>
          <w:kern w:val="0"/>
          <w:szCs w:val="21"/>
        </w:rPr>
      </w:pPr>
      <w:r>
        <w:rPr>
          <w:rFonts w:ascii="宋体" w:hAnsi="宋体"/>
          <w:kern w:val="0"/>
          <w:szCs w:val="21"/>
        </w:rPr>
        <w:t>特此通知。</w:t>
      </w:r>
    </w:p>
    <w:p w14:paraId="3E7F58F7">
      <w:pPr>
        <w:spacing w:line="480" w:lineRule="auto"/>
        <w:rPr>
          <w:rFonts w:ascii="宋体" w:hAnsi="宋体"/>
          <w:kern w:val="0"/>
          <w:szCs w:val="21"/>
        </w:rPr>
      </w:pPr>
    </w:p>
    <w:p w14:paraId="3283B167">
      <w:pPr>
        <w:spacing w:line="480" w:lineRule="auto"/>
        <w:rPr>
          <w:rFonts w:ascii="宋体" w:hAnsi="宋体"/>
          <w:kern w:val="0"/>
          <w:sz w:val="24"/>
        </w:rPr>
      </w:pPr>
    </w:p>
    <w:p w14:paraId="47393891">
      <w:pPr>
        <w:spacing w:line="480" w:lineRule="auto"/>
        <w:rPr>
          <w:rFonts w:ascii="宋体" w:hAnsi="宋体"/>
          <w:kern w:val="0"/>
          <w:sz w:val="24"/>
        </w:rPr>
      </w:pPr>
    </w:p>
    <w:p w14:paraId="638BD368">
      <w:pPr>
        <w:spacing w:line="480" w:lineRule="auto"/>
        <w:jc w:val="left"/>
        <w:rPr>
          <w:rFonts w:ascii="宋体" w:hAnsi="宋体"/>
          <w:kern w:val="0"/>
          <w:szCs w:val="21"/>
        </w:rPr>
      </w:pPr>
      <w:r>
        <w:rPr>
          <w:rFonts w:ascii="宋体" w:hAnsi="宋体"/>
          <w:kern w:val="0"/>
          <w:sz w:val="24"/>
        </w:rPr>
        <w:t xml:space="preserve">                             </w:t>
      </w:r>
      <w:r>
        <w:rPr>
          <w:rFonts w:hint="eastAsia" w:ascii="宋体" w:hAnsi="宋体"/>
          <w:kern w:val="0"/>
          <w:szCs w:val="21"/>
        </w:rPr>
        <w:t>比选人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61DEFF58">
      <w:pPr>
        <w:spacing w:line="480" w:lineRule="auto"/>
        <w:jc w:val="left"/>
        <w:rPr>
          <w:rFonts w:ascii="宋体" w:hAnsi="宋体"/>
          <w:kern w:val="0"/>
          <w:szCs w:val="21"/>
        </w:rPr>
      </w:pPr>
      <w:r>
        <w:rPr>
          <w:rFonts w:ascii="宋体" w:hAnsi="宋体"/>
          <w:kern w:val="0"/>
          <w:szCs w:val="21"/>
        </w:rPr>
        <w:t xml:space="preserve">                                 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0CF6157C">
      <w:pPr>
        <w:spacing w:line="480" w:lineRule="auto"/>
        <w:jc w:val="left"/>
        <w:rPr>
          <w:rFonts w:ascii="宋体" w:hAnsi="宋体"/>
          <w:kern w:val="0"/>
          <w:szCs w:val="21"/>
          <w:u w:val="single"/>
        </w:rPr>
      </w:pPr>
      <w:r>
        <w:rPr>
          <w:rFonts w:ascii="宋体" w:hAnsi="宋体"/>
          <w:kern w:val="0"/>
          <w:szCs w:val="21"/>
        </w:rPr>
        <w:t xml:space="preserve">                                 联系人</w:t>
      </w:r>
      <w:r>
        <w:rPr>
          <w:rFonts w:ascii="宋体" w:hAnsi="宋体"/>
          <w:snapToGrid w:val="0"/>
          <w:kern w:val="0"/>
          <w:szCs w:val="21"/>
        </w:rPr>
        <w:t>：</w:t>
      </w:r>
      <w:r>
        <w:rPr>
          <w:rFonts w:ascii="宋体" w:hAnsi="宋体"/>
          <w:kern w:val="0"/>
          <w:szCs w:val="21"/>
          <w:u w:val="single"/>
        </w:rPr>
        <w:t xml:space="preserve">                          </w:t>
      </w:r>
    </w:p>
    <w:p w14:paraId="470BBC3A">
      <w:pPr>
        <w:spacing w:line="480" w:lineRule="auto"/>
        <w:jc w:val="left"/>
        <w:rPr>
          <w:rFonts w:ascii="宋体" w:hAnsi="宋体"/>
          <w:kern w:val="0"/>
          <w:szCs w:val="21"/>
        </w:rPr>
      </w:pPr>
      <w:r>
        <w:rPr>
          <w:rFonts w:ascii="宋体" w:hAnsi="宋体"/>
          <w:kern w:val="0"/>
          <w:szCs w:val="21"/>
        </w:rPr>
        <w:t xml:space="preserve">                                 联系电话</w:t>
      </w:r>
      <w:r>
        <w:rPr>
          <w:rFonts w:ascii="宋体" w:hAnsi="宋体"/>
          <w:snapToGrid w:val="0"/>
          <w:kern w:val="0"/>
          <w:szCs w:val="21"/>
        </w:rPr>
        <w:t>：</w:t>
      </w:r>
      <w:r>
        <w:rPr>
          <w:rFonts w:ascii="宋体" w:hAnsi="宋体"/>
          <w:kern w:val="0"/>
          <w:szCs w:val="21"/>
          <w:u w:val="single"/>
        </w:rPr>
        <w:t xml:space="preserve">                        </w:t>
      </w:r>
    </w:p>
    <w:p w14:paraId="08D17D62">
      <w:pPr>
        <w:spacing w:line="480" w:lineRule="auto"/>
        <w:jc w:val="right"/>
        <w:rPr>
          <w:rFonts w:ascii="宋体" w:hAnsi="宋体"/>
          <w:kern w:val="0"/>
          <w:szCs w:val="21"/>
        </w:rPr>
      </w:pPr>
    </w:p>
    <w:p w14:paraId="3F95B32C">
      <w:pPr>
        <w:spacing w:line="480" w:lineRule="auto"/>
        <w:jc w:val="right"/>
        <w:rPr>
          <w:rFonts w:ascii="宋体" w:hAnsi="宋体"/>
          <w:kern w:val="0"/>
          <w:szCs w:val="21"/>
        </w:rPr>
      </w:pPr>
    </w:p>
    <w:p w14:paraId="33978DD1">
      <w:pPr>
        <w:spacing w:line="480" w:lineRule="auto"/>
        <w:jc w:val="right"/>
        <w:rPr>
          <w:rFonts w:ascii="宋体" w:hAnsi="宋体"/>
          <w:kern w:val="0"/>
          <w:szCs w:val="21"/>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79FC04EF">
      <w:pPr>
        <w:spacing w:line="200" w:lineRule="exact"/>
        <w:rPr>
          <w:rFonts w:ascii="宋体" w:hAnsi="宋体"/>
          <w:kern w:val="0"/>
        </w:rPr>
      </w:pPr>
      <w:r>
        <w:rPr>
          <w:rFonts w:ascii="宋体" w:hAnsi="宋体"/>
          <w:snapToGrid w:val="0"/>
          <w:kern w:val="0"/>
        </w:rPr>
        <w:br w:type="page"/>
      </w:r>
      <w:bookmarkStart w:id="163" w:name="_Toc224103370"/>
    </w:p>
    <w:bookmarkEnd w:id="163"/>
    <w:p w14:paraId="01BACAF0">
      <w:pPr>
        <w:pStyle w:val="3"/>
        <w:spacing w:line="360" w:lineRule="auto"/>
        <w:jc w:val="center"/>
        <w:rPr>
          <w:rFonts w:ascii="宋体" w:hAnsi="宋体" w:cs="宋体"/>
          <w:bCs w:val="0"/>
          <w:snapToGrid w:val="0"/>
          <w:kern w:val="0"/>
        </w:rPr>
      </w:pPr>
      <w:bookmarkStart w:id="164" w:name="招标文件03章02评标办法综合评估法00"/>
      <w:bookmarkEnd w:id="164"/>
      <w:bookmarkStart w:id="165" w:name="招标文件03章02评标办法综合评估法"/>
      <w:bookmarkEnd w:id="165"/>
      <w:bookmarkStart w:id="166" w:name="_Toc509218763"/>
      <w:bookmarkStart w:id="167" w:name="_Toc21829"/>
      <w:bookmarkStart w:id="168" w:name="_Toc277082608"/>
      <w:bookmarkStart w:id="169" w:name="_Toc224103373"/>
      <w:bookmarkStart w:id="170" w:name="_Toc209605549"/>
      <w:bookmarkStart w:id="171" w:name="_Toc287607801"/>
      <w:bookmarkStart w:id="172" w:name="_Toc287620740"/>
      <w:bookmarkStart w:id="173" w:name="_Toc287620749"/>
      <w:bookmarkStart w:id="174" w:name="_Toc287607810"/>
      <w:r>
        <w:rPr>
          <w:rFonts w:hint="eastAsia" w:ascii="宋体" w:hAnsi="宋体" w:cs="宋体"/>
          <w:bCs w:val="0"/>
          <w:snapToGrid w:val="0"/>
          <w:kern w:val="0"/>
        </w:rPr>
        <w:t>第三章  评标办法（经评审的最低投标价法）</w:t>
      </w:r>
      <w:bookmarkEnd w:id="166"/>
      <w:bookmarkEnd w:id="167"/>
    </w:p>
    <w:p w14:paraId="13BC32B2">
      <w:pPr>
        <w:pStyle w:val="4"/>
        <w:spacing w:before="100" w:after="100" w:line="360" w:lineRule="auto"/>
        <w:rPr>
          <w:rFonts w:ascii="宋体" w:hAnsi="宋体" w:cs="宋体"/>
          <w:bCs w:val="0"/>
          <w:sz w:val="28"/>
          <w:szCs w:val="28"/>
        </w:rPr>
      </w:pPr>
      <w:bookmarkStart w:id="175" w:name="_Toc536800697"/>
      <w:bookmarkStart w:id="176" w:name="_Toc536782033"/>
      <w:bookmarkStart w:id="177" w:name="_Toc19161"/>
      <w:bookmarkStart w:id="178" w:name="_Toc509218764"/>
      <w:bookmarkStart w:id="179" w:name="_Toc277082606"/>
      <w:bookmarkStart w:id="180" w:name="_Toc224103371"/>
      <w:bookmarkStart w:id="181" w:name="_Toc287620739"/>
      <w:bookmarkStart w:id="182" w:name="_Toc430530489"/>
      <w:bookmarkStart w:id="183" w:name="_Toc287607800"/>
      <w:r>
        <w:rPr>
          <w:rFonts w:hint="eastAsia" w:ascii="宋体" w:hAnsi="宋体" w:cs="宋体"/>
          <w:bCs w:val="0"/>
          <w:sz w:val="28"/>
          <w:szCs w:val="28"/>
        </w:rPr>
        <w:t>评标办法前附表</w:t>
      </w:r>
      <w:bookmarkEnd w:id="175"/>
      <w:bookmarkEnd w:id="176"/>
      <w:bookmarkEnd w:id="177"/>
      <w:bookmarkEnd w:id="178"/>
      <w:bookmarkStart w:id="184" w:name="_Toc13210726"/>
    </w:p>
    <w:p w14:paraId="7FC7B8E0">
      <w:pPr>
        <w:spacing w:line="400" w:lineRule="exact"/>
        <w:ind w:firstLine="436" w:firstLineChars="200"/>
        <w:rPr>
          <w:rFonts w:ascii="宋体" w:hAnsi="宋体"/>
          <w:spacing w:val="4"/>
          <w:kern w:val="0"/>
          <w:szCs w:val="21"/>
        </w:rPr>
      </w:pPr>
      <w:r>
        <w:rPr>
          <w:rFonts w:ascii="宋体" w:hAnsi="宋体"/>
          <w:spacing w:val="4"/>
          <w:kern w:val="0"/>
          <w:szCs w:val="21"/>
        </w:rPr>
        <w:t>评标办法中的评审内容必须和</w:t>
      </w:r>
      <w:r>
        <w:rPr>
          <w:rFonts w:hint="eastAsia" w:ascii="宋体" w:hAnsi="宋体"/>
          <w:spacing w:val="4"/>
          <w:kern w:val="0"/>
          <w:szCs w:val="21"/>
        </w:rPr>
        <w:t>比选申请人</w:t>
      </w:r>
      <w:r>
        <w:rPr>
          <w:rFonts w:ascii="宋体" w:hAnsi="宋体"/>
          <w:spacing w:val="4"/>
          <w:kern w:val="0"/>
          <w:szCs w:val="21"/>
        </w:rPr>
        <w:t>须知中的对应内容一致，若</w:t>
      </w:r>
      <w:r>
        <w:rPr>
          <w:rFonts w:hint="eastAsia" w:ascii="宋体" w:hAnsi="宋体"/>
          <w:spacing w:val="4"/>
          <w:kern w:val="0"/>
          <w:szCs w:val="21"/>
        </w:rPr>
        <w:t>比选申请人</w:t>
      </w:r>
      <w:r>
        <w:rPr>
          <w:rFonts w:ascii="宋体" w:hAnsi="宋体"/>
          <w:spacing w:val="4"/>
          <w:kern w:val="0"/>
          <w:szCs w:val="21"/>
        </w:rPr>
        <w:t>须知中未作要求的内容，不得列入评标办法作为评定依据。</w:t>
      </w:r>
      <w:bookmarkEnd w:id="184"/>
    </w:p>
    <w:tbl>
      <w:tblPr>
        <w:tblStyle w:val="31"/>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2EA5F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1B11E78B">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43BC4A69">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14:paraId="6F9BFAC1">
            <w:pPr>
              <w:spacing w:line="400" w:lineRule="exact"/>
              <w:jc w:val="center"/>
              <w:rPr>
                <w:rFonts w:ascii="宋体" w:hAnsi="宋体"/>
                <w:b/>
                <w:kern w:val="0"/>
              </w:rPr>
            </w:pPr>
            <w:r>
              <w:rPr>
                <w:rFonts w:ascii="宋体" w:hAnsi="宋体"/>
                <w:b/>
                <w:kern w:val="0"/>
              </w:rPr>
              <w:t>评审标准</w:t>
            </w:r>
          </w:p>
        </w:tc>
      </w:tr>
      <w:tr w14:paraId="16146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26C8B25D">
            <w:pPr>
              <w:pStyle w:val="67"/>
              <w:spacing w:line="400" w:lineRule="exact"/>
              <w:ind w:firstLine="420"/>
              <w:rPr>
                <w:rFonts w:hAnsi="宋体"/>
                <w:sz w:val="21"/>
                <w:szCs w:val="21"/>
              </w:rPr>
            </w:pPr>
            <w:r>
              <w:rPr>
                <w:rFonts w:hAnsi="宋体"/>
                <w:sz w:val="21"/>
                <w:szCs w:val="21"/>
              </w:rPr>
              <w:t>1</w:t>
            </w:r>
          </w:p>
        </w:tc>
        <w:tc>
          <w:tcPr>
            <w:tcW w:w="1560" w:type="dxa"/>
            <w:tcBorders>
              <w:left w:val="single" w:color="auto" w:sz="4" w:space="0"/>
            </w:tcBorders>
            <w:vAlign w:val="center"/>
          </w:tcPr>
          <w:p w14:paraId="5C0475A1">
            <w:pPr>
              <w:pStyle w:val="67"/>
              <w:spacing w:line="400" w:lineRule="exact"/>
              <w:ind w:firstLine="0" w:firstLineChars="0"/>
              <w:jc w:val="center"/>
              <w:rPr>
                <w:rFonts w:hAnsi="宋体"/>
                <w:sz w:val="21"/>
                <w:szCs w:val="21"/>
              </w:rPr>
            </w:pPr>
            <w:r>
              <w:rPr>
                <w:rFonts w:hint="eastAsia" w:hAnsi="宋体"/>
                <w:sz w:val="21"/>
                <w:szCs w:val="21"/>
              </w:rPr>
              <w:t>评标办法</w:t>
            </w:r>
          </w:p>
        </w:tc>
        <w:tc>
          <w:tcPr>
            <w:tcW w:w="6882" w:type="dxa"/>
            <w:gridSpan w:val="2"/>
            <w:vAlign w:val="center"/>
          </w:tcPr>
          <w:p w14:paraId="243D1B91">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比选申请人中按报价由低到高推荐中标候选人，或根据比选人授权直接确定中标人。若出现比选申请人投标报价相同的，以“比选申请人在红名单中优先”的原则排序（联合体投标的，须联合体牵头人在红名单中），比选申请人是否属于红名单，以重庆市公共资源交易监督网上查询结果为准；比选申请人均在红名单中或均不在红名单中的，由评标委员会按照</w:t>
            </w:r>
            <w:r>
              <w:rPr>
                <w:rFonts w:hint="eastAsia" w:ascii="宋体" w:hAnsi="宋体"/>
                <w:spacing w:val="4"/>
                <w:kern w:val="0"/>
                <w:szCs w:val="21"/>
                <w:u w:val="single"/>
              </w:rPr>
              <w:t>投标保证金到账时间前后顺序</w:t>
            </w:r>
            <w:r>
              <w:rPr>
                <w:rFonts w:hint="eastAsia" w:ascii="宋体" w:hAnsi="宋体"/>
                <w:spacing w:val="4"/>
                <w:kern w:val="0"/>
                <w:szCs w:val="21"/>
              </w:rPr>
              <w:t>原则排序。</w:t>
            </w:r>
          </w:p>
        </w:tc>
      </w:tr>
      <w:tr w14:paraId="3EA2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F291516">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5F87C0D1">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3FDF0E9B">
            <w:pPr>
              <w:spacing w:line="400" w:lineRule="exact"/>
              <w:ind w:firstLine="420" w:firstLineChars="200"/>
              <w:jc w:val="left"/>
              <w:rPr>
                <w:rFonts w:ascii="宋体" w:hAnsi="宋体"/>
                <w:kern w:val="0"/>
              </w:rPr>
            </w:pPr>
            <w:r>
              <w:rPr>
                <w:rFonts w:hint="eastAsia" w:ascii="宋体" w:hAnsi="宋体"/>
                <w:kern w:val="0"/>
              </w:rPr>
              <w:t>对报价不高于最高限价的所有比选申请人的比选申请文件，按照报价由低到高的顺序排序。</w:t>
            </w:r>
          </w:p>
        </w:tc>
      </w:tr>
      <w:tr w14:paraId="7D0B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51F165F">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5CE02A83">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0FF0DD7C">
            <w:pPr>
              <w:spacing w:line="400" w:lineRule="exact"/>
              <w:ind w:firstLine="420" w:firstLineChars="200"/>
              <w:jc w:val="left"/>
              <w:rPr>
                <w:rFonts w:ascii="宋体" w:hAnsi="宋体"/>
                <w:kern w:val="0"/>
              </w:rPr>
            </w:pPr>
            <w:r>
              <w:rPr>
                <w:rFonts w:hint="eastAsia" w:ascii="宋体" w:hAnsi="宋体"/>
                <w:kern w:val="0"/>
              </w:rPr>
              <w:t>取报价排序前☑5□6□7名（若实际比选申请人数量小于勾选数量，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合格的比选申请人中，报价最低的成为第一中标候选人，报价次低的成为第二中标候选人，依次类推。</w:t>
            </w:r>
          </w:p>
        </w:tc>
      </w:tr>
      <w:tr w14:paraId="027AE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A4B7162">
            <w:pPr>
              <w:spacing w:line="400" w:lineRule="exact"/>
              <w:jc w:val="center"/>
              <w:rPr>
                <w:rFonts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755E9BC7">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667FC9B7">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635254AD">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14:paraId="0BBD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1A1551E">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576B252">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547A7CDF">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14:paraId="729EA3BE">
            <w:pPr>
              <w:snapToGrid w:val="0"/>
              <w:spacing w:after="78" w:afterLines="25" w:line="400" w:lineRule="exact"/>
              <w:rPr>
                <w:rFonts w:ascii="宋体" w:hAnsi="宋体" w:cs="宋体"/>
                <w:kern w:val="0"/>
              </w:rPr>
            </w:pPr>
            <w:r>
              <w:rPr>
                <w:rFonts w:hint="eastAsia" w:ascii="宋体" w:hAnsi="宋体" w:cs="宋体"/>
                <w:kern w:val="0"/>
              </w:rPr>
              <w:t>符合第二章“比选申请人须知”第1.4.1项规定</w:t>
            </w:r>
          </w:p>
        </w:tc>
      </w:tr>
      <w:tr w14:paraId="71ADF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A41DB93">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64FA3023">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DC62B76">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3109264B">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14:paraId="0BB6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A10E51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4AB8A69E">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4DEF5880">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14:paraId="332B148A">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14:paraId="1564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1046056">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FFDA4A5">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0B1793FC">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63BDBB18">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14:paraId="0169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C8E39F6">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0CC0471">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0E63E804">
            <w:pPr>
              <w:snapToGrid w:val="0"/>
              <w:spacing w:line="400" w:lineRule="exact"/>
              <w:jc w:val="left"/>
              <w:rPr>
                <w:rFonts w:ascii="宋体" w:hAnsi="宋体" w:cs="宋体"/>
                <w:kern w:val="0"/>
              </w:rPr>
            </w:pPr>
            <w:r>
              <w:rPr>
                <w:rFonts w:hint="eastAsia" w:ascii="宋体" w:hAnsi="宋体" w:cs="宋体"/>
                <w:kern w:val="0"/>
              </w:rPr>
              <w:t>项目总工资格要求</w:t>
            </w:r>
          </w:p>
        </w:tc>
        <w:tc>
          <w:tcPr>
            <w:tcW w:w="4615" w:type="dxa"/>
            <w:tcBorders>
              <w:top w:val="single" w:color="auto" w:sz="4" w:space="0"/>
              <w:left w:val="single" w:color="auto" w:sz="4" w:space="0"/>
            </w:tcBorders>
            <w:vAlign w:val="center"/>
          </w:tcPr>
          <w:p w14:paraId="6393CF43">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14:paraId="73364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CABD5CE">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3773E2E6">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tcPr>
          <w:p w14:paraId="275267BC">
            <w:pPr>
              <w:spacing w:line="400" w:lineRule="exact"/>
              <w:jc w:val="left"/>
              <w:rPr>
                <w:rFonts w:ascii="宋体" w:hAnsi="宋体"/>
                <w:kern w:val="0"/>
              </w:rPr>
            </w:pPr>
            <w:r>
              <w:rPr>
                <w:rFonts w:hint="eastAsia" w:ascii="宋体" w:hAnsi="宋体" w:cs="宋体"/>
                <w:kern w:val="0"/>
              </w:rPr>
              <w:t>☑</w:t>
            </w:r>
            <w:r>
              <w:rPr>
                <w:rFonts w:hint="eastAsia" w:ascii="宋体" w:hAnsi="宋体"/>
                <w:kern w:val="0"/>
              </w:rPr>
              <w:t>其他管理和技术人员最低要求</w:t>
            </w:r>
          </w:p>
        </w:tc>
        <w:tc>
          <w:tcPr>
            <w:tcW w:w="4615" w:type="dxa"/>
            <w:tcBorders>
              <w:top w:val="single" w:color="auto" w:sz="4" w:space="0"/>
              <w:left w:val="single" w:color="auto" w:sz="4" w:space="0"/>
            </w:tcBorders>
            <w:vAlign w:val="center"/>
          </w:tcPr>
          <w:p w14:paraId="5E4D9D92">
            <w:pPr>
              <w:spacing w:line="400" w:lineRule="exact"/>
              <w:jc w:val="left"/>
              <w:rPr>
                <w:rFonts w:ascii="宋体" w:hAnsi="宋体"/>
                <w:kern w:val="0"/>
              </w:rPr>
            </w:pPr>
            <w:r>
              <w:rPr>
                <w:rFonts w:ascii="宋体" w:hAnsi="宋体"/>
                <w:kern w:val="0"/>
              </w:rPr>
              <w:t>符合第二章</w:t>
            </w:r>
            <w:r>
              <w:rPr>
                <w:rFonts w:hint="eastAsia" w:ascii="宋体" w:hAnsi="宋体"/>
                <w:kern w:val="0"/>
              </w:rPr>
              <w:t>“比选申请人</w:t>
            </w:r>
            <w:r>
              <w:rPr>
                <w:rFonts w:ascii="宋体" w:hAnsi="宋体"/>
                <w:kern w:val="0"/>
              </w:rPr>
              <w:t>须知</w:t>
            </w:r>
            <w:r>
              <w:rPr>
                <w:rFonts w:hint="eastAsia" w:ascii="宋体" w:hAnsi="宋体"/>
                <w:kern w:val="0"/>
              </w:rPr>
              <w:t>”</w:t>
            </w:r>
            <w:r>
              <w:rPr>
                <w:rFonts w:ascii="宋体" w:hAnsi="宋体"/>
                <w:kern w:val="0"/>
              </w:rPr>
              <w:t>第1.4.1项规定</w:t>
            </w:r>
          </w:p>
        </w:tc>
      </w:tr>
      <w:tr w14:paraId="6FD9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14A2841">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4ACB1AA9">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tcPr>
          <w:p w14:paraId="05C16822">
            <w:pPr>
              <w:spacing w:line="400" w:lineRule="exact"/>
              <w:rPr>
                <w:rFonts w:ascii="宋体" w:hAnsi="宋体"/>
                <w:kern w:val="0"/>
              </w:rPr>
            </w:pPr>
            <w:r>
              <w:rPr>
                <w:rFonts w:hint="eastAsia" w:ascii="宋体" w:hAnsi="宋体" w:cs="宋体"/>
                <w:kern w:val="0"/>
              </w:rPr>
              <w:t>☑</w:t>
            </w:r>
            <w:r>
              <w:rPr>
                <w:rFonts w:ascii="宋体" w:hAnsi="宋体"/>
                <w:kern w:val="0"/>
              </w:rPr>
              <w:t>主要机械设备和试验检测设备最低要求</w:t>
            </w:r>
          </w:p>
        </w:tc>
        <w:tc>
          <w:tcPr>
            <w:tcW w:w="4615" w:type="dxa"/>
            <w:tcBorders>
              <w:top w:val="single" w:color="auto" w:sz="4" w:space="0"/>
              <w:left w:val="single" w:color="auto" w:sz="4" w:space="0"/>
            </w:tcBorders>
            <w:vAlign w:val="center"/>
          </w:tcPr>
          <w:p w14:paraId="7CA3FDDE">
            <w:pPr>
              <w:spacing w:line="400" w:lineRule="exact"/>
              <w:jc w:val="left"/>
              <w:rPr>
                <w:rFonts w:ascii="宋体" w:hAnsi="宋体"/>
                <w:kern w:val="0"/>
              </w:rPr>
            </w:pPr>
            <w:r>
              <w:rPr>
                <w:rFonts w:ascii="宋体" w:hAnsi="宋体"/>
                <w:kern w:val="0"/>
              </w:rPr>
              <w:t>符合第二章</w:t>
            </w:r>
            <w:r>
              <w:rPr>
                <w:rFonts w:hint="eastAsia" w:ascii="宋体" w:hAnsi="宋体"/>
                <w:kern w:val="0"/>
              </w:rPr>
              <w:t>“比选申请人</w:t>
            </w:r>
            <w:r>
              <w:rPr>
                <w:rFonts w:ascii="宋体" w:hAnsi="宋体"/>
                <w:kern w:val="0"/>
              </w:rPr>
              <w:t>须知</w:t>
            </w:r>
            <w:r>
              <w:rPr>
                <w:rFonts w:hint="eastAsia" w:ascii="宋体" w:hAnsi="宋体"/>
                <w:kern w:val="0"/>
              </w:rPr>
              <w:t>”</w:t>
            </w:r>
            <w:r>
              <w:rPr>
                <w:rFonts w:ascii="宋体" w:hAnsi="宋体"/>
                <w:kern w:val="0"/>
              </w:rPr>
              <w:t>第1.4.1项规定</w:t>
            </w:r>
          </w:p>
        </w:tc>
      </w:tr>
      <w:tr w14:paraId="3B3EE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F6D2E81">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68EC007">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646C83A">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05645471">
            <w:pPr>
              <w:snapToGrid w:val="0"/>
              <w:spacing w:line="400" w:lineRule="exact"/>
              <w:rPr>
                <w:rFonts w:ascii="宋体" w:hAnsi="宋体" w:cs="宋体"/>
                <w:kern w:val="0"/>
                <w:u w:val="single"/>
              </w:rPr>
            </w:pPr>
            <w:r>
              <w:rPr>
                <w:rFonts w:hint="eastAsia" w:ascii="宋体" w:hAnsi="宋体" w:cs="宋体"/>
                <w:kern w:val="0"/>
              </w:rPr>
              <w:t>符合第二章“比选申请人须知”第1.4.1项规定</w:t>
            </w:r>
          </w:p>
        </w:tc>
      </w:tr>
      <w:tr w14:paraId="67D0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3F83E8FD">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31317D12">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419FEE58">
            <w:pPr>
              <w:spacing w:line="400" w:lineRule="exact"/>
              <w:jc w:val="left"/>
              <w:rPr>
                <w:rFonts w:ascii="宋体" w:hAnsi="宋体" w:cs="宋体"/>
                <w:kern w:val="0"/>
              </w:rPr>
            </w:pPr>
            <w:r>
              <w:rPr>
                <w:rFonts w:hint="eastAsia" w:ascii="宋体" w:hAnsi="宋体" w:cs="宋体"/>
                <w:kern w:val="0"/>
              </w:rPr>
              <w:t>比选申请人名称</w:t>
            </w:r>
          </w:p>
        </w:tc>
        <w:tc>
          <w:tcPr>
            <w:tcW w:w="4615" w:type="dxa"/>
            <w:tcBorders>
              <w:left w:val="single" w:color="auto" w:sz="4" w:space="0"/>
            </w:tcBorders>
            <w:vAlign w:val="center"/>
          </w:tcPr>
          <w:p w14:paraId="57EEE07C">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14:paraId="3801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2EABD7D">
            <w:pPr>
              <w:spacing w:line="400" w:lineRule="exact"/>
              <w:jc w:val="center"/>
              <w:rPr>
                <w:rFonts w:ascii="宋体" w:hAnsi="宋体"/>
                <w:b/>
                <w:kern w:val="0"/>
              </w:rPr>
            </w:pPr>
          </w:p>
        </w:tc>
        <w:tc>
          <w:tcPr>
            <w:tcW w:w="1560" w:type="dxa"/>
            <w:vMerge w:val="continue"/>
            <w:tcBorders>
              <w:left w:val="single" w:color="auto" w:sz="4" w:space="0"/>
            </w:tcBorders>
            <w:vAlign w:val="center"/>
          </w:tcPr>
          <w:p w14:paraId="1AD4F2D2">
            <w:pPr>
              <w:spacing w:line="400" w:lineRule="exact"/>
              <w:jc w:val="center"/>
              <w:rPr>
                <w:rFonts w:ascii="宋体" w:hAnsi="宋体"/>
                <w:b/>
                <w:kern w:val="0"/>
              </w:rPr>
            </w:pPr>
          </w:p>
        </w:tc>
        <w:tc>
          <w:tcPr>
            <w:tcW w:w="2267" w:type="dxa"/>
            <w:tcBorders>
              <w:right w:val="single" w:color="auto" w:sz="4" w:space="0"/>
            </w:tcBorders>
            <w:vAlign w:val="center"/>
          </w:tcPr>
          <w:p w14:paraId="7FF15DC0">
            <w:pPr>
              <w:spacing w:line="400" w:lineRule="exact"/>
              <w:jc w:val="left"/>
              <w:rPr>
                <w:rFonts w:ascii="宋体" w:hAnsi="宋体" w:cs="宋体"/>
                <w:kern w:val="0"/>
              </w:rPr>
            </w:pPr>
            <w:r>
              <w:rPr>
                <w:rFonts w:hint="eastAsia" w:ascii="宋体" w:hAnsi="宋体" w:cs="宋体"/>
                <w:kern w:val="0"/>
              </w:rPr>
              <w:t>比选申请文件格式</w:t>
            </w:r>
          </w:p>
        </w:tc>
        <w:tc>
          <w:tcPr>
            <w:tcW w:w="4615" w:type="dxa"/>
            <w:tcBorders>
              <w:left w:val="single" w:color="auto" w:sz="4" w:space="0"/>
            </w:tcBorders>
            <w:vAlign w:val="center"/>
          </w:tcPr>
          <w:p w14:paraId="69C6EA0E">
            <w:pPr>
              <w:snapToGrid w:val="0"/>
              <w:spacing w:line="400" w:lineRule="exact"/>
              <w:ind w:firstLine="380" w:firstLineChars="181"/>
              <w:rPr>
                <w:rFonts w:ascii="宋体" w:hAnsi="宋体" w:cs="宋体"/>
                <w:kern w:val="0"/>
              </w:rPr>
            </w:pPr>
            <w:r>
              <w:rPr>
                <w:rFonts w:hint="eastAsia" w:ascii="宋体" w:hAnsi="宋体" w:cs="宋体"/>
                <w:kern w:val="0"/>
              </w:rPr>
              <w:t>符合第二章“比选申请人须知”第3.7款的要求（不含投标函部分）。</w:t>
            </w:r>
          </w:p>
        </w:tc>
      </w:tr>
      <w:tr w14:paraId="4806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48C8E7F">
            <w:pPr>
              <w:spacing w:line="400" w:lineRule="exact"/>
              <w:jc w:val="center"/>
              <w:rPr>
                <w:rFonts w:ascii="宋体" w:hAnsi="宋体"/>
                <w:b/>
                <w:kern w:val="0"/>
              </w:rPr>
            </w:pPr>
          </w:p>
        </w:tc>
        <w:tc>
          <w:tcPr>
            <w:tcW w:w="1560" w:type="dxa"/>
            <w:vMerge w:val="continue"/>
            <w:tcBorders>
              <w:left w:val="single" w:color="auto" w:sz="4" w:space="0"/>
            </w:tcBorders>
            <w:vAlign w:val="center"/>
          </w:tcPr>
          <w:p w14:paraId="003CFE64">
            <w:pPr>
              <w:spacing w:line="400" w:lineRule="exact"/>
              <w:jc w:val="center"/>
              <w:rPr>
                <w:rFonts w:ascii="宋体" w:hAnsi="宋体"/>
                <w:b/>
                <w:kern w:val="0"/>
              </w:rPr>
            </w:pPr>
          </w:p>
        </w:tc>
        <w:tc>
          <w:tcPr>
            <w:tcW w:w="2267" w:type="dxa"/>
            <w:tcBorders>
              <w:right w:val="single" w:color="auto" w:sz="4" w:space="0"/>
            </w:tcBorders>
            <w:vAlign w:val="center"/>
          </w:tcPr>
          <w:p w14:paraId="786B6FF5">
            <w:pPr>
              <w:spacing w:line="400" w:lineRule="exact"/>
              <w:jc w:val="left"/>
              <w:rPr>
                <w:rFonts w:ascii="宋体" w:hAnsi="宋体" w:cs="宋体"/>
                <w:kern w:val="0"/>
              </w:rPr>
            </w:pPr>
            <w:r>
              <w:rPr>
                <w:rFonts w:hint="eastAsia" w:ascii="宋体" w:hAnsi="宋体" w:cs="宋体"/>
                <w:kern w:val="0"/>
              </w:rPr>
              <w:t>比选申请文件的签署</w:t>
            </w:r>
          </w:p>
        </w:tc>
        <w:tc>
          <w:tcPr>
            <w:tcW w:w="4615" w:type="dxa"/>
            <w:tcBorders>
              <w:left w:val="single" w:color="auto" w:sz="4" w:space="0"/>
            </w:tcBorders>
            <w:vAlign w:val="center"/>
          </w:tcPr>
          <w:p w14:paraId="6C693823">
            <w:pPr>
              <w:pStyle w:val="12"/>
              <w:spacing w:after="0" w:line="400" w:lineRule="exact"/>
              <w:ind w:firstLine="420" w:firstLineChars="200"/>
              <w:rPr>
                <w:rFonts w:ascii="宋体" w:hAnsi="宋体"/>
              </w:rPr>
            </w:pPr>
            <w:r>
              <w:rPr>
                <w:rFonts w:hint="eastAsia" w:ascii="宋体" w:hAnsi="宋体" w:cs="宋体"/>
                <w:kern w:val="0"/>
              </w:rPr>
              <w:t>第九章 比选申请文件格式（不含投标函部分）要求法定代表人或其委托代理人签名（或盖章）的须齐全。</w:t>
            </w:r>
          </w:p>
        </w:tc>
      </w:tr>
      <w:tr w14:paraId="033A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43B9EEA">
            <w:pPr>
              <w:spacing w:line="400" w:lineRule="exact"/>
              <w:jc w:val="center"/>
              <w:rPr>
                <w:rFonts w:ascii="宋体" w:hAnsi="宋体"/>
                <w:b/>
                <w:kern w:val="0"/>
              </w:rPr>
            </w:pPr>
          </w:p>
        </w:tc>
        <w:tc>
          <w:tcPr>
            <w:tcW w:w="1560" w:type="dxa"/>
            <w:vMerge w:val="continue"/>
            <w:tcBorders>
              <w:left w:val="single" w:color="auto" w:sz="4" w:space="0"/>
            </w:tcBorders>
            <w:vAlign w:val="center"/>
          </w:tcPr>
          <w:p w14:paraId="2569E840">
            <w:pPr>
              <w:spacing w:line="400" w:lineRule="exact"/>
              <w:jc w:val="center"/>
              <w:rPr>
                <w:rFonts w:ascii="宋体" w:hAnsi="宋体"/>
                <w:b/>
                <w:kern w:val="0"/>
              </w:rPr>
            </w:pPr>
          </w:p>
        </w:tc>
        <w:tc>
          <w:tcPr>
            <w:tcW w:w="2267" w:type="dxa"/>
            <w:tcBorders>
              <w:right w:val="single" w:color="auto" w:sz="4" w:space="0"/>
            </w:tcBorders>
            <w:vAlign w:val="center"/>
          </w:tcPr>
          <w:p w14:paraId="5926AD81">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7D4EED21">
            <w:pPr>
              <w:snapToGrid w:val="0"/>
              <w:spacing w:after="78" w:afterLines="25" w:line="400" w:lineRule="exact"/>
              <w:ind w:firstLine="420" w:firstLineChars="200"/>
              <w:rPr>
                <w:rFonts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14:paraId="26DA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67A88964">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14:paraId="0DFA703E">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14:paraId="3FA95ECC">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44CD3CAA">
            <w:pPr>
              <w:snapToGrid w:val="0"/>
              <w:spacing w:line="400" w:lineRule="exact"/>
              <w:ind w:firstLine="420" w:firstLineChars="200"/>
              <w:rPr>
                <w:rFonts w:ascii="宋体" w:hAnsi="宋体" w:cs="宋体"/>
                <w:kern w:val="0"/>
              </w:rPr>
            </w:pPr>
            <w:r>
              <w:rPr>
                <w:rFonts w:hint="eastAsia" w:ascii="宋体" w:hAnsi="宋体" w:cs="宋体"/>
                <w:kern w:val="0"/>
              </w:rPr>
              <w:t>符合第二章“比选申请人须知”第1.3.1项规定</w:t>
            </w:r>
          </w:p>
        </w:tc>
      </w:tr>
      <w:tr w14:paraId="066E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7BB3CA9">
            <w:pPr>
              <w:spacing w:line="400" w:lineRule="exact"/>
              <w:jc w:val="center"/>
              <w:rPr>
                <w:rFonts w:ascii="宋体" w:hAnsi="宋体"/>
                <w:kern w:val="0"/>
              </w:rPr>
            </w:pPr>
          </w:p>
        </w:tc>
        <w:tc>
          <w:tcPr>
            <w:tcW w:w="1560" w:type="dxa"/>
            <w:vMerge w:val="continue"/>
            <w:tcBorders>
              <w:left w:val="single" w:color="auto" w:sz="4" w:space="0"/>
            </w:tcBorders>
            <w:vAlign w:val="center"/>
          </w:tcPr>
          <w:p w14:paraId="19DB8381">
            <w:pPr>
              <w:spacing w:line="400" w:lineRule="exact"/>
              <w:jc w:val="center"/>
              <w:rPr>
                <w:rFonts w:ascii="宋体" w:hAnsi="宋体"/>
                <w:kern w:val="0"/>
              </w:rPr>
            </w:pPr>
          </w:p>
        </w:tc>
        <w:tc>
          <w:tcPr>
            <w:tcW w:w="2267" w:type="dxa"/>
            <w:tcBorders>
              <w:right w:val="single" w:color="auto" w:sz="4" w:space="0"/>
            </w:tcBorders>
            <w:vAlign w:val="center"/>
          </w:tcPr>
          <w:p w14:paraId="357829D3">
            <w:pPr>
              <w:snapToGrid w:val="0"/>
              <w:spacing w:line="400" w:lineRule="exact"/>
              <w:jc w:val="left"/>
              <w:rPr>
                <w:rFonts w:ascii="宋体" w:hAnsi="宋体" w:cs="宋体"/>
                <w:kern w:val="0"/>
              </w:rPr>
            </w:pPr>
            <w:r>
              <w:rPr>
                <w:rFonts w:hint="eastAsia" w:ascii="宋体" w:hAnsi="宋体" w:cs="宋体"/>
                <w:kern w:val="0"/>
              </w:rPr>
              <w:t>投标函附录</w:t>
            </w:r>
          </w:p>
        </w:tc>
        <w:tc>
          <w:tcPr>
            <w:tcW w:w="4615" w:type="dxa"/>
            <w:tcBorders>
              <w:left w:val="single" w:color="auto" w:sz="4" w:space="0"/>
            </w:tcBorders>
            <w:vAlign w:val="center"/>
          </w:tcPr>
          <w:p w14:paraId="7A578AE2">
            <w:pPr>
              <w:snapToGrid w:val="0"/>
              <w:spacing w:line="400" w:lineRule="exact"/>
              <w:ind w:firstLine="420" w:firstLineChars="200"/>
              <w:rPr>
                <w:rFonts w:ascii="宋体" w:hAnsi="宋体" w:cs="宋体"/>
                <w:kern w:val="0"/>
              </w:rPr>
            </w:pPr>
            <w:r>
              <w:rPr>
                <w:rFonts w:hint="eastAsia" w:ascii="宋体" w:hAnsi="宋体" w:cs="宋体"/>
                <w:kern w:val="0"/>
              </w:rPr>
              <w:t>投标函附录的所有数据均符合比选文件规定。</w:t>
            </w:r>
          </w:p>
        </w:tc>
      </w:tr>
      <w:tr w14:paraId="6DA7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F415CCD">
            <w:pPr>
              <w:spacing w:line="400" w:lineRule="exact"/>
              <w:jc w:val="center"/>
              <w:rPr>
                <w:rFonts w:ascii="宋体" w:hAnsi="宋体"/>
                <w:kern w:val="0"/>
              </w:rPr>
            </w:pPr>
          </w:p>
        </w:tc>
        <w:tc>
          <w:tcPr>
            <w:tcW w:w="1560" w:type="dxa"/>
            <w:vMerge w:val="continue"/>
            <w:tcBorders>
              <w:left w:val="single" w:color="auto" w:sz="4" w:space="0"/>
            </w:tcBorders>
            <w:vAlign w:val="center"/>
          </w:tcPr>
          <w:p w14:paraId="0975A27E">
            <w:pPr>
              <w:spacing w:line="400" w:lineRule="exact"/>
              <w:jc w:val="center"/>
              <w:rPr>
                <w:rFonts w:ascii="宋体" w:hAnsi="宋体"/>
                <w:kern w:val="0"/>
              </w:rPr>
            </w:pPr>
          </w:p>
        </w:tc>
        <w:tc>
          <w:tcPr>
            <w:tcW w:w="2267" w:type="dxa"/>
            <w:tcBorders>
              <w:right w:val="single" w:color="auto" w:sz="4" w:space="0"/>
            </w:tcBorders>
            <w:vAlign w:val="center"/>
          </w:tcPr>
          <w:p w14:paraId="7E6850E2">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2A344FAB">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符合第二章“比选申请人须知前附表”第3.4款规定。</w:t>
            </w:r>
          </w:p>
        </w:tc>
      </w:tr>
      <w:tr w14:paraId="377E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62110D0">
            <w:pPr>
              <w:spacing w:line="400" w:lineRule="exact"/>
              <w:jc w:val="center"/>
              <w:rPr>
                <w:rFonts w:ascii="宋体" w:hAnsi="宋体"/>
                <w:kern w:val="0"/>
              </w:rPr>
            </w:pPr>
          </w:p>
        </w:tc>
        <w:tc>
          <w:tcPr>
            <w:tcW w:w="1560" w:type="dxa"/>
            <w:vMerge w:val="continue"/>
            <w:tcBorders>
              <w:left w:val="single" w:color="auto" w:sz="4" w:space="0"/>
            </w:tcBorders>
            <w:vAlign w:val="center"/>
          </w:tcPr>
          <w:p w14:paraId="49CCF62F">
            <w:pPr>
              <w:spacing w:line="400" w:lineRule="exact"/>
              <w:jc w:val="center"/>
              <w:rPr>
                <w:rFonts w:ascii="宋体" w:hAnsi="宋体"/>
                <w:kern w:val="0"/>
              </w:rPr>
            </w:pPr>
          </w:p>
        </w:tc>
        <w:tc>
          <w:tcPr>
            <w:tcW w:w="2267" w:type="dxa"/>
            <w:tcBorders>
              <w:right w:val="single" w:color="auto" w:sz="4" w:space="0"/>
            </w:tcBorders>
            <w:vAlign w:val="center"/>
          </w:tcPr>
          <w:p w14:paraId="4CCC090B">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5EDB3463">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符合第四章“合同条款及格式”规定，比选申请文件不应附有比选人不能接受的条件。（由比选申请人承诺，承诺书格式详见第九章比选申请文件格式。）</w:t>
            </w:r>
          </w:p>
        </w:tc>
      </w:tr>
      <w:tr w14:paraId="06DCE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7E0243E">
            <w:pPr>
              <w:spacing w:line="400" w:lineRule="exact"/>
              <w:jc w:val="center"/>
              <w:rPr>
                <w:rFonts w:ascii="宋体" w:hAnsi="宋体"/>
                <w:kern w:val="0"/>
              </w:rPr>
            </w:pPr>
          </w:p>
        </w:tc>
        <w:tc>
          <w:tcPr>
            <w:tcW w:w="1560" w:type="dxa"/>
            <w:vMerge w:val="continue"/>
            <w:tcBorders>
              <w:left w:val="single" w:color="auto" w:sz="4" w:space="0"/>
            </w:tcBorders>
            <w:vAlign w:val="center"/>
          </w:tcPr>
          <w:p w14:paraId="5C672A84">
            <w:pPr>
              <w:spacing w:line="400" w:lineRule="exact"/>
              <w:jc w:val="center"/>
              <w:rPr>
                <w:rFonts w:ascii="宋体" w:hAnsi="宋体"/>
                <w:kern w:val="0"/>
              </w:rPr>
            </w:pPr>
          </w:p>
        </w:tc>
        <w:tc>
          <w:tcPr>
            <w:tcW w:w="2267" w:type="dxa"/>
            <w:tcBorders>
              <w:right w:val="single" w:color="auto" w:sz="4" w:space="0"/>
            </w:tcBorders>
            <w:vAlign w:val="center"/>
          </w:tcPr>
          <w:p w14:paraId="7E2CA4F3">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47CCE34F">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符合第七章“技术标准和要求”规定。（由比选申请人承诺，承诺书格式详见第九章比选申请文件格式。）</w:t>
            </w:r>
          </w:p>
        </w:tc>
      </w:tr>
      <w:tr w14:paraId="4FBB0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71BDFBBF">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14:paraId="32E52A9D">
            <w:pPr>
              <w:spacing w:line="400" w:lineRule="exact"/>
              <w:jc w:val="center"/>
              <w:rPr>
                <w:rFonts w:ascii="宋体" w:hAnsi="宋体"/>
                <w:kern w:val="0"/>
              </w:rPr>
            </w:pPr>
          </w:p>
        </w:tc>
        <w:tc>
          <w:tcPr>
            <w:tcW w:w="2267" w:type="dxa"/>
            <w:tcBorders>
              <w:right w:val="single" w:color="auto" w:sz="4" w:space="0"/>
            </w:tcBorders>
            <w:vAlign w:val="center"/>
          </w:tcPr>
          <w:p w14:paraId="46304258">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4C481CFF">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符合第二章“比选申请人须知”第1.4.3项规定。</w:t>
            </w:r>
          </w:p>
          <w:p w14:paraId="66C1E91A">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14:paraId="0287CD2B">
            <w:pPr>
              <w:snapToGrid w:val="0"/>
              <w:spacing w:after="31" w:afterLines="10" w:line="400" w:lineRule="exact"/>
              <w:ind w:firstLine="420" w:firstLineChars="200"/>
            </w:pPr>
            <w:r>
              <w:rPr>
                <w:rFonts w:hint="eastAsia"/>
              </w:rPr>
              <w:t>按评标委员会要求澄清、说明或补正。</w:t>
            </w:r>
          </w:p>
        </w:tc>
      </w:tr>
      <w:tr w14:paraId="3A37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B198830">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14:paraId="72365C74">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14:paraId="3AAE57E4">
            <w:pPr>
              <w:snapToGrid w:val="0"/>
              <w:spacing w:line="400" w:lineRule="exact"/>
              <w:jc w:val="left"/>
              <w:rPr>
                <w:rFonts w:ascii="宋体" w:hAnsi="宋体" w:cs="宋体"/>
                <w:kern w:val="0"/>
              </w:rPr>
            </w:pPr>
            <w:r>
              <w:rPr>
                <w:rFonts w:hint="eastAsia" w:ascii="宋体" w:hAnsi="宋体" w:cs="宋体"/>
                <w:kern w:val="0"/>
              </w:rPr>
              <w:t>投标函部分的签名盖章</w:t>
            </w:r>
          </w:p>
        </w:tc>
        <w:tc>
          <w:tcPr>
            <w:tcW w:w="4615" w:type="dxa"/>
            <w:tcBorders>
              <w:left w:val="single" w:color="auto" w:sz="4" w:space="0"/>
            </w:tcBorders>
            <w:vAlign w:val="center"/>
          </w:tcPr>
          <w:p w14:paraId="15A59BEA">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14:paraId="52C9E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714FB5C">
            <w:pPr>
              <w:spacing w:line="400" w:lineRule="exact"/>
              <w:jc w:val="center"/>
              <w:rPr>
                <w:rFonts w:ascii="宋体" w:hAnsi="宋体"/>
                <w:kern w:val="0"/>
              </w:rPr>
            </w:pPr>
          </w:p>
        </w:tc>
        <w:tc>
          <w:tcPr>
            <w:tcW w:w="1560" w:type="dxa"/>
            <w:vMerge w:val="continue"/>
            <w:tcBorders>
              <w:left w:val="single" w:color="auto" w:sz="4" w:space="0"/>
            </w:tcBorders>
            <w:vAlign w:val="center"/>
          </w:tcPr>
          <w:p w14:paraId="7A558975">
            <w:pPr>
              <w:spacing w:line="400" w:lineRule="exact"/>
              <w:jc w:val="center"/>
              <w:rPr>
                <w:rFonts w:ascii="宋体" w:hAnsi="宋体"/>
                <w:kern w:val="0"/>
              </w:rPr>
            </w:pPr>
          </w:p>
        </w:tc>
        <w:tc>
          <w:tcPr>
            <w:tcW w:w="2267" w:type="dxa"/>
            <w:tcBorders>
              <w:right w:val="single" w:color="auto" w:sz="4" w:space="0"/>
            </w:tcBorders>
            <w:vAlign w:val="center"/>
          </w:tcPr>
          <w:p w14:paraId="18D6BD3D">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1C313FD1">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符合第二章“比选申请人须知”第1.3.2项规定</w:t>
            </w:r>
          </w:p>
        </w:tc>
      </w:tr>
      <w:tr w14:paraId="3B8A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4583708">
            <w:pPr>
              <w:spacing w:line="400" w:lineRule="exact"/>
              <w:jc w:val="center"/>
              <w:rPr>
                <w:rFonts w:ascii="宋体" w:hAnsi="宋体"/>
                <w:kern w:val="0"/>
              </w:rPr>
            </w:pPr>
          </w:p>
        </w:tc>
        <w:tc>
          <w:tcPr>
            <w:tcW w:w="1560" w:type="dxa"/>
            <w:vMerge w:val="continue"/>
            <w:tcBorders>
              <w:left w:val="single" w:color="auto" w:sz="4" w:space="0"/>
            </w:tcBorders>
            <w:vAlign w:val="center"/>
          </w:tcPr>
          <w:p w14:paraId="6D9A70AE">
            <w:pPr>
              <w:spacing w:line="400" w:lineRule="exact"/>
              <w:jc w:val="center"/>
              <w:rPr>
                <w:rFonts w:ascii="宋体" w:hAnsi="宋体"/>
                <w:kern w:val="0"/>
              </w:rPr>
            </w:pPr>
          </w:p>
        </w:tc>
        <w:tc>
          <w:tcPr>
            <w:tcW w:w="2267" w:type="dxa"/>
            <w:tcBorders>
              <w:right w:val="single" w:color="auto" w:sz="4" w:space="0"/>
            </w:tcBorders>
            <w:vAlign w:val="center"/>
          </w:tcPr>
          <w:p w14:paraId="7D92CCCF">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502178E5">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符合第二章“比选申请人须知”第1.3.3项规定</w:t>
            </w:r>
          </w:p>
        </w:tc>
      </w:tr>
      <w:tr w14:paraId="12F0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04D1CF4">
            <w:pPr>
              <w:spacing w:line="400" w:lineRule="exact"/>
              <w:jc w:val="center"/>
              <w:rPr>
                <w:rFonts w:ascii="宋体" w:hAnsi="宋体"/>
                <w:kern w:val="0"/>
              </w:rPr>
            </w:pPr>
          </w:p>
        </w:tc>
        <w:tc>
          <w:tcPr>
            <w:tcW w:w="1560" w:type="dxa"/>
            <w:vMerge w:val="continue"/>
            <w:tcBorders>
              <w:left w:val="single" w:color="auto" w:sz="4" w:space="0"/>
            </w:tcBorders>
            <w:vAlign w:val="center"/>
          </w:tcPr>
          <w:p w14:paraId="7EB8D118">
            <w:pPr>
              <w:spacing w:line="400" w:lineRule="exact"/>
              <w:jc w:val="center"/>
              <w:rPr>
                <w:rFonts w:ascii="宋体" w:hAnsi="宋体"/>
                <w:kern w:val="0"/>
              </w:rPr>
            </w:pPr>
          </w:p>
        </w:tc>
        <w:tc>
          <w:tcPr>
            <w:tcW w:w="2267" w:type="dxa"/>
            <w:tcBorders>
              <w:right w:val="single" w:color="auto" w:sz="4" w:space="0"/>
            </w:tcBorders>
            <w:vAlign w:val="center"/>
          </w:tcPr>
          <w:p w14:paraId="36B7BD9F">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14:paraId="5E6C2B26">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符合第二章“比选申请人须知”第3.3.1项规定</w:t>
            </w:r>
          </w:p>
        </w:tc>
      </w:tr>
      <w:tr w14:paraId="4D03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B6E5327">
            <w:pPr>
              <w:spacing w:line="400" w:lineRule="exact"/>
              <w:jc w:val="center"/>
              <w:rPr>
                <w:rFonts w:ascii="宋体" w:hAnsi="宋体"/>
                <w:kern w:val="0"/>
              </w:rPr>
            </w:pPr>
          </w:p>
        </w:tc>
        <w:tc>
          <w:tcPr>
            <w:tcW w:w="1560" w:type="dxa"/>
            <w:vMerge w:val="continue"/>
            <w:tcBorders>
              <w:left w:val="single" w:color="auto" w:sz="4" w:space="0"/>
            </w:tcBorders>
            <w:vAlign w:val="center"/>
          </w:tcPr>
          <w:p w14:paraId="35A1D7F0">
            <w:pPr>
              <w:spacing w:line="400" w:lineRule="exact"/>
              <w:jc w:val="center"/>
              <w:rPr>
                <w:rFonts w:ascii="宋体" w:hAnsi="宋体"/>
                <w:kern w:val="0"/>
              </w:rPr>
            </w:pPr>
          </w:p>
        </w:tc>
        <w:tc>
          <w:tcPr>
            <w:tcW w:w="2267" w:type="dxa"/>
            <w:tcBorders>
              <w:right w:val="single" w:color="auto" w:sz="4" w:space="0"/>
            </w:tcBorders>
            <w:vAlign w:val="center"/>
          </w:tcPr>
          <w:p w14:paraId="7CB864D2">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14:paraId="43A46B79">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1.投标总报价不得高于比选人公布的投标总报价最高限价。</w:t>
            </w:r>
          </w:p>
          <w:p w14:paraId="549617BF">
            <w:pPr>
              <w:snapToGrid w:val="0"/>
              <w:spacing w:after="31" w:afterLines="10" w:line="400" w:lineRule="exact"/>
              <w:ind w:firstLine="420" w:firstLineChars="200"/>
            </w:pPr>
            <w:r>
              <w:rPr>
                <w:rFonts w:hint="eastAsia" w:ascii="宋体" w:hAnsi="宋体" w:cs="宋体"/>
                <w:kern w:val="0"/>
              </w:rPr>
              <w:t>2.投标总报价低于最高限价85%的，比选申请人应在编制比选申请文件时，在投标函部分中递交低价风险担保提交承诺书。承诺书格式详见第九章比选申请文件格式。</w:t>
            </w:r>
          </w:p>
        </w:tc>
      </w:tr>
      <w:tr w14:paraId="0826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A37733">
            <w:pPr>
              <w:spacing w:line="400" w:lineRule="exact"/>
              <w:jc w:val="center"/>
              <w:rPr>
                <w:rFonts w:ascii="宋体" w:hAnsi="宋体"/>
                <w:kern w:val="0"/>
              </w:rPr>
            </w:pPr>
          </w:p>
        </w:tc>
        <w:tc>
          <w:tcPr>
            <w:tcW w:w="1560" w:type="dxa"/>
            <w:vMerge w:val="continue"/>
            <w:tcBorders>
              <w:left w:val="single" w:color="auto" w:sz="4" w:space="0"/>
            </w:tcBorders>
            <w:vAlign w:val="center"/>
          </w:tcPr>
          <w:p w14:paraId="66FB02B7">
            <w:pPr>
              <w:spacing w:line="400" w:lineRule="exact"/>
              <w:jc w:val="center"/>
              <w:rPr>
                <w:rFonts w:ascii="宋体" w:hAnsi="宋体"/>
                <w:kern w:val="0"/>
              </w:rPr>
            </w:pPr>
          </w:p>
        </w:tc>
        <w:tc>
          <w:tcPr>
            <w:tcW w:w="2267" w:type="dxa"/>
            <w:tcBorders>
              <w:right w:val="single" w:color="auto" w:sz="4" w:space="0"/>
            </w:tcBorders>
            <w:vAlign w:val="center"/>
          </w:tcPr>
          <w:p w14:paraId="7BBDC4E7">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794F9B1E">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只能有一个有效报价。在比选文件没有规定的情况下，不得提交选择性报价。</w:t>
            </w:r>
          </w:p>
        </w:tc>
      </w:tr>
      <w:tr w14:paraId="2F44A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4CDDBAA">
            <w:pPr>
              <w:spacing w:line="400" w:lineRule="exact"/>
              <w:jc w:val="center"/>
              <w:rPr>
                <w:rFonts w:ascii="宋体" w:hAnsi="宋体"/>
                <w:kern w:val="0"/>
              </w:rPr>
            </w:pPr>
          </w:p>
        </w:tc>
        <w:tc>
          <w:tcPr>
            <w:tcW w:w="1560" w:type="dxa"/>
            <w:vMerge w:val="continue"/>
            <w:tcBorders>
              <w:left w:val="single" w:color="auto" w:sz="4" w:space="0"/>
            </w:tcBorders>
            <w:vAlign w:val="center"/>
          </w:tcPr>
          <w:p w14:paraId="15691F3A">
            <w:pPr>
              <w:spacing w:line="400" w:lineRule="exact"/>
              <w:jc w:val="center"/>
              <w:rPr>
                <w:rFonts w:ascii="宋体" w:hAnsi="宋体"/>
                <w:kern w:val="0"/>
              </w:rPr>
            </w:pPr>
          </w:p>
        </w:tc>
        <w:tc>
          <w:tcPr>
            <w:tcW w:w="2267" w:type="dxa"/>
            <w:tcBorders>
              <w:right w:val="single" w:color="auto" w:sz="4" w:space="0"/>
            </w:tcBorders>
            <w:vAlign w:val="center"/>
          </w:tcPr>
          <w:p w14:paraId="086EB8EF">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14:paraId="7C2A335B">
            <w:pPr>
              <w:spacing w:after="62" w:afterLines="20" w:line="400" w:lineRule="exact"/>
              <w:ind w:firstLine="420" w:firstLineChars="200"/>
              <w:rPr>
                <w:rFonts w:ascii="宋体" w:hAnsi="宋体" w:cs="宋体"/>
                <w:kern w:val="0"/>
              </w:rPr>
            </w:pPr>
            <w:r>
              <w:rPr>
                <w:rFonts w:hint="eastAsia" w:ascii="宋体" w:hAnsi="宋体" w:cs="宋体"/>
                <w:kern w:val="0"/>
              </w:rPr>
              <w:t>比选申请人承诺满足以下内容：</w:t>
            </w:r>
          </w:p>
          <w:p w14:paraId="450C77FF">
            <w:pPr>
              <w:spacing w:after="62" w:afterLines="20" w:line="400" w:lineRule="exact"/>
              <w:ind w:firstLine="420" w:firstLineChars="200"/>
              <w:rPr>
                <w:rFonts w:ascii="宋体" w:hAnsi="宋体" w:cs="宋体"/>
                <w:kern w:val="0"/>
              </w:rPr>
            </w:pPr>
            <w:r>
              <w:rPr>
                <w:rFonts w:hint="eastAsia" w:ascii="宋体" w:hAnsi="宋体" w:cs="宋体"/>
                <w:kern w:val="0"/>
              </w:rPr>
              <w:t>1.按照第五章“工程量清单”、第八章“工程量清单计量规则”的规定进行报价。</w:t>
            </w:r>
          </w:p>
          <w:p w14:paraId="38E6317C">
            <w:pPr>
              <w:snapToGrid w:val="0"/>
              <w:spacing w:after="31" w:afterLines="10" w:line="400" w:lineRule="exact"/>
              <w:ind w:firstLine="420" w:firstLineChars="200"/>
              <w:rPr>
                <w:rFonts w:ascii="宋体" w:hAnsi="宋体" w:cs="宋体"/>
                <w:kern w:val="0"/>
              </w:rPr>
            </w:pPr>
            <w:r>
              <w:rPr>
                <w:rFonts w:hint="eastAsia" w:ascii="宋体" w:hAnsi="宋体" w:cs="宋体"/>
                <w:kern w:val="0"/>
              </w:rPr>
              <w:t>2.比选文件中规定工程量清单不允许修改的内容不得修改。</w:t>
            </w:r>
          </w:p>
          <w:p w14:paraId="69A69F6A">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3.投标总报价不高于比选人公布的投标总报价最高限价。</w:t>
            </w:r>
          </w:p>
          <w:p w14:paraId="0313E36A">
            <w:pPr>
              <w:snapToGrid w:val="0"/>
              <w:spacing w:after="31" w:afterLines="10" w:line="400" w:lineRule="exact"/>
              <w:ind w:firstLine="420" w:firstLineChars="200"/>
              <w:rPr>
                <w:rFonts w:ascii="宋体" w:hAnsi="宋体" w:cs="宋体"/>
                <w:kern w:val="0"/>
              </w:rPr>
            </w:pPr>
            <w:r>
              <w:rPr>
                <w:rFonts w:ascii="宋体" w:hAnsi="宋体" w:cs="宋体"/>
                <w:kern w:val="0"/>
              </w:rPr>
              <w:t>4</w:t>
            </w:r>
            <w:r>
              <w:rPr>
                <w:rFonts w:hint="eastAsia" w:ascii="宋体" w:hAnsi="宋体" w:cs="宋体"/>
                <w:kern w:val="0"/>
              </w:rPr>
              <w:t>.</w:t>
            </w:r>
            <w:r>
              <w:rPr>
                <w:rFonts w:hint="eastAsia" w:ascii="宋体" w:hAnsi="宋体" w:cs="宋体"/>
                <w:szCs w:val="21"/>
              </w:rPr>
              <w:t>若出现差错，按比选文件第二章比选申请人须知前附表第3.2.9项规定的原则进行处理（或结算）。</w:t>
            </w:r>
          </w:p>
        </w:tc>
      </w:tr>
      <w:tr w14:paraId="5F89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14AFAAC">
            <w:pPr>
              <w:spacing w:line="400" w:lineRule="exact"/>
              <w:jc w:val="center"/>
              <w:rPr>
                <w:rFonts w:ascii="宋体" w:hAnsi="宋体"/>
                <w:kern w:val="0"/>
              </w:rPr>
            </w:pPr>
          </w:p>
        </w:tc>
        <w:tc>
          <w:tcPr>
            <w:tcW w:w="1560" w:type="dxa"/>
            <w:vMerge w:val="continue"/>
            <w:tcBorders>
              <w:left w:val="single" w:color="auto" w:sz="4" w:space="0"/>
            </w:tcBorders>
            <w:vAlign w:val="center"/>
          </w:tcPr>
          <w:p w14:paraId="19FF38D0">
            <w:pPr>
              <w:spacing w:line="400" w:lineRule="exact"/>
              <w:jc w:val="center"/>
              <w:rPr>
                <w:rFonts w:ascii="宋体" w:hAnsi="宋体"/>
                <w:kern w:val="0"/>
              </w:rPr>
            </w:pPr>
          </w:p>
        </w:tc>
        <w:tc>
          <w:tcPr>
            <w:tcW w:w="2267" w:type="dxa"/>
            <w:tcBorders>
              <w:right w:val="single" w:color="auto" w:sz="4" w:space="0"/>
            </w:tcBorders>
            <w:vAlign w:val="center"/>
          </w:tcPr>
          <w:p w14:paraId="60F51723">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14:paraId="185A6AC4">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14:paraId="3810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11D967AC">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0ADB03CC">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52642B22">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w:t>
            </w:r>
          </w:p>
          <w:p w14:paraId="24C4A456">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14:paraId="56F1113F">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，则评标委员会对剩余比选申请文件继续按上述第2条进行评审，直至评出三名中标候选人，或者评审完所有比选申请文件。</w:t>
            </w:r>
          </w:p>
          <w:p w14:paraId="4A5F5720">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ascii="宋体" w:hAnsi="宋体"/>
              </w:rPr>
              <w:t xml:space="preserve"> </w:t>
            </w:r>
            <w:r>
              <w:rPr>
                <w:rFonts w:hint="eastAsia" w:ascii="宋体" w:hAnsi="宋体"/>
                <w:kern w:val="0"/>
                <w:szCs w:val="21"/>
              </w:rPr>
              <w:t>因评标委员会作否决投标处理，导致有效比选申请人不足三个的，评标委员会应当否决所有投标。但是有效比选申请人的经济、技术等指标仍然具有市场竞争力，并满足比选文件要求的，评标委员会可以继续评标并确定中标候选人。</w:t>
            </w:r>
          </w:p>
          <w:p w14:paraId="61EB5101">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注：若出现比选申请人投标报价相同的</w:t>
            </w:r>
            <w:r>
              <w:rPr>
                <w:rFonts w:hint="eastAsia" w:ascii="宋体" w:hAnsi="宋体"/>
                <w:spacing w:val="4"/>
                <w:kern w:val="0"/>
                <w:szCs w:val="21"/>
              </w:rPr>
              <w:t>，由评标委员会按照</w:t>
            </w:r>
            <w:r>
              <w:rPr>
                <w:rFonts w:hint="eastAsia" w:ascii="宋体" w:hAnsi="宋体"/>
                <w:spacing w:val="4"/>
                <w:kern w:val="0"/>
                <w:szCs w:val="21"/>
                <w:u w:val="single"/>
              </w:rPr>
              <w:t>投标保证金到账时间前后顺序</w:t>
            </w:r>
            <w:r>
              <w:rPr>
                <w:rFonts w:hint="eastAsia" w:ascii="宋体" w:hAnsi="宋体"/>
                <w:spacing w:val="4"/>
                <w:kern w:val="0"/>
                <w:szCs w:val="21"/>
              </w:rPr>
              <w:t>原则排序。</w:t>
            </w:r>
          </w:p>
        </w:tc>
      </w:tr>
      <w:tr w14:paraId="6DD6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1624CF3F">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5FE069A9">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3741CD7E">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“比选申请人</w:t>
            </w:r>
            <w:r>
              <w:rPr>
                <w:rFonts w:ascii="宋体" w:hAnsi="宋体"/>
                <w:kern w:val="0"/>
                <w:szCs w:val="21"/>
              </w:rPr>
              <w:t>须知</w:t>
            </w:r>
            <w:r>
              <w:rPr>
                <w:rFonts w:hint="eastAsia"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4C22B6BA">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bookmarkEnd w:id="179"/>
      <w:bookmarkEnd w:id="180"/>
      <w:bookmarkEnd w:id="181"/>
      <w:bookmarkEnd w:id="182"/>
      <w:bookmarkEnd w:id="183"/>
    </w:tbl>
    <w:p w14:paraId="74801AC1">
      <w:pPr>
        <w:pStyle w:val="12"/>
        <w:rPr>
          <w:rFonts w:ascii="宋体" w:hAnsi="宋体"/>
          <w:bCs/>
          <w:snapToGrid w:val="0"/>
          <w:sz w:val="32"/>
          <w:szCs w:val="32"/>
        </w:rPr>
      </w:pPr>
    </w:p>
    <w:p w14:paraId="146E94A1">
      <w:pPr>
        <w:pStyle w:val="12"/>
        <w:rPr>
          <w:rFonts w:ascii="宋体" w:hAnsi="宋体"/>
          <w:bCs/>
          <w:snapToGrid w:val="0"/>
          <w:sz w:val="32"/>
          <w:szCs w:val="32"/>
        </w:rPr>
      </w:pPr>
      <w:r>
        <w:rPr>
          <w:rFonts w:ascii="宋体" w:hAnsi="宋体"/>
          <w:bCs/>
          <w:snapToGrid w:val="0"/>
          <w:sz w:val="32"/>
          <w:szCs w:val="32"/>
        </w:rPr>
        <w:br w:type="page"/>
      </w:r>
    </w:p>
    <w:bookmarkEnd w:id="168"/>
    <w:bookmarkEnd w:id="169"/>
    <w:bookmarkEnd w:id="170"/>
    <w:bookmarkEnd w:id="171"/>
    <w:bookmarkEnd w:id="172"/>
    <w:p w14:paraId="55A9A050">
      <w:pPr>
        <w:pStyle w:val="4"/>
        <w:spacing w:before="0" w:after="0" w:line="360" w:lineRule="auto"/>
        <w:rPr>
          <w:rFonts w:ascii="宋体" w:hAnsi="宋体" w:cs="宋体"/>
          <w:sz w:val="28"/>
          <w:szCs w:val="28"/>
        </w:rPr>
      </w:pPr>
      <w:bookmarkStart w:id="185" w:name="_Toc16243"/>
      <w:bookmarkStart w:id="186" w:name="_Toc33106441"/>
      <w:r>
        <w:rPr>
          <w:rFonts w:hint="eastAsia" w:ascii="宋体" w:hAnsi="宋体" w:cs="宋体"/>
          <w:sz w:val="28"/>
          <w:szCs w:val="28"/>
        </w:rPr>
        <w:t>1. 评标方法</w:t>
      </w:r>
      <w:bookmarkEnd w:id="185"/>
      <w:bookmarkEnd w:id="186"/>
    </w:p>
    <w:p w14:paraId="2232F07D">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比选申请人中按报价由低到高推荐中标候选人，或根据比选人授权直接确定中标人。若出现比选申请人投标报价相同的，以评标办法前附表约定的原则确定排序。</w:t>
      </w:r>
    </w:p>
    <w:p w14:paraId="73CCC443">
      <w:pPr>
        <w:pStyle w:val="4"/>
        <w:spacing w:before="0" w:after="0" w:line="360" w:lineRule="auto"/>
        <w:rPr>
          <w:rFonts w:ascii="宋体" w:hAnsi="宋体" w:cs="宋体"/>
          <w:sz w:val="28"/>
          <w:szCs w:val="28"/>
        </w:rPr>
      </w:pPr>
      <w:bookmarkStart w:id="187" w:name="_Toc2065"/>
      <w:bookmarkStart w:id="188" w:name="_Toc33106442"/>
      <w:r>
        <w:rPr>
          <w:rFonts w:hint="eastAsia" w:ascii="宋体" w:hAnsi="宋体" w:cs="宋体"/>
          <w:sz w:val="28"/>
          <w:szCs w:val="28"/>
        </w:rPr>
        <w:t>2. 评审标准</w:t>
      </w:r>
      <w:bookmarkEnd w:id="187"/>
      <w:bookmarkEnd w:id="188"/>
    </w:p>
    <w:p w14:paraId="591287D0">
      <w:pPr>
        <w:pStyle w:val="5"/>
        <w:spacing w:before="0" w:after="0" w:line="360" w:lineRule="auto"/>
        <w:rPr>
          <w:rFonts w:ascii="宋体" w:hAnsi="宋体" w:cs="宋体"/>
          <w:sz w:val="21"/>
          <w:szCs w:val="21"/>
        </w:rPr>
      </w:pPr>
      <w:bookmarkStart w:id="189" w:name="_Toc33106443"/>
      <w:bookmarkStart w:id="190" w:name="_Toc1958"/>
      <w:r>
        <w:rPr>
          <w:rFonts w:hint="eastAsia" w:ascii="宋体" w:hAnsi="宋体" w:cs="宋体"/>
          <w:sz w:val="21"/>
          <w:szCs w:val="21"/>
        </w:rPr>
        <w:t>2.1报价排序</w:t>
      </w:r>
      <w:bookmarkEnd w:id="189"/>
      <w:r>
        <w:rPr>
          <w:rFonts w:hint="eastAsia" w:ascii="宋体" w:hAnsi="宋体" w:cs="宋体"/>
          <w:sz w:val="21"/>
          <w:szCs w:val="21"/>
        </w:rPr>
        <w:t>标准</w:t>
      </w:r>
      <w:bookmarkEnd w:id="190"/>
    </w:p>
    <w:p w14:paraId="64A8C1D5">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14:paraId="567F4957">
      <w:pPr>
        <w:pStyle w:val="5"/>
        <w:spacing w:before="0" w:after="0" w:line="360" w:lineRule="auto"/>
        <w:rPr>
          <w:rFonts w:ascii="宋体" w:hAnsi="宋体" w:cs="宋体"/>
          <w:sz w:val="21"/>
          <w:szCs w:val="21"/>
        </w:rPr>
      </w:pPr>
      <w:bookmarkStart w:id="191" w:name="_Toc33106444"/>
      <w:bookmarkStart w:id="192" w:name="_Toc22158"/>
      <w:r>
        <w:rPr>
          <w:rFonts w:ascii="宋体" w:hAnsi="宋体" w:cs="宋体"/>
          <w:sz w:val="21"/>
          <w:szCs w:val="21"/>
        </w:rPr>
        <w:t>2.</w:t>
      </w:r>
      <w:r>
        <w:rPr>
          <w:rFonts w:hint="eastAsia" w:ascii="宋体" w:hAnsi="宋体" w:cs="宋体"/>
          <w:sz w:val="21"/>
          <w:szCs w:val="21"/>
        </w:rPr>
        <w:t>2符合性审查</w:t>
      </w:r>
      <w:bookmarkEnd w:id="191"/>
      <w:r>
        <w:rPr>
          <w:rFonts w:hint="eastAsia" w:ascii="宋体" w:hAnsi="宋体" w:cs="宋体"/>
          <w:sz w:val="21"/>
          <w:szCs w:val="21"/>
        </w:rPr>
        <w:t>标准</w:t>
      </w:r>
      <w:bookmarkEnd w:id="192"/>
    </w:p>
    <w:p w14:paraId="78DD4DCB">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14:paraId="769B496A">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1  资格评审标准：见评标办法前附表。</w:t>
      </w:r>
    </w:p>
    <w:p w14:paraId="4A996EBB">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形式评审标准：见评标办法前附表。</w:t>
      </w:r>
    </w:p>
    <w:p w14:paraId="5C77D6B4">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响应性评审标准：见评标办法前附表。</w:t>
      </w:r>
    </w:p>
    <w:p w14:paraId="171AC681">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2.2.4  投标函部分及经济部分评审标准：见评标办法前附表。</w:t>
      </w:r>
    </w:p>
    <w:p w14:paraId="257B1AB2">
      <w:pPr>
        <w:pStyle w:val="4"/>
        <w:spacing w:before="0" w:after="0" w:line="360" w:lineRule="auto"/>
        <w:rPr>
          <w:rFonts w:ascii="宋体" w:hAnsi="宋体" w:cs="宋体"/>
          <w:sz w:val="28"/>
          <w:szCs w:val="28"/>
        </w:rPr>
      </w:pPr>
      <w:bookmarkStart w:id="193" w:name="_Toc13072"/>
      <w:bookmarkStart w:id="194" w:name="_Toc33106445"/>
      <w:r>
        <w:rPr>
          <w:rFonts w:hint="eastAsia" w:ascii="宋体" w:hAnsi="宋体" w:cs="宋体"/>
          <w:sz w:val="28"/>
          <w:szCs w:val="28"/>
        </w:rPr>
        <w:t>3. 评标程序</w:t>
      </w:r>
      <w:bookmarkEnd w:id="193"/>
      <w:bookmarkEnd w:id="194"/>
    </w:p>
    <w:p w14:paraId="725E261F">
      <w:pPr>
        <w:pStyle w:val="5"/>
        <w:spacing w:before="0" w:after="0" w:line="360" w:lineRule="auto"/>
        <w:rPr>
          <w:rFonts w:ascii="宋体" w:hAnsi="宋体" w:cs="宋体"/>
          <w:sz w:val="21"/>
          <w:szCs w:val="21"/>
        </w:rPr>
      </w:pPr>
      <w:bookmarkStart w:id="195" w:name="_Toc33106446"/>
      <w:bookmarkStart w:id="196" w:name="_Toc27463"/>
      <w:r>
        <w:rPr>
          <w:rFonts w:hint="eastAsia" w:ascii="宋体" w:hAnsi="宋体" w:cs="宋体"/>
          <w:sz w:val="21"/>
          <w:szCs w:val="21"/>
        </w:rPr>
        <w:t>3.1报价排序</w:t>
      </w:r>
      <w:bookmarkEnd w:id="195"/>
      <w:bookmarkEnd w:id="196"/>
    </w:p>
    <w:p w14:paraId="0625B535">
      <w:pPr>
        <w:spacing w:line="360" w:lineRule="auto"/>
        <w:ind w:firstLine="413" w:firstLineChars="197"/>
        <w:rPr>
          <w:rFonts w:ascii="宋体" w:hAnsi="宋体" w:cs="宋体"/>
          <w:szCs w:val="21"/>
        </w:rPr>
      </w:pPr>
      <w:r>
        <w:rPr>
          <w:rFonts w:hint="eastAsia" w:ascii="宋体" w:hAnsi="宋体" w:cs="宋体"/>
          <w:szCs w:val="21"/>
        </w:rPr>
        <w:t>对报价不高于最高限价的所有比选申请人的比选申请文件，按照报价由低到高的顺序排序。</w:t>
      </w:r>
    </w:p>
    <w:p w14:paraId="31ECCC2C">
      <w:pPr>
        <w:pStyle w:val="5"/>
        <w:spacing w:before="0" w:after="0" w:line="360" w:lineRule="auto"/>
        <w:rPr>
          <w:rFonts w:ascii="宋体" w:hAnsi="宋体" w:cs="宋体"/>
          <w:sz w:val="21"/>
          <w:szCs w:val="21"/>
        </w:rPr>
      </w:pPr>
      <w:bookmarkStart w:id="197" w:name="_Toc33106447"/>
      <w:bookmarkStart w:id="198" w:name="_Toc7451"/>
      <w:r>
        <w:rPr>
          <w:rFonts w:hint="eastAsia" w:ascii="宋体" w:hAnsi="宋体" w:cs="宋体"/>
          <w:sz w:val="21"/>
          <w:szCs w:val="21"/>
        </w:rPr>
        <w:t>3.2符合性审查</w:t>
      </w:r>
      <w:bookmarkEnd w:id="197"/>
      <w:bookmarkEnd w:id="198"/>
    </w:p>
    <w:p w14:paraId="1C68A347">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款规定的标准对比选申请文件进行符合性审查。符合性审查顺序：资格评审、形式评审、响应性、投标函部分及经济部分评审。</w:t>
      </w:r>
    </w:p>
    <w:p w14:paraId="68D53CD8">
      <w:pPr>
        <w:spacing w:line="360" w:lineRule="auto"/>
        <w:ind w:firstLine="413" w:firstLineChars="197"/>
        <w:rPr>
          <w:rFonts w:ascii="宋体" w:hAnsi="宋体" w:cs="宋体"/>
          <w:szCs w:val="21"/>
        </w:rPr>
      </w:pPr>
      <w:r>
        <w:rPr>
          <w:rFonts w:hint="eastAsia" w:ascii="宋体" w:hAnsi="宋体" w:cs="宋体"/>
          <w:szCs w:val="21"/>
        </w:rPr>
        <w:t>勾选技术方案评审的，符合性审查应首先进行技术方案审查，再按照资格、形式、响应性、投标函部分及经济部分的顺序进行评审。有一项不符合评审标准的，作否决投标处理。</w:t>
      </w:r>
    </w:p>
    <w:p w14:paraId="0EB66841">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比选申请人</w:t>
      </w:r>
      <w:r>
        <w:rPr>
          <w:rFonts w:ascii="宋体" w:hAnsi="宋体" w:cs="宋体"/>
          <w:szCs w:val="21"/>
        </w:rPr>
        <w:t>有以下情形之一的，</w:t>
      </w:r>
      <w:r>
        <w:rPr>
          <w:rFonts w:hint="eastAsia" w:ascii="宋体" w:hAnsi="宋体" w:cs="宋体"/>
          <w:szCs w:val="21"/>
        </w:rPr>
        <w:t>其比选申请文件将被否决：</w:t>
      </w:r>
    </w:p>
    <w:p w14:paraId="1E33DB61">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）第二章</w:t>
      </w:r>
      <w:r>
        <w:rPr>
          <w:rFonts w:hint="eastAsia" w:ascii="宋体" w:hAnsi="宋体" w:cs="宋体"/>
          <w:szCs w:val="21"/>
        </w:rPr>
        <w:t>“比选申请人</w:t>
      </w:r>
      <w:r>
        <w:rPr>
          <w:rFonts w:ascii="宋体" w:hAnsi="宋体" w:cs="宋体"/>
          <w:szCs w:val="21"/>
        </w:rPr>
        <w:t>须知</w:t>
      </w:r>
      <w:r>
        <w:rPr>
          <w:rFonts w:hint="eastAsia" w:ascii="宋体" w:hAnsi="宋体" w:cs="宋体"/>
          <w:szCs w:val="21"/>
        </w:rPr>
        <w:t>”</w:t>
      </w:r>
      <w:r>
        <w:rPr>
          <w:rFonts w:ascii="宋体" w:hAnsi="宋体" w:cs="宋体"/>
          <w:szCs w:val="21"/>
        </w:rPr>
        <w:t xml:space="preserve">第1.4.3 </w:t>
      </w:r>
      <w:r>
        <w:rPr>
          <w:rFonts w:hint="eastAsia" w:ascii="宋体" w:hAnsi="宋体" w:cs="宋体"/>
          <w:szCs w:val="21"/>
        </w:rPr>
        <w:t>项</w:t>
      </w:r>
      <w:r>
        <w:rPr>
          <w:rFonts w:ascii="宋体" w:hAnsi="宋体" w:cs="宋体"/>
          <w:szCs w:val="21"/>
        </w:rPr>
        <w:t>规定的任何一种情形的；</w:t>
      </w:r>
    </w:p>
    <w:p w14:paraId="467D8A20">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0AE66349">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14:paraId="665F6F8F">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投标报价有算术错误的，评标委员会按以下原则对投标报价进行修正，修正的价格经比选申请人书面确认后具有约束力，修正原则如下：</w:t>
      </w:r>
    </w:p>
    <w:p w14:paraId="78FA3432">
      <w:pPr>
        <w:spacing w:line="360" w:lineRule="auto"/>
        <w:ind w:firstLine="420" w:firstLineChars="200"/>
        <w:rPr>
          <w:rFonts w:ascii="宋体" w:hAnsi="宋体" w:cs="宋体"/>
          <w:szCs w:val="21"/>
        </w:rPr>
      </w:pPr>
      <w:r>
        <w:rPr>
          <w:rFonts w:hint="eastAsia" w:ascii="宋体" w:hAnsi="宋体" w:cs="宋体"/>
          <w:szCs w:val="21"/>
        </w:rPr>
        <w:t>（1）比选申请文件中的大写金额与小写金额不一致的，以大写金额为准；</w:t>
      </w:r>
    </w:p>
    <w:p w14:paraId="5437A859">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（2）投标函中的总报价与已标价工程量清单总报价不一致的，由评标委员会作否决投标处理。</w:t>
      </w:r>
    </w:p>
    <w:p w14:paraId="39B55F5D">
      <w:pPr>
        <w:pStyle w:val="5"/>
        <w:spacing w:before="0" w:after="0" w:line="360" w:lineRule="auto"/>
        <w:rPr>
          <w:rFonts w:ascii="宋体" w:hAnsi="宋体" w:cs="宋体"/>
          <w:sz w:val="21"/>
          <w:szCs w:val="21"/>
        </w:rPr>
      </w:pPr>
      <w:bookmarkStart w:id="199" w:name="_Toc33106448"/>
      <w:bookmarkStart w:id="200" w:name="_Toc27942"/>
      <w:r>
        <w:rPr>
          <w:rFonts w:hint="eastAsia" w:ascii="宋体" w:hAnsi="宋体" w:cs="宋体"/>
          <w:sz w:val="21"/>
          <w:szCs w:val="21"/>
        </w:rPr>
        <w:t>3.3 比选申请文件的澄清和补正</w:t>
      </w:r>
      <w:bookmarkEnd w:id="199"/>
      <w:bookmarkEnd w:id="200"/>
    </w:p>
    <w:p w14:paraId="20FA446F">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在评标过程中，评标委员会可以书面形式要求比选申请人对所提交比选申请文件中不明确的内容进行书面澄清或说明，或者对细微偏差进行补正。评标委员会不接受比选申请人主动提出的澄清、说明或补正。</w:t>
      </w:r>
    </w:p>
    <w:p w14:paraId="5259DD65">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澄清、说明和补正不得改变比选申请文件的实质性内容（算术性错误修正的除外）。比选申请人的书面澄清、说明和补正属于比选申请文件的组成部分。</w:t>
      </w:r>
    </w:p>
    <w:p w14:paraId="24B08CDB">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评标委员会对比选申请人提交的澄清、说明或补正有疑问的，可以要求比选申请人进一步澄清、说明或补正，直至满足评标委员会的要求。</w:t>
      </w:r>
    </w:p>
    <w:p w14:paraId="3E0708A4">
      <w:pPr>
        <w:pStyle w:val="5"/>
        <w:spacing w:before="0" w:after="0" w:line="360" w:lineRule="auto"/>
        <w:rPr>
          <w:rFonts w:ascii="宋体" w:hAnsi="宋体" w:cs="宋体"/>
          <w:sz w:val="21"/>
          <w:szCs w:val="21"/>
        </w:rPr>
      </w:pPr>
      <w:bookmarkStart w:id="201" w:name="_Toc11680"/>
      <w:bookmarkStart w:id="202" w:name="_Toc479262406"/>
      <w:bookmarkStart w:id="203" w:name="_Toc33106449"/>
      <w:bookmarkStart w:id="204" w:name="_Toc484465184"/>
      <w:r>
        <w:rPr>
          <w:rFonts w:hint="eastAsia" w:ascii="宋体" w:hAnsi="宋体" w:cs="宋体"/>
          <w:sz w:val="21"/>
          <w:szCs w:val="21"/>
        </w:rPr>
        <w:t>3.4 评标结果</w:t>
      </w:r>
      <w:bookmarkEnd w:id="201"/>
      <w:bookmarkEnd w:id="202"/>
      <w:bookmarkEnd w:id="203"/>
      <w:bookmarkEnd w:id="204"/>
    </w:p>
    <w:p w14:paraId="2CBB73BE">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除第二章“比选申请人须知”前附表授权直接确定中标人外，评标委员会按经评审的最低投标价法推荐中标候选人。</w:t>
      </w:r>
    </w:p>
    <w:p w14:paraId="0AA40204">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评标委员会完成评标后，应当向比选人提交书面评标报告和中标候选人名单。</w:t>
      </w:r>
    </w:p>
    <w:p w14:paraId="6E5484E0">
      <w:pPr>
        <w:pStyle w:val="12"/>
        <w:rPr>
          <w:rFonts w:ascii="宋体" w:hAnsi="宋体" w:cs="宋体"/>
          <w:szCs w:val="21"/>
        </w:rPr>
      </w:pPr>
      <w:r>
        <w:rPr>
          <w:rFonts w:hint="eastAsia" w:ascii="宋体" w:hAnsi="宋体" w:cs="宋体"/>
          <w:szCs w:val="21"/>
        </w:rPr>
        <w:br w:type="page"/>
      </w:r>
    </w:p>
    <w:p w14:paraId="0E52D790">
      <w:pPr>
        <w:pStyle w:val="24"/>
        <w:spacing w:line="360" w:lineRule="auto"/>
        <w:rPr>
          <w:rFonts w:ascii="宋体" w:hAnsi="宋体"/>
          <w:b/>
          <w:sz w:val="28"/>
          <w:szCs w:val="28"/>
          <w:u w:val="none"/>
          <w:lang w:eastAsia="zh-CN"/>
        </w:rPr>
      </w:pPr>
      <w:r>
        <w:rPr>
          <w:rFonts w:hint="eastAsia" w:ascii="宋体" w:hAnsi="宋体"/>
          <w:b/>
          <w:sz w:val="28"/>
          <w:szCs w:val="28"/>
          <w:u w:val="none"/>
          <w:lang w:eastAsia="zh-CN"/>
        </w:rPr>
        <w:t>附件A：经评审的最低投标价法否决投标情况一览表</w:t>
      </w:r>
    </w:p>
    <w:p w14:paraId="57EA7002">
      <w:pPr>
        <w:pStyle w:val="2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比选申请文件存在本一览表下列情形之一的，比选申请文件视为重大偏差并作否决投标处理，否则，评标委员会不得视为重大偏差而否决比选申请人的比选申请文件。</w:t>
      </w:r>
    </w:p>
    <w:tbl>
      <w:tblPr>
        <w:tblStyle w:val="31"/>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46ADD4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14:paraId="704E6E44">
            <w:pPr>
              <w:spacing w:line="400" w:lineRule="exact"/>
              <w:jc w:val="center"/>
              <w:rPr>
                <w:rFonts w:ascii="宋体" w:hAnsi="宋体"/>
                <w:b/>
                <w:szCs w:val="21"/>
              </w:rPr>
            </w:pPr>
            <w:r>
              <w:rPr>
                <w:rFonts w:hint="eastAsia" w:ascii="宋体" w:hAnsi="宋体"/>
                <w:b/>
                <w:szCs w:val="21"/>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14:paraId="6A0BFAE3">
            <w:pPr>
              <w:spacing w:line="400" w:lineRule="exact"/>
              <w:jc w:val="center"/>
              <w:rPr>
                <w:rFonts w:ascii="宋体" w:hAnsi="宋体"/>
                <w:b/>
                <w:szCs w:val="21"/>
              </w:rPr>
            </w:pPr>
            <w:r>
              <w:rPr>
                <w:rFonts w:hint="eastAsia" w:ascii="宋体" w:hAnsi="宋体"/>
                <w:b/>
                <w:szCs w:val="21"/>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14:paraId="1CBF317B">
            <w:pPr>
              <w:spacing w:line="400" w:lineRule="exact"/>
              <w:jc w:val="center"/>
              <w:rPr>
                <w:rFonts w:ascii="宋体" w:hAnsi="宋体"/>
                <w:b/>
                <w:szCs w:val="21"/>
              </w:rPr>
            </w:pPr>
            <w:r>
              <w:rPr>
                <w:rFonts w:hint="eastAsia" w:ascii="宋体" w:hAnsi="宋体"/>
                <w:b/>
                <w:szCs w:val="21"/>
              </w:rPr>
              <w:t>否决投标条件</w:t>
            </w:r>
          </w:p>
        </w:tc>
      </w:tr>
      <w:tr w14:paraId="2C6F5F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right w:val="single" w:color="000000" w:sz="4" w:space="0"/>
            </w:tcBorders>
            <w:vAlign w:val="center"/>
          </w:tcPr>
          <w:p w14:paraId="07666317">
            <w:pPr>
              <w:widowControl/>
              <w:jc w:val="left"/>
              <w:rPr>
                <w:rFonts w:ascii="宋体" w:hAnsi="宋体"/>
                <w:szCs w:val="21"/>
              </w:rPr>
            </w:pPr>
          </w:p>
        </w:tc>
        <w:tc>
          <w:tcPr>
            <w:tcW w:w="1515" w:type="dxa"/>
            <w:vMerge w:val="restart"/>
            <w:tcBorders>
              <w:top w:val="single" w:color="auto" w:sz="4" w:space="0"/>
              <w:left w:val="single" w:color="000000" w:sz="4" w:space="0"/>
              <w:bottom w:val="single" w:color="000000" w:sz="4" w:space="0"/>
              <w:right w:val="single" w:color="000000" w:sz="4" w:space="0"/>
            </w:tcBorders>
            <w:vAlign w:val="center"/>
          </w:tcPr>
          <w:p w14:paraId="44FF758B">
            <w:pPr>
              <w:spacing w:line="400" w:lineRule="exact"/>
              <w:jc w:val="center"/>
              <w:rPr>
                <w:rFonts w:ascii="宋体" w:hAnsi="宋体"/>
                <w:szCs w:val="21"/>
              </w:rPr>
            </w:pPr>
            <w:r>
              <w:rPr>
                <w:rFonts w:hint="eastAsia" w:ascii="宋体" w:hAnsi="宋体"/>
                <w:szCs w:val="21"/>
              </w:rPr>
              <w:t>资格评审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6CCC739F">
            <w:pPr>
              <w:spacing w:line="400" w:lineRule="exact"/>
              <w:ind w:firstLine="420" w:firstLineChars="200"/>
              <w:rPr>
                <w:rFonts w:ascii="宋体" w:hAnsi="宋体"/>
                <w:szCs w:val="21"/>
              </w:rPr>
            </w:pPr>
            <w:r>
              <w:rPr>
                <w:rFonts w:hint="eastAsia" w:ascii="宋体" w:hAnsi="宋体"/>
                <w:szCs w:val="21"/>
              </w:rPr>
              <w:t>A-1比选申请人的资质条件、营业执照及安全生产条件须满足比选申请人须知前附表第1.4.1项的要求，否则由评标委员会作否决投标处理。</w:t>
            </w:r>
          </w:p>
        </w:tc>
      </w:tr>
      <w:tr w14:paraId="28286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7914E03">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5A0D527B">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80F1BFC">
            <w:pPr>
              <w:spacing w:line="400" w:lineRule="exact"/>
              <w:ind w:firstLine="420" w:firstLineChars="200"/>
              <w:rPr>
                <w:rFonts w:ascii="宋体" w:hAnsi="宋体"/>
                <w:szCs w:val="21"/>
              </w:rPr>
            </w:pPr>
            <w:r>
              <w:rPr>
                <w:rFonts w:hint="eastAsia" w:ascii="宋体" w:hAnsi="宋体"/>
                <w:szCs w:val="21"/>
              </w:rPr>
              <w:t>A-2比选申请人的投标截止日投标资格情况须满足比选申请人须知前附表第1.4.1项的要求，否则由评标委员会作否决投标处理。</w:t>
            </w:r>
          </w:p>
        </w:tc>
      </w:tr>
      <w:tr w14:paraId="60887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2A05D48">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63F15124">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FF7A13A">
            <w:pPr>
              <w:spacing w:line="400" w:lineRule="exact"/>
              <w:ind w:firstLine="420" w:firstLineChars="200"/>
              <w:rPr>
                <w:rFonts w:ascii="宋体" w:hAnsi="宋体"/>
                <w:szCs w:val="21"/>
              </w:rPr>
            </w:pPr>
            <w:r>
              <w:rPr>
                <w:rFonts w:hint="eastAsia" w:ascii="宋体" w:hAnsi="宋体"/>
                <w:szCs w:val="21"/>
              </w:rPr>
              <w:t>A-3比选申请人的项目经理和项目总工资格须满足比选申请人须知前附表第1.4.1项的要求，否则由评标委员会作否决投标处理。</w:t>
            </w:r>
          </w:p>
        </w:tc>
      </w:tr>
      <w:tr w14:paraId="73EBBB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98D67A5">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6962ED31">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BD20DBB">
            <w:pPr>
              <w:spacing w:line="400" w:lineRule="exact"/>
              <w:ind w:firstLine="420" w:firstLineChars="200"/>
              <w:rPr>
                <w:rFonts w:ascii="宋体" w:hAnsi="宋体"/>
                <w:szCs w:val="21"/>
              </w:rPr>
            </w:pPr>
            <w:r>
              <w:rPr>
                <w:rFonts w:hint="eastAsia" w:ascii="宋体" w:hAnsi="宋体"/>
                <w:szCs w:val="21"/>
              </w:rPr>
              <w:t>A-4比选申请人的</w:t>
            </w:r>
            <w:r>
              <w:rPr>
                <w:rFonts w:hint="eastAsia" w:ascii="宋体" w:hAnsi="宋体"/>
                <w:kern w:val="0"/>
              </w:rPr>
              <w:t>其他管理和技术人员最低要求</w:t>
            </w:r>
            <w:r>
              <w:rPr>
                <w:rFonts w:hint="eastAsia" w:ascii="宋体" w:hAnsi="宋体"/>
                <w:szCs w:val="21"/>
              </w:rPr>
              <w:t>须满足比选申请人须知前附表1.4.1项的要求，否则由评标委员会作否决投标处理。</w:t>
            </w:r>
          </w:p>
        </w:tc>
      </w:tr>
      <w:tr w14:paraId="5AA7BB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5B8D967">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29B0688E">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DBC68D6">
            <w:pPr>
              <w:spacing w:line="400" w:lineRule="exact"/>
              <w:ind w:firstLine="420" w:firstLineChars="200"/>
              <w:rPr>
                <w:rFonts w:ascii="宋体" w:hAnsi="宋体"/>
                <w:szCs w:val="21"/>
              </w:rPr>
            </w:pPr>
            <w:r>
              <w:rPr>
                <w:rFonts w:hint="eastAsia" w:ascii="宋体" w:hAnsi="宋体"/>
                <w:szCs w:val="21"/>
              </w:rPr>
              <w:t>A-5比选申请人的</w:t>
            </w:r>
            <w:r>
              <w:rPr>
                <w:rFonts w:ascii="宋体" w:hAnsi="宋体"/>
                <w:kern w:val="0"/>
              </w:rPr>
              <w:t>主要机械设备和试验检测设备最低要求</w:t>
            </w:r>
            <w:r>
              <w:rPr>
                <w:rFonts w:hint="eastAsia" w:ascii="宋体" w:hAnsi="宋体"/>
                <w:szCs w:val="21"/>
              </w:rPr>
              <w:t>须满足比选申请人须知前附表1.4.1项的要求，否则由评标委员会作否决投标处理。</w:t>
            </w:r>
          </w:p>
        </w:tc>
      </w:tr>
      <w:tr w14:paraId="521BB0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2" w:hRule="atLeast"/>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548629A">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4E828DBE">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DFD63E4">
            <w:pPr>
              <w:spacing w:line="400" w:lineRule="exact"/>
              <w:ind w:firstLine="420" w:firstLineChars="200"/>
              <w:rPr>
                <w:rFonts w:ascii="宋体" w:hAnsi="宋体"/>
                <w:szCs w:val="21"/>
              </w:rPr>
            </w:pPr>
            <w:r>
              <w:rPr>
                <w:rFonts w:hint="eastAsia" w:ascii="宋体" w:hAnsi="宋体"/>
                <w:szCs w:val="21"/>
              </w:rPr>
              <w:t>A-6比选申请人的其他要求须满足比选申请人须知前附表第1.4.1项的要求，否则由评标委员会作否决投标处理。</w:t>
            </w:r>
          </w:p>
        </w:tc>
      </w:tr>
      <w:tr w14:paraId="55B83A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9C40296">
            <w:pPr>
              <w:widowControl/>
              <w:jc w:val="left"/>
              <w:rPr>
                <w:rFonts w:ascii="宋体" w:hAnsi="宋体"/>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9C546AE">
            <w:pPr>
              <w:spacing w:line="400" w:lineRule="exact"/>
              <w:jc w:val="center"/>
              <w:rPr>
                <w:rFonts w:ascii="宋体" w:hAnsi="宋体"/>
                <w:szCs w:val="21"/>
              </w:rPr>
            </w:pPr>
            <w:r>
              <w:rPr>
                <w:rFonts w:hint="eastAsia" w:ascii="宋体" w:hAnsi="宋体"/>
                <w:szCs w:val="21"/>
              </w:rPr>
              <w:t>形式评审</w:t>
            </w:r>
          </w:p>
        </w:tc>
        <w:tc>
          <w:tcPr>
            <w:tcW w:w="6333" w:type="dxa"/>
            <w:tcBorders>
              <w:top w:val="single" w:color="000000" w:sz="4" w:space="0"/>
              <w:left w:val="single" w:color="000000" w:sz="4" w:space="0"/>
              <w:bottom w:val="single" w:color="000000" w:sz="4" w:space="0"/>
              <w:right w:val="single" w:color="000000" w:sz="8" w:space="0"/>
            </w:tcBorders>
          </w:tcPr>
          <w:p w14:paraId="2969D613">
            <w:pPr>
              <w:spacing w:line="400" w:lineRule="exact"/>
              <w:ind w:firstLine="420" w:firstLineChars="200"/>
              <w:rPr>
                <w:rFonts w:ascii="宋体" w:hAnsi="宋体"/>
                <w:szCs w:val="21"/>
              </w:rPr>
            </w:pPr>
            <w:r>
              <w:rPr>
                <w:rFonts w:hint="eastAsia" w:ascii="宋体" w:hAnsi="宋体"/>
                <w:szCs w:val="21"/>
              </w:rPr>
              <w:t>A-7比选申请人名称必须与营业执照、资质证书、安全生产许可证一致，依法变更名称的应提交相应证明材料，否则由评标委员会作否决投标处理。</w:t>
            </w:r>
          </w:p>
        </w:tc>
      </w:tr>
      <w:tr w14:paraId="70C035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43" w:hRule="atLeast"/>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341999C">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DF4D801">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tcPr>
          <w:p w14:paraId="1A41B2BF">
            <w:pPr>
              <w:spacing w:line="400" w:lineRule="exact"/>
              <w:ind w:firstLine="420" w:firstLineChars="200"/>
              <w:rPr>
                <w:rFonts w:ascii="宋体" w:hAnsi="宋体"/>
                <w:szCs w:val="21"/>
              </w:rPr>
            </w:pPr>
            <w:r>
              <w:rPr>
                <w:rFonts w:hint="eastAsia" w:ascii="宋体" w:hAnsi="宋体"/>
                <w:szCs w:val="21"/>
              </w:rPr>
              <w:t>A-8比选申请文件格式（不含投标函部分）符合第二章“比选申请人须知”第3.7款的要求，否则由评标委员会作否决投标处理。</w:t>
            </w:r>
          </w:p>
          <w:p w14:paraId="57C96C86">
            <w:pPr>
              <w:spacing w:line="400" w:lineRule="exact"/>
              <w:ind w:firstLine="420" w:firstLineChars="200"/>
              <w:rPr>
                <w:rFonts w:ascii="宋体" w:hAnsi="宋体"/>
                <w:szCs w:val="21"/>
              </w:rPr>
            </w:pPr>
            <w:r>
              <w:rPr>
                <w:rFonts w:hint="eastAsia" w:ascii="宋体" w:hAnsi="宋体"/>
                <w:kern w:val="0"/>
                <w:szCs w:val="21"/>
              </w:rPr>
              <w:t>编制比选申请文件时不得对第九章“比选申请文件格式”的相应要素作实质性修改，否则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14:paraId="1C60B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C080B92">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E6C0F0A">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tcPr>
          <w:p w14:paraId="296027E4">
            <w:pPr>
              <w:spacing w:line="400" w:lineRule="exact"/>
              <w:ind w:firstLine="420" w:firstLineChars="200"/>
              <w:rPr>
                <w:rFonts w:ascii="宋体" w:hAnsi="宋体"/>
                <w:szCs w:val="21"/>
              </w:rPr>
            </w:pPr>
            <w:r>
              <w:rPr>
                <w:rFonts w:hint="eastAsia" w:ascii="宋体" w:hAnsi="宋体"/>
                <w:szCs w:val="21"/>
              </w:rPr>
              <w:t>A-9第九章 比选申请文件格式</w:t>
            </w:r>
            <w:r>
              <w:rPr>
                <w:rFonts w:hint="eastAsia" w:ascii="宋体" w:hAnsi="宋体" w:cs="宋体"/>
                <w:kern w:val="0"/>
              </w:rPr>
              <w:t>（不含投标函部分）</w:t>
            </w:r>
            <w:r>
              <w:rPr>
                <w:rFonts w:hint="eastAsia" w:ascii="宋体" w:hAnsi="宋体"/>
                <w:szCs w:val="21"/>
              </w:rPr>
              <w:t>要求法定代表人或其委托代理人签名（或盖章）的须齐全。</w:t>
            </w:r>
          </w:p>
          <w:p w14:paraId="2DEF6296">
            <w:pPr>
              <w:spacing w:line="400" w:lineRule="exact"/>
              <w:ind w:firstLine="420" w:firstLineChars="200"/>
              <w:rPr>
                <w:rFonts w:ascii="宋体" w:hAnsi="宋体"/>
                <w:szCs w:val="21"/>
              </w:rPr>
            </w:pPr>
            <w:r>
              <w:rPr>
                <w:rFonts w:hint="eastAsia" w:ascii="宋体" w:hAnsi="宋体"/>
                <w:szCs w:val="21"/>
              </w:rPr>
              <w:t>第九章 比选申请文件格式</w:t>
            </w:r>
            <w:r>
              <w:rPr>
                <w:rFonts w:hint="eastAsia" w:ascii="宋体" w:hAnsi="宋体" w:cs="宋体"/>
                <w:kern w:val="0"/>
              </w:rPr>
              <w:t>（不含投标函部分）</w:t>
            </w:r>
            <w:r>
              <w:rPr>
                <w:rFonts w:hint="eastAsia" w:ascii="宋体" w:hAnsi="宋体"/>
                <w:szCs w:val="21"/>
              </w:rPr>
              <w:t>要求加盖单位法人章的，应加盖单位法人章，否则由评标委员会作否决投标处理。</w:t>
            </w:r>
          </w:p>
        </w:tc>
      </w:tr>
      <w:tr w14:paraId="463418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0878435">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59B36A6">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tcPr>
          <w:p w14:paraId="1C471481">
            <w:pPr>
              <w:spacing w:line="400" w:lineRule="exact"/>
              <w:ind w:firstLine="420" w:firstLineChars="200"/>
              <w:rPr>
                <w:rFonts w:ascii="宋体" w:hAnsi="宋体"/>
                <w:szCs w:val="21"/>
              </w:rPr>
            </w:pPr>
            <w:r>
              <w:rPr>
                <w:rFonts w:hint="eastAsia" w:ascii="宋体" w:hAnsi="宋体"/>
                <w:szCs w:val="21"/>
              </w:rPr>
              <w:t>A-10比选申请人法定代表人的委托代理人有法定代表人签署的授权委托书和比选申请人为其缴纳的养老保险证明材料。否则由评标委员会作否决投标处理。</w:t>
            </w:r>
          </w:p>
        </w:tc>
      </w:tr>
      <w:tr w14:paraId="10DC2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E14802A">
            <w:pPr>
              <w:widowControl/>
              <w:jc w:val="left"/>
              <w:rPr>
                <w:rFonts w:ascii="宋体" w:hAnsi="宋体"/>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0E95577C">
            <w:pPr>
              <w:spacing w:line="400" w:lineRule="exact"/>
              <w:jc w:val="center"/>
              <w:rPr>
                <w:rFonts w:ascii="宋体" w:hAnsi="宋体"/>
                <w:szCs w:val="21"/>
              </w:rPr>
            </w:pPr>
            <w:r>
              <w:rPr>
                <w:rFonts w:hint="eastAsia" w:ascii="宋体" w:hAnsi="宋体"/>
                <w:szCs w:val="21"/>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19AB5AE7">
            <w:pPr>
              <w:spacing w:line="400" w:lineRule="exact"/>
              <w:ind w:firstLine="420" w:firstLineChars="200"/>
              <w:rPr>
                <w:rFonts w:ascii="宋体" w:hAnsi="宋体"/>
                <w:szCs w:val="21"/>
              </w:rPr>
            </w:pPr>
            <w:r>
              <w:rPr>
                <w:rFonts w:hint="eastAsia" w:ascii="宋体" w:hAnsi="宋体"/>
                <w:szCs w:val="21"/>
              </w:rPr>
              <w:t>A-11投标内容符合第二章“比选申请人须知”第1.3.1项规定，否则由评标委员会作否决投标处理。</w:t>
            </w:r>
          </w:p>
        </w:tc>
      </w:tr>
      <w:tr w14:paraId="794C09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62DC9CD">
            <w:pPr>
              <w:widowControl/>
              <w:jc w:val="left"/>
              <w:rPr>
                <w:rFonts w:ascii="宋体" w:hAnsi="宋体"/>
                <w:szCs w:val="21"/>
              </w:rPr>
            </w:pPr>
          </w:p>
        </w:tc>
        <w:tc>
          <w:tcPr>
            <w:tcW w:w="1515" w:type="dxa"/>
            <w:vMerge w:val="continue"/>
            <w:tcBorders>
              <w:left w:val="single" w:color="000000" w:sz="4" w:space="0"/>
              <w:right w:val="single" w:color="000000" w:sz="4" w:space="0"/>
            </w:tcBorders>
            <w:vAlign w:val="center"/>
          </w:tcPr>
          <w:p w14:paraId="01192561">
            <w:pPr>
              <w:spacing w:line="400" w:lineRule="exact"/>
              <w:jc w:val="center"/>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C90625F">
            <w:pPr>
              <w:spacing w:line="400" w:lineRule="exact"/>
              <w:ind w:firstLine="420" w:firstLineChars="200"/>
              <w:rPr>
                <w:rFonts w:ascii="宋体" w:hAnsi="宋体"/>
                <w:szCs w:val="21"/>
              </w:rPr>
            </w:pPr>
            <w:r>
              <w:rPr>
                <w:rFonts w:hint="eastAsia" w:ascii="宋体" w:hAnsi="宋体"/>
                <w:szCs w:val="21"/>
              </w:rPr>
              <w:t>A-12投标函附录的所有数据均符合比选文件规定，否则由评标委员会作否决投标处理。</w:t>
            </w:r>
          </w:p>
        </w:tc>
      </w:tr>
      <w:tr w14:paraId="2CF3EB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4AB19CC">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DC0D43C">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A176C65">
            <w:pPr>
              <w:spacing w:line="400" w:lineRule="exact"/>
              <w:ind w:firstLine="420" w:firstLineChars="200"/>
              <w:rPr>
                <w:rFonts w:ascii="宋体" w:hAnsi="宋体"/>
                <w:szCs w:val="21"/>
              </w:rPr>
            </w:pPr>
            <w:r>
              <w:rPr>
                <w:rFonts w:hint="eastAsia" w:ascii="宋体" w:hAnsi="宋体"/>
                <w:szCs w:val="21"/>
              </w:rPr>
              <w:t>A-13比选申请人应按比选申请人须知前附表第3.4款规定递交投标保证金，并作为其比选申请文件的组成部分，否则由评标委员会作否决投标处理。</w:t>
            </w:r>
          </w:p>
        </w:tc>
      </w:tr>
      <w:tr w14:paraId="25FBF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4887D0D">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126D98F">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0B4D6CB">
            <w:pPr>
              <w:spacing w:line="400" w:lineRule="exact"/>
              <w:ind w:firstLine="420" w:firstLineChars="200"/>
              <w:rPr>
                <w:rFonts w:ascii="宋体" w:hAnsi="宋体"/>
                <w:szCs w:val="21"/>
              </w:rPr>
            </w:pPr>
            <w:r>
              <w:rPr>
                <w:rFonts w:hint="eastAsia" w:ascii="宋体" w:hAnsi="宋体"/>
                <w:szCs w:val="21"/>
              </w:rPr>
              <w:t>A-14符合第四章“合同条款及格式”规定，比选申请文件不应附有比选人不能接受的条件。否则由评标委员会作否决投标处理。（由比选申请人承诺，承诺书格式详见第九章比选申请文件格式。）</w:t>
            </w:r>
          </w:p>
        </w:tc>
      </w:tr>
      <w:tr w14:paraId="31CC1B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8F7634D">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DF2D6EC">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8876557">
            <w:pPr>
              <w:spacing w:line="400" w:lineRule="exact"/>
              <w:ind w:firstLine="420" w:firstLineChars="200"/>
              <w:rPr>
                <w:rFonts w:ascii="宋体" w:hAnsi="宋体"/>
                <w:szCs w:val="21"/>
              </w:rPr>
            </w:pPr>
            <w:r>
              <w:rPr>
                <w:rFonts w:hint="eastAsia" w:ascii="宋体" w:hAnsi="宋体"/>
                <w:szCs w:val="21"/>
              </w:rPr>
              <w:t>A-15符合第七章“技术标准和要求”规定。否则由评标委员会作否决投标处理（如有）。（由比选申请人承诺，承诺书格式详见第九章比选申请文件格式。）</w:t>
            </w:r>
          </w:p>
        </w:tc>
      </w:tr>
      <w:tr w14:paraId="799957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A9E51FB">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70FF1FF">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504FE9DF">
            <w:pPr>
              <w:spacing w:line="400" w:lineRule="exact"/>
              <w:ind w:firstLine="420" w:firstLineChars="200"/>
              <w:rPr>
                <w:rFonts w:ascii="宋体" w:hAnsi="宋体"/>
                <w:szCs w:val="21"/>
              </w:rPr>
            </w:pPr>
            <w:r>
              <w:rPr>
                <w:rFonts w:hint="eastAsia" w:ascii="宋体" w:hAnsi="宋体"/>
                <w:szCs w:val="21"/>
              </w:rPr>
              <w:t>A-16比选申请人有以下情形之一的，其比选申请文件由评标委员会作否决投标处理：</w:t>
            </w:r>
          </w:p>
          <w:p w14:paraId="6784FE17">
            <w:pPr>
              <w:spacing w:line="400" w:lineRule="exact"/>
              <w:ind w:firstLine="420" w:firstLineChars="200"/>
              <w:rPr>
                <w:rFonts w:ascii="宋体" w:hAnsi="宋体"/>
                <w:szCs w:val="21"/>
              </w:rPr>
            </w:pPr>
            <w:r>
              <w:rPr>
                <w:rFonts w:hint="eastAsia" w:ascii="宋体" w:hAnsi="宋体"/>
                <w:szCs w:val="21"/>
              </w:rPr>
              <w:t>1.第二章“比选申请人须知”第1.4.3项规定的任何一种情形的；</w:t>
            </w:r>
          </w:p>
          <w:p w14:paraId="4C474FAA">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3428737B">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44920D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FD8D742">
            <w:pPr>
              <w:widowControl/>
              <w:jc w:val="left"/>
              <w:rPr>
                <w:rFonts w:ascii="宋体" w:hAnsi="宋体"/>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8A012FE">
            <w:pPr>
              <w:spacing w:line="400" w:lineRule="exact"/>
              <w:jc w:val="center"/>
              <w:rPr>
                <w:rFonts w:ascii="宋体" w:hAnsi="宋体"/>
                <w:szCs w:val="21"/>
              </w:rPr>
            </w:pPr>
            <w:r>
              <w:rPr>
                <w:rFonts w:hint="eastAsia" w:ascii="宋体" w:hAnsi="宋体"/>
                <w:szCs w:val="21"/>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685FCD5B">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kern w:val="0"/>
              </w:rPr>
              <w:t>投标函部分的格式要求法定代表人或其委托代理人签名（或盖章）的须齐全</w:t>
            </w:r>
            <w:r>
              <w:rPr>
                <w:rFonts w:hint="eastAsia" w:ascii="宋体" w:hAnsi="宋体"/>
                <w:kern w:val="0"/>
              </w:rPr>
              <w:t>，</w:t>
            </w:r>
            <w:r>
              <w:rPr>
                <w:rFonts w:hint="eastAsia" w:ascii="宋体" w:hAnsi="宋体" w:cs="宋体"/>
                <w:kern w:val="0"/>
              </w:rPr>
              <w:t>要求加盖单位法人章的，应加盖单位法人章</w:t>
            </w:r>
            <w:r>
              <w:rPr>
                <w:rFonts w:hint="eastAsia" w:ascii="宋体" w:hAnsi="宋体"/>
                <w:szCs w:val="21"/>
              </w:rPr>
              <w:t>，否则由评标委员会作否决投标处理。</w:t>
            </w:r>
          </w:p>
        </w:tc>
      </w:tr>
      <w:tr w14:paraId="3F0EF1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671D103">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3180A5D">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C330487">
            <w:pPr>
              <w:spacing w:line="400" w:lineRule="exact"/>
              <w:ind w:firstLine="420" w:firstLineChars="200"/>
              <w:rPr>
                <w:rFonts w:ascii="宋体" w:hAnsi="宋体"/>
                <w:szCs w:val="21"/>
              </w:rPr>
            </w:pPr>
            <w:r>
              <w:rPr>
                <w:rFonts w:hint="eastAsia" w:ascii="宋体" w:hAnsi="宋体"/>
                <w:szCs w:val="21"/>
              </w:rPr>
              <w:t>A-18工期符合第二章“比选申请人须知”第1.3.2项规定，否则由评标委员会作否决投标处理。</w:t>
            </w:r>
          </w:p>
        </w:tc>
      </w:tr>
      <w:tr w14:paraId="136AA0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65B05B4">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CE4392E">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99E6C7C">
            <w:pPr>
              <w:spacing w:line="400" w:lineRule="exact"/>
              <w:ind w:firstLine="420" w:firstLineChars="200"/>
              <w:rPr>
                <w:rFonts w:ascii="宋体" w:hAnsi="宋体"/>
                <w:szCs w:val="21"/>
              </w:rPr>
            </w:pPr>
            <w:r>
              <w:rPr>
                <w:rFonts w:hint="eastAsia" w:ascii="宋体" w:hAnsi="宋体"/>
                <w:szCs w:val="21"/>
              </w:rPr>
              <w:t>A-19工程质量符合第二章“比选申请人须知”第1.3.3项规定，否则由评标委员会作否决投标处理。</w:t>
            </w:r>
          </w:p>
        </w:tc>
      </w:tr>
      <w:tr w14:paraId="17E3F9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F3788A2">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B5512DF">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58DF1024">
            <w:pPr>
              <w:spacing w:line="400" w:lineRule="exact"/>
              <w:ind w:firstLine="420" w:firstLineChars="200"/>
              <w:rPr>
                <w:rFonts w:ascii="宋体" w:hAnsi="宋体"/>
                <w:szCs w:val="21"/>
              </w:rPr>
            </w:pPr>
            <w:r>
              <w:rPr>
                <w:rFonts w:hint="eastAsia" w:ascii="宋体" w:hAnsi="宋体"/>
                <w:szCs w:val="21"/>
              </w:rPr>
              <w:t>A-20投标有效期符合第二章“比选申请人须知”第3.3.1项规定，否则由评标委员会作否决投标处理。</w:t>
            </w:r>
          </w:p>
        </w:tc>
      </w:tr>
      <w:tr w14:paraId="52DC2C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422ED8A">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FA2A0E3">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BB72105">
            <w:pPr>
              <w:spacing w:line="400" w:lineRule="exact"/>
              <w:ind w:firstLine="420" w:firstLineChars="200"/>
              <w:rPr>
                <w:rFonts w:ascii="宋体" w:hAnsi="宋体"/>
                <w:szCs w:val="21"/>
              </w:rPr>
            </w:pPr>
            <w:r>
              <w:rPr>
                <w:rFonts w:hint="eastAsia" w:ascii="宋体" w:hAnsi="宋体"/>
                <w:szCs w:val="21"/>
              </w:rPr>
              <w:t>A-21投标函中的总报价不得高于比选人公布的投标总报价最高限价，否则由评标委员会作否决投标处理。</w:t>
            </w:r>
          </w:p>
        </w:tc>
      </w:tr>
      <w:tr w14:paraId="30395A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4100C55">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FB363BD">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6C3943E">
            <w:pPr>
              <w:spacing w:line="400" w:lineRule="exact"/>
              <w:ind w:firstLine="420" w:firstLineChars="200"/>
              <w:rPr>
                <w:rFonts w:ascii="宋体" w:hAnsi="宋体"/>
                <w:szCs w:val="21"/>
              </w:rPr>
            </w:pPr>
            <w:r>
              <w:rPr>
                <w:rFonts w:hint="eastAsia" w:ascii="宋体" w:hAnsi="宋体"/>
                <w:szCs w:val="21"/>
              </w:rPr>
              <w:t>A-22投标总报价低于最高限价85%的，比选申请人应在编制比选申请文件时，在投标函部分中递交低价风险担保提交承诺书。承诺书格式详见第九章比选申请文件格式，否则由评标委员会作否决投标处理。</w:t>
            </w:r>
          </w:p>
        </w:tc>
      </w:tr>
      <w:tr w14:paraId="64BD83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B6363C5">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D5B64F6">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962A13A">
            <w:pPr>
              <w:spacing w:line="400" w:lineRule="exact"/>
              <w:ind w:firstLine="420" w:firstLineChars="200"/>
              <w:rPr>
                <w:rFonts w:ascii="宋体" w:hAnsi="宋体"/>
                <w:szCs w:val="21"/>
              </w:rPr>
            </w:pPr>
            <w:r>
              <w:rPr>
                <w:rFonts w:hint="eastAsia" w:ascii="宋体" w:hAnsi="宋体"/>
                <w:szCs w:val="21"/>
              </w:rPr>
              <w:t>A-23只能有一个有效报价。在比选文件没有规定的情况下，不得提交选择性报价，否则由评标委员会作否决投标处理。</w:t>
            </w:r>
          </w:p>
        </w:tc>
      </w:tr>
      <w:tr w14:paraId="648E8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D68D149">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AB47CAA">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52143D81">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w:t>
            </w:r>
            <w:r>
              <w:rPr>
                <w:rFonts w:hint="eastAsia" w:ascii="宋体" w:hAnsi="宋体"/>
                <w:szCs w:val="21"/>
              </w:rPr>
              <w:t>4比选申请人对已标价工程量清单的承诺必须满足第二章“比选申请人须知前附表”第3.2.9项要求，否则由评标委员会作否决投标处理。</w:t>
            </w:r>
          </w:p>
        </w:tc>
      </w:tr>
      <w:tr w14:paraId="5CFD1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3592300">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B138079">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DF6F576">
            <w:pPr>
              <w:spacing w:line="400" w:lineRule="exact"/>
              <w:ind w:firstLine="420" w:firstLineChars="200"/>
              <w:rPr>
                <w:rFonts w:ascii="宋体" w:hAnsi="宋体"/>
                <w:szCs w:val="21"/>
              </w:rPr>
            </w:pPr>
            <w:r>
              <w:rPr>
                <w:rFonts w:hint="eastAsia" w:ascii="宋体" w:hAnsi="宋体"/>
                <w:szCs w:val="21"/>
              </w:rPr>
              <w:t>A-25投标报价有算术错误的，按照第三章“评标办法”第3.2.3项规定执行，否则由评标委员会作否决投标处理。</w:t>
            </w:r>
          </w:p>
        </w:tc>
      </w:tr>
      <w:tr w14:paraId="401CB3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14:paraId="27E73863">
            <w:pPr>
              <w:spacing w:line="400" w:lineRule="exact"/>
              <w:jc w:val="center"/>
              <w:rPr>
                <w:rFonts w:ascii="宋体" w:hAnsi="宋体"/>
                <w:szCs w:val="21"/>
              </w:rPr>
            </w:pPr>
            <w:r>
              <w:rPr>
                <w:rFonts w:hint="eastAsia" w:ascii="宋体" w:hAnsi="宋体"/>
                <w:szCs w:val="21"/>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14:paraId="1F40A26D">
            <w:pPr>
              <w:spacing w:line="400" w:lineRule="exact"/>
              <w:jc w:val="center"/>
              <w:rPr>
                <w:rFonts w:ascii="宋体" w:hAnsi="宋体"/>
                <w:szCs w:val="21"/>
              </w:rPr>
            </w:pPr>
          </w:p>
        </w:tc>
        <w:tc>
          <w:tcPr>
            <w:tcW w:w="6333" w:type="dxa"/>
            <w:tcBorders>
              <w:top w:val="single" w:color="000000" w:sz="4" w:space="0"/>
              <w:left w:val="single" w:color="000000" w:sz="4" w:space="0"/>
              <w:bottom w:val="single" w:color="000000" w:sz="8" w:space="0"/>
              <w:right w:val="single" w:color="000000" w:sz="8" w:space="0"/>
            </w:tcBorders>
          </w:tcPr>
          <w:p w14:paraId="41DA095F">
            <w:pPr>
              <w:spacing w:line="400" w:lineRule="exact"/>
              <w:ind w:firstLine="420" w:firstLineChars="200"/>
              <w:rPr>
                <w:rFonts w:ascii="宋体" w:hAnsi="宋体"/>
                <w:i/>
                <w:szCs w:val="21"/>
              </w:rPr>
            </w:pPr>
            <w:r>
              <w:rPr>
                <w:rFonts w:hint="eastAsia" w:ascii="宋体" w:hAnsi="宋体"/>
                <w:iCs/>
                <w:szCs w:val="21"/>
              </w:rPr>
              <w:t>无</w:t>
            </w:r>
          </w:p>
        </w:tc>
      </w:tr>
    </w:tbl>
    <w:p w14:paraId="3C954DEA">
      <w:pPr>
        <w:pStyle w:val="24"/>
        <w:spacing w:line="360" w:lineRule="auto"/>
        <w:jc w:val="both"/>
        <w:rPr>
          <w:rFonts w:ascii="宋体" w:hAnsi="宋体"/>
          <w:sz w:val="21"/>
          <w:szCs w:val="21"/>
          <w:u w:val="none"/>
          <w:lang w:eastAsia="zh-CN"/>
        </w:rPr>
      </w:pPr>
    </w:p>
    <w:p w14:paraId="4B196228">
      <w:pPr>
        <w:pStyle w:val="24"/>
        <w:spacing w:line="360" w:lineRule="auto"/>
        <w:jc w:val="both"/>
        <w:rPr>
          <w:rFonts w:ascii="宋体" w:hAnsi="宋体"/>
          <w:sz w:val="21"/>
          <w:szCs w:val="21"/>
          <w:u w:val="none"/>
          <w:lang w:eastAsia="zh-CN"/>
        </w:rPr>
      </w:pPr>
      <w:r>
        <w:rPr>
          <w:rFonts w:ascii="宋体" w:hAnsi="宋体"/>
          <w:sz w:val="21"/>
          <w:szCs w:val="21"/>
          <w:u w:val="none"/>
          <w:lang w:eastAsia="zh-CN"/>
        </w:rPr>
        <w:br w:type="page"/>
      </w:r>
    </w:p>
    <w:bookmarkEnd w:id="173"/>
    <w:bookmarkEnd w:id="174"/>
    <w:p w14:paraId="62AB8EB3">
      <w:pPr>
        <w:pStyle w:val="24"/>
        <w:spacing w:line="360" w:lineRule="auto"/>
        <w:rPr>
          <w:rFonts w:ascii="宋体" w:hAnsi="宋体"/>
        </w:rPr>
      </w:pPr>
      <w:r>
        <w:rPr>
          <w:rFonts w:ascii="宋体" w:hAnsi="宋体"/>
          <w:u w:val="none"/>
        </w:rPr>
        <w:t xml:space="preserve"> </w:t>
      </w:r>
    </w:p>
    <w:p w14:paraId="062F5AAC">
      <w:pPr>
        <w:pStyle w:val="3"/>
        <w:spacing w:line="360" w:lineRule="auto"/>
        <w:jc w:val="center"/>
        <w:rPr>
          <w:rFonts w:ascii="宋体" w:hAnsi="宋体"/>
          <w:kern w:val="0"/>
        </w:rPr>
      </w:pPr>
      <w:bookmarkStart w:id="205" w:name="_Toc430530509"/>
      <w:bookmarkStart w:id="206" w:name="_Toc30413"/>
      <w:bookmarkStart w:id="207" w:name="_Toc509218785"/>
      <w:bookmarkStart w:id="208" w:name="_Toc27983309"/>
      <w:r>
        <w:rPr>
          <w:rFonts w:hint="eastAsia" w:ascii="宋体" w:hAnsi="宋体"/>
          <w:kern w:val="0"/>
        </w:rPr>
        <w:t>第四章  合同条款及格式</w:t>
      </w:r>
      <w:bookmarkEnd w:id="205"/>
      <w:bookmarkEnd w:id="206"/>
      <w:bookmarkEnd w:id="207"/>
      <w:bookmarkEnd w:id="208"/>
    </w:p>
    <w:p w14:paraId="1966370D">
      <w:pPr>
        <w:spacing w:before="120" w:after="120" w:line="360" w:lineRule="auto"/>
        <w:jc w:val="center"/>
        <w:rPr>
          <w:rFonts w:asciiTheme="minorEastAsia" w:hAnsiTheme="minorEastAsia" w:eastAsiaTheme="minorEastAsia" w:cstheme="minorEastAsia"/>
          <w:b/>
          <w:szCs w:val="32"/>
        </w:rPr>
      </w:pPr>
      <w:r>
        <w:rPr>
          <w:rFonts w:ascii="宋体" w:hAnsi="宋体" w:cs="黑体"/>
          <w:sz w:val="42"/>
          <w:szCs w:val="42"/>
          <w:lang w:bidi="ar"/>
        </w:rPr>
        <w:br w:type="page"/>
      </w:r>
      <w:r>
        <w:rPr>
          <w:rFonts w:hint="eastAsia" w:asciiTheme="minorEastAsia" w:hAnsiTheme="minorEastAsia" w:eastAsiaTheme="minorEastAsia" w:cstheme="minorEastAsia"/>
          <w:b/>
          <w:sz w:val="44"/>
          <w:szCs w:val="44"/>
        </w:rPr>
        <w:t>施 工 合 同</w:t>
      </w:r>
    </w:p>
    <w:p w14:paraId="0F7E432C">
      <w:pPr>
        <w:spacing w:line="360" w:lineRule="auto"/>
        <w:rPr>
          <w:rFonts w:asciiTheme="minorEastAsia" w:hAnsiTheme="minorEastAsia" w:eastAsiaTheme="minorEastAsia" w:cstheme="minorEastAsia"/>
          <w:sz w:val="24"/>
        </w:rPr>
      </w:pPr>
      <w:bookmarkStart w:id="209" w:name="_Toc3493"/>
      <w:bookmarkStart w:id="210" w:name="_Toc25784"/>
    </w:p>
    <w:p w14:paraId="34650E0D">
      <w:pPr>
        <w:topLinePunct/>
        <w:snapToGrid w:val="0"/>
        <w:spacing w:line="360" w:lineRule="auto"/>
        <w:ind w:right="172" w:rightChars="82"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垫江县高峰镇人民政府（</w:t>
      </w:r>
      <w:r>
        <w:rPr>
          <w:rFonts w:hint="eastAsia" w:asciiTheme="minorEastAsia" w:hAnsiTheme="minorEastAsia" w:eastAsiaTheme="minorEastAsia" w:cstheme="minorEastAsia"/>
          <w:szCs w:val="21"/>
        </w:rPr>
        <w:t xml:space="preserve">下称发包人）与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（下称承包人）依据《中华人民共和国合同法》、</w:t>
      </w:r>
      <w:r>
        <w:rPr>
          <w:rFonts w:hint="eastAsia" w:asciiTheme="minorEastAsia" w:hAnsiTheme="minorEastAsia" w:eastAsiaTheme="minorEastAsia" w:cstheme="minorEastAsia"/>
          <w:szCs w:val="21"/>
          <w:lang w:eastAsia="zh-CN"/>
        </w:rPr>
        <w:t>《建设工程质量管理条例》</w:t>
      </w:r>
      <w:r>
        <w:rPr>
          <w:rFonts w:hint="eastAsia" w:asciiTheme="minorEastAsia" w:hAnsiTheme="minorEastAsia" w:eastAsiaTheme="minorEastAsia" w:cstheme="minorEastAsia"/>
          <w:szCs w:val="21"/>
        </w:rPr>
        <w:t>等相关法律法规的规定，遵照公正、平等、自愿、诚信原则，双方就本合同段工程施工事项协商一致，订立本合同协议书。</w:t>
      </w:r>
    </w:p>
    <w:p w14:paraId="30CD9E58">
      <w:pPr>
        <w:pStyle w:val="18"/>
        <w:topLinePunct/>
        <w:snapToGrid w:val="0"/>
        <w:spacing w:line="360" w:lineRule="auto"/>
        <w:ind w:left="660" w:leftChars="200" w:hanging="240" w:hangingChars="114"/>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一、工程概况</w:t>
      </w:r>
    </w:p>
    <w:p w14:paraId="43ACF331">
      <w:pPr>
        <w:topLinePunct/>
        <w:snapToGrid w:val="0"/>
        <w:spacing w:line="360" w:lineRule="auto"/>
        <w:ind w:right="-185" w:rightChars="-88" w:firstLine="420" w:firstLineChars="200"/>
        <w:rPr>
          <w:rFonts w:hint="eastAsia" w:asciiTheme="minorEastAsia" w:hAnsiTheme="minorEastAsia" w:eastAsiaTheme="minorEastAsia" w:cstheme="minorEastAsia"/>
          <w:szCs w:val="21"/>
          <w:u w:val="single"/>
          <w:lang w:eastAsia="zh-CN"/>
        </w:rPr>
      </w:pPr>
      <w:r>
        <w:rPr>
          <w:rFonts w:hint="eastAsia" w:asciiTheme="minorEastAsia" w:hAnsiTheme="minorEastAsia" w:eastAsiaTheme="minorEastAsia" w:cstheme="minorEastAsia"/>
          <w:szCs w:val="21"/>
        </w:rPr>
        <w:t>1、工程名称：</w:t>
      </w:r>
      <w:r>
        <w:rPr>
          <w:rFonts w:hint="eastAsia" w:asciiTheme="minorEastAsia" w:hAnsiTheme="minorEastAsia" w:eastAsiaTheme="minorEastAsia" w:cstheme="minorEastAsia"/>
          <w:szCs w:val="21"/>
          <w:u w:val="single"/>
          <w:lang w:eastAsia="zh-CN"/>
        </w:rPr>
        <w:t>垫江县高峰镇高峰社区、大井村公路扩宽工程</w:t>
      </w:r>
    </w:p>
    <w:p w14:paraId="1EE63C72">
      <w:pPr>
        <w:topLinePunct/>
        <w:snapToGrid w:val="0"/>
        <w:spacing w:line="360" w:lineRule="auto"/>
        <w:ind w:right="-185" w:rightChars="-88"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2、工程地点：</w:t>
      </w:r>
      <w:r>
        <w:rPr>
          <w:rFonts w:hint="eastAsia" w:ascii="宋体" w:hAnsi="宋体" w:cs="宋体"/>
          <w:snapToGrid w:val="0"/>
          <w:kern w:val="0"/>
          <w:szCs w:val="21"/>
          <w:u w:val="single"/>
        </w:rPr>
        <w:t>垫江县高峰镇高峰社区、大井村</w:t>
      </w:r>
    </w:p>
    <w:p w14:paraId="0EF6CE53">
      <w:pPr>
        <w:topLinePunct/>
        <w:snapToGrid w:val="0"/>
        <w:spacing w:line="360" w:lineRule="auto"/>
        <w:ind w:right="-185" w:rightChars="-88"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3、工程内容：</w:t>
      </w:r>
      <w:r>
        <w:rPr>
          <w:rFonts w:hint="eastAsia" w:ascii="宋体" w:hAnsi="宋体" w:cs="宋体"/>
          <w:snapToGrid w:val="0"/>
          <w:kern w:val="0"/>
          <w:szCs w:val="21"/>
          <w:u w:val="single"/>
        </w:rPr>
        <w:t>全长0.899km，路基扩宽至6.5米宽，行车道扩宽至6米。</w:t>
      </w:r>
    </w:p>
    <w:p w14:paraId="61267283">
      <w:pPr>
        <w:pStyle w:val="18"/>
        <w:topLinePunct/>
        <w:snapToGrid w:val="0"/>
        <w:spacing w:line="360" w:lineRule="auto"/>
        <w:ind w:left="660" w:leftChars="200" w:hanging="240" w:hangingChars="114"/>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二、合同工期</w:t>
      </w:r>
    </w:p>
    <w:p w14:paraId="153535BB">
      <w:pPr>
        <w:autoSpaceDE w:val="0"/>
        <w:autoSpaceDN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开工日期：</w:t>
      </w:r>
      <w:r>
        <w:rPr>
          <w:rFonts w:hint="eastAsia" w:asciiTheme="minorEastAsia" w:hAnsiTheme="minorEastAsia" w:eastAsiaTheme="minorEastAsia" w:cstheme="minorEastAsia"/>
          <w:szCs w:val="21"/>
          <w:u w:val="single"/>
        </w:rPr>
        <w:t>自本项目施工合同签订之日起计算</w:t>
      </w:r>
    </w:p>
    <w:p w14:paraId="3268ECA9">
      <w:pPr>
        <w:autoSpaceDE w:val="0"/>
        <w:autoSpaceDN w:val="0"/>
        <w:snapToGrid w:val="0"/>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合同工期：</w:t>
      </w:r>
      <w:r>
        <w:rPr>
          <w:rFonts w:hint="eastAsia" w:asciiTheme="minorEastAsia" w:hAnsiTheme="minorEastAsia" w:eastAsiaTheme="minorEastAsia" w:cstheme="minorEastAsia"/>
          <w:szCs w:val="21"/>
          <w:u w:val="single"/>
          <w:lang w:val="en-US" w:eastAsia="zh-CN"/>
        </w:rPr>
        <w:t>80</w:t>
      </w:r>
      <w:r>
        <w:rPr>
          <w:rFonts w:hint="eastAsia" w:asciiTheme="minorEastAsia" w:hAnsiTheme="minorEastAsia" w:eastAsiaTheme="minorEastAsia" w:cstheme="minorEastAsia"/>
          <w:szCs w:val="21"/>
          <w:u w:val="single"/>
        </w:rPr>
        <w:t>日历天</w:t>
      </w:r>
    </w:p>
    <w:p w14:paraId="351CEF53">
      <w:pPr>
        <w:topLinePunct/>
        <w:snapToGrid w:val="0"/>
        <w:spacing w:line="360" w:lineRule="auto"/>
        <w:ind w:right="-512" w:rightChars="-244"/>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b/>
          <w:kern w:val="0"/>
          <w:szCs w:val="21"/>
        </w:rPr>
        <w:t xml:space="preserve"> 三、质量标准</w:t>
      </w:r>
    </w:p>
    <w:p w14:paraId="2FB3B58D">
      <w:pPr>
        <w:snapToGrid w:val="0"/>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1、技术规范</w:t>
      </w:r>
      <w:r>
        <w:rPr>
          <w:rFonts w:hint="eastAsia" w:asciiTheme="minorEastAsia" w:hAnsiTheme="minorEastAsia" w:eastAsiaTheme="minorEastAsia" w:cstheme="minorEastAsia"/>
          <w:color w:val="000000" w:themeColor="text1"/>
          <w:szCs w:val="21"/>
          <w14:textFill>
            <w14:solidFill>
              <w14:schemeClr w14:val="tx1"/>
            </w14:solidFill>
          </w14:textFill>
        </w:rPr>
        <w:t>及图纸：</w:t>
      </w:r>
      <w:r>
        <w:rPr>
          <w:rFonts w:hint="eastAsia" w:asciiTheme="minorEastAsia" w:hAnsiTheme="minorEastAsia" w:eastAsiaTheme="minorEastAsia" w:cstheme="minorEastAsia"/>
          <w:color w:val="000000" w:themeColor="text1"/>
          <w:szCs w:val="21"/>
          <w:u w:val="single"/>
          <w14:textFill>
            <w14:solidFill>
              <w14:schemeClr w14:val="tx1"/>
            </w14:solidFill>
          </w14:textFill>
        </w:rPr>
        <w:t>承包人应按照已发布的施工图及图纸说明、比选文件及施工图预算范围内的所有工程内容</w:t>
      </w:r>
      <w:r>
        <w:rPr>
          <w:rFonts w:hint="eastAsia" w:asciiTheme="minorEastAsia" w:hAnsiTheme="minorEastAsia" w:eastAsiaTheme="minorEastAsia" w:cstheme="minorEastAsia"/>
          <w:color w:val="000000" w:themeColor="text1"/>
          <w:szCs w:val="21"/>
          <w14:textFill>
            <w14:solidFill>
              <w14:schemeClr w14:val="tx1"/>
            </w14:solidFill>
          </w14:textFill>
        </w:rPr>
        <w:t>相关技术标准、规范及规程的要求组织施工。</w:t>
      </w:r>
    </w:p>
    <w:p w14:paraId="5667AADE">
      <w:pPr>
        <w:snapToGrid w:val="0"/>
        <w:spacing w:line="360" w:lineRule="auto"/>
        <w:ind w:firstLine="420" w:firstLineChars="20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2、验收标准及质量等级：</w:t>
      </w:r>
      <w:r>
        <w:rPr>
          <w:rFonts w:hint="eastAsia" w:asciiTheme="minorEastAsia" w:hAnsiTheme="minorEastAsia" w:eastAsiaTheme="minorEastAsia" w:cstheme="minorEastAsia"/>
          <w:color w:val="000000" w:themeColor="text1"/>
          <w:szCs w:val="21"/>
          <w:u w:val="single"/>
          <w14:textFill>
            <w14:solidFill>
              <w14:schemeClr w14:val="tx1"/>
            </w14:solidFill>
          </w14:textFill>
        </w:rPr>
        <w:t>质量达到国家有关现行施工验收规范规定的标准及重庆市有关规定，并验收合格。</w:t>
      </w:r>
    </w:p>
    <w:p w14:paraId="5D64CA3A">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3、发包人委</w:t>
      </w:r>
      <w:r>
        <w:rPr>
          <w:rFonts w:hint="eastAsia" w:asciiTheme="minorEastAsia" w:hAnsiTheme="minorEastAsia" w:eastAsiaTheme="minorEastAsia" w:cstheme="minorEastAsia"/>
          <w:color w:val="000000" w:themeColor="text1"/>
          <w:szCs w:val="21"/>
          <w:u w:val="single"/>
          <w14:textFill>
            <w14:solidFill>
              <w14:schemeClr w14:val="tx1"/>
            </w14:solidFill>
          </w14:textFill>
        </w:rPr>
        <w:t>派出监督员</w:t>
      </w:r>
      <w:r>
        <w:rPr>
          <w:rFonts w:hint="eastAsia" w:asciiTheme="minorEastAsia" w:hAnsiTheme="minorEastAsia" w:eastAsiaTheme="minorEastAsia" w:cstheme="minorEastAsia"/>
          <w:color w:val="000000" w:themeColor="text1"/>
          <w:szCs w:val="21"/>
          <w14:textFill>
            <w14:solidFill>
              <w14:schemeClr w14:val="tx1"/>
            </w14:solidFill>
          </w14:textFill>
        </w:rPr>
        <w:t>承担本工</w:t>
      </w:r>
      <w:r>
        <w:rPr>
          <w:rFonts w:hint="eastAsia" w:asciiTheme="minorEastAsia" w:hAnsiTheme="minorEastAsia" w:eastAsiaTheme="minorEastAsia" w:cstheme="minorEastAsia"/>
          <w:szCs w:val="21"/>
        </w:rPr>
        <w:t>程的施工监督工作。</w:t>
      </w:r>
    </w:p>
    <w:p w14:paraId="4CE6C01B">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4、垫江县交通局负责本工程质量监督工作。</w:t>
      </w:r>
    </w:p>
    <w:p w14:paraId="76E93CB8">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b/>
          <w:szCs w:val="21"/>
        </w:rPr>
        <w:t>本工程缺陷责任期2年</w:t>
      </w:r>
      <w:r>
        <w:rPr>
          <w:rFonts w:hint="eastAsia" w:asciiTheme="minorEastAsia" w:hAnsiTheme="minorEastAsia" w:eastAsiaTheme="minorEastAsia" w:cstheme="minorEastAsia"/>
          <w:szCs w:val="21"/>
        </w:rPr>
        <w:t>，从工程交工证书签发之日算起。</w:t>
      </w:r>
    </w:p>
    <w:p w14:paraId="76C8D361">
      <w:pPr>
        <w:topLinePunct/>
        <w:snapToGrid w:val="0"/>
        <w:spacing w:line="360" w:lineRule="auto"/>
        <w:ind w:right="-512" w:rightChars="-244"/>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四、合同价款</w:t>
      </w:r>
    </w:p>
    <w:p w14:paraId="05A15F47">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1、承包人的中标总价为人民币（大写）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6815010E">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2、本工程应交纳的税费和保险费，以及施工用水、用电、安全设施、临时用地、</w:t>
      </w:r>
      <w:r>
        <w:rPr>
          <w:rFonts w:hint="eastAsia" w:asciiTheme="minorEastAsia" w:hAnsiTheme="minorEastAsia" w:eastAsiaTheme="minorEastAsia" w:cstheme="minorEastAsia"/>
          <w:b/>
          <w:bCs/>
          <w:kern w:val="0"/>
          <w:szCs w:val="21"/>
        </w:rPr>
        <w:t>承包人驻地建设和第三方机构质检费（包括荷载和静载检测）</w:t>
      </w:r>
      <w:r>
        <w:rPr>
          <w:rFonts w:hint="eastAsia" w:asciiTheme="minorEastAsia" w:hAnsiTheme="minorEastAsia" w:eastAsiaTheme="minorEastAsia" w:cstheme="minorEastAsia"/>
          <w:kern w:val="0"/>
          <w:szCs w:val="21"/>
        </w:rPr>
        <w:t>等一切费用均由承包人自行承担。</w:t>
      </w:r>
    </w:p>
    <w:p w14:paraId="46C3B566">
      <w:pPr>
        <w:topLinePunct/>
        <w:snapToGrid w:val="0"/>
        <w:spacing w:line="360" w:lineRule="auto"/>
        <w:ind w:right="-512" w:rightChars="-244"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五、履约保证金</w:t>
      </w:r>
    </w:p>
    <w:p w14:paraId="47D0EC82">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1、承包人在签订合同协议书之前，必须按比选文件的规定提供农民工工资保证金缴纳凭证，并按比选文件规定的额度和方式向发包人提交履约保证金（中标金额的10%），保证完全履行合同。</w:t>
      </w:r>
    </w:p>
    <w:p w14:paraId="3F04331D">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kern w:val="0"/>
          <w:szCs w:val="21"/>
          <w:lang w:bidi="ar"/>
        </w:rPr>
        <w:t>承包人应保证其履约保证金在发包人签发交工验收证书且承包人按照合同约定交纳质量保证金前一直有效。发包人应在收到承包人交纳的质量保证金后 28 天内将履约保证金退还给承包人。</w:t>
      </w:r>
    </w:p>
    <w:p w14:paraId="1F3D8F8C">
      <w:pPr>
        <w:widowControl/>
        <w:spacing w:line="360" w:lineRule="auto"/>
        <w:ind w:firstLine="420" w:firstLineChars="200"/>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承包人拒绝按照本合同约定交纳质量保证金的，发包人有权从交工付款证书中扣留相应金额作为质量保证金，或者直接将履约保证金金额用于保证承包人在缺陷责任期内履行缺陷修复义务。</w:t>
      </w:r>
    </w:p>
    <w:p w14:paraId="4C1C7934">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2.2.1 承包人是否提供履约担保：</w:t>
      </w:r>
      <w:r>
        <w:rPr>
          <w:rFonts w:hint="eastAsia" w:asciiTheme="minorEastAsia" w:hAnsiTheme="minorEastAsia" w:eastAsiaTheme="minorEastAsia" w:cstheme="minorEastAsia"/>
          <w:kern w:val="0"/>
          <w:szCs w:val="21"/>
          <w:u w:val="single"/>
        </w:rPr>
        <w:t>提供</w:t>
      </w:r>
      <w:r>
        <w:rPr>
          <w:rFonts w:hint="eastAsia" w:asciiTheme="minorEastAsia" w:hAnsiTheme="minorEastAsia" w:eastAsiaTheme="minorEastAsia" w:cstheme="minorEastAsia"/>
          <w:kern w:val="0"/>
          <w:szCs w:val="21"/>
        </w:rPr>
        <w:t>。</w:t>
      </w:r>
    </w:p>
    <w:p w14:paraId="08D6CCB0">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2.2.2承包人提供履约担保的形式、金额及期限：</w:t>
      </w:r>
    </w:p>
    <w:p w14:paraId="6C476C3E">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（1）履约担保的形式：现金。</w:t>
      </w:r>
    </w:p>
    <w:p w14:paraId="7C6D3A9E">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）履约担保的金额：</w:t>
      </w:r>
      <w:r>
        <w:rPr>
          <w:rFonts w:hint="eastAsia" w:asciiTheme="minorEastAsia" w:hAnsiTheme="minorEastAsia" w:eastAsiaTheme="minorEastAsia" w:cstheme="minorEastAsia"/>
          <w:kern w:val="0"/>
          <w:szCs w:val="21"/>
          <w:u w:val="single"/>
        </w:rPr>
        <w:t>签约合同价的10%</w:t>
      </w:r>
      <w:r>
        <w:rPr>
          <w:rFonts w:hint="eastAsia" w:asciiTheme="minorEastAsia" w:hAnsiTheme="minorEastAsia" w:eastAsiaTheme="minorEastAsia" w:cstheme="minorEastAsia"/>
          <w:kern w:val="0"/>
          <w:szCs w:val="21"/>
        </w:rPr>
        <w:t>；</w:t>
      </w:r>
    </w:p>
    <w:p w14:paraId="514B644E">
      <w:pPr>
        <w:pStyle w:val="12"/>
        <w:spacing w:after="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（4）履约担保的提交时间：</w:t>
      </w:r>
      <w:r>
        <w:rPr>
          <w:rFonts w:hint="eastAsia" w:asciiTheme="minorEastAsia" w:hAnsiTheme="minorEastAsia" w:eastAsiaTheme="minorEastAsia" w:cstheme="minorEastAsia"/>
          <w:kern w:val="0"/>
          <w:szCs w:val="21"/>
          <w:u w:val="single"/>
        </w:rPr>
        <w:t>在合同签订前，承包人按担保金额向发包人</w:t>
      </w:r>
      <w:r>
        <w:rPr>
          <w:rFonts w:hint="eastAsia" w:asciiTheme="minorEastAsia" w:hAnsiTheme="minorEastAsia" w:eastAsiaTheme="minorEastAsia" w:cstheme="minorEastAsia"/>
          <w:kern w:val="0"/>
          <w:szCs w:val="21"/>
          <w:u w:val="single"/>
          <w:lang w:val="en-US" w:eastAsia="zh-CN"/>
        </w:rPr>
        <w:t>指定账户</w:t>
      </w:r>
      <w:r>
        <w:rPr>
          <w:rFonts w:hint="eastAsia" w:asciiTheme="minorEastAsia" w:hAnsiTheme="minorEastAsia" w:eastAsiaTheme="minorEastAsia" w:cstheme="minorEastAsia"/>
          <w:kern w:val="0"/>
          <w:szCs w:val="21"/>
          <w:u w:val="single"/>
        </w:rPr>
        <w:t>提交履约担保</w:t>
      </w:r>
      <w:r>
        <w:rPr>
          <w:rFonts w:hint="eastAsia" w:asciiTheme="minorEastAsia" w:hAnsiTheme="minorEastAsia" w:eastAsiaTheme="minorEastAsia" w:cstheme="minorEastAsia"/>
          <w:kern w:val="0"/>
          <w:szCs w:val="21"/>
        </w:rPr>
        <w:t>。</w:t>
      </w:r>
    </w:p>
    <w:p w14:paraId="15A88256">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（5）履约担保的期限：</w:t>
      </w:r>
      <w:r>
        <w:rPr>
          <w:rFonts w:hint="eastAsia" w:asciiTheme="minorEastAsia" w:hAnsiTheme="minorEastAsia" w:eastAsiaTheme="minorEastAsia" w:cstheme="minorEastAsia"/>
          <w:kern w:val="0"/>
          <w:szCs w:val="21"/>
          <w:u w:val="single"/>
        </w:rPr>
        <w:t>自我方法定代表人（或其委托代理人）签名并加盖公章之日起至你方签发或应签发工程接收证书之日止自提交履约担保之日起至交工验收合格之日止</w:t>
      </w:r>
      <w:r>
        <w:rPr>
          <w:rFonts w:hint="eastAsia" w:asciiTheme="minorEastAsia" w:hAnsiTheme="minorEastAsia" w:eastAsiaTheme="minorEastAsia" w:cstheme="minorEastAsia"/>
          <w:kern w:val="0"/>
          <w:szCs w:val="21"/>
        </w:rPr>
        <w:t>。</w:t>
      </w:r>
    </w:p>
    <w:p w14:paraId="0ADC48A9">
      <w:pPr>
        <w:pStyle w:val="12"/>
        <w:spacing w:after="0"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（6）履约担保的退还时间：</w:t>
      </w:r>
      <w:r>
        <w:rPr>
          <w:rFonts w:hint="eastAsia" w:asciiTheme="minorEastAsia" w:hAnsiTheme="minorEastAsia" w:eastAsiaTheme="minorEastAsia" w:cstheme="minorEastAsia"/>
          <w:kern w:val="0"/>
          <w:szCs w:val="21"/>
          <w:u w:val="single"/>
        </w:rPr>
        <w:t>采用现金担保的，</w:t>
      </w:r>
      <w:r>
        <w:rPr>
          <w:rFonts w:hint="eastAsia" w:asciiTheme="minorEastAsia" w:hAnsiTheme="minorEastAsia" w:eastAsiaTheme="minorEastAsia" w:cstheme="minorEastAsia"/>
          <w:szCs w:val="21"/>
          <w:u w:val="single"/>
        </w:rPr>
        <w:t>合同工程完工</w:t>
      </w:r>
      <w:r>
        <w:rPr>
          <w:rFonts w:hint="eastAsia" w:asciiTheme="minorEastAsia" w:hAnsiTheme="minorEastAsia" w:eastAsiaTheme="minorEastAsia" w:cstheme="minorEastAsia"/>
          <w:kern w:val="0"/>
          <w:szCs w:val="21"/>
          <w:u w:val="single"/>
        </w:rPr>
        <w:t>证书颁发后</w:t>
      </w:r>
      <w:r>
        <w:rPr>
          <w:rFonts w:hint="eastAsia" w:asciiTheme="minorEastAsia" w:hAnsiTheme="minorEastAsia" w:eastAsiaTheme="minorEastAsia" w:cstheme="minorEastAsia"/>
          <w:szCs w:val="21"/>
          <w:u w:val="single"/>
        </w:rPr>
        <w:t xml:space="preserve">28天内一次性退还，或按工程实际情况约定分阶段退还，阶段划分按以下标准执行：          ；采用履约保函的，合同工程完工证书颁发后28天内内退还，或按工程实际情况约定分阶段退还，阶段划分按以下标准执行        </w:t>
      </w:r>
      <w:r>
        <w:rPr>
          <w:rFonts w:hint="eastAsia" w:asciiTheme="minorEastAsia" w:hAnsiTheme="minorEastAsia" w:eastAsiaTheme="minorEastAsia" w:cstheme="minorEastAsia"/>
          <w:kern w:val="0"/>
          <w:szCs w:val="21"/>
        </w:rPr>
        <w:t>。</w:t>
      </w:r>
    </w:p>
    <w:p w14:paraId="781F4648">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六、低价风险担保</w:t>
      </w:r>
    </w:p>
    <w:p w14:paraId="64E13AC0">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承包人提供低价风险担保的情形：采用经评审的最低投标价法的项目投标报价低于最高限价85%时。</w:t>
      </w:r>
    </w:p>
    <w:p w14:paraId="6A54AFD9">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承包人提供低价风险担保的形式、金额及期限的：</w:t>
      </w:r>
    </w:p>
    <w:p w14:paraId="15CB3513">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（1）低价风险担保的形式：</w:t>
      </w:r>
      <w:r>
        <w:rPr>
          <w:rFonts w:hint="eastAsia" w:asciiTheme="minorEastAsia" w:hAnsiTheme="minorEastAsia" w:eastAsiaTheme="minorEastAsia" w:cstheme="minorEastAsia"/>
          <w:szCs w:val="21"/>
        </w:rPr>
        <w:t>现金或银行保函或现金+银行保函的组合；采用保函形式的，保函必须为不可撤销、不可转让且见索即付的独立保函</w:t>
      </w:r>
      <w:r>
        <w:rPr>
          <w:rFonts w:hint="eastAsia" w:asciiTheme="minorEastAsia" w:hAnsiTheme="minorEastAsia" w:eastAsiaTheme="minorEastAsia" w:cstheme="minorEastAsia"/>
          <w:kern w:val="0"/>
          <w:szCs w:val="21"/>
        </w:rPr>
        <w:t>；</w:t>
      </w:r>
    </w:p>
    <w:p w14:paraId="64EF7452">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（2）低价风险担保的金额：</w:t>
      </w:r>
      <w:r>
        <w:rPr>
          <w:rFonts w:hint="eastAsia" w:asciiTheme="minorEastAsia" w:hAnsiTheme="minorEastAsia" w:eastAsiaTheme="minorEastAsia" w:cstheme="minorEastAsia"/>
          <w:kern w:val="0"/>
          <w:szCs w:val="21"/>
          <w:u w:val="single"/>
        </w:rPr>
        <w:t xml:space="preserve"> 详见比选申请人须知前附表 </w:t>
      </w:r>
      <w:r>
        <w:rPr>
          <w:rFonts w:hint="eastAsia" w:asciiTheme="minorEastAsia" w:hAnsiTheme="minorEastAsia" w:eastAsiaTheme="minorEastAsia" w:cstheme="minorEastAsia"/>
          <w:kern w:val="0"/>
          <w:szCs w:val="21"/>
        </w:rPr>
        <w:t>；</w:t>
      </w:r>
    </w:p>
    <w:p w14:paraId="4C30E830">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（3）低价风险担保的提交时间：</w:t>
      </w:r>
      <w:r>
        <w:rPr>
          <w:rFonts w:hint="eastAsia" w:asciiTheme="minorEastAsia" w:hAnsiTheme="minorEastAsia" w:eastAsiaTheme="minorEastAsia" w:cstheme="minorEastAsia"/>
          <w:kern w:val="0"/>
          <w:szCs w:val="21"/>
          <w:u w:val="single"/>
        </w:rPr>
        <w:t>详见比选申请人须知前附表</w:t>
      </w:r>
      <w:r>
        <w:rPr>
          <w:rFonts w:hint="eastAsia" w:asciiTheme="minorEastAsia" w:hAnsiTheme="minorEastAsia" w:eastAsiaTheme="minorEastAsia" w:cstheme="minorEastAsia"/>
          <w:kern w:val="0"/>
          <w:szCs w:val="21"/>
        </w:rPr>
        <w:t>；</w:t>
      </w:r>
    </w:p>
    <w:p w14:paraId="6DD00292">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（4）低价风险担保的期限：</w:t>
      </w:r>
      <w:r>
        <w:rPr>
          <w:rFonts w:hint="eastAsia" w:asciiTheme="minorEastAsia" w:hAnsiTheme="minorEastAsia" w:eastAsiaTheme="minorEastAsia" w:cstheme="minorEastAsia"/>
          <w:kern w:val="0"/>
          <w:szCs w:val="21"/>
          <w:u w:val="single"/>
        </w:rPr>
        <w:t>自低价风险担保生效之日起至工程交（竣）工验收合格之日止</w:t>
      </w:r>
      <w:r>
        <w:rPr>
          <w:rFonts w:hint="eastAsia" w:asciiTheme="minorEastAsia" w:hAnsiTheme="minorEastAsia" w:eastAsiaTheme="minorEastAsia" w:cstheme="minorEastAsia"/>
          <w:kern w:val="0"/>
          <w:szCs w:val="21"/>
        </w:rPr>
        <w:t>。</w:t>
      </w:r>
    </w:p>
    <w:p w14:paraId="7AAC3BD6">
      <w:pPr>
        <w:pStyle w:val="12"/>
        <w:spacing w:after="0"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低价风险担保的退还时间：</w:t>
      </w:r>
      <w:r>
        <w:rPr>
          <w:rFonts w:hint="eastAsia" w:asciiTheme="minorEastAsia" w:hAnsiTheme="minorEastAsia" w:eastAsiaTheme="minorEastAsia" w:cstheme="minorEastAsia"/>
          <w:kern w:val="0"/>
          <w:szCs w:val="21"/>
          <w:u w:val="single"/>
        </w:rPr>
        <w:t>采用现金担保的，工程交（竣）工验收合格后14天内退还，合同履行期间允许承包人用符合要求的银行保函进行置换；采用银行保函的，工程交（竣）工验收合格后14天内退还</w:t>
      </w:r>
      <w:r>
        <w:rPr>
          <w:rFonts w:hint="eastAsia" w:asciiTheme="minorEastAsia" w:hAnsiTheme="minorEastAsia" w:eastAsiaTheme="minorEastAsia" w:cstheme="minorEastAsia"/>
          <w:kern w:val="0"/>
          <w:szCs w:val="21"/>
        </w:rPr>
        <w:t>。采用分段退还的，低价风险担保的退还时间及方式为：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p>
    <w:p w14:paraId="57F584BC">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（5）低价风险担保的扣减：</w:t>
      </w:r>
    </w:p>
    <w:p w14:paraId="3C0A97CB">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14:paraId="48DB251C">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②承包人在工程施工期间或竣工验收时，工程质量不符合国家现行有关施工质量验收规范要求的，按低价风险担保金额的50～100%扣减，直至解除合同；</w:t>
      </w:r>
    </w:p>
    <w:p w14:paraId="7C3948CE">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③承包人因22.1.3项原因被解除合同的，低价风险担保将全额扣除；</w:t>
      </w:r>
    </w:p>
    <w:p w14:paraId="05065982">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④因承包人过错导致的其他情形：</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98F0833">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七、工程款支付</w:t>
      </w:r>
    </w:p>
    <w:p w14:paraId="593B7E46">
      <w:pPr>
        <w:pStyle w:val="12"/>
        <w:spacing w:after="0" w:line="360" w:lineRule="auto"/>
        <w:ind w:firstLine="420" w:firstLineChars="200"/>
        <w:jc w:val="left"/>
        <w:rPr>
          <w:rFonts w:hint="default"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u w:val="single"/>
        </w:rPr>
        <w:t>工程完工验收交验</w:t>
      </w:r>
      <w:r>
        <w:rPr>
          <w:rFonts w:hint="eastAsia" w:asciiTheme="minorEastAsia" w:hAnsiTheme="minorEastAsia" w:eastAsiaTheme="minorEastAsia" w:cstheme="minorEastAsia"/>
          <w:szCs w:val="21"/>
          <w:u w:val="single"/>
          <w:lang w:val="en-US" w:eastAsia="zh-CN"/>
        </w:rPr>
        <w:t>后支付合同金额的60%</w:t>
      </w:r>
      <w:r>
        <w:rPr>
          <w:rFonts w:hint="eastAsia" w:asciiTheme="minorEastAsia" w:hAnsiTheme="minorEastAsia" w:eastAsiaTheme="minorEastAsia" w:cstheme="minorEastAsia"/>
          <w:szCs w:val="21"/>
          <w:u w:val="single"/>
        </w:rPr>
        <w:t>，完成资料审核交档（6份），办理完工结算审计，且</w:t>
      </w:r>
      <w:r>
        <w:rPr>
          <w:rFonts w:hint="eastAsia" w:asciiTheme="minorEastAsia" w:hAnsiTheme="minorEastAsia" w:eastAsiaTheme="minorEastAsia" w:cstheme="minorEastAsia"/>
          <w:szCs w:val="21"/>
          <w:u w:val="single"/>
          <w:lang w:val="en-US" w:eastAsia="zh-CN"/>
        </w:rPr>
        <w:t>县上</w:t>
      </w:r>
      <w:r>
        <w:rPr>
          <w:rFonts w:hint="eastAsia" w:asciiTheme="minorEastAsia" w:hAnsiTheme="minorEastAsia" w:eastAsiaTheme="minorEastAsia" w:cstheme="minorEastAsia"/>
          <w:szCs w:val="21"/>
          <w:u w:val="single"/>
        </w:rPr>
        <w:t>补助资金到位后中标人向比选人指定账户缴纳审定总价款3％作为质保金后，比选人支付至审定总价款的100％；质保金待质量缺陷期满后结清无息退还。中标人提交付款申请时须提交相应等额合规的项目所在地的增值税发票</w:t>
      </w:r>
      <w:r>
        <w:rPr>
          <w:rFonts w:hint="eastAsia" w:asciiTheme="minorEastAsia" w:hAnsiTheme="minorEastAsia" w:eastAsiaTheme="minorEastAsia" w:cstheme="minorEastAsia"/>
          <w:szCs w:val="21"/>
          <w:u w:val="single"/>
          <w:lang w:val="en-US" w:eastAsia="zh-CN"/>
        </w:rPr>
        <w:t>和农民工工资支付凭证。</w:t>
      </w:r>
    </w:p>
    <w:p w14:paraId="6201750F">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注：缺陷责任期（工程质量保修期）按照完工证书确定的完工日期起开始计算 24 个月。</w:t>
      </w:r>
    </w:p>
    <w:p w14:paraId="4CC7E4FB">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八、双方代表</w:t>
      </w:r>
    </w:p>
    <w:p w14:paraId="750ACAFA">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发包人委派</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为业主现场代表；承包人委派</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为项目经理、</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为技术负责人，项目经理和技术负责人除法定因素外不得变更。双方履行本合同的文件均以其代表签字认可为准。 </w:t>
      </w:r>
    </w:p>
    <w:p w14:paraId="3E8A3D3D">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九、安全生产及廉政建设</w:t>
      </w:r>
    </w:p>
    <w:p w14:paraId="04D956DE">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双方在签订本合同协议书时应同时签订《安全生产合同》和《廉政合同》，安全生产合同及廉政合同是本合同的有效组成部分，与本合同协议书具有同等法律效力。</w:t>
      </w:r>
    </w:p>
    <w:p w14:paraId="394D0ABD">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十、违约责任</w:t>
      </w:r>
    </w:p>
    <w:p w14:paraId="39903693">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（一）发包人违约</w:t>
      </w:r>
    </w:p>
    <w:p w14:paraId="0FD8C8CA">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1、发包人未按期交付施工场地，由此延误承包人工期的责任和费用由发包人承担。</w:t>
      </w:r>
    </w:p>
    <w:p w14:paraId="7F13D095">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2、发包人未按期进行期中支付或最后支付，未付款不计利息。</w:t>
      </w:r>
    </w:p>
    <w:p w14:paraId="22F3DB5D">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（二）承包人违约</w:t>
      </w:r>
    </w:p>
    <w:p w14:paraId="6E448C00">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1、承包人不得将本工程转包，否则发包人有权立即终止本合同，并责令承包人立即退场，已实施的工程不支付工程款。</w:t>
      </w:r>
    </w:p>
    <w:p w14:paraId="048CF648">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2、未经发包人书面批准的分包视为承包人违约，发包人有权立即终止其分包合同，已实施的分包工程不支付工程款，承包人为此须向发包人支付分包工程价款20%的违约金。</w:t>
      </w:r>
    </w:p>
    <w:p w14:paraId="01C76FD9">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3、承包人未按规定办理其装备及人员保险，由此产生的责任和费用由承包人承担。</w:t>
      </w:r>
    </w:p>
    <w:p w14:paraId="18749703">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承包人项目经理、技术负责人和专职安全员应押证（复印件）施工，施工作业时必须每天在施工现场，发包人如发现承包人项目经理、技术负责人或专职安全员在施工作业时不在施工现场，每人次从履约保证金中扣违约金500元，承包人无权变更项目经理和技术负责人，如果因特殊情况需要变更，必须经发包人书面同意，擅自更换项目经理和技术负责人的，承包人向发包人支付违约金1万元/人次。工程发生严重安全事故或工程质量低劣，工程进度达不到施工组织设计要求时，发包人有权撤换项目经理和技术负责人。</w:t>
      </w:r>
    </w:p>
    <w:p w14:paraId="4907490F">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5、因承包人原因导致工程不能按合同工期交工，承包人须承担人民币500元/天的违约金；承包人超过合同工期 30日历天仍未完工并将合格工程交付发包人，发包人有权解除合同并责令承包人限期撤场，并由承包人另行赔偿发包人损失人民币50000元。</w:t>
      </w:r>
    </w:p>
    <w:p w14:paraId="2A34FC5D">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如果工程质量不符合本合同约定标准，承包人必须自费整改，承包人拒不整改或不能在限期内整改合格，发包人根据情节轻重处承包人违约金人民币10000元/次；承包人超过限期45天仍未整改合格的，发包人有权解除合同并责令承包人限期撤场，由承包人另行赔偿发包人损失人民币50000元。</w:t>
      </w:r>
    </w:p>
    <w:p w14:paraId="79DDB9E2">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终止合同后发包人将重新选择承包人，重新选择的承包人有权使用原承包人的材料和设备，由此产生的费用及处理（工程估价、拖期损失及给发包人造成的其它损失等）在全部工程完成并经交工验收合格后进行。</w:t>
      </w:r>
    </w:p>
    <w:p w14:paraId="42318BF6">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包人根据本合同约定解除合同时，承包人已完成的合格工程按照本合同约定的单价进行结算并由政府审计机关审计，承包人已完成的工程款应扣除承包人按约定应承担的违约责任，承包人已完成的合格工程款在工程交工验收后一年内付清（转包及违规分包除外）。</w:t>
      </w:r>
    </w:p>
    <w:p w14:paraId="36DB09B8">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十一、合同文件组成及顺序</w:t>
      </w:r>
    </w:p>
    <w:p w14:paraId="5EB5DE3F">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1、合同协议书及附件（安全生产合同、廉政合同）；2、比选招标文件；3、中选通知书；4、中标人投标资料；5、技术标准和要求；6、工程量清单 ；7、其他合同文件（双方有关洽商、变更等书面协议）。</w:t>
      </w:r>
    </w:p>
    <w:p w14:paraId="0F8058E1">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以上文件互为补充，并作为本合同的有效部分。工程质量、进度、合同管理和技术方面的问题以监理的解释为准；工程款支付以发包人解释为准。</w:t>
      </w:r>
    </w:p>
    <w:p w14:paraId="5933D2FE">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十二、解决合同纠纷的方式</w:t>
      </w:r>
    </w:p>
    <w:p w14:paraId="5FF85BA0">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双方在履行合同过程中如发生纠纷，应协商解决，协商无效时可向项目所在地法院提起诉讼。</w:t>
      </w:r>
    </w:p>
    <w:p w14:paraId="4FA34FAE">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十三、合同生效</w:t>
      </w:r>
    </w:p>
    <w:p w14:paraId="25AA3DD5">
      <w:pPr>
        <w:topLinePunct/>
        <w:snapToGrid w:val="0"/>
        <w:spacing w:line="360" w:lineRule="auto"/>
        <w:ind w:right="-512" w:rightChars="-244" w:firstLine="470" w:firstLineChars="224"/>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1"/>
        </w:rPr>
        <w:t>本合同协议书一式捌份，双方各执四份，自双方法定代表人（或授权代表人）签字并加盖公章后生效。</w:t>
      </w:r>
    </w:p>
    <w:p w14:paraId="241C11FB">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十四、附件</w:t>
      </w:r>
    </w:p>
    <w:p w14:paraId="456CF613">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1、工程量清单；</w:t>
      </w:r>
    </w:p>
    <w:p w14:paraId="752BA72E">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2、廉政合同；</w:t>
      </w:r>
    </w:p>
    <w:p w14:paraId="4F7000F3">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3、安全生产合同；</w:t>
      </w:r>
    </w:p>
    <w:p w14:paraId="7FBC12B8">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4、其他文件。</w:t>
      </w:r>
    </w:p>
    <w:p w14:paraId="56791BA4">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14:paraId="2F2D6885">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发包人：                               承包人： </w:t>
      </w:r>
    </w:p>
    <w:p w14:paraId="50418C87">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14:paraId="327192DF">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（公章）                               （公章）</w:t>
      </w:r>
    </w:p>
    <w:p w14:paraId="718AF1E1">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                                 地址：</w:t>
      </w:r>
    </w:p>
    <w:p w14:paraId="30F6B0D3">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14:paraId="08D7F3B9">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                             法定代表人</w:t>
      </w:r>
    </w:p>
    <w:p w14:paraId="7625AEA4">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（或授权代表人）：      （签字）     （或授权代表人）：       （签字）</w:t>
      </w:r>
    </w:p>
    <w:p w14:paraId="2991EFC6">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14:paraId="4CACEE4C">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                             联系电话：</w:t>
      </w:r>
    </w:p>
    <w:p w14:paraId="7A1D9AE7">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14:paraId="29D27850">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                        　   开户银行：</w:t>
      </w:r>
    </w:p>
    <w:p w14:paraId="59038B87">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账号：                                 账号：</w:t>
      </w:r>
    </w:p>
    <w:p w14:paraId="18DC2D24">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银行编码：                             银行编码：</w:t>
      </w:r>
    </w:p>
    <w:p w14:paraId="5074CDA8">
      <w:pPr>
        <w:topLinePunct/>
        <w:snapToGrid w:val="0"/>
        <w:spacing w:line="360" w:lineRule="auto"/>
        <w:ind w:right="-512" w:rightChars="-244" w:firstLine="470" w:firstLineChars="224"/>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Cs w:val="21"/>
        </w:rPr>
        <w:t>日 期： 202</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年   月  日                日 期： 202</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年  月   日</w:t>
      </w:r>
    </w:p>
    <w:bookmarkEnd w:id="209"/>
    <w:bookmarkEnd w:id="210"/>
    <w:p w14:paraId="14ED2DC6">
      <w:pPr>
        <w:topLinePunct/>
        <w:snapToGrid w:val="0"/>
        <w:spacing w:line="360" w:lineRule="auto"/>
        <w:ind w:right="-512" w:rightChars="-244" w:firstLine="537" w:firstLineChars="224"/>
        <w:rPr>
          <w:rFonts w:asciiTheme="minorEastAsia" w:hAnsiTheme="minorEastAsia" w:eastAsiaTheme="minorEastAsia" w:cstheme="minorEastAsia"/>
          <w:kern w:val="0"/>
          <w:sz w:val="24"/>
        </w:rPr>
      </w:pPr>
      <w:bookmarkStart w:id="211" w:name="_Toc29968"/>
      <w:bookmarkStart w:id="212" w:name="_Toc15383"/>
      <w:bookmarkStart w:id="213" w:name="_Toc31573"/>
      <w:bookmarkStart w:id="214" w:name="_Toc2057"/>
    </w:p>
    <w:bookmarkEnd w:id="211"/>
    <w:bookmarkEnd w:id="212"/>
    <w:bookmarkEnd w:id="213"/>
    <w:bookmarkEnd w:id="214"/>
    <w:p w14:paraId="1A1028F2">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14:paraId="7467DD35">
      <w:pPr>
        <w:pStyle w:val="3"/>
        <w:spacing w:line="360" w:lineRule="auto"/>
        <w:jc w:val="center"/>
        <w:rPr>
          <w:rFonts w:asciiTheme="minorEastAsia" w:hAnsiTheme="minorEastAsia" w:eastAsiaTheme="minorEastAsia" w:cstheme="minorEastAsia"/>
          <w:sz w:val="30"/>
          <w:szCs w:val="30"/>
        </w:rPr>
      </w:pPr>
      <w:bookmarkStart w:id="215" w:name="_Toc26151"/>
      <w:bookmarkStart w:id="216" w:name="_Toc5690"/>
      <w:r>
        <w:rPr>
          <w:rFonts w:hint="eastAsia" w:asciiTheme="minorEastAsia" w:hAnsiTheme="minorEastAsia" w:eastAsiaTheme="minorEastAsia" w:cstheme="minorEastAsia"/>
          <w:sz w:val="30"/>
          <w:szCs w:val="30"/>
        </w:rPr>
        <w:t>廉 政 合 同</w:t>
      </w:r>
      <w:bookmarkEnd w:id="215"/>
      <w:bookmarkEnd w:id="216"/>
    </w:p>
    <w:p w14:paraId="2A3C5FB4">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根据《关于在交通基础设施建设中加强廉政建设的若干意见》 以及有关工程建设、廉政建设的规定，为做好工程建设中的党风廉政建设，保证工程建设高效优质，保证建设资金的安全和有效使用以及投资效益，</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的项目法人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（项目法人名称，以下简称“发包人”）与该项目的施工单位</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（施工单位名称，以下简称“承包人”），特订立如下合同。</w:t>
      </w:r>
    </w:p>
    <w:p w14:paraId="250F07A2">
      <w:pPr>
        <w:topLinePunct/>
        <w:snapToGrid w:val="0"/>
        <w:spacing w:line="360" w:lineRule="auto"/>
        <w:ind w:right="-512" w:rightChars="-244" w:firstLine="472" w:firstLineChars="224"/>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1.发包人和承包人双方的权利和义务</w:t>
      </w:r>
    </w:p>
    <w:p w14:paraId="7AC4C4D6">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（1）严格遵守党的政策规定和国家有关法律法规及交通运输部的有关规定。</w:t>
      </w:r>
    </w:p>
    <w:p w14:paraId="6D3ABA9C">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（2）严格执行</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合同文件，自觉按合同办事。</w:t>
      </w:r>
    </w:p>
    <w:p w14:paraId="1F3C1941">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（3）双方的业务活动坚持公开、公正、诚信、透明的原则（法律认定的商业秘密和合同文件另有规定除外），不得损害国家和集体利益，不得违反工程建设管理规章制度。</w:t>
      </w:r>
    </w:p>
    <w:p w14:paraId="5AED7AF4">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（4）建立健全廉政制度，开展廉政教育，设立廉政告示牌，公布举报电话， 监督并认真查处违法违纪行为。</w:t>
      </w:r>
    </w:p>
    <w:p w14:paraId="73746EA9">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（5）发现对方在业务活动中有违反廉政规定的行为，有及时提醒对方纠正的权利和义务。</w:t>
      </w:r>
    </w:p>
    <w:p w14:paraId="1DCB39D0">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（6）发现对方严重违反本合同义务条款的行为，有向其上级有关部门举报、建议给予处理并要求告知处理结果的权利。</w:t>
      </w:r>
    </w:p>
    <w:p w14:paraId="476539A6">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2.发包人的义务</w:t>
      </w:r>
    </w:p>
    <w:p w14:paraId="151466A0">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（1）发包人及其工作人员不得索要或接受承包人的礼金、有价证券和贵重物品，不得让承包人报销任何应由发包人或发包人工作人员个人支付的费用等。</w:t>
      </w:r>
    </w:p>
    <w:p w14:paraId="142973F0">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（2）发包人工作人员不得参加承包人安排的超标准宴请和娱乐活动；不得接受承包人提供的通信工具、交通工具和高档办公用品等。</w:t>
      </w:r>
    </w:p>
    <w:p w14:paraId="71315AA0">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（3）发包人及其工作人员不得要求或者接受承包人为其住房装修、婚丧嫁娶活动、配偶子女的工作安排以及出国出境、旅游等提供方便等。</w:t>
      </w:r>
    </w:p>
    <w:p w14:paraId="41C0FDF1">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（4）发包人工作人员及其配偶、子女不得从事与发包人工程有关的材料设备供应、工程分包、劳务等经济活动等。</w:t>
      </w:r>
    </w:p>
    <w:p w14:paraId="4B2541B7">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（5）发包人及其工作人员不得以任何理由向承包人推荐分包单位或推销材料，不得要求承包人购买合同规定外的材料和设备。</w:t>
      </w:r>
    </w:p>
    <w:p w14:paraId="268C1C9C">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（6）发包人工作人员要秉公办事，不准营私舞弊，不准利用职权从事各种个人有偿中介活动和安排个人施工队伍。</w:t>
      </w:r>
    </w:p>
    <w:p w14:paraId="130C6F45">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3.承包人的义务</w:t>
      </w:r>
    </w:p>
    <w:p w14:paraId="76686C3F">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（1）承包人不得以任何理由向发包人及其工作人员行贿或馈赠礼金、有价证券、贵重礼品。</w:t>
      </w:r>
    </w:p>
    <w:p w14:paraId="2F3007F6">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（2）承包人不得以任何名义为发包人及其工作人员报销应由发包人单位或个人支付的任何费用。</w:t>
      </w:r>
    </w:p>
    <w:p w14:paraId="29242D5F">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（3）承包人不得以任何理由安排发包人工作人员参加超标准宴请及娱乐活动。</w:t>
      </w:r>
    </w:p>
    <w:p w14:paraId="69D06CC6">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（4）承包人不得为发包人单位和个人购置或提供通信工具、交通工具和高档办公用品等。</w:t>
      </w:r>
    </w:p>
    <w:p w14:paraId="3411A470">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4.违约责任</w:t>
      </w:r>
    </w:p>
    <w:p w14:paraId="1E1196B3">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（1）发包人及其工作人员违反本合同第 1、2 条，按管理权限，依据有关规定给予党纪、政纪或组织处理；涉嫌犯罪的，移交司法机关追究刑事责任；给承包人单位造成经济损失的，应予以赔偿。</w:t>
      </w:r>
    </w:p>
    <w:p w14:paraId="4D28CF17">
      <w:pPr>
        <w:snapToGrid w:val="0"/>
        <w:spacing w:line="360" w:lineRule="auto"/>
        <w:ind w:firstLine="420"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24CED54">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5.双方约定</w:t>
      </w:r>
    </w:p>
    <w:p w14:paraId="75357545">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CAC3B3E">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6.本合同有效期为发包人和承包人签署之日起至该工程项目竣工验收后止。</w:t>
      </w:r>
    </w:p>
    <w:p w14:paraId="17609FE8">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7.本合同作为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施工合同的附件，与工程施工合同具有同等的法律效力，经合同双方签署后立即生效。</w:t>
      </w:r>
    </w:p>
    <w:p w14:paraId="36082367">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8.本合同一式</w:t>
      </w:r>
      <w:r>
        <w:rPr>
          <w:rFonts w:hint="eastAsia" w:asciiTheme="minorEastAsia" w:hAnsiTheme="minorEastAsia" w:eastAsiaTheme="minorEastAsia" w:cstheme="minorEastAsia"/>
          <w:kern w:val="0"/>
          <w:szCs w:val="21"/>
          <w:u w:val="single"/>
        </w:rPr>
        <w:t xml:space="preserve">  陆  </w:t>
      </w:r>
      <w:r>
        <w:rPr>
          <w:rFonts w:hint="eastAsia" w:asciiTheme="minorEastAsia" w:hAnsiTheme="minorEastAsia" w:eastAsiaTheme="minorEastAsia" w:cstheme="minorEastAsia"/>
          <w:kern w:val="0"/>
          <w:szCs w:val="21"/>
        </w:rPr>
        <w:t>份，由发包人和承包人各执</w:t>
      </w:r>
      <w:r>
        <w:rPr>
          <w:rFonts w:hint="eastAsia" w:asciiTheme="minorEastAsia" w:hAnsiTheme="minorEastAsia" w:eastAsiaTheme="minorEastAsia" w:cstheme="minorEastAsia"/>
          <w:kern w:val="0"/>
          <w:szCs w:val="21"/>
          <w:u w:val="single"/>
        </w:rPr>
        <w:t xml:space="preserve">  贰  </w:t>
      </w:r>
      <w:r>
        <w:rPr>
          <w:rFonts w:hint="eastAsia" w:asciiTheme="minorEastAsia" w:hAnsiTheme="minorEastAsia" w:eastAsiaTheme="minorEastAsia" w:cstheme="minorEastAsia"/>
          <w:kern w:val="0"/>
          <w:szCs w:val="21"/>
        </w:rPr>
        <w:t>份，送交发包人和承包人的监督单位各</w:t>
      </w:r>
      <w:r>
        <w:rPr>
          <w:rFonts w:hint="eastAsia" w:asciiTheme="minorEastAsia" w:hAnsiTheme="minorEastAsia" w:eastAsiaTheme="minorEastAsia" w:cstheme="minorEastAsia"/>
          <w:kern w:val="0"/>
          <w:szCs w:val="21"/>
          <w:u w:val="single"/>
        </w:rPr>
        <w:t xml:space="preserve">  壹  </w:t>
      </w:r>
      <w:r>
        <w:rPr>
          <w:rFonts w:hint="eastAsia" w:asciiTheme="minorEastAsia" w:hAnsiTheme="minorEastAsia" w:eastAsiaTheme="minorEastAsia" w:cstheme="minorEastAsia"/>
          <w:kern w:val="0"/>
          <w:szCs w:val="21"/>
        </w:rPr>
        <w:t xml:space="preserve">份。 </w:t>
      </w:r>
    </w:p>
    <w:p w14:paraId="207F08AF">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发包人（公章）：                  承包人（公章）：      </w:t>
      </w:r>
    </w:p>
    <w:p w14:paraId="4D9D280E">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                      法定代表人：</w:t>
      </w:r>
    </w:p>
    <w:p w14:paraId="2F8DC65D">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或委托代理人：                    或委托代理人： </w:t>
      </w:r>
    </w:p>
    <w:p w14:paraId="172C3A1F">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经办人：                          经办人：</w:t>
      </w:r>
    </w:p>
    <w:p w14:paraId="605367EB">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                         联系电话：</w:t>
      </w:r>
    </w:p>
    <w:p w14:paraId="42922EAF">
      <w:pPr>
        <w:snapToGrid w:val="0"/>
        <w:spacing w:line="360" w:lineRule="auto"/>
        <w:ind w:firstLine="42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Cs w:val="21"/>
        </w:rPr>
        <w:t>签订日期：     年     月    日   签订日期：     年     月    日</w:t>
      </w:r>
    </w:p>
    <w:p w14:paraId="02DA4204">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14:paraId="5F42904B">
      <w:pPr>
        <w:pStyle w:val="3"/>
        <w:spacing w:line="360" w:lineRule="auto"/>
        <w:jc w:val="center"/>
        <w:rPr>
          <w:rFonts w:asciiTheme="minorEastAsia" w:hAnsiTheme="minorEastAsia" w:eastAsiaTheme="minorEastAsia" w:cstheme="minorEastAsia"/>
          <w:sz w:val="30"/>
          <w:szCs w:val="30"/>
        </w:rPr>
      </w:pPr>
      <w:bookmarkStart w:id="217" w:name="_Toc5868"/>
      <w:bookmarkStart w:id="218" w:name="_Toc14187"/>
      <w:r>
        <w:rPr>
          <w:rFonts w:hint="eastAsia" w:asciiTheme="minorEastAsia" w:hAnsiTheme="minorEastAsia" w:eastAsiaTheme="minorEastAsia" w:cstheme="minorEastAsia"/>
          <w:sz w:val="30"/>
          <w:szCs w:val="30"/>
        </w:rPr>
        <w:t>安全生产合同</w:t>
      </w:r>
      <w:bookmarkEnd w:id="217"/>
      <w:bookmarkEnd w:id="218"/>
    </w:p>
    <w:p w14:paraId="7A9BA4AB">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（项目名称）施工合同的实施过程中创造安全、高效的施工环境，切实搞好本项目的安全管理工作，本项目发包人 垫江县高峰镇人民政府 （发包人名称，以下简称“发包人”）与承包人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（承包人名称，以下简称“承包人”）特此签订安全生产合同：</w:t>
      </w:r>
    </w:p>
    <w:p w14:paraId="58F77806">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1.发包人职责</w:t>
      </w:r>
    </w:p>
    <w:p w14:paraId="39EE0F46">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（1）严格遵守国家有关安全生产的法律法规，认真执行工程承包合同中的有关安全要求。</w:t>
      </w:r>
    </w:p>
    <w:p w14:paraId="653CD06F">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（2）按照“安全第一、预防为主”和坚持“管生产必须管安全”的原则进行安全生产管理，做到生产与安全工作同时计划、布置、检查、总结和评比。</w:t>
      </w:r>
    </w:p>
    <w:p w14:paraId="77EBBA15">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（3）重要的安全设施必须坚持与主体工程“三同时”的原则，即：同时设计、审批，同时施工，同时验收，投入使用。</w:t>
      </w:r>
    </w:p>
    <w:p w14:paraId="6683775F">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（4）定期召开安全生产调度会，及时传达中央及地方有关安全生产的精神。</w:t>
      </w:r>
    </w:p>
    <w:p w14:paraId="33C3F64E">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（5）组织对承包人施工现场安全生产检查，监督承包人及时处理发现的各种安全隐患。</w:t>
      </w:r>
    </w:p>
    <w:p w14:paraId="73203525">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2.承包人职责</w:t>
      </w:r>
    </w:p>
    <w:p w14:paraId="620A83A8">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3B85E57E">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AAB3944">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9CBFB5C">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（4）承包人在任何时候都应采取各种合理的预防措施，防止其员工发生任何违法、违禁、暴力或妨碍治安的行为。</w:t>
      </w:r>
    </w:p>
    <w:p w14:paraId="1DA20736">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1E7EF2F">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32CCBA5">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（7）操作人员上岗，必须按规定穿戴防护用品。施工负责人和安全检查员应随时检查劳动防护用品的穿戴情况，不按规定穿戴防护用品的人员不得上岗。</w:t>
      </w:r>
    </w:p>
    <w:p w14:paraId="054EF3A0">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（8）所有施工机具设备和高空作业的设备均应定期检查，并有安全员的签字记录，保证其经常处于完好状态；不合格的机具、设备和劳动保护用品严禁使用：</w:t>
      </w:r>
    </w:p>
    <w:p w14:paraId="3CDF0D57">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（9）施工中采用新技术、新工艺、新设备、新材料时，必须制定相应的安全技术措施，施工现场必须具有相关的安全标志牌。</w:t>
      </w:r>
    </w:p>
    <w:p w14:paraId="480DBB1C">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9967BE0">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（11）安全生产费用按照《公路水运工程安全生产监督管理办法》的相关规定使用和管理。</w:t>
      </w:r>
    </w:p>
    <w:p w14:paraId="05FA5713">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3.违约责任</w:t>
      </w:r>
    </w:p>
    <w:p w14:paraId="11B5A877">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如因发包人或承包人违约造成安全事故，将依法追究责任，并承担相关部门认定责任。</w:t>
      </w:r>
    </w:p>
    <w:p w14:paraId="17CE415A">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4.本合同由双方法定代表人或其授权的代理人签署并加盖单位章后生效，全部工程竣工验收后失效。</w:t>
      </w:r>
    </w:p>
    <w:p w14:paraId="4DF38F2F">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5.本合同一式</w:t>
      </w:r>
      <w:r>
        <w:rPr>
          <w:rFonts w:hint="eastAsia" w:asciiTheme="minorEastAsia" w:hAnsiTheme="minorEastAsia" w:eastAsiaTheme="minorEastAsia" w:cstheme="minorEastAsia"/>
          <w:kern w:val="0"/>
          <w:szCs w:val="21"/>
          <w:u w:val="single"/>
        </w:rPr>
        <w:t xml:space="preserve">  陆  </w:t>
      </w:r>
      <w:r>
        <w:rPr>
          <w:rFonts w:hint="eastAsia" w:asciiTheme="minorEastAsia" w:hAnsiTheme="minorEastAsia" w:eastAsiaTheme="minorEastAsia" w:cstheme="minorEastAsia"/>
          <w:kern w:val="0"/>
          <w:szCs w:val="21"/>
        </w:rPr>
        <w:t>份，由发包人和承包人各执</w:t>
      </w:r>
      <w:r>
        <w:rPr>
          <w:rFonts w:hint="eastAsia" w:asciiTheme="minorEastAsia" w:hAnsiTheme="minorEastAsia" w:eastAsiaTheme="minorEastAsia" w:cstheme="minorEastAsia"/>
          <w:kern w:val="0"/>
          <w:szCs w:val="21"/>
          <w:u w:val="single"/>
        </w:rPr>
        <w:t xml:space="preserve">  贰  </w:t>
      </w:r>
      <w:r>
        <w:rPr>
          <w:rFonts w:hint="eastAsia" w:asciiTheme="minorEastAsia" w:hAnsiTheme="minorEastAsia" w:eastAsiaTheme="minorEastAsia" w:cstheme="minorEastAsia"/>
          <w:kern w:val="0"/>
          <w:szCs w:val="21"/>
        </w:rPr>
        <w:t>份，送交发包人和承包人的监督单位各</w:t>
      </w:r>
      <w:r>
        <w:rPr>
          <w:rFonts w:hint="eastAsia" w:asciiTheme="minorEastAsia" w:hAnsiTheme="minorEastAsia" w:eastAsiaTheme="minorEastAsia" w:cstheme="minorEastAsia"/>
          <w:kern w:val="0"/>
          <w:szCs w:val="21"/>
          <w:u w:val="single"/>
        </w:rPr>
        <w:t xml:space="preserve">  壹  </w:t>
      </w:r>
      <w:r>
        <w:rPr>
          <w:rFonts w:hint="eastAsia" w:asciiTheme="minorEastAsia" w:hAnsiTheme="minorEastAsia" w:eastAsiaTheme="minorEastAsia" w:cstheme="minorEastAsia"/>
          <w:kern w:val="0"/>
          <w:szCs w:val="21"/>
        </w:rPr>
        <w:t>份。</w:t>
      </w:r>
    </w:p>
    <w:p w14:paraId="64D13C89">
      <w:pPr>
        <w:spacing w:line="360" w:lineRule="auto"/>
        <w:rPr>
          <w:rFonts w:asciiTheme="minorEastAsia" w:hAnsiTheme="minorEastAsia" w:eastAsiaTheme="minorEastAsia" w:cstheme="minorEastAsia"/>
          <w:kern w:val="0"/>
          <w:szCs w:val="21"/>
        </w:rPr>
      </w:pPr>
    </w:p>
    <w:p w14:paraId="102CDE04">
      <w:pPr>
        <w:spacing w:line="360" w:lineRule="auto"/>
        <w:rPr>
          <w:rFonts w:asciiTheme="minorEastAsia" w:hAnsiTheme="minorEastAsia" w:eastAsiaTheme="minorEastAsia" w:cstheme="minorEastAsia"/>
          <w:kern w:val="0"/>
          <w:szCs w:val="21"/>
        </w:rPr>
      </w:pPr>
    </w:p>
    <w:p w14:paraId="0DB72ACB">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发包人：（盖单位章）                      承包人：               （盖单位章） </w:t>
      </w:r>
    </w:p>
    <w:p w14:paraId="1BAA32C7">
      <w:pPr>
        <w:spacing w:line="360" w:lineRule="auto"/>
        <w:rPr>
          <w:rFonts w:asciiTheme="minorEastAsia" w:hAnsiTheme="minorEastAsia" w:eastAsiaTheme="minorEastAsia" w:cstheme="minorEastAsia"/>
          <w:kern w:val="0"/>
          <w:szCs w:val="21"/>
        </w:rPr>
      </w:pPr>
    </w:p>
    <w:p w14:paraId="7D530C32">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                              法定代表人或</w:t>
      </w:r>
    </w:p>
    <w:p w14:paraId="39563915">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其委托代理人：     （签字）               其委托代理人：         （签字）</w:t>
      </w:r>
    </w:p>
    <w:p w14:paraId="173E30C7">
      <w:pPr>
        <w:spacing w:line="360" w:lineRule="auto"/>
        <w:ind w:firstLine="840"/>
        <w:rPr>
          <w:rFonts w:asciiTheme="minorEastAsia" w:hAnsiTheme="minorEastAsia" w:eastAsiaTheme="minorEastAsia" w:cstheme="minorEastAsia"/>
          <w:kern w:val="0"/>
          <w:szCs w:val="21"/>
        </w:rPr>
      </w:pPr>
    </w:p>
    <w:p w14:paraId="3AA07598">
      <w:pPr>
        <w:spacing w:line="360" w:lineRule="auto"/>
        <w:ind w:firstLine="42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Cs w:val="21"/>
        </w:rPr>
        <w:t>年    月    日                            年    月    日</w:t>
      </w:r>
    </w:p>
    <w:p w14:paraId="30D09CCF">
      <w:pPr>
        <w:pStyle w:val="3"/>
        <w:spacing w:line="360" w:lineRule="auto"/>
        <w:jc w:val="center"/>
        <w:rPr>
          <w:rFonts w:asciiTheme="minorEastAsia" w:hAnsiTheme="minorEastAsia" w:eastAsiaTheme="minorEastAsia" w:cstheme="minorEastAsia"/>
          <w:sz w:val="30"/>
          <w:szCs w:val="30"/>
        </w:rPr>
      </w:pPr>
      <w:bookmarkStart w:id="219" w:name="_Toc21309"/>
      <w:bookmarkStart w:id="220" w:name="_Toc13139"/>
      <w:r>
        <w:rPr>
          <w:rFonts w:hint="eastAsia" w:asciiTheme="minorEastAsia" w:hAnsiTheme="minorEastAsia" w:eastAsiaTheme="minorEastAsia" w:cstheme="minorEastAsia"/>
          <w:sz w:val="30"/>
          <w:szCs w:val="30"/>
        </w:rPr>
        <w:t>低价风险担保保函示范文本（独立保函）（如有）</w:t>
      </w:r>
      <w:bookmarkEnd w:id="219"/>
      <w:bookmarkEnd w:id="220"/>
    </w:p>
    <w:p w14:paraId="2BD555A8">
      <w:pPr>
        <w:spacing w:line="360" w:lineRule="auto"/>
        <w:jc w:val="center"/>
        <w:rPr>
          <w:rFonts w:asciiTheme="minorEastAsia" w:hAnsiTheme="minorEastAsia" w:eastAsiaTheme="minorEastAsia" w:cstheme="minorEastAsia"/>
          <w:b/>
          <w:bCs/>
          <w:sz w:val="24"/>
        </w:rPr>
      </w:pPr>
    </w:p>
    <w:p w14:paraId="1E47D69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低价风险担保保函示范文本</w:t>
      </w:r>
    </w:p>
    <w:p w14:paraId="6007188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（独立保函）</w:t>
      </w:r>
    </w:p>
    <w:p w14:paraId="02559CB6">
      <w:pPr>
        <w:wordWrap w:val="0"/>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编号：           </w:t>
      </w:r>
    </w:p>
    <w:p w14:paraId="6497D8C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p>
    <w:p w14:paraId="5BCA060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14:paraId="49F9FB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p>
    <w:p w14:paraId="16DE9BC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14:paraId="76B9EE8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p>
    <w:p w14:paraId="2D747DB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14:paraId="15F9170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2B53C34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（受益人名称）： </w:t>
      </w:r>
    </w:p>
    <w:p w14:paraId="1B8FC3A8">
      <w:pPr>
        <w:pStyle w:val="12"/>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（以下简称“申请人”）于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（以下简称“受益人”）的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（项目名称）的投标，收到受益人于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签发的中标通知书，成为该项目的中标人。基于申请人的请求，我方同意就申请人履行该项目中标通知书、比选文件和比选申请文件约定的义务，向贵方提供不可撤销、不可转让的见索即付独立保函（以下简称“本保函”）。</w:t>
      </w:r>
    </w:p>
    <w:p w14:paraId="345A6137">
      <w:pPr>
        <w:pStyle w:val="12"/>
        <w:numPr>
          <w:ilvl w:val="0"/>
          <w:numId w:val="1"/>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保函担保范围：申请人未按照中标通知书、比选文件和比选申请文件约定签订合同或未按签订的合同约定履行相关义务，应当向贵方承担的违约责任和赔偿因此造成的损失、利息、律师费、诉讼费用等实现债权的费用。</w:t>
      </w:r>
    </w:p>
    <w:p w14:paraId="7CEBE76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二、本保函担保金额最高不超过人民币（大写）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70F2112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三、本保函有效期自开立之日起至合同约定的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14:paraId="6C23AA0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四、我方承诺，在收到受益人发来的书面付款通知后的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工作日内无条件支付，前述书面付款通知即为付款要求之单据，且应满足以下要求：</w:t>
      </w:r>
    </w:p>
    <w:p w14:paraId="199D1D7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（1）付款通知到达的日期在本保函的有效期内；</w:t>
      </w:r>
    </w:p>
    <w:p w14:paraId="1BFF0D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14:paraId="123ACFD0">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（3）载明申请人未按照中标通知书、比选文件和比选申请文件约定签订合同或违反合同义务的条款和内容；</w:t>
      </w:r>
    </w:p>
    <w:p w14:paraId="4964672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（4）付款通知中应声明不存在比选文件约定、合同文件约定或我国法律规定免除申请人或开立人支付责任的情形；</w:t>
      </w:r>
    </w:p>
    <w:p w14:paraId="05CE406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（5）付款通知应在本保函有效期内到达的地址是：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65751A5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受益人发出的书面付款通知应由其为鉴明受益人法定代表人（负责人）或授权代理人签名加盖公章。</w:t>
      </w:r>
    </w:p>
    <w:p w14:paraId="25F0F51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五、本保函项下的权利不得转让，不得设定担保。贵方未经我方书面同意转让本保函或其项下任何权利，对我方不发生法律效力。 </w:t>
      </w:r>
    </w:p>
    <w:p w14:paraId="4C5DAAF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六、与本保函有关的合同不成立、不生效、无效、被撤销、被解除，不影响本保函的独立有效。 </w:t>
      </w:r>
    </w:p>
    <w:p w14:paraId="3995CD7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2591C9E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567ED68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九、本保函自我方法定代表人或授权代表签名并加盖公章之日起生效。 </w:t>
      </w:r>
    </w:p>
    <w:p w14:paraId="38870F4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（公章） </w:t>
      </w:r>
    </w:p>
    <w:p w14:paraId="269D2F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法定代表人（或授权代表）：              （签名） </w:t>
      </w:r>
    </w:p>
    <w:p w14:paraId="75A7C3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    址：                                       </w:t>
      </w:r>
    </w:p>
    <w:p w14:paraId="67056D4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邮政编码：                 </w:t>
      </w:r>
    </w:p>
    <w:p w14:paraId="3176DD4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    话：                 </w:t>
      </w:r>
    </w:p>
    <w:p w14:paraId="195592E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传    真：                 </w:t>
      </w:r>
    </w:p>
    <w:p w14:paraId="0BCEC26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开立时间：      年      月     日</w:t>
      </w:r>
    </w:p>
    <w:p w14:paraId="645124DD">
      <w:pPr>
        <w:pStyle w:val="2"/>
        <w:spacing w:line="360" w:lineRule="auto"/>
        <w:rPr>
          <w:rFonts w:asciiTheme="minorEastAsia" w:hAnsiTheme="minorEastAsia" w:eastAsiaTheme="minorEastAsia" w:cstheme="minorEastAsia"/>
        </w:rPr>
      </w:pPr>
    </w:p>
    <w:p w14:paraId="03C978CC">
      <w:pPr>
        <w:pStyle w:val="2"/>
        <w:spacing w:line="360" w:lineRule="auto"/>
        <w:rPr>
          <w:rFonts w:asciiTheme="minorEastAsia" w:hAnsiTheme="minorEastAsia" w:eastAsiaTheme="minorEastAsia" w:cstheme="minorEastAsia"/>
        </w:rPr>
      </w:pPr>
    </w:p>
    <w:p w14:paraId="5936C4B4">
      <w:pPr>
        <w:pStyle w:val="2"/>
        <w:spacing w:line="360" w:lineRule="auto"/>
        <w:rPr>
          <w:rFonts w:asciiTheme="minorEastAsia" w:hAnsiTheme="minorEastAsia" w:eastAsiaTheme="minorEastAsia" w:cstheme="minorEastAsia"/>
        </w:rPr>
      </w:pPr>
    </w:p>
    <w:p w14:paraId="189950AB">
      <w:pPr>
        <w:pStyle w:val="2"/>
        <w:spacing w:line="360" w:lineRule="auto"/>
        <w:rPr>
          <w:rFonts w:asciiTheme="minorEastAsia" w:hAnsiTheme="minorEastAsia" w:eastAsiaTheme="minorEastAsia" w:cstheme="minorEastAsia"/>
        </w:rPr>
      </w:pPr>
    </w:p>
    <w:p w14:paraId="61C85B69">
      <w:pPr>
        <w:pStyle w:val="2"/>
        <w:spacing w:line="360" w:lineRule="auto"/>
        <w:rPr>
          <w:rFonts w:asciiTheme="minorEastAsia" w:hAnsiTheme="minorEastAsia" w:eastAsiaTheme="minorEastAsia" w:cstheme="minorEastAsia"/>
        </w:rPr>
      </w:pPr>
    </w:p>
    <w:p w14:paraId="30FFD448">
      <w:pPr>
        <w:pStyle w:val="2"/>
        <w:spacing w:line="360" w:lineRule="auto"/>
        <w:rPr>
          <w:rFonts w:asciiTheme="minorEastAsia" w:hAnsiTheme="minorEastAsia" w:eastAsiaTheme="minorEastAsia" w:cstheme="minorEastAsia"/>
        </w:rPr>
      </w:pPr>
    </w:p>
    <w:p w14:paraId="266C7DD1">
      <w:pPr>
        <w:pStyle w:val="2"/>
        <w:spacing w:line="360" w:lineRule="auto"/>
        <w:rPr>
          <w:rFonts w:asciiTheme="minorEastAsia" w:hAnsiTheme="minorEastAsia" w:eastAsiaTheme="minorEastAsia" w:cstheme="minorEastAsia"/>
        </w:rPr>
      </w:pPr>
    </w:p>
    <w:p w14:paraId="452AE3B1">
      <w:pPr>
        <w:pStyle w:val="2"/>
        <w:spacing w:line="360" w:lineRule="auto"/>
        <w:rPr>
          <w:rFonts w:asciiTheme="minorEastAsia" w:hAnsiTheme="minorEastAsia" w:eastAsiaTheme="minorEastAsia" w:cstheme="minorEastAsia"/>
        </w:rPr>
      </w:pPr>
    </w:p>
    <w:p w14:paraId="2A65D46B">
      <w:pPr>
        <w:pStyle w:val="2"/>
        <w:spacing w:line="360" w:lineRule="auto"/>
        <w:rPr>
          <w:rFonts w:asciiTheme="minorEastAsia" w:hAnsiTheme="minorEastAsia" w:eastAsiaTheme="minorEastAsia" w:cstheme="minorEastAsia"/>
        </w:rPr>
      </w:pPr>
    </w:p>
    <w:p w14:paraId="27994F6E">
      <w:pPr>
        <w:pStyle w:val="2"/>
        <w:spacing w:line="360" w:lineRule="auto"/>
        <w:rPr>
          <w:rFonts w:asciiTheme="minorEastAsia" w:hAnsiTheme="minorEastAsia" w:eastAsiaTheme="minorEastAsia" w:cstheme="minorEastAsia"/>
        </w:rPr>
      </w:pPr>
    </w:p>
    <w:p w14:paraId="2721865F"/>
    <w:p w14:paraId="014E983A">
      <w:pPr>
        <w:pStyle w:val="3"/>
        <w:spacing w:before="0" w:after="0" w:line="360" w:lineRule="auto"/>
        <w:jc w:val="center"/>
        <w:rPr>
          <w:rFonts w:ascii="宋体" w:hAnsi="宋体" w:cs="宋体"/>
          <w:b w:val="0"/>
        </w:rPr>
      </w:pPr>
      <w:bookmarkStart w:id="221" w:name="_Toc430530513"/>
      <w:bookmarkStart w:id="222" w:name="_Toc534185822"/>
      <w:bookmarkStart w:id="223" w:name="_Toc509218843"/>
      <w:bookmarkStart w:id="224" w:name="_Toc287607855"/>
      <w:bookmarkStart w:id="225" w:name="_Toc287620797"/>
      <w:bookmarkStart w:id="226" w:name="_Toc296890982"/>
      <w:bookmarkStart w:id="227" w:name="_Toc351203480"/>
      <w:bookmarkStart w:id="228" w:name="_Toc296503025"/>
      <w:r>
        <w:rPr>
          <w:rFonts w:hint="eastAsia" w:ascii="宋体" w:hAnsi="宋体" w:cs="宋体"/>
          <w:b w:val="0"/>
        </w:rPr>
        <w:br w:type="page"/>
      </w:r>
      <w:bookmarkStart w:id="229" w:name="_Toc27190"/>
      <w:r>
        <w:rPr>
          <w:rFonts w:hint="eastAsia" w:ascii="宋体" w:hAnsi="宋体" w:cs="宋体"/>
          <w:bCs w:val="0"/>
        </w:rPr>
        <w:t>第五章  工程量清单</w:t>
      </w:r>
      <w:bookmarkEnd w:id="221"/>
      <w:bookmarkEnd w:id="222"/>
      <w:bookmarkEnd w:id="223"/>
      <w:bookmarkEnd w:id="224"/>
      <w:bookmarkEnd w:id="225"/>
      <w:bookmarkEnd w:id="229"/>
    </w:p>
    <w:p w14:paraId="232B6C08">
      <w:pPr>
        <w:snapToGrid w:val="0"/>
        <w:spacing w:line="360" w:lineRule="auto"/>
        <w:jc w:val="center"/>
        <w:rPr>
          <w:rFonts w:ascii="宋体" w:hAnsi="宋体"/>
          <w:szCs w:val="21"/>
        </w:rPr>
      </w:pPr>
      <w:bookmarkStart w:id="230" w:name="招标文件05章工程量清单01"/>
      <w:bookmarkEnd w:id="230"/>
    </w:p>
    <w:p w14:paraId="46A789F7">
      <w:pPr>
        <w:snapToGrid w:val="0"/>
        <w:spacing w:line="360" w:lineRule="auto"/>
        <w:jc w:val="center"/>
        <w:rPr>
          <w:rFonts w:ascii="宋体" w:hAnsi="宋体"/>
          <w:szCs w:val="21"/>
        </w:rPr>
      </w:pPr>
      <w:r>
        <w:rPr>
          <w:rFonts w:hint="eastAsia" w:ascii="宋体" w:hAnsi="宋体"/>
          <w:szCs w:val="21"/>
        </w:rPr>
        <w:t>工程量清单等相关资料在垫江县人民政府网（http://www.cqsdj.gov.cn）上下载。</w:t>
      </w:r>
    </w:p>
    <w:p w14:paraId="64AF389D">
      <w:pPr>
        <w:autoSpaceDE w:val="0"/>
        <w:autoSpaceDN w:val="0"/>
        <w:adjustRightInd w:val="0"/>
        <w:snapToGrid w:val="0"/>
        <w:spacing w:line="360" w:lineRule="auto"/>
        <w:rPr>
          <w:rFonts w:ascii="宋体" w:hAnsi="宋体"/>
        </w:rPr>
      </w:pPr>
      <w:r>
        <w:rPr>
          <w:rFonts w:ascii="宋体" w:hAnsi="宋体"/>
          <w:sz w:val="24"/>
        </w:rPr>
        <w:br w:type="page"/>
      </w:r>
    </w:p>
    <w:p w14:paraId="06AD51C1">
      <w:pPr>
        <w:pStyle w:val="3"/>
        <w:spacing w:before="0" w:after="0" w:line="480" w:lineRule="auto"/>
        <w:jc w:val="center"/>
        <w:rPr>
          <w:rFonts w:ascii="宋体" w:hAnsi="宋体"/>
          <w:sz w:val="52"/>
          <w:szCs w:val="52"/>
        </w:rPr>
      </w:pPr>
      <w:bookmarkStart w:id="231" w:name="_Toc17211"/>
      <w:bookmarkStart w:id="232" w:name="_Toc534185823"/>
      <w:bookmarkStart w:id="233" w:name="_Toc509218844"/>
      <w:r>
        <w:rPr>
          <w:rFonts w:hint="eastAsia" w:ascii="宋体" w:hAnsi="宋体"/>
          <w:sz w:val="52"/>
          <w:szCs w:val="52"/>
        </w:rPr>
        <w:t>第 二 卷</w:t>
      </w:r>
      <w:bookmarkEnd w:id="231"/>
      <w:bookmarkEnd w:id="232"/>
      <w:bookmarkEnd w:id="233"/>
    </w:p>
    <w:p w14:paraId="140BF4B4">
      <w:pPr>
        <w:pStyle w:val="3"/>
        <w:spacing w:before="0" w:after="0" w:line="360" w:lineRule="auto"/>
        <w:jc w:val="center"/>
        <w:rPr>
          <w:sz w:val="48"/>
          <w:szCs w:val="48"/>
        </w:rPr>
      </w:pPr>
      <w:r>
        <w:rPr>
          <w:szCs w:val="20"/>
        </w:rPr>
        <w:br w:type="page"/>
      </w:r>
      <w:bookmarkStart w:id="234" w:name="招标文件06章图纸"/>
      <w:bookmarkEnd w:id="234"/>
      <w:bookmarkStart w:id="235" w:name="_Toc430530519"/>
      <w:bookmarkStart w:id="236" w:name="_Toc6182"/>
      <w:bookmarkStart w:id="237" w:name="_Toc287620803"/>
      <w:bookmarkStart w:id="238" w:name="_Toc534185825"/>
      <w:bookmarkStart w:id="239" w:name="_Toc287607861"/>
      <w:bookmarkStart w:id="240" w:name="_Toc509218846"/>
      <w:r>
        <w:rPr>
          <w:rFonts w:hint="eastAsia" w:ascii="宋体" w:hAnsi="宋体" w:cs="宋体"/>
          <w:bCs w:val="0"/>
        </w:rPr>
        <w:t>第六章  图纸</w:t>
      </w:r>
      <w:bookmarkEnd w:id="235"/>
      <w:bookmarkEnd w:id="236"/>
      <w:bookmarkEnd w:id="237"/>
      <w:bookmarkEnd w:id="238"/>
      <w:bookmarkEnd w:id="239"/>
      <w:bookmarkEnd w:id="240"/>
    </w:p>
    <w:p w14:paraId="6D88FB86">
      <w:pPr>
        <w:spacing w:line="360" w:lineRule="auto"/>
        <w:jc w:val="center"/>
        <w:rPr>
          <w:rFonts w:ascii="宋体" w:hAnsi="宋体"/>
          <w:szCs w:val="21"/>
        </w:rPr>
      </w:pPr>
    </w:p>
    <w:p w14:paraId="731B4783">
      <w:pPr>
        <w:spacing w:line="360" w:lineRule="auto"/>
        <w:jc w:val="center"/>
        <w:rPr>
          <w:rFonts w:ascii="宋体" w:hAnsi="宋体"/>
          <w:szCs w:val="21"/>
        </w:rPr>
      </w:pPr>
      <w:r>
        <w:rPr>
          <w:rFonts w:hint="eastAsia" w:ascii="宋体" w:hAnsi="宋体"/>
          <w:szCs w:val="21"/>
        </w:rPr>
        <w:t>图纸等相关资料在垫江县人民政府网（http://www.cqsdj.gov.cn）上下载。</w:t>
      </w:r>
    </w:p>
    <w:p w14:paraId="17C33F86">
      <w:pPr>
        <w:spacing w:line="360" w:lineRule="auto"/>
        <w:rPr>
          <w:rFonts w:ascii="宋体" w:hAnsi="宋体" w:cs="宋体"/>
        </w:rPr>
      </w:pPr>
      <w:r>
        <w:rPr>
          <w:rFonts w:ascii="宋体" w:hAnsi="宋体"/>
          <w:szCs w:val="20"/>
        </w:rPr>
        <w:br w:type="page"/>
      </w:r>
      <w:bookmarkStart w:id="241" w:name="招标文件06章图纸01"/>
      <w:bookmarkEnd w:id="241"/>
    </w:p>
    <w:p w14:paraId="4CF9E241">
      <w:pPr>
        <w:pStyle w:val="3"/>
        <w:spacing w:before="0" w:after="0" w:line="480" w:lineRule="auto"/>
        <w:jc w:val="center"/>
        <w:rPr>
          <w:rFonts w:ascii="宋体" w:hAnsi="宋体"/>
          <w:sz w:val="52"/>
          <w:szCs w:val="52"/>
        </w:rPr>
      </w:pPr>
      <w:bookmarkStart w:id="242" w:name="_Toc16933"/>
      <w:r>
        <w:rPr>
          <w:rFonts w:hint="eastAsia" w:ascii="宋体" w:hAnsi="宋体"/>
          <w:sz w:val="52"/>
          <w:szCs w:val="52"/>
        </w:rPr>
        <w:t>第 三 卷</w:t>
      </w:r>
      <w:bookmarkEnd w:id="242"/>
    </w:p>
    <w:p w14:paraId="320B9A69">
      <w:pPr>
        <w:pStyle w:val="3"/>
        <w:spacing w:before="0" w:after="0" w:line="360" w:lineRule="auto"/>
        <w:jc w:val="center"/>
        <w:rPr>
          <w:sz w:val="48"/>
          <w:szCs w:val="48"/>
        </w:rPr>
      </w:pPr>
      <w:bookmarkStart w:id="243" w:name="_Toc534185826"/>
      <w:bookmarkStart w:id="244" w:name="_Toc30239"/>
      <w:bookmarkStart w:id="245" w:name="_Toc536782072"/>
      <w:bookmarkStart w:id="246" w:name="_Toc536782206"/>
      <w:bookmarkStart w:id="247" w:name="_Toc536773650"/>
      <w:bookmarkStart w:id="248" w:name="_Toc536781805"/>
      <w:bookmarkStart w:id="249" w:name="_Toc536781937"/>
      <w:bookmarkStart w:id="250" w:name="_Toc43278921"/>
      <w:bookmarkStart w:id="251" w:name="_Toc37531145"/>
      <w:bookmarkStart w:id="252" w:name="_Toc536800736"/>
      <w:r>
        <w:rPr>
          <w:rFonts w:hint="eastAsia"/>
          <w:sz w:val="56"/>
          <w:szCs w:val="56"/>
        </w:rPr>
        <w:br w:type="page"/>
      </w:r>
      <w:bookmarkEnd w:id="243"/>
      <w:bookmarkEnd w:id="244"/>
      <w:bookmarkEnd w:id="245"/>
      <w:bookmarkEnd w:id="246"/>
      <w:bookmarkEnd w:id="247"/>
      <w:bookmarkEnd w:id="248"/>
      <w:bookmarkEnd w:id="249"/>
      <w:bookmarkEnd w:id="250"/>
      <w:bookmarkEnd w:id="251"/>
      <w:bookmarkEnd w:id="252"/>
      <w:bookmarkStart w:id="253" w:name="招标文件07章技术标准和要求"/>
      <w:bookmarkEnd w:id="253"/>
      <w:bookmarkStart w:id="254" w:name="_Toc12247"/>
      <w:r>
        <w:rPr>
          <w:rFonts w:hint="eastAsia" w:ascii="宋体" w:hAnsi="宋体" w:cs="宋体"/>
          <w:bCs w:val="0"/>
        </w:rPr>
        <w:t>第七章  技术标准和要求</w:t>
      </w:r>
      <w:bookmarkEnd w:id="254"/>
      <w:bookmarkStart w:id="255" w:name="招标文件07章技术标准和要求01"/>
      <w:bookmarkEnd w:id="255"/>
      <w:bookmarkStart w:id="256" w:name="_Toc287620808"/>
      <w:bookmarkStart w:id="257" w:name="_Toc430530524"/>
    </w:p>
    <w:bookmarkEnd w:id="256"/>
    <w:bookmarkEnd w:id="257"/>
    <w:p w14:paraId="2A9BCFB1">
      <w:pPr>
        <w:spacing w:line="360" w:lineRule="auto"/>
        <w:jc w:val="center"/>
        <w:rPr>
          <w:rFonts w:ascii="宋体" w:hAnsi="宋体" w:cs="宋体"/>
          <w:i/>
        </w:rPr>
      </w:pPr>
    </w:p>
    <w:p w14:paraId="0B7544D6">
      <w:pPr>
        <w:spacing w:line="360" w:lineRule="auto"/>
        <w:jc w:val="center"/>
        <w:rPr>
          <w:rFonts w:ascii="宋体" w:hAnsi="宋体" w:cs="宋体"/>
          <w:i/>
        </w:rPr>
      </w:pPr>
      <w:r>
        <w:rPr>
          <w:rFonts w:hint="eastAsia" w:ascii="宋体" w:hAnsi="宋体" w:cs="宋体"/>
          <w:i/>
        </w:rPr>
        <w:t>[提示：由比选人根据招标项目的实际情况编写。]</w:t>
      </w:r>
    </w:p>
    <w:p w14:paraId="31E156EB">
      <w:pPr>
        <w:pStyle w:val="3"/>
        <w:spacing w:line="360" w:lineRule="auto"/>
        <w:jc w:val="center"/>
        <w:rPr>
          <w:rFonts w:ascii="宋体" w:hAnsi="宋体" w:cs="宋体"/>
          <w:b w:val="0"/>
          <w:sz w:val="48"/>
          <w:szCs w:val="48"/>
        </w:rPr>
      </w:pPr>
      <w:r>
        <w:rPr>
          <w:rFonts w:hint="eastAsia" w:ascii="宋体" w:hAnsi="宋体" w:cs="宋体"/>
          <w:b w:val="0"/>
          <w:sz w:val="48"/>
          <w:szCs w:val="48"/>
        </w:rPr>
        <w:br w:type="page"/>
      </w:r>
      <w:bookmarkStart w:id="258" w:name="_Toc12775"/>
      <w:r>
        <w:rPr>
          <w:rFonts w:hint="eastAsia" w:ascii="宋体" w:hAnsi="宋体" w:cs="宋体"/>
          <w:bCs w:val="0"/>
        </w:rPr>
        <w:t xml:space="preserve">第八章 </w:t>
      </w:r>
      <w:r>
        <w:rPr>
          <w:rFonts w:ascii="宋体" w:hAnsi="宋体" w:cs="宋体"/>
          <w:bCs w:val="0"/>
        </w:rPr>
        <w:t xml:space="preserve"> 工程量清单计量规则</w:t>
      </w:r>
      <w:bookmarkEnd w:id="258"/>
    </w:p>
    <w:p w14:paraId="4056964C">
      <w:pPr>
        <w:spacing w:line="360" w:lineRule="auto"/>
        <w:jc w:val="center"/>
        <w:rPr>
          <w:rFonts w:ascii="宋体" w:hAnsi="宋体"/>
          <w:szCs w:val="21"/>
        </w:rPr>
      </w:pPr>
      <w:bookmarkStart w:id="259" w:name="_Toc534185827"/>
      <w:bookmarkStart w:id="260" w:name="_Toc509218849"/>
      <w:r>
        <w:rPr>
          <w:rFonts w:hint="eastAsia" w:ascii="宋体" w:hAnsi="宋体"/>
          <w:szCs w:val="21"/>
        </w:rPr>
        <w:t>工程量清单计量规则等相关资料在垫江县人民政府网（http://www.cqsdj.gov.cn）上下载。</w:t>
      </w:r>
    </w:p>
    <w:p w14:paraId="4A0283FA">
      <w:pPr>
        <w:pStyle w:val="3"/>
        <w:spacing w:before="0" w:after="0" w:line="480" w:lineRule="auto"/>
        <w:jc w:val="center"/>
        <w:rPr>
          <w:rFonts w:ascii="宋体" w:hAnsi="宋体"/>
          <w:sz w:val="52"/>
          <w:szCs w:val="52"/>
        </w:rPr>
      </w:pPr>
      <w:r>
        <w:rPr>
          <w:rFonts w:hint="eastAsia" w:ascii="宋体" w:hAnsi="宋体"/>
          <w:sz w:val="52"/>
          <w:szCs w:val="52"/>
        </w:rPr>
        <w:br w:type="page"/>
      </w:r>
      <w:bookmarkStart w:id="261" w:name="_Toc24498"/>
      <w:r>
        <w:rPr>
          <w:rFonts w:hint="eastAsia" w:ascii="宋体" w:hAnsi="宋体"/>
          <w:sz w:val="52"/>
          <w:szCs w:val="52"/>
        </w:rPr>
        <w:t>第 四 卷</w:t>
      </w:r>
      <w:bookmarkEnd w:id="259"/>
      <w:bookmarkEnd w:id="260"/>
      <w:bookmarkEnd w:id="261"/>
    </w:p>
    <w:p w14:paraId="39FE38A6">
      <w:pPr>
        <w:pStyle w:val="3"/>
        <w:spacing w:before="0" w:after="0" w:line="360" w:lineRule="auto"/>
        <w:jc w:val="center"/>
        <w:rPr>
          <w:rFonts w:ascii="宋体" w:hAnsi="宋体" w:cs="宋体"/>
          <w:b w:val="0"/>
          <w:sz w:val="48"/>
          <w:szCs w:val="48"/>
        </w:rPr>
      </w:pPr>
      <w:bookmarkStart w:id="262" w:name="招标文件08章投标文件格式"/>
      <w:bookmarkEnd w:id="262"/>
      <w:bookmarkStart w:id="263" w:name="_Toc287620812"/>
      <w:bookmarkStart w:id="264" w:name="_Toc534185829"/>
      <w:bookmarkStart w:id="265" w:name="_Toc430530528"/>
      <w:bookmarkStart w:id="266" w:name="_Toc287607865"/>
      <w:bookmarkStart w:id="267" w:name="_Toc509218852"/>
      <w:r>
        <w:rPr>
          <w:rFonts w:hint="eastAsia" w:ascii="宋体" w:hAnsi="宋体" w:cs="宋体"/>
          <w:b w:val="0"/>
          <w:sz w:val="48"/>
          <w:szCs w:val="48"/>
        </w:rPr>
        <w:br w:type="page"/>
      </w:r>
      <w:bookmarkStart w:id="268" w:name="_Toc14862"/>
      <w:r>
        <w:rPr>
          <w:rFonts w:hint="eastAsia" w:ascii="宋体" w:hAnsi="宋体" w:cs="宋体"/>
          <w:bCs w:val="0"/>
        </w:rPr>
        <w:t>第九章  比选申请文件格式</w:t>
      </w:r>
      <w:bookmarkEnd w:id="263"/>
      <w:bookmarkEnd w:id="264"/>
      <w:bookmarkEnd w:id="265"/>
      <w:bookmarkEnd w:id="266"/>
      <w:bookmarkEnd w:id="267"/>
      <w:bookmarkEnd w:id="268"/>
    </w:p>
    <w:p w14:paraId="45D4A052">
      <w:pPr>
        <w:spacing w:line="360" w:lineRule="auto"/>
        <w:jc w:val="center"/>
        <w:outlineLvl w:val="0"/>
        <w:rPr>
          <w:rFonts w:ascii="宋体" w:hAnsi="宋体"/>
          <w:szCs w:val="20"/>
        </w:rPr>
      </w:pPr>
      <w:r>
        <w:rPr>
          <w:rFonts w:hint="eastAsia" w:ascii="宋体" w:hAnsi="宋体" w:cs="宋体"/>
          <w:szCs w:val="20"/>
        </w:rPr>
        <w:br w:type="page"/>
      </w:r>
      <w:bookmarkStart w:id="269" w:name="_Toc25224"/>
      <w:bookmarkStart w:id="270" w:name="_Toc16566"/>
      <w:r>
        <w:rPr>
          <w:rFonts w:hint="eastAsia" w:ascii="宋体" w:hAnsi="宋体"/>
          <w:b/>
          <w:bCs/>
          <w:sz w:val="36"/>
          <w:szCs w:val="36"/>
        </w:rPr>
        <w:t>目  录</w:t>
      </w:r>
      <w:bookmarkEnd w:id="269"/>
      <w:bookmarkEnd w:id="270"/>
    </w:p>
    <w:p w14:paraId="094DF162">
      <w:pPr>
        <w:spacing w:line="360" w:lineRule="auto"/>
        <w:outlineLvl w:val="0"/>
        <w:rPr>
          <w:rFonts w:ascii="宋体" w:hAnsi="宋体"/>
          <w:b/>
        </w:rPr>
      </w:pPr>
      <w:bookmarkStart w:id="271" w:name="_Toc26804"/>
      <w:bookmarkStart w:id="272" w:name="_Toc27826"/>
      <w:r>
        <w:rPr>
          <w:rFonts w:hint="eastAsia" w:ascii="宋体" w:hAnsi="宋体"/>
          <w:b/>
        </w:rPr>
        <w:t>一</w:t>
      </w:r>
      <w:r>
        <w:rPr>
          <w:rFonts w:ascii="宋体" w:hAnsi="宋体"/>
          <w:b/>
        </w:rPr>
        <w:t>、投标函部分</w:t>
      </w:r>
      <w:bookmarkEnd w:id="271"/>
      <w:bookmarkEnd w:id="272"/>
    </w:p>
    <w:p w14:paraId="5D69389E">
      <w:pPr>
        <w:spacing w:line="360" w:lineRule="auto"/>
        <w:ind w:firstLine="420" w:firstLineChars="200"/>
        <w:rPr>
          <w:rFonts w:ascii="宋体" w:hAnsi="宋体"/>
        </w:rPr>
      </w:pPr>
      <w:r>
        <w:rPr>
          <w:rFonts w:ascii="宋体" w:hAnsi="宋体"/>
        </w:rPr>
        <w:t>（一）投标函</w:t>
      </w:r>
    </w:p>
    <w:p w14:paraId="131B8062">
      <w:pPr>
        <w:spacing w:line="360" w:lineRule="auto"/>
        <w:ind w:firstLine="420" w:firstLineChars="200"/>
        <w:rPr>
          <w:rFonts w:ascii="宋体" w:hAnsi="宋体"/>
        </w:rPr>
      </w:pPr>
      <w:r>
        <w:rPr>
          <w:rFonts w:ascii="宋体" w:hAnsi="宋体"/>
        </w:rPr>
        <w:t>（二）投标函附录</w:t>
      </w:r>
    </w:p>
    <w:p w14:paraId="55FBBBAE">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14:paraId="6160F390">
      <w:pPr>
        <w:spacing w:line="360" w:lineRule="auto"/>
        <w:ind w:firstLine="420" w:firstLineChars="200"/>
        <w:rPr>
          <w:rFonts w:ascii="宋体" w:hAnsi="宋体"/>
        </w:rPr>
      </w:pPr>
      <w:r>
        <w:rPr>
          <w:rFonts w:ascii="宋体" w:hAnsi="宋体"/>
        </w:rPr>
        <w:t>（四）</w:t>
      </w:r>
      <w:r>
        <w:rPr>
          <w:rFonts w:hint="eastAsia" w:ascii="宋体" w:hAnsi="宋体"/>
        </w:rPr>
        <w:t>低价风险担保提交承诺书（如有）</w:t>
      </w:r>
    </w:p>
    <w:p w14:paraId="22DDFF5C">
      <w:pPr>
        <w:spacing w:line="360" w:lineRule="auto"/>
        <w:outlineLvl w:val="0"/>
        <w:rPr>
          <w:rFonts w:ascii="宋体" w:hAnsi="宋体"/>
          <w:b/>
        </w:rPr>
      </w:pPr>
      <w:bookmarkStart w:id="273" w:name="_Toc17989"/>
      <w:bookmarkStart w:id="274" w:name="_Toc1349"/>
      <w:r>
        <w:rPr>
          <w:rFonts w:hint="eastAsia" w:ascii="宋体" w:hAnsi="宋体"/>
          <w:b/>
        </w:rPr>
        <w:t>二</w:t>
      </w:r>
      <w:r>
        <w:rPr>
          <w:rFonts w:ascii="宋体" w:hAnsi="宋体"/>
          <w:b/>
        </w:rPr>
        <w:t>、</w:t>
      </w:r>
      <w:r>
        <w:rPr>
          <w:rFonts w:hint="eastAsia" w:ascii="宋体" w:hAnsi="宋体"/>
          <w:b/>
        </w:rPr>
        <w:t>经济</w:t>
      </w:r>
      <w:r>
        <w:rPr>
          <w:rFonts w:ascii="宋体" w:hAnsi="宋体"/>
          <w:b/>
        </w:rPr>
        <w:t>部分</w:t>
      </w:r>
      <w:bookmarkEnd w:id="273"/>
      <w:bookmarkEnd w:id="274"/>
    </w:p>
    <w:p w14:paraId="1AFF7135">
      <w:pPr>
        <w:spacing w:line="360" w:lineRule="auto"/>
        <w:ind w:firstLine="420" w:firstLineChars="200"/>
        <w:rPr>
          <w:rFonts w:ascii="宋体" w:hAnsi="宋体"/>
        </w:rPr>
      </w:pPr>
      <w:r>
        <w:rPr>
          <w:rFonts w:hint="eastAsia" w:ascii="宋体" w:hAnsi="宋体"/>
        </w:rPr>
        <w:t>已标价工程量清单</w:t>
      </w:r>
    </w:p>
    <w:p w14:paraId="75AFE331">
      <w:pPr>
        <w:spacing w:line="360" w:lineRule="auto"/>
        <w:outlineLvl w:val="0"/>
        <w:rPr>
          <w:rFonts w:ascii="宋体" w:hAnsi="宋体"/>
          <w:b/>
        </w:rPr>
      </w:pPr>
      <w:bookmarkStart w:id="275" w:name="_Toc22694"/>
      <w:bookmarkStart w:id="276" w:name="_Toc21191"/>
      <w:r>
        <w:rPr>
          <w:rFonts w:hint="eastAsia" w:ascii="宋体" w:hAnsi="宋体"/>
          <w:b/>
        </w:rPr>
        <w:t>三</w:t>
      </w:r>
      <w:r>
        <w:rPr>
          <w:rFonts w:ascii="宋体" w:hAnsi="宋体"/>
          <w:b/>
        </w:rPr>
        <w:t>、</w:t>
      </w:r>
      <w:r>
        <w:rPr>
          <w:rFonts w:hint="eastAsia" w:ascii="宋体" w:hAnsi="宋体"/>
          <w:b/>
        </w:rPr>
        <w:t>资格审查部分</w:t>
      </w:r>
      <w:bookmarkEnd w:id="275"/>
      <w:bookmarkEnd w:id="276"/>
    </w:p>
    <w:p w14:paraId="174E5530">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31DDDE92">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比选申请人</w:t>
      </w:r>
      <w:r>
        <w:rPr>
          <w:rFonts w:ascii="宋体" w:hAnsi="宋体"/>
        </w:rPr>
        <w:t>基本情况表</w:t>
      </w:r>
    </w:p>
    <w:p w14:paraId="180B9D69">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14:paraId="63671665">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承诺</w:t>
      </w:r>
    </w:p>
    <w:p w14:paraId="5E0FB816">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）其他资料</w:t>
      </w:r>
    </w:p>
    <w:p w14:paraId="16659C9F">
      <w:pPr>
        <w:pStyle w:val="4"/>
        <w:spacing w:line="360" w:lineRule="auto"/>
        <w:jc w:val="center"/>
        <w:rPr>
          <w:rFonts w:ascii="宋体" w:hAnsi="宋体"/>
          <w:b w:val="0"/>
          <w:bCs w:val="0"/>
          <w:sz w:val="44"/>
          <w:szCs w:val="44"/>
        </w:rPr>
      </w:pPr>
      <w:r>
        <w:rPr>
          <w:rFonts w:hint="eastAsia" w:ascii="宋体" w:hAnsi="宋体"/>
        </w:rPr>
        <w:br w:type="page"/>
      </w:r>
      <w:bookmarkStart w:id="277" w:name="_Toc33106472"/>
      <w:bookmarkStart w:id="278" w:name="_Toc28475"/>
      <w:r>
        <w:rPr>
          <w:rFonts w:hint="eastAsia" w:ascii="宋体" w:hAnsi="宋体"/>
          <w:b w:val="0"/>
          <w:bCs w:val="0"/>
          <w:sz w:val="44"/>
          <w:szCs w:val="44"/>
        </w:rPr>
        <w:t>一、投标函部分</w:t>
      </w:r>
      <w:bookmarkEnd w:id="277"/>
      <w:bookmarkEnd w:id="278"/>
    </w:p>
    <w:p w14:paraId="19E39E4C">
      <w:pPr>
        <w:rPr>
          <w:rFonts w:ascii="宋体" w:hAnsi="宋体"/>
        </w:rPr>
      </w:pPr>
      <w:r>
        <w:rPr>
          <w:rFonts w:hint="eastAsia" w:ascii="宋体" w:hAnsi="宋体"/>
        </w:rPr>
        <w:br w:type="page"/>
      </w:r>
    </w:p>
    <w:p w14:paraId="70732165">
      <w:pPr>
        <w:pStyle w:val="12"/>
        <w:rPr>
          <w:rFonts w:ascii="宋体" w:hAnsi="宋体"/>
        </w:rPr>
      </w:pPr>
    </w:p>
    <w:p w14:paraId="50C2DA61">
      <w:pPr>
        <w:spacing w:line="360" w:lineRule="auto"/>
        <w:jc w:val="center"/>
        <w:outlineLvl w:val="1"/>
        <w:rPr>
          <w:rFonts w:ascii="宋体" w:hAnsi="宋体"/>
          <w:kern w:val="0"/>
          <w:sz w:val="32"/>
          <w:szCs w:val="32"/>
          <w:u w:val="single"/>
        </w:rPr>
      </w:pPr>
      <w:bookmarkStart w:id="279" w:name="_Toc536800771"/>
      <w:bookmarkStart w:id="280" w:name="_Toc509218853"/>
      <w:bookmarkStart w:id="281" w:name="_Toc534185830"/>
      <w:r>
        <w:rPr>
          <w:rFonts w:hint="eastAsia" w:ascii="宋体" w:hAnsi="宋体"/>
          <w:b/>
          <w:sz w:val="32"/>
          <w:szCs w:val="32"/>
        </w:rPr>
        <w:t xml:space="preserve"> </w:t>
      </w:r>
      <w:r>
        <w:rPr>
          <w:rFonts w:hint="eastAsia" w:ascii="宋体" w:hAnsi="宋体"/>
          <w:kern w:val="0"/>
          <w:sz w:val="32"/>
          <w:szCs w:val="32"/>
          <w:u w:val="single"/>
        </w:rPr>
        <w:t xml:space="preserve">                   </w:t>
      </w:r>
      <w:bookmarkStart w:id="282" w:name="_Toc31439"/>
      <w:bookmarkStart w:id="283" w:name="_Toc5504"/>
      <w:r>
        <w:rPr>
          <w:rFonts w:hint="eastAsia" w:ascii="宋体" w:hAnsi="宋体"/>
          <w:kern w:val="0"/>
          <w:sz w:val="32"/>
          <w:szCs w:val="32"/>
          <w:u w:val="single"/>
        </w:rPr>
        <w:t>（项目名称）</w:t>
      </w:r>
      <w:bookmarkEnd w:id="282"/>
      <w:bookmarkEnd w:id="283"/>
    </w:p>
    <w:p w14:paraId="0E75A76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1E0A1E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66B82E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21B8C4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02B67E7">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4DC8AD6D">
      <w:pPr>
        <w:autoSpaceDE w:val="0"/>
        <w:autoSpaceDN w:val="0"/>
        <w:adjustRightInd w:val="0"/>
        <w:snapToGrid w:val="0"/>
        <w:spacing w:line="360" w:lineRule="auto"/>
        <w:jc w:val="left"/>
        <w:rPr>
          <w:rFonts w:ascii="宋体" w:hAnsi="宋体"/>
          <w:kern w:val="0"/>
          <w:sz w:val="16"/>
          <w:szCs w:val="16"/>
        </w:rPr>
      </w:pPr>
    </w:p>
    <w:p w14:paraId="6250862A">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3B04C894">
      <w:pPr>
        <w:autoSpaceDE w:val="0"/>
        <w:autoSpaceDN w:val="0"/>
        <w:adjustRightInd w:val="0"/>
        <w:snapToGrid w:val="0"/>
        <w:spacing w:line="360" w:lineRule="auto"/>
        <w:jc w:val="left"/>
        <w:rPr>
          <w:rFonts w:ascii="宋体" w:hAnsi="宋体"/>
          <w:b/>
          <w:kern w:val="0"/>
          <w:sz w:val="20"/>
          <w:szCs w:val="20"/>
        </w:rPr>
      </w:pPr>
    </w:p>
    <w:p w14:paraId="20D53A6A">
      <w:pPr>
        <w:autoSpaceDE w:val="0"/>
        <w:autoSpaceDN w:val="0"/>
        <w:adjustRightInd w:val="0"/>
        <w:snapToGrid w:val="0"/>
        <w:spacing w:line="360" w:lineRule="auto"/>
        <w:jc w:val="left"/>
        <w:rPr>
          <w:rFonts w:ascii="宋体" w:hAnsi="宋体"/>
          <w:b/>
          <w:kern w:val="0"/>
          <w:sz w:val="20"/>
          <w:szCs w:val="20"/>
        </w:rPr>
      </w:pPr>
    </w:p>
    <w:p w14:paraId="520F3CBB">
      <w:pPr>
        <w:autoSpaceDE w:val="0"/>
        <w:autoSpaceDN w:val="0"/>
        <w:adjustRightInd w:val="0"/>
        <w:snapToGrid w:val="0"/>
        <w:spacing w:line="360" w:lineRule="auto"/>
        <w:jc w:val="left"/>
        <w:rPr>
          <w:rFonts w:ascii="宋体" w:hAnsi="宋体"/>
          <w:b/>
          <w:kern w:val="0"/>
          <w:sz w:val="20"/>
          <w:szCs w:val="20"/>
        </w:rPr>
      </w:pPr>
    </w:p>
    <w:p w14:paraId="11A634B3">
      <w:pPr>
        <w:autoSpaceDE w:val="0"/>
        <w:autoSpaceDN w:val="0"/>
        <w:adjustRightInd w:val="0"/>
        <w:snapToGrid w:val="0"/>
        <w:spacing w:line="360" w:lineRule="auto"/>
        <w:jc w:val="left"/>
        <w:rPr>
          <w:rFonts w:ascii="宋体" w:hAnsi="宋体"/>
          <w:b/>
          <w:kern w:val="0"/>
          <w:sz w:val="20"/>
          <w:szCs w:val="20"/>
        </w:rPr>
      </w:pPr>
    </w:p>
    <w:p w14:paraId="0DB96AE4">
      <w:pPr>
        <w:autoSpaceDE w:val="0"/>
        <w:autoSpaceDN w:val="0"/>
        <w:adjustRightInd w:val="0"/>
        <w:snapToGrid w:val="0"/>
        <w:spacing w:line="360" w:lineRule="auto"/>
        <w:jc w:val="left"/>
        <w:rPr>
          <w:rFonts w:ascii="宋体" w:hAnsi="宋体"/>
          <w:b/>
          <w:kern w:val="0"/>
          <w:sz w:val="20"/>
          <w:szCs w:val="20"/>
        </w:rPr>
      </w:pPr>
    </w:p>
    <w:p w14:paraId="6FBEB426">
      <w:pPr>
        <w:autoSpaceDE w:val="0"/>
        <w:autoSpaceDN w:val="0"/>
        <w:adjustRightInd w:val="0"/>
        <w:snapToGrid w:val="0"/>
        <w:spacing w:line="360" w:lineRule="auto"/>
        <w:jc w:val="left"/>
        <w:rPr>
          <w:rFonts w:ascii="宋体" w:hAnsi="宋体"/>
          <w:b/>
          <w:kern w:val="0"/>
          <w:sz w:val="20"/>
          <w:szCs w:val="20"/>
        </w:rPr>
      </w:pPr>
    </w:p>
    <w:p w14:paraId="530C9342">
      <w:pPr>
        <w:autoSpaceDE w:val="0"/>
        <w:autoSpaceDN w:val="0"/>
        <w:adjustRightInd w:val="0"/>
        <w:snapToGrid w:val="0"/>
        <w:spacing w:line="360" w:lineRule="auto"/>
        <w:jc w:val="left"/>
        <w:rPr>
          <w:rFonts w:ascii="宋体" w:hAnsi="宋体"/>
          <w:b/>
          <w:kern w:val="0"/>
          <w:sz w:val="20"/>
          <w:szCs w:val="20"/>
        </w:rPr>
      </w:pPr>
    </w:p>
    <w:p w14:paraId="08602C37">
      <w:pPr>
        <w:autoSpaceDE w:val="0"/>
        <w:autoSpaceDN w:val="0"/>
        <w:adjustRightInd w:val="0"/>
        <w:snapToGrid w:val="0"/>
        <w:spacing w:line="360" w:lineRule="auto"/>
        <w:jc w:val="left"/>
        <w:rPr>
          <w:rFonts w:ascii="宋体" w:hAnsi="宋体"/>
          <w:b/>
          <w:kern w:val="0"/>
          <w:sz w:val="20"/>
          <w:szCs w:val="20"/>
        </w:rPr>
      </w:pPr>
    </w:p>
    <w:p w14:paraId="3E036F67">
      <w:pPr>
        <w:autoSpaceDE w:val="0"/>
        <w:autoSpaceDN w:val="0"/>
        <w:adjustRightInd w:val="0"/>
        <w:snapToGrid w:val="0"/>
        <w:spacing w:line="360" w:lineRule="auto"/>
        <w:jc w:val="left"/>
        <w:rPr>
          <w:rFonts w:ascii="宋体" w:hAnsi="宋体"/>
          <w:b/>
          <w:kern w:val="0"/>
          <w:sz w:val="20"/>
          <w:szCs w:val="20"/>
        </w:rPr>
      </w:pPr>
    </w:p>
    <w:p w14:paraId="12818950">
      <w:pPr>
        <w:autoSpaceDE w:val="0"/>
        <w:autoSpaceDN w:val="0"/>
        <w:adjustRightInd w:val="0"/>
        <w:snapToGrid w:val="0"/>
        <w:spacing w:line="360" w:lineRule="auto"/>
        <w:jc w:val="left"/>
        <w:rPr>
          <w:rFonts w:ascii="宋体" w:hAnsi="宋体"/>
          <w:b/>
          <w:kern w:val="0"/>
          <w:sz w:val="20"/>
          <w:szCs w:val="20"/>
        </w:rPr>
      </w:pPr>
    </w:p>
    <w:p w14:paraId="587F60BF">
      <w:pPr>
        <w:autoSpaceDE w:val="0"/>
        <w:autoSpaceDN w:val="0"/>
        <w:adjustRightInd w:val="0"/>
        <w:snapToGrid w:val="0"/>
        <w:spacing w:line="360" w:lineRule="auto"/>
        <w:jc w:val="left"/>
        <w:rPr>
          <w:rFonts w:ascii="宋体" w:hAnsi="宋体"/>
          <w:b/>
          <w:kern w:val="0"/>
          <w:sz w:val="20"/>
          <w:szCs w:val="20"/>
        </w:rPr>
      </w:pPr>
    </w:p>
    <w:p w14:paraId="4AB115BD">
      <w:pPr>
        <w:tabs>
          <w:tab w:val="left" w:pos="6080"/>
          <w:tab w:val="left" w:pos="6640"/>
        </w:tabs>
        <w:autoSpaceDE w:val="0"/>
        <w:autoSpaceDN w:val="0"/>
        <w:adjustRightInd w:val="0"/>
        <w:snapToGrid w:val="0"/>
        <w:spacing w:after="156" w:afterLines="50" w:line="360" w:lineRule="auto"/>
        <w:jc w:val="center"/>
        <w:outlineLvl w:val="1"/>
        <w:rPr>
          <w:rFonts w:ascii="宋体" w:hAnsi="宋体"/>
          <w:w w:val="99"/>
          <w:kern w:val="0"/>
          <w:sz w:val="28"/>
          <w:szCs w:val="28"/>
        </w:rPr>
      </w:pPr>
      <w:bookmarkStart w:id="284" w:name="_Toc17520"/>
      <w:bookmarkStart w:id="285" w:name="_Toc20501"/>
      <w:r>
        <w:rPr>
          <w:rFonts w:hint="eastAsia" w:ascii="宋体" w:hAnsi="宋体"/>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bookmarkEnd w:id="284"/>
      <w:bookmarkEnd w:id="285"/>
    </w:p>
    <w:p w14:paraId="20C3E724">
      <w:pPr>
        <w:tabs>
          <w:tab w:val="left" w:pos="6080"/>
          <w:tab w:val="left" w:pos="6640"/>
        </w:tabs>
        <w:autoSpaceDE w:val="0"/>
        <w:autoSpaceDN w:val="0"/>
        <w:adjustRightInd w:val="0"/>
        <w:snapToGrid w:val="0"/>
        <w:spacing w:after="156" w:afterLines="50" w:line="360" w:lineRule="auto"/>
        <w:jc w:val="center"/>
        <w:outlineLvl w:val="1"/>
        <w:rPr>
          <w:rFonts w:ascii="宋体" w:hAnsi="宋体"/>
          <w:kern w:val="0"/>
          <w:sz w:val="28"/>
          <w:szCs w:val="28"/>
        </w:rPr>
      </w:pPr>
      <w:bookmarkStart w:id="286" w:name="_Toc13573"/>
      <w:bookmarkStart w:id="287" w:name="_Toc5594"/>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bookmarkEnd w:id="286"/>
      <w:bookmarkEnd w:id="287"/>
    </w:p>
    <w:p w14:paraId="47C99FD4">
      <w:pPr>
        <w:tabs>
          <w:tab w:val="left" w:pos="2580"/>
          <w:tab w:val="left" w:pos="5940"/>
        </w:tabs>
        <w:autoSpaceDE w:val="0"/>
        <w:autoSpaceDN w:val="0"/>
        <w:adjustRightInd w:val="0"/>
        <w:snapToGrid w:val="0"/>
        <w:spacing w:line="360" w:lineRule="auto"/>
        <w:ind w:firstLine="2940"/>
        <w:jc w:val="left"/>
        <w:rPr>
          <w:rFonts w:ascii="宋体" w:hAnsi="宋体" w:cs="宋体"/>
          <w:bCs/>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rPr>
        <w:br w:type="page"/>
      </w:r>
      <w:bookmarkEnd w:id="279"/>
      <w:bookmarkEnd w:id="280"/>
      <w:bookmarkEnd w:id="281"/>
      <w:bookmarkStart w:id="288" w:name="_Toc277082642"/>
      <w:bookmarkStart w:id="289" w:name="_Toc287620813"/>
      <w:bookmarkStart w:id="290" w:name="_Toc224103494"/>
      <w:bookmarkStart w:id="291" w:name="_Toc430530529"/>
      <w:bookmarkStart w:id="292" w:name="_Toc287607866"/>
    </w:p>
    <w:bookmarkEnd w:id="288"/>
    <w:bookmarkEnd w:id="289"/>
    <w:bookmarkEnd w:id="290"/>
    <w:bookmarkEnd w:id="291"/>
    <w:bookmarkEnd w:id="292"/>
    <w:p w14:paraId="20F10155">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3EE9064D">
      <w:pPr>
        <w:autoSpaceDE w:val="0"/>
        <w:autoSpaceDN w:val="0"/>
        <w:adjustRightInd w:val="0"/>
        <w:snapToGrid w:val="0"/>
        <w:spacing w:line="360" w:lineRule="auto"/>
        <w:jc w:val="left"/>
        <w:rPr>
          <w:rFonts w:ascii="宋体" w:hAnsi="宋体"/>
          <w:kern w:val="0"/>
          <w:sz w:val="24"/>
          <w:szCs w:val="21"/>
        </w:rPr>
      </w:pPr>
    </w:p>
    <w:p w14:paraId="63BFE100">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73B62DEA">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7685E2AC">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0AAC68C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低价风险担保提交承诺书（如有）</w:t>
      </w:r>
    </w:p>
    <w:p w14:paraId="307C4856">
      <w:pPr>
        <w:pStyle w:val="5"/>
        <w:spacing w:before="0" w:after="0" w:line="360" w:lineRule="auto"/>
        <w:jc w:val="center"/>
        <w:rPr>
          <w:rFonts w:ascii="宋体" w:hAnsi="宋体" w:cs="宋体"/>
          <w:b w:val="0"/>
        </w:rPr>
      </w:pPr>
      <w:r>
        <w:rPr>
          <w:rFonts w:hint="eastAsia" w:ascii="宋体" w:hAnsi="宋体" w:cs="宋体"/>
          <w:kern w:val="0"/>
          <w:sz w:val="28"/>
          <w:szCs w:val="28"/>
          <w:u w:val="single"/>
        </w:rPr>
        <w:br w:type="page"/>
      </w:r>
      <w:bookmarkStart w:id="293" w:name="_Toc534185831"/>
      <w:bookmarkStart w:id="294" w:name="_Toc430530530"/>
      <w:bookmarkStart w:id="295" w:name="_Toc10988"/>
      <w:bookmarkStart w:id="296" w:name="_Toc224103495"/>
      <w:bookmarkStart w:id="297" w:name="_Toc23947"/>
      <w:bookmarkStart w:id="298" w:name="_Toc509218854"/>
      <w:bookmarkStart w:id="299" w:name="_Toc277082643"/>
      <w:bookmarkStart w:id="300" w:name="_Toc287620814"/>
      <w:bookmarkStart w:id="301" w:name="_Toc536800772"/>
      <w:bookmarkStart w:id="302" w:name="_Toc287607867"/>
      <w:r>
        <w:rPr>
          <w:rFonts w:hint="eastAsia" w:ascii="宋体" w:hAnsi="宋体" w:cs="宋体"/>
          <w:b w:val="0"/>
          <w:bCs w:val="0"/>
        </w:rPr>
        <w:t>（一）投标函</w:t>
      </w:r>
      <w:bookmarkEnd w:id="293"/>
      <w:bookmarkEnd w:id="294"/>
      <w:bookmarkEnd w:id="295"/>
      <w:bookmarkEnd w:id="296"/>
      <w:bookmarkEnd w:id="297"/>
      <w:bookmarkEnd w:id="298"/>
      <w:bookmarkEnd w:id="299"/>
      <w:bookmarkEnd w:id="300"/>
      <w:bookmarkEnd w:id="301"/>
      <w:bookmarkEnd w:id="302"/>
    </w:p>
    <w:p w14:paraId="245606D9">
      <w:pPr>
        <w:tabs>
          <w:tab w:val="left" w:pos="2640"/>
        </w:tabs>
        <w:autoSpaceDE w:val="0"/>
        <w:autoSpaceDN w:val="0"/>
        <w:adjustRightInd w:val="0"/>
        <w:spacing w:line="380" w:lineRule="exact"/>
        <w:rPr>
          <w:rFonts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u w:val="single"/>
        </w:rPr>
        <w:t>（比选人名称）</w:t>
      </w:r>
      <w:r>
        <w:rPr>
          <w:rFonts w:hint="eastAsia" w:ascii="宋体" w:hAnsi="宋体" w:cs="宋体"/>
          <w:snapToGrid w:val="0"/>
          <w:kern w:val="0"/>
          <w:szCs w:val="21"/>
        </w:rPr>
        <w:t>：</w:t>
      </w:r>
    </w:p>
    <w:p w14:paraId="1800087F">
      <w:pPr>
        <w:spacing w:line="380" w:lineRule="exact"/>
        <w:ind w:firstLine="420" w:firstLineChars="200"/>
        <w:rPr>
          <w:rFonts w:ascii="宋体" w:hAnsi="宋体"/>
          <w:szCs w:val="21"/>
        </w:rPr>
      </w:pPr>
      <w:r>
        <w:rPr>
          <w:rFonts w:hint="eastAsia" w:ascii="宋体" w:hAnsi="宋体" w:cs="宋体"/>
          <w:snapToGrid w:val="0"/>
          <w:kern w:val="0"/>
          <w:szCs w:val="21"/>
        </w:rPr>
        <w:t xml:space="preserve">1. </w:t>
      </w:r>
      <w:r>
        <w:rPr>
          <w:rFonts w:ascii="宋体" w:hAnsi="宋体"/>
          <w:szCs w:val="21"/>
        </w:rPr>
        <w:t>我方已仔细研究了</w:t>
      </w:r>
      <w:r>
        <w:rPr>
          <w:rFonts w:hint="eastAsia" w:ascii="宋体" w:hAnsi="宋体"/>
          <w:szCs w:val="21"/>
          <w:u w:val="single"/>
        </w:rPr>
        <w:t xml:space="preserve">  </w:t>
      </w:r>
      <w:r>
        <w:rPr>
          <w:rFonts w:hint="eastAsia" w:ascii="宋体" w:hAnsi="宋体"/>
          <w:u w:val="single"/>
        </w:rPr>
        <w:t xml:space="preserve">       （</w:t>
      </w:r>
      <w:r>
        <w:rPr>
          <w:rFonts w:ascii="宋体" w:hAnsi="宋体"/>
          <w:u w:val="single"/>
        </w:rPr>
        <w:t>项目名称</w:t>
      </w:r>
      <w:r>
        <w:rPr>
          <w:rFonts w:hint="eastAsia" w:ascii="宋体" w:hAnsi="宋体"/>
          <w:u w:val="single"/>
        </w:rPr>
        <w:t>）</w:t>
      </w:r>
      <w:r>
        <w:rPr>
          <w:rFonts w:hint="eastAsia" w:ascii="宋体" w:hAnsi="宋体"/>
          <w:szCs w:val="21"/>
        </w:rPr>
        <w:t>招标文件</w:t>
      </w:r>
      <w:r>
        <w:rPr>
          <w:rFonts w:ascii="宋体" w:hAnsi="宋体"/>
          <w:szCs w:val="21"/>
        </w:rPr>
        <w:t>的全部内容，</w:t>
      </w:r>
      <w:r>
        <w:rPr>
          <w:rFonts w:ascii="宋体" w:hAnsi="宋体"/>
          <w:snapToGrid w:val="0"/>
          <w:kern w:val="0"/>
          <w:szCs w:val="21"/>
        </w:rPr>
        <w:t>愿意以人民币（大写）</w:t>
      </w:r>
      <w:r>
        <w:rPr>
          <w:rFonts w:hint="eastAsia" w:ascii="宋体" w:hAnsi="宋体"/>
          <w:snapToGrid w:val="0"/>
          <w:kern w:val="0"/>
          <w:szCs w:val="21"/>
          <w:u w:val="single"/>
        </w:rPr>
        <w:t xml:space="preserve">           </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）的投标总报价</w:t>
      </w:r>
      <w:r>
        <w:rPr>
          <w:rFonts w:hint="eastAsia" w:ascii="宋体" w:hAnsi="宋体"/>
          <w:snapToGrid w:val="0"/>
          <w:kern w:val="0"/>
          <w:szCs w:val="21"/>
        </w:rPr>
        <w:t>进行报价</w:t>
      </w:r>
      <w:r>
        <w:rPr>
          <w:rFonts w:ascii="宋体" w:hAnsi="宋体"/>
          <w:szCs w:val="21"/>
        </w:rPr>
        <w:t>，</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rPr>
        <w:t>，项目总工为</w:t>
      </w:r>
      <w:r>
        <w:rPr>
          <w:rFonts w:hint="eastAsia" w:ascii="宋体" w:hAnsi="宋体"/>
          <w:snapToGrid w:val="0"/>
          <w:kern w:val="0"/>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zCs w:val="21"/>
        </w:rPr>
        <w:t>工期：</w:t>
      </w:r>
      <w:r>
        <w:rPr>
          <w:rFonts w:hint="eastAsia" w:ascii="宋体" w:hAnsi="宋体"/>
          <w:szCs w:val="21"/>
          <w:u w:val="single"/>
        </w:rPr>
        <w:t xml:space="preserve">        </w:t>
      </w:r>
      <w:r>
        <w:rPr>
          <w:rFonts w:hint="eastAsia" w:ascii="宋体" w:hAnsi="宋体"/>
          <w:szCs w:val="21"/>
        </w:rPr>
        <w:t>，缺陷责任期：</w:t>
      </w:r>
      <w:r>
        <w:rPr>
          <w:rFonts w:hint="eastAsia" w:ascii="宋体" w:hAnsi="宋体"/>
          <w:szCs w:val="21"/>
          <w:u w:val="single"/>
        </w:rPr>
        <w:t xml:space="preserve">        </w:t>
      </w:r>
      <w:r>
        <w:rPr>
          <w:rFonts w:hint="eastAsia" w:ascii="宋体" w:hAnsi="宋体"/>
          <w:szCs w:val="21"/>
        </w:rPr>
        <w:t>，</w:t>
      </w:r>
      <w:r>
        <w:rPr>
          <w:rFonts w:ascii="宋体" w:hAnsi="宋体"/>
          <w:szCs w:val="21"/>
        </w:rPr>
        <w:t>按合同约定实施和完成承包工程，修补工程中的任何缺陷</w:t>
      </w:r>
      <w:r>
        <w:rPr>
          <w:rFonts w:hint="eastAsia" w:ascii="宋体" w:hAnsi="宋体"/>
          <w:szCs w:val="21"/>
        </w:rPr>
        <w:t>，</w:t>
      </w:r>
      <w:r>
        <w:rPr>
          <w:rFonts w:ascii="宋体" w:hAnsi="宋体"/>
          <w:szCs w:val="21"/>
        </w:rPr>
        <w:t xml:space="preserve"> 工程质量</w:t>
      </w:r>
      <w:r>
        <w:rPr>
          <w:rFonts w:hint="eastAsia" w:ascii="宋体" w:hAnsi="宋体"/>
          <w:szCs w:val="21"/>
        </w:rPr>
        <w:t>：</w:t>
      </w:r>
      <w:r>
        <w:rPr>
          <w:rFonts w:ascii="宋体" w:hAnsi="宋体"/>
          <w:szCs w:val="21"/>
          <w:u w:val="single"/>
        </w:rPr>
        <w:t xml:space="preserve"> </w:t>
      </w:r>
      <w:r>
        <w:rPr>
          <w:rFonts w:hint="eastAsia" w:ascii="宋体" w:hAnsi="宋体"/>
          <w:szCs w:val="21"/>
          <w:u w:val="single"/>
        </w:rPr>
        <w:t>　　　　</w:t>
      </w:r>
      <w:r>
        <w:rPr>
          <w:rFonts w:hint="eastAsia" w:ascii="宋体" w:hAnsi="宋体"/>
          <w:szCs w:val="21"/>
        </w:rPr>
        <w:t>，安全目标：</w:t>
      </w:r>
      <w:r>
        <w:rPr>
          <w:rFonts w:hint="eastAsia" w:ascii="宋体" w:hAnsi="宋体"/>
          <w:szCs w:val="21"/>
          <w:u w:val="single"/>
        </w:rPr>
        <w:t>　　　　　</w:t>
      </w:r>
      <w:r>
        <w:rPr>
          <w:rFonts w:ascii="宋体" w:hAnsi="宋体"/>
          <w:szCs w:val="21"/>
        </w:rPr>
        <w:t>。</w:t>
      </w:r>
    </w:p>
    <w:p w14:paraId="6DA0FD7F">
      <w:pPr>
        <w:autoSpaceDE w:val="0"/>
        <w:autoSpaceDN w:val="0"/>
        <w:adjustRightInd w:val="0"/>
        <w:spacing w:line="380" w:lineRule="exact"/>
        <w:ind w:firstLine="420" w:firstLineChars="200"/>
        <w:rPr>
          <w:rFonts w:ascii="宋体" w:hAnsi="宋体" w:cs="宋体"/>
          <w:snapToGrid w:val="0"/>
          <w:kern w:val="0"/>
          <w:szCs w:val="21"/>
        </w:rPr>
      </w:pPr>
      <w:r>
        <w:rPr>
          <w:rFonts w:hint="eastAsia" w:ascii="宋体" w:hAnsi="宋体" w:cs="宋体"/>
          <w:snapToGrid w:val="0"/>
          <w:kern w:val="0"/>
          <w:szCs w:val="21"/>
        </w:rPr>
        <w:t>2. 我方承诺响应招标文件规定的投标有效期，在投标有效期内不修改、撤销比选申请文件。</w:t>
      </w:r>
    </w:p>
    <w:p w14:paraId="6C3F8B96">
      <w:pPr>
        <w:tabs>
          <w:tab w:val="left" w:pos="2730"/>
          <w:tab w:val="left" w:pos="7980"/>
        </w:tabs>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hint="eastAsia" w:ascii="宋体" w:hAnsi="宋体"/>
          <w:szCs w:val="21"/>
          <w:u w:val="single"/>
        </w:rPr>
        <w:t xml:space="preserve">　　　      </w:t>
      </w:r>
      <w:r>
        <w:rPr>
          <w:rFonts w:ascii="宋体" w:hAnsi="宋体"/>
          <w:snapToGrid w:val="0"/>
          <w:kern w:val="0"/>
          <w:szCs w:val="21"/>
        </w:rPr>
        <w:t>（¥</w:t>
      </w:r>
      <w:r>
        <w:rPr>
          <w:rFonts w:hint="eastAsia" w:ascii="宋体" w:hAnsi="宋体"/>
          <w:szCs w:val="21"/>
          <w:u w:val="single"/>
        </w:rPr>
        <w:t>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w:t>
      </w:r>
      <w:r>
        <w:rPr>
          <w:rFonts w:hint="eastAsia" w:ascii="宋体" w:hAnsi="宋体"/>
          <w:snapToGrid w:val="0"/>
          <w:kern w:val="0"/>
          <w:szCs w:val="21"/>
        </w:rPr>
        <w:t>招标文件</w:t>
      </w:r>
      <w:r>
        <w:rPr>
          <w:rFonts w:ascii="宋体" w:hAnsi="宋体"/>
          <w:snapToGrid w:val="0"/>
          <w:kern w:val="0"/>
          <w:szCs w:val="21"/>
        </w:rPr>
        <w:t>的相关规定，投标保证金的受益人为</w:t>
      </w:r>
      <w:r>
        <w:rPr>
          <w:rFonts w:hint="eastAsia" w:ascii="宋体" w:hAnsi="宋体"/>
          <w:snapToGrid w:val="0"/>
          <w:kern w:val="0"/>
          <w:szCs w:val="21"/>
        </w:rPr>
        <w:t>比选人</w:t>
      </w:r>
      <w:r>
        <w:rPr>
          <w:rFonts w:ascii="宋体" w:hAnsi="宋体"/>
          <w:snapToGrid w:val="0"/>
          <w:kern w:val="0"/>
          <w:szCs w:val="21"/>
        </w:rPr>
        <w:t>。</w:t>
      </w:r>
    </w:p>
    <w:p w14:paraId="2FCD581F">
      <w:pPr>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14:paraId="14089D38">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41C1CE02">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6F6D1468">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招标文件</w:t>
      </w:r>
      <w:r>
        <w:rPr>
          <w:rFonts w:ascii="宋体" w:hAnsi="宋体"/>
          <w:snapToGrid w:val="0"/>
          <w:kern w:val="0"/>
          <w:szCs w:val="21"/>
        </w:rPr>
        <w:t>规定向你方递交履约担保。</w:t>
      </w:r>
    </w:p>
    <w:p w14:paraId="7300FE6B">
      <w:pPr>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2F3C471D">
      <w:pPr>
        <w:autoSpaceDE w:val="0"/>
        <w:autoSpaceDN w:val="0"/>
        <w:adjustRightInd w:val="0"/>
        <w:spacing w:line="3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14:paraId="1A66DB66">
      <w:pPr>
        <w:autoSpaceDE w:val="0"/>
        <w:autoSpaceDN w:val="0"/>
        <w:adjustRightInd w:val="0"/>
        <w:spacing w:line="380" w:lineRule="exact"/>
        <w:ind w:firstLine="420" w:firstLineChars="200"/>
        <w:rPr>
          <w:rFonts w:ascii="宋体" w:hAnsi="宋体"/>
          <w:snapToGrid w:val="0"/>
          <w:kern w:val="0"/>
          <w:szCs w:val="21"/>
          <w:u w:val="single"/>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比选申请文件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“比选申请人人</w:t>
      </w:r>
      <w:r>
        <w:rPr>
          <w:rFonts w:ascii="宋体" w:hAnsi="宋体"/>
          <w:snapToGrid w:val="0"/>
          <w:kern w:val="0"/>
          <w:szCs w:val="21"/>
        </w:rPr>
        <w:t>须知</w:t>
      </w:r>
      <w:r>
        <w:rPr>
          <w:rFonts w:hint="eastAsia" w:ascii="宋体" w:hAnsi="宋体"/>
          <w:snapToGrid w:val="0"/>
          <w:kern w:val="0"/>
          <w:szCs w:val="21"/>
        </w:rPr>
        <w:t>”</w:t>
      </w:r>
      <w:r>
        <w:rPr>
          <w:rFonts w:ascii="宋体" w:hAnsi="宋体"/>
          <w:snapToGrid w:val="0"/>
          <w:kern w:val="0"/>
          <w:szCs w:val="21"/>
        </w:rPr>
        <w:t>第 1.4.3 项规定的任何一种情形。同时我方承诺接受</w:t>
      </w:r>
      <w:r>
        <w:rPr>
          <w:rFonts w:hint="eastAsia" w:ascii="宋体" w:hAnsi="宋体"/>
          <w:snapToGrid w:val="0"/>
          <w:kern w:val="0"/>
          <w:szCs w:val="21"/>
        </w:rPr>
        <w:t>招标文件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516EEA88">
      <w:pPr>
        <w:tabs>
          <w:tab w:val="left" w:pos="5985"/>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112671BE">
      <w:pPr>
        <w:tabs>
          <w:tab w:val="left" w:pos="7140"/>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hint="eastAsia" w:ascii="宋体" w:hAnsi="宋体"/>
          <w:snapToGrid w:val="0"/>
          <w:kern w:val="0"/>
          <w:szCs w:val="21"/>
        </w:rPr>
        <w:t>比选申请人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37B11A13">
      <w:pPr>
        <w:tabs>
          <w:tab w:val="left" w:pos="7140"/>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2A137BE">
      <w:pPr>
        <w:tabs>
          <w:tab w:val="left" w:pos="7035"/>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3D77363">
      <w:pPr>
        <w:tabs>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A2E527C">
      <w:pPr>
        <w:tabs>
          <w:tab w:val="left" w:pos="8300"/>
        </w:tabs>
        <w:autoSpaceDE w:val="0"/>
        <w:autoSpaceDN w:val="0"/>
        <w:adjustRightInd w:val="0"/>
        <w:spacing w:line="380" w:lineRule="exact"/>
        <w:ind w:firstLine="420" w:firstLineChars="200"/>
        <w:jc w:val="left"/>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2161AD5">
      <w:pPr>
        <w:tabs>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CEBDC52">
      <w:pPr>
        <w:tabs>
          <w:tab w:val="left" w:pos="8300"/>
        </w:tabs>
        <w:autoSpaceDE w:val="0"/>
        <w:autoSpaceDN w:val="0"/>
        <w:adjustRightInd w:val="0"/>
        <w:spacing w:line="380" w:lineRule="exact"/>
        <w:ind w:firstLine="420" w:firstLineChars="20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CF16978">
      <w:pPr>
        <w:tabs>
          <w:tab w:val="left" w:pos="8300"/>
        </w:tabs>
        <w:autoSpaceDE w:val="0"/>
        <w:autoSpaceDN w:val="0"/>
        <w:adjustRightInd w:val="0"/>
        <w:spacing w:line="380" w:lineRule="exact"/>
        <w:ind w:firstLine="420" w:firstLineChars="200"/>
        <w:jc w:val="right"/>
        <w:rPr>
          <w:rFonts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1E69CD72">
      <w:pPr>
        <w:pStyle w:val="5"/>
        <w:spacing w:before="0" w:line="360" w:lineRule="auto"/>
        <w:jc w:val="center"/>
        <w:rPr>
          <w:rFonts w:ascii="宋体" w:hAnsi="宋体"/>
          <w:snapToGrid w:val="0"/>
          <w:kern w:val="0"/>
          <w:szCs w:val="21"/>
        </w:rPr>
      </w:pPr>
      <w:r>
        <w:rPr>
          <w:rFonts w:hint="eastAsia" w:ascii="宋体" w:hAnsi="宋体" w:cs="宋体"/>
          <w:snapToGrid w:val="0"/>
        </w:rPr>
        <w:br w:type="page"/>
      </w:r>
      <w:bookmarkStart w:id="303" w:name="_Toc534185832"/>
      <w:bookmarkStart w:id="304" w:name="_Toc509218855"/>
      <w:bookmarkStart w:id="305" w:name="_Toc3352"/>
      <w:bookmarkStart w:id="306" w:name="_Toc9156"/>
      <w:bookmarkStart w:id="307" w:name="_Toc277082645"/>
      <w:bookmarkStart w:id="308" w:name="_Toc287607869"/>
      <w:bookmarkStart w:id="309" w:name="_Toc287620816"/>
      <w:bookmarkStart w:id="310" w:name="_Toc430530532"/>
      <w:bookmarkStart w:id="311" w:name="_Toc224103497"/>
      <w:r>
        <w:rPr>
          <w:rFonts w:hint="eastAsia" w:ascii="宋体" w:hAnsi="宋体" w:cs="宋体"/>
          <w:b w:val="0"/>
          <w:bCs w:val="0"/>
        </w:rPr>
        <w:t>（二）投标函附录</w:t>
      </w:r>
      <w:bookmarkEnd w:id="303"/>
      <w:bookmarkEnd w:id="304"/>
      <w:bookmarkEnd w:id="305"/>
      <w:bookmarkEnd w:id="306"/>
    </w:p>
    <w:tbl>
      <w:tblPr>
        <w:tblStyle w:val="31"/>
        <w:tblW w:w="728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429"/>
        <w:gridCol w:w="3286"/>
        <w:gridCol w:w="850"/>
      </w:tblGrid>
      <w:tr w14:paraId="5A35D9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20" w:type="dxa"/>
          </w:tcPr>
          <w:p w14:paraId="1687941C">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序号</w:t>
            </w:r>
          </w:p>
        </w:tc>
        <w:tc>
          <w:tcPr>
            <w:tcW w:w="2429" w:type="dxa"/>
          </w:tcPr>
          <w:p w14:paraId="5812581E">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条款名称</w:t>
            </w:r>
          </w:p>
        </w:tc>
        <w:tc>
          <w:tcPr>
            <w:tcW w:w="3286" w:type="dxa"/>
            <w:tcBorders>
              <w:left w:val="single" w:color="auto" w:sz="4" w:space="0"/>
            </w:tcBorders>
            <w:vAlign w:val="center"/>
          </w:tcPr>
          <w:p w14:paraId="2B5A7FF9">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约定内容</w:t>
            </w:r>
          </w:p>
        </w:tc>
        <w:tc>
          <w:tcPr>
            <w:tcW w:w="850" w:type="dxa"/>
            <w:vAlign w:val="center"/>
          </w:tcPr>
          <w:p w14:paraId="171A395C">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备注</w:t>
            </w:r>
          </w:p>
        </w:tc>
      </w:tr>
      <w:tr w14:paraId="00743C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720" w:type="dxa"/>
            <w:vAlign w:val="center"/>
          </w:tcPr>
          <w:p w14:paraId="2DCA55F4">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1</w:t>
            </w:r>
          </w:p>
        </w:tc>
        <w:tc>
          <w:tcPr>
            <w:tcW w:w="2429" w:type="dxa"/>
            <w:vAlign w:val="center"/>
          </w:tcPr>
          <w:p w14:paraId="4CD24FCE">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pacing w:val="1"/>
                <w:szCs w:val="22"/>
              </w:rPr>
              <w:t>项目经理</w:t>
            </w:r>
          </w:p>
        </w:tc>
        <w:tc>
          <w:tcPr>
            <w:tcW w:w="3286" w:type="dxa"/>
            <w:tcBorders>
              <w:left w:val="single" w:color="auto" w:sz="4" w:space="0"/>
            </w:tcBorders>
            <w:vAlign w:val="center"/>
          </w:tcPr>
          <w:p w14:paraId="6B3414FE">
            <w:pPr>
              <w:spacing w:line="400" w:lineRule="exact"/>
              <w:ind w:firstLine="105" w:firstLineChars="50"/>
              <w:rPr>
                <w:rFonts w:ascii="宋体" w:hAnsi="宋体" w:cs="ILDESA+ËÎÌå"/>
                <w:szCs w:val="22"/>
              </w:rPr>
            </w:pPr>
            <w:r>
              <w:rPr>
                <w:rFonts w:hint="eastAsia" w:ascii="宋体" w:hAnsi="宋体" w:cs="ILDESA+ËÎÌå"/>
                <w:szCs w:val="22"/>
              </w:rPr>
              <w:t xml:space="preserve"> </w:t>
            </w:r>
          </w:p>
        </w:tc>
        <w:tc>
          <w:tcPr>
            <w:tcW w:w="850" w:type="dxa"/>
            <w:vAlign w:val="center"/>
          </w:tcPr>
          <w:p w14:paraId="2D61AC95">
            <w:pPr>
              <w:tabs>
                <w:tab w:val="left" w:pos="2190"/>
              </w:tabs>
              <w:autoSpaceDE w:val="0"/>
              <w:autoSpaceDN w:val="0"/>
              <w:adjustRightInd w:val="0"/>
              <w:spacing w:line="400" w:lineRule="exact"/>
              <w:jc w:val="center"/>
              <w:rPr>
                <w:rFonts w:ascii="宋体" w:hAnsi="宋体"/>
                <w:snapToGrid w:val="0"/>
                <w:kern w:val="0"/>
                <w:szCs w:val="21"/>
              </w:rPr>
            </w:pPr>
          </w:p>
        </w:tc>
      </w:tr>
      <w:tr w14:paraId="2DA7D0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720" w:type="dxa"/>
            <w:vAlign w:val="center"/>
          </w:tcPr>
          <w:p w14:paraId="418B7276">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2</w:t>
            </w:r>
          </w:p>
        </w:tc>
        <w:tc>
          <w:tcPr>
            <w:tcW w:w="2429" w:type="dxa"/>
            <w:vAlign w:val="center"/>
          </w:tcPr>
          <w:p w14:paraId="275F3F1F">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zCs w:val="22"/>
              </w:rPr>
              <w:t>项目总工</w:t>
            </w:r>
          </w:p>
        </w:tc>
        <w:tc>
          <w:tcPr>
            <w:tcW w:w="3286" w:type="dxa"/>
            <w:tcBorders>
              <w:left w:val="single" w:color="auto" w:sz="4" w:space="0"/>
            </w:tcBorders>
            <w:vAlign w:val="center"/>
          </w:tcPr>
          <w:p w14:paraId="4524A1B3">
            <w:pPr>
              <w:tabs>
                <w:tab w:val="left" w:pos="2051"/>
              </w:tabs>
              <w:autoSpaceDE w:val="0"/>
              <w:autoSpaceDN w:val="0"/>
              <w:adjustRightInd w:val="0"/>
              <w:spacing w:line="400" w:lineRule="exact"/>
              <w:ind w:firstLine="105" w:firstLineChars="50"/>
              <w:rPr>
                <w:rFonts w:ascii="宋体" w:hAnsi="宋体" w:cs="ILDESA+ËÎÌå"/>
                <w:szCs w:val="22"/>
              </w:rPr>
            </w:pPr>
          </w:p>
        </w:tc>
        <w:tc>
          <w:tcPr>
            <w:tcW w:w="850" w:type="dxa"/>
            <w:vAlign w:val="center"/>
          </w:tcPr>
          <w:p w14:paraId="3F6C85E2">
            <w:pPr>
              <w:tabs>
                <w:tab w:val="left" w:pos="1560"/>
              </w:tabs>
              <w:autoSpaceDE w:val="0"/>
              <w:autoSpaceDN w:val="0"/>
              <w:adjustRightInd w:val="0"/>
              <w:spacing w:line="400" w:lineRule="exact"/>
              <w:jc w:val="center"/>
              <w:rPr>
                <w:rFonts w:ascii="宋体" w:hAnsi="宋体"/>
                <w:snapToGrid w:val="0"/>
                <w:kern w:val="0"/>
                <w:szCs w:val="21"/>
              </w:rPr>
            </w:pPr>
          </w:p>
        </w:tc>
      </w:tr>
      <w:tr w14:paraId="3F79DB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720" w:type="dxa"/>
            <w:vAlign w:val="center"/>
          </w:tcPr>
          <w:p w14:paraId="584BC9E4">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3</w:t>
            </w:r>
          </w:p>
        </w:tc>
        <w:tc>
          <w:tcPr>
            <w:tcW w:w="2429" w:type="dxa"/>
            <w:vAlign w:val="center"/>
          </w:tcPr>
          <w:p w14:paraId="3B959394">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zCs w:val="22"/>
              </w:rPr>
              <w:t>工期</w:t>
            </w:r>
          </w:p>
        </w:tc>
        <w:tc>
          <w:tcPr>
            <w:tcW w:w="3286" w:type="dxa"/>
            <w:tcBorders>
              <w:left w:val="single" w:color="auto" w:sz="4" w:space="0"/>
            </w:tcBorders>
            <w:vAlign w:val="center"/>
          </w:tcPr>
          <w:p w14:paraId="5F8472F3">
            <w:pPr>
              <w:tabs>
                <w:tab w:val="left" w:pos="2051"/>
              </w:tabs>
              <w:autoSpaceDE w:val="0"/>
              <w:autoSpaceDN w:val="0"/>
              <w:adjustRightInd w:val="0"/>
              <w:spacing w:line="400" w:lineRule="exact"/>
              <w:ind w:firstLine="105" w:firstLineChars="50"/>
              <w:rPr>
                <w:rFonts w:ascii="宋体" w:hAnsi="宋体" w:cs="ILDESA+ËÎÌå"/>
                <w:szCs w:val="22"/>
                <w:lang w:eastAsia="en-US"/>
              </w:rPr>
            </w:pPr>
          </w:p>
        </w:tc>
        <w:tc>
          <w:tcPr>
            <w:tcW w:w="850" w:type="dxa"/>
            <w:vAlign w:val="center"/>
          </w:tcPr>
          <w:p w14:paraId="2E623816">
            <w:pPr>
              <w:autoSpaceDE w:val="0"/>
              <w:autoSpaceDN w:val="0"/>
              <w:adjustRightInd w:val="0"/>
              <w:spacing w:line="400" w:lineRule="exact"/>
              <w:jc w:val="center"/>
              <w:rPr>
                <w:rFonts w:ascii="宋体" w:hAnsi="宋体"/>
                <w:snapToGrid w:val="0"/>
                <w:kern w:val="0"/>
                <w:szCs w:val="21"/>
              </w:rPr>
            </w:pPr>
          </w:p>
        </w:tc>
      </w:tr>
      <w:tr w14:paraId="48AF17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720" w:type="dxa"/>
            <w:vAlign w:val="center"/>
          </w:tcPr>
          <w:p w14:paraId="27214B30">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4</w:t>
            </w:r>
          </w:p>
        </w:tc>
        <w:tc>
          <w:tcPr>
            <w:tcW w:w="2429" w:type="dxa"/>
            <w:vAlign w:val="center"/>
          </w:tcPr>
          <w:p w14:paraId="0EFE941C">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pacing w:val="1"/>
                <w:szCs w:val="22"/>
              </w:rPr>
              <w:t>缺陷责任期</w:t>
            </w:r>
          </w:p>
        </w:tc>
        <w:tc>
          <w:tcPr>
            <w:tcW w:w="3286" w:type="dxa"/>
            <w:tcBorders>
              <w:left w:val="single" w:color="auto" w:sz="4" w:space="0"/>
            </w:tcBorders>
            <w:vAlign w:val="center"/>
          </w:tcPr>
          <w:p w14:paraId="5ABD96B9">
            <w:pPr>
              <w:tabs>
                <w:tab w:val="left" w:pos="2051"/>
              </w:tabs>
              <w:autoSpaceDE w:val="0"/>
              <w:autoSpaceDN w:val="0"/>
              <w:adjustRightInd w:val="0"/>
              <w:spacing w:line="400" w:lineRule="exact"/>
              <w:ind w:firstLine="105" w:firstLineChars="50"/>
              <w:rPr>
                <w:rFonts w:ascii="宋体" w:hAnsi="宋体" w:cs="ILDESA+ËÎÌå"/>
                <w:szCs w:val="22"/>
                <w:lang w:eastAsia="en-US"/>
              </w:rPr>
            </w:pPr>
          </w:p>
        </w:tc>
        <w:tc>
          <w:tcPr>
            <w:tcW w:w="850" w:type="dxa"/>
            <w:vAlign w:val="center"/>
          </w:tcPr>
          <w:p w14:paraId="68A6DCED">
            <w:pPr>
              <w:autoSpaceDE w:val="0"/>
              <w:autoSpaceDN w:val="0"/>
              <w:adjustRightInd w:val="0"/>
              <w:spacing w:line="400" w:lineRule="exact"/>
              <w:jc w:val="center"/>
              <w:rPr>
                <w:rFonts w:ascii="宋体" w:hAnsi="宋体"/>
                <w:snapToGrid w:val="0"/>
                <w:kern w:val="0"/>
                <w:szCs w:val="21"/>
              </w:rPr>
            </w:pPr>
          </w:p>
        </w:tc>
      </w:tr>
    </w:tbl>
    <w:p w14:paraId="0685263D">
      <w:pPr>
        <w:spacing w:line="360" w:lineRule="auto"/>
        <w:rPr>
          <w:rFonts w:ascii="宋体" w:hAnsi="宋体"/>
          <w:snapToGrid w:val="0"/>
        </w:rPr>
      </w:pPr>
    </w:p>
    <w:p w14:paraId="5A2FD635">
      <w:pPr>
        <w:tabs>
          <w:tab w:val="left" w:pos="7140"/>
          <w:tab w:val="left" w:pos="7560"/>
          <w:tab w:val="left" w:pos="8300"/>
        </w:tabs>
        <w:autoSpaceDE w:val="0"/>
        <w:autoSpaceDN w:val="0"/>
        <w:adjustRightInd w:val="0"/>
        <w:spacing w:line="360" w:lineRule="auto"/>
        <w:ind w:right="210"/>
        <w:jc w:val="right"/>
        <w:rPr>
          <w:rFonts w:ascii="宋体" w:hAnsi="宋体"/>
          <w:snapToGrid w:val="0"/>
          <w:kern w:val="0"/>
          <w:szCs w:val="21"/>
        </w:rPr>
      </w:pPr>
      <w:r>
        <w:rPr>
          <w:rFonts w:hint="eastAsia" w:ascii="宋体" w:hAnsi="宋体"/>
          <w:kern w:val="0"/>
          <w:szCs w:val="21"/>
        </w:rPr>
        <w:t xml:space="preserve">  比选申请</w:t>
      </w:r>
      <w:r>
        <w:rPr>
          <w:rFonts w:ascii="宋体" w:hAnsi="宋体"/>
          <w:snapToGrid w:val="0"/>
          <w:kern w:val="0"/>
          <w:szCs w:val="21"/>
        </w:rPr>
        <w:t>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66A12EA3">
      <w:pPr>
        <w:pStyle w:val="12"/>
        <w:rPr>
          <w:rFonts w:ascii="宋体" w:hAnsi="宋体"/>
          <w:snapToGrid w:val="0"/>
          <w:kern w:val="0"/>
          <w:szCs w:val="21"/>
        </w:rPr>
      </w:pPr>
    </w:p>
    <w:p w14:paraId="63A3108D">
      <w:pPr>
        <w:pStyle w:val="12"/>
        <w:jc w:val="center"/>
        <w:rPr>
          <w:rFonts w:ascii="宋体" w:hAnsi="宋体"/>
        </w:rPr>
      </w:pPr>
      <w:r>
        <w:rPr>
          <w:rFonts w:hint="eastAsia" w:ascii="宋体" w:hAnsi="宋体"/>
          <w:snapToGrid w:val="0"/>
          <w:kern w:val="0"/>
          <w:szCs w:val="21"/>
        </w:rPr>
        <w:t xml:space="preserve">                            </w:t>
      </w: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rPr>
        <w:br w:type="page"/>
      </w:r>
    </w:p>
    <w:p w14:paraId="3844ECBD">
      <w:pPr>
        <w:pStyle w:val="5"/>
        <w:spacing w:before="0" w:line="360" w:lineRule="auto"/>
        <w:jc w:val="center"/>
        <w:rPr>
          <w:rFonts w:ascii="宋体" w:hAnsi="宋体" w:cs="宋体"/>
          <w:b w:val="0"/>
          <w:bCs w:val="0"/>
        </w:rPr>
      </w:pPr>
      <w:bookmarkStart w:id="312" w:name="_Toc3973"/>
      <w:bookmarkStart w:id="313" w:name="_Toc31552"/>
      <w:r>
        <w:rPr>
          <w:rFonts w:ascii="宋体" w:hAnsi="宋体" w:cs="宋体"/>
          <w:b w:val="0"/>
          <w:bCs w:val="0"/>
        </w:rPr>
        <w:t>（</w:t>
      </w:r>
      <w:r>
        <w:rPr>
          <w:rFonts w:hint="eastAsia" w:ascii="宋体" w:hAnsi="宋体" w:cs="宋体"/>
          <w:b w:val="0"/>
          <w:bCs w:val="0"/>
        </w:rPr>
        <w:t>三</w:t>
      </w:r>
      <w:r>
        <w:rPr>
          <w:rFonts w:ascii="宋体" w:hAnsi="宋体" w:cs="宋体"/>
          <w:b w:val="0"/>
          <w:bCs w:val="0"/>
        </w:rPr>
        <w:t>）</w:t>
      </w:r>
      <w:r>
        <w:rPr>
          <w:rFonts w:hint="eastAsia" w:ascii="宋体" w:hAnsi="宋体" w:cs="宋体"/>
          <w:b w:val="0"/>
          <w:bCs w:val="0"/>
        </w:rPr>
        <w:t>法定代表人身份证明或附有法定代表人身份证明的授权委托书</w:t>
      </w:r>
      <w:bookmarkEnd w:id="307"/>
      <w:bookmarkEnd w:id="308"/>
      <w:bookmarkEnd w:id="309"/>
      <w:bookmarkEnd w:id="310"/>
      <w:bookmarkEnd w:id="311"/>
      <w:bookmarkEnd w:id="312"/>
      <w:bookmarkEnd w:id="313"/>
    </w:p>
    <w:p w14:paraId="08C24A2B">
      <w:pPr>
        <w:spacing w:line="480" w:lineRule="auto"/>
        <w:jc w:val="center"/>
        <w:outlineLvl w:val="1"/>
        <w:rPr>
          <w:rFonts w:ascii="宋体" w:hAnsi="宋体"/>
          <w:sz w:val="28"/>
        </w:rPr>
      </w:pPr>
      <w:bookmarkStart w:id="314" w:name="_Toc4557"/>
      <w:bookmarkStart w:id="315" w:name="_Toc3607"/>
      <w:r>
        <w:rPr>
          <w:rFonts w:hint="eastAsia" w:ascii="宋体" w:hAnsi="宋体"/>
          <w:sz w:val="28"/>
        </w:rPr>
        <w:t>法定代表人身份证明</w:t>
      </w:r>
      <w:bookmarkEnd w:id="314"/>
      <w:bookmarkEnd w:id="315"/>
    </w:p>
    <w:p w14:paraId="6FC924A3">
      <w:pPr>
        <w:spacing w:line="480" w:lineRule="auto"/>
        <w:jc w:val="center"/>
        <w:rPr>
          <w:rFonts w:ascii="宋体" w:hAnsi="宋体"/>
        </w:rPr>
      </w:pPr>
    </w:p>
    <w:p w14:paraId="1A4AF7FF">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比选申请人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4642ED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22DE1A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9BB8D3E">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F19D70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ADA60E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38987638">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比选申请人</w:t>
      </w:r>
      <w:r>
        <w:rPr>
          <w:rFonts w:ascii="宋体" w:hAnsi="宋体"/>
          <w:kern w:val="0"/>
          <w:szCs w:val="21"/>
          <w:u w:val="single"/>
        </w:rPr>
        <w:t>名称）</w:t>
      </w:r>
      <w:r>
        <w:rPr>
          <w:rFonts w:ascii="宋体" w:hAnsi="宋体"/>
          <w:kern w:val="0"/>
          <w:szCs w:val="21"/>
        </w:rPr>
        <w:t>的法定代表人。</w:t>
      </w:r>
    </w:p>
    <w:p w14:paraId="7675E7C6">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3B369440">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附：法定代表人身份证扫描件（双面）</w:t>
      </w:r>
    </w:p>
    <w:p w14:paraId="74906584">
      <w:pPr>
        <w:autoSpaceDE w:val="0"/>
        <w:autoSpaceDN w:val="0"/>
        <w:adjustRightInd w:val="0"/>
        <w:snapToGrid w:val="0"/>
        <w:spacing w:line="360" w:lineRule="auto"/>
        <w:jc w:val="left"/>
        <w:rPr>
          <w:rFonts w:ascii="宋体" w:hAnsi="宋体"/>
          <w:szCs w:val="21"/>
        </w:rPr>
      </w:pPr>
    </w:p>
    <w:p w14:paraId="4DEC0412">
      <w:pPr>
        <w:pStyle w:val="12"/>
        <w:spacing w:after="0" w:line="360" w:lineRule="auto"/>
        <w:rPr>
          <w:rFonts w:ascii="宋体" w:hAnsi="宋体"/>
          <w:szCs w:val="21"/>
        </w:rPr>
      </w:pPr>
    </w:p>
    <w:p w14:paraId="56B5142F">
      <w:pPr>
        <w:pStyle w:val="12"/>
        <w:spacing w:after="0" w:line="360" w:lineRule="auto"/>
        <w:rPr>
          <w:rFonts w:ascii="宋体" w:hAnsi="宋体"/>
          <w:szCs w:val="21"/>
        </w:rPr>
      </w:pPr>
    </w:p>
    <w:p w14:paraId="4C091EC7">
      <w:pPr>
        <w:pStyle w:val="12"/>
        <w:spacing w:after="0" w:line="360" w:lineRule="auto"/>
        <w:rPr>
          <w:rFonts w:ascii="宋体" w:hAnsi="宋体"/>
          <w:szCs w:val="21"/>
        </w:rPr>
      </w:pPr>
    </w:p>
    <w:p w14:paraId="182792FA">
      <w:pPr>
        <w:pStyle w:val="12"/>
        <w:spacing w:after="0" w:line="360" w:lineRule="auto"/>
        <w:rPr>
          <w:rFonts w:ascii="宋体" w:hAnsi="宋体"/>
          <w:szCs w:val="21"/>
        </w:rPr>
      </w:pPr>
    </w:p>
    <w:p w14:paraId="7A839631">
      <w:pPr>
        <w:pStyle w:val="12"/>
        <w:spacing w:after="0" w:line="360" w:lineRule="auto"/>
        <w:rPr>
          <w:rFonts w:ascii="宋体" w:hAnsi="宋体"/>
          <w:szCs w:val="21"/>
        </w:rPr>
      </w:pPr>
    </w:p>
    <w:p w14:paraId="5680091B">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比选申请人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497A14E9">
      <w:pPr>
        <w:autoSpaceDE w:val="0"/>
        <w:autoSpaceDN w:val="0"/>
        <w:adjustRightInd w:val="0"/>
        <w:snapToGrid w:val="0"/>
        <w:spacing w:line="480" w:lineRule="auto"/>
        <w:jc w:val="left"/>
        <w:rPr>
          <w:rFonts w:ascii="宋体" w:hAnsi="宋体"/>
          <w:kern w:val="0"/>
          <w:sz w:val="20"/>
          <w:szCs w:val="20"/>
        </w:rPr>
      </w:pPr>
    </w:p>
    <w:p w14:paraId="586E06E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AEDBB9D">
      <w:pPr>
        <w:pStyle w:val="12"/>
      </w:pPr>
    </w:p>
    <w:p w14:paraId="509BE4B5">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4C9E533A">
      <w:pPr>
        <w:autoSpaceDE w:val="0"/>
        <w:autoSpaceDN w:val="0"/>
        <w:adjustRightInd w:val="0"/>
        <w:snapToGrid w:val="0"/>
        <w:spacing w:line="360" w:lineRule="auto"/>
        <w:jc w:val="left"/>
        <w:rPr>
          <w:rFonts w:ascii="宋体" w:hAnsi="宋体"/>
          <w:kern w:val="0"/>
        </w:rPr>
      </w:pPr>
    </w:p>
    <w:p w14:paraId="1DDEDD66">
      <w:pP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kern w:val="0"/>
          <w:sz w:val="12"/>
          <w:szCs w:val="12"/>
        </w:rPr>
      </w:pPr>
      <w:r>
        <w:rPr>
          <w:rFonts w:ascii="宋体" w:hAnsi="宋体"/>
          <w:b/>
          <w:kern w:val="0"/>
          <w:sz w:val="28"/>
          <w:szCs w:val="28"/>
        </w:rPr>
        <w:br w:type="page"/>
      </w:r>
      <w:bookmarkStart w:id="316" w:name="_Toc25805"/>
      <w:bookmarkStart w:id="317" w:name="_Toc16085"/>
      <w:r>
        <w:rPr>
          <w:rFonts w:ascii="宋体" w:hAnsi="宋体"/>
          <w:snapToGrid w:val="0"/>
          <w:kern w:val="0"/>
          <w:sz w:val="32"/>
          <w:szCs w:val="32"/>
        </w:rPr>
        <w:t>授权委托书</w:t>
      </w:r>
      <w:bookmarkEnd w:id="316"/>
      <w:bookmarkEnd w:id="317"/>
    </w:p>
    <w:p w14:paraId="44022C4D">
      <w:pPr>
        <w:autoSpaceDE w:val="0"/>
        <w:autoSpaceDN w:val="0"/>
        <w:adjustRightInd w:val="0"/>
        <w:snapToGrid w:val="0"/>
        <w:spacing w:line="360" w:lineRule="auto"/>
        <w:jc w:val="left"/>
        <w:rPr>
          <w:rFonts w:ascii="宋体" w:hAnsi="宋体"/>
          <w:kern w:val="0"/>
          <w:sz w:val="20"/>
          <w:szCs w:val="20"/>
        </w:rPr>
      </w:pPr>
    </w:p>
    <w:p w14:paraId="598801F4">
      <w:pPr>
        <w:autoSpaceDE w:val="0"/>
        <w:autoSpaceDN w:val="0"/>
        <w:adjustRightInd w:val="0"/>
        <w:snapToGrid w:val="0"/>
        <w:spacing w:line="360" w:lineRule="auto"/>
        <w:jc w:val="left"/>
        <w:rPr>
          <w:rFonts w:ascii="宋体" w:hAnsi="宋体"/>
          <w:kern w:val="0"/>
          <w:sz w:val="20"/>
          <w:szCs w:val="20"/>
        </w:rPr>
      </w:pPr>
    </w:p>
    <w:p w14:paraId="3808E04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比选申请人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比选申请文件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7585FD7F">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40378631">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 w:val="20"/>
          <w:szCs w:val="20"/>
        </w:rPr>
      </w:pPr>
      <w:r>
        <w:rPr>
          <w:rFonts w:ascii="宋体" w:hAnsi="宋体"/>
          <w:kern w:val="0"/>
          <w:szCs w:val="21"/>
        </w:rPr>
        <w:t>代理人无转委托权。</w:t>
      </w:r>
    </w:p>
    <w:p w14:paraId="4752B068">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ECF03E4">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441AF7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5C69127">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5CDCFE0E">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61AA9CDF">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528BAD33">
      <w:pPr>
        <w:tabs>
          <w:tab w:val="left" w:pos="6825"/>
        </w:tabs>
        <w:autoSpaceDE w:val="0"/>
        <w:autoSpaceDN w:val="0"/>
        <w:adjustRightInd w:val="0"/>
        <w:snapToGrid w:val="0"/>
        <w:spacing w:line="480" w:lineRule="auto"/>
        <w:ind w:firstLine="420" w:firstLineChars="200"/>
        <w:jc w:val="left"/>
        <w:rPr>
          <w:rFonts w:ascii="宋体" w:hAnsi="宋体"/>
          <w:kern w:val="0"/>
          <w:sz w:val="20"/>
          <w:szCs w:val="20"/>
          <w:u w:val="single"/>
        </w:rPr>
      </w:pPr>
      <w:r>
        <w:rPr>
          <w:rFonts w:hint="eastAsia" w:ascii="宋体" w:hAnsi="宋体"/>
          <w:kern w:val="0"/>
          <w:szCs w:val="21"/>
        </w:rPr>
        <w:t xml:space="preserve">委托代理人电话（手机）：                                                </w:t>
      </w:r>
    </w:p>
    <w:p w14:paraId="6B55B6E8">
      <w:pPr>
        <w:autoSpaceDE w:val="0"/>
        <w:autoSpaceDN w:val="0"/>
        <w:adjustRightInd w:val="0"/>
        <w:snapToGrid w:val="0"/>
        <w:spacing w:line="480" w:lineRule="auto"/>
        <w:jc w:val="left"/>
        <w:rPr>
          <w:rFonts w:ascii="宋体" w:hAnsi="宋体"/>
          <w:kern w:val="0"/>
          <w:sz w:val="20"/>
          <w:szCs w:val="20"/>
        </w:rPr>
      </w:pPr>
    </w:p>
    <w:p w14:paraId="145C29CD">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附：法定代表人和委托代理人身份证扫描件（双面）</w:t>
      </w:r>
    </w:p>
    <w:p w14:paraId="7460440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318986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F529D6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59BA35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4C53C0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0C4704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2705EC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FDB158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rPr>
      </w:pPr>
      <w:r>
        <w:rPr>
          <w:rFonts w:hint="eastAsia" w:ascii="宋体" w:hAnsi="宋体"/>
          <w:kern w:val="0"/>
          <w:szCs w:val="21"/>
        </w:rPr>
        <w:t xml:space="preserve"> </w:t>
      </w:r>
    </w:p>
    <w:p w14:paraId="09DFE85D">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B2DA53E">
      <w:pPr>
        <w:tabs>
          <w:tab w:val="left" w:pos="5760"/>
        </w:tabs>
        <w:autoSpaceDE w:val="0"/>
        <w:autoSpaceDN w:val="0"/>
        <w:adjustRightInd w:val="0"/>
        <w:spacing w:line="360" w:lineRule="auto"/>
        <w:ind w:firstLine="420" w:firstLineChars="200"/>
        <w:rPr>
          <w:rFonts w:ascii="宋体" w:hAnsi="宋体"/>
        </w:rPr>
      </w:pPr>
      <w:r>
        <w:rPr>
          <w:rFonts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60B4422A">
      <w:pPr>
        <w:tabs>
          <w:tab w:val="left" w:pos="5760"/>
        </w:tabs>
        <w:autoSpaceDE w:val="0"/>
        <w:autoSpaceDN w:val="0"/>
        <w:adjustRightInd w:val="0"/>
        <w:rPr>
          <w:rFonts w:ascii="宋体" w:hAnsi="宋体"/>
          <w:kern w:val="0"/>
          <w:szCs w:val="21"/>
        </w:rPr>
      </w:pPr>
    </w:p>
    <w:p w14:paraId="175C6553">
      <w:pPr>
        <w:pStyle w:val="5"/>
        <w:spacing w:before="0" w:line="360" w:lineRule="auto"/>
        <w:jc w:val="center"/>
        <w:rPr>
          <w:rFonts w:ascii="宋体" w:hAnsi="宋体" w:cs="宋体"/>
          <w:b w:val="0"/>
          <w:bCs w:val="0"/>
        </w:rPr>
      </w:pPr>
      <w:r>
        <w:rPr>
          <w:rFonts w:ascii="宋体" w:hAnsi="宋体" w:cs="宋体"/>
          <w:b w:val="0"/>
          <w:bCs w:val="0"/>
        </w:rPr>
        <w:br w:type="page"/>
      </w:r>
      <w:bookmarkStart w:id="318" w:name="_Toc15044"/>
      <w:bookmarkStart w:id="319" w:name="_Toc4459"/>
      <w:r>
        <w:rPr>
          <w:rFonts w:ascii="宋体" w:hAnsi="宋体" w:cs="宋体"/>
          <w:b w:val="0"/>
          <w:bCs w:val="0"/>
        </w:rPr>
        <w:t>（</w:t>
      </w:r>
      <w:r>
        <w:rPr>
          <w:rFonts w:hint="eastAsia" w:ascii="宋体" w:hAnsi="宋体" w:cs="宋体"/>
          <w:b w:val="0"/>
          <w:bCs w:val="0"/>
        </w:rPr>
        <w:t>四</w:t>
      </w:r>
      <w:r>
        <w:rPr>
          <w:rFonts w:ascii="宋体" w:hAnsi="宋体" w:cs="宋体"/>
          <w:b w:val="0"/>
          <w:bCs w:val="0"/>
        </w:rPr>
        <w:t>）</w:t>
      </w:r>
      <w:r>
        <w:rPr>
          <w:rFonts w:hint="eastAsia" w:ascii="宋体" w:hAnsi="宋体" w:cs="宋体"/>
          <w:b w:val="0"/>
          <w:bCs w:val="0"/>
        </w:rPr>
        <w:t>低价风险担保提交承诺书</w:t>
      </w:r>
      <w:bookmarkEnd w:id="318"/>
      <w:bookmarkEnd w:id="319"/>
    </w:p>
    <w:p w14:paraId="283117B6">
      <w:pPr>
        <w:autoSpaceDE w:val="0"/>
        <w:autoSpaceDN w:val="0"/>
        <w:adjustRightInd w:val="0"/>
        <w:snapToGrid w:val="0"/>
        <w:spacing w:line="360" w:lineRule="auto"/>
        <w:jc w:val="center"/>
        <w:outlineLvl w:val="1"/>
        <w:rPr>
          <w:rFonts w:ascii="宋体" w:hAnsi="宋体"/>
          <w:snapToGrid w:val="0"/>
          <w:kern w:val="0"/>
          <w:sz w:val="28"/>
          <w:szCs w:val="28"/>
        </w:rPr>
      </w:pPr>
      <w:bookmarkStart w:id="320" w:name="_Toc21287"/>
      <w:bookmarkStart w:id="321" w:name="_Toc27812"/>
      <w:r>
        <w:rPr>
          <w:rFonts w:hint="eastAsia" w:ascii="宋体" w:hAnsi="宋体"/>
          <w:snapToGrid w:val="0"/>
          <w:kern w:val="0"/>
          <w:sz w:val="28"/>
          <w:szCs w:val="28"/>
        </w:rPr>
        <w:t>（投标报价低于招标项目最高限价的85%时采用）</w:t>
      </w:r>
      <w:bookmarkEnd w:id="320"/>
      <w:bookmarkEnd w:id="321"/>
    </w:p>
    <w:p w14:paraId="54686F12">
      <w:pPr>
        <w:autoSpaceDE w:val="0"/>
        <w:autoSpaceDN w:val="0"/>
        <w:adjustRightInd w:val="0"/>
        <w:snapToGrid w:val="0"/>
        <w:spacing w:line="360" w:lineRule="auto"/>
        <w:jc w:val="center"/>
        <w:rPr>
          <w:rFonts w:ascii="宋体" w:hAnsi="宋体"/>
          <w:snapToGrid w:val="0"/>
          <w:kern w:val="0"/>
          <w:sz w:val="32"/>
          <w:szCs w:val="32"/>
        </w:rPr>
      </w:pPr>
    </w:p>
    <w:p w14:paraId="76C9F367">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14:paraId="5101DE2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（比选申请人名称）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的投标。我公司投标报价低于最高限价85</w:t>
      </w:r>
      <w:r>
        <w:rPr>
          <w:rFonts w:ascii="宋体" w:hAnsi="宋体" w:cs="宋体"/>
          <w:snapToGrid w:val="0"/>
          <w:kern w:val="0"/>
          <w:szCs w:val="21"/>
        </w:rPr>
        <w:t>%</w:t>
      </w:r>
      <w:r>
        <w:rPr>
          <w:rFonts w:hint="eastAsia" w:ascii="宋体" w:hAnsi="宋体" w:cs="宋体"/>
          <w:snapToGrid w:val="0"/>
          <w:kern w:val="0"/>
          <w:szCs w:val="21"/>
        </w:rPr>
        <w:t>，若获得中标资格，我公司承诺按照比选文件的规定递交低价风险担保。同时，我公司已落实低价风险担保的提交方案，承诺如采用保函形式提交低价风险担保，保函的格式和内容符合比选文件的要求。否则，我公司愿承担比选文件中约定的，因未按规定递交低价风险担保的相应责任。</w:t>
      </w:r>
    </w:p>
    <w:p w14:paraId="63124DE2">
      <w:pPr>
        <w:autoSpaceDE w:val="0"/>
        <w:autoSpaceDN w:val="0"/>
        <w:adjustRightInd w:val="0"/>
        <w:snapToGrid w:val="0"/>
        <w:spacing w:line="360" w:lineRule="auto"/>
        <w:ind w:firstLine="420" w:firstLineChars="200"/>
        <w:rPr>
          <w:rFonts w:ascii="宋体" w:hAnsi="宋体" w:cs="宋体"/>
          <w:snapToGrid w:val="0"/>
          <w:kern w:val="0"/>
          <w:szCs w:val="21"/>
        </w:rPr>
      </w:pPr>
    </w:p>
    <w:p w14:paraId="4A047492">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特此承诺。</w:t>
      </w:r>
    </w:p>
    <w:p w14:paraId="56575142">
      <w:pPr>
        <w:autoSpaceDE w:val="0"/>
        <w:autoSpaceDN w:val="0"/>
        <w:adjustRightInd w:val="0"/>
        <w:snapToGrid w:val="0"/>
        <w:spacing w:line="360" w:lineRule="auto"/>
        <w:rPr>
          <w:rFonts w:ascii="宋体" w:hAnsi="宋体" w:cs="宋体"/>
          <w:snapToGrid w:val="0"/>
          <w:kern w:val="0"/>
          <w:sz w:val="32"/>
          <w:szCs w:val="32"/>
        </w:rPr>
      </w:pPr>
    </w:p>
    <w:p w14:paraId="5A957AE2">
      <w:pPr>
        <w:autoSpaceDE w:val="0"/>
        <w:autoSpaceDN w:val="0"/>
        <w:adjustRightInd w:val="0"/>
        <w:snapToGrid w:val="0"/>
        <w:spacing w:line="360" w:lineRule="auto"/>
        <w:rPr>
          <w:rFonts w:ascii="宋体" w:hAnsi="宋体" w:cs="宋体"/>
          <w:snapToGrid w:val="0"/>
          <w:kern w:val="0"/>
          <w:sz w:val="32"/>
          <w:szCs w:val="32"/>
        </w:rPr>
      </w:pPr>
    </w:p>
    <w:p w14:paraId="5DCD1CF7">
      <w:pPr>
        <w:autoSpaceDE w:val="0"/>
        <w:autoSpaceDN w:val="0"/>
        <w:adjustRightInd w:val="0"/>
        <w:snapToGrid w:val="0"/>
        <w:spacing w:line="360" w:lineRule="auto"/>
        <w:rPr>
          <w:rFonts w:ascii="宋体" w:hAnsi="宋体" w:cs="宋体"/>
          <w:snapToGrid w:val="0"/>
          <w:kern w:val="0"/>
          <w:sz w:val="32"/>
          <w:szCs w:val="32"/>
        </w:rPr>
      </w:pPr>
    </w:p>
    <w:p w14:paraId="35106F37">
      <w:pPr>
        <w:autoSpaceDE w:val="0"/>
        <w:autoSpaceDN w:val="0"/>
        <w:adjustRightInd w:val="0"/>
        <w:snapToGrid w:val="0"/>
        <w:spacing w:line="360" w:lineRule="auto"/>
        <w:rPr>
          <w:rFonts w:ascii="宋体" w:hAnsi="宋体" w:cs="宋体"/>
          <w:snapToGrid w:val="0"/>
          <w:kern w:val="0"/>
          <w:sz w:val="32"/>
          <w:szCs w:val="32"/>
        </w:rPr>
      </w:pPr>
    </w:p>
    <w:p w14:paraId="40E0234F">
      <w:pPr>
        <w:autoSpaceDE w:val="0"/>
        <w:autoSpaceDN w:val="0"/>
        <w:adjustRightInd w:val="0"/>
        <w:snapToGrid w:val="0"/>
        <w:spacing w:line="360" w:lineRule="auto"/>
        <w:rPr>
          <w:rFonts w:ascii="宋体" w:hAnsi="宋体" w:cs="宋体"/>
          <w:snapToGrid w:val="0"/>
          <w:kern w:val="0"/>
          <w:sz w:val="32"/>
          <w:szCs w:val="32"/>
        </w:rPr>
      </w:pPr>
    </w:p>
    <w:p w14:paraId="40B9BA01">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1B15D0B">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BEB244B">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14:paraId="71C8DA59">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4DABAD19">
      <w:pPr>
        <w:spacing w:line="360" w:lineRule="auto"/>
        <w:ind w:firstLine="640" w:firstLineChars="200"/>
        <w:jc w:val="center"/>
        <w:rPr>
          <w:rFonts w:ascii="宋体" w:hAnsi="宋体"/>
          <w:snapToGrid w:val="0"/>
          <w:kern w:val="0"/>
          <w:sz w:val="32"/>
          <w:szCs w:val="32"/>
        </w:rPr>
      </w:pPr>
    </w:p>
    <w:p w14:paraId="287F5DBA">
      <w:pPr>
        <w:spacing w:line="360" w:lineRule="auto"/>
        <w:ind w:firstLine="640" w:firstLineChars="200"/>
        <w:jc w:val="center"/>
        <w:rPr>
          <w:rFonts w:ascii="宋体" w:hAnsi="宋体"/>
          <w:snapToGrid w:val="0"/>
          <w:kern w:val="0"/>
          <w:sz w:val="32"/>
          <w:szCs w:val="32"/>
        </w:rPr>
      </w:pPr>
    </w:p>
    <w:p w14:paraId="5C5E4220">
      <w:pPr>
        <w:spacing w:line="360" w:lineRule="auto"/>
        <w:ind w:firstLine="640" w:firstLineChars="200"/>
        <w:jc w:val="center"/>
        <w:rPr>
          <w:rFonts w:ascii="宋体" w:hAnsi="宋体"/>
          <w:snapToGrid w:val="0"/>
          <w:kern w:val="0"/>
          <w:sz w:val="32"/>
          <w:szCs w:val="32"/>
        </w:rPr>
      </w:pPr>
    </w:p>
    <w:p w14:paraId="66E0CB79">
      <w:pPr>
        <w:spacing w:line="360" w:lineRule="auto"/>
        <w:ind w:firstLine="640" w:firstLineChars="200"/>
        <w:jc w:val="center"/>
        <w:rPr>
          <w:rFonts w:ascii="宋体" w:hAnsi="宋体"/>
          <w:snapToGrid w:val="0"/>
          <w:kern w:val="0"/>
          <w:sz w:val="32"/>
          <w:szCs w:val="32"/>
        </w:rPr>
      </w:pPr>
    </w:p>
    <w:p w14:paraId="5810FC0D">
      <w:pPr>
        <w:spacing w:line="360" w:lineRule="auto"/>
        <w:ind w:firstLine="640" w:firstLineChars="200"/>
        <w:jc w:val="center"/>
        <w:rPr>
          <w:rFonts w:ascii="宋体" w:hAnsi="宋体"/>
          <w:snapToGrid w:val="0"/>
          <w:kern w:val="0"/>
          <w:sz w:val="32"/>
          <w:szCs w:val="32"/>
        </w:rPr>
      </w:pPr>
    </w:p>
    <w:p w14:paraId="7B769FE9">
      <w:pPr>
        <w:spacing w:line="360" w:lineRule="auto"/>
        <w:ind w:firstLine="640" w:firstLineChars="200"/>
        <w:jc w:val="center"/>
        <w:rPr>
          <w:rFonts w:ascii="宋体" w:hAnsi="宋体"/>
          <w:snapToGrid w:val="0"/>
          <w:kern w:val="0"/>
          <w:sz w:val="32"/>
          <w:szCs w:val="32"/>
        </w:rPr>
      </w:pPr>
    </w:p>
    <w:p w14:paraId="062BC37A">
      <w:pPr>
        <w:pStyle w:val="4"/>
        <w:spacing w:line="360" w:lineRule="auto"/>
        <w:jc w:val="center"/>
        <w:rPr>
          <w:rFonts w:ascii="宋体" w:hAnsi="宋体"/>
          <w:b w:val="0"/>
          <w:bCs w:val="0"/>
          <w:sz w:val="44"/>
          <w:szCs w:val="44"/>
        </w:rPr>
      </w:pPr>
      <w:bookmarkStart w:id="322" w:name="_Toc224103500"/>
      <w:r>
        <w:rPr>
          <w:rFonts w:hint="eastAsia" w:ascii="宋体" w:hAnsi="宋体" w:cs="宋体"/>
        </w:rPr>
        <w:br w:type="page"/>
      </w:r>
      <w:bookmarkEnd w:id="322"/>
      <w:bookmarkStart w:id="323" w:name="_Toc7263"/>
      <w:bookmarkStart w:id="324" w:name="_Toc7609"/>
      <w:r>
        <w:rPr>
          <w:rFonts w:hint="eastAsia" w:ascii="宋体" w:hAnsi="宋体"/>
          <w:b w:val="0"/>
          <w:bCs w:val="0"/>
          <w:sz w:val="44"/>
          <w:szCs w:val="44"/>
        </w:rPr>
        <w:t>二、经济部分</w:t>
      </w:r>
      <w:bookmarkEnd w:id="323"/>
      <w:bookmarkEnd w:id="324"/>
    </w:p>
    <w:p w14:paraId="72D8440B">
      <w:pPr>
        <w:autoSpaceDE w:val="0"/>
        <w:autoSpaceDN w:val="0"/>
        <w:adjustRightInd w:val="0"/>
        <w:snapToGrid w:val="0"/>
        <w:spacing w:line="360" w:lineRule="auto"/>
        <w:jc w:val="center"/>
        <w:rPr>
          <w:rFonts w:ascii="宋体" w:hAnsi="宋体" w:cs="宋体"/>
          <w:sz w:val="32"/>
          <w:szCs w:val="32"/>
        </w:rPr>
      </w:pPr>
    </w:p>
    <w:p w14:paraId="75918D10">
      <w:pPr>
        <w:spacing w:line="360" w:lineRule="auto"/>
        <w:jc w:val="center"/>
        <w:rPr>
          <w:rFonts w:ascii="宋体" w:hAnsi="宋体"/>
          <w:kern w:val="0"/>
          <w:sz w:val="32"/>
          <w:szCs w:val="32"/>
        </w:rPr>
      </w:pPr>
      <w:r>
        <w:rPr>
          <w:rFonts w:ascii="宋体" w:hAnsi="宋体" w:cs="宋体"/>
          <w:sz w:val="32"/>
          <w:szCs w:val="32"/>
        </w:rPr>
        <w:br w:type="page"/>
      </w:r>
      <w:r>
        <w:rPr>
          <w:rFonts w:hint="eastAsia" w:ascii="宋体" w:hAnsi="宋体"/>
          <w:kern w:val="0"/>
          <w:sz w:val="32"/>
          <w:szCs w:val="32"/>
          <w:u w:val="single"/>
        </w:rPr>
        <w:t xml:space="preserve">                   （项目名称）</w:t>
      </w:r>
    </w:p>
    <w:p w14:paraId="153B264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8C091A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976BD1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BB2653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DD924E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677015A6">
      <w:pPr>
        <w:autoSpaceDE w:val="0"/>
        <w:autoSpaceDN w:val="0"/>
        <w:adjustRightInd w:val="0"/>
        <w:snapToGrid w:val="0"/>
        <w:spacing w:line="360" w:lineRule="auto"/>
        <w:jc w:val="left"/>
        <w:rPr>
          <w:rFonts w:ascii="宋体" w:hAnsi="宋体"/>
          <w:kern w:val="0"/>
          <w:sz w:val="16"/>
          <w:szCs w:val="16"/>
        </w:rPr>
      </w:pPr>
    </w:p>
    <w:p w14:paraId="0F194809">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14:paraId="4C6C214F">
      <w:pPr>
        <w:autoSpaceDE w:val="0"/>
        <w:autoSpaceDN w:val="0"/>
        <w:adjustRightInd w:val="0"/>
        <w:snapToGrid w:val="0"/>
        <w:spacing w:line="360" w:lineRule="auto"/>
        <w:jc w:val="left"/>
        <w:rPr>
          <w:rFonts w:ascii="宋体" w:hAnsi="宋体"/>
          <w:b/>
          <w:kern w:val="0"/>
          <w:sz w:val="20"/>
          <w:szCs w:val="20"/>
        </w:rPr>
      </w:pPr>
    </w:p>
    <w:p w14:paraId="5E6421D3">
      <w:pPr>
        <w:autoSpaceDE w:val="0"/>
        <w:autoSpaceDN w:val="0"/>
        <w:adjustRightInd w:val="0"/>
        <w:snapToGrid w:val="0"/>
        <w:spacing w:line="360" w:lineRule="auto"/>
        <w:jc w:val="left"/>
        <w:rPr>
          <w:rFonts w:ascii="宋体" w:hAnsi="宋体"/>
          <w:b/>
          <w:kern w:val="0"/>
          <w:sz w:val="20"/>
          <w:szCs w:val="20"/>
        </w:rPr>
      </w:pPr>
    </w:p>
    <w:p w14:paraId="29DBDBEA">
      <w:pPr>
        <w:autoSpaceDE w:val="0"/>
        <w:autoSpaceDN w:val="0"/>
        <w:adjustRightInd w:val="0"/>
        <w:snapToGrid w:val="0"/>
        <w:spacing w:line="360" w:lineRule="auto"/>
        <w:jc w:val="left"/>
        <w:rPr>
          <w:rFonts w:ascii="宋体" w:hAnsi="宋体"/>
          <w:b/>
          <w:kern w:val="0"/>
          <w:sz w:val="20"/>
          <w:szCs w:val="20"/>
        </w:rPr>
      </w:pPr>
    </w:p>
    <w:p w14:paraId="3E59BAA9">
      <w:pPr>
        <w:autoSpaceDE w:val="0"/>
        <w:autoSpaceDN w:val="0"/>
        <w:adjustRightInd w:val="0"/>
        <w:snapToGrid w:val="0"/>
        <w:spacing w:line="360" w:lineRule="auto"/>
        <w:jc w:val="left"/>
        <w:rPr>
          <w:rFonts w:ascii="宋体" w:hAnsi="宋体"/>
          <w:b/>
          <w:kern w:val="0"/>
          <w:sz w:val="20"/>
          <w:szCs w:val="20"/>
        </w:rPr>
      </w:pPr>
    </w:p>
    <w:p w14:paraId="1398C10F">
      <w:pPr>
        <w:autoSpaceDE w:val="0"/>
        <w:autoSpaceDN w:val="0"/>
        <w:adjustRightInd w:val="0"/>
        <w:snapToGrid w:val="0"/>
        <w:spacing w:line="360" w:lineRule="auto"/>
        <w:jc w:val="left"/>
        <w:rPr>
          <w:rFonts w:ascii="宋体" w:hAnsi="宋体"/>
          <w:b/>
          <w:kern w:val="0"/>
          <w:sz w:val="20"/>
          <w:szCs w:val="20"/>
        </w:rPr>
      </w:pPr>
    </w:p>
    <w:p w14:paraId="3E7CC33E">
      <w:pPr>
        <w:autoSpaceDE w:val="0"/>
        <w:autoSpaceDN w:val="0"/>
        <w:adjustRightInd w:val="0"/>
        <w:snapToGrid w:val="0"/>
        <w:spacing w:line="360" w:lineRule="auto"/>
        <w:jc w:val="left"/>
        <w:rPr>
          <w:rFonts w:ascii="宋体" w:hAnsi="宋体"/>
          <w:b/>
          <w:kern w:val="0"/>
          <w:sz w:val="20"/>
          <w:szCs w:val="20"/>
        </w:rPr>
      </w:pPr>
    </w:p>
    <w:p w14:paraId="5C4CDB93">
      <w:pPr>
        <w:autoSpaceDE w:val="0"/>
        <w:autoSpaceDN w:val="0"/>
        <w:adjustRightInd w:val="0"/>
        <w:snapToGrid w:val="0"/>
        <w:spacing w:line="360" w:lineRule="auto"/>
        <w:jc w:val="left"/>
        <w:rPr>
          <w:rFonts w:ascii="宋体" w:hAnsi="宋体"/>
          <w:b/>
          <w:kern w:val="0"/>
          <w:sz w:val="20"/>
          <w:szCs w:val="20"/>
        </w:rPr>
      </w:pPr>
    </w:p>
    <w:p w14:paraId="032F1E9A">
      <w:pPr>
        <w:autoSpaceDE w:val="0"/>
        <w:autoSpaceDN w:val="0"/>
        <w:adjustRightInd w:val="0"/>
        <w:snapToGrid w:val="0"/>
        <w:spacing w:line="360" w:lineRule="auto"/>
        <w:jc w:val="left"/>
        <w:rPr>
          <w:rFonts w:ascii="宋体" w:hAnsi="宋体"/>
          <w:b/>
          <w:kern w:val="0"/>
          <w:sz w:val="20"/>
          <w:szCs w:val="20"/>
        </w:rPr>
      </w:pPr>
    </w:p>
    <w:p w14:paraId="6448CBAE">
      <w:pPr>
        <w:autoSpaceDE w:val="0"/>
        <w:autoSpaceDN w:val="0"/>
        <w:adjustRightInd w:val="0"/>
        <w:snapToGrid w:val="0"/>
        <w:spacing w:line="360" w:lineRule="auto"/>
        <w:jc w:val="left"/>
        <w:rPr>
          <w:rFonts w:ascii="宋体" w:hAnsi="宋体"/>
          <w:b/>
          <w:kern w:val="0"/>
          <w:sz w:val="20"/>
          <w:szCs w:val="20"/>
        </w:rPr>
      </w:pPr>
    </w:p>
    <w:p w14:paraId="4AD5A511">
      <w:pPr>
        <w:autoSpaceDE w:val="0"/>
        <w:autoSpaceDN w:val="0"/>
        <w:adjustRightInd w:val="0"/>
        <w:snapToGrid w:val="0"/>
        <w:spacing w:line="360" w:lineRule="auto"/>
        <w:jc w:val="left"/>
        <w:rPr>
          <w:rFonts w:ascii="宋体" w:hAnsi="宋体"/>
          <w:b/>
          <w:kern w:val="0"/>
          <w:sz w:val="20"/>
          <w:szCs w:val="20"/>
        </w:rPr>
      </w:pPr>
    </w:p>
    <w:p w14:paraId="0CD4A7F9">
      <w:pPr>
        <w:autoSpaceDE w:val="0"/>
        <w:autoSpaceDN w:val="0"/>
        <w:adjustRightInd w:val="0"/>
        <w:snapToGrid w:val="0"/>
        <w:spacing w:line="360" w:lineRule="auto"/>
        <w:jc w:val="left"/>
        <w:rPr>
          <w:rFonts w:ascii="宋体" w:hAnsi="宋体"/>
          <w:b/>
          <w:kern w:val="0"/>
          <w:sz w:val="20"/>
          <w:szCs w:val="20"/>
        </w:rPr>
      </w:pPr>
    </w:p>
    <w:p w14:paraId="0433C0DC">
      <w:pPr>
        <w:autoSpaceDE w:val="0"/>
        <w:autoSpaceDN w:val="0"/>
        <w:adjustRightInd w:val="0"/>
        <w:snapToGrid w:val="0"/>
        <w:spacing w:line="360" w:lineRule="auto"/>
        <w:jc w:val="left"/>
        <w:rPr>
          <w:rFonts w:ascii="宋体" w:hAnsi="宋体"/>
          <w:b/>
          <w:kern w:val="0"/>
          <w:sz w:val="20"/>
          <w:szCs w:val="20"/>
        </w:rPr>
      </w:pPr>
    </w:p>
    <w:p w14:paraId="1D018827">
      <w:pPr>
        <w:autoSpaceDE w:val="0"/>
        <w:autoSpaceDN w:val="0"/>
        <w:adjustRightInd w:val="0"/>
        <w:snapToGrid w:val="0"/>
        <w:spacing w:line="360" w:lineRule="auto"/>
        <w:jc w:val="left"/>
        <w:rPr>
          <w:rFonts w:ascii="宋体" w:hAnsi="宋体"/>
          <w:b/>
          <w:kern w:val="0"/>
          <w:sz w:val="20"/>
          <w:szCs w:val="20"/>
        </w:rPr>
      </w:pPr>
    </w:p>
    <w:p w14:paraId="1415408D">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DB79336">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3C054CF2">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2DF4D9E1">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677E31A2">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0517B80C">
      <w:pPr>
        <w:autoSpaceDE w:val="0"/>
        <w:autoSpaceDN w:val="0"/>
        <w:adjustRightInd w:val="0"/>
        <w:snapToGrid w:val="0"/>
        <w:spacing w:line="360" w:lineRule="auto"/>
        <w:jc w:val="left"/>
        <w:rPr>
          <w:rFonts w:ascii="宋体" w:hAnsi="宋体"/>
          <w:kern w:val="0"/>
          <w:szCs w:val="21"/>
        </w:rPr>
      </w:pPr>
    </w:p>
    <w:p w14:paraId="6353E9D9">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w:t>
      </w:r>
      <w:r>
        <w:rPr>
          <w:rFonts w:hint="eastAsia" w:ascii="宋体" w:hAnsi="宋体"/>
          <w:i/>
          <w:iCs/>
          <w:kern w:val="0"/>
          <w:szCs w:val="21"/>
        </w:rPr>
        <w:t>比选申请人</w:t>
      </w:r>
      <w:r>
        <w:rPr>
          <w:rFonts w:ascii="宋体" w:hAnsi="宋体"/>
          <w:i/>
          <w:iCs/>
          <w:kern w:val="0"/>
          <w:szCs w:val="21"/>
        </w:rPr>
        <w:t>自行编制]</w:t>
      </w:r>
    </w:p>
    <w:p w14:paraId="08C04A1E">
      <w:pPr>
        <w:pStyle w:val="5"/>
        <w:spacing w:before="0" w:after="0" w:line="240" w:lineRule="auto"/>
        <w:jc w:val="center"/>
        <w:rPr>
          <w:rFonts w:ascii="宋体" w:hAnsi="宋体"/>
          <w:b w:val="0"/>
          <w:bCs w:val="0"/>
        </w:rPr>
      </w:pPr>
      <w:bookmarkStart w:id="325" w:name="_Toc430530535"/>
      <w:bookmarkStart w:id="326" w:name="_Toc224103501"/>
      <w:bookmarkStart w:id="327" w:name="_Toc287620820"/>
      <w:bookmarkStart w:id="328" w:name="_Toc277082648"/>
      <w:bookmarkStart w:id="329" w:name="_Toc287607873"/>
      <w:r>
        <w:rPr>
          <w:rFonts w:ascii="宋体" w:hAnsi="宋体"/>
          <w:b w:val="0"/>
          <w:bCs w:val="0"/>
          <w:kern w:val="0"/>
          <w:sz w:val="21"/>
          <w:szCs w:val="21"/>
        </w:rPr>
        <w:br w:type="page"/>
      </w:r>
      <w:bookmarkStart w:id="330" w:name="_Toc10606"/>
      <w:bookmarkStart w:id="331" w:name="_Toc23601"/>
      <w:bookmarkStart w:id="332" w:name="_Toc20269"/>
      <w:r>
        <w:rPr>
          <w:rFonts w:hint="eastAsia" w:ascii="宋体" w:hAnsi="宋体"/>
          <w:b w:val="0"/>
          <w:bCs w:val="0"/>
        </w:rPr>
        <w:t>（一）已标价工程量清单</w:t>
      </w:r>
      <w:bookmarkEnd w:id="325"/>
      <w:bookmarkEnd w:id="326"/>
      <w:bookmarkEnd w:id="327"/>
      <w:bookmarkEnd w:id="328"/>
      <w:bookmarkEnd w:id="329"/>
      <w:bookmarkEnd w:id="330"/>
      <w:bookmarkEnd w:id="331"/>
      <w:bookmarkEnd w:id="332"/>
    </w:p>
    <w:p w14:paraId="0A25B5DD">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1C2FA4E5">
      <w:pPr>
        <w:pStyle w:val="4"/>
        <w:spacing w:line="360" w:lineRule="auto"/>
        <w:jc w:val="center"/>
        <w:rPr>
          <w:rFonts w:ascii="宋体" w:hAnsi="宋体" w:cs="宋体"/>
          <w:sz w:val="44"/>
          <w:szCs w:val="44"/>
        </w:rPr>
      </w:pPr>
      <w:r>
        <w:rPr>
          <w:rFonts w:ascii="宋体" w:hAnsi="宋体"/>
        </w:rPr>
        <w:br w:type="page"/>
      </w:r>
      <w:bookmarkStart w:id="333" w:name="_Toc287620829"/>
      <w:bookmarkStart w:id="334" w:name="_Toc277082656"/>
      <w:bookmarkStart w:id="335" w:name="_Toc430530545"/>
      <w:bookmarkStart w:id="336" w:name="_Toc287607882"/>
      <w:bookmarkStart w:id="337" w:name="_Toc224103510"/>
      <w:bookmarkStart w:id="338" w:name="_Toc1509"/>
      <w:r>
        <w:rPr>
          <w:rFonts w:hint="eastAsia" w:ascii="宋体" w:hAnsi="宋体"/>
          <w:b w:val="0"/>
          <w:bCs w:val="0"/>
          <w:sz w:val="44"/>
          <w:szCs w:val="44"/>
        </w:rPr>
        <w:t>三、资格审查资料</w:t>
      </w:r>
      <w:bookmarkEnd w:id="333"/>
      <w:bookmarkEnd w:id="334"/>
      <w:bookmarkEnd w:id="335"/>
      <w:bookmarkEnd w:id="336"/>
      <w:bookmarkEnd w:id="337"/>
      <w:bookmarkEnd w:id="338"/>
    </w:p>
    <w:bookmarkEnd w:id="226"/>
    <w:bookmarkEnd w:id="227"/>
    <w:bookmarkEnd w:id="228"/>
    <w:p w14:paraId="5EA12BFE">
      <w:pPr>
        <w:spacing w:line="360" w:lineRule="auto"/>
        <w:jc w:val="center"/>
        <w:rPr>
          <w:rFonts w:ascii="宋体" w:hAnsi="宋体"/>
          <w:kern w:val="0"/>
          <w:sz w:val="32"/>
          <w:szCs w:val="32"/>
          <w:u w:val="single"/>
        </w:rPr>
      </w:pPr>
      <w:bookmarkStart w:id="339" w:name="_Toc27983327"/>
      <w:r>
        <w:rPr>
          <w:rFonts w:ascii="宋体" w:hAnsi="宋体" w:cs="宋体"/>
          <w:sz w:val="32"/>
          <w:szCs w:val="32"/>
        </w:rPr>
        <w:br w:type="page"/>
      </w:r>
      <w:r>
        <w:rPr>
          <w:rFonts w:hint="eastAsia" w:ascii="宋体" w:hAnsi="宋体"/>
          <w:kern w:val="0"/>
          <w:sz w:val="32"/>
          <w:szCs w:val="32"/>
          <w:u w:val="single"/>
        </w:rPr>
        <w:t xml:space="preserve">                   （项目名称）</w:t>
      </w:r>
    </w:p>
    <w:p w14:paraId="5EA3551D">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5AC06E6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A3C8AA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6E8B020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029576CF">
      <w:pPr>
        <w:autoSpaceDE w:val="0"/>
        <w:autoSpaceDN w:val="0"/>
        <w:adjustRightInd w:val="0"/>
        <w:snapToGrid w:val="0"/>
        <w:spacing w:line="360" w:lineRule="auto"/>
        <w:jc w:val="left"/>
        <w:rPr>
          <w:rFonts w:ascii="宋体" w:hAnsi="宋体"/>
          <w:kern w:val="0"/>
          <w:sz w:val="16"/>
          <w:szCs w:val="16"/>
        </w:rPr>
      </w:pPr>
    </w:p>
    <w:p w14:paraId="5327A0D4">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26C1591C">
      <w:pPr>
        <w:autoSpaceDE w:val="0"/>
        <w:autoSpaceDN w:val="0"/>
        <w:adjustRightInd w:val="0"/>
        <w:snapToGrid w:val="0"/>
        <w:spacing w:line="360" w:lineRule="auto"/>
        <w:jc w:val="left"/>
        <w:rPr>
          <w:rFonts w:ascii="宋体" w:hAnsi="宋体" w:cs="MingLiU"/>
          <w:kern w:val="0"/>
          <w:sz w:val="20"/>
          <w:szCs w:val="20"/>
        </w:rPr>
      </w:pPr>
    </w:p>
    <w:p w14:paraId="5F8E10AC">
      <w:pPr>
        <w:adjustRightInd w:val="0"/>
        <w:snapToGrid w:val="0"/>
        <w:spacing w:line="264" w:lineRule="auto"/>
        <w:rPr>
          <w:rFonts w:ascii="宋体" w:hAnsi="宋体"/>
          <w:szCs w:val="21"/>
        </w:rPr>
      </w:pPr>
    </w:p>
    <w:p w14:paraId="586685EC">
      <w:pPr>
        <w:autoSpaceDE w:val="0"/>
        <w:autoSpaceDN w:val="0"/>
        <w:adjustRightInd w:val="0"/>
        <w:snapToGrid w:val="0"/>
        <w:spacing w:line="360" w:lineRule="auto"/>
        <w:jc w:val="left"/>
        <w:rPr>
          <w:rFonts w:ascii="宋体" w:hAnsi="宋体" w:cs="MingLiU"/>
          <w:kern w:val="0"/>
          <w:sz w:val="20"/>
          <w:szCs w:val="20"/>
        </w:rPr>
      </w:pPr>
    </w:p>
    <w:p w14:paraId="674139DD">
      <w:pPr>
        <w:autoSpaceDE w:val="0"/>
        <w:autoSpaceDN w:val="0"/>
        <w:adjustRightInd w:val="0"/>
        <w:snapToGrid w:val="0"/>
        <w:spacing w:line="360" w:lineRule="auto"/>
        <w:jc w:val="left"/>
        <w:rPr>
          <w:rFonts w:ascii="宋体" w:hAnsi="宋体" w:cs="MingLiU"/>
          <w:kern w:val="0"/>
          <w:sz w:val="20"/>
          <w:szCs w:val="20"/>
        </w:rPr>
      </w:pPr>
    </w:p>
    <w:p w14:paraId="62FC425F">
      <w:pPr>
        <w:autoSpaceDE w:val="0"/>
        <w:autoSpaceDN w:val="0"/>
        <w:adjustRightInd w:val="0"/>
        <w:snapToGrid w:val="0"/>
        <w:spacing w:line="360" w:lineRule="auto"/>
        <w:jc w:val="left"/>
        <w:rPr>
          <w:rFonts w:ascii="宋体" w:hAnsi="宋体" w:cs="MingLiU"/>
          <w:kern w:val="0"/>
          <w:sz w:val="20"/>
          <w:szCs w:val="20"/>
        </w:rPr>
      </w:pPr>
    </w:p>
    <w:p w14:paraId="54194E3E">
      <w:pPr>
        <w:autoSpaceDE w:val="0"/>
        <w:autoSpaceDN w:val="0"/>
        <w:adjustRightInd w:val="0"/>
        <w:snapToGrid w:val="0"/>
        <w:spacing w:line="360" w:lineRule="auto"/>
        <w:jc w:val="left"/>
        <w:rPr>
          <w:rFonts w:ascii="宋体" w:hAnsi="宋体" w:cs="MingLiU"/>
          <w:kern w:val="0"/>
          <w:sz w:val="20"/>
          <w:szCs w:val="20"/>
        </w:rPr>
      </w:pPr>
    </w:p>
    <w:p w14:paraId="284F160D">
      <w:pPr>
        <w:autoSpaceDE w:val="0"/>
        <w:autoSpaceDN w:val="0"/>
        <w:adjustRightInd w:val="0"/>
        <w:snapToGrid w:val="0"/>
        <w:spacing w:line="360" w:lineRule="auto"/>
        <w:jc w:val="left"/>
        <w:rPr>
          <w:rFonts w:ascii="宋体" w:hAnsi="宋体" w:cs="MingLiU"/>
          <w:kern w:val="0"/>
          <w:sz w:val="20"/>
          <w:szCs w:val="20"/>
        </w:rPr>
      </w:pPr>
    </w:p>
    <w:p w14:paraId="4472EFBB">
      <w:pPr>
        <w:autoSpaceDE w:val="0"/>
        <w:autoSpaceDN w:val="0"/>
        <w:adjustRightInd w:val="0"/>
        <w:snapToGrid w:val="0"/>
        <w:spacing w:line="360" w:lineRule="auto"/>
        <w:jc w:val="left"/>
        <w:rPr>
          <w:rFonts w:ascii="宋体" w:hAnsi="宋体" w:cs="MingLiU"/>
          <w:kern w:val="0"/>
          <w:sz w:val="20"/>
          <w:szCs w:val="20"/>
        </w:rPr>
      </w:pPr>
    </w:p>
    <w:p w14:paraId="6BF3B5AB">
      <w:pPr>
        <w:autoSpaceDE w:val="0"/>
        <w:autoSpaceDN w:val="0"/>
        <w:adjustRightInd w:val="0"/>
        <w:snapToGrid w:val="0"/>
        <w:spacing w:line="360" w:lineRule="auto"/>
        <w:jc w:val="left"/>
        <w:rPr>
          <w:rFonts w:ascii="宋体" w:hAnsi="宋体" w:cs="MingLiU"/>
          <w:kern w:val="0"/>
          <w:sz w:val="20"/>
          <w:szCs w:val="20"/>
        </w:rPr>
      </w:pPr>
    </w:p>
    <w:p w14:paraId="550AF635">
      <w:pPr>
        <w:autoSpaceDE w:val="0"/>
        <w:autoSpaceDN w:val="0"/>
        <w:adjustRightInd w:val="0"/>
        <w:snapToGrid w:val="0"/>
        <w:spacing w:line="360" w:lineRule="auto"/>
        <w:jc w:val="left"/>
        <w:rPr>
          <w:rFonts w:ascii="宋体" w:hAnsi="宋体" w:cs="MingLiU"/>
          <w:kern w:val="0"/>
          <w:sz w:val="20"/>
          <w:szCs w:val="20"/>
        </w:rPr>
      </w:pPr>
    </w:p>
    <w:p w14:paraId="3AB67E13">
      <w:pPr>
        <w:autoSpaceDE w:val="0"/>
        <w:autoSpaceDN w:val="0"/>
        <w:adjustRightInd w:val="0"/>
        <w:snapToGrid w:val="0"/>
        <w:spacing w:line="360" w:lineRule="auto"/>
        <w:jc w:val="left"/>
        <w:rPr>
          <w:rFonts w:ascii="宋体" w:hAnsi="宋体" w:cs="MingLiU"/>
          <w:kern w:val="0"/>
          <w:sz w:val="20"/>
          <w:szCs w:val="20"/>
        </w:rPr>
      </w:pPr>
    </w:p>
    <w:p w14:paraId="12AFDB03">
      <w:pPr>
        <w:autoSpaceDE w:val="0"/>
        <w:autoSpaceDN w:val="0"/>
        <w:adjustRightInd w:val="0"/>
        <w:snapToGrid w:val="0"/>
        <w:spacing w:line="360" w:lineRule="auto"/>
        <w:jc w:val="left"/>
        <w:rPr>
          <w:rFonts w:ascii="宋体" w:hAnsi="宋体" w:cs="MingLiU"/>
          <w:kern w:val="0"/>
          <w:sz w:val="20"/>
          <w:szCs w:val="20"/>
        </w:rPr>
      </w:pPr>
    </w:p>
    <w:p w14:paraId="5912E8E4">
      <w:pPr>
        <w:autoSpaceDE w:val="0"/>
        <w:autoSpaceDN w:val="0"/>
        <w:adjustRightInd w:val="0"/>
        <w:snapToGrid w:val="0"/>
        <w:spacing w:line="360" w:lineRule="auto"/>
        <w:jc w:val="left"/>
        <w:rPr>
          <w:rFonts w:ascii="宋体" w:hAnsi="宋体" w:cs="MingLiU"/>
          <w:kern w:val="0"/>
          <w:sz w:val="20"/>
          <w:szCs w:val="20"/>
        </w:rPr>
      </w:pPr>
    </w:p>
    <w:p w14:paraId="11C07B2C">
      <w:pPr>
        <w:autoSpaceDE w:val="0"/>
        <w:autoSpaceDN w:val="0"/>
        <w:adjustRightInd w:val="0"/>
        <w:snapToGrid w:val="0"/>
        <w:spacing w:line="360" w:lineRule="auto"/>
        <w:jc w:val="left"/>
        <w:rPr>
          <w:rFonts w:ascii="宋体" w:hAnsi="宋体" w:cs="MingLiU"/>
          <w:kern w:val="0"/>
          <w:sz w:val="20"/>
          <w:szCs w:val="20"/>
        </w:rPr>
      </w:pPr>
    </w:p>
    <w:p w14:paraId="11116FAC">
      <w:pPr>
        <w:autoSpaceDE w:val="0"/>
        <w:autoSpaceDN w:val="0"/>
        <w:adjustRightInd w:val="0"/>
        <w:snapToGrid w:val="0"/>
        <w:spacing w:line="360" w:lineRule="auto"/>
        <w:jc w:val="left"/>
        <w:rPr>
          <w:rFonts w:ascii="宋体" w:hAnsi="宋体" w:cs="MingLiU"/>
          <w:kern w:val="0"/>
          <w:sz w:val="20"/>
          <w:szCs w:val="20"/>
        </w:rPr>
      </w:pPr>
    </w:p>
    <w:p w14:paraId="17BEBA88">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AADD038">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2D5AE76">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447AB45F">
      <w:pPr>
        <w:autoSpaceDE w:val="0"/>
        <w:autoSpaceDN w:val="0"/>
        <w:adjustRightInd w:val="0"/>
        <w:snapToGrid w:val="0"/>
        <w:jc w:val="center"/>
        <w:rPr>
          <w:rFonts w:ascii="宋体" w:hAnsi="宋体"/>
          <w:kern w:val="0"/>
          <w:sz w:val="36"/>
          <w:szCs w:val="36"/>
        </w:rPr>
      </w:pPr>
    </w:p>
    <w:p w14:paraId="1890CAFF">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7E37EB4E">
      <w:pPr>
        <w:spacing w:line="360" w:lineRule="auto"/>
        <w:jc w:val="center"/>
        <w:rPr>
          <w:rFonts w:ascii="宋体" w:hAnsi="宋体"/>
          <w:b/>
          <w:kern w:val="0"/>
          <w:sz w:val="32"/>
          <w:szCs w:val="32"/>
        </w:rPr>
      </w:pPr>
    </w:p>
    <w:p w14:paraId="4C149943">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14:paraId="1FCAB54E">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比选申请人</w:t>
      </w:r>
      <w:r>
        <w:rPr>
          <w:rFonts w:ascii="宋体" w:hAnsi="宋体"/>
          <w:szCs w:val="21"/>
        </w:rPr>
        <w:t>基本情况表</w:t>
      </w:r>
    </w:p>
    <w:p w14:paraId="55042724">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三</w:t>
      </w:r>
      <w:r>
        <w:rPr>
          <w:rFonts w:ascii="宋体" w:hAnsi="宋体"/>
          <w:szCs w:val="21"/>
        </w:rPr>
        <w:t>）项目管理机构</w:t>
      </w:r>
    </w:p>
    <w:p w14:paraId="607B3073">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四</w:t>
      </w:r>
      <w:r>
        <w:rPr>
          <w:rFonts w:ascii="宋体" w:hAnsi="宋体"/>
          <w:szCs w:val="21"/>
        </w:rPr>
        <w:t>）</w:t>
      </w:r>
      <w:r>
        <w:rPr>
          <w:rFonts w:hint="eastAsia" w:ascii="宋体" w:hAnsi="宋体"/>
          <w:szCs w:val="21"/>
        </w:rPr>
        <w:t>承诺</w:t>
      </w:r>
    </w:p>
    <w:p w14:paraId="2237C063">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五</w:t>
      </w:r>
      <w:r>
        <w:rPr>
          <w:rFonts w:ascii="宋体" w:hAnsi="宋体"/>
          <w:szCs w:val="21"/>
        </w:rPr>
        <w:t>）其他资料</w:t>
      </w:r>
    </w:p>
    <w:p w14:paraId="229E226F">
      <w:pPr>
        <w:pStyle w:val="12"/>
        <w:rPr>
          <w:rFonts w:ascii="宋体" w:hAnsi="宋体"/>
          <w:szCs w:val="21"/>
        </w:rPr>
      </w:pPr>
    </w:p>
    <w:p w14:paraId="7815D2B2">
      <w:pPr>
        <w:pStyle w:val="5"/>
        <w:spacing w:before="0" w:after="0" w:line="240" w:lineRule="auto"/>
        <w:jc w:val="center"/>
        <w:rPr>
          <w:rFonts w:ascii="宋体" w:hAnsi="宋体"/>
          <w:sz w:val="36"/>
          <w:szCs w:val="36"/>
        </w:rPr>
      </w:pPr>
      <w:bookmarkStart w:id="340" w:name="_Toc33106476"/>
      <w:bookmarkStart w:id="341" w:name="_Toc287620830"/>
      <w:bookmarkStart w:id="342" w:name="_Toc224103511"/>
      <w:bookmarkStart w:id="343" w:name="_Toc287607883"/>
      <w:bookmarkStart w:id="344" w:name="_Toc430530546"/>
      <w:bookmarkStart w:id="345" w:name="_Toc277082657"/>
      <w:r>
        <w:rPr>
          <w:rFonts w:hint="eastAsia" w:ascii="宋体" w:hAnsi="宋体"/>
          <w:b w:val="0"/>
          <w:bCs w:val="0"/>
        </w:rPr>
        <w:br w:type="page"/>
      </w:r>
      <w:bookmarkStart w:id="346" w:name="_Toc29942"/>
      <w:r>
        <w:rPr>
          <w:rFonts w:hint="eastAsia" w:ascii="宋体" w:hAnsi="宋体"/>
          <w:b w:val="0"/>
          <w:bCs w:val="0"/>
        </w:rPr>
        <w:t>（一）法定代表人身份证明或附有法定代表人身份证明的授权委托书</w:t>
      </w:r>
      <w:bookmarkEnd w:id="340"/>
      <w:bookmarkEnd w:id="341"/>
      <w:bookmarkEnd w:id="342"/>
      <w:bookmarkEnd w:id="343"/>
      <w:bookmarkEnd w:id="344"/>
      <w:bookmarkEnd w:id="345"/>
      <w:bookmarkEnd w:id="346"/>
    </w:p>
    <w:p w14:paraId="5FBB9032">
      <w:pPr>
        <w:spacing w:line="480" w:lineRule="auto"/>
        <w:jc w:val="center"/>
        <w:rPr>
          <w:rFonts w:ascii="宋体" w:hAnsi="宋体"/>
          <w:sz w:val="28"/>
        </w:rPr>
      </w:pPr>
      <w:r>
        <w:rPr>
          <w:rFonts w:hint="eastAsia" w:ascii="宋体" w:hAnsi="宋体"/>
          <w:sz w:val="28"/>
        </w:rPr>
        <w:t>法定代表人身份证明</w:t>
      </w:r>
    </w:p>
    <w:p w14:paraId="74B46EE9">
      <w:pPr>
        <w:spacing w:line="480" w:lineRule="auto"/>
        <w:jc w:val="center"/>
        <w:rPr>
          <w:rFonts w:ascii="宋体" w:hAnsi="宋体"/>
        </w:rPr>
      </w:pPr>
    </w:p>
    <w:p w14:paraId="2125767D">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比选申请人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00E381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255519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1254275">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A4D4A2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921C23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70A25FA2">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比选申请人</w:t>
      </w:r>
      <w:r>
        <w:rPr>
          <w:rFonts w:ascii="宋体" w:hAnsi="宋体"/>
          <w:kern w:val="0"/>
          <w:szCs w:val="21"/>
          <w:u w:val="single"/>
        </w:rPr>
        <w:t>名称）</w:t>
      </w:r>
      <w:r>
        <w:rPr>
          <w:rFonts w:ascii="宋体" w:hAnsi="宋体"/>
          <w:kern w:val="0"/>
          <w:szCs w:val="21"/>
        </w:rPr>
        <w:t>的法定代表人。</w:t>
      </w:r>
    </w:p>
    <w:p w14:paraId="642EF013">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2B63DB5F">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附：法定代表人身份证扫描件（双面）</w:t>
      </w:r>
    </w:p>
    <w:p w14:paraId="28BB105A">
      <w:pPr>
        <w:autoSpaceDE w:val="0"/>
        <w:autoSpaceDN w:val="0"/>
        <w:adjustRightInd w:val="0"/>
        <w:snapToGrid w:val="0"/>
        <w:spacing w:line="360" w:lineRule="auto"/>
        <w:jc w:val="left"/>
        <w:rPr>
          <w:rFonts w:ascii="宋体" w:hAnsi="宋体"/>
          <w:szCs w:val="21"/>
        </w:rPr>
      </w:pPr>
    </w:p>
    <w:p w14:paraId="1996FE98">
      <w:pPr>
        <w:pStyle w:val="12"/>
        <w:spacing w:after="0" w:line="360" w:lineRule="auto"/>
        <w:rPr>
          <w:rFonts w:ascii="宋体" w:hAnsi="宋体"/>
          <w:szCs w:val="21"/>
        </w:rPr>
      </w:pPr>
    </w:p>
    <w:p w14:paraId="28826C4B">
      <w:pPr>
        <w:pStyle w:val="12"/>
        <w:spacing w:after="0" w:line="360" w:lineRule="auto"/>
        <w:rPr>
          <w:rFonts w:ascii="宋体" w:hAnsi="宋体"/>
          <w:szCs w:val="21"/>
        </w:rPr>
      </w:pPr>
    </w:p>
    <w:p w14:paraId="7A184C56">
      <w:pPr>
        <w:pStyle w:val="12"/>
        <w:spacing w:after="0" w:line="360" w:lineRule="auto"/>
        <w:rPr>
          <w:rFonts w:ascii="宋体" w:hAnsi="宋体"/>
          <w:szCs w:val="21"/>
        </w:rPr>
      </w:pPr>
    </w:p>
    <w:p w14:paraId="47268635">
      <w:pPr>
        <w:pStyle w:val="12"/>
        <w:spacing w:after="0" w:line="360" w:lineRule="auto"/>
        <w:rPr>
          <w:rFonts w:ascii="宋体" w:hAnsi="宋体"/>
          <w:szCs w:val="21"/>
        </w:rPr>
      </w:pPr>
    </w:p>
    <w:p w14:paraId="5F38C86E">
      <w:pPr>
        <w:pStyle w:val="12"/>
        <w:spacing w:after="0" w:line="360" w:lineRule="auto"/>
        <w:rPr>
          <w:rFonts w:ascii="宋体" w:hAnsi="宋体"/>
          <w:szCs w:val="21"/>
        </w:rPr>
      </w:pPr>
    </w:p>
    <w:p w14:paraId="693DE878">
      <w:pPr>
        <w:tabs>
          <w:tab w:val="left" w:pos="3360"/>
        </w:tabs>
        <w:autoSpaceDE w:val="0"/>
        <w:autoSpaceDN w:val="0"/>
        <w:adjustRightInd w:val="0"/>
        <w:snapToGrid w:val="0"/>
        <w:spacing w:line="480" w:lineRule="auto"/>
        <w:ind w:firstLine="390" w:firstLineChars="186"/>
        <w:jc w:val="right"/>
        <w:rPr>
          <w:rFonts w:ascii="宋体" w:hAnsi="宋体"/>
          <w:kern w:val="0"/>
          <w:szCs w:val="21"/>
        </w:rPr>
      </w:pPr>
      <w:r>
        <w:rPr>
          <w:rFonts w:hint="eastAsia" w:ascii="宋体" w:hAnsi="宋体"/>
          <w:kern w:val="0"/>
          <w:szCs w:val="21"/>
        </w:rPr>
        <w:t>比选申请人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3D5A7DC">
      <w:pPr>
        <w:autoSpaceDE w:val="0"/>
        <w:autoSpaceDN w:val="0"/>
        <w:adjustRightInd w:val="0"/>
        <w:snapToGrid w:val="0"/>
        <w:spacing w:line="480" w:lineRule="auto"/>
        <w:jc w:val="left"/>
        <w:rPr>
          <w:rFonts w:ascii="宋体" w:hAnsi="宋体"/>
          <w:kern w:val="0"/>
          <w:sz w:val="20"/>
          <w:szCs w:val="20"/>
        </w:rPr>
      </w:pPr>
    </w:p>
    <w:p w14:paraId="2E92F52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A622761">
      <w:pPr>
        <w:autoSpaceDE w:val="0"/>
        <w:autoSpaceDN w:val="0"/>
        <w:adjustRightInd w:val="0"/>
        <w:snapToGrid w:val="0"/>
        <w:spacing w:line="360" w:lineRule="auto"/>
        <w:jc w:val="left"/>
        <w:rPr>
          <w:rFonts w:ascii="宋体" w:hAnsi="宋体"/>
          <w:kern w:val="0"/>
        </w:rPr>
      </w:pPr>
    </w:p>
    <w:p w14:paraId="4FD7A776">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1DEC5D75">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6320C0D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比选申请人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比选申请文件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2FC08409">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116ACEA6">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 w:val="20"/>
          <w:szCs w:val="20"/>
        </w:rPr>
      </w:pPr>
      <w:r>
        <w:rPr>
          <w:rFonts w:ascii="宋体" w:hAnsi="宋体"/>
          <w:kern w:val="0"/>
          <w:szCs w:val="21"/>
        </w:rPr>
        <w:t>代理人无转委托权。</w:t>
      </w:r>
    </w:p>
    <w:p w14:paraId="2AB0A167">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47B4337">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A414146">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993204F">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49609EB0">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1EC7A2B4">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46FE128">
      <w:pPr>
        <w:tabs>
          <w:tab w:val="left" w:pos="6825"/>
        </w:tabs>
        <w:autoSpaceDE w:val="0"/>
        <w:autoSpaceDN w:val="0"/>
        <w:adjustRightInd w:val="0"/>
        <w:snapToGrid w:val="0"/>
        <w:spacing w:line="480" w:lineRule="auto"/>
        <w:ind w:firstLine="420" w:firstLineChars="200"/>
        <w:jc w:val="left"/>
        <w:rPr>
          <w:rFonts w:ascii="宋体" w:hAnsi="宋体"/>
          <w:kern w:val="0"/>
          <w:sz w:val="20"/>
          <w:szCs w:val="20"/>
          <w:u w:val="single"/>
        </w:rPr>
      </w:pPr>
      <w:r>
        <w:rPr>
          <w:rFonts w:hint="eastAsia" w:ascii="宋体" w:hAnsi="宋体"/>
          <w:kern w:val="0"/>
          <w:szCs w:val="21"/>
        </w:rPr>
        <w:t xml:space="preserve">委托代理人电话（手机）：                                                </w:t>
      </w:r>
    </w:p>
    <w:p w14:paraId="2B8AA7DA">
      <w:pPr>
        <w:tabs>
          <w:tab w:val="left" w:pos="6825"/>
        </w:tabs>
        <w:autoSpaceDE w:val="0"/>
        <w:autoSpaceDN w:val="0"/>
        <w:adjustRightInd w:val="0"/>
        <w:snapToGrid w:val="0"/>
        <w:spacing w:line="480" w:lineRule="auto"/>
        <w:jc w:val="left"/>
        <w:rPr>
          <w:rFonts w:ascii="宋体" w:hAnsi="宋体"/>
          <w:kern w:val="0"/>
          <w:sz w:val="20"/>
          <w:szCs w:val="20"/>
        </w:rPr>
      </w:pPr>
    </w:p>
    <w:p w14:paraId="4180BEC3">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附：法定代表人和委托代理人身份证扫描件（双面）</w:t>
      </w:r>
    </w:p>
    <w:p w14:paraId="246F71C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7188E28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3EE68E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B6FF9E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B24B2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33D54A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4348555">
      <w:pPr>
        <w:autoSpaceDE w:val="0"/>
        <w:autoSpaceDN w:val="0"/>
        <w:adjustRightInd w:val="0"/>
        <w:snapToGrid w:val="0"/>
        <w:spacing w:line="480" w:lineRule="auto"/>
        <w:jc w:val="left"/>
        <w:rPr>
          <w:rFonts w:ascii="宋体" w:hAnsi="宋体"/>
          <w:kern w:val="0"/>
          <w:sz w:val="20"/>
          <w:szCs w:val="20"/>
        </w:rPr>
      </w:pPr>
    </w:p>
    <w:p w14:paraId="380F9DE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A4D0CA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rPr>
      </w:pPr>
      <w:r>
        <w:rPr>
          <w:rFonts w:hint="eastAsia" w:ascii="宋体" w:hAnsi="宋体"/>
          <w:kern w:val="0"/>
          <w:szCs w:val="21"/>
        </w:rPr>
        <w:t xml:space="preserve"> </w:t>
      </w:r>
    </w:p>
    <w:p w14:paraId="2A05B47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690FA94">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5306B38B">
      <w:pPr>
        <w:pStyle w:val="12"/>
      </w:pPr>
    </w:p>
    <w:p w14:paraId="02290D4B">
      <w:pPr>
        <w:autoSpaceDE w:val="0"/>
        <w:autoSpaceDN w:val="0"/>
        <w:adjustRightInd w:val="0"/>
        <w:snapToGrid w:val="0"/>
        <w:jc w:val="center"/>
        <w:rPr>
          <w:rFonts w:ascii="宋体" w:hAnsi="宋体"/>
        </w:rPr>
      </w:pPr>
      <w:r>
        <w:rPr>
          <w:rFonts w:ascii="宋体" w:hAnsi="宋体"/>
        </w:rPr>
        <w:br w:type="page"/>
      </w:r>
    </w:p>
    <w:bookmarkEnd w:id="339"/>
    <w:p w14:paraId="755081AC">
      <w:pPr>
        <w:pStyle w:val="5"/>
        <w:spacing w:before="0" w:after="0" w:line="240" w:lineRule="auto"/>
        <w:jc w:val="center"/>
        <w:rPr>
          <w:rFonts w:ascii="宋体" w:hAnsi="宋体"/>
        </w:rPr>
      </w:pPr>
      <w:bookmarkStart w:id="347" w:name="_Toc20679"/>
      <w:bookmarkStart w:id="348" w:name="_Toc33106478"/>
      <w:r>
        <w:rPr>
          <w:rFonts w:hint="eastAsia" w:ascii="宋体" w:hAnsi="宋体"/>
          <w:b w:val="0"/>
          <w:bCs w:val="0"/>
        </w:rPr>
        <w:t>（二）比选申请人基本情况表</w:t>
      </w:r>
      <w:bookmarkEnd w:id="347"/>
      <w:bookmarkEnd w:id="348"/>
    </w:p>
    <w:tbl>
      <w:tblPr>
        <w:tblStyle w:val="31"/>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4FF68B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9561EF">
            <w:pPr>
              <w:autoSpaceDE w:val="0"/>
              <w:autoSpaceDN w:val="0"/>
              <w:adjustRightInd w:val="0"/>
              <w:snapToGrid w:val="0"/>
              <w:jc w:val="center"/>
              <w:rPr>
                <w:rFonts w:ascii="宋体" w:hAnsi="宋体"/>
                <w:kern w:val="0"/>
                <w:szCs w:val="21"/>
              </w:rPr>
            </w:pPr>
            <w:r>
              <w:rPr>
                <w:rFonts w:hint="eastAsia" w:ascii="宋体" w:hAnsi="宋体" w:cs="MingLiU"/>
                <w:kern w:val="0"/>
                <w:szCs w:val="21"/>
              </w:rPr>
              <w:t>比选申请人名称</w:t>
            </w:r>
          </w:p>
        </w:tc>
        <w:tc>
          <w:tcPr>
            <w:tcW w:w="7607" w:type="dxa"/>
            <w:gridSpan w:val="9"/>
            <w:vAlign w:val="center"/>
          </w:tcPr>
          <w:p w14:paraId="05AED9E4">
            <w:pPr>
              <w:autoSpaceDE w:val="0"/>
              <w:autoSpaceDN w:val="0"/>
              <w:adjustRightInd w:val="0"/>
              <w:snapToGrid w:val="0"/>
              <w:jc w:val="center"/>
              <w:rPr>
                <w:rFonts w:ascii="宋体" w:hAnsi="宋体"/>
                <w:kern w:val="0"/>
                <w:szCs w:val="21"/>
              </w:rPr>
            </w:pPr>
          </w:p>
        </w:tc>
      </w:tr>
      <w:tr w14:paraId="2C0F91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A736DE">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14:paraId="286BD2E6">
            <w:pPr>
              <w:autoSpaceDE w:val="0"/>
              <w:autoSpaceDN w:val="0"/>
              <w:adjustRightInd w:val="0"/>
              <w:snapToGrid w:val="0"/>
              <w:jc w:val="center"/>
              <w:rPr>
                <w:rFonts w:ascii="宋体" w:hAnsi="宋体"/>
                <w:kern w:val="0"/>
                <w:szCs w:val="21"/>
              </w:rPr>
            </w:pPr>
          </w:p>
        </w:tc>
        <w:tc>
          <w:tcPr>
            <w:tcW w:w="1392" w:type="dxa"/>
            <w:vAlign w:val="center"/>
          </w:tcPr>
          <w:p w14:paraId="1780987B">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14:paraId="060203A7">
            <w:pPr>
              <w:autoSpaceDE w:val="0"/>
              <w:autoSpaceDN w:val="0"/>
              <w:adjustRightInd w:val="0"/>
              <w:snapToGrid w:val="0"/>
              <w:jc w:val="center"/>
              <w:rPr>
                <w:rFonts w:ascii="宋体" w:hAnsi="宋体"/>
                <w:kern w:val="0"/>
                <w:szCs w:val="21"/>
              </w:rPr>
            </w:pPr>
          </w:p>
        </w:tc>
      </w:tr>
      <w:tr w14:paraId="38D06D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66C71EF1">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692EE04D">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14:paraId="75AEEAAF">
            <w:pPr>
              <w:autoSpaceDE w:val="0"/>
              <w:autoSpaceDN w:val="0"/>
              <w:adjustRightInd w:val="0"/>
              <w:snapToGrid w:val="0"/>
              <w:jc w:val="center"/>
              <w:rPr>
                <w:rFonts w:ascii="宋体" w:hAnsi="宋体"/>
                <w:kern w:val="0"/>
                <w:szCs w:val="21"/>
              </w:rPr>
            </w:pPr>
          </w:p>
        </w:tc>
        <w:tc>
          <w:tcPr>
            <w:tcW w:w="1392" w:type="dxa"/>
            <w:vAlign w:val="center"/>
          </w:tcPr>
          <w:p w14:paraId="3E8FE8F5">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14:paraId="69F95EB3">
            <w:pPr>
              <w:autoSpaceDE w:val="0"/>
              <w:autoSpaceDN w:val="0"/>
              <w:adjustRightInd w:val="0"/>
              <w:snapToGrid w:val="0"/>
              <w:jc w:val="center"/>
              <w:rPr>
                <w:rFonts w:ascii="宋体" w:hAnsi="宋体"/>
                <w:kern w:val="0"/>
                <w:szCs w:val="21"/>
              </w:rPr>
            </w:pPr>
          </w:p>
        </w:tc>
      </w:tr>
      <w:tr w14:paraId="12D1BF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467F0FD">
            <w:pPr>
              <w:autoSpaceDE w:val="0"/>
              <w:autoSpaceDN w:val="0"/>
              <w:adjustRightInd w:val="0"/>
              <w:snapToGrid w:val="0"/>
              <w:jc w:val="center"/>
              <w:rPr>
                <w:rFonts w:ascii="宋体" w:hAnsi="宋体"/>
                <w:kern w:val="0"/>
                <w:szCs w:val="21"/>
              </w:rPr>
            </w:pPr>
          </w:p>
        </w:tc>
        <w:tc>
          <w:tcPr>
            <w:tcW w:w="967" w:type="dxa"/>
            <w:vAlign w:val="center"/>
          </w:tcPr>
          <w:p w14:paraId="7FF74791">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14:paraId="691C52ED">
            <w:pPr>
              <w:autoSpaceDE w:val="0"/>
              <w:autoSpaceDN w:val="0"/>
              <w:adjustRightInd w:val="0"/>
              <w:snapToGrid w:val="0"/>
              <w:jc w:val="center"/>
              <w:rPr>
                <w:rFonts w:ascii="宋体" w:hAnsi="宋体"/>
                <w:kern w:val="0"/>
                <w:szCs w:val="21"/>
              </w:rPr>
            </w:pPr>
          </w:p>
        </w:tc>
        <w:tc>
          <w:tcPr>
            <w:tcW w:w="1392" w:type="dxa"/>
            <w:vAlign w:val="center"/>
          </w:tcPr>
          <w:p w14:paraId="778FF2A2">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14:paraId="31867681">
            <w:pPr>
              <w:autoSpaceDE w:val="0"/>
              <w:autoSpaceDN w:val="0"/>
              <w:adjustRightInd w:val="0"/>
              <w:snapToGrid w:val="0"/>
              <w:jc w:val="center"/>
              <w:rPr>
                <w:rFonts w:ascii="宋体" w:hAnsi="宋体"/>
                <w:kern w:val="0"/>
                <w:szCs w:val="21"/>
              </w:rPr>
            </w:pPr>
          </w:p>
        </w:tc>
      </w:tr>
      <w:tr w14:paraId="43C59A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E545952">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14:paraId="5057A508">
            <w:pPr>
              <w:autoSpaceDE w:val="0"/>
              <w:autoSpaceDN w:val="0"/>
              <w:adjustRightInd w:val="0"/>
              <w:snapToGrid w:val="0"/>
              <w:jc w:val="center"/>
              <w:rPr>
                <w:rFonts w:ascii="宋体" w:hAnsi="宋体"/>
                <w:kern w:val="0"/>
                <w:szCs w:val="21"/>
              </w:rPr>
            </w:pPr>
          </w:p>
        </w:tc>
      </w:tr>
      <w:tr w14:paraId="7E441B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9C6DB3">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3528FD1D">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47DCFB8B">
            <w:pPr>
              <w:autoSpaceDE w:val="0"/>
              <w:autoSpaceDN w:val="0"/>
              <w:adjustRightInd w:val="0"/>
              <w:snapToGrid w:val="0"/>
              <w:jc w:val="center"/>
              <w:rPr>
                <w:rFonts w:ascii="宋体" w:hAnsi="宋体"/>
                <w:kern w:val="0"/>
                <w:szCs w:val="21"/>
              </w:rPr>
            </w:pPr>
          </w:p>
        </w:tc>
        <w:tc>
          <w:tcPr>
            <w:tcW w:w="1356" w:type="dxa"/>
            <w:gridSpan w:val="2"/>
            <w:vAlign w:val="center"/>
          </w:tcPr>
          <w:p w14:paraId="05DE7DD4">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0784FC24">
            <w:pPr>
              <w:autoSpaceDE w:val="0"/>
              <w:autoSpaceDN w:val="0"/>
              <w:adjustRightInd w:val="0"/>
              <w:snapToGrid w:val="0"/>
              <w:jc w:val="center"/>
              <w:rPr>
                <w:rFonts w:ascii="宋体" w:hAnsi="宋体"/>
                <w:kern w:val="0"/>
                <w:szCs w:val="21"/>
              </w:rPr>
            </w:pPr>
          </w:p>
        </w:tc>
        <w:tc>
          <w:tcPr>
            <w:tcW w:w="925" w:type="dxa"/>
            <w:vAlign w:val="center"/>
          </w:tcPr>
          <w:p w14:paraId="327F9183">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13163CDC">
            <w:pPr>
              <w:autoSpaceDE w:val="0"/>
              <w:autoSpaceDN w:val="0"/>
              <w:adjustRightInd w:val="0"/>
              <w:snapToGrid w:val="0"/>
              <w:jc w:val="center"/>
              <w:rPr>
                <w:rFonts w:ascii="宋体" w:hAnsi="宋体"/>
                <w:kern w:val="0"/>
                <w:szCs w:val="21"/>
              </w:rPr>
            </w:pPr>
          </w:p>
        </w:tc>
      </w:tr>
      <w:tr w14:paraId="72896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92CB816">
            <w:pPr>
              <w:autoSpaceDE w:val="0"/>
              <w:autoSpaceDN w:val="0"/>
              <w:adjustRightInd w:val="0"/>
              <w:snapToGrid w:val="0"/>
              <w:jc w:val="center"/>
              <w:rPr>
                <w:rFonts w:ascii="宋体" w:hAnsi="宋体"/>
                <w:kern w:val="0"/>
                <w:szCs w:val="21"/>
              </w:rPr>
            </w:pPr>
            <w:r>
              <w:rPr>
                <w:rFonts w:hint="eastAsia" w:ascii="宋体" w:hAnsi="宋体" w:cs="MingLiU"/>
                <w:kern w:val="0"/>
                <w:szCs w:val="21"/>
              </w:rPr>
              <w:t>项目总工</w:t>
            </w:r>
          </w:p>
        </w:tc>
        <w:tc>
          <w:tcPr>
            <w:tcW w:w="967" w:type="dxa"/>
            <w:vAlign w:val="center"/>
          </w:tcPr>
          <w:p w14:paraId="18906F76">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5B3164BD">
            <w:pPr>
              <w:autoSpaceDE w:val="0"/>
              <w:autoSpaceDN w:val="0"/>
              <w:adjustRightInd w:val="0"/>
              <w:snapToGrid w:val="0"/>
              <w:jc w:val="center"/>
              <w:rPr>
                <w:rFonts w:ascii="宋体" w:hAnsi="宋体"/>
                <w:kern w:val="0"/>
                <w:szCs w:val="21"/>
              </w:rPr>
            </w:pPr>
          </w:p>
        </w:tc>
        <w:tc>
          <w:tcPr>
            <w:tcW w:w="1356" w:type="dxa"/>
            <w:gridSpan w:val="2"/>
            <w:vAlign w:val="center"/>
          </w:tcPr>
          <w:p w14:paraId="5D9524D7">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239AFF6C">
            <w:pPr>
              <w:autoSpaceDE w:val="0"/>
              <w:autoSpaceDN w:val="0"/>
              <w:adjustRightInd w:val="0"/>
              <w:snapToGrid w:val="0"/>
              <w:jc w:val="center"/>
              <w:rPr>
                <w:rFonts w:ascii="宋体" w:hAnsi="宋体"/>
                <w:kern w:val="0"/>
                <w:szCs w:val="21"/>
              </w:rPr>
            </w:pPr>
          </w:p>
        </w:tc>
        <w:tc>
          <w:tcPr>
            <w:tcW w:w="925" w:type="dxa"/>
            <w:vAlign w:val="center"/>
          </w:tcPr>
          <w:p w14:paraId="5E2E9C39">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0E192158">
            <w:pPr>
              <w:autoSpaceDE w:val="0"/>
              <w:autoSpaceDN w:val="0"/>
              <w:adjustRightInd w:val="0"/>
              <w:snapToGrid w:val="0"/>
              <w:jc w:val="center"/>
              <w:rPr>
                <w:rFonts w:ascii="宋体" w:hAnsi="宋体"/>
                <w:kern w:val="0"/>
                <w:szCs w:val="21"/>
              </w:rPr>
            </w:pPr>
          </w:p>
        </w:tc>
      </w:tr>
      <w:tr w14:paraId="2A5E79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CD32A4D">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14:paraId="11C45918">
            <w:pPr>
              <w:autoSpaceDE w:val="0"/>
              <w:autoSpaceDN w:val="0"/>
              <w:adjustRightInd w:val="0"/>
              <w:snapToGrid w:val="0"/>
              <w:jc w:val="center"/>
              <w:rPr>
                <w:rFonts w:ascii="宋体" w:hAnsi="宋体"/>
                <w:kern w:val="0"/>
                <w:szCs w:val="21"/>
              </w:rPr>
            </w:pPr>
          </w:p>
        </w:tc>
        <w:tc>
          <w:tcPr>
            <w:tcW w:w="5616" w:type="dxa"/>
            <w:gridSpan w:val="7"/>
            <w:vAlign w:val="center"/>
          </w:tcPr>
          <w:p w14:paraId="3FEBC018">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14:paraId="17468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ECBD1A5">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14:paraId="2173E99E">
            <w:pPr>
              <w:autoSpaceDE w:val="0"/>
              <w:autoSpaceDN w:val="0"/>
              <w:adjustRightInd w:val="0"/>
              <w:snapToGrid w:val="0"/>
              <w:jc w:val="center"/>
              <w:rPr>
                <w:rFonts w:ascii="宋体" w:hAnsi="宋体"/>
                <w:kern w:val="0"/>
                <w:szCs w:val="21"/>
              </w:rPr>
            </w:pPr>
          </w:p>
        </w:tc>
        <w:tc>
          <w:tcPr>
            <w:tcW w:w="904" w:type="dxa"/>
            <w:vMerge w:val="restart"/>
            <w:vAlign w:val="center"/>
          </w:tcPr>
          <w:p w14:paraId="235EDA3E">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14:paraId="235B53FE">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14:paraId="5F629C21">
            <w:pPr>
              <w:autoSpaceDE w:val="0"/>
              <w:autoSpaceDN w:val="0"/>
              <w:adjustRightInd w:val="0"/>
              <w:snapToGrid w:val="0"/>
              <w:jc w:val="center"/>
              <w:rPr>
                <w:rFonts w:ascii="宋体" w:hAnsi="宋体"/>
                <w:kern w:val="0"/>
                <w:szCs w:val="21"/>
              </w:rPr>
            </w:pPr>
          </w:p>
        </w:tc>
      </w:tr>
      <w:tr w14:paraId="3D9C6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635BFA">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1991" w:type="dxa"/>
            <w:gridSpan w:val="2"/>
            <w:vAlign w:val="center"/>
          </w:tcPr>
          <w:p w14:paraId="34973D6E">
            <w:pPr>
              <w:autoSpaceDE w:val="0"/>
              <w:autoSpaceDN w:val="0"/>
              <w:adjustRightInd w:val="0"/>
              <w:snapToGrid w:val="0"/>
              <w:jc w:val="center"/>
              <w:rPr>
                <w:rFonts w:ascii="宋体" w:hAnsi="宋体"/>
                <w:kern w:val="0"/>
                <w:szCs w:val="21"/>
              </w:rPr>
            </w:pPr>
          </w:p>
        </w:tc>
        <w:tc>
          <w:tcPr>
            <w:tcW w:w="904" w:type="dxa"/>
            <w:vMerge w:val="continue"/>
            <w:vAlign w:val="center"/>
          </w:tcPr>
          <w:p w14:paraId="361D9A09">
            <w:pPr>
              <w:autoSpaceDE w:val="0"/>
              <w:autoSpaceDN w:val="0"/>
              <w:adjustRightInd w:val="0"/>
              <w:snapToGrid w:val="0"/>
              <w:jc w:val="center"/>
              <w:rPr>
                <w:rFonts w:ascii="宋体" w:hAnsi="宋体"/>
                <w:kern w:val="0"/>
                <w:szCs w:val="21"/>
              </w:rPr>
            </w:pPr>
          </w:p>
        </w:tc>
        <w:tc>
          <w:tcPr>
            <w:tcW w:w="2476" w:type="dxa"/>
            <w:gridSpan w:val="4"/>
            <w:vAlign w:val="center"/>
          </w:tcPr>
          <w:p w14:paraId="2534AF5E">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14:paraId="23140EE5">
            <w:pPr>
              <w:autoSpaceDE w:val="0"/>
              <w:autoSpaceDN w:val="0"/>
              <w:adjustRightInd w:val="0"/>
              <w:snapToGrid w:val="0"/>
              <w:jc w:val="center"/>
              <w:rPr>
                <w:rFonts w:ascii="宋体" w:hAnsi="宋体"/>
                <w:kern w:val="0"/>
                <w:szCs w:val="21"/>
              </w:rPr>
            </w:pPr>
          </w:p>
        </w:tc>
      </w:tr>
      <w:tr w14:paraId="603B5F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B0F4E77">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14:paraId="65B099E3">
            <w:pPr>
              <w:autoSpaceDE w:val="0"/>
              <w:autoSpaceDN w:val="0"/>
              <w:adjustRightInd w:val="0"/>
              <w:snapToGrid w:val="0"/>
              <w:jc w:val="center"/>
              <w:rPr>
                <w:rFonts w:ascii="宋体" w:hAnsi="宋体"/>
                <w:kern w:val="0"/>
                <w:szCs w:val="21"/>
              </w:rPr>
            </w:pPr>
          </w:p>
        </w:tc>
        <w:tc>
          <w:tcPr>
            <w:tcW w:w="904" w:type="dxa"/>
            <w:vMerge w:val="continue"/>
            <w:vAlign w:val="center"/>
          </w:tcPr>
          <w:p w14:paraId="5C966AAE">
            <w:pPr>
              <w:autoSpaceDE w:val="0"/>
              <w:autoSpaceDN w:val="0"/>
              <w:adjustRightInd w:val="0"/>
              <w:snapToGrid w:val="0"/>
              <w:jc w:val="center"/>
              <w:rPr>
                <w:rFonts w:ascii="宋体" w:hAnsi="宋体"/>
                <w:kern w:val="0"/>
                <w:szCs w:val="21"/>
              </w:rPr>
            </w:pPr>
          </w:p>
        </w:tc>
        <w:tc>
          <w:tcPr>
            <w:tcW w:w="2476" w:type="dxa"/>
            <w:gridSpan w:val="4"/>
            <w:vAlign w:val="center"/>
          </w:tcPr>
          <w:p w14:paraId="79990119">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14:paraId="46E50B7F">
            <w:pPr>
              <w:autoSpaceDE w:val="0"/>
              <w:autoSpaceDN w:val="0"/>
              <w:adjustRightInd w:val="0"/>
              <w:snapToGrid w:val="0"/>
              <w:jc w:val="center"/>
              <w:rPr>
                <w:rFonts w:ascii="宋体" w:hAnsi="宋体"/>
                <w:kern w:val="0"/>
                <w:szCs w:val="21"/>
              </w:rPr>
            </w:pPr>
          </w:p>
        </w:tc>
      </w:tr>
      <w:tr w14:paraId="7F5016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C778685">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14:paraId="5A020F85">
            <w:pPr>
              <w:autoSpaceDE w:val="0"/>
              <w:autoSpaceDN w:val="0"/>
              <w:adjustRightInd w:val="0"/>
              <w:snapToGrid w:val="0"/>
              <w:jc w:val="center"/>
              <w:rPr>
                <w:rFonts w:ascii="宋体" w:hAnsi="宋体"/>
                <w:kern w:val="0"/>
                <w:szCs w:val="21"/>
              </w:rPr>
            </w:pPr>
          </w:p>
        </w:tc>
        <w:tc>
          <w:tcPr>
            <w:tcW w:w="904" w:type="dxa"/>
            <w:vMerge w:val="continue"/>
            <w:vAlign w:val="center"/>
          </w:tcPr>
          <w:p w14:paraId="299ABE59">
            <w:pPr>
              <w:autoSpaceDE w:val="0"/>
              <w:autoSpaceDN w:val="0"/>
              <w:adjustRightInd w:val="0"/>
              <w:snapToGrid w:val="0"/>
              <w:jc w:val="center"/>
              <w:rPr>
                <w:rFonts w:ascii="宋体" w:hAnsi="宋体"/>
                <w:kern w:val="0"/>
                <w:szCs w:val="21"/>
              </w:rPr>
            </w:pPr>
          </w:p>
        </w:tc>
        <w:tc>
          <w:tcPr>
            <w:tcW w:w="2476" w:type="dxa"/>
            <w:gridSpan w:val="4"/>
            <w:vAlign w:val="center"/>
          </w:tcPr>
          <w:p w14:paraId="6770798A">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14:paraId="276D6F17">
            <w:pPr>
              <w:autoSpaceDE w:val="0"/>
              <w:autoSpaceDN w:val="0"/>
              <w:adjustRightInd w:val="0"/>
              <w:snapToGrid w:val="0"/>
              <w:jc w:val="center"/>
              <w:rPr>
                <w:rFonts w:ascii="宋体" w:hAnsi="宋体"/>
                <w:kern w:val="0"/>
                <w:szCs w:val="21"/>
              </w:rPr>
            </w:pPr>
          </w:p>
        </w:tc>
      </w:tr>
      <w:tr w14:paraId="4D91C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264911B">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14:paraId="67E3E01A">
            <w:pPr>
              <w:autoSpaceDE w:val="0"/>
              <w:autoSpaceDN w:val="0"/>
              <w:adjustRightInd w:val="0"/>
              <w:snapToGrid w:val="0"/>
              <w:jc w:val="center"/>
              <w:rPr>
                <w:rFonts w:ascii="宋体" w:hAnsi="宋体"/>
                <w:kern w:val="0"/>
                <w:szCs w:val="21"/>
              </w:rPr>
            </w:pPr>
          </w:p>
        </w:tc>
        <w:tc>
          <w:tcPr>
            <w:tcW w:w="904" w:type="dxa"/>
            <w:vMerge w:val="continue"/>
            <w:vAlign w:val="center"/>
          </w:tcPr>
          <w:p w14:paraId="1CABB287">
            <w:pPr>
              <w:autoSpaceDE w:val="0"/>
              <w:autoSpaceDN w:val="0"/>
              <w:adjustRightInd w:val="0"/>
              <w:snapToGrid w:val="0"/>
              <w:jc w:val="center"/>
              <w:rPr>
                <w:rFonts w:ascii="宋体" w:hAnsi="宋体"/>
                <w:kern w:val="0"/>
                <w:szCs w:val="21"/>
              </w:rPr>
            </w:pPr>
          </w:p>
        </w:tc>
        <w:tc>
          <w:tcPr>
            <w:tcW w:w="2476" w:type="dxa"/>
            <w:gridSpan w:val="4"/>
            <w:vAlign w:val="center"/>
          </w:tcPr>
          <w:p w14:paraId="62A6FBAA">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14:paraId="4EEB7C4C">
            <w:pPr>
              <w:autoSpaceDE w:val="0"/>
              <w:autoSpaceDN w:val="0"/>
              <w:adjustRightInd w:val="0"/>
              <w:snapToGrid w:val="0"/>
              <w:jc w:val="center"/>
              <w:rPr>
                <w:rFonts w:ascii="宋体" w:hAnsi="宋体"/>
                <w:kern w:val="0"/>
                <w:szCs w:val="21"/>
              </w:rPr>
            </w:pPr>
          </w:p>
        </w:tc>
      </w:tr>
      <w:tr w14:paraId="1B45A1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A5B36C">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14:paraId="2245046E">
            <w:pPr>
              <w:autoSpaceDE w:val="0"/>
              <w:autoSpaceDN w:val="0"/>
              <w:adjustRightInd w:val="0"/>
              <w:snapToGrid w:val="0"/>
              <w:jc w:val="center"/>
              <w:rPr>
                <w:rFonts w:ascii="宋体" w:hAnsi="宋体"/>
                <w:kern w:val="0"/>
                <w:szCs w:val="21"/>
              </w:rPr>
            </w:pPr>
          </w:p>
        </w:tc>
      </w:tr>
      <w:tr w14:paraId="7AAF4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99F6EE">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14:paraId="146C9FA8">
            <w:pPr>
              <w:autoSpaceDE w:val="0"/>
              <w:autoSpaceDN w:val="0"/>
              <w:adjustRightInd w:val="0"/>
              <w:snapToGrid w:val="0"/>
              <w:jc w:val="center"/>
              <w:rPr>
                <w:rFonts w:ascii="宋体" w:hAnsi="宋体"/>
                <w:kern w:val="0"/>
                <w:szCs w:val="21"/>
              </w:rPr>
            </w:pPr>
          </w:p>
        </w:tc>
      </w:tr>
    </w:tbl>
    <w:p w14:paraId="6236E7C5">
      <w:pPr>
        <w:spacing w:line="360" w:lineRule="auto"/>
        <w:rPr>
          <w:rFonts w:ascii="宋体" w:hAnsi="宋体"/>
          <w:szCs w:val="21"/>
        </w:rPr>
      </w:pPr>
    </w:p>
    <w:p w14:paraId="61A790FC">
      <w:pPr>
        <w:pStyle w:val="5"/>
        <w:spacing w:before="0" w:after="0" w:line="240" w:lineRule="auto"/>
        <w:jc w:val="center"/>
        <w:rPr>
          <w:rFonts w:ascii="宋体" w:hAnsi="宋体"/>
          <w:b w:val="0"/>
          <w:bCs w:val="0"/>
        </w:rPr>
      </w:pPr>
      <w:bookmarkStart w:id="349" w:name="_Toc33106479"/>
      <w:bookmarkStart w:id="350" w:name="_Toc23094"/>
      <w:r>
        <w:rPr>
          <w:rFonts w:hint="eastAsia" w:ascii="宋体" w:hAnsi="宋体"/>
          <w:b w:val="0"/>
          <w:bCs w:val="0"/>
        </w:rPr>
        <w:t>（三）项目管理机构</w:t>
      </w:r>
      <w:bookmarkEnd w:id="349"/>
      <w:bookmarkEnd w:id="350"/>
    </w:p>
    <w:p w14:paraId="6C57A26B">
      <w:pPr>
        <w:spacing w:line="360" w:lineRule="auto"/>
        <w:rPr>
          <w:rFonts w:ascii="宋体" w:hAnsi="宋体"/>
        </w:rPr>
      </w:pPr>
    </w:p>
    <w:p w14:paraId="653C6876">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31"/>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3A2AB4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477F8B76">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14:paraId="57FCA2DF">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14:paraId="1624A71F">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14:paraId="7716AA50">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7ED7401B">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017BBC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5A8DCB9C">
            <w:pPr>
              <w:autoSpaceDE w:val="0"/>
              <w:autoSpaceDN w:val="0"/>
              <w:adjustRightInd w:val="0"/>
              <w:snapToGrid w:val="0"/>
              <w:jc w:val="left"/>
              <w:rPr>
                <w:rFonts w:ascii="宋体" w:hAnsi="宋体"/>
                <w:kern w:val="0"/>
                <w:szCs w:val="21"/>
              </w:rPr>
            </w:pPr>
          </w:p>
        </w:tc>
        <w:tc>
          <w:tcPr>
            <w:tcW w:w="734" w:type="dxa"/>
            <w:vMerge w:val="continue"/>
          </w:tcPr>
          <w:p w14:paraId="67A9AD41">
            <w:pPr>
              <w:autoSpaceDE w:val="0"/>
              <w:autoSpaceDN w:val="0"/>
              <w:adjustRightInd w:val="0"/>
              <w:snapToGrid w:val="0"/>
              <w:jc w:val="left"/>
              <w:rPr>
                <w:rFonts w:ascii="宋体" w:hAnsi="宋体"/>
                <w:kern w:val="0"/>
                <w:szCs w:val="21"/>
              </w:rPr>
            </w:pPr>
          </w:p>
        </w:tc>
        <w:tc>
          <w:tcPr>
            <w:tcW w:w="776" w:type="dxa"/>
            <w:vMerge w:val="continue"/>
          </w:tcPr>
          <w:p w14:paraId="78646B38">
            <w:pPr>
              <w:autoSpaceDE w:val="0"/>
              <w:autoSpaceDN w:val="0"/>
              <w:adjustRightInd w:val="0"/>
              <w:snapToGrid w:val="0"/>
              <w:jc w:val="left"/>
              <w:rPr>
                <w:rFonts w:ascii="宋体" w:hAnsi="宋体"/>
                <w:kern w:val="0"/>
                <w:szCs w:val="21"/>
              </w:rPr>
            </w:pPr>
          </w:p>
        </w:tc>
        <w:tc>
          <w:tcPr>
            <w:tcW w:w="1167" w:type="dxa"/>
            <w:vAlign w:val="center"/>
          </w:tcPr>
          <w:p w14:paraId="75979750">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14:paraId="74412D9F">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14:paraId="27F73696">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14:paraId="6327393B">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14:paraId="3A1BA149">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5DF4748D">
            <w:pPr>
              <w:autoSpaceDE w:val="0"/>
              <w:autoSpaceDN w:val="0"/>
              <w:adjustRightInd w:val="0"/>
              <w:snapToGrid w:val="0"/>
              <w:jc w:val="left"/>
              <w:rPr>
                <w:rFonts w:ascii="宋体" w:hAnsi="宋体"/>
                <w:kern w:val="0"/>
                <w:szCs w:val="21"/>
              </w:rPr>
            </w:pPr>
          </w:p>
        </w:tc>
      </w:tr>
      <w:tr w14:paraId="7A2AC2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2E62F2B9">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14:paraId="4A58758B">
            <w:pPr>
              <w:autoSpaceDE w:val="0"/>
              <w:autoSpaceDN w:val="0"/>
              <w:adjustRightInd w:val="0"/>
              <w:snapToGrid w:val="0"/>
              <w:jc w:val="left"/>
              <w:rPr>
                <w:rFonts w:ascii="宋体" w:hAnsi="宋体"/>
                <w:kern w:val="0"/>
                <w:szCs w:val="21"/>
              </w:rPr>
            </w:pPr>
          </w:p>
        </w:tc>
        <w:tc>
          <w:tcPr>
            <w:tcW w:w="776" w:type="dxa"/>
          </w:tcPr>
          <w:p w14:paraId="7E393FB8">
            <w:pPr>
              <w:autoSpaceDE w:val="0"/>
              <w:autoSpaceDN w:val="0"/>
              <w:adjustRightInd w:val="0"/>
              <w:snapToGrid w:val="0"/>
              <w:jc w:val="left"/>
              <w:rPr>
                <w:rFonts w:ascii="宋体" w:hAnsi="宋体"/>
                <w:kern w:val="0"/>
                <w:szCs w:val="21"/>
              </w:rPr>
            </w:pPr>
          </w:p>
        </w:tc>
        <w:tc>
          <w:tcPr>
            <w:tcW w:w="1167" w:type="dxa"/>
          </w:tcPr>
          <w:p w14:paraId="22B30BC0">
            <w:pPr>
              <w:autoSpaceDE w:val="0"/>
              <w:autoSpaceDN w:val="0"/>
              <w:adjustRightInd w:val="0"/>
              <w:snapToGrid w:val="0"/>
              <w:jc w:val="left"/>
              <w:rPr>
                <w:rFonts w:ascii="宋体" w:hAnsi="宋体"/>
                <w:kern w:val="0"/>
                <w:szCs w:val="21"/>
              </w:rPr>
            </w:pPr>
          </w:p>
        </w:tc>
        <w:tc>
          <w:tcPr>
            <w:tcW w:w="776" w:type="dxa"/>
          </w:tcPr>
          <w:p w14:paraId="23A651B2">
            <w:pPr>
              <w:autoSpaceDE w:val="0"/>
              <w:autoSpaceDN w:val="0"/>
              <w:adjustRightInd w:val="0"/>
              <w:snapToGrid w:val="0"/>
              <w:jc w:val="left"/>
              <w:rPr>
                <w:rFonts w:ascii="宋体" w:hAnsi="宋体"/>
                <w:kern w:val="0"/>
                <w:szCs w:val="21"/>
              </w:rPr>
            </w:pPr>
          </w:p>
        </w:tc>
        <w:tc>
          <w:tcPr>
            <w:tcW w:w="778" w:type="dxa"/>
          </w:tcPr>
          <w:p w14:paraId="0A2DC790">
            <w:pPr>
              <w:autoSpaceDE w:val="0"/>
              <w:autoSpaceDN w:val="0"/>
              <w:adjustRightInd w:val="0"/>
              <w:snapToGrid w:val="0"/>
              <w:jc w:val="left"/>
              <w:rPr>
                <w:rFonts w:ascii="宋体" w:hAnsi="宋体"/>
                <w:kern w:val="0"/>
                <w:szCs w:val="21"/>
              </w:rPr>
            </w:pPr>
          </w:p>
        </w:tc>
        <w:tc>
          <w:tcPr>
            <w:tcW w:w="776" w:type="dxa"/>
          </w:tcPr>
          <w:p w14:paraId="37C69605">
            <w:pPr>
              <w:autoSpaceDE w:val="0"/>
              <w:autoSpaceDN w:val="0"/>
              <w:adjustRightInd w:val="0"/>
              <w:snapToGrid w:val="0"/>
              <w:jc w:val="left"/>
              <w:rPr>
                <w:rFonts w:ascii="宋体" w:hAnsi="宋体"/>
                <w:kern w:val="0"/>
                <w:szCs w:val="21"/>
              </w:rPr>
            </w:pPr>
          </w:p>
        </w:tc>
        <w:tc>
          <w:tcPr>
            <w:tcW w:w="2723" w:type="dxa"/>
          </w:tcPr>
          <w:p w14:paraId="68A4E6A0">
            <w:pPr>
              <w:autoSpaceDE w:val="0"/>
              <w:autoSpaceDN w:val="0"/>
              <w:adjustRightInd w:val="0"/>
              <w:snapToGrid w:val="0"/>
              <w:jc w:val="left"/>
              <w:rPr>
                <w:rFonts w:ascii="宋体" w:hAnsi="宋体"/>
                <w:kern w:val="0"/>
                <w:szCs w:val="21"/>
              </w:rPr>
            </w:pPr>
          </w:p>
        </w:tc>
        <w:tc>
          <w:tcPr>
            <w:tcW w:w="896" w:type="dxa"/>
          </w:tcPr>
          <w:p w14:paraId="55FC8593">
            <w:pPr>
              <w:autoSpaceDE w:val="0"/>
              <w:autoSpaceDN w:val="0"/>
              <w:adjustRightInd w:val="0"/>
              <w:snapToGrid w:val="0"/>
              <w:jc w:val="left"/>
              <w:rPr>
                <w:rFonts w:ascii="宋体" w:hAnsi="宋体"/>
                <w:kern w:val="0"/>
                <w:szCs w:val="21"/>
              </w:rPr>
            </w:pPr>
          </w:p>
        </w:tc>
      </w:tr>
      <w:tr w14:paraId="24B674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5E93E426">
            <w:pPr>
              <w:autoSpaceDE w:val="0"/>
              <w:autoSpaceDN w:val="0"/>
              <w:adjustRightInd w:val="0"/>
              <w:snapToGrid w:val="0"/>
              <w:jc w:val="center"/>
              <w:rPr>
                <w:rFonts w:ascii="宋体" w:hAnsi="宋体"/>
                <w:kern w:val="0"/>
                <w:szCs w:val="21"/>
              </w:rPr>
            </w:pPr>
            <w:r>
              <w:rPr>
                <w:rFonts w:hint="eastAsia" w:ascii="宋体" w:hAnsi="宋体"/>
                <w:kern w:val="0"/>
                <w:szCs w:val="21"/>
              </w:rPr>
              <w:t>项目总工</w:t>
            </w:r>
          </w:p>
        </w:tc>
        <w:tc>
          <w:tcPr>
            <w:tcW w:w="734" w:type="dxa"/>
          </w:tcPr>
          <w:p w14:paraId="47EFAC1F">
            <w:pPr>
              <w:autoSpaceDE w:val="0"/>
              <w:autoSpaceDN w:val="0"/>
              <w:adjustRightInd w:val="0"/>
              <w:snapToGrid w:val="0"/>
              <w:jc w:val="left"/>
              <w:rPr>
                <w:rFonts w:ascii="宋体" w:hAnsi="宋体"/>
                <w:kern w:val="0"/>
                <w:szCs w:val="21"/>
              </w:rPr>
            </w:pPr>
          </w:p>
        </w:tc>
        <w:tc>
          <w:tcPr>
            <w:tcW w:w="776" w:type="dxa"/>
          </w:tcPr>
          <w:p w14:paraId="4E07862C">
            <w:pPr>
              <w:autoSpaceDE w:val="0"/>
              <w:autoSpaceDN w:val="0"/>
              <w:adjustRightInd w:val="0"/>
              <w:snapToGrid w:val="0"/>
              <w:jc w:val="left"/>
              <w:rPr>
                <w:rFonts w:ascii="宋体" w:hAnsi="宋体"/>
                <w:kern w:val="0"/>
                <w:szCs w:val="21"/>
              </w:rPr>
            </w:pPr>
          </w:p>
        </w:tc>
        <w:tc>
          <w:tcPr>
            <w:tcW w:w="1167" w:type="dxa"/>
          </w:tcPr>
          <w:p w14:paraId="3F4EF83B">
            <w:pPr>
              <w:autoSpaceDE w:val="0"/>
              <w:autoSpaceDN w:val="0"/>
              <w:adjustRightInd w:val="0"/>
              <w:snapToGrid w:val="0"/>
              <w:jc w:val="left"/>
              <w:rPr>
                <w:rFonts w:ascii="宋体" w:hAnsi="宋体"/>
                <w:kern w:val="0"/>
                <w:szCs w:val="21"/>
              </w:rPr>
            </w:pPr>
          </w:p>
        </w:tc>
        <w:tc>
          <w:tcPr>
            <w:tcW w:w="776" w:type="dxa"/>
          </w:tcPr>
          <w:p w14:paraId="4FD22407">
            <w:pPr>
              <w:autoSpaceDE w:val="0"/>
              <w:autoSpaceDN w:val="0"/>
              <w:adjustRightInd w:val="0"/>
              <w:snapToGrid w:val="0"/>
              <w:jc w:val="left"/>
              <w:rPr>
                <w:rFonts w:ascii="宋体" w:hAnsi="宋体"/>
                <w:kern w:val="0"/>
                <w:szCs w:val="21"/>
              </w:rPr>
            </w:pPr>
          </w:p>
        </w:tc>
        <w:tc>
          <w:tcPr>
            <w:tcW w:w="778" w:type="dxa"/>
          </w:tcPr>
          <w:p w14:paraId="278DB802">
            <w:pPr>
              <w:autoSpaceDE w:val="0"/>
              <w:autoSpaceDN w:val="0"/>
              <w:adjustRightInd w:val="0"/>
              <w:snapToGrid w:val="0"/>
              <w:jc w:val="left"/>
              <w:rPr>
                <w:rFonts w:ascii="宋体" w:hAnsi="宋体"/>
                <w:kern w:val="0"/>
                <w:szCs w:val="21"/>
              </w:rPr>
            </w:pPr>
          </w:p>
        </w:tc>
        <w:tc>
          <w:tcPr>
            <w:tcW w:w="776" w:type="dxa"/>
          </w:tcPr>
          <w:p w14:paraId="2EEFAF79">
            <w:pPr>
              <w:autoSpaceDE w:val="0"/>
              <w:autoSpaceDN w:val="0"/>
              <w:adjustRightInd w:val="0"/>
              <w:snapToGrid w:val="0"/>
              <w:jc w:val="left"/>
              <w:rPr>
                <w:rFonts w:ascii="宋体" w:hAnsi="宋体"/>
                <w:kern w:val="0"/>
                <w:szCs w:val="21"/>
              </w:rPr>
            </w:pPr>
          </w:p>
        </w:tc>
        <w:tc>
          <w:tcPr>
            <w:tcW w:w="2723" w:type="dxa"/>
          </w:tcPr>
          <w:p w14:paraId="513DB614">
            <w:pPr>
              <w:autoSpaceDE w:val="0"/>
              <w:autoSpaceDN w:val="0"/>
              <w:adjustRightInd w:val="0"/>
              <w:snapToGrid w:val="0"/>
              <w:jc w:val="left"/>
              <w:rPr>
                <w:rFonts w:ascii="宋体" w:hAnsi="宋体"/>
                <w:kern w:val="0"/>
                <w:szCs w:val="21"/>
              </w:rPr>
            </w:pPr>
          </w:p>
        </w:tc>
        <w:tc>
          <w:tcPr>
            <w:tcW w:w="896" w:type="dxa"/>
          </w:tcPr>
          <w:p w14:paraId="30D7BEA5">
            <w:pPr>
              <w:autoSpaceDE w:val="0"/>
              <w:autoSpaceDN w:val="0"/>
              <w:adjustRightInd w:val="0"/>
              <w:snapToGrid w:val="0"/>
              <w:jc w:val="left"/>
              <w:rPr>
                <w:rFonts w:ascii="宋体" w:hAnsi="宋体"/>
                <w:kern w:val="0"/>
                <w:szCs w:val="21"/>
              </w:rPr>
            </w:pPr>
          </w:p>
        </w:tc>
      </w:tr>
      <w:tr w14:paraId="29DFE2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5D42BF8">
            <w:pPr>
              <w:autoSpaceDE w:val="0"/>
              <w:autoSpaceDN w:val="0"/>
              <w:adjustRightInd w:val="0"/>
              <w:snapToGrid w:val="0"/>
              <w:jc w:val="left"/>
              <w:rPr>
                <w:rFonts w:ascii="宋体" w:hAnsi="宋体"/>
                <w:kern w:val="0"/>
                <w:szCs w:val="21"/>
              </w:rPr>
            </w:pPr>
          </w:p>
        </w:tc>
        <w:tc>
          <w:tcPr>
            <w:tcW w:w="734" w:type="dxa"/>
          </w:tcPr>
          <w:p w14:paraId="2A31FC83">
            <w:pPr>
              <w:autoSpaceDE w:val="0"/>
              <w:autoSpaceDN w:val="0"/>
              <w:adjustRightInd w:val="0"/>
              <w:snapToGrid w:val="0"/>
              <w:jc w:val="left"/>
              <w:rPr>
                <w:rFonts w:ascii="宋体" w:hAnsi="宋体"/>
                <w:kern w:val="0"/>
                <w:szCs w:val="21"/>
              </w:rPr>
            </w:pPr>
          </w:p>
        </w:tc>
        <w:tc>
          <w:tcPr>
            <w:tcW w:w="776" w:type="dxa"/>
          </w:tcPr>
          <w:p w14:paraId="159BFF5B">
            <w:pPr>
              <w:autoSpaceDE w:val="0"/>
              <w:autoSpaceDN w:val="0"/>
              <w:adjustRightInd w:val="0"/>
              <w:snapToGrid w:val="0"/>
              <w:jc w:val="left"/>
              <w:rPr>
                <w:rFonts w:ascii="宋体" w:hAnsi="宋体"/>
                <w:kern w:val="0"/>
                <w:szCs w:val="21"/>
              </w:rPr>
            </w:pPr>
          </w:p>
        </w:tc>
        <w:tc>
          <w:tcPr>
            <w:tcW w:w="1167" w:type="dxa"/>
          </w:tcPr>
          <w:p w14:paraId="718D472A">
            <w:pPr>
              <w:autoSpaceDE w:val="0"/>
              <w:autoSpaceDN w:val="0"/>
              <w:adjustRightInd w:val="0"/>
              <w:snapToGrid w:val="0"/>
              <w:jc w:val="left"/>
              <w:rPr>
                <w:rFonts w:ascii="宋体" w:hAnsi="宋体"/>
                <w:kern w:val="0"/>
                <w:szCs w:val="21"/>
              </w:rPr>
            </w:pPr>
          </w:p>
        </w:tc>
        <w:tc>
          <w:tcPr>
            <w:tcW w:w="776" w:type="dxa"/>
          </w:tcPr>
          <w:p w14:paraId="2350A4D4">
            <w:pPr>
              <w:autoSpaceDE w:val="0"/>
              <w:autoSpaceDN w:val="0"/>
              <w:adjustRightInd w:val="0"/>
              <w:snapToGrid w:val="0"/>
              <w:jc w:val="left"/>
              <w:rPr>
                <w:rFonts w:ascii="宋体" w:hAnsi="宋体"/>
                <w:kern w:val="0"/>
                <w:szCs w:val="21"/>
              </w:rPr>
            </w:pPr>
          </w:p>
        </w:tc>
        <w:tc>
          <w:tcPr>
            <w:tcW w:w="778" w:type="dxa"/>
          </w:tcPr>
          <w:p w14:paraId="6E7BDEC7">
            <w:pPr>
              <w:autoSpaceDE w:val="0"/>
              <w:autoSpaceDN w:val="0"/>
              <w:adjustRightInd w:val="0"/>
              <w:snapToGrid w:val="0"/>
              <w:jc w:val="left"/>
              <w:rPr>
                <w:rFonts w:ascii="宋体" w:hAnsi="宋体"/>
                <w:kern w:val="0"/>
                <w:szCs w:val="21"/>
              </w:rPr>
            </w:pPr>
          </w:p>
        </w:tc>
        <w:tc>
          <w:tcPr>
            <w:tcW w:w="776" w:type="dxa"/>
          </w:tcPr>
          <w:p w14:paraId="73F97DE4">
            <w:pPr>
              <w:autoSpaceDE w:val="0"/>
              <w:autoSpaceDN w:val="0"/>
              <w:adjustRightInd w:val="0"/>
              <w:snapToGrid w:val="0"/>
              <w:jc w:val="left"/>
              <w:rPr>
                <w:rFonts w:ascii="宋体" w:hAnsi="宋体"/>
                <w:kern w:val="0"/>
                <w:szCs w:val="21"/>
              </w:rPr>
            </w:pPr>
          </w:p>
        </w:tc>
        <w:tc>
          <w:tcPr>
            <w:tcW w:w="2723" w:type="dxa"/>
          </w:tcPr>
          <w:p w14:paraId="5FAB3E1B">
            <w:pPr>
              <w:autoSpaceDE w:val="0"/>
              <w:autoSpaceDN w:val="0"/>
              <w:adjustRightInd w:val="0"/>
              <w:snapToGrid w:val="0"/>
              <w:jc w:val="left"/>
              <w:rPr>
                <w:rFonts w:ascii="宋体" w:hAnsi="宋体"/>
                <w:kern w:val="0"/>
                <w:szCs w:val="21"/>
              </w:rPr>
            </w:pPr>
          </w:p>
        </w:tc>
        <w:tc>
          <w:tcPr>
            <w:tcW w:w="896" w:type="dxa"/>
          </w:tcPr>
          <w:p w14:paraId="5D72F3F8">
            <w:pPr>
              <w:autoSpaceDE w:val="0"/>
              <w:autoSpaceDN w:val="0"/>
              <w:adjustRightInd w:val="0"/>
              <w:snapToGrid w:val="0"/>
              <w:jc w:val="left"/>
              <w:rPr>
                <w:rFonts w:ascii="宋体" w:hAnsi="宋体"/>
                <w:kern w:val="0"/>
                <w:szCs w:val="21"/>
              </w:rPr>
            </w:pPr>
          </w:p>
        </w:tc>
      </w:tr>
      <w:tr w14:paraId="6FE00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E499162">
            <w:pPr>
              <w:autoSpaceDE w:val="0"/>
              <w:autoSpaceDN w:val="0"/>
              <w:adjustRightInd w:val="0"/>
              <w:snapToGrid w:val="0"/>
              <w:jc w:val="left"/>
              <w:rPr>
                <w:rFonts w:ascii="宋体" w:hAnsi="宋体"/>
                <w:kern w:val="0"/>
                <w:szCs w:val="21"/>
              </w:rPr>
            </w:pPr>
          </w:p>
        </w:tc>
        <w:tc>
          <w:tcPr>
            <w:tcW w:w="734" w:type="dxa"/>
          </w:tcPr>
          <w:p w14:paraId="3DBB1801">
            <w:pPr>
              <w:autoSpaceDE w:val="0"/>
              <w:autoSpaceDN w:val="0"/>
              <w:adjustRightInd w:val="0"/>
              <w:snapToGrid w:val="0"/>
              <w:jc w:val="left"/>
              <w:rPr>
                <w:rFonts w:ascii="宋体" w:hAnsi="宋体"/>
                <w:kern w:val="0"/>
                <w:szCs w:val="21"/>
              </w:rPr>
            </w:pPr>
          </w:p>
        </w:tc>
        <w:tc>
          <w:tcPr>
            <w:tcW w:w="776" w:type="dxa"/>
          </w:tcPr>
          <w:p w14:paraId="7161F76D">
            <w:pPr>
              <w:autoSpaceDE w:val="0"/>
              <w:autoSpaceDN w:val="0"/>
              <w:adjustRightInd w:val="0"/>
              <w:snapToGrid w:val="0"/>
              <w:jc w:val="left"/>
              <w:rPr>
                <w:rFonts w:ascii="宋体" w:hAnsi="宋体"/>
                <w:kern w:val="0"/>
                <w:szCs w:val="21"/>
              </w:rPr>
            </w:pPr>
          </w:p>
        </w:tc>
        <w:tc>
          <w:tcPr>
            <w:tcW w:w="1167" w:type="dxa"/>
          </w:tcPr>
          <w:p w14:paraId="5B57E061">
            <w:pPr>
              <w:autoSpaceDE w:val="0"/>
              <w:autoSpaceDN w:val="0"/>
              <w:adjustRightInd w:val="0"/>
              <w:snapToGrid w:val="0"/>
              <w:jc w:val="left"/>
              <w:rPr>
                <w:rFonts w:ascii="宋体" w:hAnsi="宋体"/>
                <w:kern w:val="0"/>
                <w:szCs w:val="21"/>
              </w:rPr>
            </w:pPr>
          </w:p>
        </w:tc>
        <w:tc>
          <w:tcPr>
            <w:tcW w:w="776" w:type="dxa"/>
          </w:tcPr>
          <w:p w14:paraId="7A335FE6">
            <w:pPr>
              <w:autoSpaceDE w:val="0"/>
              <w:autoSpaceDN w:val="0"/>
              <w:adjustRightInd w:val="0"/>
              <w:snapToGrid w:val="0"/>
              <w:jc w:val="left"/>
              <w:rPr>
                <w:rFonts w:ascii="宋体" w:hAnsi="宋体"/>
                <w:kern w:val="0"/>
                <w:szCs w:val="21"/>
              </w:rPr>
            </w:pPr>
          </w:p>
        </w:tc>
        <w:tc>
          <w:tcPr>
            <w:tcW w:w="778" w:type="dxa"/>
          </w:tcPr>
          <w:p w14:paraId="68388ACA">
            <w:pPr>
              <w:autoSpaceDE w:val="0"/>
              <w:autoSpaceDN w:val="0"/>
              <w:adjustRightInd w:val="0"/>
              <w:snapToGrid w:val="0"/>
              <w:jc w:val="left"/>
              <w:rPr>
                <w:rFonts w:ascii="宋体" w:hAnsi="宋体"/>
                <w:kern w:val="0"/>
                <w:szCs w:val="21"/>
              </w:rPr>
            </w:pPr>
          </w:p>
        </w:tc>
        <w:tc>
          <w:tcPr>
            <w:tcW w:w="776" w:type="dxa"/>
          </w:tcPr>
          <w:p w14:paraId="69F1BC6C">
            <w:pPr>
              <w:autoSpaceDE w:val="0"/>
              <w:autoSpaceDN w:val="0"/>
              <w:adjustRightInd w:val="0"/>
              <w:snapToGrid w:val="0"/>
              <w:jc w:val="left"/>
              <w:rPr>
                <w:rFonts w:ascii="宋体" w:hAnsi="宋体"/>
                <w:kern w:val="0"/>
                <w:szCs w:val="21"/>
              </w:rPr>
            </w:pPr>
          </w:p>
        </w:tc>
        <w:tc>
          <w:tcPr>
            <w:tcW w:w="2723" w:type="dxa"/>
          </w:tcPr>
          <w:p w14:paraId="71598237">
            <w:pPr>
              <w:autoSpaceDE w:val="0"/>
              <w:autoSpaceDN w:val="0"/>
              <w:adjustRightInd w:val="0"/>
              <w:snapToGrid w:val="0"/>
              <w:jc w:val="left"/>
              <w:rPr>
                <w:rFonts w:ascii="宋体" w:hAnsi="宋体"/>
                <w:kern w:val="0"/>
                <w:szCs w:val="21"/>
              </w:rPr>
            </w:pPr>
          </w:p>
        </w:tc>
        <w:tc>
          <w:tcPr>
            <w:tcW w:w="896" w:type="dxa"/>
          </w:tcPr>
          <w:p w14:paraId="522CA5F7">
            <w:pPr>
              <w:autoSpaceDE w:val="0"/>
              <w:autoSpaceDN w:val="0"/>
              <w:adjustRightInd w:val="0"/>
              <w:snapToGrid w:val="0"/>
              <w:jc w:val="left"/>
              <w:rPr>
                <w:rFonts w:ascii="宋体" w:hAnsi="宋体"/>
                <w:kern w:val="0"/>
                <w:szCs w:val="21"/>
              </w:rPr>
            </w:pPr>
          </w:p>
        </w:tc>
      </w:tr>
      <w:tr w14:paraId="4FF6F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6BA34B">
            <w:pPr>
              <w:autoSpaceDE w:val="0"/>
              <w:autoSpaceDN w:val="0"/>
              <w:adjustRightInd w:val="0"/>
              <w:snapToGrid w:val="0"/>
              <w:jc w:val="left"/>
              <w:rPr>
                <w:rFonts w:ascii="宋体" w:hAnsi="宋体"/>
                <w:kern w:val="0"/>
                <w:szCs w:val="21"/>
              </w:rPr>
            </w:pPr>
          </w:p>
        </w:tc>
        <w:tc>
          <w:tcPr>
            <w:tcW w:w="734" w:type="dxa"/>
          </w:tcPr>
          <w:p w14:paraId="7C8B341F">
            <w:pPr>
              <w:autoSpaceDE w:val="0"/>
              <w:autoSpaceDN w:val="0"/>
              <w:adjustRightInd w:val="0"/>
              <w:snapToGrid w:val="0"/>
              <w:jc w:val="left"/>
              <w:rPr>
                <w:rFonts w:ascii="宋体" w:hAnsi="宋体"/>
                <w:kern w:val="0"/>
                <w:szCs w:val="21"/>
              </w:rPr>
            </w:pPr>
          </w:p>
        </w:tc>
        <w:tc>
          <w:tcPr>
            <w:tcW w:w="776" w:type="dxa"/>
          </w:tcPr>
          <w:p w14:paraId="1CF9AB1E">
            <w:pPr>
              <w:autoSpaceDE w:val="0"/>
              <w:autoSpaceDN w:val="0"/>
              <w:adjustRightInd w:val="0"/>
              <w:snapToGrid w:val="0"/>
              <w:jc w:val="left"/>
              <w:rPr>
                <w:rFonts w:ascii="宋体" w:hAnsi="宋体"/>
                <w:kern w:val="0"/>
                <w:szCs w:val="21"/>
              </w:rPr>
            </w:pPr>
          </w:p>
        </w:tc>
        <w:tc>
          <w:tcPr>
            <w:tcW w:w="1167" w:type="dxa"/>
          </w:tcPr>
          <w:p w14:paraId="3CB120B3">
            <w:pPr>
              <w:autoSpaceDE w:val="0"/>
              <w:autoSpaceDN w:val="0"/>
              <w:adjustRightInd w:val="0"/>
              <w:snapToGrid w:val="0"/>
              <w:jc w:val="left"/>
              <w:rPr>
                <w:rFonts w:ascii="宋体" w:hAnsi="宋体"/>
                <w:kern w:val="0"/>
                <w:szCs w:val="21"/>
              </w:rPr>
            </w:pPr>
          </w:p>
        </w:tc>
        <w:tc>
          <w:tcPr>
            <w:tcW w:w="776" w:type="dxa"/>
          </w:tcPr>
          <w:p w14:paraId="764B70DD">
            <w:pPr>
              <w:autoSpaceDE w:val="0"/>
              <w:autoSpaceDN w:val="0"/>
              <w:adjustRightInd w:val="0"/>
              <w:snapToGrid w:val="0"/>
              <w:jc w:val="left"/>
              <w:rPr>
                <w:rFonts w:ascii="宋体" w:hAnsi="宋体"/>
                <w:kern w:val="0"/>
                <w:szCs w:val="21"/>
              </w:rPr>
            </w:pPr>
          </w:p>
        </w:tc>
        <w:tc>
          <w:tcPr>
            <w:tcW w:w="778" w:type="dxa"/>
          </w:tcPr>
          <w:p w14:paraId="59B284E9">
            <w:pPr>
              <w:autoSpaceDE w:val="0"/>
              <w:autoSpaceDN w:val="0"/>
              <w:adjustRightInd w:val="0"/>
              <w:snapToGrid w:val="0"/>
              <w:jc w:val="left"/>
              <w:rPr>
                <w:rFonts w:ascii="宋体" w:hAnsi="宋体"/>
                <w:kern w:val="0"/>
                <w:szCs w:val="21"/>
              </w:rPr>
            </w:pPr>
          </w:p>
        </w:tc>
        <w:tc>
          <w:tcPr>
            <w:tcW w:w="776" w:type="dxa"/>
          </w:tcPr>
          <w:p w14:paraId="5A45EDFE">
            <w:pPr>
              <w:autoSpaceDE w:val="0"/>
              <w:autoSpaceDN w:val="0"/>
              <w:adjustRightInd w:val="0"/>
              <w:snapToGrid w:val="0"/>
              <w:jc w:val="left"/>
              <w:rPr>
                <w:rFonts w:ascii="宋体" w:hAnsi="宋体"/>
                <w:kern w:val="0"/>
                <w:szCs w:val="21"/>
              </w:rPr>
            </w:pPr>
          </w:p>
        </w:tc>
        <w:tc>
          <w:tcPr>
            <w:tcW w:w="2723" w:type="dxa"/>
          </w:tcPr>
          <w:p w14:paraId="2669DEC8">
            <w:pPr>
              <w:autoSpaceDE w:val="0"/>
              <w:autoSpaceDN w:val="0"/>
              <w:adjustRightInd w:val="0"/>
              <w:snapToGrid w:val="0"/>
              <w:jc w:val="left"/>
              <w:rPr>
                <w:rFonts w:ascii="宋体" w:hAnsi="宋体"/>
                <w:kern w:val="0"/>
                <w:szCs w:val="21"/>
              </w:rPr>
            </w:pPr>
          </w:p>
        </w:tc>
        <w:tc>
          <w:tcPr>
            <w:tcW w:w="896" w:type="dxa"/>
          </w:tcPr>
          <w:p w14:paraId="11F501DF">
            <w:pPr>
              <w:autoSpaceDE w:val="0"/>
              <w:autoSpaceDN w:val="0"/>
              <w:adjustRightInd w:val="0"/>
              <w:snapToGrid w:val="0"/>
              <w:jc w:val="left"/>
              <w:rPr>
                <w:rFonts w:ascii="宋体" w:hAnsi="宋体"/>
                <w:kern w:val="0"/>
                <w:szCs w:val="21"/>
              </w:rPr>
            </w:pPr>
          </w:p>
        </w:tc>
      </w:tr>
      <w:tr w14:paraId="2F27FE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E612488">
            <w:pPr>
              <w:autoSpaceDE w:val="0"/>
              <w:autoSpaceDN w:val="0"/>
              <w:adjustRightInd w:val="0"/>
              <w:snapToGrid w:val="0"/>
              <w:jc w:val="left"/>
              <w:rPr>
                <w:rFonts w:ascii="宋体" w:hAnsi="宋体"/>
                <w:kern w:val="0"/>
                <w:szCs w:val="21"/>
              </w:rPr>
            </w:pPr>
          </w:p>
        </w:tc>
        <w:tc>
          <w:tcPr>
            <w:tcW w:w="734" w:type="dxa"/>
          </w:tcPr>
          <w:p w14:paraId="3882CF8A">
            <w:pPr>
              <w:autoSpaceDE w:val="0"/>
              <w:autoSpaceDN w:val="0"/>
              <w:adjustRightInd w:val="0"/>
              <w:snapToGrid w:val="0"/>
              <w:jc w:val="left"/>
              <w:rPr>
                <w:rFonts w:ascii="宋体" w:hAnsi="宋体"/>
                <w:kern w:val="0"/>
                <w:szCs w:val="21"/>
              </w:rPr>
            </w:pPr>
          </w:p>
        </w:tc>
        <w:tc>
          <w:tcPr>
            <w:tcW w:w="776" w:type="dxa"/>
          </w:tcPr>
          <w:p w14:paraId="73737074">
            <w:pPr>
              <w:autoSpaceDE w:val="0"/>
              <w:autoSpaceDN w:val="0"/>
              <w:adjustRightInd w:val="0"/>
              <w:snapToGrid w:val="0"/>
              <w:jc w:val="left"/>
              <w:rPr>
                <w:rFonts w:ascii="宋体" w:hAnsi="宋体"/>
                <w:kern w:val="0"/>
                <w:szCs w:val="21"/>
              </w:rPr>
            </w:pPr>
          </w:p>
        </w:tc>
        <w:tc>
          <w:tcPr>
            <w:tcW w:w="1167" w:type="dxa"/>
          </w:tcPr>
          <w:p w14:paraId="12368F7A">
            <w:pPr>
              <w:autoSpaceDE w:val="0"/>
              <w:autoSpaceDN w:val="0"/>
              <w:adjustRightInd w:val="0"/>
              <w:snapToGrid w:val="0"/>
              <w:jc w:val="left"/>
              <w:rPr>
                <w:rFonts w:ascii="宋体" w:hAnsi="宋体"/>
                <w:kern w:val="0"/>
                <w:szCs w:val="21"/>
              </w:rPr>
            </w:pPr>
          </w:p>
        </w:tc>
        <w:tc>
          <w:tcPr>
            <w:tcW w:w="776" w:type="dxa"/>
          </w:tcPr>
          <w:p w14:paraId="4966881A">
            <w:pPr>
              <w:autoSpaceDE w:val="0"/>
              <w:autoSpaceDN w:val="0"/>
              <w:adjustRightInd w:val="0"/>
              <w:snapToGrid w:val="0"/>
              <w:jc w:val="left"/>
              <w:rPr>
                <w:rFonts w:ascii="宋体" w:hAnsi="宋体"/>
                <w:kern w:val="0"/>
                <w:szCs w:val="21"/>
              </w:rPr>
            </w:pPr>
          </w:p>
        </w:tc>
        <w:tc>
          <w:tcPr>
            <w:tcW w:w="778" w:type="dxa"/>
          </w:tcPr>
          <w:p w14:paraId="7D048825">
            <w:pPr>
              <w:autoSpaceDE w:val="0"/>
              <w:autoSpaceDN w:val="0"/>
              <w:adjustRightInd w:val="0"/>
              <w:snapToGrid w:val="0"/>
              <w:jc w:val="left"/>
              <w:rPr>
                <w:rFonts w:ascii="宋体" w:hAnsi="宋体"/>
                <w:kern w:val="0"/>
                <w:szCs w:val="21"/>
              </w:rPr>
            </w:pPr>
          </w:p>
        </w:tc>
        <w:tc>
          <w:tcPr>
            <w:tcW w:w="776" w:type="dxa"/>
          </w:tcPr>
          <w:p w14:paraId="0F9827F3">
            <w:pPr>
              <w:autoSpaceDE w:val="0"/>
              <w:autoSpaceDN w:val="0"/>
              <w:adjustRightInd w:val="0"/>
              <w:snapToGrid w:val="0"/>
              <w:jc w:val="left"/>
              <w:rPr>
                <w:rFonts w:ascii="宋体" w:hAnsi="宋体"/>
                <w:kern w:val="0"/>
                <w:szCs w:val="21"/>
              </w:rPr>
            </w:pPr>
          </w:p>
        </w:tc>
        <w:tc>
          <w:tcPr>
            <w:tcW w:w="2723" w:type="dxa"/>
          </w:tcPr>
          <w:p w14:paraId="5EFE2D82">
            <w:pPr>
              <w:autoSpaceDE w:val="0"/>
              <w:autoSpaceDN w:val="0"/>
              <w:adjustRightInd w:val="0"/>
              <w:snapToGrid w:val="0"/>
              <w:jc w:val="left"/>
              <w:rPr>
                <w:rFonts w:ascii="宋体" w:hAnsi="宋体"/>
                <w:kern w:val="0"/>
                <w:szCs w:val="21"/>
              </w:rPr>
            </w:pPr>
          </w:p>
        </w:tc>
        <w:tc>
          <w:tcPr>
            <w:tcW w:w="896" w:type="dxa"/>
          </w:tcPr>
          <w:p w14:paraId="1FA582FE">
            <w:pPr>
              <w:autoSpaceDE w:val="0"/>
              <w:autoSpaceDN w:val="0"/>
              <w:adjustRightInd w:val="0"/>
              <w:snapToGrid w:val="0"/>
              <w:jc w:val="left"/>
              <w:rPr>
                <w:rFonts w:ascii="宋体" w:hAnsi="宋体"/>
                <w:kern w:val="0"/>
                <w:szCs w:val="21"/>
              </w:rPr>
            </w:pPr>
          </w:p>
        </w:tc>
      </w:tr>
      <w:tr w14:paraId="49ADF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CAA79CD">
            <w:pPr>
              <w:autoSpaceDE w:val="0"/>
              <w:autoSpaceDN w:val="0"/>
              <w:adjustRightInd w:val="0"/>
              <w:snapToGrid w:val="0"/>
              <w:jc w:val="left"/>
              <w:rPr>
                <w:rFonts w:ascii="宋体" w:hAnsi="宋体"/>
                <w:kern w:val="0"/>
                <w:szCs w:val="21"/>
              </w:rPr>
            </w:pPr>
          </w:p>
        </w:tc>
        <w:tc>
          <w:tcPr>
            <w:tcW w:w="734" w:type="dxa"/>
          </w:tcPr>
          <w:p w14:paraId="100F4DAD">
            <w:pPr>
              <w:autoSpaceDE w:val="0"/>
              <w:autoSpaceDN w:val="0"/>
              <w:adjustRightInd w:val="0"/>
              <w:snapToGrid w:val="0"/>
              <w:jc w:val="left"/>
              <w:rPr>
                <w:rFonts w:ascii="宋体" w:hAnsi="宋体"/>
                <w:kern w:val="0"/>
                <w:szCs w:val="21"/>
              </w:rPr>
            </w:pPr>
          </w:p>
        </w:tc>
        <w:tc>
          <w:tcPr>
            <w:tcW w:w="776" w:type="dxa"/>
          </w:tcPr>
          <w:p w14:paraId="600E4E2C">
            <w:pPr>
              <w:autoSpaceDE w:val="0"/>
              <w:autoSpaceDN w:val="0"/>
              <w:adjustRightInd w:val="0"/>
              <w:snapToGrid w:val="0"/>
              <w:jc w:val="left"/>
              <w:rPr>
                <w:rFonts w:ascii="宋体" w:hAnsi="宋体"/>
                <w:kern w:val="0"/>
                <w:szCs w:val="21"/>
              </w:rPr>
            </w:pPr>
          </w:p>
        </w:tc>
        <w:tc>
          <w:tcPr>
            <w:tcW w:w="1167" w:type="dxa"/>
          </w:tcPr>
          <w:p w14:paraId="7A0CC06E">
            <w:pPr>
              <w:autoSpaceDE w:val="0"/>
              <w:autoSpaceDN w:val="0"/>
              <w:adjustRightInd w:val="0"/>
              <w:snapToGrid w:val="0"/>
              <w:jc w:val="left"/>
              <w:rPr>
                <w:rFonts w:ascii="宋体" w:hAnsi="宋体"/>
                <w:kern w:val="0"/>
                <w:szCs w:val="21"/>
              </w:rPr>
            </w:pPr>
          </w:p>
        </w:tc>
        <w:tc>
          <w:tcPr>
            <w:tcW w:w="776" w:type="dxa"/>
          </w:tcPr>
          <w:p w14:paraId="37862450">
            <w:pPr>
              <w:autoSpaceDE w:val="0"/>
              <w:autoSpaceDN w:val="0"/>
              <w:adjustRightInd w:val="0"/>
              <w:snapToGrid w:val="0"/>
              <w:jc w:val="left"/>
              <w:rPr>
                <w:rFonts w:ascii="宋体" w:hAnsi="宋体"/>
                <w:kern w:val="0"/>
                <w:szCs w:val="21"/>
              </w:rPr>
            </w:pPr>
          </w:p>
        </w:tc>
        <w:tc>
          <w:tcPr>
            <w:tcW w:w="778" w:type="dxa"/>
          </w:tcPr>
          <w:p w14:paraId="094D87E6">
            <w:pPr>
              <w:autoSpaceDE w:val="0"/>
              <w:autoSpaceDN w:val="0"/>
              <w:adjustRightInd w:val="0"/>
              <w:snapToGrid w:val="0"/>
              <w:jc w:val="left"/>
              <w:rPr>
                <w:rFonts w:ascii="宋体" w:hAnsi="宋体"/>
                <w:kern w:val="0"/>
                <w:szCs w:val="21"/>
              </w:rPr>
            </w:pPr>
          </w:p>
        </w:tc>
        <w:tc>
          <w:tcPr>
            <w:tcW w:w="776" w:type="dxa"/>
          </w:tcPr>
          <w:p w14:paraId="20CD12B2">
            <w:pPr>
              <w:autoSpaceDE w:val="0"/>
              <w:autoSpaceDN w:val="0"/>
              <w:adjustRightInd w:val="0"/>
              <w:snapToGrid w:val="0"/>
              <w:jc w:val="left"/>
              <w:rPr>
                <w:rFonts w:ascii="宋体" w:hAnsi="宋体"/>
                <w:kern w:val="0"/>
                <w:szCs w:val="21"/>
              </w:rPr>
            </w:pPr>
          </w:p>
        </w:tc>
        <w:tc>
          <w:tcPr>
            <w:tcW w:w="2723" w:type="dxa"/>
          </w:tcPr>
          <w:p w14:paraId="13727AE4">
            <w:pPr>
              <w:autoSpaceDE w:val="0"/>
              <w:autoSpaceDN w:val="0"/>
              <w:adjustRightInd w:val="0"/>
              <w:snapToGrid w:val="0"/>
              <w:jc w:val="left"/>
              <w:rPr>
                <w:rFonts w:ascii="宋体" w:hAnsi="宋体"/>
                <w:kern w:val="0"/>
                <w:szCs w:val="21"/>
              </w:rPr>
            </w:pPr>
          </w:p>
        </w:tc>
        <w:tc>
          <w:tcPr>
            <w:tcW w:w="896" w:type="dxa"/>
          </w:tcPr>
          <w:p w14:paraId="0A7330FE">
            <w:pPr>
              <w:autoSpaceDE w:val="0"/>
              <w:autoSpaceDN w:val="0"/>
              <w:adjustRightInd w:val="0"/>
              <w:snapToGrid w:val="0"/>
              <w:jc w:val="left"/>
              <w:rPr>
                <w:rFonts w:ascii="宋体" w:hAnsi="宋体"/>
                <w:kern w:val="0"/>
                <w:szCs w:val="21"/>
              </w:rPr>
            </w:pPr>
          </w:p>
        </w:tc>
      </w:tr>
      <w:tr w14:paraId="4D002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8095A4B">
            <w:pPr>
              <w:autoSpaceDE w:val="0"/>
              <w:autoSpaceDN w:val="0"/>
              <w:adjustRightInd w:val="0"/>
              <w:snapToGrid w:val="0"/>
              <w:jc w:val="left"/>
              <w:rPr>
                <w:rFonts w:ascii="宋体" w:hAnsi="宋体"/>
                <w:kern w:val="0"/>
                <w:szCs w:val="21"/>
              </w:rPr>
            </w:pPr>
          </w:p>
        </w:tc>
        <w:tc>
          <w:tcPr>
            <w:tcW w:w="734" w:type="dxa"/>
          </w:tcPr>
          <w:p w14:paraId="6C56D210">
            <w:pPr>
              <w:autoSpaceDE w:val="0"/>
              <w:autoSpaceDN w:val="0"/>
              <w:adjustRightInd w:val="0"/>
              <w:snapToGrid w:val="0"/>
              <w:jc w:val="left"/>
              <w:rPr>
                <w:rFonts w:ascii="宋体" w:hAnsi="宋体"/>
                <w:kern w:val="0"/>
                <w:szCs w:val="21"/>
              </w:rPr>
            </w:pPr>
          </w:p>
        </w:tc>
        <w:tc>
          <w:tcPr>
            <w:tcW w:w="776" w:type="dxa"/>
          </w:tcPr>
          <w:p w14:paraId="3643D557">
            <w:pPr>
              <w:autoSpaceDE w:val="0"/>
              <w:autoSpaceDN w:val="0"/>
              <w:adjustRightInd w:val="0"/>
              <w:snapToGrid w:val="0"/>
              <w:jc w:val="left"/>
              <w:rPr>
                <w:rFonts w:ascii="宋体" w:hAnsi="宋体"/>
                <w:kern w:val="0"/>
                <w:szCs w:val="21"/>
              </w:rPr>
            </w:pPr>
          </w:p>
        </w:tc>
        <w:tc>
          <w:tcPr>
            <w:tcW w:w="1167" w:type="dxa"/>
          </w:tcPr>
          <w:p w14:paraId="0EE1CFFE">
            <w:pPr>
              <w:autoSpaceDE w:val="0"/>
              <w:autoSpaceDN w:val="0"/>
              <w:adjustRightInd w:val="0"/>
              <w:snapToGrid w:val="0"/>
              <w:jc w:val="left"/>
              <w:rPr>
                <w:rFonts w:ascii="宋体" w:hAnsi="宋体"/>
                <w:kern w:val="0"/>
                <w:szCs w:val="21"/>
              </w:rPr>
            </w:pPr>
          </w:p>
        </w:tc>
        <w:tc>
          <w:tcPr>
            <w:tcW w:w="776" w:type="dxa"/>
          </w:tcPr>
          <w:p w14:paraId="1EDFFF9F">
            <w:pPr>
              <w:autoSpaceDE w:val="0"/>
              <w:autoSpaceDN w:val="0"/>
              <w:adjustRightInd w:val="0"/>
              <w:snapToGrid w:val="0"/>
              <w:jc w:val="left"/>
              <w:rPr>
                <w:rFonts w:ascii="宋体" w:hAnsi="宋体"/>
                <w:kern w:val="0"/>
                <w:szCs w:val="21"/>
              </w:rPr>
            </w:pPr>
          </w:p>
        </w:tc>
        <w:tc>
          <w:tcPr>
            <w:tcW w:w="778" w:type="dxa"/>
          </w:tcPr>
          <w:p w14:paraId="6AD8E7E6">
            <w:pPr>
              <w:autoSpaceDE w:val="0"/>
              <w:autoSpaceDN w:val="0"/>
              <w:adjustRightInd w:val="0"/>
              <w:snapToGrid w:val="0"/>
              <w:jc w:val="left"/>
              <w:rPr>
                <w:rFonts w:ascii="宋体" w:hAnsi="宋体"/>
                <w:kern w:val="0"/>
                <w:szCs w:val="21"/>
              </w:rPr>
            </w:pPr>
          </w:p>
        </w:tc>
        <w:tc>
          <w:tcPr>
            <w:tcW w:w="776" w:type="dxa"/>
          </w:tcPr>
          <w:p w14:paraId="2A1CAFDA">
            <w:pPr>
              <w:autoSpaceDE w:val="0"/>
              <w:autoSpaceDN w:val="0"/>
              <w:adjustRightInd w:val="0"/>
              <w:snapToGrid w:val="0"/>
              <w:jc w:val="left"/>
              <w:rPr>
                <w:rFonts w:ascii="宋体" w:hAnsi="宋体"/>
                <w:kern w:val="0"/>
                <w:szCs w:val="21"/>
              </w:rPr>
            </w:pPr>
          </w:p>
        </w:tc>
        <w:tc>
          <w:tcPr>
            <w:tcW w:w="2723" w:type="dxa"/>
          </w:tcPr>
          <w:p w14:paraId="1FF2613C">
            <w:pPr>
              <w:autoSpaceDE w:val="0"/>
              <w:autoSpaceDN w:val="0"/>
              <w:adjustRightInd w:val="0"/>
              <w:snapToGrid w:val="0"/>
              <w:jc w:val="left"/>
              <w:rPr>
                <w:rFonts w:ascii="宋体" w:hAnsi="宋体"/>
                <w:kern w:val="0"/>
                <w:szCs w:val="21"/>
              </w:rPr>
            </w:pPr>
          </w:p>
        </w:tc>
        <w:tc>
          <w:tcPr>
            <w:tcW w:w="896" w:type="dxa"/>
          </w:tcPr>
          <w:p w14:paraId="61B74CA5">
            <w:pPr>
              <w:autoSpaceDE w:val="0"/>
              <w:autoSpaceDN w:val="0"/>
              <w:adjustRightInd w:val="0"/>
              <w:snapToGrid w:val="0"/>
              <w:jc w:val="left"/>
              <w:rPr>
                <w:rFonts w:ascii="宋体" w:hAnsi="宋体"/>
                <w:kern w:val="0"/>
                <w:szCs w:val="21"/>
              </w:rPr>
            </w:pPr>
          </w:p>
        </w:tc>
      </w:tr>
      <w:tr w14:paraId="66B63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C31BCD">
            <w:pPr>
              <w:autoSpaceDE w:val="0"/>
              <w:autoSpaceDN w:val="0"/>
              <w:adjustRightInd w:val="0"/>
              <w:snapToGrid w:val="0"/>
              <w:jc w:val="left"/>
              <w:rPr>
                <w:rFonts w:ascii="宋体" w:hAnsi="宋体"/>
                <w:kern w:val="0"/>
                <w:szCs w:val="21"/>
              </w:rPr>
            </w:pPr>
          </w:p>
        </w:tc>
        <w:tc>
          <w:tcPr>
            <w:tcW w:w="734" w:type="dxa"/>
          </w:tcPr>
          <w:p w14:paraId="2DC14971">
            <w:pPr>
              <w:autoSpaceDE w:val="0"/>
              <w:autoSpaceDN w:val="0"/>
              <w:adjustRightInd w:val="0"/>
              <w:snapToGrid w:val="0"/>
              <w:jc w:val="left"/>
              <w:rPr>
                <w:rFonts w:ascii="宋体" w:hAnsi="宋体"/>
                <w:kern w:val="0"/>
                <w:szCs w:val="21"/>
              </w:rPr>
            </w:pPr>
          </w:p>
        </w:tc>
        <w:tc>
          <w:tcPr>
            <w:tcW w:w="776" w:type="dxa"/>
          </w:tcPr>
          <w:p w14:paraId="1173ABB0">
            <w:pPr>
              <w:autoSpaceDE w:val="0"/>
              <w:autoSpaceDN w:val="0"/>
              <w:adjustRightInd w:val="0"/>
              <w:snapToGrid w:val="0"/>
              <w:jc w:val="left"/>
              <w:rPr>
                <w:rFonts w:ascii="宋体" w:hAnsi="宋体"/>
                <w:kern w:val="0"/>
                <w:szCs w:val="21"/>
              </w:rPr>
            </w:pPr>
          </w:p>
        </w:tc>
        <w:tc>
          <w:tcPr>
            <w:tcW w:w="1167" w:type="dxa"/>
          </w:tcPr>
          <w:p w14:paraId="75A5A99B">
            <w:pPr>
              <w:autoSpaceDE w:val="0"/>
              <w:autoSpaceDN w:val="0"/>
              <w:adjustRightInd w:val="0"/>
              <w:snapToGrid w:val="0"/>
              <w:jc w:val="left"/>
              <w:rPr>
                <w:rFonts w:ascii="宋体" w:hAnsi="宋体"/>
                <w:kern w:val="0"/>
                <w:szCs w:val="21"/>
              </w:rPr>
            </w:pPr>
          </w:p>
        </w:tc>
        <w:tc>
          <w:tcPr>
            <w:tcW w:w="776" w:type="dxa"/>
          </w:tcPr>
          <w:p w14:paraId="04E9A0D1">
            <w:pPr>
              <w:autoSpaceDE w:val="0"/>
              <w:autoSpaceDN w:val="0"/>
              <w:adjustRightInd w:val="0"/>
              <w:snapToGrid w:val="0"/>
              <w:jc w:val="left"/>
              <w:rPr>
                <w:rFonts w:ascii="宋体" w:hAnsi="宋体"/>
                <w:kern w:val="0"/>
                <w:szCs w:val="21"/>
              </w:rPr>
            </w:pPr>
          </w:p>
        </w:tc>
        <w:tc>
          <w:tcPr>
            <w:tcW w:w="778" w:type="dxa"/>
          </w:tcPr>
          <w:p w14:paraId="01141CBB">
            <w:pPr>
              <w:autoSpaceDE w:val="0"/>
              <w:autoSpaceDN w:val="0"/>
              <w:adjustRightInd w:val="0"/>
              <w:snapToGrid w:val="0"/>
              <w:jc w:val="left"/>
              <w:rPr>
                <w:rFonts w:ascii="宋体" w:hAnsi="宋体"/>
                <w:kern w:val="0"/>
                <w:szCs w:val="21"/>
              </w:rPr>
            </w:pPr>
          </w:p>
        </w:tc>
        <w:tc>
          <w:tcPr>
            <w:tcW w:w="776" w:type="dxa"/>
          </w:tcPr>
          <w:p w14:paraId="5615F9C0">
            <w:pPr>
              <w:autoSpaceDE w:val="0"/>
              <w:autoSpaceDN w:val="0"/>
              <w:adjustRightInd w:val="0"/>
              <w:snapToGrid w:val="0"/>
              <w:jc w:val="left"/>
              <w:rPr>
                <w:rFonts w:ascii="宋体" w:hAnsi="宋体"/>
                <w:kern w:val="0"/>
                <w:szCs w:val="21"/>
              </w:rPr>
            </w:pPr>
          </w:p>
        </w:tc>
        <w:tc>
          <w:tcPr>
            <w:tcW w:w="2723" w:type="dxa"/>
          </w:tcPr>
          <w:p w14:paraId="60DD12D9">
            <w:pPr>
              <w:autoSpaceDE w:val="0"/>
              <w:autoSpaceDN w:val="0"/>
              <w:adjustRightInd w:val="0"/>
              <w:snapToGrid w:val="0"/>
              <w:jc w:val="left"/>
              <w:rPr>
                <w:rFonts w:ascii="宋体" w:hAnsi="宋体"/>
                <w:kern w:val="0"/>
                <w:szCs w:val="21"/>
              </w:rPr>
            </w:pPr>
          </w:p>
        </w:tc>
        <w:tc>
          <w:tcPr>
            <w:tcW w:w="896" w:type="dxa"/>
          </w:tcPr>
          <w:p w14:paraId="29924B47">
            <w:pPr>
              <w:autoSpaceDE w:val="0"/>
              <w:autoSpaceDN w:val="0"/>
              <w:adjustRightInd w:val="0"/>
              <w:snapToGrid w:val="0"/>
              <w:jc w:val="left"/>
              <w:rPr>
                <w:rFonts w:ascii="宋体" w:hAnsi="宋体"/>
                <w:kern w:val="0"/>
                <w:szCs w:val="21"/>
              </w:rPr>
            </w:pPr>
          </w:p>
        </w:tc>
      </w:tr>
      <w:tr w14:paraId="2F30E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3E301C6">
            <w:pPr>
              <w:autoSpaceDE w:val="0"/>
              <w:autoSpaceDN w:val="0"/>
              <w:adjustRightInd w:val="0"/>
              <w:snapToGrid w:val="0"/>
              <w:jc w:val="left"/>
              <w:rPr>
                <w:rFonts w:ascii="宋体" w:hAnsi="宋体"/>
                <w:kern w:val="0"/>
                <w:szCs w:val="21"/>
              </w:rPr>
            </w:pPr>
          </w:p>
        </w:tc>
        <w:tc>
          <w:tcPr>
            <w:tcW w:w="734" w:type="dxa"/>
          </w:tcPr>
          <w:p w14:paraId="51243ED8">
            <w:pPr>
              <w:autoSpaceDE w:val="0"/>
              <w:autoSpaceDN w:val="0"/>
              <w:adjustRightInd w:val="0"/>
              <w:snapToGrid w:val="0"/>
              <w:jc w:val="left"/>
              <w:rPr>
                <w:rFonts w:ascii="宋体" w:hAnsi="宋体"/>
                <w:kern w:val="0"/>
                <w:szCs w:val="21"/>
              </w:rPr>
            </w:pPr>
          </w:p>
        </w:tc>
        <w:tc>
          <w:tcPr>
            <w:tcW w:w="776" w:type="dxa"/>
          </w:tcPr>
          <w:p w14:paraId="2726711E">
            <w:pPr>
              <w:autoSpaceDE w:val="0"/>
              <w:autoSpaceDN w:val="0"/>
              <w:adjustRightInd w:val="0"/>
              <w:snapToGrid w:val="0"/>
              <w:jc w:val="left"/>
              <w:rPr>
                <w:rFonts w:ascii="宋体" w:hAnsi="宋体"/>
                <w:kern w:val="0"/>
                <w:szCs w:val="21"/>
              </w:rPr>
            </w:pPr>
          </w:p>
        </w:tc>
        <w:tc>
          <w:tcPr>
            <w:tcW w:w="1167" w:type="dxa"/>
          </w:tcPr>
          <w:p w14:paraId="0F3C7782">
            <w:pPr>
              <w:autoSpaceDE w:val="0"/>
              <w:autoSpaceDN w:val="0"/>
              <w:adjustRightInd w:val="0"/>
              <w:snapToGrid w:val="0"/>
              <w:jc w:val="left"/>
              <w:rPr>
                <w:rFonts w:ascii="宋体" w:hAnsi="宋体"/>
                <w:kern w:val="0"/>
                <w:szCs w:val="21"/>
              </w:rPr>
            </w:pPr>
          </w:p>
        </w:tc>
        <w:tc>
          <w:tcPr>
            <w:tcW w:w="776" w:type="dxa"/>
          </w:tcPr>
          <w:p w14:paraId="6BAA4CF5">
            <w:pPr>
              <w:autoSpaceDE w:val="0"/>
              <w:autoSpaceDN w:val="0"/>
              <w:adjustRightInd w:val="0"/>
              <w:snapToGrid w:val="0"/>
              <w:jc w:val="left"/>
              <w:rPr>
                <w:rFonts w:ascii="宋体" w:hAnsi="宋体"/>
                <w:kern w:val="0"/>
                <w:szCs w:val="21"/>
              </w:rPr>
            </w:pPr>
          </w:p>
        </w:tc>
        <w:tc>
          <w:tcPr>
            <w:tcW w:w="778" w:type="dxa"/>
          </w:tcPr>
          <w:p w14:paraId="34607FDF">
            <w:pPr>
              <w:autoSpaceDE w:val="0"/>
              <w:autoSpaceDN w:val="0"/>
              <w:adjustRightInd w:val="0"/>
              <w:snapToGrid w:val="0"/>
              <w:jc w:val="left"/>
              <w:rPr>
                <w:rFonts w:ascii="宋体" w:hAnsi="宋体"/>
                <w:kern w:val="0"/>
                <w:szCs w:val="21"/>
              </w:rPr>
            </w:pPr>
          </w:p>
        </w:tc>
        <w:tc>
          <w:tcPr>
            <w:tcW w:w="776" w:type="dxa"/>
          </w:tcPr>
          <w:p w14:paraId="14272A3F">
            <w:pPr>
              <w:autoSpaceDE w:val="0"/>
              <w:autoSpaceDN w:val="0"/>
              <w:adjustRightInd w:val="0"/>
              <w:snapToGrid w:val="0"/>
              <w:jc w:val="left"/>
              <w:rPr>
                <w:rFonts w:ascii="宋体" w:hAnsi="宋体"/>
                <w:kern w:val="0"/>
                <w:szCs w:val="21"/>
              </w:rPr>
            </w:pPr>
          </w:p>
        </w:tc>
        <w:tc>
          <w:tcPr>
            <w:tcW w:w="2723" w:type="dxa"/>
          </w:tcPr>
          <w:p w14:paraId="3A224200">
            <w:pPr>
              <w:autoSpaceDE w:val="0"/>
              <w:autoSpaceDN w:val="0"/>
              <w:adjustRightInd w:val="0"/>
              <w:snapToGrid w:val="0"/>
              <w:jc w:val="left"/>
              <w:rPr>
                <w:rFonts w:ascii="宋体" w:hAnsi="宋体"/>
                <w:kern w:val="0"/>
                <w:szCs w:val="21"/>
              </w:rPr>
            </w:pPr>
          </w:p>
        </w:tc>
        <w:tc>
          <w:tcPr>
            <w:tcW w:w="896" w:type="dxa"/>
          </w:tcPr>
          <w:p w14:paraId="2C757FC7">
            <w:pPr>
              <w:autoSpaceDE w:val="0"/>
              <w:autoSpaceDN w:val="0"/>
              <w:adjustRightInd w:val="0"/>
              <w:snapToGrid w:val="0"/>
              <w:jc w:val="left"/>
              <w:rPr>
                <w:rFonts w:ascii="宋体" w:hAnsi="宋体"/>
                <w:kern w:val="0"/>
                <w:szCs w:val="21"/>
              </w:rPr>
            </w:pPr>
          </w:p>
        </w:tc>
      </w:tr>
      <w:tr w14:paraId="2623EA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406DCAF">
            <w:pPr>
              <w:autoSpaceDE w:val="0"/>
              <w:autoSpaceDN w:val="0"/>
              <w:adjustRightInd w:val="0"/>
              <w:snapToGrid w:val="0"/>
              <w:jc w:val="left"/>
              <w:rPr>
                <w:rFonts w:ascii="宋体" w:hAnsi="宋体"/>
                <w:kern w:val="0"/>
                <w:szCs w:val="21"/>
              </w:rPr>
            </w:pPr>
          </w:p>
        </w:tc>
        <w:tc>
          <w:tcPr>
            <w:tcW w:w="734" w:type="dxa"/>
          </w:tcPr>
          <w:p w14:paraId="5C06866D">
            <w:pPr>
              <w:autoSpaceDE w:val="0"/>
              <w:autoSpaceDN w:val="0"/>
              <w:adjustRightInd w:val="0"/>
              <w:snapToGrid w:val="0"/>
              <w:jc w:val="left"/>
              <w:rPr>
                <w:rFonts w:ascii="宋体" w:hAnsi="宋体"/>
                <w:kern w:val="0"/>
                <w:szCs w:val="21"/>
              </w:rPr>
            </w:pPr>
          </w:p>
        </w:tc>
        <w:tc>
          <w:tcPr>
            <w:tcW w:w="776" w:type="dxa"/>
          </w:tcPr>
          <w:p w14:paraId="206B02DC">
            <w:pPr>
              <w:autoSpaceDE w:val="0"/>
              <w:autoSpaceDN w:val="0"/>
              <w:adjustRightInd w:val="0"/>
              <w:snapToGrid w:val="0"/>
              <w:jc w:val="left"/>
              <w:rPr>
                <w:rFonts w:ascii="宋体" w:hAnsi="宋体"/>
                <w:kern w:val="0"/>
                <w:szCs w:val="21"/>
              </w:rPr>
            </w:pPr>
          </w:p>
        </w:tc>
        <w:tc>
          <w:tcPr>
            <w:tcW w:w="1167" w:type="dxa"/>
          </w:tcPr>
          <w:p w14:paraId="2E6F2DDF">
            <w:pPr>
              <w:autoSpaceDE w:val="0"/>
              <w:autoSpaceDN w:val="0"/>
              <w:adjustRightInd w:val="0"/>
              <w:snapToGrid w:val="0"/>
              <w:jc w:val="left"/>
              <w:rPr>
                <w:rFonts w:ascii="宋体" w:hAnsi="宋体"/>
                <w:kern w:val="0"/>
                <w:szCs w:val="21"/>
              </w:rPr>
            </w:pPr>
          </w:p>
        </w:tc>
        <w:tc>
          <w:tcPr>
            <w:tcW w:w="776" w:type="dxa"/>
          </w:tcPr>
          <w:p w14:paraId="086A568E">
            <w:pPr>
              <w:autoSpaceDE w:val="0"/>
              <w:autoSpaceDN w:val="0"/>
              <w:adjustRightInd w:val="0"/>
              <w:snapToGrid w:val="0"/>
              <w:jc w:val="left"/>
              <w:rPr>
                <w:rFonts w:ascii="宋体" w:hAnsi="宋体"/>
                <w:kern w:val="0"/>
                <w:szCs w:val="21"/>
              </w:rPr>
            </w:pPr>
          </w:p>
        </w:tc>
        <w:tc>
          <w:tcPr>
            <w:tcW w:w="778" w:type="dxa"/>
          </w:tcPr>
          <w:p w14:paraId="6632B8D9">
            <w:pPr>
              <w:autoSpaceDE w:val="0"/>
              <w:autoSpaceDN w:val="0"/>
              <w:adjustRightInd w:val="0"/>
              <w:snapToGrid w:val="0"/>
              <w:jc w:val="left"/>
              <w:rPr>
                <w:rFonts w:ascii="宋体" w:hAnsi="宋体"/>
                <w:kern w:val="0"/>
                <w:szCs w:val="21"/>
              </w:rPr>
            </w:pPr>
          </w:p>
        </w:tc>
        <w:tc>
          <w:tcPr>
            <w:tcW w:w="776" w:type="dxa"/>
          </w:tcPr>
          <w:p w14:paraId="204F6B18">
            <w:pPr>
              <w:autoSpaceDE w:val="0"/>
              <w:autoSpaceDN w:val="0"/>
              <w:adjustRightInd w:val="0"/>
              <w:snapToGrid w:val="0"/>
              <w:jc w:val="left"/>
              <w:rPr>
                <w:rFonts w:ascii="宋体" w:hAnsi="宋体"/>
                <w:kern w:val="0"/>
                <w:szCs w:val="21"/>
              </w:rPr>
            </w:pPr>
          </w:p>
        </w:tc>
        <w:tc>
          <w:tcPr>
            <w:tcW w:w="2723" w:type="dxa"/>
          </w:tcPr>
          <w:p w14:paraId="679AEEA5">
            <w:pPr>
              <w:autoSpaceDE w:val="0"/>
              <w:autoSpaceDN w:val="0"/>
              <w:adjustRightInd w:val="0"/>
              <w:snapToGrid w:val="0"/>
              <w:jc w:val="left"/>
              <w:rPr>
                <w:rFonts w:ascii="宋体" w:hAnsi="宋体"/>
                <w:kern w:val="0"/>
                <w:szCs w:val="21"/>
              </w:rPr>
            </w:pPr>
          </w:p>
        </w:tc>
        <w:tc>
          <w:tcPr>
            <w:tcW w:w="896" w:type="dxa"/>
          </w:tcPr>
          <w:p w14:paraId="6BAD8684">
            <w:pPr>
              <w:autoSpaceDE w:val="0"/>
              <w:autoSpaceDN w:val="0"/>
              <w:adjustRightInd w:val="0"/>
              <w:snapToGrid w:val="0"/>
              <w:jc w:val="left"/>
              <w:rPr>
                <w:rFonts w:ascii="宋体" w:hAnsi="宋体"/>
                <w:kern w:val="0"/>
                <w:szCs w:val="21"/>
              </w:rPr>
            </w:pPr>
          </w:p>
        </w:tc>
      </w:tr>
      <w:tr w14:paraId="115C16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F4A4DDA">
            <w:pPr>
              <w:autoSpaceDE w:val="0"/>
              <w:autoSpaceDN w:val="0"/>
              <w:adjustRightInd w:val="0"/>
              <w:snapToGrid w:val="0"/>
              <w:jc w:val="left"/>
              <w:rPr>
                <w:rFonts w:ascii="宋体" w:hAnsi="宋体"/>
                <w:kern w:val="0"/>
                <w:szCs w:val="21"/>
              </w:rPr>
            </w:pPr>
          </w:p>
        </w:tc>
        <w:tc>
          <w:tcPr>
            <w:tcW w:w="734" w:type="dxa"/>
          </w:tcPr>
          <w:p w14:paraId="507FA3D1">
            <w:pPr>
              <w:autoSpaceDE w:val="0"/>
              <w:autoSpaceDN w:val="0"/>
              <w:adjustRightInd w:val="0"/>
              <w:snapToGrid w:val="0"/>
              <w:jc w:val="left"/>
              <w:rPr>
                <w:rFonts w:ascii="宋体" w:hAnsi="宋体"/>
                <w:kern w:val="0"/>
                <w:szCs w:val="21"/>
              </w:rPr>
            </w:pPr>
          </w:p>
        </w:tc>
        <w:tc>
          <w:tcPr>
            <w:tcW w:w="776" w:type="dxa"/>
          </w:tcPr>
          <w:p w14:paraId="060C24FC">
            <w:pPr>
              <w:autoSpaceDE w:val="0"/>
              <w:autoSpaceDN w:val="0"/>
              <w:adjustRightInd w:val="0"/>
              <w:snapToGrid w:val="0"/>
              <w:jc w:val="left"/>
              <w:rPr>
                <w:rFonts w:ascii="宋体" w:hAnsi="宋体"/>
                <w:kern w:val="0"/>
                <w:szCs w:val="21"/>
              </w:rPr>
            </w:pPr>
          </w:p>
        </w:tc>
        <w:tc>
          <w:tcPr>
            <w:tcW w:w="1167" w:type="dxa"/>
          </w:tcPr>
          <w:p w14:paraId="08894847">
            <w:pPr>
              <w:autoSpaceDE w:val="0"/>
              <w:autoSpaceDN w:val="0"/>
              <w:adjustRightInd w:val="0"/>
              <w:snapToGrid w:val="0"/>
              <w:jc w:val="left"/>
              <w:rPr>
                <w:rFonts w:ascii="宋体" w:hAnsi="宋体"/>
                <w:kern w:val="0"/>
                <w:szCs w:val="21"/>
              </w:rPr>
            </w:pPr>
          </w:p>
        </w:tc>
        <w:tc>
          <w:tcPr>
            <w:tcW w:w="776" w:type="dxa"/>
          </w:tcPr>
          <w:p w14:paraId="574E0A17">
            <w:pPr>
              <w:autoSpaceDE w:val="0"/>
              <w:autoSpaceDN w:val="0"/>
              <w:adjustRightInd w:val="0"/>
              <w:snapToGrid w:val="0"/>
              <w:jc w:val="left"/>
              <w:rPr>
                <w:rFonts w:ascii="宋体" w:hAnsi="宋体"/>
                <w:kern w:val="0"/>
                <w:szCs w:val="21"/>
              </w:rPr>
            </w:pPr>
          </w:p>
        </w:tc>
        <w:tc>
          <w:tcPr>
            <w:tcW w:w="778" w:type="dxa"/>
          </w:tcPr>
          <w:p w14:paraId="5792AA49">
            <w:pPr>
              <w:autoSpaceDE w:val="0"/>
              <w:autoSpaceDN w:val="0"/>
              <w:adjustRightInd w:val="0"/>
              <w:snapToGrid w:val="0"/>
              <w:jc w:val="left"/>
              <w:rPr>
                <w:rFonts w:ascii="宋体" w:hAnsi="宋体"/>
                <w:kern w:val="0"/>
                <w:szCs w:val="21"/>
              </w:rPr>
            </w:pPr>
          </w:p>
        </w:tc>
        <w:tc>
          <w:tcPr>
            <w:tcW w:w="776" w:type="dxa"/>
          </w:tcPr>
          <w:p w14:paraId="6BDA46B3">
            <w:pPr>
              <w:autoSpaceDE w:val="0"/>
              <w:autoSpaceDN w:val="0"/>
              <w:adjustRightInd w:val="0"/>
              <w:snapToGrid w:val="0"/>
              <w:jc w:val="left"/>
              <w:rPr>
                <w:rFonts w:ascii="宋体" w:hAnsi="宋体"/>
                <w:kern w:val="0"/>
                <w:szCs w:val="21"/>
              </w:rPr>
            </w:pPr>
          </w:p>
        </w:tc>
        <w:tc>
          <w:tcPr>
            <w:tcW w:w="2723" w:type="dxa"/>
          </w:tcPr>
          <w:p w14:paraId="6DEF8766">
            <w:pPr>
              <w:autoSpaceDE w:val="0"/>
              <w:autoSpaceDN w:val="0"/>
              <w:adjustRightInd w:val="0"/>
              <w:snapToGrid w:val="0"/>
              <w:jc w:val="left"/>
              <w:rPr>
                <w:rFonts w:ascii="宋体" w:hAnsi="宋体"/>
                <w:kern w:val="0"/>
                <w:szCs w:val="21"/>
              </w:rPr>
            </w:pPr>
          </w:p>
        </w:tc>
        <w:tc>
          <w:tcPr>
            <w:tcW w:w="896" w:type="dxa"/>
          </w:tcPr>
          <w:p w14:paraId="1723EDF2">
            <w:pPr>
              <w:autoSpaceDE w:val="0"/>
              <w:autoSpaceDN w:val="0"/>
              <w:adjustRightInd w:val="0"/>
              <w:snapToGrid w:val="0"/>
              <w:jc w:val="left"/>
              <w:rPr>
                <w:rFonts w:ascii="宋体" w:hAnsi="宋体"/>
                <w:kern w:val="0"/>
                <w:szCs w:val="21"/>
              </w:rPr>
            </w:pPr>
          </w:p>
        </w:tc>
      </w:tr>
      <w:tr w14:paraId="3E46C6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E6E2F2F">
            <w:pPr>
              <w:autoSpaceDE w:val="0"/>
              <w:autoSpaceDN w:val="0"/>
              <w:adjustRightInd w:val="0"/>
              <w:snapToGrid w:val="0"/>
              <w:jc w:val="left"/>
              <w:rPr>
                <w:rFonts w:ascii="宋体" w:hAnsi="宋体"/>
                <w:kern w:val="0"/>
                <w:szCs w:val="21"/>
              </w:rPr>
            </w:pPr>
          </w:p>
        </w:tc>
        <w:tc>
          <w:tcPr>
            <w:tcW w:w="734" w:type="dxa"/>
          </w:tcPr>
          <w:p w14:paraId="2B6428B4">
            <w:pPr>
              <w:autoSpaceDE w:val="0"/>
              <w:autoSpaceDN w:val="0"/>
              <w:adjustRightInd w:val="0"/>
              <w:snapToGrid w:val="0"/>
              <w:jc w:val="left"/>
              <w:rPr>
                <w:rFonts w:ascii="宋体" w:hAnsi="宋体"/>
                <w:kern w:val="0"/>
                <w:szCs w:val="21"/>
              </w:rPr>
            </w:pPr>
          </w:p>
        </w:tc>
        <w:tc>
          <w:tcPr>
            <w:tcW w:w="776" w:type="dxa"/>
          </w:tcPr>
          <w:p w14:paraId="75362F92">
            <w:pPr>
              <w:autoSpaceDE w:val="0"/>
              <w:autoSpaceDN w:val="0"/>
              <w:adjustRightInd w:val="0"/>
              <w:snapToGrid w:val="0"/>
              <w:jc w:val="left"/>
              <w:rPr>
                <w:rFonts w:ascii="宋体" w:hAnsi="宋体"/>
                <w:kern w:val="0"/>
                <w:szCs w:val="21"/>
              </w:rPr>
            </w:pPr>
          </w:p>
        </w:tc>
        <w:tc>
          <w:tcPr>
            <w:tcW w:w="1167" w:type="dxa"/>
          </w:tcPr>
          <w:p w14:paraId="014DEBA5">
            <w:pPr>
              <w:autoSpaceDE w:val="0"/>
              <w:autoSpaceDN w:val="0"/>
              <w:adjustRightInd w:val="0"/>
              <w:snapToGrid w:val="0"/>
              <w:jc w:val="left"/>
              <w:rPr>
                <w:rFonts w:ascii="宋体" w:hAnsi="宋体"/>
                <w:kern w:val="0"/>
                <w:szCs w:val="21"/>
              </w:rPr>
            </w:pPr>
          </w:p>
        </w:tc>
        <w:tc>
          <w:tcPr>
            <w:tcW w:w="776" w:type="dxa"/>
          </w:tcPr>
          <w:p w14:paraId="51DB8392">
            <w:pPr>
              <w:autoSpaceDE w:val="0"/>
              <w:autoSpaceDN w:val="0"/>
              <w:adjustRightInd w:val="0"/>
              <w:snapToGrid w:val="0"/>
              <w:jc w:val="left"/>
              <w:rPr>
                <w:rFonts w:ascii="宋体" w:hAnsi="宋体"/>
                <w:kern w:val="0"/>
                <w:szCs w:val="21"/>
              </w:rPr>
            </w:pPr>
          </w:p>
        </w:tc>
        <w:tc>
          <w:tcPr>
            <w:tcW w:w="778" w:type="dxa"/>
          </w:tcPr>
          <w:p w14:paraId="20153A57">
            <w:pPr>
              <w:autoSpaceDE w:val="0"/>
              <w:autoSpaceDN w:val="0"/>
              <w:adjustRightInd w:val="0"/>
              <w:snapToGrid w:val="0"/>
              <w:jc w:val="left"/>
              <w:rPr>
                <w:rFonts w:ascii="宋体" w:hAnsi="宋体"/>
                <w:kern w:val="0"/>
                <w:szCs w:val="21"/>
              </w:rPr>
            </w:pPr>
          </w:p>
        </w:tc>
        <w:tc>
          <w:tcPr>
            <w:tcW w:w="776" w:type="dxa"/>
          </w:tcPr>
          <w:p w14:paraId="67D1C6E1">
            <w:pPr>
              <w:autoSpaceDE w:val="0"/>
              <w:autoSpaceDN w:val="0"/>
              <w:adjustRightInd w:val="0"/>
              <w:snapToGrid w:val="0"/>
              <w:jc w:val="left"/>
              <w:rPr>
                <w:rFonts w:ascii="宋体" w:hAnsi="宋体"/>
                <w:kern w:val="0"/>
                <w:szCs w:val="21"/>
              </w:rPr>
            </w:pPr>
          </w:p>
        </w:tc>
        <w:tc>
          <w:tcPr>
            <w:tcW w:w="2723" w:type="dxa"/>
          </w:tcPr>
          <w:p w14:paraId="3E0B49A6">
            <w:pPr>
              <w:autoSpaceDE w:val="0"/>
              <w:autoSpaceDN w:val="0"/>
              <w:adjustRightInd w:val="0"/>
              <w:snapToGrid w:val="0"/>
              <w:jc w:val="left"/>
              <w:rPr>
                <w:rFonts w:ascii="宋体" w:hAnsi="宋体"/>
                <w:kern w:val="0"/>
                <w:szCs w:val="21"/>
              </w:rPr>
            </w:pPr>
          </w:p>
        </w:tc>
        <w:tc>
          <w:tcPr>
            <w:tcW w:w="896" w:type="dxa"/>
          </w:tcPr>
          <w:p w14:paraId="46E01D63">
            <w:pPr>
              <w:autoSpaceDE w:val="0"/>
              <w:autoSpaceDN w:val="0"/>
              <w:adjustRightInd w:val="0"/>
              <w:snapToGrid w:val="0"/>
              <w:jc w:val="left"/>
              <w:rPr>
                <w:rFonts w:ascii="宋体" w:hAnsi="宋体"/>
                <w:kern w:val="0"/>
                <w:szCs w:val="21"/>
              </w:rPr>
            </w:pPr>
          </w:p>
        </w:tc>
      </w:tr>
      <w:tr w14:paraId="0498BE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5DED3F">
            <w:pPr>
              <w:autoSpaceDE w:val="0"/>
              <w:autoSpaceDN w:val="0"/>
              <w:adjustRightInd w:val="0"/>
              <w:snapToGrid w:val="0"/>
              <w:jc w:val="left"/>
              <w:rPr>
                <w:rFonts w:ascii="宋体" w:hAnsi="宋体"/>
                <w:kern w:val="0"/>
                <w:szCs w:val="21"/>
              </w:rPr>
            </w:pPr>
          </w:p>
        </w:tc>
        <w:tc>
          <w:tcPr>
            <w:tcW w:w="734" w:type="dxa"/>
          </w:tcPr>
          <w:p w14:paraId="61EA4FAD">
            <w:pPr>
              <w:autoSpaceDE w:val="0"/>
              <w:autoSpaceDN w:val="0"/>
              <w:adjustRightInd w:val="0"/>
              <w:snapToGrid w:val="0"/>
              <w:jc w:val="left"/>
              <w:rPr>
                <w:rFonts w:ascii="宋体" w:hAnsi="宋体"/>
                <w:kern w:val="0"/>
                <w:szCs w:val="21"/>
              </w:rPr>
            </w:pPr>
          </w:p>
        </w:tc>
        <w:tc>
          <w:tcPr>
            <w:tcW w:w="776" w:type="dxa"/>
          </w:tcPr>
          <w:p w14:paraId="09B55B99">
            <w:pPr>
              <w:autoSpaceDE w:val="0"/>
              <w:autoSpaceDN w:val="0"/>
              <w:adjustRightInd w:val="0"/>
              <w:snapToGrid w:val="0"/>
              <w:jc w:val="left"/>
              <w:rPr>
                <w:rFonts w:ascii="宋体" w:hAnsi="宋体"/>
                <w:kern w:val="0"/>
                <w:szCs w:val="21"/>
              </w:rPr>
            </w:pPr>
          </w:p>
        </w:tc>
        <w:tc>
          <w:tcPr>
            <w:tcW w:w="1167" w:type="dxa"/>
          </w:tcPr>
          <w:p w14:paraId="7D511BCF">
            <w:pPr>
              <w:autoSpaceDE w:val="0"/>
              <w:autoSpaceDN w:val="0"/>
              <w:adjustRightInd w:val="0"/>
              <w:snapToGrid w:val="0"/>
              <w:jc w:val="left"/>
              <w:rPr>
                <w:rFonts w:ascii="宋体" w:hAnsi="宋体"/>
                <w:kern w:val="0"/>
                <w:szCs w:val="21"/>
              </w:rPr>
            </w:pPr>
          </w:p>
        </w:tc>
        <w:tc>
          <w:tcPr>
            <w:tcW w:w="776" w:type="dxa"/>
          </w:tcPr>
          <w:p w14:paraId="536B4605">
            <w:pPr>
              <w:autoSpaceDE w:val="0"/>
              <w:autoSpaceDN w:val="0"/>
              <w:adjustRightInd w:val="0"/>
              <w:snapToGrid w:val="0"/>
              <w:jc w:val="left"/>
              <w:rPr>
                <w:rFonts w:ascii="宋体" w:hAnsi="宋体"/>
                <w:kern w:val="0"/>
                <w:szCs w:val="21"/>
              </w:rPr>
            </w:pPr>
          </w:p>
        </w:tc>
        <w:tc>
          <w:tcPr>
            <w:tcW w:w="778" w:type="dxa"/>
          </w:tcPr>
          <w:p w14:paraId="0658E57F">
            <w:pPr>
              <w:autoSpaceDE w:val="0"/>
              <w:autoSpaceDN w:val="0"/>
              <w:adjustRightInd w:val="0"/>
              <w:snapToGrid w:val="0"/>
              <w:jc w:val="left"/>
              <w:rPr>
                <w:rFonts w:ascii="宋体" w:hAnsi="宋体"/>
                <w:kern w:val="0"/>
                <w:szCs w:val="21"/>
              </w:rPr>
            </w:pPr>
          </w:p>
        </w:tc>
        <w:tc>
          <w:tcPr>
            <w:tcW w:w="776" w:type="dxa"/>
          </w:tcPr>
          <w:p w14:paraId="7FC65B48">
            <w:pPr>
              <w:autoSpaceDE w:val="0"/>
              <w:autoSpaceDN w:val="0"/>
              <w:adjustRightInd w:val="0"/>
              <w:snapToGrid w:val="0"/>
              <w:jc w:val="left"/>
              <w:rPr>
                <w:rFonts w:ascii="宋体" w:hAnsi="宋体"/>
                <w:kern w:val="0"/>
                <w:szCs w:val="21"/>
              </w:rPr>
            </w:pPr>
          </w:p>
        </w:tc>
        <w:tc>
          <w:tcPr>
            <w:tcW w:w="2723" w:type="dxa"/>
          </w:tcPr>
          <w:p w14:paraId="24BCDF97">
            <w:pPr>
              <w:autoSpaceDE w:val="0"/>
              <w:autoSpaceDN w:val="0"/>
              <w:adjustRightInd w:val="0"/>
              <w:snapToGrid w:val="0"/>
              <w:jc w:val="left"/>
              <w:rPr>
                <w:rFonts w:ascii="宋体" w:hAnsi="宋体"/>
                <w:kern w:val="0"/>
                <w:szCs w:val="21"/>
              </w:rPr>
            </w:pPr>
          </w:p>
        </w:tc>
        <w:tc>
          <w:tcPr>
            <w:tcW w:w="896" w:type="dxa"/>
          </w:tcPr>
          <w:p w14:paraId="03F4A9A2">
            <w:pPr>
              <w:autoSpaceDE w:val="0"/>
              <w:autoSpaceDN w:val="0"/>
              <w:adjustRightInd w:val="0"/>
              <w:snapToGrid w:val="0"/>
              <w:jc w:val="left"/>
              <w:rPr>
                <w:rFonts w:ascii="宋体" w:hAnsi="宋体"/>
                <w:kern w:val="0"/>
                <w:szCs w:val="21"/>
              </w:rPr>
            </w:pPr>
          </w:p>
        </w:tc>
      </w:tr>
      <w:tr w14:paraId="1E35E3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76CB0C9">
            <w:pPr>
              <w:autoSpaceDE w:val="0"/>
              <w:autoSpaceDN w:val="0"/>
              <w:adjustRightInd w:val="0"/>
              <w:snapToGrid w:val="0"/>
              <w:jc w:val="left"/>
              <w:rPr>
                <w:rFonts w:ascii="宋体" w:hAnsi="宋体"/>
                <w:kern w:val="0"/>
                <w:szCs w:val="21"/>
              </w:rPr>
            </w:pPr>
          </w:p>
        </w:tc>
        <w:tc>
          <w:tcPr>
            <w:tcW w:w="734" w:type="dxa"/>
          </w:tcPr>
          <w:p w14:paraId="660EAD1D">
            <w:pPr>
              <w:autoSpaceDE w:val="0"/>
              <w:autoSpaceDN w:val="0"/>
              <w:adjustRightInd w:val="0"/>
              <w:snapToGrid w:val="0"/>
              <w:jc w:val="left"/>
              <w:rPr>
                <w:rFonts w:ascii="宋体" w:hAnsi="宋体"/>
                <w:kern w:val="0"/>
                <w:szCs w:val="21"/>
              </w:rPr>
            </w:pPr>
          </w:p>
        </w:tc>
        <w:tc>
          <w:tcPr>
            <w:tcW w:w="776" w:type="dxa"/>
          </w:tcPr>
          <w:p w14:paraId="2ED809CC">
            <w:pPr>
              <w:autoSpaceDE w:val="0"/>
              <w:autoSpaceDN w:val="0"/>
              <w:adjustRightInd w:val="0"/>
              <w:snapToGrid w:val="0"/>
              <w:jc w:val="left"/>
              <w:rPr>
                <w:rFonts w:ascii="宋体" w:hAnsi="宋体"/>
                <w:kern w:val="0"/>
                <w:szCs w:val="21"/>
              </w:rPr>
            </w:pPr>
          </w:p>
        </w:tc>
        <w:tc>
          <w:tcPr>
            <w:tcW w:w="1167" w:type="dxa"/>
          </w:tcPr>
          <w:p w14:paraId="2A091E47">
            <w:pPr>
              <w:autoSpaceDE w:val="0"/>
              <w:autoSpaceDN w:val="0"/>
              <w:adjustRightInd w:val="0"/>
              <w:snapToGrid w:val="0"/>
              <w:jc w:val="left"/>
              <w:rPr>
                <w:rFonts w:ascii="宋体" w:hAnsi="宋体"/>
                <w:kern w:val="0"/>
                <w:szCs w:val="21"/>
              </w:rPr>
            </w:pPr>
          </w:p>
        </w:tc>
        <w:tc>
          <w:tcPr>
            <w:tcW w:w="776" w:type="dxa"/>
          </w:tcPr>
          <w:p w14:paraId="1C752FBC">
            <w:pPr>
              <w:autoSpaceDE w:val="0"/>
              <w:autoSpaceDN w:val="0"/>
              <w:adjustRightInd w:val="0"/>
              <w:snapToGrid w:val="0"/>
              <w:jc w:val="left"/>
              <w:rPr>
                <w:rFonts w:ascii="宋体" w:hAnsi="宋体"/>
                <w:kern w:val="0"/>
                <w:szCs w:val="21"/>
              </w:rPr>
            </w:pPr>
          </w:p>
        </w:tc>
        <w:tc>
          <w:tcPr>
            <w:tcW w:w="778" w:type="dxa"/>
          </w:tcPr>
          <w:p w14:paraId="317536A1">
            <w:pPr>
              <w:autoSpaceDE w:val="0"/>
              <w:autoSpaceDN w:val="0"/>
              <w:adjustRightInd w:val="0"/>
              <w:snapToGrid w:val="0"/>
              <w:jc w:val="left"/>
              <w:rPr>
                <w:rFonts w:ascii="宋体" w:hAnsi="宋体"/>
                <w:kern w:val="0"/>
                <w:szCs w:val="21"/>
              </w:rPr>
            </w:pPr>
          </w:p>
        </w:tc>
        <w:tc>
          <w:tcPr>
            <w:tcW w:w="776" w:type="dxa"/>
          </w:tcPr>
          <w:p w14:paraId="79697AF5">
            <w:pPr>
              <w:autoSpaceDE w:val="0"/>
              <w:autoSpaceDN w:val="0"/>
              <w:adjustRightInd w:val="0"/>
              <w:snapToGrid w:val="0"/>
              <w:jc w:val="left"/>
              <w:rPr>
                <w:rFonts w:ascii="宋体" w:hAnsi="宋体"/>
                <w:kern w:val="0"/>
                <w:szCs w:val="21"/>
              </w:rPr>
            </w:pPr>
          </w:p>
        </w:tc>
        <w:tc>
          <w:tcPr>
            <w:tcW w:w="2723" w:type="dxa"/>
          </w:tcPr>
          <w:p w14:paraId="2218AD91">
            <w:pPr>
              <w:autoSpaceDE w:val="0"/>
              <w:autoSpaceDN w:val="0"/>
              <w:adjustRightInd w:val="0"/>
              <w:snapToGrid w:val="0"/>
              <w:jc w:val="left"/>
              <w:rPr>
                <w:rFonts w:ascii="宋体" w:hAnsi="宋体"/>
                <w:kern w:val="0"/>
                <w:szCs w:val="21"/>
              </w:rPr>
            </w:pPr>
          </w:p>
        </w:tc>
        <w:tc>
          <w:tcPr>
            <w:tcW w:w="896" w:type="dxa"/>
          </w:tcPr>
          <w:p w14:paraId="1C147034">
            <w:pPr>
              <w:autoSpaceDE w:val="0"/>
              <w:autoSpaceDN w:val="0"/>
              <w:adjustRightInd w:val="0"/>
              <w:snapToGrid w:val="0"/>
              <w:jc w:val="left"/>
              <w:rPr>
                <w:rFonts w:ascii="宋体" w:hAnsi="宋体"/>
                <w:kern w:val="0"/>
                <w:szCs w:val="21"/>
              </w:rPr>
            </w:pPr>
          </w:p>
        </w:tc>
      </w:tr>
      <w:tr w14:paraId="74955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9D12AA0">
            <w:pPr>
              <w:autoSpaceDE w:val="0"/>
              <w:autoSpaceDN w:val="0"/>
              <w:adjustRightInd w:val="0"/>
              <w:snapToGrid w:val="0"/>
              <w:jc w:val="left"/>
              <w:rPr>
                <w:rFonts w:ascii="宋体" w:hAnsi="宋体"/>
                <w:kern w:val="0"/>
                <w:szCs w:val="21"/>
              </w:rPr>
            </w:pPr>
          </w:p>
        </w:tc>
        <w:tc>
          <w:tcPr>
            <w:tcW w:w="734" w:type="dxa"/>
          </w:tcPr>
          <w:p w14:paraId="243EE324">
            <w:pPr>
              <w:autoSpaceDE w:val="0"/>
              <w:autoSpaceDN w:val="0"/>
              <w:adjustRightInd w:val="0"/>
              <w:snapToGrid w:val="0"/>
              <w:jc w:val="left"/>
              <w:rPr>
                <w:rFonts w:ascii="宋体" w:hAnsi="宋体"/>
                <w:kern w:val="0"/>
                <w:szCs w:val="21"/>
              </w:rPr>
            </w:pPr>
          </w:p>
        </w:tc>
        <w:tc>
          <w:tcPr>
            <w:tcW w:w="776" w:type="dxa"/>
          </w:tcPr>
          <w:p w14:paraId="7C95B324">
            <w:pPr>
              <w:autoSpaceDE w:val="0"/>
              <w:autoSpaceDN w:val="0"/>
              <w:adjustRightInd w:val="0"/>
              <w:snapToGrid w:val="0"/>
              <w:jc w:val="left"/>
              <w:rPr>
                <w:rFonts w:ascii="宋体" w:hAnsi="宋体"/>
                <w:kern w:val="0"/>
                <w:szCs w:val="21"/>
              </w:rPr>
            </w:pPr>
          </w:p>
        </w:tc>
        <w:tc>
          <w:tcPr>
            <w:tcW w:w="1167" w:type="dxa"/>
          </w:tcPr>
          <w:p w14:paraId="6DA5ACEC">
            <w:pPr>
              <w:autoSpaceDE w:val="0"/>
              <w:autoSpaceDN w:val="0"/>
              <w:adjustRightInd w:val="0"/>
              <w:snapToGrid w:val="0"/>
              <w:jc w:val="left"/>
              <w:rPr>
                <w:rFonts w:ascii="宋体" w:hAnsi="宋体"/>
                <w:kern w:val="0"/>
                <w:szCs w:val="21"/>
              </w:rPr>
            </w:pPr>
          </w:p>
        </w:tc>
        <w:tc>
          <w:tcPr>
            <w:tcW w:w="776" w:type="dxa"/>
          </w:tcPr>
          <w:p w14:paraId="3BE1A894">
            <w:pPr>
              <w:autoSpaceDE w:val="0"/>
              <w:autoSpaceDN w:val="0"/>
              <w:adjustRightInd w:val="0"/>
              <w:snapToGrid w:val="0"/>
              <w:jc w:val="left"/>
              <w:rPr>
                <w:rFonts w:ascii="宋体" w:hAnsi="宋体"/>
                <w:kern w:val="0"/>
                <w:szCs w:val="21"/>
              </w:rPr>
            </w:pPr>
          </w:p>
        </w:tc>
        <w:tc>
          <w:tcPr>
            <w:tcW w:w="778" w:type="dxa"/>
          </w:tcPr>
          <w:p w14:paraId="6EF649AB">
            <w:pPr>
              <w:autoSpaceDE w:val="0"/>
              <w:autoSpaceDN w:val="0"/>
              <w:adjustRightInd w:val="0"/>
              <w:snapToGrid w:val="0"/>
              <w:jc w:val="left"/>
              <w:rPr>
                <w:rFonts w:ascii="宋体" w:hAnsi="宋体"/>
                <w:kern w:val="0"/>
                <w:szCs w:val="21"/>
              </w:rPr>
            </w:pPr>
          </w:p>
        </w:tc>
        <w:tc>
          <w:tcPr>
            <w:tcW w:w="776" w:type="dxa"/>
          </w:tcPr>
          <w:p w14:paraId="188B7EAB">
            <w:pPr>
              <w:autoSpaceDE w:val="0"/>
              <w:autoSpaceDN w:val="0"/>
              <w:adjustRightInd w:val="0"/>
              <w:snapToGrid w:val="0"/>
              <w:jc w:val="left"/>
              <w:rPr>
                <w:rFonts w:ascii="宋体" w:hAnsi="宋体"/>
                <w:kern w:val="0"/>
                <w:szCs w:val="21"/>
              </w:rPr>
            </w:pPr>
          </w:p>
        </w:tc>
        <w:tc>
          <w:tcPr>
            <w:tcW w:w="2723" w:type="dxa"/>
          </w:tcPr>
          <w:p w14:paraId="1B5E6567">
            <w:pPr>
              <w:autoSpaceDE w:val="0"/>
              <w:autoSpaceDN w:val="0"/>
              <w:adjustRightInd w:val="0"/>
              <w:snapToGrid w:val="0"/>
              <w:jc w:val="left"/>
              <w:rPr>
                <w:rFonts w:ascii="宋体" w:hAnsi="宋体"/>
                <w:kern w:val="0"/>
                <w:szCs w:val="21"/>
              </w:rPr>
            </w:pPr>
          </w:p>
        </w:tc>
        <w:tc>
          <w:tcPr>
            <w:tcW w:w="896" w:type="dxa"/>
          </w:tcPr>
          <w:p w14:paraId="751C8EC1">
            <w:pPr>
              <w:autoSpaceDE w:val="0"/>
              <w:autoSpaceDN w:val="0"/>
              <w:adjustRightInd w:val="0"/>
              <w:snapToGrid w:val="0"/>
              <w:jc w:val="left"/>
              <w:rPr>
                <w:rFonts w:ascii="宋体" w:hAnsi="宋体"/>
                <w:kern w:val="0"/>
                <w:szCs w:val="21"/>
              </w:rPr>
            </w:pPr>
          </w:p>
        </w:tc>
      </w:tr>
      <w:tr w14:paraId="37506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4D0195">
            <w:pPr>
              <w:autoSpaceDE w:val="0"/>
              <w:autoSpaceDN w:val="0"/>
              <w:adjustRightInd w:val="0"/>
              <w:snapToGrid w:val="0"/>
              <w:jc w:val="left"/>
              <w:rPr>
                <w:rFonts w:ascii="宋体" w:hAnsi="宋体"/>
                <w:kern w:val="0"/>
                <w:szCs w:val="21"/>
              </w:rPr>
            </w:pPr>
          </w:p>
        </w:tc>
        <w:tc>
          <w:tcPr>
            <w:tcW w:w="734" w:type="dxa"/>
          </w:tcPr>
          <w:p w14:paraId="2EEF8C2A">
            <w:pPr>
              <w:autoSpaceDE w:val="0"/>
              <w:autoSpaceDN w:val="0"/>
              <w:adjustRightInd w:val="0"/>
              <w:snapToGrid w:val="0"/>
              <w:jc w:val="left"/>
              <w:rPr>
                <w:rFonts w:ascii="宋体" w:hAnsi="宋体"/>
                <w:kern w:val="0"/>
                <w:szCs w:val="21"/>
              </w:rPr>
            </w:pPr>
          </w:p>
        </w:tc>
        <w:tc>
          <w:tcPr>
            <w:tcW w:w="776" w:type="dxa"/>
          </w:tcPr>
          <w:p w14:paraId="40662F22">
            <w:pPr>
              <w:autoSpaceDE w:val="0"/>
              <w:autoSpaceDN w:val="0"/>
              <w:adjustRightInd w:val="0"/>
              <w:snapToGrid w:val="0"/>
              <w:jc w:val="left"/>
              <w:rPr>
                <w:rFonts w:ascii="宋体" w:hAnsi="宋体"/>
                <w:kern w:val="0"/>
                <w:szCs w:val="21"/>
              </w:rPr>
            </w:pPr>
          </w:p>
        </w:tc>
        <w:tc>
          <w:tcPr>
            <w:tcW w:w="1167" w:type="dxa"/>
          </w:tcPr>
          <w:p w14:paraId="4B376F83">
            <w:pPr>
              <w:autoSpaceDE w:val="0"/>
              <w:autoSpaceDN w:val="0"/>
              <w:adjustRightInd w:val="0"/>
              <w:snapToGrid w:val="0"/>
              <w:jc w:val="left"/>
              <w:rPr>
                <w:rFonts w:ascii="宋体" w:hAnsi="宋体"/>
                <w:kern w:val="0"/>
                <w:szCs w:val="21"/>
              </w:rPr>
            </w:pPr>
          </w:p>
        </w:tc>
        <w:tc>
          <w:tcPr>
            <w:tcW w:w="776" w:type="dxa"/>
          </w:tcPr>
          <w:p w14:paraId="6E5C519D">
            <w:pPr>
              <w:autoSpaceDE w:val="0"/>
              <w:autoSpaceDN w:val="0"/>
              <w:adjustRightInd w:val="0"/>
              <w:snapToGrid w:val="0"/>
              <w:jc w:val="left"/>
              <w:rPr>
                <w:rFonts w:ascii="宋体" w:hAnsi="宋体"/>
                <w:kern w:val="0"/>
                <w:szCs w:val="21"/>
              </w:rPr>
            </w:pPr>
          </w:p>
        </w:tc>
        <w:tc>
          <w:tcPr>
            <w:tcW w:w="778" w:type="dxa"/>
          </w:tcPr>
          <w:p w14:paraId="3563F59D">
            <w:pPr>
              <w:autoSpaceDE w:val="0"/>
              <w:autoSpaceDN w:val="0"/>
              <w:adjustRightInd w:val="0"/>
              <w:snapToGrid w:val="0"/>
              <w:jc w:val="left"/>
              <w:rPr>
                <w:rFonts w:ascii="宋体" w:hAnsi="宋体"/>
                <w:kern w:val="0"/>
                <w:szCs w:val="21"/>
              </w:rPr>
            </w:pPr>
          </w:p>
        </w:tc>
        <w:tc>
          <w:tcPr>
            <w:tcW w:w="776" w:type="dxa"/>
          </w:tcPr>
          <w:p w14:paraId="4D9FCAE7">
            <w:pPr>
              <w:autoSpaceDE w:val="0"/>
              <w:autoSpaceDN w:val="0"/>
              <w:adjustRightInd w:val="0"/>
              <w:snapToGrid w:val="0"/>
              <w:jc w:val="left"/>
              <w:rPr>
                <w:rFonts w:ascii="宋体" w:hAnsi="宋体"/>
                <w:kern w:val="0"/>
                <w:szCs w:val="21"/>
              </w:rPr>
            </w:pPr>
          </w:p>
        </w:tc>
        <w:tc>
          <w:tcPr>
            <w:tcW w:w="2723" w:type="dxa"/>
          </w:tcPr>
          <w:p w14:paraId="2D2FBCAF">
            <w:pPr>
              <w:autoSpaceDE w:val="0"/>
              <w:autoSpaceDN w:val="0"/>
              <w:adjustRightInd w:val="0"/>
              <w:snapToGrid w:val="0"/>
              <w:jc w:val="left"/>
              <w:rPr>
                <w:rFonts w:ascii="宋体" w:hAnsi="宋体"/>
                <w:kern w:val="0"/>
                <w:szCs w:val="21"/>
              </w:rPr>
            </w:pPr>
          </w:p>
        </w:tc>
        <w:tc>
          <w:tcPr>
            <w:tcW w:w="896" w:type="dxa"/>
          </w:tcPr>
          <w:p w14:paraId="13A167FE">
            <w:pPr>
              <w:autoSpaceDE w:val="0"/>
              <w:autoSpaceDN w:val="0"/>
              <w:adjustRightInd w:val="0"/>
              <w:snapToGrid w:val="0"/>
              <w:jc w:val="left"/>
              <w:rPr>
                <w:rFonts w:ascii="宋体" w:hAnsi="宋体"/>
                <w:kern w:val="0"/>
                <w:szCs w:val="21"/>
              </w:rPr>
            </w:pPr>
          </w:p>
        </w:tc>
      </w:tr>
      <w:tr w14:paraId="69BC0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43BAB32">
            <w:pPr>
              <w:autoSpaceDE w:val="0"/>
              <w:autoSpaceDN w:val="0"/>
              <w:adjustRightInd w:val="0"/>
              <w:snapToGrid w:val="0"/>
              <w:jc w:val="left"/>
              <w:rPr>
                <w:rFonts w:ascii="宋体" w:hAnsi="宋体"/>
                <w:kern w:val="0"/>
                <w:szCs w:val="21"/>
              </w:rPr>
            </w:pPr>
          </w:p>
        </w:tc>
        <w:tc>
          <w:tcPr>
            <w:tcW w:w="734" w:type="dxa"/>
          </w:tcPr>
          <w:p w14:paraId="3BE4A96C">
            <w:pPr>
              <w:autoSpaceDE w:val="0"/>
              <w:autoSpaceDN w:val="0"/>
              <w:adjustRightInd w:val="0"/>
              <w:snapToGrid w:val="0"/>
              <w:jc w:val="left"/>
              <w:rPr>
                <w:rFonts w:ascii="宋体" w:hAnsi="宋体"/>
                <w:kern w:val="0"/>
                <w:szCs w:val="21"/>
              </w:rPr>
            </w:pPr>
          </w:p>
        </w:tc>
        <w:tc>
          <w:tcPr>
            <w:tcW w:w="776" w:type="dxa"/>
          </w:tcPr>
          <w:p w14:paraId="7C174C17">
            <w:pPr>
              <w:autoSpaceDE w:val="0"/>
              <w:autoSpaceDN w:val="0"/>
              <w:adjustRightInd w:val="0"/>
              <w:snapToGrid w:val="0"/>
              <w:jc w:val="left"/>
              <w:rPr>
                <w:rFonts w:ascii="宋体" w:hAnsi="宋体"/>
                <w:kern w:val="0"/>
                <w:szCs w:val="21"/>
              </w:rPr>
            </w:pPr>
          </w:p>
        </w:tc>
        <w:tc>
          <w:tcPr>
            <w:tcW w:w="1167" w:type="dxa"/>
          </w:tcPr>
          <w:p w14:paraId="6CE75A15">
            <w:pPr>
              <w:autoSpaceDE w:val="0"/>
              <w:autoSpaceDN w:val="0"/>
              <w:adjustRightInd w:val="0"/>
              <w:snapToGrid w:val="0"/>
              <w:jc w:val="left"/>
              <w:rPr>
                <w:rFonts w:ascii="宋体" w:hAnsi="宋体"/>
                <w:kern w:val="0"/>
                <w:szCs w:val="21"/>
              </w:rPr>
            </w:pPr>
          </w:p>
        </w:tc>
        <w:tc>
          <w:tcPr>
            <w:tcW w:w="776" w:type="dxa"/>
          </w:tcPr>
          <w:p w14:paraId="3D644F17">
            <w:pPr>
              <w:autoSpaceDE w:val="0"/>
              <w:autoSpaceDN w:val="0"/>
              <w:adjustRightInd w:val="0"/>
              <w:snapToGrid w:val="0"/>
              <w:jc w:val="left"/>
              <w:rPr>
                <w:rFonts w:ascii="宋体" w:hAnsi="宋体"/>
                <w:kern w:val="0"/>
                <w:szCs w:val="21"/>
              </w:rPr>
            </w:pPr>
          </w:p>
        </w:tc>
        <w:tc>
          <w:tcPr>
            <w:tcW w:w="778" w:type="dxa"/>
          </w:tcPr>
          <w:p w14:paraId="275D6040">
            <w:pPr>
              <w:autoSpaceDE w:val="0"/>
              <w:autoSpaceDN w:val="0"/>
              <w:adjustRightInd w:val="0"/>
              <w:snapToGrid w:val="0"/>
              <w:jc w:val="left"/>
              <w:rPr>
                <w:rFonts w:ascii="宋体" w:hAnsi="宋体"/>
                <w:kern w:val="0"/>
                <w:szCs w:val="21"/>
              </w:rPr>
            </w:pPr>
          </w:p>
        </w:tc>
        <w:tc>
          <w:tcPr>
            <w:tcW w:w="776" w:type="dxa"/>
          </w:tcPr>
          <w:p w14:paraId="2D8CCF7B">
            <w:pPr>
              <w:autoSpaceDE w:val="0"/>
              <w:autoSpaceDN w:val="0"/>
              <w:adjustRightInd w:val="0"/>
              <w:snapToGrid w:val="0"/>
              <w:jc w:val="left"/>
              <w:rPr>
                <w:rFonts w:ascii="宋体" w:hAnsi="宋体"/>
                <w:kern w:val="0"/>
                <w:szCs w:val="21"/>
              </w:rPr>
            </w:pPr>
          </w:p>
        </w:tc>
        <w:tc>
          <w:tcPr>
            <w:tcW w:w="2723" w:type="dxa"/>
          </w:tcPr>
          <w:p w14:paraId="31300D00">
            <w:pPr>
              <w:autoSpaceDE w:val="0"/>
              <w:autoSpaceDN w:val="0"/>
              <w:adjustRightInd w:val="0"/>
              <w:snapToGrid w:val="0"/>
              <w:jc w:val="left"/>
              <w:rPr>
                <w:rFonts w:ascii="宋体" w:hAnsi="宋体"/>
                <w:kern w:val="0"/>
                <w:szCs w:val="21"/>
              </w:rPr>
            </w:pPr>
          </w:p>
        </w:tc>
        <w:tc>
          <w:tcPr>
            <w:tcW w:w="896" w:type="dxa"/>
          </w:tcPr>
          <w:p w14:paraId="6B70C920">
            <w:pPr>
              <w:autoSpaceDE w:val="0"/>
              <w:autoSpaceDN w:val="0"/>
              <w:adjustRightInd w:val="0"/>
              <w:snapToGrid w:val="0"/>
              <w:jc w:val="left"/>
              <w:rPr>
                <w:rFonts w:ascii="宋体" w:hAnsi="宋体"/>
                <w:kern w:val="0"/>
                <w:szCs w:val="21"/>
              </w:rPr>
            </w:pPr>
          </w:p>
        </w:tc>
      </w:tr>
    </w:tbl>
    <w:p w14:paraId="5E32B4A3">
      <w:pPr>
        <w:spacing w:line="20" w:lineRule="exact"/>
        <w:jc w:val="center"/>
        <w:rPr>
          <w:rFonts w:ascii="宋体" w:hAnsi="宋体"/>
          <w:szCs w:val="21"/>
        </w:rPr>
      </w:pPr>
    </w:p>
    <w:p w14:paraId="0F368F60">
      <w:pPr>
        <w:spacing w:line="360" w:lineRule="auto"/>
        <w:ind w:firstLine="420" w:firstLineChars="200"/>
        <w:jc w:val="center"/>
        <w:rPr>
          <w:rFonts w:ascii="宋体" w:hAnsi="宋体"/>
          <w:sz w:val="32"/>
          <w:szCs w:val="32"/>
        </w:rPr>
      </w:pPr>
      <w:r>
        <w:rPr>
          <w:rFonts w:hint="eastAsia" w:ascii="宋体" w:hAnsi="宋体"/>
          <w:szCs w:val="21"/>
        </w:rPr>
        <w:t>注：本表仅填项目经理、项目总工相关信息</w:t>
      </w:r>
      <w:r>
        <w:rPr>
          <w:rFonts w:ascii="宋体" w:hAnsi="宋体"/>
          <w:szCs w:val="21"/>
        </w:rPr>
        <w:br w:type="page"/>
      </w:r>
      <w:r>
        <w:rPr>
          <w:rFonts w:hint="eastAsia" w:ascii="宋体" w:hAnsi="宋体" w:cs="MingLiU"/>
          <w:kern w:val="0"/>
          <w:sz w:val="28"/>
          <w:szCs w:val="28"/>
        </w:rPr>
        <w:t>项目经理及项目总工简历表</w:t>
      </w:r>
    </w:p>
    <w:tbl>
      <w:tblPr>
        <w:tblStyle w:val="31"/>
        <w:tblW w:w="89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1957"/>
      </w:tblGrid>
      <w:tr w14:paraId="4F961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4B31D87">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3215A979">
            <w:pPr>
              <w:autoSpaceDE w:val="0"/>
              <w:autoSpaceDN w:val="0"/>
              <w:adjustRightInd w:val="0"/>
              <w:snapToGrid w:val="0"/>
              <w:jc w:val="center"/>
              <w:rPr>
                <w:rFonts w:ascii="宋体" w:hAnsi="宋体"/>
                <w:kern w:val="0"/>
                <w:szCs w:val="21"/>
              </w:rPr>
            </w:pPr>
          </w:p>
        </w:tc>
        <w:tc>
          <w:tcPr>
            <w:tcW w:w="1020" w:type="dxa"/>
            <w:vAlign w:val="center"/>
          </w:tcPr>
          <w:p w14:paraId="710FBB45">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2D066F31">
            <w:pPr>
              <w:autoSpaceDE w:val="0"/>
              <w:autoSpaceDN w:val="0"/>
              <w:adjustRightInd w:val="0"/>
              <w:snapToGrid w:val="0"/>
              <w:jc w:val="center"/>
              <w:rPr>
                <w:rFonts w:ascii="宋体" w:hAnsi="宋体"/>
                <w:kern w:val="0"/>
                <w:szCs w:val="21"/>
              </w:rPr>
            </w:pPr>
          </w:p>
        </w:tc>
        <w:tc>
          <w:tcPr>
            <w:tcW w:w="2346" w:type="dxa"/>
            <w:gridSpan w:val="3"/>
            <w:vAlign w:val="center"/>
          </w:tcPr>
          <w:p w14:paraId="17477936">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1957" w:type="dxa"/>
            <w:vAlign w:val="center"/>
          </w:tcPr>
          <w:p w14:paraId="5C066F22">
            <w:pPr>
              <w:autoSpaceDE w:val="0"/>
              <w:autoSpaceDN w:val="0"/>
              <w:adjustRightInd w:val="0"/>
              <w:snapToGrid w:val="0"/>
              <w:jc w:val="center"/>
              <w:rPr>
                <w:rFonts w:ascii="宋体" w:hAnsi="宋体"/>
                <w:kern w:val="0"/>
                <w:szCs w:val="21"/>
              </w:rPr>
            </w:pPr>
          </w:p>
        </w:tc>
      </w:tr>
      <w:tr w14:paraId="7749F7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D938D96">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33823655">
            <w:pPr>
              <w:autoSpaceDE w:val="0"/>
              <w:autoSpaceDN w:val="0"/>
              <w:adjustRightInd w:val="0"/>
              <w:snapToGrid w:val="0"/>
              <w:jc w:val="center"/>
              <w:rPr>
                <w:rFonts w:ascii="宋体" w:hAnsi="宋体"/>
                <w:kern w:val="0"/>
                <w:szCs w:val="21"/>
              </w:rPr>
            </w:pPr>
          </w:p>
        </w:tc>
        <w:tc>
          <w:tcPr>
            <w:tcW w:w="1020" w:type="dxa"/>
            <w:vAlign w:val="center"/>
          </w:tcPr>
          <w:p w14:paraId="1BD4D614">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0094A853">
            <w:pPr>
              <w:autoSpaceDE w:val="0"/>
              <w:autoSpaceDN w:val="0"/>
              <w:adjustRightInd w:val="0"/>
              <w:snapToGrid w:val="0"/>
              <w:jc w:val="center"/>
              <w:rPr>
                <w:rFonts w:ascii="宋体" w:hAnsi="宋体"/>
                <w:kern w:val="0"/>
                <w:szCs w:val="21"/>
              </w:rPr>
            </w:pPr>
          </w:p>
        </w:tc>
        <w:tc>
          <w:tcPr>
            <w:tcW w:w="2346" w:type="dxa"/>
            <w:gridSpan w:val="3"/>
            <w:vAlign w:val="center"/>
          </w:tcPr>
          <w:p w14:paraId="60801E59">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1957" w:type="dxa"/>
            <w:vAlign w:val="center"/>
          </w:tcPr>
          <w:p w14:paraId="4C592EDF">
            <w:pPr>
              <w:autoSpaceDE w:val="0"/>
              <w:autoSpaceDN w:val="0"/>
              <w:adjustRightInd w:val="0"/>
              <w:snapToGrid w:val="0"/>
              <w:jc w:val="center"/>
              <w:rPr>
                <w:rFonts w:ascii="宋体" w:hAnsi="宋体"/>
                <w:kern w:val="0"/>
                <w:szCs w:val="21"/>
              </w:rPr>
            </w:pPr>
          </w:p>
        </w:tc>
      </w:tr>
      <w:tr w14:paraId="498C0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C57DE96">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7688" w:type="dxa"/>
            <w:gridSpan w:val="8"/>
            <w:vAlign w:val="center"/>
          </w:tcPr>
          <w:p w14:paraId="67504812">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212958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8994" w:type="dxa"/>
            <w:gridSpan w:val="9"/>
            <w:vAlign w:val="center"/>
          </w:tcPr>
          <w:p w14:paraId="1BDF5307">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7AE5A5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1CF99F">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04732FCB">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14A254C3">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135" w:type="dxa"/>
            <w:gridSpan w:val="2"/>
            <w:vAlign w:val="center"/>
          </w:tcPr>
          <w:p w14:paraId="00D0C58B">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6D2562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8EE80C2">
            <w:pPr>
              <w:autoSpaceDE w:val="0"/>
              <w:autoSpaceDN w:val="0"/>
              <w:adjustRightInd w:val="0"/>
              <w:snapToGrid w:val="0"/>
              <w:jc w:val="center"/>
              <w:rPr>
                <w:rFonts w:ascii="宋体" w:hAnsi="宋体"/>
                <w:kern w:val="0"/>
                <w:szCs w:val="21"/>
              </w:rPr>
            </w:pPr>
          </w:p>
        </w:tc>
        <w:tc>
          <w:tcPr>
            <w:tcW w:w="3768" w:type="dxa"/>
            <w:gridSpan w:val="4"/>
            <w:vAlign w:val="center"/>
          </w:tcPr>
          <w:p w14:paraId="14EB69B3">
            <w:pPr>
              <w:autoSpaceDE w:val="0"/>
              <w:autoSpaceDN w:val="0"/>
              <w:adjustRightInd w:val="0"/>
              <w:snapToGrid w:val="0"/>
              <w:jc w:val="center"/>
              <w:rPr>
                <w:rFonts w:ascii="宋体" w:hAnsi="宋体"/>
                <w:kern w:val="0"/>
                <w:szCs w:val="21"/>
              </w:rPr>
            </w:pPr>
          </w:p>
        </w:tc>
        <w:tc>
          <w:tcPr>
            <w:tcW w:w="1388" w:type="dxa"/>
            <w:vAlign w:val="center"/>
          </w:tcPr>
          <w:p w14:paraId="582C5EBD">
            <w:pPr>
              <w:autoSpaceDE w:val="0"/>
              <w:autoSpaceDN w:val="0"/>
              <w:adjustRightInd w:val="0"/>
              <w:snapToGrid w:val="0"/>
              <w:jc w:val="center"/>
              <w:rPr>
                <w:rFonts w:ascii="宋体" w:hAnsi="宋体"/>
                <w:kern w:val="0"/>
                <w:szCs w:val="21"/>
              </w:rPr>
            </w:pPr>
          </w:p>
        </w:tc>
        <w:tc>
          <w:tcPr>
            <w:tcW w:w="2135" w:type="dxa"/>
            <w:gridSpan w:val="2"/>
            <w:vAlign w:val="center"/>
          </w:tcPr>
          <w:p w14:paraId="3E26A96A">
            <w:pPr>
              <w:autoSpaceDE w:val="0"/>
              <w:autoSpaceDN w:val="0"/>
              <w:adjustRightInd w:val="0"/>
              <w:snapToGrid w:val="0"/>
              <w:jc w:val="center"/>
              <w:rPr>
                <w:rFonts w:ascii="宋体" w:hAnsi="宋体"/>
                <w:kern w:val="0"/>
                <w:szCs w:val="21"/>
              </w:rPr>
            </w:pPr>
          </w:p>
        </w:tc>
      </w:tr>
      <w:tr w14:paraId="055E1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CAD987">
            <w:pPr>
              <w:autoSpaceDE w:val="0"/>
              <w:autoSpaceDN w:val="0"/>
              <w:adjustRightInd w:val="0"/>
              <w:snapToGrid w:val="0"/>
              <w:jc w:val="center"/>
              <w:rPr>
                <w:rFonts w:ascii="宋体" w:hAnsi="宋体"/>
                <w:kern w:val="0"/>
                <w:szCs w:val="21"/>
              </w:rPr>
            </w:pPr>
          </w:p>
        </w:tc>
        <w:tc>
          <w:tcPr>
            <w:tcW w:w="3768" w:type="dxa"/>
            <w:gridSpan w:val="4"/>
            <w:vAlign w:val="center"/>
          </w:tcPr>
          <w:p w14:paraId="1ED823B2">
            <w:pPr>
              <w:autoSpaceDE w:val="0"/>
              <w:autoSpaceDN w:val="0"/>
              <w:adjustRightInd w:val="0"/>
              <w:snapToGrid w:val="0"/>
              <w:jc w:val="center"/>
              <w:rPr>
                <w:rFonts w:ascii="宋体" w:hAnsi="宋体"/>
                <w:kern w:val="0"/>
                <w:szCs w:val="21"/>
              </w:rPr>
            </w:pPr>
          </w:p>
        </w:tc>
        <w:tc>
          <w:tcPr>
            <w:tcW w:w="1388" w:type="dxa"/>
            <w:vAlign w:val="center"/>
          </w:tcPr>
          <w:p w14:paraId="52821358">
            <w:pPr>
              <w:autoSpaceDE w:val="0"/>
              <w:autoSpaceDN w:val="0"/>
              <w:adjustRightInd w:val="0"/>
              <w:snapToGrid w:val="0"/>
              <w:jc w:val="center"/>
              <w:rPr>
                <w:rFonts w:ascii="宋体" w:hAnsi="宋体"/>
                <w:kern w:val="0"/>
                <w:szCs w:val="21"/>
              </w:rPr>
            </w:pPr>
          </w:p>
        </w:tc>
        <w:tc>
          <w:tcPr>
            <w:tcW w:w="2135" w:type="dxa"/>
            <w:gridSpan w:val="2"/>
            <w:vAlign w:val="center"/>
          </w:tcPr>
          <w:p w14:paraId="4014DA1D">
            <w:pPr>
              <w:autoSpaceDE w:val="0"/>
              <w:autoSpaceDN w:val="0"/>
              <w:adjustRightInd w:val="0"/>
              <w:snapToGrid w:val="0"/>
              <w:jc w:val="center"/>
              <w:rPr>
                <w:rFonts w:ascii="宋体" w:hAnsi="宋体"/>
                <w:kern w:val="0"/>
                <w:szCs w:val="21"/>
              </w:rPr>
            </w:pPr>
          </w:p>
        </w:tc>
      </w:tr>
      <w:tr w14:paraId="1A805D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8C1C36">
            <w:pPr>
              <w:autoSpaceDE w:val="0"/>
              <w:autoSpaceDN w:val="0"/>
              <w:adjustRightInd w:val="0"/>
              <w:snapToGrid w:val="0"/>
              <w:jc w:val="center"/>
              <w:rPr>
                <w:rFonts w:ascii="宋体" w:hAnsi="宋体"/>
                <w:kern w:val="0"/>
                <w:szCs w:val="21"/>
              </w:rPr>
            </w:pPr>
          </w:p>
        </w:tc>
        <w:tc>
          <w:tcPr>
            <w:tcW w:w="3768" w:type="dxa"/>
            <w:gridSpan w:val="4"/>
            <w:vAlign w:val="center"/>
          </w:tcPr>
          <w:p w14:paraId="69F8A54B">
            <w:pPr>
              <w:autoSpaceDE w:val="0"/>
              <w:autoSpaceDN w:val="0"/>
              <w:adjustRightInd w:val="0"/>
              <w:snapToGrid w:val="0"/>
              <w:jc w:val="center"/>
              <w:rPr>
                <w:rFonts w:ascii="宋体" w:hAnsi="宋体"/>
                <w:kern w:val="0"/>
                <w:szCs w:val="21"/>
              </w:rPr>
            </w:pPr>
          </w:p>
        </w:tc>
        <w:tc>
          <w:tcPr>
            <w:tcW w:w="1388" w:type="dxa"/>
            <w:vAlign w:val="center"/>
          </w:tcPr>
          <w:p w14:paraId="26F00652">
            <w:pPr>
              <w:autoSpaceDE w:val="0"/>
              <w:autoSpaceDN w:val="0"/>
              <w:adjustRightInd w:val="0"/>
              <w:snapToGrid w:val="0"/>
              <w:jc w:val="center"/>
              <w:rPr>
                <w:rFonts w:ascii="宋体" w:hAnsi="宋体"/>
                <w:kern w:val="0"/>
                <w:szCs w:val="21"/>
              </w:rPr>
            </w:pPr>
          </w:p>
        </w:tc>
        <w:tc>
          <w:tcPr>
            <w:tcW w:w="2135" w:type="dxa"/>
            <w:gridSpan w:val="2"/>
            <w:vAlign w:val="center"/>
          </w:tcPr>
          <w:p w14:paraId="61A0244F">
            <w:pPr>
              <w:autoSpaceDE w:val="0"/>
              <w:autoSpaceDN w:val="0"/>
              <w:adjustRightInd w:val="0"/>
              <w:snapToGrid w:val="0"/>
              <w:jc w:val="center"/>
              <w:rPr>
                <w:rFonts w:ascii="宋体" w:hAnsi="宋体"/>
                <w:kern w:val="0"/>
                <w:szCs w:val="21"/>
              </w:rPr>
            </w:pPr>
          </w:p>
        </w:tc>
      </w:tr>
      <w:tr w14:paraId="3FA26E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318DBE6">
            <w:pPr>
              <w:autoSpaceDE w:val="0"/>
              <w:autoSpaceDN w:val="0"/>
              <w:adjustRightInd w:val="0"/>
              <w:snapToGrid w:val="0"/>
              <w:jc w:val="center"/>
              <w:rPr>
                <w:rFonts w:ascii="宋体" w:hAnsi="宋体"/>
                <w:kern w:val="0"/>
                <w:szCs w:val="21"/>
              </w:rPr>
            </w:pPr>
          </w:p>
        </w:tc>
        <w:tc>
          <w:tcPr>
            <w:tcW w:w="3768" w:type="dxa"/>
            <w:gridSpan w:val="4"/>
            <w:vAlign w:val="center"/>
          </w:tcPr>
          <w:p w14:paraId="73BA5718">
            <w:pPr>
              <w:autoSpaceDE w:val="0"/>
              <w:autoSpaceDN w:val="0"/>
              <w:adjustRightInd w:val="0"/>
              <w:snapToGrid w:val="0"/>
              <w:jc w:val="center"/>
              <w:rPr>
                <w:rFonts w:ascii="宋体" w:hAnsi="宋体"/>
                <w:kern w:val="0"/>
                <w:szCs w:val="21"/>
              </w:rPr>
            </w:pPr>
          </w:p>
        </w:tc>
        <w:tc>
          <w:tcPr>
            <w:tcW w:w="1388" w:type="dxa"/>
            <w:vAlign w:val="center"/>
          </w:tcPr>
          <w:p w14:paraId="21D392AF">
            <w:pPr>
              <w:autoSpaceDE w:val="0"/>
              <w:autoSpaceDN w:val="0"/>
              <w:adjustRightInd w:val="0"/>
              <w:snapToGrid w:val="0"/>
              <w:jc w:val="center"/>
              <w:rPr>
                <w:rFonts w:ascii="宋体" w:hAnsi="宋体"/>
                <w:kern w:val="0"/>
                <w:szCs w:val="21"/>
              </w:rPr>
            </w:pPr>
          </w:p>
        </w:tc>
        <w:tc>
          <w:tcPr>
            <w:tcW w:w="2135" w:type="dxa"/>
            <w:gridSpan w:val="2"/>
            <w:vAlign w:val="center"/>
          </w:tcPr>
          <w:p w14:paraId="3E769ED3">
            <w:pPr>
              <w:autoSpaceDE w:val="0"/>
              <w:autoSpaceDN w:val="0"/>
              <w:adjustRightInd w:val="0"/>
              <w:snapToGrid w:val="0"/>
              <w:jc w:val="center"/>
              <w:rPr>
                <w:rFonts w:ascii="宋体" w:hAnsi="宋体"/>
                <w:kern w:val="0"/>
                <w:szCs w:val="21"/>
              </w:rPr>
            </w:pPr>
          </w:p>
        </w:tc>
      </w:tr>
      <w:tr w14:paraId="268A29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7753426">
            <w:pPr>
              <w:autoSpaceDE w:val="0"/>
              <w:autoSpaceDN w:val="0"/>
              <w:adjustRightInd w:val="0"/>
              <w:snapToGrid w:val="0"/>
              <w:jc w:val="center"/>
              <w:rPr>
                <w:rFonts w:ascii="宋体" w:hAnsi="宋体"/>
                <w:kern w:val="0"/>
                <w:szCs w:val="21"/>
              </w:rPr>
            </w:pPr>
          </w:p>
        </w:tc>
        <w:tc>
          <w:tcPr>
            <w:tcW w:w="3768" w:type="dxa"/>
            <w:gridSpan w:val="4"/>
            <w:vAlign w:val="center"/>
          </w:tcPr>
          <w:p w14:paraId="591AC879">
            <w:pPr>
              <w:autoSpaceDE w:val="0"/>
              <w:autoSpaceDN w:val="0"/>
              <w:adjustRightInd w:val="0"/>
              <w:snapToGrid w:val="0"/>
              <w:jc w:val="center"/>
              <w:rPr>
                <w:rFonts w:ascii="宋体" w:hAnsi="宋体"/>
                <w:kern w:val="0"/>
                <w:szCs w:val="21"/>
              </w:rPr>
            </w:pPr>
          </w:p>
        </w:tc>
        <w:tc>
          <w:tcPr>
            <w:tcW w:w="1388" w:type="dxa"/>
            <w:vAlign w:val="center"/>
          </w:tcPr>
          <w:p w14:paraId="161EB9DF">
            <w:pPr>
              <w:autoSpaceDE w:val="0"/>
              <w:autoSpaceDN w:val="0"/>
              <w:adjustRightInd w:val="0"/>
              <w:snapToGrid w:val="0"/>
              <w:jc w:val="center"/>
              <w:rPr>
                <w:rFonts w:ascii="宋体" w:hAnsi="宋体"/>
                <w:kern w:val="0"/>
                <w:szCs w:val="21"/>
              </w:rPr>
            </w:pPr>
          </w:p>
        </w:tc>
        <w:tc>
          <w:tcPr>
            <w:tcW w:w="2135" w:type="dxa"/>
            <w:gridSpan w:val="2"/>
            <w:vAlign w:val="center"/>
          </w:tcPr>
          <w:p w14:paraId="19FB4E98">
            <w:pPr>
              <w:autoSpaceDE w:val="0"/>
              <w:autoSpaceDN w:val="0"/>
              <w:adjustRightInd w:val="0"/>
              <w:snapToGrid w:val="0"/>
              <w:jc w:val="center"/>
              <w:rPr>
                <w:rFonts w:ascii="宋体" w:hAnsi="宋体"/>
                <w:kern w:val="0"/>
                <w:szCs w:val="21"/>
              </w:rPr>
            </w:pPr>
          </w:p>
        </w:tc>
      </w:tr>
      <w:tr w14:paraId="55DD9B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49563B4">
            <w:pPr>
              <w:autoSpaceDE w:val="0"/>
              <w:autoSpaceDN w:val="0"/>
              <w:adjustRightInd w:val="0"/>
              <w:snapToGrid w:val="0"/>
              <w:jc w:val="center"/>
              <w:rPr>
                <w:rFonts w:ascii="宋体" w:hAnsi="宋体"/>
                <w:kern w:val="0"/>
                <w:szCs w:val="21"/>
              </w:rPr>
            </w:pPr>
          </w:p>
        </w:tc>
        <w:tc>
          <w:tcPr>
            <w:tcW w:w="3768" w:type="dxa"/>
            <w:gridSpan w:val="4"/>
            <w:vAlign w:val="center"/>
          </w:tcPr>
          <w:p w14:paraId="2579FA25">
            <w:pPr>
              <w:autoSpaceDE w:val="0"/>
              <w:autoSpaceDN w:val="0"/>
              <w:adjustRightInd w:val="0"/>
              <w:snapToGrid w:val="0"/>
              <w:jc w:val="center"/>
              <w:rPr>
                <w:rFonts w:ascii="宋体" w:hAnsi="宋体"/>
                <w:kern w:val="0"/>
                <w:szCs w:val="21"/>
              </w:rPr>
            </w:pPr>
          </w:p>
        </w:tc>
        <w:tc>
          <w:tcPr>
            <w:tcW w:w="1388" w:type="dxa"/>
            <w:vAlign w:val="center"/>
          </w:tcPr>
          <w:p w14:paraId="14FF3DAC">
            <w:pPr>
              <w:autoSpaceDE w:val="0"/>
              <w:autoSpaceDN w:val="0"/>
              <w:adjustRightInd w:val="0"/>
              <w:snapToGrid w:val="0"/>
              <w:jc w:val="center"/>
              <w:rPr>
                <w:rFonts w:ascii="宋体" w:hAnsi="宋体"/>
                <w:kern w:val="0"/>
                <w:szCs w:val="21"/>
              </w:rPr>
            </w:pPr>
          </w:p>
        </w:tc>
        <w:tc>
          <w:tcPr>
            <w:tcW w:w="2135" w:type="dxa"/>
            <w:gridSpan w:val="2"/>
            <w:vAlign w:val="center"/>
          </w:tcPr>
          <w:p w14:paraId="7A5E14A3">
            <w:pPr>
              <w:autoSpaceDE w:val="0"/>
              <w:autoSpaceDN w:val="0"/>
              <w:adjustRightInd w:val="0"/>
              <w:snapToGrid w:val="0"/>
              <w:jc w:val="center"/>
              <w:rPr>
                <w:rFonts w:ascii="宋体" w:hAnsi="宋体"/>
                <w:kern w:val="0"/>
                <w:szCs w:val="21"/>
              </w:rPr>
            </w:pPr>
          </w:p>
        </w:tc>
      </w:tr>
      <w:tr w14:paraId="67C537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95C7E5">
            <w:pPr>
              <w:autoSpaceDE w:val="0"/>
              <w:autoSpaceDN w:val="0"/>
              <w:adjustRightInd w:val="0"/>
              <w:snapToGrid w:val="0"/>
              <w:jc w:val="center"/>
              <w:rPr>
                <w:rFonts w:ascii="宋体" w:hAnsi="宋体"/>
                <w:kern w:val="0"/>
                <w:szCs w:val="21"/>
              </w:rPr>
            </w:pPr>
          </w:p>
        </w:tc>
        <w:tc>
          <w:tcPr>
            <w:tcW w:w="3768" w:type="dxa"/>
            <w:gridSpan w:val="4"/>
            <w:vAlign w:val="center"/>
          </w:tcPr>
          <w:p w14:paraId="34C74AD6">
            <w:pPr>
              <w:autoSpaceDE w:val="0"/>
              <w:autoSpaceDN w:val="0"/>
              <w:adjustRightInd w:val="0"/>
              <w:snapToGrid w:val="0"/>
              <w:jc w:val="center"/>
              <w:rPr>
                <w:rFonts w:ascii="宋体" w:hAnsi="宋体"/>
                <w:kern w:val="0"/>
                <w:szCs w:val="21"/>
              </w:rPr>
            </w:pPr>
          </w:p>
        </w:tc>
        <w:tc>
          <w:tcPr>
            <w:tcW w:w="1388" w:type="dxa"/>
            <w:vAlign w:val="center"/>
          </w:tcPr>
          <w:p w14:paraId="3ABB1FA0">
            <w:pPr>
              <w:autoSpaceDE w:val="0"/>
              <w:autoSpaceDN w:val="0"/>
              <w:adjustRightInd w:val="0"/>
              <w:snapToGrid w:val="0"/>
              <w:jc w:val="center"/>
              <w:rPr>
                <w:rFonts w:ascii="宋体" w:hAnsi="宋体"/>
                <w:kern w:val="0"/>
                <w:szCs w:val="21"/>
              </w:rPr>
            </w:pPr>
          </w:p>
        </w:tc>
        <w:tc>
          <w:tcPr>
            <w:tcW w:w="2135" w:type="dxa"/>
            <w:gridSpan w:val="2"/>
            <w:vAlign w:val="center"/>
          </w:tcPr>
          <w:p w14:paraId="3DA4825B">
            <w:pPr>
              <w:autoSpaceDE w:val="0"/>
              <w:autoSpaceDN w:val="0"/>
              <w:adjustRightInd w:val="0"/>
              <w:snapToGrid w:val="0"/>
              <w:jc w:val="center"/>
              <w:rPr>
                <w:rFonts w:ascii="宋体" w:hAnsi="宋体"/>
                <w:kern w:val="0"/>
                <w:szCs w:val="21"/>
              </w:rPr>
            </w:pPr>
          </w:p>
        </w:tc>
      </w:tr>
      <w:tr w14:paraId="7807B3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7FA210D">
            <w:pPr>
              <w:autoSpaceDE w:val="0"/>
              <w:autoSpaceDN w:val="0"/>
              <w:adjustRightInd w:val="0"/>
              <w:snapToGrid w:val="0"/>
              <w:jc w:val="center"/>
              <w:rPr>
                <w:rFonts w:ascii="宋体" w:hAnsi="宋体"/>
                <w:kern w:val="0"/>
                <w:szCs w:val="21"/>
              </w:rPr>
            </w:pPr>
          </w:p>
        </w:tc>
        <w:tc>
          <w:tcPr>
            <w:tcW w:w="3768" w:type="dxa"/>
            <w:gridSpan w:val="4"/>
            <w:vAlign w:val="center"/>
          </w:tcPr>
          <w:p w14:paraId="484DA35E">
            <w:pPr>
              <w:autoSpaceDE w:val="0"/>
              <w:autoSpaceDN w:val="0"/>
              <w:adjustRightInd w:val="0"/>
              <w:snapToGrid w:val="0"/>
              <w:jc w:val="center"/>
              <w:rPr>
                <w:rFonts w:ascii="宋体" w:hAnsi="宋体"/>
                <w:kern w:val="0"/>
                <w:szCs w:val="21"/>
              </w:rPr>
            </w:pPr>
          </w:p>
        </w:tc>
        <w:tc>
          <w:tcPr>
            <w:tcW w:w="1388" w:type="dxa"/>
            <w:vAlign w:val="center"/>
          </w:tcPr>
          <w:p w14:paraId="7324A8F1">
            <w:pPr>
              <w:autoSpaceDE w:val="0"/>
              <w:autoSpaceDN w:val="0"/>
              <w:adjustRightInd w:val="0"/>
              <w:snapToGrid w:val="0"/>
              <w:jc w:val="center"/>
              <w:rPr>
                <w:rFonts w:ascii="宋体" w:hAnsi="宋体"/>
                <w:kern w:val="0"/>
                <w:szCs w:val="21"/>
              </w:rPr>
            </w:pPr>
          </w:p>
        </w:tc>
        <w:tc>
          <w:tcPr>
            <w:tcW w:w="2135" w:type="dxa"/>
            <w:gridSpan w:val="2"/>
            <w:vAlign w:val="center"/>
          </w:tcPr>
          <w:p w14:paraId="05A393FF">
            <w:pPr>
              <w:autoSpaceDE w:val="0"/>
              <w:autoSpaceDN w:val="0"/>
              <w:adjustRightInd w:val="0"/>
              <w:snapToGrid w:val="0"/>
              <w:jc w:val="center"/>
              <w:rPr>
                <w:rFonts w:ascii="宋体" w:hAnsi="宋体"/>
                <w:kern w:val="0"/>
                <w:szCs w:val="21"/>
              </w:rPr>
            </w:pPr>
          </w:p>
        </w:tc>
      </w:tr>
      <w:tr w14:paraId="5A7A8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8986D9C">
            <w:pPr>
              <w:autoSpaceDE w:val="0"/>
              <w:autoSpaceDN w:val="0"/>
              <w:adjustRightInd w:val="0"/>
              <w:snapToGrid w:val="0"/>
              <w:jc w:val="center"/>
              <w:rPr>
                <w:rFonts w:ascii="宋体" w:hAnsi="宋体"/>
                <w:kern w:val="0"/>
                <w:szCs w:val="21"/>
              </w:rPr>
            </w:pPr>
          </w:p>
        </w:tc>
        <w:tc>
          <w:tcPr>
            <w:tcW w:w="3768" w:type="dxa"/>
            <w:gridSpan w:val="4"/>
            <w:vAlign w:val="center"/>
          </w:tcPr>
          <w:p w14:paraId="1F35CE2A">
            <w:pPr>
              <w:autoSpaceDE w:val="0"/>
              <w:autoSpaceDN w:val="0"/>
              <w:adjustRightInd w:val="0"/>
              <w:snapToGrid w:val="0"/>
              <w:jc w:val="center"/>
              <w:rPr>
                <w:rFonts w:ascii="宋体" w:hAnsi="宋体"/>
                <w:kern w:val="0"/>
                <w:szCs w:val="21"/>
              </w:rPr>
            </w:pPr>
          </w:p>
        </w:tc>
        <w:tc>
          <w:tcPr>
            <w:tcW w:w="1388" w:type="dxa"/>
            <w:vAlign w:val="center"/>
          </w:tcPr>
          <w:p w14:paraId="55A71C47">
            <w:pPr>
              <w:autoSpaceDE w:val="0"/>
              <w:autoSpaceDN w:val="0"/>
              <w:adjustRightInd w:val="0"/>
              <w:snapToGrid w:val="0"/>
              <w:jc w:val="center"/>
              <w:rPr>
                <w:rFonts w:ascii="宋体" w:hAnsi="宋体"/>
                <w:kern w:val="0"/>
                <w:szCs w:val="21"/>
              </w:rPr>
            </w:pPr>
          </w:p>
        </w:tc>
        <w:tc>
          <w:tcPr>
            <w:tcW w:w="2135" w:type="dxa"/>
            <w:gridSpan w:val="2"/>
            <w:vAlign w:val="center"/>
          </w:tcPr>
          <w:p w14:paraId="397761DD">
            <w:pPr>
              <w:autoSpaceDE w:val="0"/>
              <w:autoSpaceDN w:val="0"/>
              <w:adjustRightInd w:val="0"/>
              <w:snapToGrid w:val="0"/>
              <w:jc w:val="center"/>
              <w:rPr>
                <w:rFonts w:ascii="宋体" w:hAnsi="宋体"/>
                <w:kern w:val="0"/>
                <w:szCs w:val="21"/>
              </w:rPr>
            </w:pPr>
          </w:p>
        </w:tc>
      </w:tr>
      <w:tr w14:paraId="754A0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56D4155">
            <w:pPr>
              <w:autoSpaceDE w:val="0"/>
              <w:autoSpaceDN w:val="0"/>
              <w:adjustRightInd w:val="0"/>
              <w:snapToGrid w:val="0"/>
              <w:jc w:val="center"/>
              <w:rPr>
                <w:rFonts w:ascii="宋体" w:hAnsi="宋体"/>
                <w:kern w:val="0"/>
                <w:szCs w:val="21"/>
              </w:rPr>
            </w:pPr>
          </w:p>
        </w:tc>
        <w:tc>
          <w:tcPr>
            <w:tcW w:w="3768" w:type="dxa"/>
            <w:gridSpan w:val="4"/>
            <w:vAlign w:val="center"/>
          </w:tcPr>
          <w:p w14:paraId="2D9F3128">
            <w:pPr>
              <w:autoSpaceDE w:val="0"/>
              <w:autoSpaceDN w:val="0"/>
              <w:adjustRightInd w:val="0"/>
              <w:snapToGrid w:val="0"/>
              <w:jc w:val="center"/>
              <w:rPr>
                <w:rFonts w:ascii="宋体" w:hAnsi="宋体"/>
                <w:kern w:val="0"/>
                <w:szCs w:val="21"/>
              </w:rPr>
            </w:pPr>
          </w:p>
        </w:tc>
        <w:tc>
          <w:tcPr>
            <w:tcW w:w="1388" w:type="dxa"/>
            <w:vAlign w:val="center"/>
          </w:tcPr>
          <w:p w14:paraId="453963BC">
            <w:pPr>
              <w:autoSpaceDE w:val="0"/>
              <w:autoSpaceDN w:val="0"/>
              <w:adjustRightInd w:val="0"/>
              <w:snapToGrid w:val="0"/>
              <w:jc w:val="center"/>
              <w:rPr>
                <w:rFonts w:ascii="宋体" w:hAnsi="宋体"/>
                <w:kern w:val="0"/>
                <w:szCs w:val="21"/>
              </w:rPr>
            </w:pPr>
          </w:p>
        </w:tc>
        <w:tc>
          <w:tcPr>
            <w:tcW w:w="2135" w:type="dxa"/>
            <w:gridSpan w:val="2"/>
            <w:vAlign w:val="center"/>
          </w:tcPr>
          <w:p w14:paraId="003D2556">
            <w:pPr>
              <w:autoSpaceDE w:val="0"/>
              <w:autoSpaceDN w:val="0"/>
              <w:adjustRightInd w:val="0"/>
              <w:snapToGrid w:val="0"/>
              <w:jc w:val="center"/>
              <w:rPr>
                <w:rFonts w:ascii="宋体" w:hAnsi="宋体"/>
                <w:kern w:val="0"/>
                <w:szCs w:val="21"/>
              </w:rPr>
            </w:pPr>
          </w:p>
        </w:tc>
      </w:tr>
      <w:tr w14:paraId="23D18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4B2C9E">
            <w:pPr>
              <w:autoSpaceDE w:val="0"/>
              <w:autoSpaceDN w:val="0"/>
              <w:adjustRightInd w:val="0"/>
              <w:snapToGrid w:val="0"/>
              <w:jc w:val="center"/>
              <w:rPr>
                <w:rFonts w:ascii="宋体" w:hAnsi="宋体"/>
                <w:kern w:val="0"/>
                <w:szCs w:val="21"/>
              </w:rPr>
            </w:pPr>
          </w:p>
        </w:tc>
        <w:tc>
          <w:tcPr>
            <w:tcW w:w="3768" w:type="dxa"/>
            <w:gridSpan w:val="4"/>
            <w:vAlign w:val="center"/>
          </w:tcPr>
          <w:p w14:paraId="7A7CEB53">
            <w:pPr>
              <w:autoSpaceDE w:val="0"/>
              <w:autoSpaceDN w:val="0"/>
              <w:adjustRightInd w:val="0"/>
              <w:snapToGrid w:val="0"/>
              <w:jc w:val="center"/>
              <w:rPr>
                <w:rFonts w:ascii="宋体" w:hAnsi="宋体"/>
                <w:kern w:val="0"/>
                <w:szCs w:val="21"/>
              </w:rPr>
            </w:pPr>
          </w:p>
        </w:tc>
        <w:tc>
          <w:tcPr>
            <w:tcW w:w="1388" w:type="dxa"/>
            <w:vAlign w:val="center"/>
          </w:tcPr>
          <w:p w14:paraId="6B5333E1">
            <w:pPr>
              <w:autoSpaceDE w:val="0"/>
              <w:autoSpaceDN w:val="0"/>
              <w:adjustRightInd w:val="0"/>
              <w:snapToGrid w:val="0"/>
              <w:jc w:val="center"/>
              <w:rPr>
                <w:rFonts w:ascii="宋体" w:hAnsi="宋体"/>
                <w:kern w:val="0"/>
                <w:szCs w:val="21"/>
              </w:rPr>
            </w:pPr>
          </w:p>
        </w:tc>
        <w:tc>
          <w:tcPr>
            <w:tcW w:w="2135" w:type="dxa"/>
            <w:gridSpan w:val="2"/>
            <w:vAlign w:val="center"/>
          </w:tcPr>
          <w:p w14:paraId="4A13DD64">
            <w:pPr>
              <w:autoSpaceDE w:val="0"/>
              <w:autoSpaceDN w:val="0"/>
              <w:adjustRightInd w:val="0"/>
              <w:snapToGrid w:val="0"/>
              <w:jc w:val="center"/>
              <w:rPr>
                <w:rFonts w:ascii="宋体" w:hAnsi="宋体"/>
                <w:kern w:val="0"/>
                <w:szCs w:val="21"/>
              </w:rPr>
            </w:pPr>
          </w:p>
        </w:tc>
      </w:tr>
      <w:tr w14:paraId="09C60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19469DE">
            <w:pPr>
              <w:autoSpaceDE w:val="0"/>
              <w:autoSpaceDN w:val="0"/>
              <w:adjustRightInd w:val="0"/>
              <w:snapToGrid w:val="0"/>
              <w:jc w:val="center"/>
              <w:rPr>
                <w:rFonts w:ascii="宋体" w:hAnsi="宋体"/>
                <w:kern w:val="0"/>
                <w:szCs w:val="21"/>
              </w:rPr>
            </w:pPr>
          </w:p>
        </w:tc>
        <w:tc>
          <w:tcPr>
            <w:tcW w:w="3768" w:type="dxa"/>
            <w:gridSpan w:val="4"/>
            <w:vAlign w:val="center"/>
          </w:tcPr>
          <w:p w14:paraId="54FABE08">
            <w:pPr>
              <w:autoSpaceDE w:val="0"/>
              <w:autoSpaceDN w:val="0"/>
              <w:adjustRightInd w:val="0"/>
              <w:snapToGrid w:val="0"/>
              <w:jc w:val="center"/>
              <w:rPr>
                <w:rFonts w:ascii="宋体" w:hAnsi="宋体"/>
                <w:kern w:val="0"/>
                <w:szCs w:val="21"/>
              </w:rPr>
            </w:pPr>
          </w:p>
        </w:tc>
        <w:tc>
          <w:tcPr>
            <w:tcW w:w="1388" w:type="dxa"/>
            <w:vAlign w:val="center"/>
          </w:tcPr>
          <w:p w14:paraId="28433A29">
            <w:pPr>
              <w:autoSpaceDE w:val="0"/>
              <w:autoSpaceDN w:val="0"/>
              <w:adjustRightInd w:val="0"/>
              <w:snapToGrid w:val="0"/>
              <w:jc w:val="center"/>
              <w:rPr>
                <w:rFonts w:ascii="宋体" w:hAnsi="宋体"/>
                <w:kern w:val="0"/>
                <w:szCs w:val="21"/>
              </w:rPr>
            </w:pPr>
          </w:p>
        </w:tc>
        <w:tc>
          <w:tcPr>
            <w:tcW w:w="2135" w:type="dxa"/>
            <w:gridSpan w:val="2"/>
            <w:vAlign w:val="center"/>
          </w:tcPr>
          <w:p w14:paraId="659314CD">
            <w:pPr>
              <w:autoSpaceDE w:val="0"/>
              <w:autoSpaceDN w:val="0"/>
              <w:adjustRightInd w:val="0"/>
              <w:snapToGrid w:val="0"/>
              <w:jc w:val="center"/>
              <w:rPr>
                <w:rFonts w:ascii="宋体" w:hAnsi="宋体"/>
                <w:kern w:val="0"/>
                <w:szCs w:val="21"/>
              </w:rPr>
            </w:pPr>
          </w:p>
        </w:tc>
      </w:tr>
      <w:tr w14:paraId="70A1CE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743B83D">
            <w:pPr>
              <w:autoSpaceDE w:val="0"/>
              <w:autoSpaceDN w:val="0"/>
              <w:adjustRightInd w:val="0"/>
              <w:snapToGrid w:val="0"/>
              <w:jc w:val="center"/>
              <w:rPr>
                <w:rFonts w:ascii="宋体" w:hAnsi="宋体"/>
                <w:kern w:val="0"/>
                <w:szCs w:val="21"/>
              </w:rPr>
            </w:pPr>
          </w:p>
        </w:tc>
        <w:tc>
          <w:tcPr>
            <w:tcW w:w="3768" w:type="dxa"/>
            <w:gridSpan w:val="4"/>
            <w:vAlign w:val="center"/>
          </w:tcPr>
          <w:p w14:paraId="355168DE">
            <w:pPr>
              <w:autoSpaceDE w:val="0"/>
              <w:autoSpaceDN w:val="0"/>
              <w:adjustRightInd w:val="0"/>
              <w:snapToGrid w:val="0"/>
              <w:jc w:val="center"/>
              <w:rPr>
                <w:rFonts w:ascii="宋体" w:hAnsi="宋体"/>
                <w:kern w:val="0"/>
                <w:szCs w:val="21"/>
              </w:rPr>
            </w:pPr>
          </w:p>
        </w:tc>
        <w:tc>
          <w:tcPr>
            <w:tcW w:w="1388" w:type="dxa"/>
            <w:vAlign w:val="center"/>
          </w:tcPr>
          <w:p w14:paraId="19DFDBA0">
            <w:pPr>
              <w:autoSpaceDE w:val="0"/>
              <w:autoSpaceDN w:val="0"/>
              <w:adjustRightInd w:val="0"/>
              <w:snapToGrid w:val="0"/>
              <w:jc w:val="center"/>
              <w:rPr>
                <w:rFonts w:ascii="宋体" w:hAnsi="宋体"/>
                <w:kern w:val="0"/>
                <w:szCs w:val="21"/>
              </w:rPr>
            </w:pPr>
          </w:p>
        </w:tc>
        <w:tc>
          <w:tcPr>
            <w:tcW w:w="2135" w:type="dxa"/>
            <w:gridSpan w:val="2"/>
            <w:vAlign w:val="center"/>
          </w:tcPr>
          <w:p w14:paraId="242F6022">
            <w:pPr>
              <w:autoSpaceDE w:val="0"/>
              <w:autoSpaceDN w:val="0"/>
              <w:adjustRightInd w:val="0"/>
              <w:snapToGrid w:val="0"/>
              <w:jc w:val="center"/>
              <w:rPr>
                <w:rFonts w:ascii="宋体" w:hAnsi="宋体"/>
                <w:kern w:val="0"/>
                <w:szCs w:val="21"/>
              </w:rPr>
            </w:pPr>
          </w:p>
        </w:tc>
      </w:tr>
    </w:tbl>
    <w:p w14:paraId="6BA27F76">
      <w:pPr>
        <w:spacing w:line="360" w:lineRule="auto"/>
        <w:rPr>
          <w:rFonts w:ascii="宋体" w:hAnsi="宋体"/>
        </w:rPr>
      </w:pPr>
      <w:bookmarkStart w:id="351" w:name="_Toc224103515"/>
    </w:p>
    <w:bookmarkEnd w:id="351"/>
    <w:p w14:paraId="2DDA3630">
      <w:pPr>
        <w:pStyle w:val="5"/>
        <w:spacing w:before="0" w:line="360" w:lineRule="auto"/>
        <w:jc w:val="center"/>
        <w:rPr>
          <w:rFonts w:ascii="宋体" w:hAnsi="宋体"/>
          <w:b w:val="0"/>
        </w:rPr>
      </w:pPr>
      <w:bookmarkStart w:id="352" w:name="_Toc534185843"/>
      <w:bookmarkStart w:id="353" w:name="_Toc224103520"/>
      <w:bookmarkStart w:id="354" w:name="_Toc509218866"/>
      <w:bookmarkStart w:id="355" w:name="_Toc287620839"/>
      <w:bookmarkStart w:id="356" w:name="_Toc287607893"/>
      <w:bookmarkStart w:id="357" w:name="_Toc277082663"/>
      <w:bookmarkStart w:id="358" w:name="_Toc27983331"/>
      <w:bookmarkStart w:id="359" w:name="_Toc430530552"/>
      <w:bookmarkStart w:id="360" w:name="_Toc24439"/>
      <w:r>
        <w:rPr>
          <w:rFonts w:ascii="宋体" w:hAnsi="宋体"/>
          <w:b w:val="0"/>
        </w:rPr>
        <w:t>（</w:t>
      </w:r>
      <w:r>
        <w:rPr>
          <w:rFonts w:hint="eastAsia" w:ascii="宋体" w:hAnsi="宋体"/>
          <w:b w:val="0"/>
        </w:rPr>
        <w:t>四</w:t>
      </w:r>
      <w:r>
        <w:rPr>
          <w:rFonts w:ascii="宋体" w:hAnsi="宋体"/>
          <w:b w:val="0"/>
        </w:rPr>
        <w:t>）</w:t>
      </w:r>
      <w:bookmarkEnd w:id="352"/>
      <w:bookmarkEnd w:id="353"/>
      <w:bookmarkEnd w:id="354"/>
      <w:bookmarkEnd w:id="355"/>
      <w:bookmarkEnd w:id="356"/>
      <w:bookmarkEnd w:id="357"/>
      <w:bookmarkEnd w:id="358"/>
      <w:bookmarkEnd w:id="359"/>
      <w:r>
        <w:rPr>
          <w:rFonts w:hint="eastAsia" w:ascii="宋体" w:hAnsi="宋体"/>
          <w:b w:val="0"/>
        </w:rPr>
        <w:t>承诺</w:t>
      </w:r>
      <w:bookmarkEnd w:id="360"/>
    </w:p>
    <w:p w14:paraId="4ECFAD22">
      <w:pPr>
        <w:snapToGrid w:val="0"/>
        <w:spacing w:line="38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3544B5F4">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（比选申请人名称）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64045C7F">
      <w:pPr>
        <w:snapToGrid w:val="0"/>
        <w:spacing w:line="380" w:lineRule="exact"/>
        <w:ind w:firstLine="420" w:firstLineChars="200"/>
        <w:rPr>
          <w:rFonts w:ascii="宋体" w:hAnsi="宋体"/>
          <w:szCs w:val="21"/>
        </w:rPr>
      </w:pPr>
      <w:r>
        <w:rPr>
          <w:rFonts w:hint="eastAsia" w:ascii="宋体" w:hAnsi="宋体"/>
          <w:szCs w:val="21"/>
        </w:rPr>
        <w:t>1、投标截止日投标资格情况不存在下列情形之一：</w:t>
      </w:r>
    </w:p>
    <w:p w14:paraId="6450BAFA">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4DF1C7AE">
      <w:pPr>
        <w:snapToGrid w:val="0"/>
        <w:spacing w:line="380" w:lineRule="exact"/>
        <w:ind w:firstLine="420" w:firstLineChars="200"/>
        <w:jc w:val="left"/>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0CE43971">
      <w:pPr>
        <w:snapToGrid w:val="0"/>
        <w:spacing w:line="380" w:lineRule="exact"/>
        <w:ind w:firstLine="420" w:firstLineChars="200"/>
        <w:jc w:val="left"/>
        <w:rPr>
          <w:rFonts w:ascii="宋体" w:hAnsi="宋体"/>
          <w:szCs w:val="21"/>
        </w:rPr>
      </w:pPr>
      <w:r>
        <w:rPr>
          <w:rFonts w:hint="eastAsia" w:ascii="宋体" w:hAnsi="宋体"/>
          <w:szCs w:val="21"/>
        </w:rPr>
        <w:t>（3）被列入《重庆市工程建设领域招标投标信用管理暂行办法》规定的黑名单且在记分有效期内；</w:t>
      </w:r>
    </w:p>
    <w:p w14:paraId="73421169">
      <w:pPr>
        <w:snapToGrid w:val="0"/>
        <w:spacing w:line="380" w:lineRule="exact"/>
        <w:ind w:firstLine="420" w:firstLineChars="200"/>
        <w:jc w:val="left"/>
        <w:rPr>
          <w:rFonts w:ascii="宋体" w:hAnsi="宋体"/>
          <w:szCs w:val="21"/>
        </w:rPr>
      </w:pPr>
      <w:r>
        <w:rPr>
          <w:rFonts w:hint="eastAsia" w:ascii="宋体" w:hAnsi="宋体"/>
          <w:szCs w:val="21"/>
        </w:rPr>
        <w:t>（4）被国家、重庆市（含市或任意区县）有关行政部门处以暂停投标资格行政处罚，且在处罚期限内；</w:t>
      </w:r>
    </w:p>
    <w:p w14:paraId="4B9881EE">
      <w:pPr>
        <w:spacing w:line="38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14:paraId="74E2B5E3">
      <w:pPr>
        <w:spacing w:line="380" w:lineRule="exact"/>
        <w:ind w:firstLine="420" w:firstLineChars="200"/>
        <w:rPr>
          <w:rFonts w:ascii="宋体" w:hAnsi="宋体"/>
          <w:szCs w:val="21"/>
        </w:rPr>
      </w:pPr>
      <w:r>
        <w:rPr>
          <w:rFonts w:hint="eastAsia" w:ascii="宋体" w:hAnsi="宋体"/>
          <w:szCs w:val="21"/>
        </w:rPr>
        <w:t>（6）被责令停业，暂扣或吊销执照，或吊销资质证书；</w:t>
      </w:r>
    </w:p>
    <w:p w14:paraId="5DA695B1">
      <w:pPr>
        <w:spacing w:line="380" w:lineRule="exact"/>
        <w:ind w:firstLine="420" w:firstLineChars="200"/>
        <w:rPr>
          <w:rFonts w:ascii="宋体" w:hAnsi="宋体"/>
          <w:szCs w:val="21"/>
        </w:rPr>
      </w:pPr>
      <w:r>
        <w:rPr>
          <w:rFonts w:hint="eastAsia" w:ascii="宋体" w:hAnsi="宋体"/>
          <w:szCs w:val="21"/>
        </w:rPr>
        <w:t>（7）进入清算程序，或被宣告破产，或其他丧失履约能力的情形；</w:t>
      </w:r>
    </w:p>
    <w:p w14:paraId="7A941F5D">
      <w:pPr>
        <w:spacing w:line="380" w:lineRule="exact"/>
        <w:ind w:firstLine="420" w:firstLineChars="200"/>
        <w:rPr>
          <w:rFonts w:ascii="宋体" w:hAnsi="宋体"/>
          <w:szCs w:val="21"/>
        </w:rPr>
      </w:pPr>
      <w:r>
        <w:rPr>
          <w:rFonts w:hint="eastAsia" w:ascii="宋体" w:hAnsi="宋体"/>
          <w:szCs w:val="21"/>
        </w:rPr>
        <w:t>（8）在国家企业信用信息公示系统（http://www.gsxt.gov.cn/）中被列入严重违法失信企业名单；</w:t>
      </w:r>
    </w:p>
    <w:p w14:paraId="63CD0325">
      <w:pPr>
        <w:snapToGrid w:val="0"/>
        <w:spacing w:line="380" w:lineRule="exact"/>
        <w:ind w:firstLine="420" w:firstLineChars="200"/>
        <w:jc w:val="left"/>
        <w:rPr>
          <w:rFonts w:ascii="宋体" w:hAnsi="宋体"/>
          <w:szCs w:val="21"/>
        </w:rPr>
      </w:pPr>
      <w:r>
        <w:rPr>
          <w:rFonts w:hint="eastAsia" w:ascii="宋体" w:hAnsi="宋体"/>
          <w:szCs w:val="21"/>
        </w:rPr>
        <w:t>（9）比选申请人或其法定代表人、拟委任的项目经理在近两年内有行贿犯罪行为的。</w:t>
      </w:r>
    </w:p>
    <w:p w14:paraId="08CC2144">
      <w:pPr>
        <w:snapToGrid w:val="0"/>
        <w:spacing w:line="380" w:lineRule="exact"/>
        <w:ind w:firstLine="420" w:firstLineChars="200"/>
        <w:rPr>
          <w:rFonts w:ascii="宋体" w:hAnsi="宋体"/>
          <w:szCs w:val="21"/>
        </w:rPr>
      </w:pPr>
      <w:r>
        <w:rPr>
          <w:rFonts w:hint="eastAsia" w:ascii="宋体" w:hAnsi="宋体"/>
          <w:szCs w:val="21"/>
        </w:rPr>
        <w:t>2.1我公司拟派的项目经理按注册建造师的相关规定到岗履职和未被禁止参与投标。</w:t>
      </w:r>
    </w:p>
    <w:p w14:paraId="4786FF12">
      <w:pPr>
        <w:snapToGrid w:val="0"/>
        <w:spacing w:line="380" w:lineRule="exact"/>
        <w:ind w:firstLine="420" w:firstLineChars="200"/>
        <w:rPr>
          <w:rFonts w:ascii="宋体" w:hAnsi="宋体"/>
          <w:szCs w:val="21"/>
        </w:rPr>
      </w:pPr>
      <w:r>
        <w:rPr>
          <w:rFonts w:hint="eastAsia" w:ascii="宋体" w:hAnsi="宋体"/>
          <w:szCs w:val="21"/>
        </w:rPr>
        <w:t>2.1.1拟派的项目经理中标后在本项目任职，签订合同时拟派的项目经理必须与比选申请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6D34BCDB">
      <w:pPr>
        <w:snapToGrid w:val="0"/>
        <w:spacing w:line="380" w:lineRule="exact"/>
        <w:ind w:firstLine="420" w:firstLineChars="200"/>
        <w:rPr>
          <w:rFonts w:ascii="宋体" w:hAnsi="宋体"/>
          <w:szCs w:val="21"/>
        </w:rPr>
      </w:pPr>
      <w:r>
        <w:rPr>
          <w:rFonts w:hint="eastAsia" w:ascii="宋体" w:hAnsi="宋体"/>
          <w:szCs w:val="21"/>
        </w:rPr>
        <w:t>2.1.2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179A13BE">
      <w:pPr>
        <w:snapToGrid w:val="0"/>
        <w:spacing w:line="380" w:lineRule="exact"/>
        <w:ind w:firstLine="420" w:firstLineChars="200"/>
        <w:rPr>
          <w:rFonts w:ascii="宋体" w:hAnsi="宋体"/>
          <w:szCs w:val="21"/>
        </w:rPr>
      </w:pPr>
      <w:r>
        <w:rPr>
          <w:rFonts w:hint="eastAsia" w:ascii="宋体" w:hAnsi="宋体"/>
          <w:szCs w:val="21"/>
        </w:rPr>
        <w:t>2.1.3为保证我公司拟派的项目经理到本项目到岗履职，我公司还承诺：</w:t>
      </w:r>
    </w:p>
    <w:p w14:paraId="6F63D8D5">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rPr>
        <w:t>[提示：7～30日]</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6F19CBF7">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4D749641">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02CBF308">
      <w:pPr>
        <w:snapToGrid w:val="0"/>
        <w:spacing w:line="380" w:lineRule="exact"/>
        <w:ind w:firstLine="420" w:firstLineChars="200"/>
        <w:rPr>
          <w:rFonts w:ascii="宋体" w:hAnsi="宋体"/>
          <w:szCs w:val="21"/>
        </w:rPr>
      </w:pPr>
      <w:r>
        <w:rPr>
          <w:rFonts w:hint="eastAsia" w:ascii="宋体" w:hAnsi="宋体"/>
          <w:szCs w:val="21"/>
        </w:rPr>
        <w:t>2.2我公司拟派的项目总工按相关规定到岗履职和未被禁止参与投标。</w:t>
      </w:r>
    </w:p>
    <w:p w14:paraId="4863F1F8">
      <w:pPr>
        <w:snapToGrid w:val="0"/>
        <w:spacing w:line="380" w:lineRule="exact"/>
        <w:ind w:firstLine="420" w:firstLineChars="200"/>
        <w:rPr>
          <w:rFonts w:ascii="宋体" w:hAnsi="宋体"/>
          <w:szCs w:val="21"/>
        </w:rPr>
      </w:pPr>
      <w:r>
        <w:rPr>
          <w:rFonts w:hint="eastAsia" w:ascii="宋体" w:hAnsi="宋体"/>
          <w:szCs w:val="21"/>
        </w:rPr>
        <w:t>2.2.1拟派的项目总工中标后只能在本项目任职，签订合同时拟派的项目总工必须与比选申请文件中的项目总工一致，并满足办理施工许可手续的相关要求。不能按承诺到岗履约的，按合同相关条款处罚并上报行政主管部门，给贵单位造成损失的，我公司依法承担违约赔偿责任。拟派的项目总工中标后不得随意更换。</w:t>
      </w:r>
    </w:p>
    <w:p w14:paraId="6C8528F3">
      <w:pPr>
        <w:snapToGrid w:val="0"/>
        <w:spacing w:line="380" w:lineRule="exact"/>
        <w:ind w:firstLine="420" w:firstLineChars="200"/>
        <w:rPr>
          <w:rFonts w:ascii="宋体" w:hAnsi="宋体"/>
          <w:szCs w:val="21"/>
        </w:rPr>
      </w:pPr>
      <w:r>
        <w:rPr>
          <w:rFonts w:hint="eastAsia" w:ascii="宋体" w:hAnsi="宋体"/>
          <w:szCs w:val="21"/>
        </w:rPr>
        <w:t>2.2.2拟派的项目总工未被重庆市交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4DEDC5EC">
      <w:pPr>
        <w:snapToGrid w:val="0"/>
        <w:spacing w:line="380" w:lineRule="exact"/>
        <w:ind w:firstLine="420" w:firstLineChars="200"/>
        <w:rPr>
          <w:rFonts w:ascii="宋体" w:hAnsi="宋体"/>
          <w:szCs w:val="21"/>
        </w:rPr>
      </w:pPr>
      <w:r>
        <w:rPr>
          <w:rFonts w:hint="eastAsia" w:ascii="宋体" w:hAnsi="宋体"/>
          <w:szCs w:val="21"/>
        </w:rPr>
        <w:t>3、我公司若中标，将在合同谈判结束后7日内按照本项目比选文件“比选申请人须知”前附表1.4.1的要求，向贵单位提供参与本项目施工工作的人员名单，并附相应人员的身份证、执业资格证、职称证书、社保缴费证明等证明材料作为投标书附件并作为合同文件的组成部分。如果我公司在合同谈判结束后7日内，不能向贵单位提供上述材料（除不可抗力因素），视为我公司放弃中标候选人资格。</w:t>
      </w:r>
    </w:p>
    <w:p w14:paraId="7FE6CD51">
      <w:pPr>
        <w:snapToGrid w:val="0"/>
        <w:spacing w:line="380" w:lineRule="exact"/>
        <w:ind w:firstLine="420" w:firstLineChars="200"/>
        <w:rPr>
          <w:rFonts w:ascii="宋体" w:hAnsi="宋体"/>
          <w:szCs w:val="21"/>
        </w:rPr>
      </w:pPr>
      <w:r>
        <w:rPr>
          <w:rFonts w:hint="eastAsia" w:ascii="宋体" w:hAnsi="宋体"/>
          <w:szCs w:val="21"/>
        </w:rPr>
        <w:t>4、我公司若中标，将在合同谈判结束后7日内按照本项目比选文件“比选申请人须知”前附表1.4.1的要求，向贵单位提供主要设备进场清单。如果我公司在合同谈判结束后7日内，不能向贵单位提供上述材料（除不可抗力因素），视为我公司放弃中标候选人资格。</w:t>
      </w:r>
    </w:p>
    <w:p w14:paraId="7DA2414E">
      <w:pPr>
        <w:snapToGrid w:val="0"/>
        <w:spacing w:line="380" w:lineRule="exact"/>
        <w:ind w:firstLine="420" w:firstLineChars="200"/>
        <w:rPr>
          <w:rFonts w:ascii="宋体" w:hAnsi="宋体"/>
          <w:szCs w:val="21"/>
        </w:rPr>
      </w:pPr>
      <w:r>
        <w:rPr>
          <w:rFonts w:hint="eastAsia" w:ascii="宋体" w:hAnsi="宋体"/>
          <w:szCs w:val="21"/>
        </w:rPr>
        <w:t>5、我公司严格按照第五章“工程量清单”、第八章“工程量清单计量规则”的规定进行报价。比选文件中规定工程量清单不允许修改的内容不得修改。投标总报价不高于贵单位公布的投标总报价最高限价。若出现差错，按比选文件第二章比选申请人须知前附表第3.2.9项规定的原则进行处理（或结算）。</w:t>
      </w:r>
    </w:p>
    <w:p w14:paraId="5977518F">
      <w:pPr>
        <w:snapToGrid w:val="0"/>
        <w:spacing w:line="380" w:lineRule="exact"/>
        <w:ind w:firstLine="420" w:firstLineChars="200"/>
        <w:rPr>
          <w:rFonts w:ascii="宋体" w:hAnsi="宋体"/>
          <w:szCs w:val="21"/>
        </w:rPr>
      </w:pPr>
      <w:r>
        <w:rPr>
          <w:rFonts w:hint="eastAsia" w:ascii="宋体" w:hAnsi="宋体"/>
          <w:szCs w:val="21"/>
        </w:rPr>
        <w:t>6、我公司在资格审查部分中提供的相关证明材料真实有效，不存在弄虚作假情形。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szCs w:val="21"/>
        </w:rPr>
        <w:t>。</w:t>
      </w:r>
    </w:p>
    <w:p w14:paraId="5E09F3E8">
      <w:pPr>
        <w:snapToGrid w:val="0"/>
        <w:spacing w:line="380" w:lineRule="exact"/>
        <w:ind w:firstLine="420" w:firstLineChars="200"/>
        <w:rPr>
          <w:rFonts w:ascii="宋体" w:hAnsi="宋体"/>
          <w:szCs w:val="21"/>
        </w:rPr>
      </w:pPr>
      <w:r>
        <w:rPr>
          <w:rFonts w:hint="eastAsia" w:ascii="宋体" w:hAnsi="宋体"/>
          <w:szCs w:val="21"/>
        </w:rPr>
        <w:t>7、我公司不存在第二章 比选申请人须知第 1.4.3 项规定的任何一种情形。</w:t>
      </w:r>
    </w:p>
    <w:p w14:paraId="4D00BCEC">
      <w:pPr>
        <w:snapToGrid w:val="0"/>
        <w:spacing w:line="380" w:lineRule="exact"/>
        <w:ind w:firstLine="420" w:firstLineChars="200"/>
        <w:rPr>
          <w:rFonts w:ascii="宋体" w:hAnsi="宋体"/>
          <w:szCs w:val="21"/>
        </w:rPr>
      </w:pPr>
      <w:r>
        <w:rPr>
          <w:rFonts w:hint="eastAsia" w:ascii="宋体" w:hAnsi="宋体"/>
          <w:szCs w:val="21"/>
        </w:rPr>
        <w:t>8、我公司的比选申请文件符合第二章 比选申请人须知第 1.3.1 项的规定。</w:t>
      </w:r>
    </w:p>
    <w:p w14:paraId="1AE6665D">
      <w:pPr>
        <w:snapToGrid w:val="0"/>
        <w:spacing w:line="380" w:lineRule="exact"/>
        <w:ind w:firstLine="420" w:firstLineChars="200"/>
        <w:rPr>
          <w:rFonts w:ascii="宋体" w:hAnsi="宋体"/>
          <w:szCs w:val="21"/>
        </w:rPr>
      </w:pPr>
      <w:r>
        <w:rPr>
          <w:rFonts w:hint="eastAsia" w:ascii="宋体" w:hAnsi="宋体"/>
          <w:szCs w:val="21"/>
        </w:rPr>
        <w:t>9、我公司的比选申请文件符合第四章 合同条款及格式规定，比选申请文件中没有贵单位不能接受的条件。</w:t>
      </w:r>
    </w:p>
    <w:p w14:paraId="7960AE48">
      <w:pPr>
        <w:snapToGrid w:val="0"/>
        <w:spacing w:line="380" w:lineRule="exact"/>
        <w:ind w:firstLine="420" w:firstLineChars="200"/>
        <w:rPr>
          <w:rFonts w:ascii="宋体" w:hAnsi="宋体"/>
          <w:szCs w:val="21"/>
        </w:rPr>
      </w:pPr>
      <w:r>
        <w:rPr>
          <w:rFonts w:hint="eastAsia" w:ascii="宋体" w:hAnsi="宋体"/>
          <w:szCs w:val="21"/>
        </w:rPr>
        <w:t>10、我公司的比选申请文件符合第七章 技术标准和要求（如有）。</w:t>
      </w:r>
    </w:p>
    <w:p w14:paraId="75622796">
      <w:pPr>
        <w:snapToGrid w:val="0"/>
        <w:spacing w:line="380" w:lineRule="exact"/>
        <w:ind w:firstLine="420" w:firstLineChars="200"/>
        <w:rPr>
          <w:rFonts w:ascii="宋体" w:hAnsi="宋体"/>
          <w:szCs w:val="21"/>
        </w:rPr>
      </w:pPr>
      <w:r>
        <w:rPr>
          <w:rFonts w:hint="eastAsia" w:ascii="宋体" w:hAnsi="宋体"/>
          <w:szCs w:val="21"/>
        </w:rPr>
        <w:t>11、我公司接受比选文件中关于“不平衡报价”的相关约定（如有）。</w:t>
      </w:r>
    </w:p>
    <w:p w14:paraId="0B4A1913">
      <w:pPr>
        <w:snapToGrid w:val="0"/>
        <w:spacing w:line="380" w:lineRule="exact"/>
        <w:ind w:firstLine="420" w:firstLineChars="200"/>
        <w:rPr>
          <w:rFonts w:ascii="宋体" w:hAnsi="宋体"/>
          <w:szCs w:val="21"/>
        </w:rPr>
      </w:pPr>
      <w:r>
        <w:rPr>
          <w:rFonts w:hint="eastAsia" w:ascii="宋体" w:hAnsi="宋体"/>
          <w:szCs w:val="21"/>
        </w:rPr>
        <w:t>12、我公司接受比选文件中关于“不允许负数报价”的相关要求（如有）。</w:t>
      </w:r>
    </w:p>
    <w:p w14:paraId="0E2A384D">
      <w:pPr>
        <w:snapToGrid w:val="0"/>
        <w:spacing w:line="380" w:lineRule="exact"/>
        <w:ind w:firstLine="420" w:firstLineChars="200"/>
        <w:rPr>
          <w:rFonts w:ascii="宋体" w:hAnsi="宋体"/>
          <w:szCs w:val="21"/>
        </w:rPr>
      </w:pPr>
    </w:p>
    <w:p w14:paraId="43FAD9BD">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2AD25BC">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2A2463F2">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FF17DD2"/>
    <w:p w14:paraId="7AB9107E"/>
    <w:p w14:paraId="5AB091DD">
      <w:pPr>
        <w:pStyle w:val="5"/>
        <w:spacing w:before="0" w:line="360" w:lineRule="auto"/>
        <w:jc w:val="center"/>
        <w:rPr>
          <w:rFonts w:ascii="宋体" w:hAnsi="宋体"/>
          <w:b w:val="0"/>
        </w:rPr>
      </w:pPr>
      <w:bookmarkStart w:id="361" w:name="_Toc27983333"/>
      <w:r>
        <w:rPr>
          <w:rFonts w:ascii="宋体" w:hAnsi="宋体"/>
          <w:b w:val="0"/>
          <w:bCs w:val="0"/>
          <w:sz w:val="21"/>
          <w:szCs w:val="24"/>
        </w:rPr>
        <w:br w:type="page"/>
      </w:r>
      <w:bookmarkStart w:id="362" w:name="_Toc17016"/>
      <w:r>
        <w:rPr>
          <w:rFonts w:hint="eastAsia" w:ascii="宋体" w:hAnsi="宋体"/>
          <w:b w:val="0"/>
        </w:rPr>
        <w:t>（五）其他资料</w:t>
      </w:r>
      <w:bookmarkEnd w:id="361"/>
      <w:bookmarkEnd w:id="362"/>
    </w:p>
    <w:p w14:paraId="7A9954A4">
      <w:pPr>
        <w:pStyle w:val="12"/>
        <w:spacing w:line="360" w:lineRule="auto"/>
        <w:ind w:firstLine="420" w:firstLineChars="200"/>
        <w:rPr>
          <w:rFonts w:ascii="宋体" w:hAnsi="宋体"/>
          <w:szCs w:val="21"/>
        </w:rPr>
      </w:pPr>
      <w:r>
        <w:rPr>
          <w:rFonts w:hint="eastAsia" w:ascii="宋体" w:hAnsi="宋体"/>
          <w:szCs w:val="21"/>
        </w:rPr>
        <w:t>1. 投标保证金</w:t>
      </w:r>
    </w:p>
    <w:p w14:paraId="392F4BBE">
      <w:pPr>
        <w:pStyle w:val="12"/>
        <w:ind w:firstLine="420" w:firstLineChars="200"/>
        <w:rPr>
          <w:rFonts w:ascii="宋体" w:hAnsi="宋体"/>
          <w:szCs w:val="21"/>
        </w:rPr>
      </w:pPr>
      <w:r>
        <w:rPr>
          <w:rFonts w:hint="eastAsia" w:ascii="宋体" w:hAnsi="宋体"/>
          <w:szCs w:val="21"/>
        </w:rPr>
        <w:t>（1）企业基本账户开户证明文件及投标保证金回单。</w:t>
      </w:r>
    </w:p>
    <w:p w14:paraId="4C1DE548">
      <w:pPr>
        <w:rPr>
          <w:rFonts w:ascii="宋体" w:hAnsi="宋体"/>
          <w:i/>
          <w:szCs w:val="21"/>
        </w:rPr>
      </w:pPr>
      <w:r>
        <w:rPr>
          <w:rFonts w:hint="eastAsia" w:ascii="宋体" w:hAnsi="宋体"/>
          <w:i/>
          <w:szCs w:val="21"/>
        </w:rPr>
        <w:br w:type="page"/>
      </w:r>
    </w:p>
    <w:p w14:paraId="5B651829">
      <w:pPr>
        <w:jc w:val="right"/>
        <w:rPr>
          <w:rFonts w:ascii="宋体" w:hAnsi="宋体"/>
          <w:szCs w:val="21"/>
        </w:rPr>
      </w:pPr>
    </w:p>
    <w:p w14:paraId="03FA5741">
      <w:pPr>
        <w:spacing w:line="360" w:lineRule="auto"/>
        <w:ind w:firstLine="420" w:firstLineChars="200"/>
        <w:rPr>
          <w:rFonts w:ascii="宋体" w:hAnsi="宋体"/>
          <w:szCs w:val="21"/>
        </w:rPr>
      </w:pPr>
      <w:r>
        <w:rPr>
          <w:rFonts w:hint="eastAsia" w:ascii="宋体" w:hAnsi="宋体"/>
          <w:szCs w:val="21"/>
        </w:rPr>
        <w:t xml:space="preserve">2. </w:t>
      </w:r>
    </w:p>
    <w:p w14:paraId="134BD8B5">
      <w:pPr>
        <w:spacing w:line="360" w:lineRule="auto"/>
        <w:ind w:firstLine="420" w:firstLineChars="200"/>
        <w:rPr>
          <w:rFonts w:ascii="宋体" w:hAnsi="宋体"/>
          <w:szCs w:val="21"/>
        </w:rPr>
      </w:pPr>
      <w:r>
        <w:rPr>
          <w:rFonts w:ascii="宋体" w:hAnsi="宋体"/>
          <w:szCs w:val="21"/>
        </w:rPr>
        <w:t>……</w:t>
      </w:r>
    </w:p>
    <w:sectPr>
      <w:pgSz w:w="11906" w:h="16838"/>
      <w:pgMar w:top="1304" w:right="113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ILDESA+ËÎÌå">
    <w:altName w:val="Verdana"/>
    <w:panose1 w:val="00000000000000000000"/>
    <w:charset w:val="01"/>
    <w:family w:val="auto"/>
    <w:pitch w:val="default"/>
    <w:sig w:usb0="00000000" w:usb1="00000000" w:usb2="01010101" w:usb3="01010101" w:csb0="01010101" w:csb1="01010101"/>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DF23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85EA">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903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fgl8MBAACOAwAADgAAAGRycy9lMm9Eb2MueG1srVPBbtswDL0P6D8I&#10;ujdyMmA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8&#10;bdanC1hS2lOgxNTfQZ9zJz+SM9Pum+jylwgxipO6x4u6uk9M5UfLxXJZUEhR7HwhHPH8PERM7zU4&#10;lo2KRxrfoKo8PGIaU88puZqHe2Mt+WVp/V8OwswekXsfe8xW6rf91PgW6iPx6WjyFfe06JzZB0/C&#10;5iU5G/FsbCcj18Bwu09UeOgno45QUzEa08BoWqm8B3/eh6zn32j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2p+CXwwEAAI4DAAAOAAAAAAAAAAEAIAAAAB4BAABkcnMvZTJvRG9jLnhtbFBL&#10;BQYAAAAABgAGAFkBAABTBQAAAAA=&#10;">
              <v:fill on="f" focussize="0,0"/>
              <v:stroke on="f"/>
              <v:imagedata o:title=""/>
              <o:lock v:ext="edit" aspectratio="f"/>
              <v:textbox inset="0mm,0mm,0mm,0mm" style="mso-fit-shape-to-text:t;">
                <w:txbxContent>
                  <w:p w14:paraId="194903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395A">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5345F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Vl8s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91ZfLCAQAAjgMAAA4AAAAAAAAAAQAgAAAAHgEAAGRycy9lMm9Eb2MueG1sUEsF&#10;BgAAAAAGAAYAWQEAAFIFAAAAAA==&#10;">
              <v:fill on="f" focussize="0,0"/>
              <v:stroke on="f"/>
              <v:imagedata o:title=""/>
              <o:lock v:ext="edit" aspectratio="f"/>
              <v:textbox inset="0mm,0mm,0mm,0mm" style="mso-fit-shape-to-text:t;">
                <w:txbxContent>
                  <w:p w14:paraId="075345F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D672">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27DAC"/>
    <w:multiLevelType w:val="singleLevel"/>
    <w:tmpl w:val="61027DA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NTJlYmI2OGU5NWQ2YTNjMWQ2MDg2OThkZGU3NmYifQ=="/>
  </w:docVars>
  <w:rsids>
    <w:rsidRoot w:val="0021787D"/>
    <w:rsid w:val="00004E30"/>
    <w:rsid w:val="00011781"/>
    <w:rsid w:val="00016728"/>
    <w:rsid w:val="00020313"/>
    <w:rsid w:val="00026DD6"/>
    <w:rsid w:val="00032EA9"/>
    <w:rsid w:val="00033AFE"/>
    <w:rsid w:val="0004017D"/>
    <w:rsid w:val="000469AC"/>
    <w:rsid w:val="00050829"/>
    <w:rsid w:val="00050ABE"/>
    <w:rsid w:val="0005107E"/>
    <w:rsid w:val="00051AE9"/>
    <w:rsid w:val="00052D54"/>
    <w:rsid w:val="00055276"/>
    <w:rsid w:val="00056A3E"/>
    <w:rsid w:val="000627BA"/>
    <w:rsid w:val="000630BA"/>
    <w:rsid w:val="00084AE9"/>
    <w:rsid w:val="00090CB1"/>
    <w:rsid w:val="0009119A"/>
    <w:rsid w:val="0009147B"/>
    <w:rsid w:val="00093A3C"/>
    <w:rsid w:val="00093E5E"/>
    <w:rsid w:val="00093FC0"/>
    <w:rsid w:val="000A25F6"/>
    <w:rsid w:val="000A6654"/>
    <w:rsid w:val="000A6B23"/>
    <w:rsid w:val="000B351A"/>
    <w:rsid w:val="000B7F54"/>
    <w:rsid w:val="000C04B5"/>
    <w:rsid w:val="000C3532"/>
    <w:rsid w:val="000C3584"/>
    <w:rsid w:val="000C419B"/>
    <w:rsid w:val="000C5D3B"/>
    <w:rsid w:val="000C6B74"/>
    <w:rsid w:val="000C72E6"/>
    <w:rsid w:val="000D04CE"/>
    <w:rsid w:val="000D0569"/>
    <w:rsid w:val="000D0B07"/>
    <w:rsid w:val="000D156D"/>
    <w:rsid w:val="000D1CE2"/>
    <w:rsid w:val="000D572A"/>
    <w:rsid w:val="000D5770"/>
    <w:rsid w:val="000D598C"/>
    <w:rsid w:val="000D706D"/>
    <w:rsid w:val="000E2501"/>
    <w:rsid w:val="000E39FF"/>
    <w:rsid w:val="000E4805"/>
    <w:rsid w:val="000F16ED"/>
    <w:rsid w:val="000F29C7"/>
    <w:rsid w:val="000F6B02"/>
    <w:rsid w:val="000F6C40"/>
    <w:rsid w:val="0010468B"/>
    <w:rsid w:val="00110D79"/>
    <w:rsid w:val="001117DC"/>
    <w:rsid w:val="0011427F"/>
    <w:rsid w:val="001157DE"/>
    <w:rsid w:val="0011642D"/>
    <w:rsid w:val="00122604"/>
    <w:rsid w:val="00123244"/>
    <w:rsid w:val="00130B3B"/>
    <w:rsid w:val="00131232"/>
    <w:rsid w:val="001331FD"/>
    <w:rsid w:val="001337FB"/>
    <w:rsid w:val="00136206"/>
    <w:rsid w:val="001400A7"/>
    <w:rsid w:val="001416F0"/>
    <w:rsid w:val="00141E5B"/>
    <w:rsid w:val="00142D41"/>
    <w:rsid w:val="00143B5A"/>
    <w:rsid w:val="00154B46"/>
    <w:rsid w:val="00154B92"/>
    <w:rsid w:val="00155818"/>
    <w:rsid w:val="00157515"/>
    <w:rsid w:val="00160B3A"/>
    <w:rsid w:val="001620CF"/>
    <w:rsid w:val="00170350"/>
    <w:rsid w:val="00170EC1"/>
    <w:rsid w:val="00171011"/>
    <w:rsid w:val="00172FC8"/>
    <w:rsid w:val="0017458B"/>
    <w:rsid w:val="00175AC9"/>
    <w:rsid w:val="00175FFB"/>
    <w:rsid w:val="001763E8"/>
    <w:rsid w:val="001765B2"/>
    <w:rsid w:val="00181E55"/>
    <w:rsid w:val="001917A6"/>
    <w:rsid w:val="0019297B"/>
    <w:rsid w:val="00194AF8"/>
    <w:rsid w:val="0019575F"/>
    <w:rsid w:val="001A0EFE"/>
    <w:rsid w:val="001A2A9D"/>
    <w:rsid w:val="001A35DE"/>
    <w:rsid w:val="001A51BE"/>
    <w:rsid w:val="001B0B34"/>
    <w:rsid w:val="001C047F"/>
    <w:rsid w:val="001C0CCE"/>
    <w:rsid w:val="001C1521"/>
    <w:rsid w:val="001C1EA3"/>
    <w:rsid w:val="001C40F9"/>
    <w:rsid w:val="001C6AAC"/>
    <w:rsid w:val="001D16FB"/>
    <w:rsid w:val="001D2643"/>
    <w:rsid w:val="001D266A"/>
    <w:rsid w:val="001D2E77"/>
    <w:rsid w:val="001D31B2"/>
    <w:rsid w:val="001D356C"/>
    <w:rsid w:val="001D3800"/>
    <w:rsid w:val="001D3B25"/>
    <w:rsid w:val="001D6C85"/>
    <w:rsid w:val="001E2BFB"/>
    <w:rsid w:val="001E3A04"/>
    <w:rsid w:val="001E44BF"/>
    <w:rsid w:val="001F07B1"/>
    <w:rsid w:val="001F1EB1"/>
    <w:rsid w:val="001F2DE0"/>
    <w:rsid w:val="001F57BD"/>
    <w:rsid w:val="001F5BBB"/>
    <w:rsid w:val="00206472"/>
    <w:rsid w:val="00206AED"/>
    <w:rsid w:val="0021264E"/>
    <w:rsid w:val="00214719"/>
    <w:rsid w:val="0021787D"/>
    <w:rsid w:val="00220911"/>
    <w:rsid w:val="0022336A"/>
    <w:rsid w:val="0022570F"/>
    <w:rsid w:val="002277A7"/>
    <w:rsid w:val="00227F52"/>
    <w:rsid w:val="00231AD5"/>
    <w:rsid w:val="00231DD9"/>
    <w:rsid w:val="00235B2B"/>
    <w:rsid w:val="00242561"/>
    <w:rsid w:val="00243645"/>
    <w:rsid w:val="002437E4"/>
    <w:rsid w:val="00247E2F"/>
    <w:rsid w:val="00255021"/>
    <w:rsid w:val="002554B3"/>
    <w:rsid w:val="00257B7B"/>
    <w:rsid w:val="0026052D"/>
    <w:rsid w:val="002645FD"/>
    <w:rsid w:val="00270FB7"/>
    <w:rsid w:val="0027107C"/>
    <w:rsid w:val="00271883"/>
    <w:rsid w:val="00272CA8"/>
    <w:rsid w:val="002752A3"/>
    <w:rsid w:val="00280578"/>
    <w:rsid w:val="00281AE5"/>
    <w:rsid w:val="0028756C"/>
    <w:rsid w:val="00287844"/>
    <w:rsid w:val="0029058C"/>
    <w:rsid w:val="002A497B"/>
    <w:rsid w:val="002A4A5F"/>
    <w:rsid w:val="002A5B7A"/>
    <w:rsid w:val="002B4786"/>
    <w:rsid w:val="002B6D5B"/>
    <w:rsid w:val="002B741E"/>
    <w:rsid w:val="002B74C3"/>
    <w:rsid w:val="002B7D73"/>
    <w:rsid w:val="002C0775"/>
    <w:rsid w:val="002D23CC"/>
    <w:rsid w:val="002D7EEA"/>
    <w:rsid w:val="002E0532"/>
    <w:rsid w:val="002E0A27"/>
    <w:rsid w:val="002E153F"/>
    <w:rsid w:val="002E2625"/>
    <w:rsid w:val="002E32C6"/>
    <w:rsid w:val="002F59A8"/>
    <w:rsid w:val="00302D15"/>
    <w:rsid w:val="00303BFC"/>
    <w:rsid w:val="00307376"/>
    <w:rsid w:val="0031271A"/>
    <w:rsid w:val="00313D18"/>
    <w:rsid w:val="00314B37"/>
    <w:rsid w:val="00315502"/>
    <w:rsid w:val="00323F0D"/>
    <w:rsid w:val="00324FE8"/>
    <w:rsid w:val="00326B68"/>
    <w:rsid w:val="00331C30"/>
    <w:rsid w:val="003321B7"/>
    <w:rsid w:val="003325EA"/>
    <w:rsid w:val="0033373E"/>
    <w:rsid w:val="0033429C"/>
    <w:rsid w:val="00343092"/>
    <w:rsid w:val="00350343"/>
    <w:rsid w:val="003557EB"/>
    <w:rsid w:val="00356952"/>
    <w:rsid w:val="00356B8F"/>
    <w:rsid w:val="00360052"/>
    <w:rsid w:val="00360ABA"/>
    <w:rsid w:val="003738A5"/>
    <w:rsid w:val="00381EB0"/>
    <w:rsid w:val="00387A16"/>
    <w:rsid w:val="00387D09"/>
    <w:rsid w:val="0039252B"/>
    <w:rsid w:val="00392FE1"/>
    <w:rsid w:val="0039557B"/>
    <w:rsid w:val="003A0052"/>
    <w:rsid w:val="003A3E7E"/>
    <w:rsid w:val="003A6CC2"/>
    <w:rsid w:val="003B7AC9"/>
    <w:rsid w:val="003C4E87"/>
    <w:rsid w:val="003D1C4A"/>
    <w:rsid w:val="003D2052"/>
    <w:rsid w:val="003D3400"/>
    <w:rsid w:val="003D471C"/>
    <w:rsid w:val="003D78D6"/>
    <w:rsid w:val="003E24AF"/>
    <w:rsid w:val="003E3418"/>
    <w:rsid w:val="003E35A0"/>
    <w:rsid w:val="003F2258"/>
    <w:rsid w:val="003F7811"/>
    <w:rsid w:val="00400C51"/>
    <w:rsid w:val="00402995"/>
    <w:rsid w:val="00403267"/>
    <w:rsid w:val="004038A9"/>
    <w:rsid w:val="00403C7B"/>
    <w:rsid w:val="00404997"/>
    <w:rsid w:val="004054E2"/>
    <w:rsid w:val="00411627"/>
    <w:rsid w:val="00412CFF"/>
    <w:rsid w:val="00423B51"/>
    <w:rsid w:val="004265F1"/>
    <w:rsid w:val="00427C6E"/>
    <w:rsid w:val="00430592"/>
    <w:rsid w:val="00430B33"/>
    <w:rsid w:val="00430D12"/>
    <w:rsid w:val="00437D1B"/>
    <w:rsid w:val="004639BE"/>
    <w:rsid w:val="004649E8"/>
    <w:rsid w:val="00464F66"/>
    <w:rsid w:val="0046512B"/>
    <w:rsid w:val="00466253"/>
    <w:rsid w:val="004678A0"/>
    <w:rsid w:val="00470214"/>
    <w:rsid w:val="004709CA"/>
    <w:rsid w:val="004766F2"/>
    <w:rsid w:val="00486C9D"/>
    <w:rsid w:val="004912D7"/>
    <w:rsid w:val="00492D77"/>
    <w:rsid w:val="00492F62"/>
    <w:rsid w:val="00496797"/>
    <w:rsid w:val="004975FD"/>
    <w:rsid w:val="004A165A"/>
    <w:rsid w:val="004A6D98"/>
    <w:rsid w:val="004A750E"/>
    <w:rsid w:val="004B170B"/>
    <w:rsid w:val="004B1EE1"/>
    <w:rsid w:val="004B5075"/>
    <w:rsid w:val="004B5576"/>
    <w:rsid w:val="004B6FE3"/>
    <w:rsid w:val="004B7A07"/>
    <w:rsid w:val="004C23C6"/>
    <w:rsid w:val="004C2D2E"/>
    <w:rsid w:val="004C3C0B"/>
    <w:rsid w:val="004C6BE8"/>
    <w:rsid w:val="004D0415"/>
    <w:rsid w:val="004D0F3C"/>
    <w:rsid w:val="004D147A"/>
    <w:rsid w:val="004D3FA9"/>
    <w:rsid w:val="004D56D8"/>
    <w:rsid w:val="004D6495"/>
    <w:rsid w:val="004D7653"/>
    <w:rsid w:val="004D7E8A"/>
    <w:rsid w:val="004E2E89"/>
    <w:rsid w:val="004E44AA"/>
    <w:rsid w:val="004E4B72"/>
    <w:rsid w:val="004E574A"/>
    <w:rsid w:val="004E59CD"/>
    <w:rsid w:val="004F06A3"/>
    <w:rsid w:val="004F1377"/>
    <w:rsid w:val="004F171E"/>
    <w:rsid w:val="004F1F95"/>
    <w:rsid w:val="004F3309"/>
    <w:rsid w:val="004F74EF"/>
    <w:rsid w:val="004F766D"/>
    <w:rsid w:val="004F7A92"/>
    <w:rsid w:val="00507003"/>
    <w:rsid w:val="00507E2A"/>
    <w:rsid w:val="00507EF5"/>
    <w:rsid w:val="00517E37"/>
    <w:rsid w:val="00520AEE"/>
    <w:rsid w:val="00520C85"/>
    <w:rsid w:val="00522EA7"/>
    <w:rsid w:val="0052605F"/>
    <w:rsid w:val="005321D3"/>
    <w:rsid w:val="00532D34"/>
    <w:rsid w:val="00532FB4"/>
    <w:rsid w:val="00535AF0"/>
    <w:rsid w:val="00543C4F"/>
    <w:rsid w:val="00545354"/>
    <w:rsid w:val="00546D10"/>
    <w:rsid w:val="00546F80"/>
    <w:rsid w:val="0054717A"/>
    <w:rsid w:val="00551498"/>
    <w:rsid w:val="00551D50"/>
    <w:rsid w:val="00560E84"/>
    <w:rsid w:val="00562A62"/>
    <w:rsid w:val="005632B8"/>
    <w:rsid w:val="0056403F"/>
    <w:rsid w:val="00566911"/>
    <w:rsid w:val="0057003B"/>
    <w:rsid w:val="00590024"/>
    <w:rsid w:val="005900DD"/>
    <w:rsid w:val="005905D7"/>
    <w:rsid w:val="0059091A"/>
    <w:rsid w:val="005919A1"/>
    <w:rsid w:val="00594578"/>
    <w:rsid w:val="0059486D"/>
    <w:rsid w:val="00595454"/>
    <w:rsid w:val="0059704B"/>
    <w:rsid w:val="00597636"/>
    <w:rsid w:val="005A0996"/>
    <w:rsid w:val="005A2294"/>
    <w:rsid w:val="005A4452"/>
    <w:rsid w:val="005A5125"/>
    <w:rsid w:val="005A5D8E"/>
    <w:rsid w:val="005B0DF1"/>
    <w:rsid w:val="005B59A3"/>
    <w:rsid w:val="005B795B"/>
    <w:rsid w:val="005C4367"/>
    <w:rsid w:val="005C5B12"/>
    <w:rsid w:val="005D556F"/>
    <w:rsid w:val="005D68BA"/>
    <w:rsid w:val="005D6A7E"/>
    <w:rsid w:val="005E2F48"/>
    <w:rsid w:val="005E42A1"/>
    <w:rsid w:val="005E492E"/>
    <w:rsid w:val="005F0EC9"/>
    <w:rsid w:val="005F2415"/>
    <w:rsid w:val="005F5B7D"/>
    <w:rsid w:val="00605EF0"/>
    <w:rsid w:val="006116C8"/>
    <w:rsid w:val="006119B6"/>
    <w:rsid w:val="0061491F"/>
    <w:rsid w:val="00615A69"/>
    <w:rsid w:val="00615F67"/>
    <w:rsid w:val="00616345"/>
    <w:rsid w:val="006173A0"/>
    <w:rsid w:val="00617BA0"/>
    <w:rsid w:val="0062496B"/>
    <w:rsid w:val="006259A3"/>
    <w:rsid w:val="0062786C"/>
    <w:rsid w:val="00627C48"/>
    <w:rsid w:val="0063086C"/>
    <w:rsid w:val="00630BAC"/>
    <w:rsid w:val="00636680"/>
    <w:rsid w:val="0064026C"/>
    <w:rsid w:val="00644AF1"/>
    <w:rsid w:val="0064710E"/>
    <w:rsid w:val="00653D25"/>
    <w:rsid w:val="006549B8"/>
    <w:rsid w:val="006602F9"/>
    <w:rsid w:val="0066103C"/>
    <w:rsid w:val="00662913"/>
    <w:rsid w:val="006630E4"/>
    <w:rsid w:val="00663221"/>
    <w:rsid w:val="0067797E"/>
    <w:rsid w:val="00681700"/>
    <w:rsid w:val="00683B0E"/>
    <w:rsid w:val="00684FF2"/>
    <w:rsid w:val="00687033"/>
    <w:rsid w:val="006905D1"/>
    <w:rsid w:val="00693C78"/>
    <w:rsid w:val="00695252"/>
    <w:rsid w:val="00696076"/>
    <w:rsid w:val="0069722C"/>
    <w:rsid w:val="006A3B73"/>
    <w:rsid w:val="006A49D4"/>
    <w:rsid w:val="006B0775"/>
    <w:rsid w:val="006B0D35"/>
    <w:rsid w:val="006B12BC"/>
    <w:rsid w:val="006B47F1"/>
    <w:rsid w:val="006B6496"/>
    <w:rsid w:val="006C22D1"/>
    <w:rsid w:val="006D0373"/>
    <w:rsid w:val="006D3B14"/>
    <w:rsid w:val="006D6F0E"/>
    <w:rsid w:val="006E169A"/>
    <w:rsid w:val="006E2665"/>
    <w:rsid w:val="006E46CB"/>
    <w:rsid w:val="006F23D8"/>
    <w:rsid w:val="006F7DCC"/>
    <w:rsid w:val="00700CC0"/>
    <w:rsid w:val="007013CD"/>
    <w:rsid w:val="00702DD0"/>
    <w:rsid w:val="00704B9A"/>
    <w:rsid w:val="00706886"/>
    <w:rsid w:val="0070735D"/>
    <w:rsid w:val="007115D3"/>
    <w:rsid w:val="007147E3"/>
    <w:rsid w:val="00714D40"/>
    <w:rsid w:val="00716AAF"/>
    <w:rsid w:val="0072283E"/>
    <w:rsid w:val="00722B28"/>
    <w:rsid w:val="007305F4"/>
    <w:rsid w:val="0073457A"/>
    <w:rsid w:val="00735199"/>
    <w:rsid w:val="00735AD0"/>
    <w:rsid w:val="00736F40"/>
    <w:rsid w:val="00740C18"/>
    <w:rsid w:val="00741770"/>
    <w:rsid w:val="00746658"/>
    <w:rsid w:val="0075087C"/>
    <w:rsid w:val="007522C2"/>
    <w:rsid w:val="00753F34"/>
    <w:rsid w:val="007564A6"/>
    <w:rsid w:val="00756A64"/>
    <w:rsid w:val="00762290"/>
    <w:rsid w:val="00763573"/>
    <w:rsid w:val="00763D0E"/>
    <w:rsid w:val="00765640"/>
    <w:rsid w:val="00766B67"/>
    <w:rsid w:val="00770B58"/>
    <w:rsid w:val="0077617D"/>
    <w:rsid w:val="0077694F"/>
    <w:rsid w:val="00780227"/>
    <w:rsid w:val="0078221B"/>
    <w:rsid w:val="00782469"/>
    <w:rsid w:val="00784742"/>
    <w:rsid w:val="0078608F"/>
    <w:rsid w:val="00786581"/>
    <w:rsid w:val="00786FD1"/>
    <w:rsid w:val="00787394"/>
    <w:rsid w:val="0079067D"/>
    <w:rsid w:val="0079300F"/>
    <w:rsid w:val="0079352C"/>
    <w:rsid w:val="00794731"/>
    <w:rsid w:val="0079555B"/>
    <w:rsid w:val="00796DC8"/>
    <w:rsid w:val="007A2170"/>
    <w:rsid w:val="007A3176"/>
    <w:rsid w:val="007B3FDB"/>
    <w:rsid w:val="007B7651"/>
    <w:rsid w:val="007B7C7C"/>
    <w:rsid w:val="007C3F88"/>
    <w:rsid w:val="007C4228"/>
    <w:rsid w:val="007D0307"/>
    <w:rsid w:val="007D5067"/>
    <w:rsid w:val="007D69F9"/>
    <w:rsid w:val="007E1E6F"/>
    <w:rsid w:val="007E5981"/>
    <w:rsid w:val="007E6D61"/>
    <w:rsid w:val="007F1D54"/>
    <w:rsid w:val="007F3000"/>
    <w:rsid w:val="007F5652"/>
    <w:rsid w:val="008004F7"/>
    <w:rsid w:val="008025EF"/>
    <w:rsid w:val="008028EC"/>
    <w:rsid w:val="00803E21"/>
    <w:rsid w:val="008060F2"/>
    <w:rsid w:val="008063C5"/>
    <w:rsid w:val="00806F22"/>
    <w:rsid w:val="0080703F"/>
    <w:rsid w:val="0081150E"/>
    <w:rsid w:val="00813CD2"/>
    <w:rsid w:val="00814925"/>
    <w:rsid w:val="00815D9F"/>
    <w:rsid w:val="008213F5"/>
    <w:rsid w:val="0082716F"/>
    <w:rsid w:val="008305F0"/>
    <w:rsid w:val="00831807"/>
    <w:rsid w:val="00831B52"/>
    <w:rsid w:val="0083494A"/>
    <w:rsid w:val="00840A44"/>
    <w:rsid w:val="008429F5"/>
    <w:rsid w:val="00843E28"/>
    <w:rsid w:val="0084438E"/>
    <w:rsid w:val="00847F28"/>
    <w:rsid w:val="008515FE"/>
    <w:rsid w:val="0085470A"/>
    <w:rsid w:val="00856607"/>
    <w:rsid w:val="0086175C"/>
    <w:rsid w:val="00862668"/>
    <w:rsid w:val="00863074"/>
    <w:rsid w:val="008718DD"/>
    <w:rsid w:val="008779A2"/>
    <w:rsid w:val="008831D7"/>
    <w:rsid w:val="00884350"/>
    <w:rsid w:val="00884A6A"/>
    <w:rsid w:val="00885592"/>
    <w:rsid w:val="00885F9C"/>
    <w:rsid w:val="00887982"/>
    <w:rsid w:val="00892E15"/>
    <w:rsid w:val="008948FE"/>
    <w:rsid w:val="008A39FF"/>
    <w:rsid w:val="008A78F5"/>
    <w:rsid w:val="008A7909"/>
    <w:rsid w:val="008B1327"/>
    <w:rsid w:val="008B3BCC"/>
    <w:rsid w:val="008B4192"/>
    <w:rsid w:val="008B6988"/>
    <w:rsid w:val="008C0765"/>
    <w:rsid w:val="008C3435"/>
    <w:rsid w:val="008C3DAC"/>
    <w:rsid w:val="008D0206"/>
    <w:rsid w:val="008D3E97"/>
    <w:rsid w:val="008D3F97"/>
    <w:rsid w:val="008D4341"/>
    <w:rsid w:val="008D5C11"/>
    <w:rsid w:val="008D7712"/>
    <w:rsid w:val="008E1810"/>
    <w:rsid w:val="008E30EB"/>
    <w:rsid w:val="008E3E29"/>
    <w:rsid w:val="008E5DC9"/>
    <w:rsid w:val="008E6007"/>
    <w:rsid w:val="008E615F"/>
    <w:rsid w:val="008E7C11"/>
    <w:rsid w:val="008F2924"/>
    <w:rsid w:val="008F3AE8"/>
    <w:rsid w:val="008F4C81"/>
    <w:rsid w:val="008F7D76"/>
    <w:rsid w:val="009006D4"/>
    <w:rsid w:val="00900897"/>
    <w:rsid w:val="009025D6"/>
    <w:rsid w:val="009061A8"/>
    <w:rsid w:val="00907B30"/>
    <w:rsid w:val="00911690"/>
    <w:rsid w:val="00912C5B"/>
    <w:rsid w:val="009174C7"/>
    <w:rsid w:val="009207F4"/>
    <w:rsid w:val="0092106D"/>
    <w:rsid w:val="00924A13"/>
    <w:rsid w:val="00935191"/>
    <w:rsid w:val="00943F40"/>
    <w:rsid w:val="00963BE8"/>
    <w:rsid w:val="009642A0"/>
    <w:rsid w:val="009642C7"/>
    <w:rsid w:val="009660B9"/>
    <w:rsid w:val="009673A8"/>
    <w:rsid w:val="0096795A"/>
    <w:rsid w:val="00967F51"/>
    <w:rsid w:val="00970A96"/>
    <w:rsid w:val="00973E47"/>
    <w:rsid w:val="009742D9"/>
    <w:rsid w:val="00974C92"/>
    <w:rsid w:val="00976F66"/>
    <w:rsid w:val="0098378E"/>
    <w:rsid w:val="00984059"/>
    <w:rsid w:val="00984248"/>
    <w:rsid w:val="00985033"/>
    <w:rsid w:val="00986E18"/>
    <w:rsid w:val="00992959"/>
    <w:rsid w:val="00993D83"/>
    <w:rsid w:val="0099584B"/>
    <w:rsid w:val="00997A63"/>
    <w:rsid w:val="009A1001"/>
    <w:rsid w:val="009A3E57"/>
    <w:rsid w:val="009A7BD9"/>
    <w:rsid w:val="009B017F"/>
    <w:rsid w:val="009B372E"/>
    <w:rsid w:val="009B56FA"/>
    <w:rsid w:val="009C0156"/>
    <w:rsid w:val="009C1BA8"/>
    <w:rsid w:val="009C22CC"/>
    <w:rsid w:val="009C32F7"/>
    <w:rsid w:val="009C3706"/>
    <w:rsid w:val="009C4F3B"/>
    <w:rsid w:val="009E1DF0"/>
    <w:rsid w:val="009F13D6"/>
    <w:rsid w:val="009F4A43"/>
    <w:rsid w:val="00A04584"/>
    <w:rsid w:val="00A0723B"/>
    <w:rsid w:val="00A12B8A"/>
    <w:rsid w:val="00A12C79"/>
    <w:rsid w:val="00A13975"/>
    <w:rsid w:val="00A15B86"/>
    <w:rsid w:val="00A166FA"/>
    <w:rsid w:val="00A22C1D"/>
    <w:rsid w:val="00A234B4"/>
    <w:rsid w:val="00A310DB"/>
    <w:rsid w:val="00A32CF3"/>
    <w:rsid w:val="00A33474"/>
    <w:rsid w:val="00A345D8"/>
    <w:rsid w:val="00A4123D"/>
    <w:rsid w:val="00A42A1D"/>
    <w:rsid w:val="00A43594"/>
    <w:rsid w:val="00A47BA3"/>
    <w:rsid w:val="00A50377"/>
    <w:rsid w:val="00A564D6"/>
    <w:rsid w:val="00A6048D"/>
    <w:rsid w:val="00A63203"/>
    <w:rsid w:val="00A65778"/>
    <w:rsid w:val="00A66FBD"/>
    <w:rsid w:val="00A773E2"/>
    <w:rsid w:val="00A82769"/>
    <w:rsid w:val="00A85010"/>
    <w:rsid w:val="00A85F0A"/>
    <w:rsid w:val="00A875F0"/>
    <w:rsid w:val="00A87945"/>
    <w:rsid w:val="00A90E67"/>
    <w:rsid w:val="00A92A85"/>
    <w:rsid w:val="00A94C2B"/>
    <w:rsid w:val="00A95A34"/>
    <w:rsid w:val="00AA0996"/>
    <w:rsid w:val="00AA1932"/>
    <w:rsid w:val="00AA1C23"/>
    <w:rsid w:val="00AA241C"/>
    <w:rsid w:val="00AA79CC"/>
    <w:rsid w:val="00AB626D"/>
    <w:rsid w:val="00AC2403"/>
    <w:rsid w:val="00AC37CA"/>
    <w:rsid w:val="00AC600F"/>
    <w:rsid w:val="00AC6713"/>
    <w:rsid w:val="00AD00C2"/>
    <w:rsid w:val="00AD1477"/>
    <w:rsid w:val="00AD1AE5"/>
    <w:rsid w:val="00AD1FFC"/>
    <w:rsid w:val="00AD4BBF"/>
    <w:rsid w:val="00AE0CFC"/>
    <w:rsid w:val="00AE0F94"/>
    <w:rsid w:val="00AE0FFC"/>
    <w:rsid w:val="00AE1978"/>
    <w:rsid w:val="00AE3E6C"/>
    <w:rsid w:val="00AE49F9"/>
    <w:rsid w:val="00AF2A17"/>
    <w:rsid w:val="00AF389A"/>
    <w:rsid w:val="00B01174"/>
    <w:rsid w:val="00B01708"/>
    <w:rsid w:val="00B02066"/>
    <w:rsid w:val="00B03679"/>
    <w:rsid w:val="00B108C7"/>
    <w:rsid w:val="00B1242E"/>
    <w:rsid w:val="00B15B72"/>
    <w:rsid w:val="00B1609E"/>
    <w:rsid w:val="00B21F97"/>
    <w:rsid w:val="00B23E49"/>
    <w:rsid w:val="00B27E5E"/>
    <w:rsid w:val="00B32F7B"/>
    <w:rsid w:val="00B3409E"/>
    <w:rsid w:val="00B34A73"/>
    <w:rsid w:val="00B355F2"/>
    <w:rsid w:val="00B361FA"/>
    <w:rsid w:val="00B41ECB"/>
    <w:rsid w:val="00B4289E"/>
    <w:rsid w:val="00B44B16"/>
    <w:rsid w:val="00B509CC"/>
    <w:rsid w:val="00B57172"/>
    <w:rsid w:val="00B708CE"/>
    <w:rsid w:val="00B71B0E"/>
    <w:rsid w:val="00B720B2"/>
    <w:rsid w:val="00B7724F"/>
    <w:rsid w:val="00B80173"/>
    <w:rsid w:val="00B80912"/>
    <w:rsid w:val="00B82042"/>
    <w:rsid w:val="00B85466"/>
    <w:rsid w:val="00B86A9D"/>
    <w:rsid w:val="00B86AFF"/>
    <w:rsid w:val="00B90314"/>
    <w:rsid w:val="00B943BB"/>
    <w:rsid w:val="00B9763B"/>
    <w:rsid w:val="00BA1E41"/>
    <w:rsid w:val="00BA61B5"/>
    <w:rsid w:val="00BB0539"/>
    <w:rsid w:val="00BB2F15"/>
    <w:rsid w:val="00BB3CF5"/>
    <w:rsid w:val="00BC04EE"/>
    <w:rsid w:val="00BC0A52"/>
    <w:rsid w:val="00BC36D8"/>
    <w:rsid w:val="00BC5C6B"/>
    <w:rsid w:val="00BC5F7A"/>
    <w:rsid w:val="00BD486F"/>
    <w:rsid w:val="00BE1030"/>
    <w:rsid w:val="00BE1D59"/>
    <w:rsid w:val="00BE477B"/>
    <w:rsid w:val="00BE689F"/>
    <w:rsid w:val="00BE6C32"/>
    <w:rsid w:val="00BF0D61"/>
    <w:rsid w:val="00BF0E29"/>
    <w:rsid w:val="00BF22CF"/>
    <w:rsid w:val="00BF39DE"/>
    <w:rsid w:val="00BF47E5"/>
    <w:rsid w:val="00C01F70"/>
    <w:rsid w:val="00C020DD"/>
    <w:rsid w:val="00C029DA"/>
    <w:rsid w:val="00C02B4B"/>
    <w:rsid w:val="00C04BBD"/>
    <w:rsid w:val="00C05920"/>
    <w:rsid w:val="00C0608E"/>
    <w:rsid w:val="00C060DB"/>
    <w:rsid w:val="00C11C75"/>
    <w:rsid w:val="00C12168"/>
    <w:rsid w:val="00C15A76"/>
    <w:rsid w:val="00C16A43"/>
    <w:rsid w:val="00C22375"/>
    <w:rsid w:val="00C36E17"/>
    <w:rsid w:val="00C51D01"/>
    <w:rsid w:val="00C53252"/>
    <w:rsid w:val="00C56F3D"/>
    <w:rsid w:val="00C60B52"/>
    <w:rsid w:val="00C652DF"/>
    <w:rsid w:val="00C65616"/>
    <w:rsid w:val="00C74E86"/>
    <w:rsid w:val="00C756CC"/>
    <w:rsid w:val="00C75ED1"/>
    <w:rsid w:val="00C76544"/>
    <w:rsid w:val="00C76D7B"/>
    <w:rsid w:val="00C83AB7"/>
    <w:rsid w:val="00C84009"/>
    <w:rsid w:val="00C84318"/>
    <w:rsid w:val="00C84D21"/>
    <w:rsid w:val="00C932E6"/>
    <w:rsid w:val="00C9683C"/>
    <w:rsid w:val="00CA3BE9"/>
    <w:rsid w:val="00CA69DF"/>
    <w:rsid w:val="00CB0D49"/>
    <w:rsid w:val="00CB1818"/>
    <w:rsid w:val="00CB3EAA"/>
    <w:rsid w:val="00CB680F"/>
    <w:rsid w:val="00CC3C54"/>
    <w:rsid w:val="00CC50FB"/>
    <w:rsid w:val="00CC748B"/>
    <w:rsid w:val="00CD0859"/>
    <w:rsid w:val="00CD2C9A"/>
    <w:rsid w:val="00CD34A5"/>
    <w:rsid w:val="00CD7D26"/>
    <w:rsid w:val="00CE0006"/>
    <w:rsid w:val="00CE0726"/>
    <w:rsid w:val="00CE3865"/>
    <w:rsid w:val="00CE3C3E"/>
    <w:rsid w:val="00CE69DB"/>
    <w:rsid w:val="00CF5728"/>
    <w:rsid w:val="00CF6388"/>
    <w:rsid w:val="00D01F4D"/>
    <w:rsid w:val="00D03344"/>
    <w:rsid w:val="00D05F15"/>
    <w:rsid w:val="00D1025C"/>
    <w:rsid w:val="00D10F49"/>
    <w:rsid w:val="00D15FED"/>
    <w:rsid w:val="00D245DE"/>
    <w:rsid w:val="00D24EBF"/>
    <w:rsid w:val="00D33C33"/>
    <w:rsid w:val="00D40F94"/>
    <w:rsid w:val="00D42CC1"/>
    <w:rsid w:val="00D50CCE"/>
    <w:rsid w:val="00D51A49"/>
    <w:rsid w:val="00D55576"/>
    <w:rsid w:val="00D60AE1"/>
    <w:rsid w:val="00D6103E"/>
    <w:rsid w:val="00D61529"/>
    <w:rsid w:val="00D70FB6"/>
    <w:rsid w:val="00D73030"/>
    <w:rsid w:val="00D744CE"/>
    <w:rsid w:val="00D748EB"/>
    <w:rsid w:val="00D75F5D"/>
    <w:rsid w:val="00D76503"/>
    <w:rsid w:val="00D77F2E"/>
    <w:rsid w:val="00D81ABC"/>
    <w:rsid w:val="00D8266A"/>
    <w:rsid w:val="00D831F5"/>
    <w:rsid w:val="00D85CFC"/>
    <w:rsid w:val="00D87FC9"/>
    <w:rsid w:val="00D96B0A"/>
    <w:rsid w:val="00D978CF"/>
    <w:rsid w:val="00D97CC2"/>
    <w:rsid w:val="00DA0744"/>
    <w:rsid w:val="00DA2537"/>
    <w:rsid w:val="00DA2721"/>
    <w:rsid w:val="00DA79DF"/>
    <w:rsid w:val="00DB0AD1"/>
    <w:rsid w:val="00DB2FC1"/>
    <w:rsid w:val="00DB6728"/>
    <w:rsid w:val="00DC01D7"/>
    <w:rsid w:val="00DC0956"/>
    <w:rsid w:val="00DC5C89"/>
    <w:rsid w:val="00DC5CB6"/>
    <w:rsid w:val="00DC6C9E"/>
    <w:rsid w:val="00DC6CBA"/>
    <w:rsid w:val="00DD257D"/>
    <w:rsid w:val="00DD3638"/>
    <w:rsid w:val="00DD5258"/>
    <w:rsid w:val="00DE32A2"/>
    <w:rsid w:val="00DE6B63"/>
    <w:rsid w:val="00DE7418"/>
    <w:rsid w:val="00DE796C"/>
    <w:rsid w:val="00DF0A97"/>
    <w:rsid w:val="00DF2AE7"/>
    <w:rsid w:val="00DF4446"/>
    <w:rsid w:val="00DF5B41"/>
    <w:rsid w:val="00DF7885"/>
    <w:rsid w:val="00E0055E"/>
    <w:rsid w:val="00E03A73"/>
    <w:rsid w:val="00E04E62"/>
    <w:rsid w:val="00E05DAE"/>
    <w:rsid w:val="00E111BE"/>
    <w:rsid w:val="00E16CAC"/>
    <w:rsid w:val="00E17210"/>
    <w:rsid w:val="00E17299"/>
    <w:rsid w:val="00E1783C"/>
    <w:rsid w:val="00E20383"/>
    <w:rsid w:val="00E3303A"/>
    <w:rsid w:val="00E34AB1"/>
    <w:rsid w:val="00E361F5"/>
    <w:rsid w:val="00E37699"/>
    <w:rsid w:val="00E40928"/>
    <w:rsid w:val="00E40E60"/>
    <w:rsid w:val="00E51350"/>
    <w:rsid w:val="00E51D86"/>
    <w:rsid w:val="00E51ED2"/>
    <w:rsid w:val="00E53479"/>
    <w:rsid w:val="00E55907"/>
    <w:rsid w:val="00E560FC"/>
    <w:rsid w:val="00E64F2F"/>
    <w:rsid w:val="00E669E4"/>
    <w:rsid w:val="00E75CDE"/>
    <w:rsid w:val="00E769C9"/>
    <w:rsid w:val="00E810F5"/>
    <w:rsid w:val="00E82A94"/>
    <w:rsid w:val="00E914D5"/>
    <w:rsid w:val="00E92F99"/>
    <w:rsid w:val="00E96CF4"/>
    <w:rsid w:val="00E9768A"/>
    <w:rsid w:val="00EA2132"/>
    <w:rsid w:val="00EA47A2"/>
    <w:rsid w:val="00EA5325"/>
    <w:rsid w:val="00EA53D3"/>
    <w:rsid w:val="00EA78F5"/>
    <w:rsid w:val="00EA7A1D"/>
    <w:rsid w:val="00EA7D8F"/>
    <w:rsid w:val="00EB2A4C"/>
    <w:rsid w:val="00EB3172"/>
    <w:rsid w:val="00EB56F7"/>
    <w:rsid w:val="00EB58DE"/>
    <w:rsid w:val="00EC0307"/>
    <w:rsid w:val="00EC42A9"/>
    <w:rsid w:val="00EC7D86"/>
    <w:rsid w:val="00ED055D"/>
    <w:rsid w:val="00ED16CF"/>
    <w:rsid w:val="00ED3C95"/>
    <w:rsid w:val="00ED6CC5"/>
    <w:rsid w:val="00ED7F97"/>
    <w:rsid w:val="00EE50BB"/>
    <w:rsid w:val="00EF142E"/>
    <w:rsid w:val="00EF1678"/>
    <w:rsid w:val="00F009F0"/>
    <w:rsid w:val="00F01A2C"/>
    <w:rsid w:val="00F027EF"/>
    <w:rsid w:val="00F04A7F"/>
    <w:rsid w:val="00F05431"/>
    <w:rsid w:val="00F10D38"/>
    <w:rsid w:val="00F20129"/>
    <w:rsid w:val="00F22061"/>
    <w:rsid w:val="00F22A1C"/>
    <w:rsid w:val="00F25E7F"/>
    <w:rsid w:val="00F25F54"/>
    <w:rsid w:val="00F266BD"/>
    <w:rsid w:val="00F3026F"/>
    <w:rsid w:val="00F32057"/>
    <w:rsid w:val="00F34F46"/>
    <w:rsid w:val="00F43788"/>
    <w:rsid w:val="00F51178"/>
    <w:rsid w:val="00F517C8"/>
    <w:rsid w:val="00F52500"/>
    <w:rsid w:val="00F5606A"/>
    <w:rsid w:val="00F57924"/>
    <w:rsid w:val="00F61E07"/>
    <w:rsid w:val="00F61E65"/>
    <w:rsid w:val="00F62398"/>
    <w:rsid w:val="00F63D9A"/>
    <w:rsid w:val="00F64420"/>
    <w:rsid w:val="00F65076"/>
    <w:rsid w:val="00F725DF"/>
    <w:rsid w:val="00F73A4F"/>
    <w:rsid w:val="00F745ED"/>
    <w:rsid w:val="00F75DBF"/>
    <w:rsid w:val="00F80B54"/>
    <w:rsid w:val="00F82763"/>
    <w:rsid w:val="00F8351F"/>
    <w:rsid w:val="00F842A5"/>
    <w:rsid w:val="00F86A15"/>
    <w:rsid w:val="00F87954"/>
    <w:rsid w:val="00F9159B"/>
    <w:rsid w:val="00F91FE2"/>
    <w:rsid w:val="00F930D1"/>
    <w:rsid w:val="00F93D8C"/>
    <w:rsid w:val="00F94736"/>
    <w:rsid w:val="00FA2978"/>
    <w:rsid w:val="00FA68C6"/>
    <w:rsid w:val="00FA7C8E"/>
    <w:rsid w:val="00FA7D07"/>
    <w:rsid w:val="00FB0174"/>
    <w:rsid w:val="00FB1292"/>
    <w:rsid w:val="00FB1EF8"/>
    <w:rsid w:val="00FB6004"/>
    <w:rsid w:val="00FC061E"/>
    <w:rsid w:val="00FC4FD9"/>
    <w:rsid w:val="00FC7909"/>
    <w:rsid w:val="00FD4667"/>
    <w:rsid w:val="00FE0054"/>
    <w:rsid w:val="00FE0586"/>
    <w:rsid w:val="00FE0B63"/>
    <w:rsid w:val="00FE4676"/>
    <w:rsid w:val="00FF0ADE"/>
    <w:rsid w:val="00FF0C78"/>
    <w:rsid w:val="00FF1D8B"/>
    <w:rsid w:val="00FF3860"/>
    <w:rsid w:val="00FF4240"/>
    <w:rsid w:val="00FF54F5"/>
    <w:rsid w:val="00FF582D"/>
    <w:rsid w:val="014F77FD"/>
    <w:rsid w:val="01BD7155"/>
    <w:rsid w:val="01C8709F"/>
    <w:rsid w:val="01CB6AEA"/>
    <w:rsid w:val="023011F5"/>
    <w:rsid w:val="023B7FF0"/>
    <w:rsid w:val="02B67D2C"/>
    <w:rsid w:val="03232C97"/>
    <w:rsid w:val="0449181A"/>
    <w:rsid w:val="044A1D23"/>
    <w:rsid w:val="048A5101"/>
    <w:rsid w:val="0491196B"/>
    <w:rsid w:val="04DA472B"/>
    <w:rsid w:val="05592D53"/>
    <w:rsid w:val="0585676B"/>
    <w:rsid w:val="06112117"/>
    <w:rsid w:val="0620273A"/>
    <w:rsid w:val="064B0E32"/>
    <w:rsid w:val="067E64B8"/>
    <w:rsid w:val="06A3051A"/>
    <w:rsid w:val="06C07E9C"/>
    <w:rsid w:val="073D68E0"/>
    <w:rsid w:val="07BE618B"/>
    <w:rsid w:val="081639F1"/>
    <w:rsid w:val="081F724D"/>
    <w:rsid w:val="083B1C9D"/>
    <w:rsid w:val="083C0673"/>
    <w:rsid w:val="08910757"/>
    <w:rsid w:val="09691011"/>
    <w:rsid w:val="097825B5"/>
    <w:rsid w:val="09784721"/>
    <w:rsid w:val="097C3834"/>
    <w:rsid w:val="097D43D3"/>
    <w:rsid w:val="09A12942"/>
    <w:rsid w:val="09AE0D49"/>
    <w:rsid w:val="09EA17B6"/>
    <w:rsid w:val="0A1022FA"/>
    <w:rsid w:val="0A1259C1"/>
    <w:rsid w:val="0A59403A"/>
    <w:rsid w:val="0AA6526E"/>
    <w:rsid w:val="0AC30814"/>
    <w:rsid w:val="0AE957B4"/>
    <w:rsid w:val="0B00739E"/>
    <w:rsid w:val="0B0F72C5"/>
    <w:rsid w:val="0B233575"/>
    <w:rsid w:val="0B453633"/>
    <w:rsid w:val="0B6D05B8"/>
    <w:rsid w:val="0BE714AB"/>
    <w:rsid w:val="0C4A2238"/>
    <w:rsid w:val="0C8F3B55"/>
    <w:rsid w:val="0D150B42"/>
    <w:rsid w:val="0D4C4892"/>
    <w:rsid w:val="0D973D58"/>
    <w:rsid w:val="0D9F2BF4"/>
    <w:rsid w:val="0DB24751"/>
    <w:rsid w:val="0DB93D8E"/>
    <w:rsid w:val="0DE047BF"/>
    <w:rsid w:val="0E1B0C80"/>
    <w:rsid w:val="0E313CB2"/>
    <w:rsid w:val="0EAE5F16"/>
    <w:rsid w:val="0F20638A"/>
    <w:rsid w:val="0F3E2235"/>
    <w:rsid w:val="0F4372C8"/>
    <w:rsid w:val="0FAD4F92"/>
    <w:rsid w:val="0FD93D3D"/>
    <w:rsid w:val="0FDB683D"/>
    <w:rsid w:val="0FEB191A"/>
    <w:rsid w:val="0FEC0DA5"/>
    <w:rsid w:val="1001679E"/>
    <w:rsid w:val="10612F9C"/>
    <w:rsid w:val="10923340"/>
    <w:rsid w:val="11053775"/>
    <w:rsid w:val="1130644C"/>
    <w:rsid w:val="113A5835"/>
    <w:rsid w:val="11400452"/>
    <w:rsid w:val="11672002"/>
    <w:rsid w:val="11A36112"/>
    <w:rsid w:val="11EE7BE1"/>
    <w:rsid w:val="12463C8B"/>
    <w:rsid w:val="12D75E24"/>
    <w:rsid w:val="12E8751A"/>
    <w:rsid w:val="135F621C"/>
    <w:rsid w:val="139C25E8"/>
    <w:rsid w:val="13D3033B"/>
    <w:rsid w:val="141D7709"/>
    <w:rsid w:val="14764402"/>
    <w:rsid w:val="1476678A"/>
    <w:rsid w:val="14850D94"/>
    <w:rsid w:val="14A5693F"/>
    <w:rsid w:val="14A9258C"/>
    <w:rsid w:val="14AC5F02"/>
    <w:rsid w:val="14D86A5D"/>
    <w:rsid w:val="153D55BD"/>
    <w:rsid w:val="15776D7E"/>
    <w:rsid w:val="157A0D68"/>
    <w:rsid w:val="15EE3AB6"/>
    <w:rsid w:val="16630470"/>
    <w:rsid w:val="16647707"/>
    <w:rsid w:val="16683D92"/>
    <w:rsid w:val="16A672C9"/>
    <w:rsid w:val="16AE3F18"/>
    <w:rsid w:val="16B81603"/>
    <w:rsid w:val="16CF1CC6"/>
    <w:rsid w:val="17072BAB"/>
    <w:rsid w:val="1711696E"/>
    <w:rsid w:val="172E7810"/>
    <w:rsid w:val="17794346"/>
    <w:rsid w:val="182E0082"/>
    <w:rsid w:val="185507A1"/>
    <w:rsid w:val="186D1005"/>
    <w:rsid w:val="187359FA"/>
    <w:rsid w:val="188E727B"/>
    <w:rsid w:val="196462BA"/>
    <w:rsid w:val="1977632C"/>
    <w:rsid w:val="197C1FCE"/>
    <w:rsid w:val="19A20EDD"/>
    <w:rsid w:val="19A526C7"/>
    <w:rsid w:val="19BB266E"/>
    <w:rsid w:val="1A3C0C0D"/>
    <w:rsid w:val="1A585BC2"/>
    <w:rsid w:val="1A5E6A00"/>
    <w:rsid w:val="1A8671EE"/>
    <w:rsid w:val="1A9262B2"/>
    <w:rsid w:val="1AEE6276"/>
    <w:rsid w:val="1AF323D8"/>
    <w:rsid w:val="1AF62C69"/>
    <w:rsid w:val="1BC20C24"/>
    <w:rsid w:val="1BFD27A2"/>
    <w:rsid w:val="1C011678"/>
    <w:rsid w:val="1C2A7E30"/>
    <w:rsid w:val="1C53323F"/>
    <w:rsid w:val="1C756A7F"/>
    <w:rsid w:val="1CE87118"/>
    <w:rsid w:val="1E587E3F"/>
    <w:rsid w:val="1E925EEC"/>
    <w:rsid w:val="1E9B5208"/>
    <w:rsid w:val="1EB12291"/>
    <w:rsid w:val="1EE25BAC"/>
    <w:rsid w:val="1F404FCB"/>
    <w:rsid w:val="1F811C64"/>
    <w:rsid w:val="203043BA"/>
    <w:rsid w:val="203D6437"/>
    <w:rsid w:val="209605CD"/>
    <w:rsid w:val="20C032A2"/>
    <w:rsid w:val="20D71CBF"/>
    <w:rsid w:val="21224CAB"/>
    <w:rsid w:val="21590E3E"/>
    <w:rsid w:val="219A17D7"/>
    <w:rsid w:val="21A33D9D"/>
    <w:rsid w:val="21DD798D"/>
    <w:rsid w:val="224D32E0"/>
    <w:rsid w:val="22630AD3"/>
    <w:rsid w:val="22A868C7"/>
    <w:rsid w:val="22F05CD0"/>
    <w:rsid w:val="235C1616"/>
    <w:rsid w:val="23BE63FD"/>
    <w:rsid w:val="23D47C42"/>
    <w:rsid w:val="23DF56EE"/>
    <w:rsid w:val="23E87558"/>
    <w:rsid w:val="243D0021"/>
    <w:rsid w:val="24571916"/>
    <w:rsid w:val="24D96407"/>
    <w:rsid w:val="24FA2141"/>
    <w:rsid w:val="25036463"/>
    <w:rsid w:val="262016F6"/>
    <w:rsid w:val="26730A93"/>
    <w:rsid w:val="26BC3ED1"/>
    <w:rsid w:val="26E03B86"/>
    <w:rsid w:val="26E5714E"/>
    <w:rsid w:val="27817123"/>
    <w:rsid w:val="2796417F"/>
    <w:rsid w:val="27B11C52"/>
    <w:rsid w:val="27EE79E5"/>
    <w:rsid w:val="287A0B0C"/>
    <w:rsid w:val="28966B51"/>
    <w:rsid w:val="28AA26C7"/>
    <w:rsid w:val="29036481"/>
    <w:rsid w:val="29116A0B"/>
    <w:rsid w:val="29FC6BA5"/>
    <w:rsid w:val="2A3335CD"/>
    <w:rsid w:val="2A42741A"/>
    <w:rsid w:val="2B2D30AD"/>
    <w:rsid w:val="2B4E1731"/>
    <w:rsid w:val="2B840CEF"/>
    <w:rsid w:val="2BC34B28"/>
    <w:rsid w:val="2BC7066A"/>
    <w:rsid w:val="2BF4566F"/>
    <w:rsid w:val="2C0223D5"/>
    <w:rsid w:val="2D3C672F"/>
    <w:rsid w:val="2D8C0CA9"/>
    <w:rsid w:val="2E211F3C"/>
    <w:rsid w:val="2E3C2B38"/>
    <w:rsid w:val="2E5E719D"/>
    <w:rsid w:val="2E864028"/>
    <w:rsid w:val="2E9A469C"/>
    <w:rsid w:val="2EA90039"/>
    <w:rsid w:val="2EE74166"/>
    <w:rsid w:val="2F1B3FB6"/>
    <w:rsid w:val="2F351546"/>
    <w:rsid w:val="302202AA"/>
    <w:rsid w:val="302F2916"/>
    <w:rsid w:val="31021206"/>
    <w:rsid w:val="319B301C"/>
    <w:rsid w:val="31DA3FA2"/>
    <w:rsid w:val="32064B97"/>
    <w:rsid w:val="32262AF8"/>
    <w:rsid w:val="322724E2"/>
    <w:rsid w:val="323B56EB"/>
    <w:rsid w:val="325516D3"/>
    <w:rsid w:val="32C93B11"/>
    <w:rsid w:val="32DD5CE2"/>
    <w:rsid w:val="32FA66E7"/>
    <w:rsid w:val="330453E1"/>
    <w:rsid w:val="33CA1B48"/>
    <w:rsid w:val="33D23AE7"/>
    <w:rsid w:val="33E82C54"/>
    <w:rsid w:val="33E84C6F"/>
    <w:rsid w:val="34094D01"/>
    <w:rsid w:val="344D638C"/>
    <w:rsid w:val="34623430"/>
    <w:rsid w:val="34A43D50"/>
    <w:rsid w:val="3522336A"/>
    <w:rsid w:val="356614A1"/>
    <w:rsid w:val="35991723"/>
    <w:rsid w:val="359D235C"/>
    <w:rsid w:val="35A4308C"/>
    <w:rsid w:val="35BA3378"/>
    <w:rsid w:val="35E43AC5"/>
    <w:rsid w:val="365C138D"/>
    <w:rsid w:val="365D3297"/>
    <w:rsid w:val="365F2FA1"/>
    <w:rsid w:val="36631F8F"/>
    <w:rsid w:val="36A12F8B"/>
    <w:rsid w:val="36B75F37"/>
    <w:rsid w:val="370C6480"/>
    <w:rsid w:val="373B1965"/>
    <w:rsid w:val="37464D41"/>
    <w:rsid w:val="376B5470"/>
    <w:rsid w:val="377F0339"/>
    <w:rsid w:val="378576A4"/>
    <w:rsid w:val="378661DC"/>
    <w:rsid w:val="378D144C"/>
    <w:rsid w:val="37D912AF"/>
    <w:rsid w:val="37F938E1"/>
    <w:rsid w:val="38D70825"/>
    <w:rsid w:val="38F013CF"/>
    <w:rsid w:val="392873D2"/>
    <w:rsid w:val="393E267E"/>
    <w:rsid w:val="394936CA"/>
    <w:rsid w:val="394C7A4E"/>
    <w:rsid w:val="39DF5E7B"/>
    <w:rsid w:val="3A4A20F0"/>
    <w:rsid w:val="3A9D5677"/>
    <w:rsid w:val="3AA34991"/>
    <w:rsid w:val="3ADE2055"/>
    <w:rsid w:val="3B0D436B"/>
    <w:rsid w:val="3B3D3804"/>
    <w:rsid w:val="3B6D0393"/>
    <w:rsid w:val="3BA42917"/>
    <w:rsid w:val="3C6B3FB1"/>
    <w:rsid w:val="3CB54F9E"/>
    <w:rsid w:val="3CDE7AB5"/>
    <w:rsid w:val="3D9D3166"/>
    <w:rsid w:val="3DD83EEF"/>
    <w:rsid w:val="3DF4772F"/>
    <w:rsid w:val="3E120575"/>
    <w:rsid w:val="3EB05AE8"/>
    <w:rsid w:val="3F1359D9"/>
    <w:rsid w:val="3F181114"/>
    <w:rsid w:val="3F736F49"/>
    <w:rsid w:val="3F936427"/>
    <w:rsid w:val="3FE25EF9"/>
    <w:rsid w:val="40330355"/>
    <w:rsid w:val="4074430D"/>
    <w:rsid w:val="408332FD"/>
    <w:rsid w:val="411249BA"/>
    <w:rsid w:val="41173673"/>
    <w:rsid w:val="412D0429"/>
    <w:rsid w:val="41890F84"/>
    <w:rsid w:val="418A510A"/>
    <w:rsid w:val="41935AA8"/>
    <w:rsid w:val="41AF06E5"/>
    <w:rsid w:val="420F5CD5"/>
    <w:rsid w:val="422D088A"/>
    <w:rsid w:val="429D6F9F"/>
    <w:rsid w:val="4310260B"/>
    <w:rsid w:val="43C83E4C"/>
    <w:rsid w:val="43F6136F"/>
    <w:rsid w:val="443D4D6D"/>
    <w:rsid w:val="445F05C2"/>
    <w:rsid w:val="44A67551"/>
    <w:rsid w:val="4522752F"/>
    <w:rsid w:val="45EB7527"/>
    <w:rsid w:val="45FB64EB"/>
    <w:rsid w:val="4620416D"/>
    <w:rsid w:val="46806F6C"/>
    <w:rsid w:val="46895B7E"/>
    <w:rsid w:val="46971B71"/>
    <w:rsid w:val="46B85657"/>
    <w:rsid w:val="46D52711"/>
    <w:rsid w:val="47230359"/>
    <w:rsid w:val="47976D64"/>
    <w:rsid w:val="47DB5D03"/>
    <w:rsid w:val="4815401C"/>
    <w:rsid w:val="483B43E5"/>
    <w:rsid w:val="48A81E74"/>
    <w:rsid w:val="49061368"/>
    <w:rsid w:val="49316616"/>
    <w:rsid w:val="495034C6"/>
    <w:rsid w:val="49AD4D90"/>
    <w:rsid w:val="49E6074E"/>
    <w:rsid w:val="4A187B73"/>
    <w:rsid w:val="4A8357D3"/>
    <w:rsid w:val="4ACC757D"/>
    <w:rsid w:val="4AD75231"/>
    <w:rsid w:val="4BE5166F"/>
    <w:rsid w:val="4C0F41D3"/>
    <w:rsid w:val="4C5335A6"/>
    <w:rsid w:val="4CCC055B"/>
    <w:rsid w:val="4D840EA6"/>
    <w:rsid w:val="4DF06F9D"/>
    <w:rsid w:val="4E217075"/>
    <w:rsid w:val="4E2E13A4"/>
    <w:rsid w:val="4E4978FA"/>
    <w:rsid w:val="4E6B74B7"/>
    <w:rsid w:val="4E707357"/>
    <w:rsid w:val="4E811D9C"/>
    <w:rsid w:val="4ECB62BD"/>
    <w:rsid w:val="4F1E65B6"/>
    <w:rsid w:val="4F385F62"/>
    <w:rsid w:val="4F543A65"/>
    <w:rsid w:val="4F602D94"/>
    <w:rsid w:val="4F7C2662"/>
    <w:rsid w:val="4F8A7BC1"/>
    <w:rsid w:val="4F8B7540"/>
    <w:rsid w:val="4FC03BB7"/>
    <w:rsid w:val="50010D18"/>
    <w:rsid w:val="5054412B"/>
    <w:rsid w:val="5070182A"/>
    <w:rsid w:val="509E60CE"/>
    <w:rsid w:val="51350182"/>
    <w:rsid w:val="513B49B5"/>
    <w:rsid w:val="514A7DDE"/>
    <w:rsid w:val="51D90B7F"/>
    <w:rsid w:val="5242311F"/>
    <w:rsid w:val="527A50A7"/>
    <w:rsid w:val="5284158D"/>
    <w:rsid w:val="52CD6292"/>
    <w:rsid w:val="53A72CFD"/>
    <w:rsid w:val="53B848D6"/>
    <w:rsid w:val="541A5C3D"/>
    <w:rsid w:val="54664225"/>
    <w:rsid w:val="54A02FD1"/>
    <w:rsid w:val="54B424A6"/>
    <w:rsid w:val="54D50B1E"/>
    <w:rsid w:val="553852FD"/>
    <w:rsid w:val="554F3275"/>
    <w:rsid w:val="55A32CEC"/>
    <w:rsid w:val="55B84A33"/>
    <w:rsid w:val="55E157DD"/>
    <w:rsid w:val="55FF7CA6"/>
    <w:rsid w:val="56D861E7"/>
    <w:rsid w:val="579C0914"/>
    <w:rsid w:val="57B86E53"/>
    <w:rsid w:val="57C97459"/>
    <w:rsid w:val="58851615"/>
    <w:rsid w:val="58BF552E"/>
    <w:rsid w:val="58F3018E"/>
    <w:rsid w:val="59C559E9"/>
    <w:rsid w:val="5A107862"/>
    <w:rsid w:val="5A303418"/>
    <w:rsid w:val="5A8C1C9A"/>
    <w:rsid w:val="5AD31898"/>
    <w:rsid w:val="5AF92E38"/>
    <w:rsid w:val="5B061EEA"/>
    <w:rsid w:val="5B0B5357"/>
    <w:rsid w:val="5BCB373A"/>
    <w:rsid w:val="5C09332D"/>
    <w:rsid w:val="5C2241EA"/>
    <w:rsid w:val="5C427612"/>
    <w:rsid w:val="5D0B72B7"/>
    <w:rsid w:val="5D2F3E81"/>
    <w:rsid w:val="5D3A3002"/>
    <w:rsid w:val="5D9D650F"/>
    <w:rsid w:val="5DC60B7B"/>
    <w:rsid w:val="5DE75350"/>
    <w:rsid w:val="5DF632D6"/>
    <w:rsid w:val="5E226469"/>
    <w:rsid w:val="5E252674"/>
    <w:rsid w:val="5E700757"/>
    <w:rsid w:val="5EEA4405"/>
    <w:rsid w:val="5F7807E8"/>
    <w:rsid w:val="5F8F1CCA"/>
    <w:rsid w:val="5FD567BC"/>
    <w:rsid w:val="5FD93481"/>
    <w:rsid w:val="5FF45A39"/>
    <w:rsid w:val="600A145C"/>
    <w:rsid w:val="60951E5E"/>
    <w:rsid w:val="61637845"/>
    <w:rsid w:val="61743132"/>
    <w:rsid w:val="619A3CD5"/>
    <w:rsid w:val="61BA5FF2"/>
    <w:rsid w:val="62590A51"/>
    <w:rsid w:val="628840AC"/>
    <w:rsid w:val="62B4404D"/>
    <w:rsid w:val="62E4555A"/>
    <w:rsid w:val="635316CE"/>
    <w:rsid w:val="636662E6"/>
    <w:rsid w:val="63B46F70"/>
    <w:rsid w:val="63DD2BD2"/>
    <w:rsid w:val="641C32D6"/>
    <w:rsid w:val="64744580"/>
    <w:rsid w:val="64B2485B"/>
    <w:rsid w:val="65DC4FC3"/>
    <w:rsid w:val="661D1CBA"/>
    <w:rsid w:val="66E520A5"/>
    <w:rsid w:val="67170CFF"/>
    <w:rsid w:val="673E2FAD"/>
    <w:rsid w:val="677B2F49"/>
    <w:rsid w:val="6782583F"/>
    <w:rsid w:val="67A8253D"/>
    <w:rsid w:val="67A96438"/>
    <w:rsid w:val="67EE6C5E"/>
    <w:rsid w:val="6896659C"/>
    <w:rsid w:val="68F22FB3"/>
    <w:rsid w:val="69040F22"/>
    <w:rsid w:val="690D529F"/>
    <w:rsid w:val="69404255"/>
    <w:rsid w:val="6983580F"/>
    <w:rsid w:val="69D55525"/>
    <w:rsid w:val="69F12C12"/>
    <w:rsid w:val="6A0B6749"/>
    <w:rsid w:val="6A941EE2"/>
    <w:rsid w:val="6B391FC4"/>
    <w:rsid w:val="6B6415CC"/>
    <w:rsid w:val="6B725C27"/>
    <w:rsid w:val="6BAF252C"/>
    <w:rsid w:val="6BC76EEF"/>
    <w:rsid w:val="6BF71620"/>
    <w:rsid w:val="6CD07E03"/>
    <w:rsid w:val="6CF20C90"/>
    <w:rsid w:val="6D6965D2"/>
    <w:rsid w:val="6E3B0A35"/>
    <w:rsid w:val="6E617936"/>
    <w:rsid w:val="6E64080E"/>
    <w:rsid w:val="6E8B3884"/>
    <w:rsid w:val="6EF374CD"/>
    <w:rsid w:val="6F363068"/>
    <w:rsid w:val="6F7C126C"/>
    <w:rsid w:val="6FEA5E6C"/>
    <w:rsid w:val="70195AE2"/>
    <w:rsid w:val="70233379"/>
    <w:rsid w:val="706D7EFF"/>
    <w:rsid w:val="70900C9D"/>
    <w:rsid w:val="70D00331"/>
    <w:rsid w:val="71031AA6"/>
    <w:rsid w:val="71D97BD7"/>
    <w:rsid w:val="71DC5AD4"/>
    <w:rsid w:val="72817588"/>
    <w:rsid w:val="728F064B"/>
    <w:rsid w:val="72BB1C50"/>
    <w:rsid w:val="72BD1547"/>
    <w:rsid w:val="72CE59A2"/>
    <w:rsid w:val="72F71CE0"/>
    <w:rsid w:val="73C61AAF"/>
    <w:rsid w:val="73ED07EB"/>
    <w:rsid w:val="7405578E"/>
    <w:rsid w:val="74245921"/>
    <w:rsid w:val="74994F19"/>
    <w:rsid w:val="74DB3EB3"/>
    <w:rsid w:val="75332BD9"/>
    <w:rsid w:val="75511F93"/>
    <w:rsid w:val="755702EC"/>
    <w:rsid w:val="755A18A0"/>
    <w:rsid w:val="756D3404"/>
    <w:rsid w:val="75A7007A"/>
    <w:rsid w:val="75A823AB"/>
    <w:rsid w:val="75F30DB1"/>
    <w:rsid w:val="76576F7D"/>
    <w:rsid w:val="765D4BDE"/>
    <w:rsid w:val="76987597"/>
    <w:rsid w:val="76A36ECC"/>
    <w:rsid w:val="76E432CD"/>
    <w:rsid w:val="76FB50AD"/>
    <w:rsid w:val="77053749"/>
    <w:rsid w:val="77247BB4"/>
    <w:rsid w:val="77B169C2"/>
    <w:rsid w:val="77E236CF"/>
    <w:rsid w:val="7849267D"/>
    <w:rsid w:val="78F51F09"/>
    <w:rsid w:val="7902696A"/>
    <w:rsid w:val="791E38B3"/>
    <w:rsid w:val="795E3DD1"/>
    <w:rsid w:val="79B03E9D"/>
    <w:rsid w:val="79F06ECD"/>
    <w:rsid w:val="7A4714C9"/>
    <w:rsid w:val="7A9859BB"/>
    <w:rsid w:val="7ACC1B84"/>
    <w:rsid w:val="7B15385D"/>
    <w:rsid w:val="7B4A229F"/>
    <w:rsid w:val="7B784258"/>
    <w:rsid w:val="7BB518BF"/>
    <w:rsid w:val="7BBA6ECC"/>
    <w:rsid w:val="7BD067C2"/>
    <w:rsid w:val="7BFF4C55"/>
    <w:rsid w:val="7C72542F"/>
    <w:rsid w:val="7C8C4E16"/>
    <w:rsid w:val="7CBF1C41"/>
    <w:rsid w:val="7CC9772B"/>
    <w:rsid w:val="7D24527D"/>
    <w:rsid w:val="7D7168E4"/>
    <w:rsid w:val="7D7F4EE0"/>
    <w:rsid w:val="7D943F20"/>
    <w:rsid w:val="7DAF2845"/>
    <w:rsid w:val="7E932B20"/>
    <w:rsid w:val="7EA80065"/>
    <w:rsid w:val="7F307FA6"/>
    <w:rsid w:val="7F587F69"/>
    <w:rsid w:val="7FBA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87"/>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9"/>
    <w:basedOn w:val="1"/>
    <w:next w:val="1"/>
    <w:link w:val="82"/>
    <w:qFormat/>
    <w:uiPriority w:val="0"/>
    <w:pPr>
      <w:keepNext/>
      <w:keepLines/>
      <w:spacing w:before="240" w:after="64" w:line="320" w:lineRule="auto"/>
      <w:outlineLvl w:val="8"/>
    </w:pPr>
    <w:rPr>
      <w:rFonts w:ascii="等线 Light" w:hAnsi="等线 Light" w:eastAsia="等线 Light"/>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9">
    <w:name w:val="toc 7"/>
    <w:basedOn w:val="1"/>
    <w:next w:val="1"/>
    <w:unhideWhenUsed/>
    <w:qFormat/>
    <w:uiPriority w:val="39"/>
    <w:pPr>
      <w:ind w:left="2520" w:leftChars="1200"/>
    </w:pPr>
    <w:rPr>
      <w:rFonts w:ascii="等线" w:hAnsi="等线" w:eastAsia="等线"/>
      <w:szCs w:val="22"/>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1">
    <w:name w:val="annotation text"/>
    <w:basedOn w:val="1"/>
    <w:link w:val="81"/>
    <w:qFormat/>
    <w:uiPriority w:val="99"/>
    <w:pPr>
      <w:jc w:val="left"/>
    </w:pPr>
  </w:style>
  <w:style w:type="paragraph" w:styleId="12">
    <w:name w:val="Body Text"/>
    <w:basedOn w:val="1"/>
    <w:next w:val="1"/>
    <w:qFormat/>
    <w:uiPriority w:val="0"/>
    <w:pPr>
      <w:spacing w:after="120"/>
    </w:pPr>
  </w:style>
  <w:style w:type="paragraph" w:styleId="1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4">
    <w:name w:val="toc 5"/>
    <w:basedOn w:val="1"/>
    <w:next w:val="1"/>
    <w:unhideWhenUsed/>
    <w:qFormat/>
    <w:uiPriority w:val="39"/>
    <w:pPr>
      <w:ind w:left="1680" w:leftChars="800"/>
    </w:pPr>
    <w:rPr>
      <w:rFonts w:ascii="等线" w:hAnsi="等线" w:eastAsia="等线"/>
      <w:szCs w:val="22"/>
    </w:rPr>
  </w:style>
  <w:style w:type="paragraph" w:styleId="15">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16">
    <w:name w:val="toc 8"/>
    <w:basedOn w:val="1"/>
    <w:next w:val="1"/>
    <w:unhideWhenUsed/>
    <w:qFormat/>
    <w:uiPriority w:val="39"/>
    <w:pPr>
      <w:ind w:left="2940" w:leftChars="1400"/>
    </w:pPr>
    <w:rPr>
      <w:rFonts w:ascii="等线" w:hAnsi="等线" w:eastAsia="等线"/>
      <w:szCs w:val="22"/>
    </w:rPr>
  </w:style>
  <w:style w:type="paragraph" w:styleId="17">
    <w:name w:val="Date"/>
    <w:basedOn w:val="1"/>
    <w:next w:val="1"/>
    <w:link w:val="76"/>
    <w:qFormat/>
    <w:uiPriority w:val="0"/>
    <w:pPr>
      <w:ind w:left="100" w:leftChars="2500"/>
    </w:pPr>
  </w:style>
  <w:style w:type="paragraph" w:styleId="18">
    <w:name w:val="Body Text Indent 2"/>
    <w:basedOn w:val="1"/>
    <w:qFormat/>
    <w:uiPriority w:val="0"/>
    <w:pPr>
      <w:widowControl/>
      <w:spacing w:line="480" w:lineRule="auto"/>
      <w:ind w:firstLine="560"/>
      <w:jc w:val="left"/>
    </w:pPr>
    <w:rPr>
      <w:kern w:val="0"/>
      <w:sz w:val="28"/>
    </w:rPr>
  </w:style>
  <w:style w:type="paragraph" w:styleId="19">
    <w:name w:val="Balloon Text"/>
    <w:basedOn w:val="1"/>
    <w:link w:val="86"/>
    <w:qFormat/>
    <w:uiPriority w:val="0"/>
    <w:rPr>
      <w:sz w:val="18"/>
      <w:szCs w:val="18"/>
    </w:rPr>
  </w:style>
  <w:style w:type="paragraph" w:styleId="20">
    <w:name w:val="footer"/>
    <w:basedOn w:val="1"/>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sz w:val="20"/>
      <w:szCs w:val="20"/>
    </w:rPr>
  </w:style>
  <w:style w:type="paragraph" w:styleId="23">
    <w:name w:val="toc 4"/>
    <w:basedOn w:val="1"/>
    <w:next w:val="1"/>
    <w:unhideWhenUsed/>
    <w:qFormat/>
    <w:uiPriority w:val="39"/>
    <w:pPr>
      <w:ind w:left="1260" w:leftChars="600"/>
    </w:pPr>
    <w:rPr>
      <w:rFonts w:ascii="等线" w:hAnsi="等线" w:eastAsia="等线"/>
      <w:szCs w:val="22"/>
    </w:rPr>
  </w:style>
  <w:style w:type="paragraph" w:styleId="24">
    <w:name w:val="Subtitle"/>
    <w:basedOn w:val="1"/>
    <w:link w:val="79"/>
    <w:qFormat/>
    <w:uiPriority w:val="0"/>
    <w:pPr>
      <w:widowControl/>
      <w:jc w:val="center"/>
    </w:pPr>
    <w:rPr>
      <w:kern w:val="0"/>
      <w:sz w:val="20"/>
      <w:u w:val="single"/>
      <w:lang w:eastAsia="en-US"/>
    </w:rPr>
  </w:style>
  <w:style w:type="paragraph" w:styleId="25">
    <w:name w:val="toc 6"/>
    <w:basedOn w:val="1"/>
    <w:next w:val="1"/>
    <w:unhideWhenUsed/>
    <w:qFormat/>
    <w:uiPriority w:val="39"/>
    <w:pPr>
      <w:ind w:left="2100" w:leftChars="1000"/>
    </w:pPr>
    <w:rPr>
      <w:rFonts w:ascii="等线" w:hAnsi="等线" w:eastAsia="等线"/>
      <w:szCs w:val="22"/>
    </w:rPr>
  </w:style>
  <w:style w:type="paragraph" w:styleId="26">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27">
    <w:name w:val="toc 9"/>
    <w:basedOn w:val="1"/>
    <w:next w:val="1"/>
    <w:unhideWhenUsed/>
    <w:qFormat/>
    <w:uiPriority w:val="39"/>
    <w:pPr>
      <w:ind w:left="3360" w:leftChars="1600"/>
    </w:pPr>
    <w:rPr>
      <w:rFonts w:ascii="等线" w:hAnsi="等线" w:eastAsia="等线"/>
      <w:szCs w:val="22"/>
    </w:rPr>
  </w:style>
  <w:style w:type="paragraph" w:styleId="28">
    <w:name w:val="Body Text 2"/>
    <w:basedOn w:val="1"/>
    <w:qFormat/>
    <w:uiPriority w:val="0"/>
    <w:rPr>
      <w:i/>
      <w:iCs/>
      <w:sz w:val="26"/>
    </w:rPr>
  </w:style>
  <w:style w:type="paragraph" w:styleId="29">
    <w:name w:val="Normal (Web)"/>
    <w:basedOn w:val="1"/>
    <w:qFormat/>
    <w:uiPriority w:val="0"/>
    <w:pPr>
      <w:widowControl/>
      <w:jc w:val="left"/>
    </w:pPr>
    <w:rPr>
      <w:rFonts w:ascii="宋体" w:hAnsi="宋体"/>
      <w:kern w:val="0"/>
      <w:sz w:val="24"/>
    </w:rPr>
  </w:style>
  <w:style w:type="paragraph" w:styleId="30">
    <w:name w:val="annotation subject"/>
    <w:basedOn w:val="11"/>
    <w:next w:val="11"/>
    <w:link w:val="78"/>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000000"/>
      <w:u w:val="none"/>
    </w:rPr>
  </w:style>
  <w:style w:type="character" w:styleId="37">
    <w:name w:val="Emphasis"/>
    <w:basedOn w:val="33"/>
    <w:qFormat/>
    <w:uiPriority w:val="0"/>
    <w:rPr>
      <w:i/>
      <w:i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qFormat/>
    <w:uiPriority w:val="99"/>
    <w:rPr>
      <w:color w:val="0000FF"/>
      <w:u w:val="single"/>
    </w:rPr>
  </w:style>
  <w:style w:type="character" w:styleId="43">
    <w:name w:val="HTML Code"/>
    <w:basedOn w:val="33"/>
    <w:qFormat/>
    <w:uiPriority w:val="0"/>
    <w:rPr>
      <w:rFonts w:ascii="Consolas" w:hAnsi="Consolas" w:eastAsia="Consolas" w:cs="Consolas"/>
      <w:color w:val="DD1144"/>
      <w:sz w:val="15"/>
      <w:szCs w:val="15"/>
      <w:bdr w:val="single" w:color="E1E1E8" w:sz="6" w:space="0"/>
      <w:shd w:val="clear" w:color="auto" w:fill="F7F7F9"/>
    </w:rPr>
  </w:style>
  <w:style w:type="character" w:styleId="44">
    <w:name w:val="annotation reference"/>
    <w:qFormat/>
    <w:uiPriority w:val="0"/>
    <w:rPr>
      <w:sz w:val="21"/>
      <w:szCs w:val="21"/>
    </w:rPr>
  </w:style>
  <w:style w:type="character" w:styleId="45">
    <w:name w:val="HTML Cite"/>
    <w:basedOn w:val="33"/>
    <w:qFormat/>
    <w:uiPriority w:val="0"/>
  </w:style>
  <w:style w:type="character" w:styleId="46">
    <w:name w:val="HTML Keyboard"/>
    <w:basedOn w:val="33"/>
    <w:qFormat/>
    <w:uiPriority w:val="0"/>
    <w:rPr>
      <w:rFonts w:hint="default" w:ascii="monospace" w:hAnsi="monospace" w:eastAsia="monospace" w:cs="monospace"/>
      <w:sz w:val="20"/>
    </w:rPr>
  </w:style>
  <w:style w:type="character" w:styleId="47">
    <w:name w:val="HTML Sample"/>
    <w:basedOn w:val="33"/>
    <w:qFormat/>
    <w:uiPriority w:val="0"/>
    <w:rPr>
      <w:rFonts w:hint="default" w:ascii="monospace" w:hAnsi="monospace" w:eastAsia="monospace" w:cs="monospace"/>
    </w:rPr>
  </w:style>
  <w:style w:type="paragraph" w:customStyle="1" w:styleId="48">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49">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_Style 37"/>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52">
    <w:name w:val="_Style 1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3">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列出段落1"/>
    <w:basedOn w:val="1"/>
    <w:qFormat/>
    <w:uiPriority w:val="0"/>
    <w:pPr>
      <w:ind w:firstLine="420" w:firstLineChars="200"/>
    </w:pPr>
    <w:rPr>
      <w:sz w:val="28"/>
      <w:szCs w:val="28"/>
    </w:rPr>
  </w:style>
  <w:style w:type="paragraph" w:customStyle="1" w:styleId="57">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5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7">
    <w:name w:val="正  文"/>
    <w:basedOn w:val="1"/>
    <w:qFormat/>
    <w:uiPriority w:val="0"/>
    <w:pPr>
      <w:spacing w:line="360" w:lineRule="auto"/>
      <w:ind w:firstLine="200" w:firstLineChars="200"/>
    </w:pPr>
    <w:rPr>
      <w:rFonts w:ascii="宋体" w:hAnsi="Calibri"/>
      <w:sz w:val="24"/>
    </w:rPr>
  </w:style>
  <w:style w:type="paragraph" w:customStyle="1" w:styleId="68">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列表段落1"/>
    <w:basedOn w:val="1"/>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70">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页眉1"/>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72">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4">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75">
    <w:name w:val="标题 1 字符"/>
    <w:link w:val="3"/>
    <w:qFormat/>
    <w:uiPriority w:val="0"/>
    <w:rPr>
      <w:b/>
      <w:bCs/>
      <w:kern w:val="44"/>
      <w:sz w:val="44"/>
      <w:szCs w:val="44"/>
    </w:rPr>
  </w:style>
  <w:style w:type="character" w:customStyle="1" w:styleId="76">
    <w:name w:val="日期 字符"/>
    <w:link w:val="17"/>
    <w:qFormat/>
    <w:uiPriority w:val="0"/>
    <w:rPr>
      <w:kern w:val="2"/>
      <w:sz w:val="21"/>
      <w:szCs w:val="24"/>
    </w:rPr>
  </w:style>
  <w:style w:type="character" w:customStyle="1" w:styleId="77">
    <w:name w:val="尾注文本 Char"/>
    <w:qFormat/>
    <w:uiPriority w:val="0"/>
    <w:rPr>
      <w:kern w:val="2"/>
      <w:sz w:val="21"/>
      <w:szCs w:val="24"/>
    </w:rPr>
  </w:style>
  <w:style w:type="character" w:customStyle="1" w:styleId="78">
    <w:name w:val="批注主题 字符"/>
    <w:link w:val="30"/>
    <w:qFormat/>
    <w:uiPriority w:val="0"/>
    <w:rPr>
      <w:b/>
      <w:bCs/>
      <w:kern w:val="2"/>
      <w:sz w:val="21"/>
      <w:szCs w:val="24"/>
    </w:rPr>
  </w:style>
  <w:style w:type="character" w:customStyle="1" w:styleId="79">
    <w:name w:val="副标题 字符"/>
    <w:link w:val="24"/>
    <w:qFormat/>
    <w:uiPriority w:val="0"/>
    <w:rPr>
      <w:szCs w:val="24"/>
      <w:u w:val="single"/>
      <w:lang w:eastAsia="en-US"/>
    </w:rPr>
  </w:style>
  <w:style w:type="character" w:customStyle="1" w:styleId="80">
    <w:name w:val="标题 2 字符"/>
    <w:link w:val="4"/>
    <w:qFormat/>
    <w:uiPriority w:val="0"/>
    <w:rPr>
      <w:rFonts w:ascii="Cambria" w:hAnsi="Cambria"/>
      <w:b/>
      <w:bCs/>
      <w:sz w:val="32"/>
      <w:szCs w:val="32"/>
    </w:rPr>
  </w:style>
  <w:style w:type="character" w:customStyle="1" w:styleId="81">
    <w:name w:val="批注文字 字符"/>
    <w:link w:val="11"/>
    <w:qFormat/>
    <w:uiPriority w:val="99"/>
    <w:rPr>
      <w:kern w:val="2"/>
      <w:sz w:val="21"/>
      <w:szCs w:val="24"/>
    </w:rPr>
  </w:style>
  <w:style w:type="character" w:customStyle="1" w:styleId="82">
    <w:name w:val="标题 9 字符"/>
    <w:link w:val="8"/>
    <w:semiHidden/>
    <w:qFormat/>
    <w:uiPriority w:val="0"/>
    <w:rPr>
      <w:rFonts w:ascii="等线 Light" w:hAnsi="等线 Light" w:eastAsia="等线 Light" w:cs="Times New Roman"/>
      <w:kern w:val="2"/>
      <w:sz w:val="21"/>
      <w:szCs w:val="21"/>
    </w:rPr>
  </w:style>
  <w:style w:type="character" w:customStyle="1" w:styleId="83">
    <w:name w:val="标题 2 Char2"/>
    <w:qFormat/>
    <w:uiPriority w:val="0"/>
    <w:rPr>
      <w:rFonts w:ascii="Cambria" w:hAnsi="Cambria" w:eastAsia="宋体"/>
      <w:b/>
      <w:bCs/>
      <w:kern w:val="2"/>
      <w:sz w:val="32"/>
      <w:szCs w:val="32"/>
      <w:lang w:val="en-US" w:eastAsia="zh-CN" w:bidi="ar-SA"/>
    </w:rPr>
  </w:style>
  <w:style w:type="character" w:customStyle="1" w:styleId="84">
    <w:name w:val="副标题 Char3"/>
    <w:qFormat/>
    <w:uiPriority w:val="0"/>
    <w:rPr>
      <w:rFonts w:eastAsia="宋体"/>
      <w:szCs w:val="24"/>
      <w:u w:val="single"/>
      <w:lang w:val="en-US" w:eastAsia="en-US" w:bidi="ar-SA"/>
    </w:rPr>
  </w:style>
  <w:style w:type="character" w:customStyle="1" w:styleId="85">
    <w:name w:val="批注文字 Char3"/>
    <w:qFormat/>
    <w:uiPriority w:val="99"/>
    <w:rPr>
      <w:rFonts w:eastAsia="宋体"/>
      <w:kern w:val="2"/>
      <w:sz w:val="21"/>
      <w:szCs w:val="24"/>
      <w:lang w:val="en-US" w:eastAsia="zh-CN" w:bidi="ar-SA"/>
    </w:rPr>
  </w:style>
  <w:style w:type="character" w:customStyle="1" w:styleId="86">
    <w:name w:val="批注框文本 字符"/>
    <w:link w:val="19"/>
    <w:qFormat/>
    <w:uiPriority w:val="0"/>
    <w:rPr>
      <w:kern w:val="2"/>
      <w:sz w:val="18"/>
      <w:szCs w:val="18"/>
    </w:rPr>
  </w:style>
  <w:style w:type="character" w:customStyle="1" w:styleId="87">
    <w:name w:val="标题 3 字符"/>
    <w:link w:val="5"/>
    <w:qFormat/>
    <w:uiPriority w:val="0"/>
    <w:rPr>
      <w:b/>
      <w:bCs/>
      <w:kern w:val="2"/>
      <w:sz w:val="32"/>
      <w:szCs w:val="32"/>
    </w:rPr>
  </w:style>
  <w:style w:type="character" w:customStyle="1" w:styleId="88">
    <w:name w:val="未处理的提及1"/>
    <w:unhideWhenUsed/>
    <w:qFormat/>
    <w:uiPriority w:val="99"/>
    <w:rPr>
      <w:color w:val="605E5C"/>
      <w:shd w:val="clear" w:color="auto" w:fill="E1DFDD"/>
    </w:rPr>
  </w:style>
  <w:style w:type="character" w:customStyle="1" w:styleId="89">
    <w:name w:val="active7"/>
    <w:basedOn w:val="33"/>
    <w:qFormat/>
    <w:uiPriority w:val="0"/>
    <w:rPr>
      <w:color w:val="FFFFFF"/>
      <w:shd w:val="clear" w:color="auto" w:fill="E02F23"/>
    </w:rPr>
  </w:style>
  <w:style w:type="character" w:customStyle="1" w:styleId="90">
    <w:name w:val="active1"/>
    <w:basedOn w:val="33"/>
    <w:qFormat/>
    <w:uiPriority w:val="0"/>
    <w:rPr>
      <w:color w:val="FFFFFF"/>
      <w:shd w:val="clear" w:color="auto" w:fill="E02F23"/>
    </w:rPr>
  </w:style>
  <w:style w:type="character" w:customStyle="1" w:styleId="91">
    <w:name w:val="active6"/>
    <w:basedOn w:val="33"/>
    <w:qFormat/>
    <w:uiPriority w:val="0"/>
    <w:rPr>
      <w:color w:val="FFFFFF"/>
      <w:shd w:val="clear" w:color="auto" w:fill="E02F23"/>
    </w:rPr>
  </w:style>
  <w:style w:type="character" w:customStyle="1" w:styleId="92">
    <w:name w:val="active"/>
    <w:basedOn w:val="33"/>
    <w:qFormat/>
    <w:uiPriority w:val="0"/>
    <w:rPr>
      <w:color w:val="FFFFFF"/>
      <w:shd w:val="clear" w:color="auto" w:fill="E02F2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95</Pages>
  <Words>5952</Words>
  <Characters>6515</Characters>
  <Lines>433</Lines>
  <Paragraphs>122</Paragraphs>
  <TotalTime>72</TotalTime>
  <ScaleCrop>false</ScaleCrop>
  <LinksUpToDate>false</LinksUpToDate>
  <CharactersWithSpaces>6922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2024-11-05T02:51:00Z</dcterms:created>
  <dc:creator>Lenovo E480</dc:creator>
  <cp:lastModifiedBy>WPS_1664260647</cp:lastModifiedBy>
  <cp:lastPrinted>2026-03-30T11:01:00Z</cp:lastPrinted>
  <dcterms:modified xsi:type="dcterms:W3CDTF">2026-04-13T07:26:21Z</dcterms:modified>
  <dc:title>重庆市公路工程施工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EDB6BCDF06D34B91830E6AAA95AC46C8_13</vt:lpwstr>
  </property>
  <property fmtid="{D5CDD505-2E9C-101B-9397-08002B2CF9AE}" pid="4" name="KSOTemplateDocerSaveRecord">
    <vt:lpwstr>eyJoZGlkIjoiNjg4MWM2YmFhNjI2ZjBiMzdmZDQ5YWQxZGNmMDQ4ZWEiLCJ1c2VySWQiOiIxNDIwMzQ5NDg4In0=</vt:lpwstr>
  </property>
</Properties>
</file>