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A32C83">
      <w:pPr>
        <w:spacing w:line="720" w:lineRule="exact"/>
        <w:jc w:val="right"/>
        <w:rPr>
          <w:rFonts w:hint="eastAsia" w:ascii="华文中宋" w:hAnsi="华文中宋" w:eastAsia="华文中宋" w:cs="华文中宋"/>
          <w:bCs/>
          <w:color w:val="auto"/>
          <w:sz w:val="44"/>
          <w:szCs w:val="44"/>
        </w:rPr>
      </w:pPr>
      <w:r>
        <w:rPr>
          <w:color w:val="auto"/>
        </w:rPr>
        <w:drawing>
          <wp:anchor distT="0" distB="0" distL="114300" distR="114300" simplePos="0" relativeHeight="251665408" behindDoc="0" locked="0" layoutInCell="1" allowOverlap="1">
            <wp:simplePos x="0" y="0"/>
            <wp:positionH relativeFrom="column">
              <wp:posOffset>4017010</wp:posOffset>
            </wp:positionH>
            <wp:positionV relativeFrom="paragraph">
              <wp:posOffset>-112395</wp:posOffset>
            </wp:positionV>
            <wp:extent cx="1761490" cy="459105"/>
            <wp:effectExtent l="0" t="0" r="10160" b="17145"/>
            <wp:wrapNone/>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a:stretch>
                      <a:fillRect/>
                    </a:stretch>
                  </pic:blipFill>
                  <pic:spPr>
                    <a:xfrm>
                      <a:off x="0" y="0"/>
                      <a:ext cx="1761490" cy="459105"/>
                    </a:xfrm>
                    <a:prstGeom prst="rect">
                      <a:avLst/>
                    </a:prstGeom>
                    <a:noFill/>
                    <a:ln>
                      <a:noFill/>
                    </a:ln>
                  </pic:spPr>
                </pic:pic>
              </a:graphicData>
            </a:graphic>
          </wp:anchor>
        </w:drawing>
      </w:r>
    </w:p>
    <w:p w14:paraId="5997E903">
      <w:pPr>
        <w:jc w:val="center"/>
        <w:rPr>
          <w:rFonts w:hint="eastAsia" w:ascii="华文中宋" w:hAnsi="华文中宋" w:eastAsia="华文中宋" w:cs="华文中宋"/>
          <w:bCs/>
          <w:color w:val="auto"/>
          <w:sz w:val="44"/>
          <w:szCs w:val="44"/>
        </w:rPr>
      </w:pPr>
      <w:r>
        <w:rPr>
          <w:rFonts w:hint="eastAsia" w:ascii="华文中宋" w:hAnsi="华文中宋" w:eastAsia="华文中宋" w:cs="华文中宋"/>
          <w:bCs/>
          <w:color w:val="auto"/>
          <w:sz w:val="44"/>
          <w:szCs w:val="44"/>
          <w:lang w:val="en-US" w:eastAsia="zh-CN"/>
        </w:rPr>
        <w:t>垫江三中C级房屋加固改造工程</w:t>
      </w:r>
    </w:p>
    <w:p w14:paraId="2B8DBEE8">
      <w:pPr>
        <w:jc w:val="center"/>
        <w:rPr>
          <w:rFonts w:hint="eastAsia" w:ascii="华文中宋" w:hAnsi="华文中宋" w:eastAsia="华文中宋"/>
          <w:b/>
          <w:color w:val="auto"/>
          <w:sz w:val="72"/>
          <w:szCs w:val="72"/>
          <w:lang w:eastAsia="zh-CN"/>
        </w:rPr>
      </w:pPr>
      <w:r>
        <w:rPr>
          <w:rFonts w:hint="eastAsia" w:ascii="华文中宋" w:hAnsi="华文中宋" w:eastAsia="华文中宋" w:cs="华文中宋"/>
          <w:bCs/>
          <w:color w:val="auto"/>
          <w:sz w:val="52"/>
          <w:szCs w:val="52"/>
          <w:lang w:val="en-US" w:eastAsia="zh-CN"/>
        </w:rPr>
        <w:t>方案设计文本</w:t>
      </w:r>
    </w:p>
    <w:p w14:paraId="0BE8FFDC">
      <w:pPr>
        <w:pStyle w:val="8"/>
        <w:rPr>
          <w:rFonts w:hint="eastAsia"/>
          <w:color w:val="auto"/>
        </w:rPr>
      </w:pPr>
    </w:p>
    <w:p w14:paraId="0DEE3B83">
      <w:pPr>
        <w:jc w:val="center"/>
        <w:rPr>
          <w:rFonts w:ascii="华文中宋" w:hAnsi="华文中宋" w:eastAsia="华文中宋" w:cs="华文中宋"/>
          <w:color w:val="auto"/>
          <w:sz w:val="32"/>
          <w:szCs w:val="40"/>
        </w:rPr>
      </w:pPr>
      <w:r>
        <w:rPr>
          <w:rFonts w:hint="eastAsia" w:ascii="华文中宋" w:hAnsi="华文中宋" w:eastAsia="华文中宋" w:cs="华文中宋"/>
          <w:color w:val="auto"/>
          <w:sz w:val="32"/>
          <w:szCs w:val="40"/>
        </w:rPr>
        <w:t xml:space="preserve">工 号: </w:t>
      </w:r>
      <w:r>
        <w:rPr>
          <w:rFonts w:hint="eastAsia" w:ascii="华文中宋" w:hAnsi="华文中宋" w:eastAsia="华文中宋" w:cs="华文中宋"/>
          <w:color w:val="auto"/>
          <w:sz w:val="32"/>
          <w:szCs w:val="40"/>
          <w:lang w:val="en-US" w:eastAsia="zh-CN"/>
        </w:rPr>
        <w:t>2026-LS-0003</w:t>
      </w:r>
    </w:p>
    <w:p w14:paraId="25B1E9E0">
      <w:pPr>
        <w:jc w:val="center"/>
        <w:rPr>
          <w:rFonts w:hint="eastAsia" w:ascii="华文中宋" w:hAnsi="华文中宋" w:eastAsia="华文中宋" w:cs="华文中宋"/>
          <w:color w:val="auto"/>
          <w:sz w:val="32"/>
          <w:szCs w:val="40"/>
        </w:rPr>
      </w:pPr>
      <w:r>
        <w:rPr>
          <w:rFonts w:hint="eastAsia" w:ascii="华文中宋" w:hAnsi="华文中宋" w:eastAsia="华文中宋" w:cs="华文中宋"/>
          <w:color w:val="auto"/>
          <w:sz w:val="32"/>
          <w:szCs w:val="40"/>
        </w:rPr>
        <w:t>建设规模:</w:t>
      </w:r>
      <w:r>
        <w:rPr>
          <w:rFonts w:hint="eastAsia" w:ascii="华文中宋" w:hAnsi="华文中宋" w:eastAsia="华文中宋" w:cs="华文中宋"/>
          <w:color w:val="auto"/>
          <w:sz w:val="32"/>
          <w:szCs w:val="40"/>
          <w:lang w:val="en-US" w:eastAsia="zh-CN"/>
        </w:rPr>
        <w:t>1322.23</w:t>
      </w:r>
      <w:r>
        <w:rPr>
          <w:rFonts w:hint="eastAsia" w:ascii="华文中宋" w:hAnsi="华文中宋" w:eastAsia="华文中宋" w:cs="华文中宋"/>
          <w:color w:val="auto"/>
          <w:sz w:val="32"/>
          <w:szCs w:val="40"/>
        </w:rPr>
        <w:t>平方米</w:t>
      </w:r>
    </w:p>
    <w:p w14:paraId="29767E71">
      <w:pPr>
        <w:spacing w:line="360" w:lineRule="auto"/>
        <w:ind w:firstLine="4200" w:firstLineChars="1500"/>
        <w:rPr>
          <w:rFonts w:hint="eastAsia" w:ascii="华文中宋" w:hAnsi="华文中宋" w:eastAsia="华文中宋"/>
          <w:bCs/>
          <w:color w:val="auto"/>
          <w:sz w:val="28"/>
          <w:szCs w:val="28"/>
        </w:rPr>
      </w:pPr>
    </w:p>
    <w:p w14:paraId="19732F4F">
      <w:pPr>
        <w:spacing w:line="360" w:lineRule="auto"/>
        <w:ind w:firstLine="4200" w:firstLineChars="1500"/>
        <w:rPr>
          <w:rFonts w:hint="eastAsia" w:ascii="华文中宋" w:hAnsi="华文中宋" w:eastAsia="华文中宋"/>
          <w:bCs/>
          <w:color w:val="auto"/>
          <w:sz w:val="28"/>
          <w:szCs w:val="28"/>
        </w:rPr>
      </w:pPr>
    </w:p>
    <w:p w14:paraId="67EC4D2D">
      <w:pPr>
        <w:spacing w:line="360" w:lineRule="auto"/>
        <w:ind w:left="1792" w:hanging="1792" w:hangingChars="640"/>
        <w:rPr>
          <w:rFonts w:hint="eastAsia" w:ascii="华文中宋" w:hAnsi="华文中宋" w:eastAsia="华文中宋"/>
          <w:bCs/>
          <w:color w:val="auto"/>
          <w:sz w:val="28"/>
          <w:szCs w:val="28"/>
        </w:rPr>
      </w:pPr>
      <w:r>
        <w:rPr>
          <w:rFonts w:ascii="华文中宋" w:hAnsi="华文中宋" w:eastAsia="华文中宋"/>
          <w:bCs/>
          <w:color w:val="auto"/>
          <w:sz w:val="28"/>
          <w:szCs w:val="28"/>
        </w:rPr>
        <w:t xml:space="preserve">       </w:t>
      </w:r>
    </w:p>
    <w:p w14:paraId="5C9D9837">
      <w:pPr>
        <w:spacing w:line="360" w:lineRule="auto"/>
        <w:ind w:left="1792" w:hanging="1792" w:hangingChars="640"/>
        <w:rPr>
          <w:rFonts w:hint="eastAsia" w:ascii="华文中宋" w:hAnsi="华文中宋" w:eastAsia="华文中宋"/>
          <w:bCs/>
          <w:color w:val="auto"/>
          <w:sz w:val="28"/>
          <w:szCs w:val="28"/>
        </w:rPr>
      </w:pPr>
    </w:p>
    <w:p w14:paraId="45B41C85">
      <w:pPr>
        <w:spacing w:line="360" w:lineRule="auto"/>
        <w:rPr>
          <w:rFonts w:hint="eastAsia" w:ascii="华文中宋" w:hAnsi="华文中宋" w:eastAsia="华文中宋"/>
          <w:bCs/>
          <w:color w:val="auto"/>
          <w:sz w:val="28"/>
          <w:szCs w:val="28"/>
        </w:rPr>
      </w:pPr>
    </w:p>
    <w:p w14:paraId="729269E6">
      <w:pPr>
        <w:spacing w:line="360" w:lineRule="auto"/>
        <w:ind w:left="1792" w:hanging="1792" w:hangingChars="640"/>
        <w:rPr>
          <w:rFonts w:hint="eastAsia" w:ascii="华文中宋" w:hAnsi="华文中宋" w:eastAsia="华文中宋"/>
          <w:bCs/>
          <w:color w:val="auto"/>
          <w:sz w:val="28"/>
          <w:szCs w:val="28"/>
        </w:rPr>
      </w:pPr>
    </w:p>
    <w:p w14:paraId="2A69FB00">
      <w:pPr>
        <w:spacing w:line="360" w:lineRule="auto"/>
        <w:rPr>
          <w:rFonts w:hint="eastAsia" w:ascii="华文中宋" w:hAnsi="华文中宋" w:eastAsia="华文中宋"/>
          <w:bCs/>
          <w:color w:val="auto"/>
          <w:sz w:val="28"/>
          <w:szCs w:val="28"/>
        </w:rPr>
      </w:pPr>
    </w:p>
    <w:p w14:paraId="2DD349A0">
      <w:pPr>
        <w:spacing w:line="360" w:lineRule="auto"/>
        <w:rPr>
          <w:rFonts w:hint="eastAsia" w:ascii="华文中宋" w:hAnsi="华文中宋" w:eastAsia="华文中宋"/>
          <w:bCs/>
          <w:color w:val="auto"/>
          <w:sz w:val="28"/>
          <w:szCs w:val="28"/>
        </w:rPr>
      </w:pPr>
    </w:p>
    <w:p w14:paraId="4731DFFA">
      <w:pPr>
        <w:pStyle w:val="8"/>
        <w:rPr>
          <w:rFonts w:hint="eastAsia" w:ascii="华文中宋" w:hAnsi="华文中宋" w:eastAsia="华文中宋"/>
          <w:bCs/>
          <w:color w:val="auto"/>
          <w:sz w:val="28"/>
          <w:szCs w:val="28"/>
        </w:rPr>
      </w:pPr>
    </w:p>
    <w:p w14:paraId="1686E4CD">
      <w:pPr>
        <w:rPr>
          <w:rFonts w:hint="eastAsia"/>
          <w:color w:val="auto"/>
        </w:rPr>
      </w:pPr>
    </w:p>
    <w:p w14:paraId="62D31600">
      <w:pPr>
        <w:spacing w:line="360" w:lineRule="auto"/>
        <w:rPr>
          <w:rFonts w:hint="eastAsia" w:ascii="华文中宋" w:hAnsi="华文中宋" w:eastAsia="华文中宋"/>
          <w:bCs/>
          <w:color w:val="auto"/>
          <w:sz w:val="28"/>
          <w:szCs w:val="28"/>
        </w:rPr>
      </w:pPr>
    </w:p>
    <w:p w14:paraId="5A8CF9B7">
      <w:pPr>
        <w:snapToGrid w:val="0"/>
        <w:spacing w:line="500" w:lineRule="exact"/>
        <w:jc w:val="center"/>
        <w:rPr>
          <w:rFonts w:hint="eastAsia" w:ascii="华文中宋" w:hAnsi="华文中宋" w:eastAsia="华文中宋"/>
          <w:color w:val="auto"/>
          <w:sz w:val="36"/>
          <w:szCs w:val="36"/>
        </w:rPr>
      </w:pPr>
      <w:r>
        <w:rPr>
          <w:rFonts w:hint="eastAsia" w:ascii="华文中宋" w:hAnsi="华文中宋" w:eastAsia="华文中宋"/>
          <w:color w:val="auto"/>
          <w:sz w:val="32"/>
          <w:szCs w:val="32"/>
        </w:rPr>
        <w:t>资质证书编号：</w:t>
      </w:r>
      <w:r>
        <w:rPr>
          <w:rFonts w:ascii="华文中宋" w:hAnsi="华文中宋" w:eastAsia="华文中宋"/>
          <w:color w:val="auto"/>
          <w:sz w:val="32"/>
          <w:szCs w:val="32"/>
        </w:rPr>
        <w:t>A250012599</w:t>
      </w:r>
    </w:p>
    <w:p w14:paraId="421CD671">
      <w:pPr>
        <w:snapToGrid w:val="0"/>
        <w:spacing w:line="600" w:lineRule="exact"/>
        <w:jc w:val="center"/>
        <w:rPr>
          <w:rFonts w:ascii="思源黑体 CN Bold" w:hAnsi="思源黑体 CN Bold" w:eastAsia="思源黑体 CN Bold"/>
          <w:color w:val="auto"/>
          <w:sz w:val="44"/>
          <w:szCs w:val="44"/>
        </w:rPr>
      </w:pPr>
      <w:r>
        <w:rPr>
          <w:rFonts w:hint="eastAsia" w:ascii="思源黑体 CN Bold" w:hAnsi="思源黑体 CN Bold" w:eastAsia="思源黑体 CN Bold"/>
          <w:color w:val="auto"/>
          <w:sz w:val="44"/>
          <w:szCs w:val="44"/>
        </w:rPr>
        <w:t>重庆设计集团有限公司</w:t>
      </w:r>
    </w:p>
    <w:p w14:paraId="3848BF51">
      <w:pPr>
        <w:snapToGrid w:val="0"/>
        <w:spacing w:line="300" w:lineRule="exact"/>
        <w:jc w:val="center"/>
        <w:rPr>
          <w:rFonts w:hint="eastAsia" w:ascii="思源黑体 CN Bold" w:hAnsi="思源黑体 CN Bold" w:eastAsia="思源黑体 CN Bold"/>
          <w:color w:val="auto"/>
          <w:sz w:val="24"/>
        </w:rPr>
      </w:pPr>
      <w:r>
        <w:rPr>
          <w:rFonts w:ascii="思源黑体 CN Bold" w:hAnsi="思源黑体 CN Bold" w:eastAsia="思源黑体 CN Bold"/>
          <w:color w:val="auto"/>
          <w:sz w:val="24"/>
        </w:rPr>
        <w:t>CHONGQING DESIGN GROUP CO.,LTD.</w:t>
      </w:r>
    </w:p>
    <w:p w14:paraId="640AA917">
      <w:pPr>
        <w:snapToGrid w:val="0"/>
        <w:spacing w:line="500" w:lineRule="exact"/>
        <w:jc w:val="center"/>
        <w:rPr>
          <w:rFonts w:hint="eastAsia" w:ascii="华文中宋" w:hAnsi="华文中宋" w:eastAsia="华文中宋"/>
          <w:color w:val="auto"/>
          <w:sz w:val="36"/>
          <w:szCs w:val="36"/>
        </w:rPr>
      </w:pPr>
      <w:r>
        <w:rPr>
          <w:rFonts w:hint="eastAsia" w:ascii="华文中宋" w:hAnsi="华文中宋" w:eastAsia="华文中宋"/>
          <w:color w:val="auto"/>
          <w:sz w:val="32"/>
          <w:szCs w:val="32"/>
        </w:rPr>
        <w:t>二O二</w:t>
      </w:r>
      <w:r>
        <w:rPr>
          <w:rFonts w:hint="eastAsia" w:ascii="华文中宋" w:hAnsi="华文中宋" w:eastAsia="华文中宋"/>
          <w:color w:val="auto"/>
          <w:sz w:val="32"/>
          <w:szCs w:val="32"/>
          <w:lang w:eastAsia="zh-CN"/>
        </w:rPr>
        <w:t>六</w:t>
      </w:r>
      <w:r>
        <w:rPr>
          <w:rFonts w:hint="eastAsia" w:ascii="华文中宋" w:hAnsi="华文中宋" w:eastAsia="华文中宋"/>
          <w:color w:val="auto"/>
          <w:sz w:val="32"/>
          <w:szCs w:val="32"/>
        </w:rPr>
        <w:t>年</w:t>
      </w:r>
      <w:r>
        <w:rPr>
          <w:rFonts w:hint="eastAsia" w:ascii="华文中宋" w:hAnsi="华文中宋" w:eastAsia="华文中宋"/>
          <w:color w:val="auto"/>
          <w:sz w:val="32"/>
          <w:szCs w:val="32"/>
          <w:lang w:eastAsia="zh-CN"/>
        </w:rPr>
        <w:t>二</w:t>
      </w:r>
      <w:r>
        <w:rPr>
          <w:rFonts w:hint="eastAsia" w:ascii="华文中宋" w:hAnsi="华文中宋" w:eastAsia="华文中宋"/>
          <w:color w:val="auto"/>
          <w:sz w:val="32"/>
          <w:szCs w:val="32"/>
        </w:rPr>
        <w:t>月</w:t>
      </w:r>
    </w:p>
    <w:p w14:paraId="77677D5C">
      <w:pPr>
        <w:spacing w:line="720" w:lineRule="exact"/>
        <w:jc w:val="right"/>
        <w:outlineLvl w:val="1"/>
        <w:rPr>
          <w:rFonts w:hint="eastAsia" w:ascii="华文中宋" w:hAnsi="华文中宋" w:eastAsia="华文中宋" w:cs="华文中宋"/>
          <w:bCs/>
          <w:color w:val="auto"/>
          <w:sz w:val="44"/>
          <w:szCs w:val="44"/>
        </w:rPr>
        <w:sectPr>
          <w:headerReference r:id="rId3" w:type="default"/>
          <w:footerReference r:id="rId4" w:type="default"/>
          <w:pgSz w:w="11907" w:h="16840"/>
          <w:pgMar w:top="1418" w:right="1134" w:bottom="1701" w:left="1701" w:header="851" w:footer="992" w:gutter="0"/>
          <w:pgNumType w:start="1"/>
          <w:cols w:space="720" w:num="1"/>
          <w:docGrid w:type="linesAndChars" w:linePitch="312" w:charSpace="0"/>
        </w:sectPr>
      </w:pPr>
    </w:p>
    <w:p w14:paraId="261065DC">
      <w:pPr>
        <w:numPr>
          <w:ilvl w:val="0"/>
          <w:numId w:val="0"/>
        </w:numPr>
        <w:rPr>
          <w:rFonts w:hint="eastAsia"/>
          <w:b/>
          <w:bCs/>
          <w:sz w:val="28"/>
          <w:szCs w:val="36"/>
          <w:lang w:val="en-US" w:eastAsia="zh-CN"/>
        </w:rPr>
      </w:pPr>
      <w:bookmarkStart w:id="0" w:name="_GoBack"/>
      <w:r>
        <w:drawing>
          <wp:inline distT="0" distB="0" distL="114300" distR="114300">
            <wp:extent cx="5871845" cy="8468995"/>
            <wp:effectExtent l="0" t="0" r="14605" b="825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8"/>
                    <a:stretch>
                      <a:fillRect/>
                    </a:stretch>
                  </pic:blipFill>
                  <pic:spPr>
                    <a:xfrm>
                      <a:off x="0" y="0"/>
                      <a:ext cx="5871845" cy="8468995"/>
                    </a:xfrm>
                    <a:prstGeom prst="rect">
                      <a:avLst/>
                    </a:prstGeom>
                    <a:noFill/>
                    <a:ln>
                      <a:noFill/>
                    </a:ln>
                  </pic:spPr>
                </pic:pic>
              </a:graphicData>
            </a:graphic>
          </wp:inline>
        </w:drawing>
      </w:r>
      <w:bookmarkEnd w:id="0"/>
      <w:r>
        <w:rPr>
          <w:rFonts w:hint="eastAsia"/>
          <w:b/>
          <w:bCs/>
          <w:sz w:val="28"/>
          <w:szCs w:val="36"/>
          <w:lang w:val="en-US" w:eastAsia="zh-CN"/>
        </w:rPr>
        <w:t>一、工程概况</w:t>
      </w:r>
    </w:p>
    <w:p w14:paraId="584B9097">
      <w:pPr>
        <w:numPr>
          <w:ilvl w:val="0"/>
          <w:numId w:val="0"/>
        </w:numPr>
        <w:ind w:firstLine="600" w:firstLineChars="200"/>
        <w:rPr>
          <w:rFonts w:hint="default" w:asciiTheme="minorEastAsia" w:hAnsiTheme="minorEastAsia" w:eastAsiaTheme="minorEastAsia" w:cstheme="minorEastAsia"/>
          <w:kern w:val="0"/>
          <w:sz w:val="30"/>
          <w:szCs w:val="30"/>
          <w:highlight w:val="none"/>
          <w:lang w:val="en-US" w:eastAsia="zh-CN" w:bidi="ar"/>
        </w:rPr>
      </w:pPr>
      <w:r>
        <w:rPr>
          <w:rFonts w:hint="eastAsia" w:asciiTheme="minorEastAsia" w:hAnsiTheme="minorEastAsia" w:eastAsiaTheme="minorEastAsia" w:cstheme="minorEastAsia"/>
          <w:sz w:val="30"/>
          <w:szCs w:val="30"/>
          <w:highlight w:val="none"/>
          <w:lang w:val="en-US" w:eastAsia="zh-CN"/>
        </w:rPr>
        <w:t>本次设计内容包括垫江县第三中学</w:t>
      </w:r>
      <w:r>
        <w:rPr>
          <w:rFonts w:hint="eastAsia" w:asciiTheme="minorEastAsia" w:hAnsiTheme="minorEastAsia" w:eastAsiaTheme="minorEastAsia" w:cstheme="minorEastAsia"/>
          <w:kern w:val="0"/>
          <w:sz w:val="30"/>
          <w:szCs w:val="30"/>
          <w:highlight w:val="none"/>
          <w:lang w:val="en-US" w:eastAsia="zh-CN" w:bidi="ar"/>
        </w:rPr>
        <w:t>宿舍楼(行政办公楼)、艺馨园办公楼、“华尔街”宿舍楼与“摩天轮”宿舍楼的拆除设计与水电改造。</w:t>
      </w:r>
      <w:r>
        <w:rPr>
          <w:rFonts w:hint="eastAsia" w:asciiTheme="minorEastAsia" w:hAnsiTheme="minorEastAsia" w:cstheme="minorEastAsia"/>
          <w:kern w:val="0"/>
          <w:sz w:val="30"/>
          <w:szCs w:val="30"/>
          <w:highlight w:val="none"/>
          <w:lang w:val="en-US" w:eastAsia="zh-CN" w:bidi="ar"/>
        </w:rPr>
        <w:t>其中</w:t>
      </w:r>
      <w:r>
        <w:rPr>
          <w:rFonts w:hint="eastAsia" w:asciiTheme="minorEastAsia" w:hAnsiTheme="minorEastAsia" w:eastAsiaTheme="minorEastAsia" w:cstheme="minorEastAsia"/>
          <w:kern w:val="0"/>
          <w:sz w:val="30"/>
          <w:szCs w:val="30"/>
          <w:highlight w:val="none"/>
          <w:lang w:val="en-US" w:eastAsia="zh-CN" w:bidi="ar"/>
        </w:rPr>
        <w:t>宿舍楼(行政办公楼)</w:t>
      </w:r>
      <w:r>
        <w:rPr>
          <w:rFonts w:hint="eastAsia" w:asciiTheme="minorEastAsia" w:hAnsiTheme="minorEastAsia" w:cstheme="minorEastAsia"/>
          <w:kern w:val="0"/>
          <w:sz w:val="30"/>
          <w:szCs w:val="30"/>
          <w:highlight w:val="none"/>
          <w:lang w:val="en-US" w:eastAsia="zh-CN" w:bidi="ar"/>
        </w:rPr>
        <w:t>拆除第五层，拆除面积约为：139.54平方米；</w:t>
      </w:r>
      <w:r>
        <w:rPr>
          <w:rFonts w:hint="eastAsia" w:asciiTheme="minorEastAsia" w:hAnsiTheme="minorEastAsia" w:eastAsiaTheme="minorEastAsia" w:cstheme="minorEastAsia"/>
          <w:kern w:val="0"/>
          <w:sz w:val="30"/>
          <w:szCs w:val="30"/>
          <w:highlight w:val="none"/>
          <w:lang w:val="en-US" w:eastAsia="zh-CN" w:bidi="ar"/>
        </w:rPr>
        <w:t>艺馨园办公楼</w:t>
      </w:r>
      <w:r>
        <w:rPr>
          <w:rFonts w:hint="eastAsia" w:asciiTheme="minorEastAsia" w:hAnsiTheme="minorEastAsia" w:cstheme="minorEastAsia"/>
          <w:kern w:val="0"/>
          <w:sz w:val="30"/>
          <w:szCs w:val="30"/>
          <w:highlight w:val="none"/>
          <w:lang w:val="en-US" w:eastAsia="zh-CN" w:bidi="ar"/>
        </w:rPr>
        <w:t>拆除第五层，拆除面积约为：263.95平方米；</w:t>
      </w:r>
      <w:r>
        <w:rPr>
          <w:rFonts w:hint="eastAsia" w:asciiTheme="minorEastAsia" w:hAnsiTheme="minorEastAsia" w:eastAsiaTheme="minorEastAsia" w:cstheme="minorEastAsia"/>
          <w:kern w:val="0"/>
          <w:sz w:val="30"/>
          <w:szCs w:val="30"/>
          <w:highlight w:val="none"/>
          <w:lang w:val="en-US" w:eastAsia="zh-CN" w:bidi="ar"/>
        </w:rPr>
        <w:t>“华尔街”宿舍楼</w:t>
      </w:r>
      <w:r>
        <w:rPr>
          <w:rFonts w:hint="eastAsia" w:asciiTheme="minorEastAsia" w:hAnsiTheme="minorEastAsia" w:cstheme="minorEastAsia"/>
          <w:kern w:val="0"/>
          <w:sz w:val="30"/>
          <w:szCs w:val="30"/>
          <w:highlight w:val="none"/>
          <w:lang w:val="en-US" w:eastAsia="zh-CN" w:bidi="ar"/>
        </w:rPr>
        <w:t>拆除第五层，拆除面积约为：169.86平方米；</w:t>
      </w:r>
      <w:r>
        <w:rPr>
          <w:rFonts w:hint="eastAsia" w:asciiTheme="minorEastAsia" w:hAnsiTheme="minorEastAsia" w:eastAsiaTheme="minorEastAsia" w:cstheme="minorEastAsia"/>
          <w:kern w:val="0"/>
          <w:sz w:val="30"/>
          <w:szCs w:val="30"/>
          <w:highlight w:val="none"/>
          <w:lang w:val="en-US" w:eastAsia="zh-CN" w:bidi="ar"/>
        </w:rPr>
        <w:t>“摩天轮”宿舍楼</w:t>
      </w:r>
      <w:r>
        <w:rPr>
          <w:rFonts w:hint="eastAsia" w:asciiTheme="minorEastAsia" w:hAnsiTheme="minorEastAsia" w:cstheme="minorEastAsia"/>
          <w:kern w:val="0"/>
          <w:sz w:val="30"/>
          <w:szCs w:val="30"/>
          <w:highlight w:val="none"/>
          <w:lang w:val="en-US" w:eastAsia="zh-CN" w:bidi="ar"/>
        </w:rPr>
        <w:t>拆除第五层和第六层，拆除面积约为：748.88平方米。共计拆除面积约为1322.23平方米。</w:t>
      </w:r>
    </w:p>
    <w:p w14:paraId="067403A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kern w:val="0"/>
          <w:sz w:val="30"/>
          <w:szCs w:val="30"/>
          <w:highlight w:val="none"/>
          <w:lang w:val="en-US" w:eastAsia="zh-CN" w:bidi="ar"/>
        </w:rPr>
        <w:t>根据重庆市建设工程质量检验测试中心有限公司出具的各楼栋鉴定结论，拆除各楼栋顶部相应层数后，可以满足正常安全使用要求。</w:t>
      </w:r>
    </w:p>
    <w:p w14:paraId="1F338445">
      <w:pPr>
        <w:numPr>
          <w:ilvl w:val="0"/>
          <w:numId w:val="0"/>
        </w:numPr>
        <w:rPr>
          <w:rFonts w:hint="default"/>
          <w:b/>
          <w:bCs/>
          <w:sz w:val="28"/>
          <w:szCs w:val="36"/>
          <w:lang w:val="en-US" w:eastAsia="zh-CN"/>
        </w:rPr>
      </w:pPr>
      <w:r>
        <w:rPr>
          <w:rFonts w:hint="eastAsia"/>
          <w:b/>
          <w:bCs/>
          <w:sz w:val="28"/>
          <w:szCs w:val="36"/>
          <w:lang w:val="en-US" w:eastAsia="zh-CN"/>
        </w:rPr>
        <w:t>二、设计依据与原则</w:t>
      </w:r>
    </w:p>
    <w:p w14:paraId="391D01A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1.设计依据</w:t>
      </w:r>
    </w:p>
    <w:p w14:paraId="5FF0A3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《建筑拆除工程安全技术规范》 JGJ147-2016</w:t>
      </w:r>
    </w:p>
    <w:p w14:paraId="21311EC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建筑结构现场测绘图纸及数据</w:t>
      </w:r>
    </w:p>
    <w:p w14:paraId="754EE4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垫江县第三中学宿舍楼(行政办公楼)加固改造可行鉴定报告（KXC-KXX-2025-028）</w:t>
      </w:r>
    </w:p>
    <w:p w14:paraId="56DD9D9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垫江县第三中学艺馨园办公楼加固改造可行鉴定报告（KXC-KXX-2025-029）</w:t>
      </w:r>
    </w:p>
    <w:p w14:paraId="5BEBFBE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垫江县第三中学“华尔街”宿舍楼加固改造可行鉴定报告（KXC-KXX-2025-030）</w:t>
      </w:r>
    </w:p>
    <w:p w14:paraId="274A8F0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垫江县第三中学“摩天轮”宿舍楼加固改造可行鉴定报告（KXC-KXX-2025-031）</w:t>
      </w:r>
    </w:p>
    <w:p w14:paraId="4F54797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垫江县第三中学校方提供的相关要求</w:t>
      </w:r>
    </w:p>
    <w:p w14:paraId="73C96DD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2.设计原则</w:t>
      </w:r>
    </w:p>
    <w:p w14:paraId="5DCC12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·安全第一原则：确保拆除过程中保留结构、施工人员及周边环境的安全。</w:t>
      </w:r>
    </w:p>
    <w:p w14:paraId="1F154BA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施工可行原则：施工方案需考虑现场条件，具可操作性。</w:t>
      </w:r>
    </w:p>
    <w:p w14:paraId="1609A52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对保留结构影响最小化原则：采取合理顺序和工艺，避免对保留部分造成损伤。</w:t>
      </w:r>
    </w:p>
    <w:p w14:paraId="7075FF2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经济环保原则：合理处理建筑垃圾，控制成本。</w:t>
      </w:r>
    </w:p>
    <w:p w14:paraId="60427E5E">
      <w:pPr>
        <w:numPr>
          <w:ilvl w:val="0"/>
          <w:numId w:val="0"/>
        </w:numPr>
        <w:rPr>
          <w:rFonts w:hint="default"/>
          <w:b/>
          <w:bCs/>
          <w:sz w:val="28"/>
          <w:szCs w:val="36"/>
          <w:lang w:val="en-US" w:eastAsia="zh-CN"/>
        </w:rPr>
      </w:pPr>
      <w:r>
        <w:rPr>
          <w:rFonts w:hint="eastAsia"/>
          <w:b/>
          <w:bCs/>
          <w:sz w:val="28"/>
          <w:szCs w:val="36"/>
          <w:lang w:val="en-US" w:eastAsia="zh-CN"/>
        </w:rPr>
        <w:t>三、拆除方案设计</w:t>
      </w:r>
    </w:p>
    <w:p w14:paraId="55CF0A6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1.拆除内容</w:t>
      </w:r>
    </w:p>
    <w:p w14:paraId="1B0BEE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宿舍楼(行政办公楼)、艺馨园办公楼与“华尔街”宿舍楼拆除顶部一层及原四层悬挑梁板；“摩天轮”宿舍楼拆除顶部两层及原四层悬挑梁板。</w:t>
      </w:r>
    </w:p>
    <w:p w14:paraId="79F9117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2.总体拆除顺序</w:t>
      </w:r>
    </w:p>
    <w:p w14:paraId="3B1E90A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原则：逆着建造顺序，“先次后主、先上后下、先非承重后承重”。</w:t>
      </w:r>
    </w:p>
    <w:p w14:paraId="5A7EF8E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具体流程</w:t>
      </w:r>
      <w:r>
        <w:rPr>
          <w:rFonts w:hint="eastAsia" w:asciiTheme="minorEastAsia" w:hAnsiTheme="minorEastAsia" w:eastAsiaTheme="minorEastAsia" w:cstheme="minorEastAsia"/>
          <w:sz w:val="30"/>
          <w:szCs w:val="30"/>
          <w:highlight w:val="none"/>
          <w:lang w:val="en-US" w:eastAsia="zh-CN"/>
        </w:rPr>
        <w:t>如下</w:t>
      </w:r>
      <w:r>
        <w:rPr>
          <w:rFonts w:hint="default" w:asciiTheme="minorEastAsia" w:hAnsiTheme="minorEastAsia" w:eastAsiaTheme="minorEastAsia" w:cstheme="minorEastAsia"/>
          <w:sz w:val="30"/>
          <w:szCs w:val="30"/>
          <w:highlight w:val="none"/>
          <w:lang w:val="en-US" w:eastAsia="zh-CN"/>
        </w:rPr>
        <w:t>：</w:t>
      </w:r>
    </w:p>
    <w:p w14:paraId="78101FA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拆除树脂瓦屋面板材→拆除树脂瓦屋面檩条及桁架→拆除树脂瓦屋面立柱→拆除门窗及附属设施→切割拆除屋面层混凝土悬挑梁及挑板→拆除砖砌女儿墙→</w:t>
      </w:r>
      <w:r>
        <w:rPr>
          <w:rFonts w:hint="default" w:asciiTheme="minorEastAsia" w:hAnsiTheme="minorEastAsia" w:eastAsiaTheme="minorEastAsia" w:cstheme="minorEastAsia"/>
          <w:sz w:val="30"/>
          <w:szCs w:val="30"/>
          <w:highlight w:val="none"/>
          <w:lang w:val="en-US" w:eastAsia="zh-CN"/>
        </w:rPr>
        <w:t>拆除屋面防水、保温层</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拆除屋面</w:t>
      </w:r>
      <w:r>
        <w:rPr>
          <w:rFonts w:hint="eastAsia" w:asciiTheme="minorEastAsia" w:hAnsiTheme="minorEastAsia" w:eastAsiaTheme="minorEastAsia" w:cstheme="minorEastAsia"/>
          <w:sz w:val="30"/>
          <w:szCs w:val="30"/>
          <w:highlight w:val="none"/>
          <w:lang w:val="en-US" w:eastAsia="zh-CN"/>
        </w:rPr>
        <w:t>层预制板</w:t>
      </w:r>
      <w:r>
        <w:rPr>
          <w:rFonts w:hint="default" w:asciiTheme="minorEastAsia" w:hAnsiTheme="minorEastAsia" w:eastAsiaTheme="minorEastAsia" w:cstheme="minorEastAsia"/>
          <w:sz w:val="30"/>
          <w:szCs w:val="30"/>
          <w:highlight w:val="none"/>
          <w:lang w:val="en-US" w:eastAsia="zh-CN"/>
        </w:rPr>
        <w:t>楼板</w:t>
      </w:r>
      <w:r>
        <w:rPr>
          <w:rFonts w:hint="eastAsia" w:asciiTheme="minorEastAsia" w:hAnsiTheme="minorEastAsia" w:eastAsiaTheme="minorEastAsia" w:cstheme="minorEastAsia"/>
          <w:sz w:val="30"/>
          <w:szCs w:val="30"/>
          <w:highlight w:val="none"/>
          <w:lang w:val="en-US" w:eastAsia="zh-CN"/>
        </w:rPr>
        <w:t>→切割拆除下层混凝土悬挑梁及挑板→</w:t>
      </w:r>
      <w:r>
        <w:rPr>
          <w:rFonts w:hint="default" w:asciiTheme="minorEastAsia" w:hAnsiTheme="minorEastAsia" w:eastAsiaTheme="minorEastAsia" w:cstheme="minorEastAsia"/>
          <w:sz w:val="30"/>
          <w:szCs w:val="30"/>
          <w:highlight w:val="none"/>
          <w:lang w:val="en-US" w:eastAsia="zh-CN"/>
        </w:rPr>
        <w:t>分段、间隔拆除顶层承重墙→</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 xml:space="preserve"> 拆除</w:t>
      </w:r>
      <w:r>
        <w:rPr>
          <w:rFonts w:hint="eastAsia" w:asciiTheme="minorEastAsia" w:hAnsiTheme="minorEastAsia" w:eastAsiaTheme="minorEastAsia" w:cstheme="minorEastAsia"/>
          <w:sz w:val="30"/>
          <w:szCs w:val="30"/>
          <w:highlight w:val="none"/>
          <w:lang w:val="en-US" w:eastAsia="zh-CN"/>
        </w:rPr>
        <w:t>下一</w:t>
      </w:r>
      <w:r>
        <w:rPr>
          <w:rFonts w:hint="default" w:asciiTheme="minorEastAsia" w:hAnsiTheme="minorEastAsia" w:eastAsiaTheme="minorEastAsia" w:cstheme="minorEastAsia"/>
          <w:sz w:val="30"/>
          <w:szCs w:val="30"/>
          <w:highlight w:val="none"/>
          <w:lang w:val="en-US" w:eastAsia="zh-CN"/>
        </w:rPr>
        <w:t>层</w:t>
      </w:r>
      <w:r>
        <w:rPr>
          <w:rFonts w:hint="eastAsia" w:asciiTheme="minorEastAsia" w:hAnsiTheme="minorEastAsia" w:eastAsiaTheme="minorEastAsia" w:cstheme="minorEastAsia"/>
          <w:sz w:val="30"/>
          <w:szCs w:val="30"/>
          <w:highlight w:val="none"/>
          <w:lang w:val="en-US" w:eastAsia="zh-CN"/>
        </w:rPr>
        <w:t>预制</w:t>
      </w:r>
      <w:r>
        <w:rPr>
          <w:rFonts w:hint="default" w:asciiTheme="minorEastAsia" w:hAnsiTheme="minorEastAsia" w:eastAsiaTheme="minorEastAsia" w:cstheme="minorEastAsia"/>
          <w:sz w:val="30"/>
          <w:szCs w:val="30"/>
          <w:highlight w:val="none"/>
          <w:lang w:val="en-US" w:eastAsia="zh-CN"/>
        </w:rPr>
        <w:t>楼板 → 按同样顺序拆除下一层</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→处理拆除断面</w:t>
      </w:r>
      <w:r>
        <w:rPr>
          <w:rFonts w:hint="eastAsia" w:asciiTheme="minorEastAsia" w:hAnsiTheme="minorEastAsia" w:eastAsiaTheme="minorEastAsia" w:cstheme="minorEastAsia"/>
          <w:sz w:val="30"/>
          <w:szCs w:val="30"/>
          <w:highlight w:val="none"/>
          <w:lang w:val="en-US" w:eastAsia="zh-CN"/>
        </w:rPr>
        <w:t>(保留周边砖墙做女儿墙使用)</w:t>
      </w:r>
      <w:r>
        <w:rPr>
          <w:rFonts w:hint="default"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t>新增树脂瓦屋面</w:t>
      </w:r>
      <w:r>
        <w:rPr>
          <w:rFonts w:hint="default" w:asciiTheme="minorEastAsia" w:hAnsiTheme="minorEastAsia" w:eastAsiaTheme="minorEastAsia" w:cstheme="minorEastAsia"/>
          <w:sz w:val="30"/>
          <w:szCs w:val="30"/>
          <w:highlight w:val="none"/>
          <w:lang w:val="en-US" w:eastAsia="zh-CN"/>
        </w:rPr>
        <w:t>。</w:t>
      </w:r>
    </w:p>
    <w:p w14:paraId="443F524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注：括号内拆除范围适用于“摩天轮”宿舍楼顶部拆除两层时。</w:t>
      </w:r>
    </w:p>
    <w:p w14:paraId="1728738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3.关键工艺与技术措施</w:t>
      </w:r>
    </w:p>
    <w:p w14:paraId="1534F42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人工为主，机械为辅</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砌体结构拆除必须采用人工和小型机具（如电锤、液压钳），严禁使用大锤猛砸或大型机械（如挖掘机）直接破坏性拆除，防止剧烈震动。</w:t>
      </w:r>
      <w:r>
        <w:rPr>
          <w:rFonts w:hint="eastAsia" w:asciiTheme="minorEastAsia" w:hAnsiTheme="minorEastAsia" w:eastAsiaTheme="minorEastAsia" w:cstheme="minorEastAsia"/>
          <w:sz w:val="30"/>
          <w:szCs w:val="30"/>
          <w:highlight w:val="none"/>
          <w:lang w:val="en-US" w:eastAsia="zh-CN"/>
        </w:rPr>
        <w:t>钢筋混凝土悬挑梁及挑板应采用混凝土切割机逐步拆除。垃圾及时清运，不得集中堆放在楼板上。</w:t>
      </w:r>
    </w:p>
    <w:p w14:paraId="0817B27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分段卸载，对称拆除</w:t>
      </w:r>
      <w:r>
        <w:rPr>
          <w:rFonts w:hint="eastAsia" w:asciiTheme="minorEastAsia" w:hAnsiTheme="minorEastAsia" w:eastAsiaTheme="minorEastAsia" w:cstheme="minorEastAsia"/>
          <w:sz w:val="30"/>
          <w:szCs w:val="30"/>
          <w:highlight w:val="none"/>
          <w:lang w:val="en-US" w:eastAsia="zh-CN"/>
        </w:rPr>
        <w:t>：砖砌</w:t>
      </w:r>
      <w:r>
        <w:rPr>
          <w:rFonts w:hint="default" w:asciiTheme="minorEastAsia" w:hAnsiTheme="minorEastAsia" w:eastAsiaTheme="minorEastAsia" w:cstheme="minorEastAsia"/>
          <w:sz w:val="30"/>
          <w:szCs w:val="30"/>
          <w:highlight w:val="none"/>
          <w:lang w:val="en-US" w:eastAsia="zh-CN"/>
        </w:rPr>
        <w:t>墙体拆除必须</w:t>
      </w:r>
      <w:r>
        <w:rPr>
          <w:rFonts w:hint="eastAsia" w:asciiTheme="minorEastAsia" w:hAnsiTheme="minorEastAsia" w:eastAsiaTheme="minorEastAsia" w:cstheme="minorEastAsia"/>
          <w:sz w:val="30"/>
          <w:szCs w:val="30"/>
          <w:highlight w:val="none"/>
          <w:lang w:val="en-US" w:eastAsia="zh-CN"/>
        </w:rPr>
        <w:t>沿高度由上至下</w:t>
      </w:r>
      <w:r>
        <w:rPr>
          <w:rFonts w:hint="default" w:asciiTheme="minorEastAsia" w:hAnsiTheme="minorEastAsia" w:eastAsiaTheme="minorEastAsia" w:cstheme="minorEastAsia"/>
          <w:sz w:val="30"/>
          <w:szCs w:val="30"/>
          <w:highlight w:val="none"/>
          <w:lang w:val="en-US" w:eastAsia="zh-CN"/>
        </w:rPr>
        <w:t>分段进行，每段</w:t>
      </w:r>
      <w:r>
        <w:rPr>
          <w:rFonts w:hint="eastAsia" w:asciiTheme="minorEastAsia" w:hAnsiTheme="minorEastAsia" w:eastAsiaTheme="minorEastAsia" w:cstheme="minorEastAsia"/>
          <w:sz w:val="30"/>
          <w:szCs w:val="30"/>
          <w:highlight w:val="none"/>
          <w:lang w:val="en-US" w:eastAsia="zh-CN"/>
        </w:rPr>
        <w:t>高</w:t>
      </w:r>
      <w:r>
        <w:rPr>
          <w:rFonts w:hint="default" w:asciiTheme="minorEastAsia" w:hAnsiTheme="minorEastAsia" w:eastAsiaTheme="minorEastAsia" w:cstheme="minorEastAsia"/>
          <w:sz w:val="30"/>
          <w:szCs w:val="30"/>
          <w:highlight w:val="none"/>
          <w:lang w:val="en-US" w:eastAsia="zh-CN"/>
        </w:rPr>
        <w:t>度不超过1米。拆除时应在建筑平面对称进行，避免结构受力严重不均。</w:t>
      </w:r>
    </w:p>
    <w:p w14:paraId="5A2A63A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临时支撑体系：</w:t>
      </w:r>
    </w:p>
    <w:p w14:paraId="032A6C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在待拆除楼层下方（即保留部分的顶层）设置可靠的钢管脚手架支撑</w:t>
      </w:r>
      <w:r>
        <w:rPr>
          <w:rFonts w:hint="eastAsia" w:asciiTheme="minorEastAsia" w:hAnsiTheme="minorEastAsia" w:eastAsiaTheme="minorEastAsia" w:cstheme="minorEastAsia"/>
          <w:sz w:val="30"/>
          <w:szCs w:val="30"/>
          <w:highlight w:val="none"/>
          <w:lang w:val="en-US" w:eastAsia="zh-CN"/>
        </w:rPr>
        <w:t>，提供操作平台，保护下层楼板</w:t>
      </w:r>
      <w:r>
        <w:rPr>
          <w:rFonts w:hint="default" w:asciiTheme="minorEastAsia" w:hAnsiTheme="minorEastAsia" w:eastAsiaTheme="minorEastAsia" w:cstheme="minorEastAsia"/>
          <w:sz w:val="30"/>
          <w:szCs w:val="30"/>
          <w:highlight w:val="none"/>
          <w:lang w:val="en-US" w:eastAsia="zh-CN"/>
        </w:rPr>
        <w:t>。</w:t>
      </w:r>
    </w:p>
    <w:p w14:paraId="4AE0B2B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支撑架体需经过受力计算，设计立杆间距、横杆步距、剪刀撑设置，并考虑上部跌落荷载。支撑范围必须覆盖所有受影响的区域，并延伸至安全范围。</w:t>
      </w:r>
    </w:p>
    <w:p w14:paraId="2456452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在拆除承重墙前，必须在墙两侧设置临时支撑，将上方荷载有效传递至支撑架体。</w:t>
      </w:r>
    </w:p>
    <w:p w14:paraId="0085346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保留墙体的断面处理：</w:t>
      </w:r>
    </w:p>
    <w:p w14:paraId="760D5FE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拆除后，保留墙体顶部断面必须平整。</w:t>
      </w:r>
    </w:p>
    <w:p w14:paraId="32C48B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对松动、破损的砖块进行剔凿清理，并用高压风吹净浮灰。</w:t>
      </w:r>
    </w:p>
    <w:p w14:paraId="5C50FD3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悬臂女儿墙顶部设置压顶梁，压顶梁为墙宽X100,主筋4f12,箍筋f6@250</w:t>
      </w:r>
      <w:r>
        <w:rPr>
          <w:rFonts w:hint="default" w:asciiTheme="minorEastAsia" w:hAnsiTheme="minorEastAsia" w:eastAsiaTheme="minorEastAsia" w:cstheme="minorEastAsia"/>
          <w:sz w:val="30"/>
          <w:szCs w:val="30"/>
          <w:highlight w:val="none"/>
          <w:lang w:val="en-US" w:eastAsia="zh-CN"/>
        </w:rPr>
        <w:t>。</w:t>
      </w:r>
    </w:p>
    <w:p w14:paraId="17D72DB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保留结构的监测：</w:t>
      </w:r>
    </w:p>
    <w:p w14:paraId="5866F60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在拆除过程中及拆除后一段时间内，应对保留部分进行沉降观测和裂缝观测。</w:t>
      </w:r>
    </w:p>
    <w:p w14:paraId="7976824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在关键部位</w:t>
      </w:r>
      <w:r>
        <w:rPr>
          <w:rFonts w:hint="eastAsia" w:asciiTheme="minorEastAsia" w:hAnsiTheme="minorEastAsia" w:eastAsiaTheme="minorEastAsia" w:cstheme="minorEastAsia"/>
          <w:sz w:val="30"/>
          <w:szCs w:val="30"/>
          <w:highlight w:val="none"/>
          <w:lang w:val="en-US" w:eastAsia="zh-CN"/>
        </w:rPr>
        <w:t>(角部及转角位置)</w:t>
      </w:r>
      <w:r>
        <w:rPr>
          <w:rFonts w:hint="default" w:asciiTheme="minorEastAsia" w:hAnsiTheme="minorEastAsia" w:eastAsiaTheme="minorEastAsia" w:cstheme="minorEastAsia"/>
          <w:sz w:val="30"/>
          <w:szCs w:val="30"/>
          <w:highlight w:val="none"/>
          <w:lang w:val="en-US" w:eastAsia="zh-CN"/>
        </w:rPr>
        <w:t>设置观测点，由专人每天记录，发现异常立即停工报警。</w:t>
      </w:r>
    </w:p>
    <w:p w14:paraId="390EB95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4.艺馨园一层6/B-E轴墙体加固方案</w:t>
      </w:r>
    </w:p>
    <w:p w14:paraId="474AE73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根据加固改造可行性鉴定报告，艺馨园顶部拆除顶层后一层6/B-E轴墙体仍不满足承载力要求，采取相应加固措施如下：</w:t>
      </w:r>
    </w:p>
    <w:p w14:paraId="203C2BA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对艺馨园一层6/B-E轴非楼梯侧新增钢筋网混凝土面层加固</w:t>
      </w:r>
    </w:p>
    <w:p w14:paraId="0E3369D3">
      <w:pPr>
        <w:keepNext w:val="0"/>
        <w:keepLines w:val="0"/>
        <w:pageBreakBefore w:val="0"/>
        <w:widowControl/>
        <w:suppressLineNumbers w:val="0"/>
        <w:kinsoku/>
        <w:wordWrap/>
        <w:overflowPunct/>
        <w:topLinePunct w:val="0"/>
        <w:autoSpaceDE/>
        <w:autoSpaceDN/>
        <w:bidi w:val="0"/>
        <w:adjustRightInd/>
        <w:snapToGrid/>
        <w:spacing w:line="240" w:lineRule="auto"/>
        <w:jc w:val="left"/>
        <w:textAlignment w:val="auto"/>
      </w:pPr>
      <w:r>
        <w:drawing>
          <wp:inline distT="0" distB="0" distL="114300" distR="114300">
            <wp:extent cx="5695950" cy="4586605"/>
            <wp:effectExtent l="0" t="0" r="0" b="444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9"/>
                    <a:srcRect l="995" t="2774" r="199" b="1478"/>
                    <a:stretch>
                      <a:fillRect/>
                    </a:stretch>
                  </pic:blipFill>
                  <pic:spPr>
                    <a:xfrm>
                      <a:off x="0" y="0"/>
                      <a:ext cx="5695950" cy="4586605"/>
                    </a:xfrm>
                    <a:prstGeom prst="rect">
                      <a:avLst/>
                    </a:prstGeom>
                    <a:noFill/>
                    <a:ln>
                      <a:noFill/>
                    </a:ln>
                  </pic:spPr>
                </pic:pic>
              </a:graphicData>
            </a:graphic>
          </wp:inline>
        </w:drawing>
      </w:r>
    </w:p>
    <w:p w14:paraId="2E55F02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a.喷射混凝土强度等级为C20，厚度为70mm，配筋为：竖向筋f10@200，横向筋f8@200，钢筋网与墙体的固定,双面加固时采用S形f6钢筋钻孔穿墙对拉，间距为600mm，并呈梅花状布置；</w:t>
      </w:r>
    </w:p>
    <w:p w14:paraId="6005637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b.在砖墙构件处,L形锚筋采用I、II类水泥基灌浆料或M15水泥砂浆锚固；</w:t>
      </w:r>
    </w:p>
    <w:p w14:paraId="55EC4AC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c.植筋锚固时,钢筋须采用III级钢，锚筋直径、间距不变，植筋锚固长度为120mm；</w:t>
      </w:r>
    </w:p>
    <w:p w14:paraId="3E5F5C1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d.在水泥砂浆面层中在楼层标高处设置2f12的水平钢筋。</w:t>
      </w:r>
    </w:p>
    <w:p w14:paraId="00690DC3">
      <w:pPr>
        <w:numPr>
          <w:ilvl w:val="0"/>
          <w:numId w:val="0"/>
        </w:numPr>
        <w:ind w:firstLine="600" w:firstLineChars="200"/>
        <w:rPr>
          <w:rFonts w:hint="eastAsia" w:asciiTheme="minorEastAsia" w:hAnsiTheme="minorEastAsia" w:cstheme="minorEastAsia"/>
          <w:sz w:val="30"/>
          <w:szCs w:val="30"/>
          <w:highlight w:val="none"/>
          <w:lang w:val="en-US" w:eastAsia="zh-CN"/>
        </w:rPr>
      </w:pPr>
      <w:r>
        <w:rPr>
          <w:rFonts w:hint="eastAsia" w:asciiTheme="minorEastAsia" w:hAnsiTheme="minorEastAsia" w:cstheme="minorEastAsia"/>
          <w:sz w:val="30"/>
          <w:szCs w:val="30"/>
          <w:highlight w:val="none"/>
          <w:lang w:val="en-US" w:eastAsia="zh-CN"/>
        </w:rPr>
        <w:t>5.原始图纸：</w:t>
      </w:r>
    </w:p>
    <w:p w14:paraId="6C2968BC">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519160" cy="5163185"/>
            <wp:effectExtent l="0" t="0" r="18415" b="1524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0"/>
                    <a:stretch>
                      <a:fillRect/>
                    </a:stretch>
                  </pic:blipFill>
                  <pic:spPr>
                    <a:xfrm rot="16200000">
                      <a:off x="0" y="0"/>
                      <a:ext cx="8519160" cy="5163185"/>
                    </a:xfrm>
                    <a:prstGeom prst="rect">
                      <a:avLst/>
                    </a:prstGeom>
                    <a:noFill/>
                    <a:ln>
                      <a:noFill/>
                    </a:ln>
                  </pic:spPr>
                </pic:pic>
              </a:graphicData>
            </a:graphic>
          </wp:inline>
        </w:drawing>
      </w:r>
    </w:p>
    <w:p w14:paraId="613BA78B">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707120" cy="4978400"/>
            <wp:effectExtent l="0" t="0" r="12700" b="1778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1"/>
                    <a:stretch>
                      <a:fillRect/>
                    </a:stretch>
                  </pic:blipFill>
                  <pic:spPr>
                    <a:xfrm rot="16200000">
                      <a:off x="0" y="0"/>
                      <a:ext cx="8707120" cy="4978400"/>
                    </a:xfrm>
                    <a:prstGeom prst="rect">
                      <a:avLst/>
                    </a:prstGeom>
                    <a:noFill/>
                    <a:ln>
                      <a:noFill/>
                    </a:ln>
                  </pic:spPr>
                </pic:pic>
              </a:graphicData>
            </a:graphic>
          </wp:inline>
        </w:drawing>
      </w:r>
    </w:p>
    <w:p w14:paraId="0F254F2A">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082915" cy="5261610"/>
            <wp:effectExtent l="0" t="0" r="15240" b="13335"/>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2"/>
                    <a:stretch>
                      <a:fillRect/>
                    </a:stretch>
                  </pic:blipFill>
                  <pic:spPr>
                    <a:xfrm rot="16200000">
                      <a:off x="0" y="0"/>
                      <a:ext cx="8082915" cy="5261610"/>
                    </a:xfrm>
                    <a:prstGeom prst="rect">
                      <a:avLst/>
                    </a:prstGeom>
                    <a:noFill/>
                    <a:ln>
                      <a:noFill/>
                    </a:ln>
                  </pic:spPr>
                </pic:pic>
              </a:graphicData>
            </a:graphic>
          </wp:inline>
        </w:drawing>
      </w:r>
    </w:p>
    <w:p w14:paraId="02063800">
      <w:pPr>
        <w:numPr>
          <w:ilvl w:val="0"/>
          <w:numId w:val="0"/>
        </w:numPr>
        <w:ind w:firstLine="600" w:firstLineChars="200"/>
        <w:rPr>
          <w:rFonts w:hint="eastAsia" w:asciiTheme="minorEastAsia" w:hAnsiTheme="minorEastAsia" w:cstheme="minorEastAsia"/>
          <w:sz w:val="30"/>
          <w:szCs w:val="30"/>
          <w:highlight w:val="none"/>
          <w:lang w:val="en-US" w:eastAsia="zh-CN"/>
        </w:rPr>
      </w:pPr>
    </w:p>
    <w:p w14:paraId="446F133B">
      <w:pPr>
        <w:numPr>
          <w:ilvl w:val="0"/>
          <w:numId w:val="0"/>
        </w:numPr>
        <w:ind w:firstLine="420" w:firstLineChars="200"/>
        <w:rPr>
          <w:rFonts w:hint="eastAsia" w:asciiTheme="minorEastAsia" w:hAnsiTheme="minorEastAsia" w:cstheme="minorEastAsia"/>
          <w:sz w:val="30"/>
          <w:szCs w:val="30"/>
          <w:highlight w:val="none"/>
          <w:lang w:val="en-US" w:eastAsia="zh-CN"/>
        </w:rPr>
      </w:pPr>
      <w:r>
        <w:drawing>
          <wp:inline distT="0" distB="0" distL="114300" distR="114300">
            <wp:extent cx="8288655" cy="5245100"/>
            <wp:effectExtent l="0" t="0" r="12700" b="17145"/>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13"/>
                    <a:stretch>
                      <a:fillRect/>
                    </a:stretch>
                  </pic:blipFill>
                  <pic:spPr>
                    <a:xfrm rot="16200000">
                      <a:off x="0" y="0"/>
                      <a:ext cx="8288655" cy="5245100"/>
                    </a:xfrm>
                    <a:prstGeom prst="rect">
                      <a:avLst/>
                    </a:prstGeom>
                    <a:noFill/>
                    <a:ln>
                      <a:noFill/>
                    </a:ln>
                  </pic:spPr>
                </pic:pic>
              </a:graphicData>
            </a:graphic>
          </wp:inline>
        </w:drawing>
      </w:r>
    </w:p>
    <w:p w14:paraId="3BBA6D91">
      <w:pPr>
        <w:numPr>
          <w:ilvl w:val="0"/>
          <w:numId w:val="0"/>
        </w:numPr>
        <w:rPr>
          <w:rFonts w:hint="default" w:asciiTheme="minorEastAsia" w:hAnsiTheme="minorEastAsia" w:cstheme="minorEastAsia"/>
          <w:sz w:val="30"/>
          <w:szCs w:val="30"/>
          <w:highlight w:val="none"/>
          <w:lang w:val="en-US" w:eastAsia="zh-CN"/>
        </w:rPr>
      </w:pPr>
    </w:p>
    <w:p w14:paraId="6EFD63EA">
      <w:pPr>
        <w:numPr>
          <w:ilvl w:val="0"/>
          <w:numId w:val="0"/>
        </w:numPr>
        <w:rPr>
          <w:rFonts w:hint="eastAsia"/>
          <w:b/>
          <w:bCs/>
          <w:sz w:val="28"/>
          <w:szCs w:val="36"/>
          <w:lang w:val="en-US" w:eastAsia="zh-CN"/>
        </w:rPr>
      </w:pPr>
      <w:r>
        <w:rPr>
          <w:rFonts w:hint="eastAsia"/>
          <w:b/>
          <w:bCs/>
          <w:sz w:val="28"/>
          <w:szCs w:val="36"/>
          <w:lang w:val="en-US" w:eastAsia="zh-CN"/>
        </w:rPr>
        <w:t>附图：临时拆迁车道图纸</w:t>
      </w:r>
    </w:p>
    <w:p w14:paraId="64853948">
      <w:pPr>
        <w:numPr>
          <w:ilvl w:val="0"/>
          <w:numId w:val="0"/>
        </w:numPr>
        <w:rPr>
          <w:rFonts w:hint="default"/>
          <w:b/>
          <w:bCs/>
          <w:sz w:val="28"/>
          <w:szCs w:val="36"/>
          <w:lang w:val="en-US" w:eastAsia="zh-CN"/>
        </w:rPr>
      </w:pPr>
      <w:r>
        <w:drawing>
          <wp:inline distT="0" distB="0" distL="114300" distR="114300">
            <wp:extent cx="7733665" cy="5463540"/>
            <wp:effectExtent l="0" t="0" r="3810" b="635"/>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pic:cNvPicPr>
                  </pic:nvPicPr>
                  <pic:blipFill>
                    <a:blip r:embed="rId14"/>
                    <a:stretch>
                      <a:fillRect/>
                    </a:stretch>
                  </pic:blipFill>
                  <pic:spPr>
                    <a:xfrm rot="16200000">
                      <a:off x="0" y="0"/>
                      <a:ext cx="7733665" cy="5463540"/>
                    </a:xfrm>
                    <a:prstGeom prst="rect">
                      <a:avLst/>
                    </a:prstGeom>
                    <a:noFill/>
                    <a:ln>
                      <a:noFill/>
                    </a:ln>
                  </pic:spPr>
                </pic:pic>
              </a:graphicData>
            </a:graphic>
          </wp:inline>
        </w:drawing>
      </w:r>
    </w:p>
    <w:p w14:paraId="42340A9F">
      <w:pPr>
        <w:numPr>
          <w:ilvl w:val="0"/>
          <w:numId w:val="0"/>
        </w:numPr>
        <w:rPr>
          <w:rFonts w:hint="eastAsia"/>
          <w:b/>
          <w:bCs/>
          <w:sz w:val="28"/>
          <w:szCs w:val="36"/>
          <w:lang w:val="en-US" w:eastAsia="zh-CN"/>
        </w:rPr>
      </w:pPr>
    </w:p>
    <w:p w14:paraId="4CFB4B90">
      <w:pPr>
        <w:numPr>
          <w:ilvl w:val="0"/>
          <w:numId w:val="0"/>
        </w:numPr>
        <w:rPr>
          <w:rFonts w:hint="default"/>
          <w:b/>
          <w:bCs/>
          <w:sz w:val="28"/>
          <w:szCs w:val="36"/>
          <w:lang w:val="en-US" w:eastAsia="zh-CN"/>
        </w:rPr>
      </w:pPr>
      <w:r>
        <w:rPr>
          <w:rFonts w:hint="eastAsia"/>
          <w:b/>
          <w:bCs/>
          <w:sz w:val="28"/>
          <w:szCs w:val="36"/>
          <w:lang w:val="en-US" w:eastAsia="zh-CN"/>
        </w:rPr>
        <w:t>四、安全防护与环境保护措施</w:t>
      </w:r>
    </w:p>
    <w:p w14:paraId="68CB05B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安全防护：</w:t>
      </w:r>
    </w:p>
    <w:p w14:paraId="3B2C0A3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外围搭设全封闭硬质防护脚手架，满挂密目安全网，底部设踢脚板，防止物体飞出。</w:t>
      </w:r>
    </w:p>
    <w:p w14:paraId="33D4BB9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设置安全警示区和警戒线，专人看守。</w:t>
      </w:r>
    </w:p>
    <w:p w14:paraId="7AB6F7F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施工人员必须佩戴齐全安全防护用品</w:t>
      </w:r>
      <w:r>
        <w:rPr>
          <w:rFonts w:hint="eastAsia" w:asciiTheme="minorEastAsia" w:hAnsiTheme="minorEastAsia" w:eastAsiaTheme="minorEastAsia" w:cstheme="minorEastAsia"/>
          <w:sz w:val="30"/>
          <w:szCs w:val="30"/>
          <w:highlight w:val="none"/>
          <w:lang w:val="en-US" w:eastAsia="zh-CN"/>
        </w:rPr>
        <w:t>，高空作业时必须佩戴安全带</w:t>
      </w:r>
      <w:r>
        <w:rPr>
          <w:rFonts w:hint="default" w:asciiTheme="minorEastAsia" w:hAnsiTheme="minorEastAsia" w:eastAsiaTheme="minorEastAsia" w:cstheme="minorEastAsia"/>
          <w:sz w:val="30"/>
          <w:szCs w:val="30"/>
          <w:highlight w:val="none"/>
          <w:lang w:val="en-US" w:eastAsia="zh-CN"/>
        </w:rPr>
        <w:t>。</w:t>
      </w:r>
    </w:p>
    <w:p w14:paraId="2E5B4D4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临时用电、高空作业等必须符合安全规范。</w:t>
      </w:r>
    </w:p>
    <w:p w14:paraId="48FC29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环境保护：</w:t>
      </w:r>
    </w:p>
    <w:p w14:paraId="5857FB2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采用湿法作业，拆除时喷水降尘。</w:t>
      </w:r>
    </w:p>
    <w:p w14:paraId="482BF3C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建筑垃圾袋装化，通过密闭通道或垂直运输设备清运，严禁抛掷。</w:t>
      </w:r>
    </w:p>
    <w:p w14:paraId="3877FD2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合理安排施工时间，减少噪音扰民。</w:t>
      </w:r>
    </w:p>
    <w:p w14:paraId="710963F2">
      <w:pPr>
        <w:numPr>
          <w:ilvl w:val="0"/>
          <w:numId w:val="0"/>
        </w:numPr>
        <w:rPr>
          <w:rFonts w:hint="default"/>
          <w:b/>
          <w:bCs/>
          <w:sz w:val="28"/>
          <w:szCs w:val="36"/>
          <w:lang w:val="en-US" w:eastAsia="zh-CN"/>
        </w:rPr>
      </w:pPr>
      <w:r>
        <w:rPr>
          <w:rFonts w:hint="eastAsia"/>
          <w:b/>
          <w:bCs/>
          <w:sz w:val="28"/>
          <w:szCs w:val="36"/>
          <w:lang w:val="en-US" w:eastAsia="zh-CN"/>
        </w:rPr>
        <w:t>五、应急预案</w:t>
      </w:r>
    </w:p>
    <w:p w14:paraId="7A0D5C0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制定针对坍塌、火灾、高空坠落、物体打击等事故的应急预案。</w:t>
      </w:r>
    </w:p>
    <w:p w14:paraId="59AB903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明确应急组织、通讯联络、处置流程和撤离路线。</w:t>
      </w:r>
    </w:p>
    <w:p w14:paraId="1E2B9A9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准备必要的应急器材。</w:t>
      </w:r>
    </w:p>
    <w:p w14:paraId="164FB870">
      <w:pPr>
        <w:numPr>
          <w:ilvl w:val="0"/>
          <w:numId w:val="0"/>
        </w:numPr>
        <w:rPr>
          <w:rFonts w:hint="default"/>
          <w:b/>
          <w:bCs/>
          <w:sz w:val="28"/>
          <w:szCs w:val="36"/>
          <w:highlight w:val="none"/>
          <w:lang w:val="en-US" w:eastAsia="zh-CN"/>
        </w:rPr>
      </w:pPr>
      <w:r>
        <w:rPr>
          <w:rFonts w:hint="eastAsia"/>
          <w:b/>
          <w:bCs/>
          <w:sz w:val="28"/>
          <w:szCs w:val="36"/>
          <w:highlight w:val="none"/>
          <w:lang w:val="en-US" w:eastAsia="zh-CN"/>
        </w:rPr>
        <w:t>六、水电改造</w:t>
      </w:r>
    </w:p>
    <w:p w14:paraId="619BD9B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6.1给排水专业</w:t>
      </w:r>
    </w:p>
    <w:p w14:paraId="4F150D1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6.1.1遵循的规范及标准</w:t>
      </w:r>
    </w:p>
    <w:p w14:paraId="42B10F0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《室外给水设计标准》（GB50013-2018）；</w:t>
      </w:r>
    </w:p>
    <w:p w14:paraId="0B23DAC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《建筑给水排水设计标准》（GB50015-2019）；</w:t>
      </w:r>
    </w:p>
    <w:p w14:paraId="60E9E7E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《建筑设计防火规范》(GB50016-2014年版，2018年版)；</w:t>
      </w:r>
    </w:p>
    <w:p w14:paraId="07AEACC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《消防给水及消火栓系统技术规范》（GB50974-2014）；</w:t>
      </w:r>
    </w:p>
    <w:p w14:paraId="4F8BABF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《建筑机电工程抗震设计规范》GB50981-2014）。</w:t>
      </w:r>
    </w:p>
    <w:p w14:paraId="5B7E514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《建筑给水排水与节水通用规范》GB 55020-2021</w:t>
      </w:r>
    </w:p>
    <w:p w14:paraId="30E11A7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《建筑与市政工程抗震通用规范》GB 55002-2021</w:t>
      </w:r>
    </w:p>
    <w:p w14:paraId="6B7DC31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《老旧小区改造提升建设标准》DBJ50/T-376-2020</w:t>
      </w:r>
    </w:p>
    <w:p w14:paraId="0528F4C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wEClshht9xfE67wqkhXLxKp0WxNm/dv9fILYoVNpH3rL5b/KBBOtsqvlmEFFJGEufiof/Mfy7h0jauYcdDpRgg/GLEkkMxEfjqS5OQtv4Wpi9PDbwTYigP+ST0fdJ9LwZuPnhKS9HRYARzH7SXrzBoTBbilGGh0dJBv0TNmA2MaTbGpaDBu6QiBesa+GGSINzHzxY3h54dPfE2PKa7vnKLkCwcxS+cyct6lxoKijlu0tt0ESFjnjAqIvjHDGNQNYC1OHW0pDYuM949RKJ0hZs+QqdFnlAIueEl+6u0gIf3qFG9NMV67rFCA=="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既有建筑维护与改造通用规范》GB55022-2021</w:t>
      </w:r>
      <w:r>
        <w:rPr>
          <w:rFonts w:hint="eastAsia" w:asciiTheme="minorEastAsia" w:hAnsiTheme="minorEastAsia" w:eastAsiaTheme="minorEastAsia" w:cstheme="minorEastAsia"/>
          <w:sz w:val="30"/>
          <w:szCs w:val="30"/>
          <w:highlight w:val="none"/>
          <w:lang w:val="en-US" w:eastAsia="zh-CN"/>
        </w:rPr>
        <w:fldChar w:fldCharType="end"/>
      </w:r>
    </w:p>
    <w:p w14:paraId="27E84AE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zrDEZz7oE/tNpo2YqLj83EWCtisAovRnpEsYSAlSsZy0o24damNT8hyOeDr67Rini93drsvtZz4PfXMpPVzzryBRijohuu24zxxsRY9DRGli6QU9wFqU1rBbgBQCZmkIwugAkVZxrMlIzREQiy/yBZWI5O/BK8BpABJ9GL6/IUyJ/gtq1MePGwGGNQ4VhcOL8uIznW02cLUJjtsHqNs6XOklvweTsi37xbKZ2qU4sa3U8eG17lsR5Sk47fjtvmLuM"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消防设施通用规范》GB55036-2022</w:t>
      </w:r>
      <w:r>
        <w:rPr>
          <w:rFonts w:hint="eastAsia" w:asciiTheme="minorEastAsia" w:hAnsiTheme="minorEastAsia" w:eastAsiaTheme="minorEastAsia" w:cstheme="minorEastAsia"/>
          <w:sz w:val="30"/>
          <w:szCs w:val="30"/>
          <w:highlight w:val="none"/>
          <w:lang w:val="en-US" w:eastAsia="zh-CN"/>
        </w:rPr>
        <w:fldChar w:fldCharType="end"/>
      </w:r>
    </w:p>
    <w:p w14:paraId="6149972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w:t>
      </w: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https://www.so.com/link?m=zrDEZz7oE/tNpo2YqLj83EWCtisAovRnpEsYSAlSsZy0o24damNT8hyOeDr67Rini93drsvtZz4PfXMpPVzzryBRijohuu24zxxsRY9DRGli6QU9wFqU1rBbgBQCZmkIwugAkVZxrMlIzREQiy/yBZWI5O/BK8BpABJ9GL6/IUyJ/gtq1MePGwGGNQ4VhcOL8uIznW02cLUJjtsHqNs6XOklvweTsi37xbKZ2qU4sa3U8eG17lsR5Sk47fjtvmLuM" \t "https://www.so.com/_blank"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建筑防火通用规范》GB55037-2022</w:t>
      </w:r>
      <w:r>
        <w:rPr>
          <w:rFonts w:hint="eastAsia" w:asciiTheme="minorEastAsia" w:hAnsiTheme="minorEastAsia" w:eastAsiaTheme="minorEastAsia" w:cstheme="minorEastAsia"/>
          <w:sz w:val="30"/>
          <w:szCs w:val="30"/>
          <w:highlight w:val="none"/>
          <w:lang w:val="en-US" w:eastAsia="zh-CN"/>
        </w:rPr>
        <w:fldChar w:fldCharType="end"/>
      </w:r>
    </w:p>
    <w:p w14:paraId="1239A07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《关于实施&lt;危险性较大的分部分项工程安全管理规定&gt;有关问题的通知》（建办质〔2018〕31号）</w:t>
      </w:r>
    </w:p>
    <w:p w14:paraId="085001B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《重庆市建设领域禁止、限制使用落后技术通告（2024年版）》（重庆市住房和城乡建设委员会 2024.12.30）</w:t>
      </w:r>
    </w:p>
    <w:p w14:paraId="5C88785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《重庆市全面推进城镇老旧小区改造和社区服务提升专项行动方案》（渝城办〔2020〕14号）</w:t>
      </w:r>
    </w:p>
    <w:p w14:paraId="46E2CED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《国务院办公厅关于全面推进城镇老旧小区改造工作的指导意见》国办发[2020]23号</w:t>
      </w:r>
    </w:p>
    <w:p w14:paraId="21DC79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fldChar w:fldCharType="begin"/>
      </w:r>
      <w:r>
        <w:rPr>
          <w:rFonts w:hint="eastAsia" w:asciiTheme="minorEastAsia" w:hAnsiTheme="minorEastAsia" w:eastAsiaTheme="minorEastAsia" w:cstheme="minorEastAsia"/>
          <w:sz w:val="30"/>
          <w:szCs w:val="30"/>
          <w:highlight w:val="none"/>
          <w:lang w:val="en-US" w:eastAsia="zh-CN"/>
        </w:rPr>
        <w:instrText xml:space="preserve"> HYPERLINK "javascript:void(0)" </w:instrText>
      </w:r>
      <w:r>
        <w:rPr>
          <w:rFonts w:hint="eastAsia" w:asciiTheme="minorEastAsia" w:hAnsiTheme="minorEastAsia" w:eastAsiaTheme="minorEastAsia" w:cstheme="minorEastAsia"/>
          <w:sz w:val="30"/>
          <w:szCs w:val="30"/>
          <w:highlight w:val="none"/>
          <w:lang w:val="en-US" w:eastAsia="zh-CN"/>
        </w:rPr>
        <w:fldChar w:fldCharType="separate"/>
      </w:r>
      <w:r>
        <w:rPr>
          <w:rFonts w:hint="eastAsia" w:asciiTheme="minorEastAsia" w:hAnsiTheme="minorEastAsia" w:eastAsiaTheme="minorEastAsia" w:cstheme="minorEastAsia"/>
          <w:sz w:val="30"/>
          <w:szCs w:val="30"/>
          <w:highlight w:val="none"/>
          <w:lang w:val="en-US" w:eastAsia="zh-CN"/>
        </w:rPr>
        <w:t>《重庆市城镇老旧小区改造提升工程设计文件编制深度规定》（试行）</w:t>
      </w:r>
      <w:r>
        <w:rPr>
          <w:rFonts w:hint="eastAsia" w:asciiTheme="minorEastAsia" w:hAnsiTheme="minorEastAsia" w:eastAsiaTheme="minorEastAsia" w:cstheme="minorEastAsia"/>
          <w:sz w:val="30"/>
          <w:szCs w:val="30"/>
          <w:highlight w:val="none"/>
          <w:lang w:val="en-US" w:eastAsia="zh-CN"/>
        </w:rPr>
        <w:fldChar w:fldCharType="end"/>
      </w:r>
      <w:r>
        <w:rPr>
          <w:rFonts w:hint="eastAsia" w:asciiTheme="minorEastAsia" w:hAnsiTheme="minorEastAsia" w:eastAsiaTheme="minorEastAsia" w:cstheme="minorEastAsia"/>
          <w:sz w:val="30"/>
          <w:szCs w:val="30"/>
          <w:highlight w:val="none"/>
          <w:lang w:val="en-US" w:eastAsia="zh-CN"/>
        </w:rPr>
        <w:t>渝建勘设〔2020〕73号</w:t>
      </w:r>
    </w:p>
    <w:p w14:paraId="414CC8F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《重庆市城镇老旧小区改造和社区服务提升项目管理办法（试行）》渝城办〔2020〕25 号</w:t>
      </w:r>
    </w:p>
    <w:p w14:paraId="477057D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《重庆市建筑工程施工图设计文件编制技术规定（2024年版）》重庆市住房和城乡建设委员会2023.12</w:t>
      </w:r>
    </w:p>
    <w:p w14:paraId="56C6E58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《重庆市建筑工程施工图设计文件技术审查要点（2024年版）》重庆市住房和城乡建设委员会2023.12</w:t>
      </w:r>
    </w:p>
    <w:p w14:paraId="0648716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6.1.2设计资料</w:t>
      </w:r>
    </w:p>
    <w:p w14:paraId="2E70042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建设单位提供的本工程有关资料和设计任务书；</w:t>
      </w:r>
    </w:p>
    <w:p w14:paraId="46E8E85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建设单位提供的红线内1：500实测地形管线图。</w:t>
      </w:r>
    </w:p>
    <w:p w14:paraId="7908DF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6.1.3设计原则</w:t>
      </w:r>
    </w:p>
    <w:p w14:paraId="76D0D0D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原建筑室内给水系统破损老旧，出现漏水等状况。本次将其原系统修复。</w:t>
      </w:r>
    </w:p>
    <w:p w14:paraId="5FE3F05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6.1.4给水系统</w:t>
      </w:r>
    </w:p>
    <w:p w14:paraId="24869F5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6.1.4.1水源：本工程水源为城市自来水，供水压力为0.25MP。原建筑设置有室内给水系统，因年代老旧，本次将其原系统修复。室内给水系统接室外已建给水系统。</w:t>
      </w:r>
    </w:p>
    <w:p w14:paraId="242BF00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6.1.4.2卫生器具和用水设备等的生活饮用水管配水件出水口应符合下列规定：</w:t>
      </w:r>
    </w:p>
    <w:p w14:paraId="5B9BDF5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出水口不得被任何液体或杂质所淹没；</w:t>
      </w:r>
    </w:p>
    <w:p w14:paraId="38AE866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出水口高出承接用水容器溢流边缘的最小空气间隙，不得小于出水口直径的2．5倍。</w:t>
      </w:r>
    </w:p>
    <w:p w14:paraId="56BC720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6.1.4.3水质保障措施：</w:t>
      </w:r>
    </w:p>
    <w:p w14:paraId="1DD58BD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生活给水水质必须符合现行的规范《生活饮用水卫生标准》（GB5749-2022）对水质的相关要求。</w:t>
      </w:r>
    </w:p>
    <w:p w14:paraId="39DD981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严禁生活饮用水管道与大便器（槽）、小便斗（槽）采用非专用冲洗阀直接连接冲洗。</w:t>
      </w:r>
    </w:p>
    <w:p w14:paraId="56DB921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生活饮用水不得因管道产生虹吸、背压回流而受污染。</w:t>
      </w:r>
    </w:p>
    <w:p w14:paraId="091EF1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在非饮用水管道上接出水嘴或取水短管时，应采取防止误饮误用的措施。</w:t>
      </w:r>
    </w:p>
    <w:p w14:paraId="75E640F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本项目所有水表采用远传计量水表，具有信息采集，数据处理，储存及上传等功能。</w:t>
      </w:r>
    </w:p>
    <w:p w14:paraId="55EEF7F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6.1.5给水系统</w:t>
      </w:r>
    </w:p>
    <w:p w14:paraId="27F4A5C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6.1.5.1给水管材</w:t>
      </w:r>
    </w:p>
    <w:p w14:paraId="4AC4583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冷水管：干管立管采用钢塑复合管，热熔连接；支采用PP-R管材执行CJ/T183-2008行业标准；管件执行CJ/T237-2006行业标准。管材、管道附件及设备等供水设施的选取和运用不应对供水造成二次污染。各种管道采用与该类管材相应的配件及接头。给水塑料管的管件壁厚不得小于相应管材的壁厚，管材与管件的承插粘接面必须表面平整，尺寸准确，以保证接口的密封性能。</w:t>
      </w:r>
    </w:p>
    <w:p w14:paraId="5C35276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6.1.5.2管道布置和敷设</w:t>
      </w:r>
    </w:p>
    <w:p w14:paraId="20E2E58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室内埋地给水管管顶覆土不小于150mm，并同时满足相关技术规程的要求。埋深不足时应通知设计院处理。</w:t>
      </w:r>
    </w:p>
    <w:p w14:paraId="668474C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当给水管道穿越伸缩缝、沉降缝和抗震缝时，应采用可曲绕橡胶接头或金属波纹管连接上述缝隙两边管道。</w:t>
      </w:r>
    </w:p>
    <w:p w14:paraId="7382091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管道穿过内墙或楼板时，应设置套管；套管与管道间的缝隙，应采用防火材料封堵。管道缝隙封堵按GB/ T 51410-2020 《建筑防火封堵应用技术标准》、现场施工按GB 50720-2011《建设工程施工现场消防安全技术规范》 有关要求执行。管道穿过地下室或地下构筑物及水池时应采用刚性防水套管，对有严格防水要求的，应采用柔性防水套管。防水套管详02S404。</w:t>
      </w:r>
    </w:p>
    <w:p w14:paraId="1309728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管道穿出屋面及室外地沟顶板时，应做防雨装置，详国标01R409。</w:t>
      </w:r>
    </w:p>
    <w:p w14:paraId="7F87D73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严禁生活饮用水管道与大便器（槽）、小便器（槽）采用非专用冲洗阀直接连接冲洗。</w:t>
      </w:r>
    </w:p>
    <w:p w14:paraId="09C27B0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6.1.5.3管道支架及吊架安装：</w:t>
      </w:r>
    </w:p>
    <w:p w14:paraId="1E62270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支架吊架作法详03S402,03S401图集及所选管材的管道技术规程，根据管道单位长度重量选择相适应的管道支架吊架。支架吊架最大跨距应符合《建筑给水排水及采暖工程施工质量验收规范》及相关管道技术规程的规定。</w:t>
      </w:r>
    </w:p>
    <w:p w14:paraId="75BC16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管道活动支、吊、托架的位置设置，由安装单位在确定牢固可靠的原则下根据现场情况确定。</w:t>
      </w:r>
    </w:p>
    <w:p w14:paraId="3F4606A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管道的支、吊、托架必须设置在保温层的外部，在穿过支、吊、托架处，应镶与保温厚度相同的垫木。</w:t>
      </w:r>
    </w:p>
    <w:p w14:paraId="07C24C75">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管道的支、吊、托架一般固定于梁、柱、墙上及楼板下。位于管井的管道支架固定于井壁上，安装时应确保支、吊、托架的位置正确，牢固可靠。</w:t>
      </w:r>
    </w:p>
    <w:p w14:paraId="20D8AFA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管道重型附件旁应设置支、吊、托架，三通处亦尽量设支吊架。</w:t>
      </w:r>
    </w:p>
    <w:p w14:paraId="24134AD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管道焊缝，接头距支托架距离不小于100mm，法兰盘距支吊架距离不小于200mm。</w:t>
      </w:r>
    </w:p>
    <w:p w14:paraId="3D03BB9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弹簧支吊托架的弹簧压缩度应按设计要求进行调整，弹簧的临时固定件应待系统安装、试压，保温完毕后方可拆除。</w:t>
      </w:r>
    </w:p>
    <w:p w14:paraId="52F2E63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活动支架的活动部分均应裸露，不得被水泥及保温材料敷盖。</w:t>
      </w:r>
    </w:p>
    <w:p w14:paraId="39A8EF0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调整管道标高时，可在管道支坐底部加金属垫片，并与支架焊牢，但不得将垫块垫在管道与支座之间。</w:t>
      </w:r>
    </w:p>
    <w:p w14:paraId="0595144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管道固定：吊装管采用吊架，靠墙可采用托架，泵房内应采用弹性支吊架；屋面管道每隔3m，及转弯分支处设混凝土支墩。</w:t>
      </w:r>
    </w:p>
    <w:p w14:paraId="7A049AEE">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6.1.5.3常用仪表及附件的安装</w:t>
      </w:r>
    </w:p>
    <w:p w14:paraId="338C80E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水表：水表安装在便于检修和读数，不受曝晒、冻结、污染和机械损伤的地方。螺翼式水表的上游侧应保证长度为8-10倍水表公称直径的直管段，其它类型的水表前后直管段的长度，不宜小于300mm，应符合产品规定的要求（详国标GB/T778.2-1996）。水表前宜设橡胶减震接头及过滤装置。</w:t>
      </w:r>
    </w:p>
    <w:p w14:paraId="2C636837">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压力表：在水泵出口及需要读取压力的管段上应设压力表，安装压力表应有存水弯管及旋塞。</w:t>
      </w:r>
    </w:p>
    <w:p w14:paraId="535C51C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所有阀门安装前应按设计核对其型号、规格、技术参数及产品合格证。阀门安装前应作耐压强度试验，强度试验压力为公称压力的1.5倍，恒压时间不小于10min，然后降至阀门公称压力进行严密性试验，如在5min内不渗漏即为合格，不合格阀门不准安装。</w:t>
      </w:r>
    </w:p>
    <w:p w14:paraId="4C3058E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阀门安装:阀门安装位置除设计注明外，一般安装在维修、检查和操作方便的地方。阀门应在关闭状态下安装，并应根据管内介质流向确定安装方向。埋地管道阀门应设阀门井。</w:t>
      </w:r>
    </w:p>
    <w:p w14:paraId="084AF59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阀门的选用：除设计注明外，管径DN≤50时采用铜质截止阀，DN＞50和DN≤150之间者采用手柄蝶阀，DN＞150者采用涡轮蝶阀。泵房内水泵的进出水水管上均安装闸阀而不得安装蝶阀。阀门的工作压力应不小于系统最高工作压力,一般不小1.6MPa。</w:t>
      </w:r>
    </w:p>
    <w:p w14:paraId="20D42F7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减压阀：根据产品要求，减压阀即可水平安装，也可垂直安装。减压阀进口端应装14目/cm2的不锈钢丝网Y型过滤器，减压阀前后应安装压力表和蝶阀。安装时应注意减压阀的水流方向。</w:t>
      </w:r>
    </w:p>
    <w:p w14:paraId="34BEA34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卫生设备：卫生洁具及其配件均应采用符合国家标准的节水型产品，</w:t>
      </w:r>
    </w:p>
    <w:p w14:paraId="4C57DE6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6.1.5.4压力试验</w:t>
      </w:r>
    </w:p>
    <w:p w14:paraId="248FC5E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管道试验：给水管道安装完毕后，应对管道系统进行强度和严密性水压试验。各种材质给水管道系统的试验压力为工作压力的1.5倍，但不得小于0.9MPa。严密性试验应在强度试验合格后进行。试验方法应按《建筑给水排水及采暖工程施工质量验收规范》的有关规定进行，不得任意更改。</w:t>
      </w:r>
    </w:p>
    <w:p w14:paraId="6D7A9250">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6.1.5.5管道冲洗及其它</w:t>
      </w:r>
    </w:p>
    <w:p w14:paraId="7CE0CAF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给水管道在系统运行前须用水冲洗和消毒,要求以不小于1.5m/s的流速进行冲洗,并符合《建筑给水排水及采暖工程施工质量验收规范》中4.2.3条的规定。</w:t>
      </w:r>
    </w:p>
    <w:p w14:paraId="2AEC41E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雨水管和排水管冲洗以管道通畅为合格。</w:t>
      </w:r>
    </w:p>
    <w:p w14:paraId="4079038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w:t>
      </w:r>
      <w:r>
        <w:rPr>
          <w:rFonts w:hint="eastAsia" w:asciiTheme="minorEastAsia" w:hAnsiTheme="minorEastAsia" w:cstheme="minorEastAsia"/>
          <w:sz w:val="30"/>
          <w:szCs w:val="30"/>
          <w:highlight w:val="none"/>
          <w:lang w:val="en-US" w:eastAsia="zh-CN"/>
        </w:rPr>
        <w:t>1.6</w:t>
      </w:r>
      <w:r>
        <w:rPr>
          <w:rFonts w:hint="eastAsia" w:asciiTheme="minorEastAsia" w:hAnsiTheme="minorEastAsia" w:eastAsiaTheme="minorEastAsia" w:cstheme="minorEastAsia"/>
          <w:sz w:val="30"/>
          <w:szCs w:val="30"/>
          <w:highlight w:val="none"/>
          <w:lang w:val="en-US" w:eastAsia="zh-CN"/>
        </w:rPr>
        <w:t>主要工程量表</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92"/>
        <w:gridCol w:w="2494"/>
        <w:gridCol w:w="2860"/>
        <w:gridCol w:w="832"/>
        <w:gridCol w:w="622"/>
        <w:gridCol w:w="622"/>
      </w:tblGrid>
      <w:tr w14:paraId="67139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trPr>
        <w:tc>
          <w:tcPr>
            <w:tcW w:w="1092" w:type="dxa"/>
            <w:vAlign w:val="center"/>
          </w:tcPr>
          <w:p w14:paraId="5F4BB93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序号</w:t>
            </w:r>
          </w:p>
        </w:tc>
        <w:tc>
          <w:tcPr>
            <w:tcW w:w="2494" w:type="dxa"/>
            <w:vAlign w:val="center"/>
          </w:tcPr>
          <w:p w14:paraId="3E3D1C1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设备器材名称</w:t>
            </w:r>
          </w:p>
        </w:tc>
        <w:tc>
          <w:tcPr>
            <w:tcW w:w="2860" w:type="dxa"/>
            <w:vAlign w:val="center"/>
          </w:tcPr>
          <w:p w14:paraId="0EE3CA3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性能参数</w:t>
            </w:r>
          </w:p>
        </w:tc>
        <w:tc>
          <w:tcPr>
            <w:tcW w:w="832" w:type="dxa"/>
            <w:vAlign w:val="center"/>
          </w:tcPr>
          <w:p w14:paraId="3A3B1DC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工程量</w:t>
            </w:r>
          </w:p>
        </w:tc>
        <w:tc>
          <w:tcPr>
            <w:tcW w:w="622" w:type="dxa"/>
            <w:vAlign w:val="center"/>
          </w:tcPr>
          <w:p w14:paraId="700F614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14:textFill>
                  <w14:solidFill>
                    <w14:schemeClr w14:val="tx1"/>
                  </w14:solidFill>
                </w14:textFill>
              </w:rPr>
            </w:pPr>
            <w:r>
              <w:rPr>
                <w:rFonts w:hint="eastAsia" w:ascii="宋体" w:hAnsi="宋体" w:eastAsia="宋体" w:cs="宋体"/>
                <w:b w:val="0"/>
                <w:bCs w:val="0"/>
                <w:color w:val="000000" w:themeColor="text1"/>
                <w:sz w:val="24"/>
                <w:szCs w:val="24"/>
                <w:lang w:val="en-US"/>
                <w14:textFill>
                  <w14:solidFill>
                    <w14:schemeClr w14:val="tx1"/>
                  </w14:solidFill>
                </w14:textFill>
              </w:rPr>
              <w:t>单位</w:t>
            </w:r>
          </w:p>
        </w:tc>
        <w:tc>
          <w:tcPr>
            <w:tcW w:w="622" w:type="dxa"/>
            <w:vAlign w:val="center"/>
          </w:tcPr>
          <w:p w14:paraId="1F16EA6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r>
              <w:rPr>
                <w:rFonts w:hint="eastAsia" w:ascii="宋体" w:hAnsi="宋体" w:eastAsia="宋体" w:cs="宋体"/>
                <w:b w:val="0"/>
                <w:bCs w:val="0"/>
                <w:color w:val="000000" w:themeColor="text1"/>
                <w:sz w:val="21"/>
                <w:szCs w:val="21"/>
                <w:lang w:val="en-US" w:eastAsia="zh-CN"/>
                <w14:textFill>
                  <w14:solidFill>
                    <w14:schemeClr w14:val="tx1"/>
                  </w14:solidFill>
                </w14:textFill>
              </w:rPr>
              <w:t>备注</w:t>
            </w:r>
          </w:p>
        </w:tc>
      </w:tr>
      <w:tr w14:paraId="47F18E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vAlign w:val="center"/>
          </w:tcPr>
          <w:p w14:paraId="0E0C7E3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垫江县第三中学“华尔街”宿舍楼</w:t>
            </w:r>
          </w:p>
        </w:tc>
        <w:tc>
          <w:tcPr>
            <w:tcW w:w="2860" w:type="dxa"/>
            <w:vAlign w:val="center"/>
          </w:tcPr>
          <w:p w14:paraId="1B69C96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832" w:type="dxa"/>
            <w:vAlign w:val="center"/>
          </w:tcPr>
          <w:p w14:paraId="488E5FE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622" w:type="dxa"/>
            <w:vAlign w:val="center"/>
          </w:tcPr>
          <w:p w14:paraId="6C0DF21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p>
        </w:tc>
        <w:tc>
          <w:tcPr>
            <w:tcW w:w="622" w:type="dxa"/>
            <w:vAlign w:val="center"/>
          </w:tcPr>
          <w:p w14:paraId="2A0043E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6721D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932B97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vAlign w:val="center"/>
          </w:tcPr>
          <w:p w14:paraId="23A57D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vAlign w:val="center"/>
          </w:tcPr>
          <w:p w14:paraId="26E83A0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vAlign w:val="center"/>
          </w:tcPr>
          <w:p w14:paraId="5EDF0B8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200</w:t>
            </w:r>
          </w:p>
        </w:tc>
        <w:tc>
          <w:tcPr>
            <w:tcW w:w="622" w:type="dxa"/>
            <w:vAlign w:val="center"/>
          </w:tcPr>
          <w:p w14:paraId="0A11460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vAlign w:val="center"/>
          </w:tcPr>
          <w:p w14:paraId="7FD989C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B89DD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2DA9DA5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vAlign w:val="center"/>
          </w:tcPr>
          <w:p w14:paraId="68B6C39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501E3652">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vAlign w:val="center"/>
          </w:tcPr>
          <w:p w14:paraId="269A315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vAlign w:val="center"/>
          </w:tcPr>
          <w:p w14:paraId="3689F39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24，15</w:t>
            </w:r>
          </w:p>
        </w:tc>
        <w:tc>
          <w:tcPr>
            <w:tcW w:w="622" w:type="dxa"/>
            <w:vAlign w:val="center"/>
          </w:tcPr>
          <w:p w14:paraId="4EC3C712">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vAlign w:val="center"/>
          </w:tcPr>
          <w:p w14:paraId="46A3C5A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1197F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68D304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vAlign w:val="center"/>
          </w:tcPr>
          <w:p w14:paraId="06CAA11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vAlign w:val="center"/>
          </w:tcPr>
          <w:p w14:paraId="2ED15F1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vAlign w:val="center"/>
          </w:tcPr>
          <w:p w14:paraId="7F55058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10，20</w:t>
            </w:r>
          </w:p>
        </w:tc>
        <w:tc>
          <w:tcPr>
            <w:tcW w:w="622" w:type="dxa"/>
            <w:vAlign w:val="center"/>
          </w:tcPr>
          <w:p w14:paraId="2FC66CC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vAlign w:val="center"/>
          </w:tcPr>
          <w:p w14:paraId="37EC8E82">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F149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4BAC4CA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vAlign w:val="center"/>
          </w:tcPr>
          <w:p w14:paraId="38F16DB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vAlign w:val="center"/>
          </w:tcPr>
          <w:p w14:paraId="0D9E6D2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vAlign w:val="center"/>
          </w:tcPr>
          <w:p w14:paraId="6D6E1EC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20</w:t>
            </w:r>
          </w:p>
        </w:tc>
        <w:tc>
          <w:tcPr>
            <w:tcW w:w="622" w:type="dxa"/>
            <w:vAlign w:val="center"/>
          </w:tcPr>
          <w:p w14:paraId="1AD4A4C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vAlign w:val="center"/>
          </w:tcPr>
          <w:p w14:paraId="25CA079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9AC1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616275F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vAlign w:val="center"/>
          </w:tcPr>
          <w:p w14:paraId="3D7EEA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vAlign w:val="center"/>
          </w:tcPr>
          <w:p w14:paraId="3602BC3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vAlign w:val="center"/>
          </w:tcPr>
          <w:p w14:paraId="1A0305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622" w:type="dxa"/>
            <w:vAlign w:val="center"/>
          </w:tcPr>
          <w:p w14:paraId="1620A7E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3EA2DA9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E8D27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vAlign w:val="center"/>
          </w:tcPr>
          <w:p w14:paraId="1726952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垫江县第三中学宿舍楼（行政办公楼）</w:t>
            </w:r>
          </w:p>
        </w:tc>
        <w:tc>
          <w:tcPr>
            <w:tcW w:w="2860" w:type="dxa"/>
            <w:vAlign w:val="center"/>
          </w:tcPr>
          <w:p w14:paraId="0D2C0AB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vAlign w:val="center"/>
          </w:tcPr>
          <w:p w14:paraId="457916E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vAlign w:val="center"/>
          </w:tcPr>
          <w:p w14:paraId="089FAC0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vAlign w:val="center"/>
          </w:tcPr>
          <w:p w14:paraId="5493A85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0F8F6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00069642">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vAlign w:val="center"/>
          </w:tcPr>
          <w:p w14:paraId="63AE28F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vAlign w:val="center"/>
          </w:tcPr>
          <w:p w14:paraId="4BF4950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vAlign w:val="center"/>
          </w:tcPr>
          <w:p w14:paraId="060DD20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100</w:t>
            </w:r>
          </w:p>
        </w:tc>
        <w:tc>
          <w:tcPr>
            <w:tcW w:w="622" w:type="dxa"/>
            <w:vAlign w:val="center"/>
          </w:tcPr>
          <w:p w14:paraId="78C8707A">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vAlign w:val="center"/>
          </w:tcPr>
          <w:p w14:paraId="1D177A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67949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467745E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vAlign w:val="center"/>
          </w:tcPr>
          <w:p w14:paraId="30566AA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3EDD854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vAlign w:val="center"/>
          </w:tcPr>
          <w:p w14:paraId="4B30FD88">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vAlign w:val="center"/>
          </w:tcPr>
          <w:p w14:paraId="3051A32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12，8</w:t>
            </w:r>
          </w:p>
        </w:tc>
        <w:tc>
          <w:tcPr>
            <w:tcW w:w="622" w:type="dxa"/>
            <w:vAlign w:val="center"/>
          </w:tcPr>
          <w:p w14:paraId="79AAEE4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vAlign w:val="center"/>
          </w:tcPr>
          <w:p w14:paraId="20EB3C59">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71BF3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3F7261FA">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vAlign w:val="center"/>
          </w:tcPr>
          <w:p w14:paraId="4DBE5B9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vAlign w:val="center"/>
          </w:tcPr>
          <w:p w14:paraId="58F0E74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vAlign w:val="center"/>
          </w:tcPr>
          <w:p w14:paraId="25678E8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5，10</w:t>
            </w:r>
          </w:p>
        </w:tc>
        <w:tc>
          <w:tcPr>
            <w:tcW w:w="622" w:type="dxa"/>
            <w:vAlign w:val="center"/>
          </w:tcPr>
          <w:p w14:paraId="501BEE0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6F10102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1DA45C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715E766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vAlign w:val="center"/>
          </w:tcPr>
          <w:p w14:paraId="23F5D3F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vAlign w:val="center"/>
          </w:tcPr>
          <w:p w14:paraId="4093B58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vAlign w:val="center"/>
          </w:tcPr>
          <w:p w14:paraId="463970C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w:t>
            </w:r>
          </w:p>
        </w:tc>
        <w:tc>
          <w:tcPr>
            <w:tcW w:w="622" w:type="dxa"/>
            <w:vAlign w:val="center"/>
          </w:tcPr>
          <w:p w14:paraId="51A67A4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4A182B66">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74DAC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vAlign w:val="center"/>
          </w:tcPr>
          <w:p w14:paraId="77FE656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vAlign w:val="center"/>
          </w:tcPr>
          <w:p w14:paraId="30FC0A4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vAlign w:val="center"/>
          </w:tcPr>
          <w:p w14:paraId="6C01910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vAlign w:val="center"/>
          </w:tcPr>
          <w:p w14:paraId="2A6DC84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622" w:type="dxa"/>
            <w:vAlign w:val="center"/>
          </w:tcPr>
          <w:p w14:paraId="50946A6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vAlign w:val="center"/>
          </w:tcPr>
          <w:p w14:paraId="021ED17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03F15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shd w:val="clear" w:color="auto" w:fill="auto"/>
            <w:vAlign w:val="center"/>
          </w:tcPr>
          <w:p w14:paraId="6E6744A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垫江县第三中学艺馨园办公楼</w:t>
            </w:r>
          </w:p>
        </w:tc>
        <w:tc>
          <w:tcPr>
            <w:tcW w:w="2860" w:type="dxa"/>
            <w:shd w:val="clear" w:color="auto" w:fill="auto"/>
            <w:vAlign w:val="center"/>
          </w:tcPr>
          <w:p w14:paraId="4CDFA57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shd w:val="clear" w:color="auto" w:fill="auto"/>
            <w:vAlign w:val="center"/>
          </w:tcPr>
          <w:p w14:paraId="3CE6997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shd w:val="clear" w:color="auto" w:fill="auto"/>
            <w:vAlign w:val="center"/>
          </w:tcPr>
          <w:p w14:paraId="5AAEF98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vAlign w:val="center"/>
          </w:tcPr>
          <w:p w14:paraId="0C22A5B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1"/>
                <w:szCs w:val="21"/>
                <w:lang w:val="en-US" w:eastAsia="zh-CN"/>
                <w14:textFill>
                  <w14:solidFill>
                    <w14:schemeClr w14:val="tx1"/>
                  </w14:solidFill>
                </w14:textFill>
              </w:rPr>
            </w:pPr>
          </w:p>
        </w:tc>
      </w:tr>
      <w:tr w14:paraId="50EDD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72258E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shd w:val="clear" w:color="auto" w:fill="auto"/>
            <w:vAlign w:val="center"/>
          </w:tcPr>
          <w:p w14:paraId="07E7785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shd w:val="clear" w:color="auto" w:fill="auto"/>
            <w:vAlign w:val="center"/>
          </w:tcPr>
          <w:p w14:paraId="3444483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shd w:val="clear" w:color="auto" w:fill="auto"/>
            <w:vAlign w:val="center"/>
          </w:tcPr>
          <w:p w14:paraId="6EC2F713">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100</w:t>
            </w:r>
          </w:p>
        </w:tc>
        <w:tc>
          <w:tcPr>
            <w:tcW w:w="622" w:type="dxa"/>
            <w:shd w:val="clear" w:color="auto" w:fill="auto"/>
            <w:vAlign w:val="center"/>
          </w:tcPr>
          <w:p w14:paraId="1FC91E7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2B2DEF5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27DA6B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08AAD49D">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shd w:val="clear" w:color="auto" w:fill="auto"/>
            <w:vAlign w:val="center"/>
          </w:tcPr>
          <w:p w14:paraId="28270CA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678AB660">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shd w:val="clear" w:color="auto" w:fill="auto"/>
            <w:vAlign w:val="center"/>
          </w:tcPr>
          <w:p w14:paraId="0DAF2BF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shd w:val="clear" w:color="auto" w:fill="auto"/>
            <w:vAlign w:val="center"/>
          </w:tcPr>
          <w:p w14:paraId="4FDB54E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18，8</w:t>
            </w:r>
          </w:p>
        </w:tc>
        <w:tc>
          <w:tcPr>
            <w:tcW w:w="622" w:type="dxa"/>
            <w:shd w:val="clear" w:color="auto" w:fill="auto"/>
            <w:vAlign w:val="center"/>
          </w:tcPr>
          <w:p w14:paraId="7FE1E4C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79F144C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20AA82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6CA9F12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shd w:val="clear" w:color="auto" w:fill="auto"/>
            <w:vAlign w:val="center"/>
          </w:tcPr>
          <w:p w14:paraId="7DD182A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shd w:val="clear" w:color="auto" w:fill="auto"/>
            <w:vAlign w:val="center"/>
          </w:tcPr>
          <w:p w14:paraId="53381F7F">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w:t>
            </w:r>
          </w:p>
        </w:tc>
        <w:tc>
          <w:tcPr>
            <w:tcW w:w="832" w:type="dxa"/>
            <w:shd w:val="clear" w:color="auto" w:fill="auto"/>
            <w:vAlign w:val="center"/>
          </w:tcPr>
          <w:p w14:paraId="7F81623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w:t>
            </w:r>
          </w:p>
        </w:tc>
        <w:tc>
          <w:tcPr>
            <w:tcW w:w="622" w:type="dxa"/>
            <w:shd w:val="clear" w:color="auto" w:fill="auto"/>
            <w:vAlign w:val="center"/>
          </w:tcPr>
          <w:p w14:paraId="3B39A40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3A5C517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4046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1B311D9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shd w:val="clear" w:color="auto" w:fill="auto"/>
            <w:vAlign w:val="center"/>
          </w:tcPr>
          <w:p w14:paraId="321ECC7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shd w:val="clear" w:color="auto" w:fill="auto"/>
            <w:vAlign w:val="center"/>
          </w:tcPr>
          <w:p w14:paraId="6C5237B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不锈钢/DN32</w:t>
            </w:r>
          </w:p>
        </w:tc>
        <w:tc>
          <w:tcPr>
            <w:tcW w:w="832" w:type="dxa"/>
            <w:shd w:val="clear" w:color="auto" w:fill="auto"/>
            <w:vAlign w:val="center"/>
          </w:tcPr>
          <w:p w14:paraId="01D3A2E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622" w:type="dxa"/>
            <w:shd w:val="clear" w:color="auto" w:fill="auto"/>
            <w:vAlign w:val="center"/>
          </w:tcPr>
          <w:p w14:paraId="04ABBD1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5F791A91">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392294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2BBD70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shd w:val="clear" w:color="auto" w:fill="auto"/>
            <w:vAlign w:val="center"/>
          </w:tcPr>
          <w:p w14:paraId="0C8A8FF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shd w:val="clear" w:color="auto" w:fill="auto"/>
            <w:vAlign w:val="center"/>
          </w:tcPr>
          <w:p w14:paraId="7EC3AE3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shd w:val="clear" w:color="auto" w:fill="auto"/>
            <w:vAlign w:val="center"/>
          </w:tcPr>
          <w:p w14:paraId="00CB628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622" w:type="dxa"/>
            <w:shd w:val="clear" w:color="auto" w:fill="auto"/>
            <w:vAlign w:val="center"/>
          </w:tcPr>
          <w:p w14:paraId="3B24520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1BEA97B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E372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3586" w:type="dxa"/>
            <w:gridSpan w:val="2"/>
            <w:shd w:val="clear" w:color="auto" w:fill="auto"/>
            <w:vAlign w:val="center"/>
          </w:tcPr>
          <w:p w14:paraId="1D60E849">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垫江县第三中学“摩天轮”宿舍楼</w:t>
            </w:r>
          </w:p>
        </w:tc>
        <w:tc>
          <w:tcPr>
            <w:tcW w:w="2860" w:type="dxa"/>
            <w:shd w:val="clear" w:color="auto" w:fill="auto"/>
            <w:vAlign w:val="center"/>
          </w:tcPr>
          <w:p w14:paraId="4618538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832" w:type="dxa"/>
            <w:shd w:val="clear" w:color="auto" w:fill="auto"/>
            <w:vAlign w:val="center"/>
          </w:tcPr>
          <w:p w14:paraId="23AC8BB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shd w:val="clear" w:color="auto" w:fill="auto"/>
            <w:vAlign w:val="center"/>
          </w:tcPr>
          <w:p w14:paraId="1FB63F21">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p>
        </w:tc>
        <w:tc>
          <w:tcPr>
            <w:tcW w:w="622" w:type="dxa"/>
            <w:tcBorders>
              <w:top w:val="single" w:color="auto" w:sz="4" w:space="0"/>
              <w:bottom w:val="single" w:color="auto" w:sz="4" w:space="0"/>
            </w:tcBorders>
            <w:shd w:val="clear" w:color="auto" w:fill="auto"/>
            <w:vAlign w:val="center"/>
          </w:tcPr>
          <w:p w14:paraId="227E39EC">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3CA2D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6067AE4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w:t>
            </w:r>
          </w:p>
        </w:tc>
        <w:tc>
          <w:tcPr>
            <w:tcW w:w="2494" w:type="dxa"/>
            <w:shd w:val="clear" w:color="auto" w:fill="auto"/>
            <w:vAlign w:val="center"/>
          </w:tcPr>
          <w:p w14:paraId="2763256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给水支管</w:t>
            </w:r>
          </w:p>
        </w:tc>
        <w:tc>
          <w:tcPr>
            <w:tcW w:w="2860" w:type="dxa"/>
            <w:shd w:val="clear" w:color="auto" w:fill="auto"/>
            <w:vAlign w:val="center"/>
          </w:tcPr>
          <w:p w14:paraId="2A3135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PPR管，1.0MPa/DN20</w:t>
            </w:r>
          </w:p>
        </w:tc>
        <w:tc>
          <w:tcPr>
            <w:tcW w:w="832" w:type="dxa"/>
            <w:shd w:val="clear" w:color="auto" w:fill="auto"/>
            <w:vAlign w:val="center"/>
          </w:tcPr>
          <w:p w14:paraId="521B3A6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220</w:t>
            </w:r>
          </w:p>
        </w:tc>
        <w:tc>
          <w:tcPr>
            <w:tcW w:w="622" w:type="dxa"/>
            <w:shd w:val="clear" w:color="auto" w:fill="auto"/>
            <w:vAlign w:val="center"/>
          </w:tcPr>
          <w:p w14:paraId="08B72C6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7E74645B">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4F58F8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11ACDF0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2494" w:type="dxa"/>
            <w:shd w:val="clear" w:color="auto" w:fill="auto"/>
            <w:vAlign w:val="center"/>
          </w:tcPr>
          <w:p w14:paraId="536BB33F">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sz w:val="24"/>
                <w:szCs w:val="24"/>
                <w:lang w:val="en-US" w:eastAsia="zh-CN"/>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给水干</w:t>
            </w:r>
          </w:p>
          <w:p w14:paraId="424A629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立管</w:t>
            </w:r>
          </w:p>
        </w:tc>
        <w:tc>
          <w:tcPr>
            <w:tcW w:w="2860" w:type="dxa"/>
            <w:shd w:val="clear" w:color="auto" w:fill="auto"/>
            <w:vAlign w:val="center"/>
          </w:tcPr>
          <w:p w14:paraId="03B0884C">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钢塑复合管，1.0MPa/DN40,32</w:t>
            </w:r>
          </w:p>
        </w:tc>
        <w:tc>
          <w:tcPr>
            <w:tcW w:w="832" w:type="dxa"/>
            <w:shd w:val="clear" w:color="auto" w:fill="auto"/>
            <w:vAlign w:val="center"/>
          </w:tcPr>
          <w:p w14:paraId="0D1CC0FB">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36，18</w:t>
            </w:r>
          </w:p>
        </w:tc>
        <w:tc>
          <w:tcPr>
            <w:tcW w:w="622" w:type="dxa"/>
            <w:shd w:val="clear" w:color="auto" w:fill="auto"/>
            <w:vAlign w:val="center"/>
          </w:tcPr>
          <w:p w14:paraId="3B6D6B6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米</w:t>
            </w:r>
          </w:p>
        </w:tc>
        <w:tc>
          <w:tcPr>
            <w:tcW w:w="622" w:type="dxa"/>
            <w:tcBorders>
              <w:top w:val="single" w:color="auto" w:sz="4" w:space="0"/>
              <w:bottom w:val="single" w:color="auto" w:sz="4" w:space="0"/>
            </w:tcBorders>
            <w:shd w:val="clear" w:color="auto" w:fill="auto"/>
            <w:vAlign w:val="center"/>
          </w:tcPr>
          <w:p w14:paraId="23457D24">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0B3700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40D752ED">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3</w:t>
            </w:r>
          </w:p>
        </w:tc>
        <w:tc>
          <w:tcPr>
            <w:tcW w:w="2494" w:type="dxa"/>
            <w:shd w:val="clear" w:color="auto" w:fill="auto"/>
            <w:vAlign w:val="center"/>
          </w:tcPr>
          <w:p w14:paraId="440CB7C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截止阀</w:t>
            </w:r>
          </w:p>
        </w:tc>
        <w:tc>
          <w:tcPr>
            <w:tcW w:w="2860" w:type="dxa"/>
            <w:shd w:val="clear" w:color="auto" w:fill="auto"/>
            <w:vAlign w:val="center"/>
          </w:tcPr>
          <w:p w14:paraId="10FDCC96">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铜质/DN32,20</w:t>
            </w:r>
          </w:p>
        </w:tc>
        <w:tc>
          <w:tcPr>
            <w:tcW w:w="832" w:type="dxa"/>
            <w:shd w:val="clear" w:color="auto" w:fill="auto"/>
            <w:vAlign w:val="center"/>
          </w:tcPr>
          <w:p w14:paraId="45D959F8">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12，48</w:t>
            </w:r>
          </w:p>
        </w:tc>
        <w:tc>
          <w:tcPr>
            <w:tcW w:w="622" w:type="dxa"/>
            <w:shd w:val="clear" w:color="auto" w:fill="auto"/>
            <w:vAlign w:val="center"/>
          </w:tcPr>
          <w:p w14:paraId="3E71F19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3FC7B9C0">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774C4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216692A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4</w:t>
            </w:r>
          </w:p>
        </w:tc>
        <w:tc>
          <w:tcPr>
            <w:tcW w:w="2494" w:type="dxa"/>
            <w:shd w:val="clear" w:color="auto" w:fill="auto"/>
            <w:vAlign w:val="center"/>
          </w:tcPr>
          <w:p w14:paraId="1AC3DE7E">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水表</w:t>
            </w:r>
          </w:p>
        </w:tc>
        <w:tc>
          <w:tcPr>
            <w:tcW w:w="2860" w:type="dxa"/>
            <w:shd w:val="clear" w:color="auto" w:fill="auto"/>
            <w:vAlign w:val="center"/>
          </w:tcPr>
          <w:p w14:paraId="60A6D9F3">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不锈钢/DN20</w:t>
            </w:r>
          </w:p>
        </w:tc>
        <w:tc>
          <w:tcPr>
            <w:tcW w:w="832" w:type="dxa"/>
            <w:shd w:val="clear" w:color="auto" w:fill="auto"/>
            <w:vAlign w:val="center"/>
          </w:tcPr>
          <w:p w14:paraId="6A1CA68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24</w:t>
            </w:r>
          </w:p>
        </w:tc>
        <w:tc>
          <w:tcPr>
            <w:tcW w:w="622" w:type="dxa"/>
            <w:shd w:val="clear" w:color="auto" w:fill="auto"/>
            <w:vAlign w:val="center"/>
          </w:tcPr>
          <w:p w14:paraId="751A2D35">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7D958CC7">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r w14:paraId="18D083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0" w:hRule="atLeast"/>
        </w:trPr>
        <w:tc>
          <w:tcPr>
            <w:tcW w:w="1092" w:type="dxa"/>
            <w:shd w:val="clear" w:color="auto" w:fill="auto"/>
            <w:vAlign w:val="center"/>
          </w:tcPr>
          <w:p w14:paraId="45BBD77A">
            <w:pPr>
              <w:keepNext w:val="0"/>
              <w:keepLines w:val="0"/>
              <w:pageBreakBefore w:val="0"/>
              <w:widowControl w:val="0"/>
              <w:kinsoku/>
              <w:wordWrap/>
              <w:overflowPunct/>
              <w:topLinePunct w:val="0"/>
              <w:autoSpaceDE/>
              <w:autoSpaceDN/>
              <w:bidi w:val="0"/>
              <w:adjustRightInd w:val="0"/>
              <w:snapToGrid w:val="0"/>
              <w:spacing w:line="240" w:lineRule="atLeast"/>
              <w:ind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5</w:t>
            </w:r>
          </w:p>
        </w:tc>
        <w:tc>
          <w:tcPr>
            <w:tcW w:w="2494" w:type="dxa"/>
            <w:shd w:val="clear" w:color="auto" w:fill="auto"/>
            <w:vAlign w:val="center"/>
          </w:tcPr>
          <w:p w14:paraId="1A0DDEEE">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放气阀</w:t>
            </w:r>
          </w:p>
        </w:tc>
        <w:tc>
          <w:tcPr>
            <w:tcW w:w="2860" w:type="dxa"/>
            <w:shd w:val="clear" w:color="auto" w:fill="auto"/>
            <w:vAlign w:val="center"/>
          </w:tcPr>
          <w:p w14:paraId="55A25C35">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t>铜质/DN20</w:t>
            </w:r>
          </w:p>
        </w:tc>
        <w:tc>
          <w:tcPr>
            <w:tcW w:w="832" w:type="dxa"/>
            <w:shd w:val="clear" w:color="auto" w:fill="auto"/>
            <w:vAlign w:val="center"/>
          </w:tcPr>
          <w:p w14:paraId="57F3CDE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2</w:t>
            </w:r>
          </w:p>
        </w:tc>
        <w:tc>
          <w:tcPr>
            <w:tcW w:w="622" w:type="dxa"/>
            <w:shd w:val="clear" w:color="auto" w:fill="auto"/>
            <w:vAlign w:val="center"/>
          </w:tcPr>
          <w:p w14:paraId="2FD8B767">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val="0"/>
                <w:color w:val="000000" w:themeColor="text1"/>
                <w:sz w:val="24"/>
                <w:szCs w:val="24"/>
                <w:lang w:val="en-US" w:eastAsia="zh-CN"/>
                <w14:textFill>
                  <w14:solidFill>
                    <w14:schemeClr w14:val="tx1"/>
                  </w14:solidFill>
                </w14:textFill>
              </w:rPr>
              <w:t>个</w:t>
            </w:r>
          </w:p>
        </w:tc>
        <w:tc>
          <w:tcPr>
            <w:tcW w:w="622" w:type="dxa"/>
            <w:tcBorders>
              <w:top w:val="single" w:color="auto" w:sz="4" w:space="0"/>
              <w:bottom w:val="single" w:color="auto" w:sz="4" w:space="0"/>
            </w:tcBorders>
            <w:shd w:val="clear" w:color="auto" w:fill="auto"/>
            <w:vAlign w:val="center"/>
          </w:tcPr>
          <w:p w14:paraId="2353B4D4">
            <w:pPr>
              <w:keepNext w:val="0"/>
              <w:keepLines w:val="0"/>
              <w:pageBreakBefore w:val="0"/>
              <w:widowControl w:val="0"/>
              <w:kinsoku/>
              <w:wordWrap/>
              <w:overflowPunct/>
              <w:topLinePunct w:val="0"/>
              <w:autoSpaceDE/>
              <w:autoSpaceDN/>
              <w:bidi w:val="0"/>
              <w:adjustRightInd w:val="0"/>
              <w:snapToGrid w:val="0"/>
              <w:spacing w:line="240" w:lineRule="atLeast"/>
              <w:ind w:left="0" w:leftChars="0" w:firstLine="0" w:firstLineChars="0"/>
              <w:jc w:val="center"/>
              <w:textAlignment w:val="auto"/>
              <w:rPr>
                <w:rFonts w:hint="eastAsia" w:ascii="宋体" w:hAnsi="宋体" w:eastAsia="宋体" w:cs="宋体"/>
                <w:b w:val="0"/>
                <w:bCs w:val="0"/>
                <w:color w:val="000000" w:themeColor="text1"/>
                <w:kern w:val="2"/>
                <w:sz w:val="21"/>
                <w:szCs w:val="21"/>
                <w:lang w:val="en-US" w:eastAsia="zh-CN" w:bidi="ar-SA"/>
                <w14:textFill>
                  <w14:solidFill>
                    <w14:schemeClr w14:val="tx1"/>
                  </w14:solidFill>
                </w14:textFill>
              </w:rPr>
            </w:pPr>
          </w:p>
        </w:tc>
      </w:tr>
    </w:tbl>
    <w:p w14:paraId="16BE42F9">
      <w:pPr>
        <w:bidi w:val="0"/>
        <w:rPr>
          <w:rFonts w:hint="eastAsia" w:ascii="宋体" w:hAnsi="宋体" w:eastAsia="宋体" w:cs="宋体"/>
          <w:sz w:val="24"/>
          <w:szCs w:val="24"/>
          <w:lang w:val="en-US" w:eastAsia="zh-CN"/>
        </w:rPr>
      </w:pPr>
    </w:p>
    <w:p w14:paraId="6941B368">
      <w:pPr>
        <w:bidi w:val="0"/>
        <w:rPr>
          <w:rFonts w:hint="eastAsia" w:ascii="宋体" w:hAnsi="宋体" w:eastAsia="宋体" w:cs="宋体"/>
          <w:sz w:val="24"/>
          <w:szCs w:val="24"/>
          <w:lang w:val="en-US" w:eastAsia="zh-CN"/>
        </w:rPr>
      </w:pPr>
    </w:p>
    <w:p w14:paraId="42879EDB">
      <w:pPr>
        <w:bidi w:val="0"/>
        <w:rPr>
          <w:rFonts w:hint="eastAsia" w:ascii="宋体" w:hAnsi="宋体" w:eastAsia="宋体" w:cs="宋体"/>
          <w:sz w:val="24"/>
          <w:szCs w:val="24"/>
          <w:lang w:val="en-US" w:eastAsia="zh-CN"/>
        </w:rPr>
      </w:pPr>
    </w:p>
    <w:p w14:paraId="3278F84E">
      <w:pPr>
        <w:bidi w:val="0"/>
        <w:rPr>
          <w:rFonts w:hint="eastAsia" w:ascii="宋体" w:hAnsi="宋体" w:eastAsia="宋体" w:cs="宋体"/>
          <w:sz w:val="24"/>
          <w:szCs w:val="24"/>
          <w:lang w:val="en-US" w:eastAsia="zh-CN"/>
        </w:rPr>
      </w:pPr>
    </w:p>
    <w:p w14:paraId="1DA8E849">
      <w:pPr>
        <w:bidi w:val="0"/>
        <w:rPr>
          <w:rFonts w:hint="eastAsia" w:ascii="宋体" w:hAnsi="宋体" w:eastAsia="宋体" w:cs="宋体"/>
          <w:sz w:val="24"/>
          <w:szCs w:val="24"/>
          <w:lang w:val="en-US" w:eastAsia="zh-CN"/>
        </w:rPr>
      </w:pPr>
    </w:p>
    <w:p w14:paraId="528A70A3">
      <w:pPr>
        <w:bidi w:val="0"/>
        <w:rPr>
          <w:rFonts w:hint="eastAsia" w:ascii="宋体" w:hAnsi="宋体" w:eastAsia="宋体" w:cs="宋体"/>
          <w:sz w:val="24"/>
          <w:szCs w:val="24"/>
          <w:lang w:val="en-US" w:eastAsia="zh-CN"/>
        </w:rPr>
      </w:pPr>
    </w:p>
    <w:p w14:paraId="6F1616FA">
      <w:pPr>
        <w:bidi w:val="0"/>
        <w:rPr>
          <w:rFonts w:hint="eastAsia" w:ascii="宋体" w:hAnsi="宋体" w:eastAsia="宋体" w:cs="宋体"/>
          <w:sz w:val="24"/>
          <w:szCs w:val="24"/>
          <w:lang w:val="en-US" w:eastAsia="zh-CN"/>
        </w:rPr>
      </w:pPr>
      <w:r>
        <w:rPr>
          <w:rFonts w:hint="eastAsia" w:asciiTheme="minorEastAsia" w:hAnsiTheme="minorEastAsia" w:eastAsiaTheme="minorEastAsia" w:cstheme="minorEastAsia"/>
          <w:sz w:val="30"/>
          <w:szCs w:val="30"/>
          <w:highlight w:val="none"/>
          <w:lang w:val="en-US" w:eastAsia="zh-CN"/>
        </w:rPr>
        <w:t>6</w:t>
      </w:r>
      <w:r>
        <w:rPr>
          <w:rFonts w:hint="eastAsia" w:asciiTheme="minorEastAsia" w:hAnsiTheme="minorEastAsia" w:cstheme="minorEastAsia"/>
          <w:sz w:val="30"/>
          <w:szCs w:val="30"/>
          <w:highlight w:val="none"/>
          <w:lang w:val="en-US" w:eastAsia="zh-CN"/>
        </w:rPr>
        <w:t>.1.7</w:t>
      </w:r>
      <w:r>
        <w:rPr>
          <w:rFonts w:hint="eastAsia" w:asciiTheme="minorEastAsia" w:hAnsiTheme="minorEastAsia" w:eastAsiaTheme="minorEastAsia" w:cstheme="minorEastAsia"/>
          <w:sz w:val="30"/>
          <w:szCs w:val="30"/>
          <w:highlight w:val="none"/>
          <w:lang w:val="en-US" w:eastAsia="zh-CN"/>
        </w:rPr>
        <w:t>给排水改造附</w:t>
      </w:r>
      <w:r>
        <w:rPr>
          <w:rFonts w:hint="eastAsia" w:asciiTheme="minorEastAsia" w:hAnsiTheme="minorEastAsia" w:cstheme="minorEastAsia"/>
          <w:sz w:val="30"/>
          <w:szCs w:val="30"/>
          <w:highlight w:val="none"/>
          <w:lang w:val="en-US" w:eastAsia="zh-CN"/>
        </w:rPr>
        <w:t>图</w:t>
      </w:r>
    </w:p>
    <w:p w14:paraId="24043BD5">
      <w:pPr>
        <w:bidi w:val="0"/>
        <w:rPr>
          <w:rFonts w:hint="eastAsia" w:ascii="宋体" w:hAnsi="宋体" w:eastAsia="宋体" w:cs="宋体"/>
          <w:sz w:val="24"/>
          <w:szCs w:val="24"/>
          <w:lang w:val="en-US" w:eastAsia="zh-CN"/>
        </w:rPr>
      </w:pPr>
    </w:p>
    <w:p w14:paraId="5343A487">
      <w:pPr>
        <w:bidi w:val="0"/>
        <w:rPr>
          <w:rFonts w:hint="eastAsia" w:ascii="宋体" w:hAnsi="宋体" w:eastAsia="宋体" w:cs="宋体"/>
          <w:sz w:val="24"/>
          <w:szCs w:val="24"/>
          <w:lang w:val="en-US" w:eastAsia="zh-CN"/>
        </w:rPr>
      </w:pPr>
    </w:p>
    <w:p w14:paraId="5245F84D">
      <w:pPr>
        <w:bidi w:val="0"/>
        <w:rPr>
          <w:rFonts w:hint="eastAsia" w:ascii="宋体" w:hAnsi="宋体" w:eastAsia="宋体" w:cs="宋体"/>
          <w:sz w:val="24"/>
          <w:szCs w:val="24"/>
          <w:lang w:val="en-US" w:eastAsia="zh-CN"/>
        </w:rPr>
      </w:pPr>
    </w:p>
    <w:p w14:paraId="01853760">
      <w:pPr>
        <w:numPr>
          <w:ilvl w:val="0"/>
          <w:numId w:val="0"/>
        </w:numPr>
        <w:ind w:firstLine="480" w:firstLineChars="200"/>
        <w:rPr>
          <w:rFonts w:hint="eastAsia" w:asciiTheme="minorEastAsia" w:hAnsiTheme="minorEastAsia" w:eastAsiaTheme="minorEastAsia" w:cstheme="minorEastAsia"/>
          <w:sz w:val="30"/>
          <w:szCs w:val="30"/>
          <w:highlight w:val="none"/>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5" name="图片 3" descr="垫江三中房屋改造平面图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descr="垫江三中房屋改造平面图01"/>
                    <pic:cNvPicPr>
                      <a:picLocks noChangeAspect="1"/>
                    </pic:cNvPicPr>
                  </pic:nvPicPr>
                  <pic:blipFill>
                    <a:blip r:embed="rId15"/>
                    <a:stretch>
                      <a:fillRect/>
                    </a:stretch>
                  </pic:blipFill>
                  <pic:spPr>
                    <a:xfrm>
                      <a:off x="0" y="0"/>
                      <a:ext cx="5263515" cy="7442835"/>
                    </a:xfrm>
                    <a:prstGeom prst="rect">
                      <a:avLst/>
                    </a:prstGeom>
                  </pic:spPr>
                </pic:pic>
              </a:graphicData>
            </a:graphic>
          </wp:inline>
        </w:drawing>
      </w:r>
    </w:p>
    <w:p w14:paraId="6B4E81EF">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8787765" cy="6214110"/>
            <wp:effectExtent l="0" t="0" r="15240" b="13335"/>
            <wp:docPr id="8" name="图片 4" descr="垫江三中房屋改造平面图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垫江三中房屋改造平面图02"/>
                    <pic:cNvPicPr>
                      <a:picLocks noChangeAspect="1"/>
                    </pic:cNvPicPr>
                  </pic:nvPicPr>
                  <pic:blipFill>
                    <a:blip r:embed="rId16"/>
                    <a:stretch>
                      <a:fillRect/>
                    </a:stretch>
                  </pic:blipFill>
                  <pic:spPr>
                    <a:xfrm rot="5400000">
                      <a:off x="0" y="0"/>
                      <a:ext cx="8787765" cy="6214110"/>
                    </a:xfrm>
                    <a:prstGeom prst="rect">
                      <a:avLst/>
                    </a:prstGeom>
                  </pic:spPr>
                </pic:pic>
              </a:graphicData>
            </a:graphic>
          </wp:inline>
        </w:drawing>
      </w:r>
    </w:p>
    <w:p w14:paraId="1C435E5A">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11" name="图片 5" descr="垫江三中房屋改造平面图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垫江三中房屋改造平面图03"/>
                    <pic:cNvPicPr>
                      <a:picLocks noChangeAspect="1"/>
                    </pic:cNvPicPr>
                  </pic:nvPicPr>
                  <pic:blipFill>
                    <a:blip r:embed="rId17"/>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773795" cy="6203950"/>
            <wp:effectExtent l="0" t="0" r="6350" b="8255"/>
            <wp:docPr id="14" name="图片 6" descr="垫江三中房屋改造平面图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descr="垫江三中房屋改造平面图04"/>
                    <pic:cNvPicPr>
                      <a:picLocks noChangeAspect="1"/>
                    </pic:cNvPicPr>
                  </pic:nvPicPr>
                  <pic:blipFill>
                    <a:blip r:embed="rId18"/>
                    <a:stretch>
                      <a:fillRect/>
                    </a:stretch>
                  </pic:blipFill>
                  <pic:spPr>
                    <a:xfrm rot="5400000">
                      <a:off x="0" y="0"/>
                      <a:ext cx="8773795" cy="6203950"/>
                    </a:xfrm>
                    <a:prstGeom prst="rect">
                      <a:avLst/>
                    </a:prstGeom>
                  </pic:spPr>
                </pic:pic>
              </a:graphicData>
            </a:graphic>
          </wp:inline>
        </w:drawing>
      </w:r>
    </w:p>
    <w:p w14:paraId="0AB048B1">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17" name="图片 7" descr="垫江三中房屋改造平面图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垫江三中房屋改造平面图05"/>
                    <pic:cNvPicPr>
                      <a:picLocks noChangeAspect="1"/>
                    </pic:cNvPicPr>
                  </pic:nvPicPr>
                  <pic:blipFill>
                    <a:blip r:embed="rId19"/>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807450" cy="6227445"/>
            <wp:effectExtent l="0" t="0" r="1905" b="12700"/>
            <wp:docPr id="20" name="图片 8" descr="垫江三中房屋改造平面图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8" descr="垫江三中房屋改造平面图06"/>
                    <pic:cNvPicPr>
                      <a:picLocks noChangeAspect="1"/>
                    </pic:cNvPicPr>
                  </pic:nvPicPr>
                  <pic:blipFill>
                    <a:blip r:embed="rId20"/>
                    <a:stretch>
                      <a:fillRect/>
                    </a:stretch>
                  </pic:blipFill>
                  <pic:spPr>
                    <a:xfrm rot="5400000">
                      <a:off x="0" y="0"/>
                      <a:ext cx="8807450" cy="6227445"/>
                    </a:xfrm>
                    <a:prstGeom prst="rect">
                      <a:avLst/>
                    </a:prstGeom>
                  </pic:spPr>
                </pic:pic>
              </a:graphicData>
            </a:graphic>
          </wp:inline>
        </w:drawing>
      </w:r>
    </w:p>
    <w:p w14:paraId="3B1640DB">
      <w:pPr>
        <w:bidi w:val="0"/>
        <w:rPr>
          <w:rFonts w:hint="default" w:ascii="宋体" w:hAnsi="宋体" w:eastAsia="宋体" w:cs="宋体"/>
          <w:sz w:val="24"/>
          <w:szCs w:val="24"/>
          <w:lang w:val="en-US" w:eastAsia="zh-CN"/>
        </w:rPr>
      </w:pPr>
      <w:r>
        <w:rPr>
          <w:rFonts w:hint="default" w:ascii="宋体" w:hAnsi="宋体" w:eastAsia="宋体" w:cs="宋体"/>
          <w:sz w:val="24"/>
          <w:szCs w:val="24"/>
          <w:lang w:val="en-US" w:eastAsia="zh-CN"/>
        </w:rPr>
        <w:drawing>
          <wp:inline distT="0" distB="0" distL="114300" distR="114300">
            <wp:extent cx="5263515" cy="7442835"/>
            <wp:effectExtent l="0" t="0" r="13335" b="5715"/>
            <wp:docPr id="23" name="图片 9" descr="垫江三中房屋改造平面图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9" descr="垫江三中房屋改造平面图07"/>
                    <pic:cNvPicPr>
                      <a:picLocks noChangeAspect="1"/>
                    </pic:cNvPicPr>
                  </pic:nvPicPr>
                  <pic:blipFill>
                    <a:blip r:embed="rId21"/>
                    <a:stretch>
                      <a:fillRect/>
                    </a:stretch>
                  </pic:blipFill>
                  <pic:spPr>
                    <a:xfrm>
                      <a:off x="0" y="0"/>
                      <a:ext cx="5263515" cy="7442835"/>
                    </a:xfrm>
                    <a:prstGeom prst="rect">
                      <a:avLst/>
                    </a:prstGeom>
                  </pic:spPr>
                </pic:pic>
              </a:graphicData>
            </a:graphic>
          </wp:inline>
        </w:drawing>
      </w:r>
      <w:r>
        <w:rPr>
          <w:rFonts w:hint="default" w:ascii="宋体" w:hAnsi="宋体" w:eastAsia="宋体" w:cs="宋体"/>
          <w:sz w:val="24"/>
          <w:szCs w:val="24"/>
          <w:lang w:val="en-US" w:eastAsia="zh-CN"/>
        </w:rPr>
        <w:drawing>
          <wp:inline distT="0" distB="0" distL="114300" distR="114300">
            <wp:extent cx="8816340" cy="6233795"/>
            <wp:effectExtent l="0" t="0" r="14605" b="3810"/>
            <wp:docPr id="26" name="图片 10" descr="垫江三中房屋改造平面图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0" descr="垫江三中房屋改造平面图08"/>
                    <pic:cNvPicPr>
                      <a:picLocks noChangeAspect="1"/>
                    </pic:cNvPicPr>
                  </pic:nvPicPr>
                  <pic:blipFill>
                    <a:blip r:embed="rId22"/>
                    <a:stretch>
                      <a:fillRect/>
                    </a:stretch>
                  </pic:blipFill>
                  <pic:spPr>
                    <a:xfrm rot="5400000">
                      <a:off x="0" y="0"/>
                      <a:ext cx="8816340" cy="6233795"/>
                    </a:xfrm>
                    <a:prstGeom prst="rect">
                      <a:avLst/>
                    </a:prstGeom>
                  </pic:spPr>
                </pic:pic>
              </a:graphicData>
            </a:graphic>
          </wp:inline>
        </w:drawing>
      </w:r>
    </w:p>
    <w:p w14:paraId="64DFC13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6.2电气专业</w:t>
      </w:r>
    </w:p>
    <w:p w14:paraId="44E7AF6D">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6.2.1遵循的规范及标准</w:t>
      </w:r>
    </w:p>
    <w:p w14:paraId="1ECF989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1.《建筑电气与智能化通用规范》GB55024-2022；</w:t>
      </w:r>
    </w:p>
    <w:p w14:paraId="2BDB460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2.《建筑防火通用规范》GB55037-2022； </w:t>
      </w:r>
    </w:p>
    <w:p w14:paraId="1C35504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3.《建筑环境通用规范》GB 55016-2021；</w:t>
      </w:r>
    </w:p>
    <w:p w14:paraId="7D3F872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4.《建筑节能与可再生能源利用通用规范》GB55015-2021；</w:t>
      </w:r>
    </w:p>
    <w:p w14:paraId="28D27FC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5.《建筑设计防火规范》GB50016-2014（2018年版）； </w:t>
      </w:r>
    </w:p>
    <w:p w14:paraId="374A8DF1">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6.《安全防范工程通用规范》GB55029-2022；</w:t>
      </w:r>
    </w:p>
    <w:p w14:paraId="32EDFA1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7.《民用建筑电气设计标准》GB51348-2019； </w:t>
      </w:r>
    </w:p>
    <w:p w14:paraId="01960301">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8.《建筑机电工程抗震设计规范》GB50981-2014； </w:t>
      </w:r>
    </w:p>
    <w:p w14:paraId="1E9C782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9.《建筑物防雷设计规范》GB50057-2010； </w:t>
      </w:r>
    </w:p>
    <w:p w14:paraId="4398A39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10.《低压配电设计规范》GB50054-2011； </w:t>
      </w:r>
    </w:p>
    <w:p w14:paraId="63A0655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11.《供配电系统设计规范》GB50052-2009； </w:t>
      </w:r>
    </w:p>
    <w:p w14:paraId="7F086774">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12.《建筑照明设计标准》GB/T50034-2024； </w:t>
      </w:r>
    </w:p>
    <w:p w14:paraId="594B60CA">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13.国家和地方与本工程有关的其它现行设计规范、标准、法规和条例； </w:t>
      </w:r>
    </w:p>
    <w:p w14:paraId="54D70DA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14.甲方提供的设计任务书及设计要求。 </w:t>
      </w:r>
    </w:p>
    <w:p w14:paraId="382AA29F">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6.2.2设计资料</w:t>
      </w:r>
    </w:p>
    <w:p w14:paraId="3B516A8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建设单位提供的本工程有关资料和设计任务书；</w:t>
      </w:r>
    </w:p>
    <w:p w14:paraId="6818E4D3">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建设单位提供的红线内1：500实测地形管线图。</w:t>
      </w:r>
    </w:p>
    <w:p w14:paraId="15AAC90C">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6.2.3设计原则</w:t>
      </w:r>
    </w:p>
    <w:p w14:paraId="4D59F63B">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原建筑室内配电系统破损老旧，出现线路破损等状况。本次将其原系统修复。</w:t>
      </w:r>
    </w:p>
    <w:p w14:paraId="151D6419">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6.2.4配电系统</w:t>
      </w:r>
    </w:p>
    <w:p w14:paraId="015EEA4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本工程供电电源为380/220V低压电源，从原楼栋总配电箱引入单电源供电。</w:t>
      </w:r>
    </w:p>
    <w:p w14:paraId="0E04F85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既有建筑电气改造工程的设计，应在对既有建筑供配电系统、照明系统和防雷接地系统现场检查、评定的基础上，根据改造后建筑物的用电负荷情况和使用要求进行供配电系统、照明系统和防雷接地系统设计。</w:t>
      </w:r>
    </w:p>
    <w:p w14:paraId="3E77D42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220/380V低压配电系统采用放射式与树干式相结合的方式，对于单台容量较大的负荷或重要负荷采用放射式供电，照明及一般负荷采用树干式与放射式相结合的配电方式</w:t>
      </w:r>
      <w:r>
        <w:rPr>
          <w:rFonts w:hint="eastAsia" w:asciiTheme="minorEastAsia" w:hAnsiTheme="minorEastAsia" w:eastAsiaTheme="minorEastAsia" w:cstheme="minorEastAsia"/>
          <w:sz w:val="30"/>
          <w:szCs w:val="30"/>
          <w:highlight w:val="none"/>
          <w:lang w:val="en-US" w:eastAsia="zh-CN"/>
        </w:rPr>
        <w:t>。</w:t>
      </w:r>
    </w:p>
    <w:p w14:paraId="6326A16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配电线路设短路和过负荷保护，对于突然断电比过负荷造成的损失更大的线路，该线路的过负荷保护只作用于报警而作用于不跳闸。</w:t>
      </w:r>
    </w:p>
    <w:p w14:paraId="3A47649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配电线路断路器的短路保护应在短路电流对导体和连接件产生的热效应和机械力造成危险之前切断短路电流。</w:t>
      </w:r>
    </w:p>
    <w:p w14:paraId="7E60937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本工程计量仪表均选用数字式仪表过负荷型，准确度为0.5级。其中电能表过载应在4倍以上。</w:t>
      </w:r>
    </w:p>
    <w:p w14:paraId="28D88352">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6.2.5 照明系统</w:t>
      </w:r>
    </w:p>
    <w:p w14:paraId="6BE7FAE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1、本工程替换原有楼道灯具，楼梯间采用吸顶节能灯、走道采用吸顶节能灯或嵌入式节能筒灯。</w:t>
      </w:r>
    </w:p>
    <w:p w14:paraId="52FCCF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开关、插座和照明灯具靠近可燃物时，应采取隔热、散热等防火措施。</w:t>
      </w:r>
    </w:p>
    <w:p w14:paraId="5AB0208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卤钨灯和额定功率不小于100W的白炽灯泡的吸顶灯、槽灯、嵌入式灯，其引入线应采用瓷管、矿棉等不燃材料作隔热保护。</w:t>
      </w:r>
    </w:p>
    <w:p w14:paraId="1005F97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额定功率不小于60W 的白炽灯、卤鸽灯、高压纳灯、金属卤化物灯、荧光高压汞灯(包括电感镇流器)等，不应直接安装在可燃物体上或采取其他防火措施。</w:t>
      </w:r>
    </w:p>
    <w:p w14:paraId="7AAB2D7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、照明控制：</w:t>
      </w:r>
      <w:r>
        <w:rPr>
          <w:rFonts w:hint="eastAsia" w:asciiTheme="minorEastAsia" w:hAnsiTheme="minorEastAsia" w:eastAsiaTheme="minorEastAsia" w:cstheme="minorEastAsia"/>
          <w:sz w:val="30"/>
          <w:szCs w:val="30"/>
          <w:highlight w:val="none"/>
          <w:lang w:val="en-US" w:eastAsia="zh-CN"/>
        </w:rPr>
        <w:t>楼梯间灯具采用红外感应开关控制，楼道间灯具</w:t>
      </w:r>
      <w:r>
        <w:rPr>
          <w:rFonts w:hint="default" w:asciiTheme="minorEastAsia" w:hAnsiTheme="minorEastAsia" w:eastAsiaTheme="minorEastAsia" w:cstheme="minorEastAsia"/>
          <w:sz w:val="30"/>
          <w:szCs w:val="30"/>
          <w:highlight w:val="none"/>
          <w:lang w:val="en-US" w:eastAsia="zh-CN"/>
        </w:rPr>
        <w:t>采用普通开关就地控制。</w:t>
      </w:r>
    </w:p>
    <w:p w14:paraId="2E5F4518">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6.2.6 线路敷设</w:t>
      </w:r>
    </w:p>
    <w:p w14:paraId="3A363C4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1、本工程消防及非消防荷配电电线电缆均需符合《民用建筑电线电缆防火设计标准》DBJ50/T-164-2021及《电缆及光缆燃烧性能分级》GB 31247-2014规定，电线电缆满足燃烧性能B2级、产烟毒性为t2级、燃烧滴落物/微粒等级为d2级的要求。</w:t>
      </w:r>
    </w:p>
    <w:p w14:paraId="566DCB4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所有线路采用铜芯导线、电缆。普通公共设施配电干线、分支干线采用WDZB-YJY-B2电缆，公共照明支线出线路采用WDZC-BYJ-B2导线；其他非消防支线采用WDZC-BYJ-B2导线。</w:t>
      </w:r>
    </w:p>
    <w:p w14:paraId="712E2606">
      <w:pPr>
        <w:numPr>
          <w:ilvl w:val="0"/>
          <w:numId w:val="0"/>
        </w:numPr>
        <w:ind w:firstLine="600" w:firstLineChars="200"/>
        <w:rPr>
          <w:rFonts w:hint="eastAsia"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普通用电负荷线缆沿专用电缆桥架引至各配电箱。所有线缆从竖井至末端线路暗敷于楼板时穿JDG金属管或SC钢管。配电线路不得穿越通风管道内腔或直接敷设在通风管道外壁上。配电线路明敷时采取穿金属导管、采用封闭式金属桥架等防火保护措施。</w:t>
      </w:r>
    </w:p>
    <w:p w14:paraId="761F48D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管线暗敷于楼板内应分散布置，在交叉处采用线盒等措施。管道直径不超过楼板厚度的1/3，管道重叠不超过两层。为保证线路运行安全和防火、阻燃要求，布线用刚性塑料导管(槽)及附件必须选用非火焰蔓延类制品。当非消防电线导管暗敷设在楼板、墙体内时，其与楼板、墙体表面的外护层厚度不应小于15mm。</w:t>
      </w:r>
    </w:p>
    <w:p w14:paraId="147BF78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导线穿管标准（详见国标图集19DX101-1及地方标准）</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埋设于地下或混凝土楼板内的PVC管应采用重型PVC-U B1级阻燃电工用硬聚氯乙烯管材（本图简称为PC管）制作工艺应符合JG/T3050等国家标准；SC管制作工艺应符合GB/T3091-2008等国家标准；KBG管制作工艺应符合GB/T20041.21-2017等国家标准，并满足说明相关规范壁厚要求。</w:t>
      </w:r>
    </w:p>
    <w:p w14:paraId="5FD8EFC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灯具吸吊顶安装时,从接线盒至灯具的导线穿金属软管保护,金属软管长度不宜大于1.2m。动力管线具体管径及敷设方式详见系统图或平面图标注。</w:t>
      </w:r>
    </w:p>
    <w:p w14:paraId="2F66D5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住宅户内、公共区域的照明线路均标明开关与灯具的控制逻辑关系。室内安装的Ⅰ类灯具之金属外壳均与PE专用保护线可靠连接。</w:t>
      </w:r>
    </w:p>
    <w:p w14:paraId="066D74D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和各类管道穿过防火墙、防火隔墙、竖井井壁、建筑变形缝处和楼板处的孔隙应采取防火封堵措施。防火封堵组件的耐火性能不应低于防火分隔部位的耐火性能要求。线路穿越楼板位置，在安装完毕须将孔洞采用不低于楼板耐火极限的不燃材料或防火封堵材料封堵；穿越防火分区隔墙位置，在电缆敷设后须采用不低于原建筑构造耐火极限的防火封堵材料做严密封堵处理，当保护管、桥架等内截≥710</w:t>
      </w:r>
      <w:r>
        <w:rPr>
          <w:rFonts w:hint="eastAsia" w:asciiTheme="minorEastAsia" w:hAnsiTheme="minorEastAsia" w:eastAsiaTheme="minorEastAsia" w:cstheme="minorEastAsia"/>
          <w:sz w:val="30"/>
          <w:szCs w:val="30"/>
          <w:highlight w:val="none"/>
          <w:lang w:val="en-US" w:eastAsia="zh-CN"/>
        </w:rPr>
        <w:t>mm²</w:t>
      </w:r>
      <w:r>
        <w:rPr>
          <w:rFonts w:hint="default" w:asciiTheme="minorEastAsia" w:hAnsiTheme="minorEastAsia" w:eastAsiaTheme="minorEastAsia" w:cstheme="minorEastAsia"/>
          <w:sz w:val="30"/>
          <w:szCs w:val="30"/>
          <w:highlight w:val="none"/>
          <w:lang w:val="en-US" w:eastAsia="zh-CN"/>
        </w:rPr>
        <w:t>时，需从内部封堵。线路穿越人防密闭墙位置，需预埋热镀锌密闭钢套管，并采取密闭措施。</w:t>
      </w:r>
    </w:p>
    <w:p w14:paraId="28F0749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过负荷及短路保护开关与回路导体载流量减小处的距离不超过3米，该段线路需采取防止机械损伤等保护措施，且远离可燃物。</w:t>
      </w:r>
    </w:p>
    <w:p w14:paraId="7D324BC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箱（柜）上方不应有水管和其它无关管道通过。</w:t>
      </w:r>
    </w:p>
    <w:p w14:paraId="1915E0C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凡管线经过伸缩沉降缝时应做好伸缩补偿装置,应按照D301-1~3《室内管线安装（2004年合订本）》中对应做法进行施工。</w:t>
      </w:r>
    </w:p>
    <w:p w14:paraId="793E2FC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照明、插座分回路配电，照明回路为单相三线，灯具的外露可导电部分应可靠接地；插座回路为单相三线，采用漏电断路器保护）。普通照明灯具均为I类，不得采用0类灯具。</w:t>
      </w:r>
    </w:p>
    <w:p w14:paraId="156EC23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强电桥架内电线电缆的总截面不大于桥架截面的20%；强电桥架内电线电缆的总截面不大于桥架截面的40%。强、弱电线路不得共管、共桥架敷设。电力管线与其它管道之间的最小距离按相关施工验收规范确定。电缆与电线同桥架敷设时，桥架内应设置分隔，并分别敷设在不同的分隔槽内。</w:t>
      </w:r>
    </w:p>
    <w:p w14:paraId="384EC72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本图内电缆桥架的设计和架设路由如图所示。其中，非消防配电电缆应以在桥架上单层并排无间距敷设来确定其最终的桥架宽度、边高和层数</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在实际施工现场来进行配置和调整。</w:t>
      </w:r>
    </w:p>
    <w:p w14:paraId="29D7526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当金属导管与热水管、蒸汽管同侧敷设时，敷设在热水管、蒸汽管的下方。相互间的净距宜符合下列规定：</w:t>
      </w:r>
    </w:p>
    <w:p w14:paraId="47479E9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当金属导管平行敷设在热水管下方时，净距不宜小于200mm；交叉敷设时，净距不宜小于100mm；</w:t>
      </w:r>
    </w:p>
    <w:p w14:paraId="5C283DE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当电线管路敷设在蒸汽管下方时净距不宜小于500mm；交叉敷设时，净距不宜小于300mm；</w:t>
      </w:r>
    </w:p>
    <w:p w14:paraId="26DB0AE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当不能符合上述要求时，应采取隔热措施；当蒸汽管有保温措施时，金属导管与蒸汽管间的净距可减至200mm；</w:t>
      </w:r>
    </w:p>
    <w:p w14:paraId="6F33B9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金属导管与其他管道（不包括可燃气体及易燃、可燃液体管道）的平行净距不应小于100mm；交叉净距不应小于50mm。</w:t>
      </w:r>
    </w:p>
    <w:p w14:paraId="0FCC7C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缆桥架水平敷设时，底边距地高度不低于2.2m。除敷设在配电间或竖井内，垂直敷设的线路1.8m以下应加金属盖板保护。电缆桥架水平敷设时，上部预留检修空间，并根据风管、水管等位置优化调整，敷设在吊顶内。桥架托架间距为1.5~2米。桥架内设置隔板，双回路供电的工作回路电缆和备用回路电缆分别敷设于隔板两侧。两段桥架之间采用截面不小于4mm2的铜芯导线或编织铜线跨接。具体做法详见国标图集04D701-3《电缆桥架安装》、08D800-6《民用建筑电气设计与施工-室内布线》等。</w:t>
      </w:r>
    </w:p>
    <w:p w14:paraId="3B9E834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电缆桥架多层敷设时，层间距离应满足敷设和维护需要，并符合下列规定：</w:t>
      </w:r>
    </w:p>
    <w:p w14:paraId="4FAF7EB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电力电缆的电缆桥架间距不应小于0.3m；</w:t>
      </w:r>
    </w:p>
    <w:p w14:paraId="508B4F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电信电缆与电力电缆的电缆桥架间距不小于0.5m,当有屏蔽盖板时可减少到0.3m；</w:t>
      </w:r>
    </w:p>
    <w:p w14:paraId="2841CA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控制电缆的电缆桥架间距不应小于0.2m；</w:t>
      </w:r>
    </w:p>
    <w:p w14:paraId="28577BA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最上层的电缆桥架的上部距顶棚、楼板或梁等不小于0.15m。</w:t>
      </w:r>
    </w:p>
    <w:p w14:paraId="17DC979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当两组或两组以上电缆桥架在同一高度平行敷设时，各相邻电缆桥架间应预留维护、检修距离，且不小于0.2m。</w:t>
      </w:r>
    </w:p>
    <w:p w14:paraId="1DE10ED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矿物绝缘电缆中间连接附件的耐火等级不得低于电缆本体的耐火等级。电缆应分回路进出配电箱，并采用金属件固定或金属线绑扎，不得形成闭合铁磁回路</w:t>
      </w:r>
      <w:r>
        <w:rPr>
          <w:rFonts w:hint="eastAsia" w:asciiTheme="minorEastAsia" w:hAnsiTheme="minorEastAsia" w:eastAsiaTheme="minorEastAsia" w:cstheme="minorEastAsia"/>
          <w:sz w:val="30"/>
          <w:szCs w:val="30"/>
          <w:highlight w:val="none"/>
          <w:lang w:val="en-US" w:eastAsia="zh-CN"/>
        </w:rPr>
        <w:t>。</w:t>
      </w:r>
    </w:p>
    <w:p w14:paraId="24B3257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电缆穿过钢套管或钢筋混凝土楼板、墙体的预留洞时，需分回路敷设。电缆首末端、分支处及中间接头处应设置标志牌。当电缆铜护套作为保护导体使用时，终端接地铜片最小截面积不得小于电缆铜护套截面积，电缆接地连接线允许最小截面积不得小于中性线截面积。电线或电缆在桥架内不应设置接头。当确需在桥架内设置接头时，应采用专用连接件。</w:t>
      </w:r>
    </w:p>
    <w:p w14:paraId="26B4000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电气线路的敷设应符合下列规定：</w:t>
      </w:r>
    </w:p>
    <w:p w14:paraId="03B7FCC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电气线路敷设应避开炉灶、烟囱等高温部位及其他可能受高温作业影响的部位，不应直接敷设在可燃物上；</w:t>
      </w:r>
    </w:p>
    <w:p w14:paraId="07609A3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室内明敷的电气线路，在有可燃物的吊顶或难燃性、可燃性墙体内敷设的电气线路，应具有相应的防火性能或防火保护措施；</w:t>
      </w:r>
    </w:p>
    <w:p w14:paraId="6009A59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室外电缆沟或电缆隧道在进入建筑、工程或变电站处应采取防火分隔措施，防火分隔部位的耐火极限不应低于2.00h，门应采用甲级防火门。</w:t>
      </w:r>
    </w:p>
    <w:p w14:paraId="48519A0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电气线路不应穿越或敷设在燃烧性能为B1或B2级的保温材料中；确需穿越或敷设时，应采取穿金属管并在金属管周围采用不燃隔热材料进行防火隔离等防火保护措施。设置开关、插座等电器配件的部位周围应采取不燃隔热材料进行防火隔离等防火保护措施。</w:t>
      </w:r>
    </w:p>
    <w:p w14:paraId="70295D3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桥架与其他管道交叉、或不同桥架交叉时，根据现场需要和实际情况，桥架进行上翻或下翻处理，桥架与其他管道之间，或桥架之间预留200mm作为检修维护距离。当与风管、水管交叉时，管道从上至下安装顺序为：风管、电缆桥架、压力水管，各层管道之间应预留安装维护间距。当桥架路径与风管、水管有重叠时，遵循以小就大的原则，根据现场实际情况调整。其最小净距应符合下表的规定</w:t>
      </w:r>
      <w:r>
        <w:rPr>
          <w:rFonts w:hint="eastAsia" w:asciiTheme="minorEastAsia" w:hAnsiTheme="minorEastAsia" w:eastAsiaTheme="minorEastAsia" w:cstheme="minorEastAsia"/>
          <w:sz w:val="30"/>
          <w:szCs w:val="30"/>
          <w:highlight w:val="none"/>
          <w:lang w:val="en-US" w:eastAsia="zh-CN"/>
        </w:rPr>
        <w:t>：</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10"/>
        <w:gridCol w:w="1630"/>
        <w:gridCol w:w="2841"/>
        <w:gridCol w:w="2841"/>
      </w:tblGrid>
      <w:tr w14:paraId="14B26C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4B0E52D3">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管道类别</w:t>
            </w:r>
          </w:p>
        </w:tc>
        <w:tc>
          <w:tcPr>
            <w:tcW w:w="2841" w:type="dxa"/>
          </w:tcPr>
          <w:p w14:paraId="290FD628">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平行净距（m）</w:t>
            </w:r>
          </w:p>
        </w:tc>
        <w:tc>
          <w:tcPr>
            <w:tcW w:w="2841" w:type="dxa"/>
          </w:tcPr>
          <w:p w14:paraId="31E000E4">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交叉净距（m）</w:t>
            </w:r>
          </w:p>
        </w:tc>
      </w:tr>
      <w:tr w14:paraId="0B084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608E7489">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一般工艺管道</w:t>
            </w:r>
          </w:p>
        </w:tc>
        <w:tc>
          <w:tcPr>
            <w:tcW w:w="2841" w:type="dxa"/>
          </w:tcPr>
          <w:p w14:paraId="7217E0F0">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0.4</w:t>
            </w:r>
          </w:p>
        </w:tc>
        <w:tc>
          <w:tcPr>
            <w:tcW w:w="2841" w:type="dxa"/>
          </w:tcPr>
          <w:p w14:paraId="4190343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0.3</w:t>
            </w:r>
          </w:p>
        </w:tc>
      </w:tr>
      <w:tr w14:paraId="5B3488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gridSpan w:val="2"/>
          </w:tcPr>
          <w:p w14:paraId="62AE3F37">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具有腐蚀性气体管道</w:t>
            </w:r>
          </w:p>
        </w:tc>
        <w:tc>
          <w:tcPr>
            <w:tcW w:w="2841" w:type="dxa"/>
          </w:tcPr>
          <w:p w14:paraId="6A4B367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c>
          <w:tcPr>
            <w:tcW w:w="2841" w:type="dxa"/>
          </w:tcPr>
          <w:p w14:paraId="7C316AF4">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r>
      <w:tr w14:paraId="04610D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restart"/>
          </w:tcPr>
          <w:p w14:paraId="18DB48A3">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热力管道</w:t>
            </w:r>
          </w:p>
        </w:tc>
        <w:tc>
          <w:tcPr>
            <w:tcW w:w="1630" w:type="dxa"/>
          </w:tcPr>
          <w:p w14:paraId="6A7015B6">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有保温层</w:t>
            </w:r>
          </w:p>
        </w:tc>
        <w:tc>
          <w:tcPr>
            <w:tcW w:w="2841" w:type="dxa"/>
          </w:tcPr>
          <w:p w14:paraId="5388BB52">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c>
          <w:tcPr>
            <w:tcW w:w="2841" w:type="dxa"/>
          </w:tcPr>
          <w:p w14:paraId="3790CFD7">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0.3</w:t>
            </w:r>
          </w:p>
        </w:tc>
      </w:tr>
      <w:tr w14:paraId="4F9FAE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10" w:type="dxa"/>
            <w:vMerge w:val="continue"/>
          </w:tcPr>
          <w:p w14:paraId="6AED951B">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p>
        </w:tc>
        <w:tc>
          <w:tcPr>
            <w:tcW w:w="1630" w:type="dxa"/>
          </w:tcPr>
          <w:p w14:paraId="563D5D6C">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无保温层</w:t>
            </w:r>
          </w:p>
        </w:tc>
        <w:tc>
          <w:tcPr>
            <w:tcW w:w="2841" w:type="dxa"/>
          </w:tcPr>
          <w:p w14:paraId="754315C5">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1.0</w:t>
            </w:r>
          </w:p>
        </w:tc>
        <w:tc>
          <w:tcPr>
            <w:tcW w:w="2841" w:type="dxa"/>
          </w:tcPr>
          <w:p w14:paraId="7ED0CF3E">
            <w:pPr>
              <w:numPr>
                <w:ilvl w:val="0"/>
                <w:numId w:val="0"/>
              </w:numPr>
              <w:ind w:firstLine="480" w:firstLineChars="200"/>
              <w:rPr>
                <w:rFonts w:hint="default" w:asciiTheme="minorEastAsia" w:hAnsiTheme="minorEastAsia" w:eastAsiaTheme="minorEastAsia" w:cstheme="minorEastAsia"/>
                <w:sz w:val="24"/>
                <w:szCs w:val="24"/>
                <w:highlight w:val="none"/>
                <w:lang w:val="en-US" w:eastAsia="zh-CN"/>
              </w:rPr>
            </w:pPr>
            <w:r>
              <w:rPr>
                <w:rFonts w:hint="eastAsia" w:asciiTheme="minorEastAsia" w:hAnsiTheme="minorEastAsia" w:eastAsiaTheme="minorEastAsia" w:cstheme="minorEastAsia"/>
                <w:sz w:val="24"/>
                <w:szCs w:val="24"/>
                <w:highlight w:val="none"/>
                <w:lang w:val="en-US" w:eastAsia="zh-CN"/>
              </w:rPr>
              <w:t>0.5</w:t>
            </w:r>
          </w:p>
        </w:tc>
      </w:tr>
    </w:tbl>
    <w:p w14:paraId="799661A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所有支吊架防腐，在支吊架制作完毕后需除锈处理，并刷红丹防锈漆两道，灰色调和漆（面漆）两道。超高空间设备吊架长度大于等于1500mm应设置反向支撑架的说明。</w:t>
      </w:r>
    </w:p>
    <w:p w14:paraId="344CAF1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强电竖井内的配电干线，采用支架敷设。桥架水平安装时，支架间距不大于2.0米；垂直安装时，支架间距不大于1.5米。桥架施工时应注意与其它专业的配合，电缆线管、桥架穿越防火分区或楼层时，应在安装完毕后，采用防火材料封堵。金属电缆桥架及其支吊架必须可靠接地，全长应不少于2处与接地干线相连接。电气竖井门应有警示标识并加装门禁装置，检修门应向外开启。</w:t>
      </w:r>
    </w:p>
    <w:p w14:paraId="0259AFD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不同用途、不同电压等级的电缆、线缆以及消防设备的双回路供电线路，原则上应分桥架敷设，若受条件限制需共用桥架敷设时，应加防火金属隔板分开。</w:t>
      </w:r>
    </w:p>
    <w:p w14:paraId="7333CA6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于潮湿场所或埋地敷设的金属导管，应采用管壁厚度不小于2．Omm的钢导管。明敷或暗敷于干燥场所的金属导管宜采用管壁厚度不小于1．5mm的电线管。配电线路敷设在有可燃物的闷顶、吊顶内时，应采取穿金属导管、采用封闭式金属桥架等防火保护措施。</w:t>
      </w:r>
    </w:p>
    <w:p w14:paraId="2376707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明敷设用的塑料导管、桥架、接线盒、分线盒应采用阻燃性能分级为B1级的难燃制品。当安装插座的接线盒为金属材质时，插座的接地插孔端子和金属接线盒应有可靠的电气连接。</w:t>
      </w:r>
    </w:p>
    <w:p w14:paraId="5230A7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导线穿管的管路较长或有弯时，适当加装拉线盒，两个拉线点之间的距离应符合以下要求：对无弯的管路，不得超过30米；两个拉线点之间有一个弯时，不超过20米；两个拉线点之间有两个弯时，不超过15米；两个拉线点之间有三个弯时，不超过8米，拉线盒的设置，平面图上不再表示。金属电线管严禁对口熔焊连接。电压等级超过交流50V以上的消防配电线路在吊顶内或室内接驳时，应采用防火防水接线盒，不应采用普通接线盒接线。</w:t>
      </w:r>
    </w:p>
    <w:p w14:paraId="57B132E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室内干燥场所的线缆采用导管布线时，应符合下列规定：</w:t>
      </w:r>
    </w:p>
    <w:p w14:paraId="3A5119A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采用金属导管布线时，其壁厚不应小于1. 5mm；</w:t>
      </w:r>
    </w:p>
    <w:p w14:paraId="700C57B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采用塑料导管暗敷布线时，应选用不低于中型的导管。</w:t>
      </w:r>
    </w:p>
    <w:p w14:paraId="5A13298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室内潮湿场所的线缆明敷时，应符合下列规定：</w:t>
      </w:r>
    </w:p>
    <w:p w14:paraId="4956137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应采用防潮防腐材料制造的导管或电缆桥架；</w:t>
      </w:r>
    </w:p>
    <w:p w14:paraId="503766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当采取金属导管或电缆桥架时，应采取防潮防腐措施，且金属导管壁厚不应小于2.0mm；</w:t>
      </w:r>
    </w:p>
    <w:p w14:paraId="77DA108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当采用可弯曲金属导管时，应选用防水重型的导管。</w:t>
      </w:r>
    </w:p>
    <w:p w14:paraId="6369CC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建筑物底层及地面层以下外墙内的线缆采用导管暗敷布线时，应符合下列规定：</w:t>
      </w:r>
    </w:p>
    <w:p w14:paraId="3D355DC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采用金属导管布线时，其壁厚不应小于2.0mm；</w:t>
      </w:r>
    </w:p>
    <w:p w14:paraId="1D5BDAD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采用可弯曲金属导管布线时，应选用防水重型的导管；</w:t>
      </w:r>
    </w:p>
    <w:p w14:paraId="2C30034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采用塑料导管布线时，应选用重型的导管。</w:t>
      </w:r>
    </w:p>
    <w:p w14:paraId="2675625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线缆采用导管暗敷布线时，应符合下列规定：</w:t>
      </w:r>
    </w:p>
    <w:p w14:paraId="686F9AF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不应穿过设备基础；</w:t>
      </w:r>
    </w:p>
    <w:p w14:paraId="4C6BBB5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当穿过建筑物外墙时，应采取止水措施。</w:t>
      </w:r>
    </w:p>
    <w:p w14:paraId="0936B25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民用建筑内电力线缆、控制线缆和智能化线缆敷设应符合下列规定：</w:t>
      </w:r>
    </w:p>
    <w:p w14:paraId="491109D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不应采用裸露带电导体布线；</w:t>
      </w:r>
    </w:p>
    <w:p w14:paraId="0C50822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除塑料护套电线外，其他电线不应采用直敷布线方式；</w:t>
      </w:r>
    </w:p>
    <w:p w14:paraId="330765B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明敷的导管、电缆桥架，应选择燃烧性能不低于B1级的难燃材料制品或不燃材料制品。</w:t>
      </w:r>
    </w:p>
    <w:p w14:paraId="5B4BD84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、除民用建筑和变电所外，其他建筑内低压裸露带电导体距地面的高度应符合下列规定：</w:t>
      </w:r>
    </w:p>
    <w:p w14:paraId="0E0881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无遮护的裸露带电导体至地面的距离不应小于3.5m；</w:t>
      </w:r>
    </w:p>
    <w:p w14:paraId="6338F0B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采用防护等级不低于IP2X 的网孔遮护时，裸露带电导体至地面的距离不应小于2.5m；</w:t>
      </w:r>
    </w:p>
    <w:p w14:paraId="7A6EB31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网状遮护与裸露带电导体的间距，不应小于100mm 。</w:t>
      </w:r>
    </w:p>
    <w:p w14:paraId="5342BEA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、电气及智能化竖井的位置和数量应根据建筑物高度、建筑物变形缝位置、防火分区、系统要求、供电回路半径等因素确定，并应符合下列规定：</w:t>
      </w:r>
    </w:p>
    <w:p w14:paraId="72E0620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不应与电梯井、其他专业管道井共用同一竖井；</w:t>
      </w:r>
    </w:p>
    <w:p w14:paraId="4F032C5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 xml:space="preserve">不应贴邻热烟道、热力管道及其他散热量大的场所。 </w:t>
      </w:r>
    </w:p>
    <w:p w14:paraId="7E66127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、电气线路的敷设应符合下列规定：</w:t>
      </w:r>
    </w:p>
    <w:p w14:paraId="770B397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电气线路敷设应避开炉灶、烟囱等高温部位及其他可能受高温作业影响的部位，不应直接敷设在可燃物上；</w:t>
      </w:r>
    </w:p>
    <w:p w14:paraId="4C2CBD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室内明敷的电气线路，在有可燃物的吊顶或难燃性、可燃性墙体内敷设的电气线路，应具有相应的防火性能或防火保护措施；</w:t>
      </w:r>
    </w:p>
    <w:p w14:paraId="5819F0B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室外电缆沟或电缆隧道在进入建筑、工程或变电站处应采取防火分隔措施，防火分隔部位的耐火极限不应低于2.00h，门应采用甲级防火门。</w:t>
      </w:r>
    </w:p>
    <w:p w14:paraId="1F62F7F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 xml:space="preserve">6.2.7 </w:t>
      </w:r>
      <w:r>
        <w:rPr>
          <w:rFonts w:hint="default" w:asciiTheme="minorEastAsia" w:hAnsiTheme="minorEastAsia" w:eastAsiaTheme="minorEastAsia" w:cstheme="minorEastAsia"/>
          <w:sz w:val="30"/>
          <w:szCs w:val="30"/>
          <w:highlight w:val="none"/>
          <w:lang w:val="en-US" w:eastAsia="zh-CN"/>
        </w:rPr>
        <w:t>设备选型及安装</w:t>
      </w:r>
    </w:p>
    <w:p w14:paraId="0202B4B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1、所有电气设备需采用符合国家标准的低能耗电气设备，凡属强制认证的产品应取得国家认证标志。电力变压器、电动机、交流接触器和照明产品的能效水平应高于能效限定值或能效等级3级的要求。</w:t>
      </w:r>
    </w:p>
    <w:p w14:paraId="5B703F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照明配电箱、动力配电箱、控制箱等在竖井、机房内及车库相关部位挂墙明装，箱体高度0.6m以下，底边距地1.5m；0.6m~0.8m高，底边距地1.2m；0.8m~1m高，底边距地1m；1m~1.2m高，底边距地0.8m；1.2m以上的落地式安装，下设高出总平完成面200mm砖砌基础基座。</w:t>
      </w:r>
    </w:p>
    <w:p w14:paraId="4074F24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、灯具严禁直接设置在可燃装修材料或可燃构件上。对人员可触及的光环境设施，当表面温度高于70℃时，应采取隔离保护措施。</w:t>
      </w:r>
    </w:p>
    <w:p w14:paraId="7FED43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、灯具就地控制开关、风机就地控制按钮等距地1.3米安装。开关、插座和灯具等靠近可燃物时，应采取隔热、散热等措施。</w:t>
      </w:r>
    </w:p>
    <w:p w14:paraId="285CF11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5</w:t>
      </w:r>
      <w:r>
        <w:rPr>
          <w:rFonts w:hint="default" w:asciiTheme="minorEastAsia" w:hAnsiTheme="minorEastAsia" w:eastAsiaTheme="minorEastAsia" w:cstheme="minorEastAsia"/>
          <w:sz w:val="30"/>
          <w:szCs w:val="30"/>
          <w:highlight w:val="none"/>
          <w:lang w:val="en-US" w:eastAsia="zh-CN"/>
        </w:rPr>
        <w:t>、当电箱设于潮湿环境时，非消防电气设备的外壳的防尘与防水等级不低于IP54。</w:t>
      </w:r>
    </w:p>
    <w:p w14:paraId="278C88C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w:t>
      </w:r>
      <w:r>
        <w:rPr>
          <w:rFonts w:hint="default" w:asciiTheme="minorEastAsia" w:hAnsiTheme="minorEastAsia" w:eastAsiaTheme="minorEastAsia" w:cstheme="minorEastAsia"/>
          <w:sz w:val="30"/>
          <w:szCs w:val="30"/>
          <w:highlight w:val="none"/>
          <w:lang w:val="en-US" w:eastAsia="zh-CN"/>
        </w:rPr>
        <w:t>、一般照明开关距地1.3m暗装，一般插座距地0.3m暗装（有防水要求或潮湿场所为1.5m）。一般插座为二孔加三孔安全型插座，潮湿场所采用防潮防溅型面板，并应设在2区以外。</w:t>
      </w:r>
    </w:p>
    <w:p w14:paraId="0E8DAD8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7</w:t>
      </w:r>
      <w:r>
        <w:rPr>
          <w:rFonts w:hint="default" w:asciiTheme="minorEastAsia" w:hAnsiTheme="minorEastAsia" w:eastAsiaTheme="minorEastAsia" w:cstheme="minorEastAsia"/>
          <w:sz w:val="30"/>
          <w:szCs w:val="30"/>
          <w:highlight w:val="none"/>
          <w:lang w:val="en-US" w:eastAsia="zh-CN"/>
        </w:rPr>
        <w:t>、不同回路的线路不应穿于同一根导管内共管敷设。照明灯具的可接近裸露导体，必须接地。</w:t>
      </w:r>
    </w:p>
    <w:p w14:paraId="24FD66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8</w:t>
      </w:r>
      <w:r>
        <w:rPr>
          <w:rFonts w:hint="default" w:asciiTheme="minorEastAsia" w:hAnsiTheme="minorEastAsia" w:eastAsiaTheme="minorEastAsia" w:cstheme="minorEastAsia"/>
          <w:sz w:val="30"/>
          <w:szCs w:val="30"/>
          <w:highlight w:val="none"/>
          <w:lang w:val="en-US" w:eastAsia="zh-CN"/>
        </w:rPr>
        <w:t>、采用带隔离功能的控制与保护开关电器（CPS），应能同时断开主电路和控制电路，且能防止被无意识地开断。</w:t>
      </w:r>
    </w:p>
    <w:p w14:paraId="0AB429B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9</w:t>
      </w:r>
      <w:r>
        <w:rPr>
          <w:rFonts w:hint="default" w:asciiTheme="minorEastAsia" w:hAnsiTheme="minorEastAsia" w:eastAsiaTheme="minorEastAsia" w:cstheme="minorEastAsia"/>
          <w:sz w:val="30"/>
          <w:szCs w:val="30"/>
          <w:highlight w:val="none"/>
          <w:lang w:val="en-US" w:eastAsia="zh-CN"/>
        </w:rPr>
        <w:t>、在装有浴盆或淋浴器的房间，布线埋设的深度至少为5cm。</w:t>
      </w:r>
    </w:p>
    <w:p w14:paraId="1D83A36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0</w:t>
      </w:r>
      <w:r>
        <w:rPr>
          <w:rFonts w:hint="default" w:asciiTheme="minorEastAsia" w:hAnsiTheme="minorEastAsia" w:eastAsiaTheme="minorEastAsia" w:cstheme="minorEastAsia"/>
          <w:sz w:val="30"/>
          <w:szCs w:val="30"/>
          <w:highlight w:val="none"/>
          <w:lang w:val="en-US" w:eastAsia="zh-CN"/>
        </w:rPr>
        <w:t>、强、弱电井相邻墙面应采取防电磁干扰措施：墙面敷设金属网或密闭金属装置。</w:t>
      </w:r>
    </w:p>
    <w:p w14:paraId="1D0E54B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、灯具的安装应符合下列规定：</w:t>
      </w:r>
    </w:p>
    <w:p w14:paraId="3BEEC91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灯具的固定应牢固可靠，在砌体和混凝土结构上严禁使用木楔、尼龙塞和塑料塞固定；</w:t>
      </w:r>
    </w:p>
    <w:p w14:paraId="111E384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2</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Ⅰ类灯具的外露可导电部分必须与保护接地导体可靠连接，连接处应设置接地标识；</w:t>
      </w:r>
    </w:p>
    <w:p w14:paraId="7A1DF7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3</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接线盒引至嵌入式灯具或槽灯的电线应采用金属柔性导管保护，不得裸露；柔性导管与灯具壳体应采用专用接头连接；</w:t>
      </w:r>
    </w:p>
    <w:p w14:paraId="3E176DC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4</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从接线盒引至灯具的电线截面面积应与灯具要求相匹配且不应小于1mm²；</w:t>
      </w:r>
    </w:p>
    <w:p w14:paraId="531F5C4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5</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埋地灯具、水下灯具及室外灯具的接线盒，其防护等级应与灯具的防护等级相同，且盒内导线接头应做防水绝缘处理；</w:t>
      </w:r>
    </w:p>
    <w:p w14:paraId="394D86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6</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安装在人员密集场所的灯具玻璃罩，应有防止其向下溅落的措施；</w:t>
      </w:r>
    </w:p>
    <w:p w14:paraId="42EA4D2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7</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在人行道等人员来往密集场所安装的落地式景观照明灯，当采用表面温度大于60℃的灯具且无围栏防护时，灯具距地面高度应大于2.5m，灯具的金属构架及金属保护管应分别与保护导体采用焊接或螺栓连接，连接处应设置接地标识；</w:t>
      </w:r>
    </w:p>
    <w:p w14:paraId="2A400AF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8</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灯具表面及其附件的高温部位靠近可燃物时，应采取隔热、散热防火保护措施。</w:t>
      </w:r>
    </w:p>
    <w:p w14:paraId="025891E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2、可能处于潮湿环境内的消防电气设备，外壳的防尘与防水等级对于潮湿环境，不应低于IP45。用电设备安装在室外或潮湿场所时，其接线口或接线盒应采取防水防潮措施。</w:t>
      </w:r>
    </w:p>
    <w:p w14:paraId="414B4DC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13</w:t>
      </w:r>
      <w:r>
        <w:rPr>
          <w:rFonts w:hint="default" w:asciiTheme="minorEastAsia" w:hAnsiTheme="minorEastAsia" w:eastAsiaTheme="minorEastAsia" w:cstheme="minorEastAsia"/>
          <w:sz w:val="30"/>
          <w:szCs w:val="30"/>
          <w:highlight w:val="none"/>
          <w:lang w:val="en-US" w:eastAsia="zh-CN"/>
        </w:rPr>
        <w:t>、各住户配电箱暗装，单排H+1.8m，双排H+1.6m；弱电箱暗装0.5m。当分户墙上同一位置背靠背设电箱时，箱体安装高度分别按1.65m及1.9m错位安装。</w:t>
      </w:r>
    </w:p>
    <w:p w14:paraId="6F92C7E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14</w:t>
      </w:r>
      <w:r>
        <w:rPr>
          <w:rFonts w:hint="default" w:asciiTheme="minorEastAsia" w:hAnsiTheme="minorEastAsia" w:eastAsiaTheme="minorEastAsia" w:cstheme="minorEastAsia"/>
          <w:sz w:val="30"/>
          <w:szCs w:val="30"/>
          <w:highlight w:val="none"/>
          <w:lang w:val="en-US" w:eastAsia="zh-CN"/>
        </w:rPr>
        <w:t>、跷板开关、触摸延时开关、门铃按钮暗装，安装高度H+1.3m(H为装修完成面)。</w:t>
      </w:r>
    </w:p>
    <w:p w14:paraId="0D00F18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15</w:t>
      </w:r>
      <w:r>
        <w:rPr>
          <w:rFonts w:hint="default" w:asciiTheme="minorEastAsia" w:hAnsiTheme="minorEastAsia" w:eastAsiaTheme="minorEastAsia" w:cstheme="minorEastAsia"/>
          <w:sz w:val="30"/>
          <w:szCs w:val="30"/>
          <w:highlight w:val="none"/>
          <w:lang w:val="en-US" w:eastAsia="zh-CN"/>
        </w:rPr>
        <w:t>、前室、走道等红外感应开关暗装，H+1.3m,或吸顶安装，距灯具≥0.2m;楼梯走廊红外感应开关灯具自带安装。</w:t>
      </w:r>
    </w:p>
    <w:p w14:paraId="4AB549E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16</w:t>
      </w:r>
      <w:r>
        <w:rPr>
          <w:rFonts w:hint="default" w:asciiTheme="minorEastAsia" w:hAnsiTheme="minorEastAsia" w:eastAsiaTheme="minorEastAsia" w:cstheme="minorEastAsia"/>
          <w:sz w:val="30"/>
          <w:szCs w:val="30"/>
          <w:highlight w:val="none"/>
          <w:lang w:val="en-US" w:eastAsia="zh-CN"/>
        </w:rPr>
        <w:t>、住户内插座均暗装，在卫生间安装的插座须设在2区以外(2区范围以《民用建筑电气设计标准》GB 51348-2019附录C浴室区域的划分为准)。在露台、开敞式阳台、卫生间安装的插座均须加防溅盖板。安装距地1.8m及以下的插座均选用带安全门的插座。</w:t>
      </w:r>
    </w:p>
    <w:p w14:paraId="57418E3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17</w:t>
      </w:r>
      <w:r>
        <w:rPr>
          <w:rFonts w:hint="default" w:asciiTheme="minorEastAsia" w:hAnsiTheme="minorEastAsia" w:eastAsiaTheme="minorEastAsia" w:cstheme="minorEastAsia"/>
          <w:sz w:val="30"/>
          <w:szCs w:val="30"/>
          <w:highlight w:val="none"/>
          <w:lang w:val="en-US" w:eastAsia="zh-CN"/>
        </w:rPr>
        <w:t>、插座应保证与热水器、燃气管间的水平净距不得小于150mm，与燃气表间的水平净距不得小于200mm。</w:t>
      </w:r>
    </w:p>
    <w:p w14:paraId="163F4EA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18</w:t>
      </w:r>
      <w:r>
        <w:rPr>
          <w:rFonts w:hint="default" w:asciiTheme="minorEastAsia" w:hAnsiTheme="minorEastAsia" w:eastAsiaTheme="minorEastAsia" w:cstheme="minorEastAsia"/>
          <w:sz w:val="30"/>
          <w:szCs w:val="30"/>
          <w:highlight w:val="none"/>
          <w:lang w:val="en-US" w:eastAsia="zh-CN"/>
        </w:rPr>
        <w:t>、住户内放置配电箱、弱电箱的墙体厚度不得小于150mm，低于180mm时，配电箱、弱电箱后应挂网批荡。</w:t>
      </w:r>
    </w:p>
    <w:p w14:paraId="56250DA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6.2.8</w:t>
      </w:r>
      <w:r>
        <w:rPr>
          <w:rFonts w:hint="default" w:asciiTheme="minorEastAsia" w:hAnsiTheme="minorEastAsia" w:eastAsiaTheme="minorEastAsia" w:cstheme="minorEastAsia"/>
          <w:sz w:val="30"/>
          <w:szCs w:val="30"/>
          <w:highlight w:val="none"/>
          <w:lang w:val="en-US" w:eastAsia="zh-CN"/>
        </w:rPr>
        <w:t>电气节能</w:t>
      </w:r>
    </w:p>
    <w:p w14:paraId="1C9CCF1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电力变压器、电动机、交流接触器和照明产品的能效水平应高于能效限定值或能效等级3级的要求。</w:t>
      </w:r>
    </w:p>
    <w:p w14:paraId="1468D02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1、供配电系统</w:t>
      </w:r>
    </w:p>
    <w:p w14:paraId="0F41439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1</w:t>
      </w:r>
      <w:r>
        <w:rPr>
          <w:rFonts w:hint="eastAsia" w:asciiTheme="minorEastAsia" w:hAnsiTheme="minorEastAsia" w:eastAsiaTheme="minorEastAsia" w:cstheme="minorEastAsia"/>
          <w:sz w:val="30"/>
          <w:szCs w:val="30"/>
          <w:highlight w:val="none"/>
          <w:lang w:val="en-US" w:eastAsia="zh-CN"/>
        </w:rPr>
        <w:t>）</w:t>
      </w:r>
      <w:r>
        <w:rPr>
          <w:rFonts w:hint="default" w:asciiTheme="minorEastAsia" w:hAnsiTheme="minorEastAsia" w:eastAsiaTheme="minorEastAsia" w:cstheme="minorEastAsia"/>
          <w:sz w:val="30"/>
          <w:szCs w:val="30"/>
          <w:highlight w:val="none"/>
          <w:lang w:val="en-US" w:eastAsia="zh-CN"/>
        </w:rPr>
        <w:t>380/220V低压供电半径不超过200米。并通过合理选择敷设路径等措施降低线路损耗。0.4kV系统的配电级数不超过三级。</w:t>
      </w:r>
    </w:p>
    <w:p w14:paraId="43175C4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低压功率因数补偿电容串联一定电抗率的电抗器，以限制涌流（串1%电抗器时），抑制因节能灯、空调设备等非线性负荷产生的谐波（串14%或7%电抗器时）。谐波含量较大的用电设备，采用自带滤波装置的产品或设置独立的终端电气综合治理保护系统等滤波装置。</w:t>
      </w:r>
    </w:p>
    <w:p w14:paraId="61D3CE0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三相配电干线的各相负荷平衡分配，其最大相负荷不超过三相负荷平均值的115％，最小相负荷不小于三相负荷平均值的85％。为降低三相低压配电系统的不对称度，对单相负荷（如照明、插座负荷等），当线路电流小于或等于40A时，宜采用220V单相供电，当线路电流大于40A时，宜采用220/380V三相供电。</w:t>
      </w:r>
    </w:p>
    <w:p w14:paraId="33D6DD3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季节性负荷、工艺负荷卸载时，为其单独设置的变压器应具有退出运行的措施。水泵、风机以及电热设备应采取节能自动控制措施。</w:t>
      </w:r>
    </w:p>
    <w:p w14:paraId="7784CF8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2、照明节能</w:t>
      </w:r>
    </w:p>
    <w:p w14:paraId="6925AF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1）</w:t>
      </w:r>
      <w:r>
        <w:rPr>
          <w:rFonts w:hint="default" w:asciiTheme="minorEastAsia" w:hAnsiTheme="minorEastAsia" w:eastAsiaTheme="minorEastAsia" w:cstheme="minorEastAsia"/>
          <w:sz w:val="30"/>
          <w:szCs w:val="30"/>
          <w:highlight w:val="none"/>
          <w:lang w:val="en-US" w:eastAsia="zh-CN"/>
        </w:rPr>
        <w:t>各场所的照度、照明功率密度值、眩光值、显色指数按照《建筑节能与可再生能源利用通用规范》GB55015-2021及《建筑照明设计标准》(GB50034-20</w:t>
      </w:r>
      <w:r>
        <w:rPr>
          <w:rFonts w:hint="eastAsia" w:asciiTheme="minorEastAsia" w:hAnsiTheme="minorEastAsia" w:eastAsiaTheme="minorEastAsia" w:cstheme="minorEastAsia"/>
          <w:sz w:val="30"/>
          <w:szCs w:val="30"/>
          <w:highlight w:val="none"/>
          <w:lang w:val="en-US" w:eastAsia="zh-CN"/>
        </w:rPr>
        <w:t>24</w:t>
      </w:r>
      <w:r>
        <w:rPr>
          <w:rFonts w:hint="default" w:asciiTheme="minorEastAsia" w:hAnsiTheme="minorEastAsia" w:eastAsiaTheme="minorEastAsia" w:cstheme="minorEastAsia"/>
          <w:sz w:val="30"/>
          <w:szCs w:val="30"/>
          <w:highlight w:val="none"/>
          <w:lang w:val="en-US" w:eastAsia="zh-CN"/>
        </w:rPr>
        <w:t>)规定设计，详见前面章节说明。</w:t>
      </w:r>
    </w:p>
    <w:p w14:paraId="17C6E6B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2）</w:t>
      </w:r>
      <w:r>
        <w:rPr>
          <w:rFonts w:hint="default" w:asciiTheme="minorEastAsia" w:hAnsiTheme="minorEastAsia" w:eastAsiaTheme="minorEastAsia" w:cstheme="minorEastAsia"/>
          <w:sz w:val="30"/>
          <w:szCs w:val="30"/>
          <w:highlight w:val="none"/>
          <w:lang w:val="en-US" w:eastAsia="zh-CN"/>
        </w:rPr>
        <w:t>采用高效低耗光源及灯具；采用高效节能灯具附件(电子镇流器或节能型镇流器等)。各种灯具效率满足《建筑节能与可再生能源利用通用规范》GB55015-2021及《建筑照明设计标准》(GB50034-20</w:t>
      </w:r>
      <w:r>
        <w:rPr>
          <w:rFonts w:hint="eastAsia" w:asciiTheme="minorEastAsia" w:hAnsiTheme="minorEastAsia" w:eastAsiaTheme="minorEastAsia" w:cstheme="minorEastAsia"/>
          <w:sz w:val="30"/>
          <w:szCs w:val="30"/>
          <w:highlight w:val="none"/>
          <w:lang w:val="en-US" w:eastAsia="zh-CN"/>
        </w:rPr>
        <w:t>24</w:t>
      </w:r>
      <w:r>
        <w:rPr>
          <w:rFonts w:hint="default" w:asciiTheme="minorEastAsia" w:hAnsiTheme="minorEastAsia" w:eastAsiaTheme="minorEastAsia" w:cstheme="minorEastAsia"/>
          <w:sz w:val="30"/>
          <w:szCs w:val="30"/>
          <w:highlight w:val="none"/>
          <w:lang w:val="en-US" w:eastAsia="zh-CN"/>
        </w:rPr>
        <w:t>)规定，详见前面章节说明。</w:t>
      </w:r>
    </w:p>
    <w:p w14:paraId="22A9790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3）</w:t>
      </w:r>
      <w:r>
        <w:rPr>
          <w:rFonts w:hint="default" w:asciiTheme="minorEastAsia" w:hAnsiTheme="minorEastAsia" w:eastAsiaTheme="minorEastAsia" w:cstheme="minorEastAsia"/>
          <w:sz w:val="30"/>
          <w:szCs w:val="30"/>
          <w:highlight w:val="none"/>
          <w:lang w:val="en-US" w:eastAsia="zh-CN"/>
        </w:rPr>
        <w:t>照明电源线路尽量做到三相负荷平衡。</w:t>
      </w:r>
    </w:p>
    <w:p w14:paraId="6B99A99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4）</w:t>
      </w:r>
      <w:r>
        <w:rPr>
          <w:rFonts w:hint="default" w:asciiTheme="minorEastAsia" w:hAnsiTheme="minorEastAsia" w:eastAsiaTheme="minorEastAsia" w:cstheme="minorEastAsia"/>
          <w:sz w:val="30"/>
          <w:szCs w:val="30"/>
          <w:highlight w:val="none"/>
          <w:lang w:val="en-US" w:eastAsia="zh-CN"/>
        </w:rPr>
        <w:t xml:space="preserve">合理选择照明控制方式，详见前面章节说明。充分利用天然光。    </w:t>
      </w:r>
    </w:p>
    <w:p w14:paraId="77EF2CF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5）</w:t>
      </w:r>
      <w:r>
        <w:rPr>
          <w:rFonts w:hint="default" w:asciiTheme="minorEastAsia" w:hAnsiTheme="minorEastAsia" w:eastAsiaTheme="minorEastAsia" w:cstheme="minorEastAsia"/>
          <w:sz w:val="30"/>
          <w:szCs w:val="30"/>
          <w:highlight w:val="none"/>
          <w:lang w:val="en-US" w:eastAsia="zh-CN"/>
        </w:rPr>
        <w:t>能效等级：本工程选用的光源、镇流器能效不低于相应能效标准的节能评价值。</w:t>
      </w:r>
    </w:p>
    <w:p w14:paraId="5478983E">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双端荧光灯节能评价值满足《普通照明用双端荧光灯能效限定值及能效等级》GB19043-2013能效2级；</w:t>
      </w:r>
    </w:p>
    <w:p w14:paraId="632ADA8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自镇流荧光灯节能评价值满足《普通照明用自镇流荧光灯能效限定值及能效等级》GB19044-2013能效等级2级；</w:t>
      </w:r>
    </w:p>
    <w:p w14:paraId="3728E4FD">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高压钠灯节能评价值满足《高压钠灯能效限定值及能效等级》GB19573-2004能效等级2级；</w:t>
      </w:r>
    </w:p>
    <w:p w14:paraId="23DBA27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金属卤化物灯节能评价值满足《金属卤化物灯能效限定值及能效等级》GB20054-2006能效等级2级；</w:t>
      </w:r>
    </w:p>
    <w:p w14:paraId="795A0B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电子镇流器节能评价值满足《管型荧光灯镇流器能效限定值及能效等级》GB17896-2013能效等级2级。</w:t>
      </w:r>
    </w:p>
    <w:p w14:paraId="19A96B4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采用时间集中控制、定时控制、红外感应等控制方式，以满足节能要求。</w:t>
      </w:r>
    </w:p>
    <w:p w14:paraId="274D811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 xml:space="preserve">   </w:t>
      </w:r>
      <w:r>
        <w:rPr>
          <w:rFonts w:hint="eastAsia" w:asciiTheme="minorEastAsia" w:hAnsiTheme="minorEastAsia" w:eastAsiaTheme="minorEastAsia" w:cstheme="minorEastAsia"/>
          <w:sz w:val="30"/>
          <w:szCs w:val="30"/>
          <w:highlight w:val="none"/>
          <w:lang w:val="en-US" w:eastAsia="zh-CN"/>
        </w:rPr>
        <w:t xml:space="preserve"> </w:t>
      </w:r>
      <w:r>
        <w:rPr>
          <w:rFonts w:hint="default" w:asciiTheme="minorEastAsia" w:hAnsiTheme="minorEastAsia" w:eastAsiaTheme="minorEastAsia" w:cstheme="minorEastAsia"/>
          <w:sz w:val="30"/>
          <w:szCs w:val="30"/>
          <w:highlight w:val="none"/>
          <w:lang w:val="en-US" w:eastAsia="zh-CN"/>
        </w:rPr>
        <w:t>建筑的走廊、楼梯间应能够根据照明需求进行节能控制。走廊、楼梯间等场所，无人主动关注照明的开、关，可采用就地感应控制，包括红外、雷达、声波等探测器的自动控制装置，通过自动开关或调光实现节能控制。景观照明应设置平时、一般节日及重大节日多种控制模式。</w:t>
      </w:r>
    </w:p>
    <w:p w14:paraId="78E9CF4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3、计量</w:t>
      </w:r>
    </w:p>
    <w:p w14:paraId="7A4AD07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按功能区域设置电能计量，对照明插座、空调、电力、特殊用电设备等分项计量，可以进行能效分析和用能管理。</w:t>
      </w:r>
    </w:p>
    <w:p w14:paraId="14036E1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6.2.9</w:t>
      </w:r>
      <w:r>
        <w:rPr>
          <w:rFonts w:hint="default" w:asciiTheme="minorEastAsia" w:hAnsiTheme="minorEastAsia" w:eastAsiaTheme="minorEastAsia" w:cstheme="minorEastAsia"/>
          <w:sz w:val="30"/>
          <w:szCs w:val="30"/>
          <w:highlight w:val="none"/>
          <w:lang w:val="en-US" w:eastAsia="zh-CN"/>
        </w:rPr>
        <w:t>建筑安装工程质量常见问题</w:t>
      </w:r>
    </w:p>
    <w:p w14:paraId="631310B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1、电缆沟进入建筑物处、配电箱进出口、穿过楼板或隔墙时的桥架内外侧，应在桥架内外侧、管线穿越防火分区等处防火封堵严密。具体做法详见国标图集《建筑电气工程施工安装》18D802 P73～74。</w:t>
      </w:r>
    </w:p>
    <w:p w14:paraId="1C808C0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2、建筑机电抗震支架除C型槽钢、全螺纹吊杆可进行现场切割外其余所有构件应采用成品构件。</w:t>
      </w:r>
    </w:p>
    <w:p w14:paraId="0812936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3、桥架等穿越变形缝时，应有伸缩补偿措施。具体做法详见国标图集《建筑电气工程施工安装》18D802 P36～43。</w:t>
      </w:r>
    </w:p>
    <w:p w14:paraId="26C3D035">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4、电气导管应配管到位，不得有电线裸露，软管的使用应符合规范要求；消防配管明装时应有防火措施。具体做法详见国标图集《建筑电气工程施工安装》18D802 P49～52。</w:t>
      </w:r>
    </w:p>
    <w:p w14:paraId="12831D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5、 6mm²以下导线连接应绕接后接头搪锡或采用专用接线器连接；接头应包扎紧密，绝缘可靠。具体做法详见国标图集《建筑电气工程施工安装》18D802 P49～52。</w:t>
      </w:r>
    </w:p>
    <w:p w14:paraId="1984F709">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6、导线应按相分色，L1相用黄色，L2相用绿色，L3相用红色，中性线N用浅蓝或蓝色，保护接地线PE用黄绿双色。照明开关后相线可采用原相色或白色。</w:t>
      </w:r>
    </w:p>
    <w:p w14:paraId="51024B3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7、插座接线时，相线、N线和PE线在插座之间不得利用插座本体的接线端子串联连接。</w:t>
      </w:r>
    </w:p>
    <w:p w14:paraId="1217F676">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8、电气设备的外露可导电部分应单独与保护导体相连接，不得串联连接；Ⅰ类灯具外露可导电部分必须采用铜芯软导线与保护导体可靠连接；非镀锌、梯架、托盘和桥架本体之间应做接地跨接；金属导管接头、线盒、进出桥架和配电箱等处应接地跨接，当采用紧定连接、卡套连接的金属导管不做跨接接地时，必须有可靠持久的保证接地导通的连接工艺及其工艺标准。具体做法详见国标图集《民用建筑电气设计与施工－防雷与接地》08D800-8 P79、P87~91。</w:t>
      </w:r>
    </w:p>
    <w:p w14:paraId="7522D82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6.2.10</w:t>
      </w:r>
      <w:r>
        <w:rPr>
          <w:rFonts w:hint="default" w:asciiTheme="minorEastAsia" w:hAnsiTheme="minorEastAsia" w:eastAsiaTheme="minorEastAsia" w:cstheme="minorEastAsia"/>
          <w:sz w:val="30"/>
          <w:szCs w:val="30"/>
          <w:highlight w:val="none"/>
          <w:lang w:val="en-US" w:eastAsia="zh-CN"/>
        </w:rPr>
        <w:t>其它</w:t>
      </w:r>
    </w:p>
    <w:p w14:paraId="1EA85A3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施工单位应认真阅读设计图说，查看并核对相关专业的设计图说，本设计风机、水泵等设备的具体位置、功率和控制要求应以风、水专业的设计图说为准，需与相关专业及厂家确认后方可实施。施工过程中，应与各相关专业互相配合、协调进行，共同做好预留预埋工作，避免事后开槽打洞，相关施工完成后，应采用不燃烧材料封堵孔洞。施工各阶段应做好相关的检测工作，数据资料应完整和准确。</w:t>
      </w:r>
    </w:p>
    <w:p w14:paraId="0FF02C44">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2、其他说明见有关系统或平面图。在不改变系统接线和满足相关规范要求的前提下，配电线路的走向可根据具体情况和施工习惯酌情调整。（但重大的技术变更应取得设计单位、建设单位和监理单位的同意认可）</w:t>
      </w:r>
    </w:p>
    <w:p w14:paraId="26B122E7">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3、凡与本工程有关而又未说明之处，参见国家，地方标准图集施工，或与设计院协商解决。</w:t>
      </w:r>
    </w:p>
    <w:p w14:paraId="32EFD3C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4、本工程选用的电气设备、主要材料及配件，在招标定货采购时，设备规格性能等技术指标，应保证符合设计和招</w:t>
      </w:r>
    </w:p>
    <w:p w14:paraId="18A83C33">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标技术文件的要求，且必须满足与产品相关的国家标准的规定，产品必须具有检测合格证书，供电及消防产品应具有相关专项许可证。所选设备在确定厂家后，应由建设、施工、设计、监理各方参加技术交底。</w:t>
      </w:r>
    </w:p>
    <w:p w14:paraId="674911DB">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5、本设计文件需报具有县以上人民政府建设行政主管部门或其他部门审查批准后方可施工。</w:t>
      </w:r>
    </w:p>
    <w:p w14:paraId="1B00611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6、施工单位必须按照工程设计图纸和施工技术标准施工，在施工阶段若发现设计文件有差错，应及时提出，不得擅自修改工程设计。</w:t>
      </w:r>
    </w:p>
    <w:p w14:paraId="61FBD46A">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7、施工中各相关单位必须依照国家、行业和本地区保障工程质量、生产安全和环境保护的相关法律，技术规范、规程的规定要求。</w:t>
      </w:r>
    </w:p>
    <w:p w14:paraId="49AABB98">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8、施工单位现场施工时应注意用电安全，满足《建设工程施工现场供用电安全规范》GB50194及《施工现场临时用电安全技术规范》JGJ46的要求。</w:t>
      </w:r>
    </w:p>
    <w:p w14:paraId="2DB1F920">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10、消防设施投入使用后，应定期进行巡查、检查和维护，并应保证其处于正常运行或工作状态，不应擅自关停、拆改或移动。超过有效期的灭火介质、消防设施或经检验不符合继续使用要求的管道、组件和压力容器不应使用。</w:t>
      </w:r>
    </w:p>
    <w:p w14:paraId="6D7252BF">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11、消防设施的安装工程应进行工程质量和消防设施功能验收，验收结果应有明确的合格与不合格的结论。</w:t>
      </w:r>
    </w:p>
    <w:p w14:paraId="60E8A3BC">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12、消防设施上或附近应设置区别于环境的明显标识，说明文字应准确、清楚且易于识别，颜色、符号或标志应规范。手动操作按钮等装置处应采取误操作或被损坏的防护措施。</w:t>
      </w:r>
    </w:p>
    <w:p w14:paraId="48A85712">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default" w:asciiTheme="minorEastAsia" w:hAnsiTheme="minorEastAsia" w:eastAsiaTheme="minorEastAsia" w:cstheme="minorEastAsia"/>
          <w:sz w:val="30"/>
          <w:szCs w:val="30"/>
          <w:highlight w:val="none"/>
          <w:lang w:val="en-US" w:eastAsia="zh-CN"/>
        </w:rPr>
        <w:t>13、建设工程竣工验收时，必须具备设计单位签署的质量合格文件。</w:t>
      </w:r>
    </w:p>
    <w:p w14:paraId="47B77E41">
      <w:pPr>
        <w:numPr>
          <w:ilvl w:val="0"/>
          <w:numId w:val="0"/>
        </w:numPr>
        <w:ind w:firstLine="600" w:firstLineChars="200"/>
        <w:rPr>
          <w:rFonts w:hint="default" w:asciiTheme="minorEastAsia" w:hAnsiTheme="minorEastAsia" w:eastAsiaTheme="minorEastAsia" w:cstheme="minorEastAsia"/>
          <w:sz w:val="30"/>
          <w:szCs w:val="30"/>
          <w:highlight w:val="none"/>
          <w:lang w:val="en-US" w:eastAsia="zh-CN"/>
        </w:rPr>
      </w:pPr>
      <w:r>
        <w:rPr>
          <w:rFonts w:hint="eastAsia" w:asciiTheme="minorEastAsia" w:hAnsiTheme="minorEastAsia" w:eastAsiaTheme="minorEastAsia" w:cstheme="minorEastAsia"/>
          <w:sz w:val="30"/>
          <w:szCs w:val="30"/>
          <w:highlight w:val="none"/>
          <w:lang w:val="en-US" w:eastAsia="zh-CN"/>
        </w:rPr>
        <w:t>6.2.10电气改造附图</w:t>
      </w:r>
    </w:p>
    <w:p w14:paraId="736886F5">
      <w:pPr>
        <w:bidi w:val="0"/>
        <w:rPr>
          <w:rFonts w:hint="default" w:ascii="宋体" w:hAnsi="宋体" w:eastAsia="宋体" w:cs="宋体"/>
          <w:sz w:val="24"/>
          <w:szCs w:val="24"/>
          <w:lang w:val="en-US" w:eastAsia="zh-CN"/>
        </w:rPr>
      </w:pPr>
    </w:p>
    <w:p w14:paraId="786AA370">
      <w:pPr>
        <w:bidi w:val="0"/>
        <w:rPr>
          <w:rFonts w:hint="default" w:ascii="宋体" w:hAnsi="宋体" w:eastAsia="宋体" w:cs="宋体"/>
          <w:sz w:val="24"/>
          <w:szCs w:val="24"/>
          <w:lang w:val="en-US" w:eastAsia="zh-CN"/>
        </w:rPr>
      </w:pPr>
      <w:r>
        <w:drawing>
          <wp:anchor distT="0" distB="0" distL="114300" distR="114300" simplePos="0" relativeHeight="251659264" behindDoc="0" locked="0" layoutInCell="1" allowOverlap="1">
            <wp:simplePos x="0" y="0"/>
            <wp:positionH relativeFrom="column">
              <wp:posOffset>-1566545</wp:posOffset>
            </wp:positionH>
            <wp:positionV relativeFrom="paragraph">
              <wp:posOffset>1331595</wp:posOffset>
            </wp:positionV>
            <wp:extent cx="8445500" cy="5906135"/>
            <wp:effectExtent l="0" t="0" r="18415" b="12700"/>
            <wp:wrapNone/>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
                    <pic:cNvPicPr>
                      <a:picLocks noChangeAspect="1"/>
                    </pic:cNvPicPr>
                  </pic:nvPicPr>
                  <pic:blipFill>
                    <a:blip r:embed="rId23"/>
                    <a:stretch>
                      <a:fillRect/>
                    </a:stretch>
                  </pic:blipFill>
                  <pic:spPr>
                    <a:xfrm rot="5400000">
                      <a:off x="0" y="0"/>
                      <a:ext cx="8445500" cy="5906135"/>
                    </a:xfrm>
                    <a:prstGeom prst="rect">
                      <a:avLst/>
                    </a:prstGeom>
                    <a:noFill/>
                    <a:ln>
                      <a:noFill/>
                    </a:ln>
                  </pic:spPr>
                </pic:pic>
              </a:graphicData>
            </a:graphic>
          </wp:anchor>
        </w:drawing>
      </w:r>
    </w:p>
    <w:p w14:paraId="363E2C26">
      <w:pPr>
        <w:bidi w:val="0"/>
        <w:rPr>
          <w:rFonts w:hint="default" w:ascii="宋体" w:hAnsi="宋体" w:eastAsia="宋体" w:cs="宋体"/>
          <w:sz w:val="24"/>
          <w:szCs w:val="24"/>
          <w:lang w:val="en-US" w:eastAsia="zh-CN"/>
        </w:rPr>
      </w:pPr>
    </w:p>
    <w:p w14:paraId="1C9DEAD5">
      <w:pPr>
        <w:bidi w:val="0"/>
        <w:rPr>
          <w:rFonts w:hint="default" w:ascii="宋体" w:hAnsi="宋体" w:eastAsia="宋体" w:cs="宋体"/>
          <w:sz w:val="24"/>
          <w:szCs w:val="24"/>
          <w:lang w:val="en-US" w:eastAsia="zh-CN"/>
        </w:rPr>
      </w:pPr>
    </w:p>
    <w:p w14:paraId="162256ED">
      <w:pPr>
        <w:bidi w:val="0"/>
        <w:rPr>
          <w:rFonts w:hint="default" w:ascii="宋体" w:hAnsi="宋体" w:eastAsia="宋体" w:cs="宋体"/>
          <w:sz w:val="24"/>
          <w:szCs w:val="24"/>
          <w:lang w:val="en-US" w:eastAsia="zh-CN"/>
        </w:rPr>
      </w:pPr>
    </w:p>
    <w:p w14:paraId="67A19AD2">
      <w:pPr>
        <w:bidi w:val="0"/>
        <w:rPr>
          <w:rFonts w:hint="default" w:ascii="宋体" w:hAnsi="宋体" w:eastAsia="宋体" w:cs="宋体"/>
          <w:sz w:val="24"/>
          <w:szCs w:val="24"/>
          <w:lang w:val="en-US" w:eastAsia="zh-CN"/>
        </w:rPr>
      </w:pPr>
    </w:p>
    <w:p w14:paraId="4357ACC3">
      <w:pPr>
        <w:bidi w:val="0"/>
        <w:rPr>
          <w:rFonts w:hint="default" w:ascii="宋体" w:hAnsi="宋体" w:eastAsia="宋体" w:cs="宋体"/>
          <w:sz w:val="24"/>
          <w:szCs w:val="24"/>
          <w:lang w:val="en-US" w:eastAsia="zh-CN"/>
        </w:rPr>
      </w:pPr>
    </w:p>
    <w:p w14:paraId="105C3C84">
      <w:pPr>
        <w:bidi w:val="0"/>
        <w:rPr>
          <w:rFonts w:hint="default" w:ascii="宋体" w:hAnsi="宋体" w:eastAsia="宋体" w:cs="宋体"/>
          <w:sz w:val="24"/>
          <w:szCs w:val="24"/>
          <w:lang w:val="en-US" w:eastAsia="zh-CN"/>
        </w:rPr>
      </w:pPr>
    </w:p>
    <w:p w14:paraId="21FB447F">
      <w:pPr>
        <w:bidi w:val="0"/>
        <w:rPr>
          <w:rFonts w:hint="default" w:ascii="宋体" w:hAnsi="宋体" w:eastAsia="宋体" w:cs="宋体"/>
          <w:sz w:val="24"/>
          <w:szCs w:val="24"/>
          <w:lang w:val="en-US" w:eastAsia="zh-CN"/>
        </w:rPr>
      </w:pPr>
    </w:p>
    <w:p w14:paraId="3CDADBC8">
      <w:pPr>
        <w:bidi w:val="0"/>
        <w:rPr>
          <w:rFonts w:hint="default" w:ascii="宋体" w:hAnsi="宋体" w:eastAsia="宋体" w:cs="宋体"/>
          <w:sz w:val="24"/>
          <w:szCs w:val="24"/>
          <w:lang w:val="en-US" w:eastAsia="zh-CN"/>
        </w:rPr>
      </w:pPr>
    </w:p>
    <w:p w14:paraId="72B07C60">
      <w:pPr>
        <w:bidi w:val="0"/>
        <w:rPr>
          <w:rFonts w:hint="default" w:ascii="宋体" w:hAnsi="宋体" w:eastAsia="宋体" w:cs="宋体"/>
          <w:sz w:val="24"/>
          <w:szCs w:val="24"/>
          <w:lang w:val="en-US" w:eastAsia="zh-CN"/>
        </w:rPr>
      </w:pPr>
    </w:p>
    <w:p w14:paraId="03B236E7">
      <w:pPr>
        <w:bidi w:val="0"/>
        <w:rPr>
          <w:rFonts w:hint="default" w:ascii="宋体" w:hAnsi="宋体" w:eastAsia="宋体" w:cs="宋体"/>
          <w:sz w:val="24"/>
          <w:szCs w:val="24"/>
          <w:lang w:val="en-US" w:eastAsia="zh-CN"/>
        </w:rPr>
      </w:pPr>
    </w:p>
    <w:p w14:paraId="3585FDCA">
      <w:pPr>
        <w:bidi w:val="0"/>
        <w:rPr>
          <w:rFonts w:hint="default" w:ascii="宋体" w:hAnsi="宋体" w:eastAsia="宋体" w:cs="宋体"/>
          <w:sz w:val="24"/>
          <w:szCs w:val="24"/>
          <w:lang w:val="en-US" w:eastAsia="zh-CN"/>
        </w:rPr>
      </w:pPr>
    </w:p>
    <w:p w14:paraId="2DFA1D26">
      <w:pPr>
        <w:bidi w:val="0"/>
        <w:rPr>
          <w:rFonts w:hint="default" w:ascii="宋体" w:hAnsi="宋体" w:eastAsia="宋体" w:cs="宋体"/>
          <w:sz w:val="24"/>
          <w:szCs w:val="24"/>
          <w:lang w:val="en-US" w:eastAsia="zh-CN"/>
        </w:rPr>
      </w:pPr>
    </w:p>
    <w:p w14:paraId="0E2219D9">
      <w:pPr>
        <w:bidi w:val="0"/>
        <w:rPr>
          <w:rFonts w:hint="default" w:ascii="宋体" w:hAnsi="宋体" w:eastAsia="宋体" w:cs="宋体"/>
          <w:sz w:val="24"/>
          <w:szCs w:val="24"/>
          <w:lang w:val="en-US" w:eastAsia="zh-CN"/>
        </w:rPr>
      </w:pPr>
    </w:p>
    <w:p w14:paraId="2B685C8D">
      <w:pPr>
        <w:bidi w:val="0"/>
        <w:rPr>
          <w:rFonts w:hint="default" w:ascii="宋体" w:hAnsi="宋体" w:eastAsia="宋体" w:cs="宋体"/>
          <w:sz w:val="24"/>
          <w:szCs w:val="24"/>
          <w:lang w:val="en-US" w:eastAsia="zh-CN"/>
        </w:rPr>
      </w:pPr>
    </w:p>
    <w:p w14:paraId="4861DB04">
      <w:pPr>
        <w:bidi w:val="0"/>
        <w:rPr>
          <w:rFonts w:hint="default" w:ascii="宋体" w:hAnsi="宋体" w:eastAsia="宋体" w:cs="宋体"/>
          <w:sz w:val="24"/>
          <w:szCs w:val="24"/>
          <w:lang w:val="en-US" w:eastAsia="zh-CN"/>
        </w:rPr>
      </w:pPr>
    </w:p>
    <w:p w14:paraId="4EFC269A">
      <w:pPr>
        <w:bidi w:val="0"/>
        <w:rPr>
          <w:rFonts w:hint="default" w:ascii="宋体" w:hAnsi="宋体" w:eastAsia="宋体" w:cs="宋体"/>
          <w:sz w:val="24"/>
          <w:szCs w:val="24"/>
          <w:lang w:val="en-US" w:eastAsia="zh-CN"/>
        </w:rPr>
      </w:pPr>
    </w:p>
    <w:p w14:paraId="34D94DA1">
      <w:pPr>
        <w:bidi w:val="0"/>
        <w:rPr>
          <w:rFonts w:hint="default" w:ascii="宋体" w:hAnsi="宋体" w:eastAsia="宋体" w:cs="宋体"/>
          <w:sz w:val="24"/>
          <w:szCs w:val="24"/>
          <w:lang w:val="en-US" w:eastAsia="zh-CN"/>
        </w:rPr>
      </w:pPr>
    </w:p>
    <w:p w14:paraId="36E95CD8">
      <w:pPr>
        <w:bidi w:val="0"/>
        <w:rPr>
          <w:rFonts w:hint="default" w:ascii="宋体" w:hAnsi="宋体" w:eastAsia="宋体" w:cs="宋体"/>
          <w:sz w:val="24"/>
          <w:szCs w:val="24"/>
          <w:lang w:val="en-US" w:eastAsia="zh-CN"/>
        </w:rPr>
      </w:pPr>
    </w:p>
    <w:p w14:paraId="3F028409">
      <w:pPr>
        <w:bidi w:val="0"/>
        <w:rPr>
          <w:rFonts w:hint="default" w:ascii="宋体" w:hAnsi="宋体" w:eastAsia="宋体" w:cs="宋体"/>
          <w:sz w:val="24"/>
          <w:szCs w:val="24"/>
          <w:lang w:val="en-US" w:eastAsia="zh-CN"/>
        </w:rPr>
      </w:pPr>
    </w:p>
    <w:p w14:paraId="004777BB">
      <w:pPr>
        <w:bidi w:val="0"/>
        <w:rPr>
          <w:rFonts w:hint="default" w:ascii="宋体" w:hAnsi="宋体" w:eastAsia="宋体" w:cs="宋体"/>
          <w:sz w:val="24"/>
          <w:szCs w:val="24"/>
          <w:lang w:val="en-US" w:eastAsia="zh-CN"/>
        </w:rPr>
      </w:pPr>
    </w:p>
    <w:p w14:paraId="27F3E814">
      <w:pPr>
        <w:bidi w:val="0"/>
        <w:rPr>
          <w:rFonts w:hint="default" w:ascii="宋体" w:hAnsi="宋体" w:eastAsia="宋体" w:cs="宋体"/>
          <w:sz w:val="24"/>
          <w:szCs w:val="24"/>
          <w:lang w:val="en-US" w:eastAsia="zh-CN"/>
        </w:rPr>
      </w:pPr>
    </w:p>
    <w:p w14:paraId="25A6163B">
      <w:pPr>
        <w:bidi w:val="0"/>
        <w:rPr>
          <w:rFonts w:hint="default" w:ascii="宋体" w:hAnsi="宋体" w:eastAsia="宋体" w:cs="宋体"/>
          <w:sz w:val="24"/>
          <w:szCs w:val="24"/>
          <w:lang w:val="en-US" w:eastAsia="zh-CN"/>
        </w:rPr>
      </w:pPr>
    </w:p>
    <w:p w14:paraId="3B365A53">
      <w:pPr>
        <w:bidi w:val="0"/>
        <w:rPr>
          <w:rFonts w:hint="default" w:ascii="宋体" w:hAnsi="宋体" w:eastAsia="宋体" w:cs="宋体"/>
          <w:sz w:val="24"/>
          <w:szCs w:val="24"/>
          <w:lang w:val="en-US" w:eastAsia="zh-CN"/>
        </w:rPr>
      </w:pPr>
    </w:p>
    <w:p w14:paraId="7944575E">
      <w:pPr>
        <w:bidi w:val="0"/>
        <w:rPr>
          <w:rFonts w:hint="default" w:ascii="宋体" w:hAnsi="宋体" w:eastAsia="宋体" w:cs="宋体"/>
          <w:sz w:val="24"/>
          <w:szCs w:val="24"/>
          <w:lang w:val="en-US" w:eastAsia="zh-CN"/>
        </w:rPr>
      </w:pPr>
    </w:p>
    <w:p w14:paraId="1EB268C3">
      <w:pPr>
        <w:bidi w:val="0"/>
        <w:rPr>
          <w:rFonts w:hint="default" w:ascii="宋体" w:hAnsi="宋体" w:eastAsia="宋体" w:cs="宋体"/>
          <w:sz w:val="24"/>
          <w:szCs w:val="24"/>
          <w:lang w:val="en-US" w:eastAsia="zh-CN"/>
        </w:rPr>
      </w:pPr>
    </w:p>
    <w:p w14:paraId="7007F245">
      <w:pPr>
        <w:bidi w:val="0"/>
        <w:rPr>
          <w:rFonts w:hint="default" w:ascii="宋体" w:hAnsi="宋体" w:eastAsia="宋体" w:cs="宋体"/>
          <w:sz w:val="24"/>
          <w:szCs w:val="24"/>
          <w:lang w:val="en-US" w:eastAsia="zh-CN"/>
        </w:rPr>
      </w:pPr>
    </w:p>
    <w:p w14:paraId="72DC0389">
      <w:pPr>
        <w:bidi w:val="0"/>
        <w:rPr>
          <w:rFonts w:hint="default" w:ascii="宋体" w:hAnsi="宋体" w:eastAsia="宋体" w:cs="宋体"/>
          <w:sz w:val="24"/>
          <w:szCs w:val="24"/>
          <w:lang w:val="en-US" w:eastAsia="zh-CN"/>
        </w:rPr>
      </w:pPr>
    </w:p>
    <w:p w14:paraId="2F63882D">
      <w:pPr>
        <w:bidi w:val="0"/>
        <w:rPr>
          <w:rFonts w:hint="default" w:ascii="宋体" w:hAnsi="宋体" w:eastAsia="宋体" w:cs="宋体"/>
          <w:sz w:val="24"/>
          <w:szCs w:val="24"/>
          <w:lang w:val="en-US" w:eastAsia="zh-CN"/>
        </w:rPr>
      </w:pPr>
    </w:p>
    <w:p w14:paraId="29D89A82">
      <w:pPr>
        <w:bidi w:val="0"/>
        <w:rPr>
          <w:rFonts w:hint="default" w:ascii="宋体" w:hAnsi="宋体" w:eastAsia="宋体" w:cs="宋体"/>
          <w:sz w:val="24"/>
          <w:szCs w:val="24"/>
          <w:lang w:val="en-US" w:eastAsia="zh-CN"/>
        </w:rPr>
      </w:pPr>
    </w:p>
    <w:p w14:paraId="57173408">
      <w:pPr>
        <w:bidi w:val="0"/>
        <w:rPr>
          <w:rFonts w:hint="default" w:ascii="宋体" w:hAnsi="宋体" w:eastAsia="宋体" w:cs="宋体"/>
          <w:sz w:val="24"/>
          <w:szCs w:val="24"/>
          <w:lang w:val="en-US" w:eastAsia="zh-CN"/>
        </w:rPr>
      </w:pPr>
    </w:p>
    <w:p w14:paraId="20256EEE">
      <w:pPr>
        <w:bidi w:val="0"/>
        <w:rPr>
          <w:rFonts w:hint="default" w:ascii="宋体" w:hAnsi="宋体" w:eastAsia="宋体" w:cs="宋体"/>
          <w:sz w:val="24"/>
          <w:szCs w:val="24"/>
          <w:lang w:val="en-US" w:eastAsia="zh-CN"/>
        </w:rPr>
      </w:pPr>
    </w:p>
    <w:p w14:paraId="5F92E178">
      <w:pPr>
        <w:bidi w:val="0"/>
        <w:rPr>
          <w:rFonts w:hint="default" w:ascii="宋体" w:hAnsi="宋体" w:eastAsia="宋体" w:cs="宋体"/>
          <w:sz w:val="24"/>
          <w:szCs w:val="24"/>
          <w:lang w:val="en-US" w:eastAsia="zh-CN"/>
        </w:rPr>
      </w:pPr>
    </w:p>
    <w:p w14:paraId="1709B937">
      <w:pPr>
        <w:bidi w:val="0"/>
        <w:rPr>
          <w:rFonts w:hint="default" w:ascii="宋体" w:hAnsi="宋体" w:eastAsia="宋体" w:cs="宋体"/>
          <w:sz w:val="24"/>
          <w:szCs w:val="24"/>
          <w:lang w:val="en-US" w:eastAsia="zh-CN"/>
        </w:rPr>
      </w:pPr>
    </w:p>
    <w:p w14:paraId="05968667">
      <w:pPr>
        <w:bidi w:val="0"/>
        <w:rPr>
          <w:rFonts w:hint="default" w:ascii="宋体" w:hAnsi="宋体" w:eastAsia="宋体" w:cs="宋体"/>
          <w:sz w:val="24"/>
          <w:szCs w:val="24"/>
          <w:lang w:val="en-US" w:eastAsia="zh-CN"/>
        </w:rPr>
      </w:pPr>
    </w:p>
    <w:p w14:paraId="2E886236">
      <w:pPr>
        <w:bidi w:val="0"/>
        <w:rPr>
          <w:rFonts w:hint="default" w:ascii="宋体" w:hAnsi="宋体" w:eastAsia="宋体" w:cs="宋体"/>
          <w:sz w:val="24"/>
          <w:szCs w:val="24"/>
          <w:lang w:val="en-US" w:eastAsia="zh-CN"/>
        </w:rPr>
      </w:pPr>
    </w:p>
    <w:p w14:paraId="21EA2BB4">
      <w:pPr>
        <w:bidi w:val="0"/>
        <w:rPr>
          <w:rFonts w:hint="default" w:ascii="宋体" w:hAnsi="宋体" w:eastAsia="宋体" w:cs="宋体"/>
          <w:sz w:val="24"/>
          <w:szCs w:val="24"/>
          <w:lang w:val="en-US" w:eastAsia="zh-CN"/>
        </w:rPr>
      </w:pPr>
    </w:p>
    <w:p w14:paraId="268C191F">
      <w:pPr>
        <w:bidi w:val="0"/>
        <w:rPr>
          <w:rFonts w:hint="default" w:ascii="宋体" w:hAnsi="宋体" w:eastAsia="宋体" w:cs="宋体"/>
          <w:sz w:val="24"/>
          <w:szCs w:val="24"/>
          <w:lang w:val="en-US" w:eastAsia="zh-CN"/>
        </w:rPr>
      </w:pPr>
    </w:p>
    <w:p w14:paraId="0510B41D">
      <w:pPr>
        <w:bidi w:val="0"/>
        <w:rPr>
          <w:rFonts w:hint="default" w:ascii="宋体" w:hAnsi="宋体" w:eastAsia="宋体" w:cs="宋体"/>
          <w:sz w:val="24"/>
          <w:szCs w:val="24"/>
          <w:lang w:val="en-US" w:eastAsia="zh-CN"/>
        </w:rPr>
      </w:pPr>
    </w:p>
    <w:p w14:paraId="050DCE1D">
      <w:pPr>
        <w:bidi w:val="0"/>
        <w:rPr>
          <w:rFonts w:hint="default" w:ascii="宋体" w:hAnsi="宋体" w:eastAsia="宋体" w:cs="宋体"/>
          <w:sz w:val="24"/>
          <w:szCs w:val="24"/>
          <w:lang w:val="en-US" w:eastAsia="zh-CN"/>
        </w:rPr>
      </w:pPr>
    </w:p>
    <w:p w14:paraId="5ED23834">
      <w:pPr>
        <w:bidi w:val="0"/>
        <w:rPr>
          <w:rFonts w:hint="default" w:ascii="宋体" w:hAnsi="宋体" w:eastAsia="宋体" w:cs="宋体"/>
          <w:sz w:val="24"/>
          <w:szCs w:val="24"/>
          <w:lang w:val="en-US" w:eastAsia="zh-CN"/>
        </w:rPr>
      </w:pPr>
    </w:p>
    <w:p w14:paraId="6F6194C3">
      <w:pPr>
        <w:bidi w:val="0"/>
        <w:rPr>
          <w:rFonts w:hint="default" w:ascii="宋体" w:hAnsi="宋体" w:eastAsia="宋体" w:cs="宋体"/>
          <w:sz w:val="24"/>
          <w:szCs w:val="24"/>
          <w:lang w:val="en-US" w:eastAsia="zh-CN"/>
        </w:rPr>
      </w:pPr>
    </w:p>
    <w:p w14:paraId="585FE04F">
      <w:pPr>
        <w:bidi w:val="0"/>
        <w:rPr>
          <w:rFonts w:hint="default" w:ascii="宋体" w:hAnsi="宋体" w:eastAsia="宋体" w:cs="宋体"/>
          <w:sz w:val="24"/>
          <w:szCs w:val="24"/>
          <w:lang w:val="en-US" w:eastAsia="zh-CN"/>
        </w:rPr>
      </w:pPr>
    </w:p>
    <w:p w14:paraId="46D19EDA">
      <w:pPr>
        <w:bidi w:val="0"/>
        <w:rPr>
          <w:rFonts w:hint="default" w:ascii="宋体" w:hAnsi="宋体" w:eastAsia="宋体" w:cs="宋体"/>
          <w:sz w:val="24"/>
          <w:szCs w:val="24"/>
          <w:lang w:val="en-US" w:eastAsia="zh-CN"/>
        </w:rPr>
      </w:pPr>
    </w:p>
    <w:p w14:paraId="06849AC9">
      <w:pPr>
        <w:bidi w:val="0"/>
        <w:rPr>
          <w:rFonts w:hint="default" w:ascii="宋体" w:hAnsi="宋体" w:eastAsia="宋体" w:cs="宋体"/>
          <w:sz w:val="24"/>
          <w:szCs w:val="24"/>
          <w:lang w:val="en-US" w:eastAsia="zh-CN"/>
        </w:rPr>
      </w:pPr>
      <w:r>
        <w:drawing>
          <wp:anchor distT="0" distB="0" distL="114300" distR="114300" simplePos="0" relativeHeight="251660288" behindDoc="0" locked="0" layoutInCell="1" allowOverlap="1">
            <wp:simplePos x="0" y="0"/>
            <wp:positionH relativeFrom="column">
              <wp:posOffset>-1582420</wp:posOffset>
            </wp:positionH>
            <wp:positionV relativeFrom="paragraph">
              <wp:posOffset>1361440</wp:posOffset>
            </wp:positionV>
            <wp:extent cx="8517890" cy="6029960"/>
            <wp:effectExtent l="0" t="0" r="8890" b="16510"/>
            <wp:wrapNone/>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24"/>
                    <a:stretch>
                      <a:fillRect/>
                    </a:stretch>
                  </pic:blipFill>
                  <pic:spPr>
                    <a:xfrm rot="5400000">
                      <a:off x="0" y="0"/>
                      <a:ext cx="8517890" cy="6029960"/>
                    </a:xfrm>
                    <a:prstGeom prst="rect">
                      <a:avLst/>
                    </a:prstGeom>
                    <a:noFill/>
                    <a:ln>
                      <a:noFill/>
                    </a:ln>
                  </pic:spPr>
                </pic:pic>
              </a:graphicData>
            </a:graphic>
          </wp:anchor>
        </w:drawing>
      </w:r>
    </w:p>
    <w:p w14:paraId="4B8675C1">
      <w:pPr>
        <w:bidi w:val="0"/>
        <w:rPr>
          <w:rFonts w:hint="default" w:ascii="宋体" w:hAnsi="宋体" w:eastAsia="宋体" w:cs="宋体"/>
          <w:sz w:val="24"/>
          <w:szCs w:val="24"/>
          <w:lang w:val="en-US" w:eastAsia="zh-CN"/>
        </w:rPr>
      </w:pPr>
    </w:p>
    <w:p w14:paraId="4072E674">
      <w:pPr>
        <w:bidi w:val="0"/>
        <w:rPr>
          <w:rFonts w:hint="default" w:ascii="宋体" w:hAnsi="宋体" w:eastAsia="宋体" w:cs="宋体"/>
          <w:sz w:val="24"/>
          <w:szCs w:val="24"/>
          <w:lang w:val="en-US" w:eastAsia="zh-CN"/>
        </w:rPr>
      </w:pPr>
    </w:p>
    <w:p w14:paraId="3A0DF6D6">
      <w:pPr>
        <w:bidi w:val="0"/>
        <w:rPr>
          <w:rFonts w:hint="default" w:ascii="宋体" w:hAnsi="宋体" w:eastAsia="宋体" w:cs="宋体"/>
          <w:sz w:val="24"/>
          <w:szCs w:val="24"/>
          <w:lang w:val="en-US" w:eastAsia="zh-CN"/>
        </w:rPr>
      </w:pPr>
    </w:p>
    <w:p w14:paraId="475D3EE3">
      <w:pPr>
        <w:bidi w:val="0"/>
        <w:rPr>
          <w:rFonts w:hint="default" w:ascii="宋体" w:hAnsi="宋体" w:eastAsia="宋体" w:cs="宋体"/>
          <w:sz w:val="24"/>
          <w:szCs w:val="24"/>
          <w:lang w:val="en-US" w:eastAsia="zh-CN"/>
        </w:rPr>
      </w:pPr>
    </w:p>
    <w:p w14:paraId="203E1E5C">
      <w:pPr>
        <w:bidi w:val="0"/>
        <w:rPr>
          <w:rFonts w:hint="default" w:ascii="宋体" w:hAnsi="宋体" w:eastAsia="宋体" w:cs="宋体"/>
          <w:sz w:val="24"/>
          <w:szCs w:val="24"/>
          <w:lang w:val="en-US" w:eastAsia="zh-CN"/>
        </w:rPr>
      </w:pPr>
    </w:p>
    <w:p w14:paraId="2DA4C75E">
      <w:pPr>
        <w:bidi w:val="0"/>
        <w:rPr>
          <w:rFonts w:hint="default" w:ascii="宋体" w:hAnsi="宋体" w:eastAsia="宋体" w:cs="宋体"/>
          <w:sz w:val="24"/>
          <w:szCs w:val="24"/>
          <w:lang w:val="en-US" w:eastAsia="zh-CN"/>
        </w:rPr>
      </w:pPr>
    </w:p>
    <w:p w14:paraId="02876570">
      <w:pPr>
        <w:bidi w:val="0"/>
        <w:rPr>
          <w:rFonts w:hint="default" w:ascii="宋体" w:hAnsi="宋体" w:eastAsia="宋体" w:cs="宋体"/>
          <w:sz w:val="24"/>
          <w:szCs w:val="24"/>
          <w:lang w:val="en-US" w:eastAsia="zh-CN"/>
        </w:rPr>
      </w:pPr>
    </w:p>
    <w:p w14:paraId="1F77AC1F">
      <w:pPr>
        <w:bidi w:val="0"/>
        <w:rPr>
          <w:rFonts w:hint="default" w:ascii="宋体" w:hAnsi="宋体" w:eastAsia="宋体" w:cs="宋体"/>
          <w:sz w:val="24"/>
          <w:szCs w:val="24"/>
          <w:lang w:val="en-US" w:eastAsia="zh-CN"/>
        </w:rPr>
      </w:pPr>
    </w:p>
    <w:p w14:paraId="58693A3D">
      <w:pPr>
        <w:bidi w:val="0"/>
        <w:rPr>
          <w:rFonts w:hint="default" w:ascii="宋体" w:hAnsi="宋体" w:eastAsia="宋体" w:cs="宋体"/>
          <w:sz w:val="24"/>
          <w:szCs w:val="24"/>
          <w:lang w:val="en-US" w:eastAsia="zh-CN"/>
        </w:rPr>
      </w:pPr>
    </w:p>
    <w:p w14:paraId="1BB79513">
      <w:pPr>
        <w:bidi w:val="0"/>
        <w:rPr>
          <w:rFonts w:hint="default" w:ascii="宋体" w:hAnsi="宋体" w:eastAsia="宋体" w:cs="宋体"/>
          <w:sz w:val="24"/>
          <w:szCs w:val="24"/>
          <w:lang w:val="en-US" w:eastAsia="zh-CN"/>
        </w:rPr>
      </w:pPr>
    </w:p>
    <w:p w14:paraId="608B3E65">
      <w:pPr>
        <w:bidi w:val="0"/>
        <w:rPr>
          <w:rFonts w:hint="default" w:ascii="宋体" w:hAnsi="宋体" w:eastAsia="宋体" w:cs="宋体"/>
          <w:sz w:val="24"/>
          <w:szCs w:val="24"/>
          <w:lang w:val="en-US" w:eastAsia="zh-CN"/>
        </w:rPr>
      </w:pPr>
    </w:p>
    <w:p w14:paraId="20FB45B6">
      <w:pPr>
        <w:bidi w:val="0"/>
        <w:rPr>
          <w:rFonts w:hint="default" w:ascii="宋体" w:hAnsi="宋体" w:eastAsia="宋体" w:cs="宋体"/>
          <w:sz w:val="24"/>
          <w:szCs w:val="24"/>
          <w:lang w:val="en-US" w:eastAsia="zh-CN"/>
        </w:rPr>
      </w:pPr>
    </w:p>
    <w:p w14:paraId="0D2A5964">
      <w:pPr>
        <w:bidi w:val="0"/>
        <w:rPr>
          <w:rFonts w:hint="default" w:ascii="宋体" w:hAnsi="宋体" w:eastAsia="宋体" w:cs="宋体"/>
          <w:sz w:val="24"/>
          <w:szCs w:val="24"/>
          <w:lang w:val="en-US" w:eastAsia="zh-CN"/>
        </w:rPr>
      </w:pPr>
    </w:p>
    <w:p w14:paraId="4AF31B54">
      <w:pPr>
        <w:bidi w:val="0"/>
        <w:rPr>
          <w:rFonts w:hint="default" w:ascii="宋体" w:hAnsi="宋体" w:eastAsia="宋体" w:cs="宋体"/>
          <w:sz w:val="24"/>
          <w:szCs w:val="24"/>
          <w:lang w:val="en-US" w:eastAsia="zh-CN"/>
        </w:rPr>
      </w:pPr>
    </w:p>
    <w:p w14:paraId="6A136291">
      <w:pPr>
        <w:bidi w:val="0"/>
        <w:rPr>
          <w:rFonts w:hint="default" w:ascii="宋体" w:hAnsi="宋体" w:eastAsia="宋体" w:cs="宋体"/>
          <w:sz w:val="24"/>
          <w:szCs w:val="24"/>
          <w:lang w:val="en-US" w:eastAsia="zh-CN"/>
        </w:rPr>
      </w:pPr>
    </w:p>
    <w:p w14:paraId="6AF2B8B9">
      <w:pPr>
        <w:bidi w:val="0"/>
        <w:rPr>
          <w:rFonts w:hint="default" w:ascii="宋体" w:hAnsi="宋体" w:eastAsia="宋体" w:cs="宋体"/>
          <w:sz w:val="24"/>
          <w:szCs w:val="24"/>
          <w:lang w:val="en-US" w:eastAsia="zh-CN"/>
        </w:rPr>
      </w:pPr>
    </w:p>
    <w:p w14:paraId="17502644">
      <w:pPr>
        <w:bidi w:val="0"/>
        <w:rPr>
          <w:rFonts w:hint="default" w:ascii="宋体" w:hAnsi="宋体" w:eastAsia="宋体" w:cs="宋体"/>
          <w:sz w:val="24"/>
          <w:szCs w:val="24"/>
          <w:lang w:val="en-US" w:eastAsia="zh-CN"/>
        </w:rPr>
      </w:pPr>
    </w:p>
    <w:p w14:paraId="05CED6F9">
      <w:pPr>
        <w:bidi w:val="0"/>
        <w:rPr>
          <w:rFonts w:hint="default" w:ascii="宋体" w:hAnsi="宋体" w:eastAsia="宋体" w:cs="宋体"/>
          <w:sz w:val="24"/>
          <w:szCs w:val="24"/>
          <w:lang w:val="en-US" w:eastAsia="zh-CN"/>
        </w:rPr>
      </w:pPr>
    </w:p>
    <w:p w14:paraId="184FE437">
      <w:pPr>
        <w:bidi w:val="0"/>
        <w:rPr>
          <w:rFonts w:hint="default" w:ascii="宋体" w:hAnsi="宋体" w:eastAsia="宋体" w:cs="宋体"/>
          <w:sz w:val="24"/>
          <w:szCs w:val="24"/>
          <w:lang w:val="en-US" w:eastAsia="zh-CN"/>
        </w:rPr>
      </w:pPr>
    </w:p>
    <w:p w14:paraId="04BAFA8E">
      <w:pPr>
        <w:bidi w:val="0"/>
        <w:rPr>
          <w:rFonts w:hint="default" w:ascii="宋体" w:hAnsi="宋体" w:eastAsia="宋体" w:cs="宋体"/>
          <w:sz w:val="24"/>
          <w:szCs w:val="24"/>
          <w:lang w:val="en-US" w:eastAsia="zh-CN"/>
        </w:rPr>
      </w:pPr>
    </w:p>
    <w:p w14:paraId="33290116">
      <w:pPr>
        <w:bidi w:val="0"/>
        <w:rPr>
          <w:rFonts w:hint="default" w:ascii="宋体" w:hAnsi="宋体" w:eastAsia="宋体" w:cs="宋体"/>
          <w:sz w:val="24"/>
          <w:szCs w:val="24"/>
          <w:lang w:val="en-US" w:eastAsia="zh-CN"/>
        </w:rPr>
      </w:pPr>
    </w:p>
    <w:p w14:paraId="5EDAA79E">
      <w:pPr>
        <w:bidi w:val="0"/>
        <w:rPr>
          <w:rFonts w:hint="default" w:ascii="宋体" w:hAnsi="宋体" w:eastAsia="宋体" w:cs="宋体"/>
          <w:sz w:val="24"/>
          <w:szCs w:val="24"/>
          <w:lang w:val="en-US" w:eastAsia="zh-CN"/>
        </w:rPr>
      </w:pPr>
    </w:p>
    <w:p w14:paraId="383C30AE">
      <w:pPr>
        <w:bidi w:val="0"/>
        <w:rPr>
          <w:rFonts w:hint="default" w:ascii="宋体" w:hAnsi="宋体" w:eastAsia="宋体" w:cs="宋体"/>
          <w:sz w:val="24"/>
          <w:szCs w:val="24"/>
          <w:lang w:val="en-US" w:eastAsia="zh-CN"/>
        </w:rPr>
      </w:pPr>
    </w:p>
    <w:p w14:paraId="0E80C959">
      <w:pPr>
        <w:bidi w:val="0"/>
        <w:rPr>
          <w:rFonts w:hint="default" w:ascii="宋体" w:hAnsi="宋体" w:eastAsia="宋体" w:cs="宋体"/>
          <w:sz w:val="24"/>
          <w:szCs w:val="24"/>
          <w:lang w:val="en-US" w:eastAsia="zh-CN"/>
        </w:rPr>
      </w:pPr>
    </w:p>
    <w:p w14:paraId="7BBAB041">
      <w:pPr>
        <w:bidi w:val="0"/>
        <w:rPr>
          <w:rFonts w:hint="default" w:ascii="宋体" w:hAnsi="宋体" w:eastAsia="宋体" w:cs="宋体"/>
          <w:sz w:val="24"/>
          <w:szCs w:val="24"/>
          <w:lang w:val="en-US" w:eastAsia="zh-CN"/>
        </w:rPr>
      </w:pPr>
    </w:p>
    <w:p w14:paraId="07734CB2">
      <w:pPr>
        <w:bidi w:val="0"/>
        <w:rPr>
          <w:rFonts w:hint="default" w:ascii="宋体" w:hAnsi="宋体" w:eastAsia="宋体" w:cs="宋体"/>
          <w:sz w:val="24"/>
          <w:szCs w:val="24"/>
          <w:lang w:val="en-US" w:eastAsia="zh-CN"/>
        </w:rPr>
      </w:pPr>
    </w:p>
    <w:p w14:paraId="7995BB4E">
      <w:pPr>
        <w:bidi w:val="0"/>
        <w:rPr>
          <w:rFonts w:hint="default" w:ascii="宋体" w:hAnsi="宋体" w:eastAsia="宋体" w:cs="宋体"/>
          <w:sz w:val="24"/>
          <w:szCs w:val="24"/>
          <w:lang w:val="en-US" w:eastAsia="zh-CN"/>
        </w:rPr>
      </w:pPr>
    </w:p>
    <w:p w14:paraId="0F3CC4BB">
      <w:pPr>
        <w:bidi w:val="0"/>
        <w:rPr>
          <w:rFonts w:hint="default" w:ascii="宋体" w:hAnsi="宋体" w:eastAsia="宋体" w:cs="宋体"/>
          <w:sz w:val="24"/>
          <w:szCs w:val="24"/>
          <w:lang w:val="en-US" w:eastAsia="zh-CN"/>
        </w:rPr>
      </w:pPr>
    </w:p>
    <w:p w14:paraId="63C0E0EC">
      <w:pPr>
        <w:bidi w:val="0"/>
        <w:rPr>
          <w:rFonts w:hint="default" w:ascii="宋体" w:hAnsi="宋体" w:eastAsia="宋体" w:cs="宋体"/>
          <w:sz w:val="24"/>
          <w:szCs w:val="24"/>
          <w:lang w:val="en-US" w:eastAsia="zh-CN"/>
        </w:rPr>
      </w:pPr>
    </w:p>
    <w:p w14:paraId="4994258A">
      <w:pPr>
        <w:bidi w:val="0"/>
        <w:rPr>
          <w:rFonts w:hint="default" w:ascii="宋体" w:hAnsi="宋体" w:eastAsia="宋体" w:cs="宋体"/>
          <w:sz w:val="24"/>
          <w:szCs w:val="24"/>
          <w:lang w:val="en-US" w:eastAsia="zh-CN"/>
        </w:rPr>
      </w:pPr>
    </w:p>
    <w:p w14:paraId="0A38F081">
      <w:pPr>
        <w:bidi w:val="0"/>
        <w:rPr>
          <w:rFonts w:hint="default" w:ascii="宋体" w:hAnsi="宋体" w:eastAsia="宋体" w:cs="宋体"/>
          <w:sz w:val="24"/>
          <w:szCs w:val="24"/>
          <w:lang w:val="en-US" w:eastAsia="zh-CN"/>
        </w:rPr>
      </w:pPr>
    </w:p>
    <w:p w14:paraId="1B033971">
      <w:pPr>
        <w:bidi w:val="0"/>
        <w:rPr>
          <w:rFonts w:hint="default" w:ascii="宋体" w:hAnsi="宋体" w:eastAsia="宋体" w:cs="宋体"/>
          <w:sz w:val="24"/>
          <w:szCs w:val="24"/>
          <w:lang w:val="en-US" w:eastAsia="zh-CN"/>
        </w:rPr>
      </w:pPr>
    </w:p>
    <w:p w14:paraId="46476CC1">
      <w:pPr>
        <w:bidi w:val="0"/>
        <w:rPr>
          <w:rFonts w:hint="default" w:ascii="宋体" w:hAnsi="宋体" w:eastAsia="宋体" w:cs="宋体"/>
          <w:sz w:val="24"/>
          <w:szCs w:val="24"/>
          <w:lang w:val="en-US" w:eastAsia="zh-CN"/>
        </w:rPr>
      </w:pPr>
    </w:p>
    <w:p w14:paraId="48089381">
      <w:pPr>
        <w:bidi w:val="0"/>
        <w:rPr>
          <w:rFonts w:hint="default" w:ascii="宋体" w:hAnsi="宋体" w:eastAsia="宋体" w:cs="宋体"/>
          <w:sz w:val="24"/>
          <w:szCs w:val="24"/>
          <w:lang w:val="en-US" w:eastAsia="zh-CN"/>
        </w:rPr>
      </w:pPr>
    </w:p>
    <w:p w14:paraId="5D04C1C7">
      <w:pPr>
        <w:bidi w:val="0"/>
        <w:rPr>
          <w:rFonts w:hint="default" w:ascii="宋体" w:hAnsi="宋体" w:eastAsia="宋体" w:cs="宋体"/>
          <w:sz w:val="24"/>
          <w:szCs w:val="24"/>
          <w:lang w:val="en-US" w:eastAsia="zh-CN"/>
        </w:rPr>
      </w:pPr>
    </w:p>
    <w:p w14:paraId="4166F08E">
      <w:pPr>
        <w:bidi w:val="0"/>
        <w:rPr>
          <w:rFonts w:hint="default" w:ascii="宋体" w:hAnsi="宋体" w:eastAsia="宋体" w:cs="宋体"/>
          <w:sz w:val="24"/>
          <w:szCs w:val="24"/>
          <w:lang w:val="en-US" w:eastAsia="zh-CN"/>
        </w:rPr>
      </w:pPr>
    </w:p>
    <w:p w14:paraId="3BCC4699">
      <w:pPr>
        <w:bidi w:val="0"/>
        <w:rPr>
          <w:rFonts w:hint="default" w:ascii="宋体" w:hAnsi="宋体" w:eastAsia="宋体" w:cs="宋体"/>
          <w:sz w:val="24"/>
          <w:szCs w:val="24"/>
          <w:lang w:val="en-US" w:eastAsia="zh-CN"/>
        </w:rPr>
      </w:pPr>
    </w:p>
    <w:p w14:paraId="0DA6118E">
      <w:pPr>
        <w:bidi w:val="0"/>
        <w:rPr>
          <w:rFonts w:hint="default" w:ascii="宋体" w:hAnsi="宋体" w:eastAsia="宋体" w:cs="宋体"/>
          <w:sz w:val="24"/>
          <w:szCs w:val="24"/>
          <w:lang w:val="en-US" w:eastAsia="zh-CN"/>
        </w:rPr>
      </w:pPr>
    </w:p>
    <w:p w14:paraId="6F8FDA2E">
      <w:pPr>
        <w:bidi w:val="0"/>
        <w:rPr>
          <w:rFonts w:hint="default" w:ascii="宋体" w:hAnsi="宋体" w:eastAsia="宋体" w:cs="宋体"/>
          <w:sz w:val="24"/>
          <w:szCs w:val="24"/>
          <w:lang w:val="en-US" w:eastAsia="zh-CN"/>
        </w:rPr>
      </w:pPr>
    </w:p>
    <w:p w14:paraId="1912ABE2">
      <w:pPr>
        <w:bidi w:val="0"/>
        <w:rPr>
          <w:rFonts w:hint="default" w:ascii="宋体" w:hAnsi="宋体" w:eastAsia="宋体" w:cs="宋体"/>
          <w:sz w:val="24"/>
          <w:szCs w:val="24"/>
          <w:lang w:val="en-US" w:eastAsia="zh-CN"/>
        </w:rPr>
      </w:pPr>
    </w:p>
    <w:p w14:paraId="649FC426">
      <w:pPr>
        <w:bidi w:val="0"/>
        <w:rPr>
          <w:rFonts w:hint="default" w:ascii="宋体" w:hAnsi="宋体" w:eastAsia="宋体" w:cs="宋体"/>
          <w:sz w:val="24"/>
          <w:szCs w:val="24"/>
          <w:lang w:val="en-US" w:eastAsia="zh-CN"/>
        </w:rPr>
      </w:pPr>
    </w:p>
    <w:p w14:paraId="6EA8F703">
      <w:pPr>
        <w:bidi w:val="0"/>
        <w:rPr>
          <w:rFonts w:hint="default" w:ascii="宋体" w:hAnsi="宋体" w:eastAsia="宋体" w:cs="宋体"/>
          <w:sz w:val="24"/>
          <w:szCs w:val="24"/>
          <w:lang w:val="en-US" w:eastAsia="zh-CN"/>
        </w:rPr>
      </w:pPr>
    </w:p>
    <w:p w14:paraId="1601DEDA">
      <w:pPr>
        <w:bidi w:val="0"/>
        <w:rPr>
          <w:rFonts w:hint="default" w:ascii="宋体" w:hAnsi="宋体" w:eastAsia="宋体" w:cs="宋体"/>
          <w:sz w:val="24"/>
          <w:szCs w:val="24"/>
          <w:lang w:val="en-US" w:eastAsia="zh-CN"/>
        </w:rPr>
      </w:pPr>
    </w:p>
    <w:p w14:paraId="16877DF4">
      <w:pPr>
        <w:bidi w:val="0"/>
        <w:rPr>
          <w:rFonts w:hint="default" w:ascii="宋体" w:hAnsi="宋体" w:eastAsia="宋体" w:cs="宋体"/>
          <w:sz w:val="24"/>
          <w:szCs w:val="24"/>
          <w:lang w:val="en-US" w:eastAsia="zh-CN"/>
        </w:rPr>
      </w:pPr>
      <w:r>
        <w:drawing>
          <wp:anchor distT="0" distB="0" distL="114300" distR="114300" simplePos="0" relativeHeight="251661312" behindDoc="0" locked="0" layoutInCell="1" allowOverlap="1">
            <wp:simplePos x="0" y="0"/>
            <wp:positionH relativeFrom="column">
              <wp:posOffset>-1746250</wp:posOffset>
            </wp:positionH>
            <wp:positionV relativeFrom="paragraph">
              <wp:posOffset>1476375</wp:posOffset>
            </wp:positionV>
            <wp:extent cx="8808085" cy="5882005"/>
            <wp:effectExtent l="0" t="0" r="4445" b="12065"/>
            <wp:wrapNone/>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25"/>
                    <a:stretch>
                      <a:fillRect/>
                    </a:stretch>
                  </pic:blipFill>
                  <pic:spPr>
                    <a:xfrm rot="5400000">
                      <a:off x="0" y="0"/>
                      <a:ext cx="8808085" cy="5882005"/>
                    </a:xfrm>
                    <a:prstGeom prst="rect">
                      <a:avLst/>
                    </a:prstGeom>
                    <a:noFill/>
                    <a:ln>
                      <a:noFill/>
                    </a:ln>
                  </pic:spPr>
                </pic:pic>
              </a:graphicData>
            </a:graphic>
          </wp:anchor>
        </w:drawing>
      </w:r>
    </w:p>
    <w:p w14:paraId="0D6D3520">
      <w:pPr>
        <w:bidi w:val="0"/>
        <w:rPr>
          <w:rFonts w:hint="default" w:ascii="宋体" w:hAnsi="宋体" w:eastAsia="宋体" w:cs="宋体"/>
          <w:sz w:val="24"/>
          <w:szCs w:val="24"/>
          <w:lang w:val="en-US" w:eastAsia="zh-CN"/>
        </w:rPr>
      </w:pPr>
    </w:p>
    <w:p w14:paraId="4C1AB7CB">
      <w:pPr>
        <w:bidi w:val="0"/>
        <w:rPr>
          <w:rFonts w:hint="default" w:ascii="宋体" w:hAnsi="宋体" w:eastAsia="宋体" w:cs="宋体"/>
          <w:sz w:val="24"/>
          <w:szCs w:val="24"/>
          <w:lang w:val="en-US" w:eastAsia="zh-CN"/>
        </w:rPr>
      </w:pPr>
    </w:p>
    <w:p w14:paraId="2913BAE9">
      <w:pPr>
        <w:bidi w:val="0"/>
        <w:rPr>
          <w:rFonts w:hint="default" w:ascii="宋体" w:hAnsi="宋体" w:eastAsia="宋体" w:cs="宋体"/>
          <w:sz w:val="24"/>
          <w:szCs w:val="24"/>
          <w:lang w:val="en-US" w:eastAsia="zh-CN"/>
        </w:rPr>
      </w:pPr>
    </w:p>
    <w:p w14:paraId="55D47025">
      <w:pPr>
        <w:bidi w:val="0"/>
        <w:rPr>
          <w:rFonts w:hint="default" w:ascii="宋体" w:hAnsi="宋体" w:eastAsia="宋体" w:cs="宋体"/>
          <w:sz w:val="24"/>
          <w:szCs w:val="24"/>
          <w:lang w:val="en-US" w:eastAsia="zh-CN"/>
        </w:rPr>
      </w:pPr>
    </w:p>
    <w:p w14:paraId="73C246CC">
      <w:pPr>
        <w:bidi w:val="0"/>
        <w:rPr>
          <w:rFonts w:hint="default" w:ascii="宋体" w:hAnsi="宋体" w:eastAsia="宋体" w:cs="宋体"/>
          <w:sz w:val="24"/>
          <w:szCs w:val="24"/>
          <w:lang w:val="en-US" w:eastAsia="zh-CN"/>
        </w:rPr>
      </w:pPr>
    </w:p>
    <w:p w14:paraId="3F0D29E3">
      <w:pPr>
        <w:bidi w:val="0"/>
        <w:rPr>
          <w:rFonts w:hint="default" w:ascii="宋体" w:hAnsi="宋体" w:eastAsia="宋体" w:cs="宋体"/>
          <w:sz w:val="24"/>
          <w:szCs w:val="24"/>
          <w:lang w:val="en-US" w:eastAsia="zh-CN"/>
        </w:rPr>
      </w:pPr>
    </w:p>
    <w:p w14:paraId="60A3B176">
      <w:pPr>
        <w:bidi w:val="0"/>
        <w:rPr>
          <w:rFonts w:hint="default" w:ascii="宋体" w:hAnsi="宋体" w:eastAsia="宋体" w:cs="宋体"/>
          <w:sz w:val="24"/>
          <w:szCs w:val="24"/>
          <w:lang w:val="en-US" w:eastAsia="zh-CN"/>
        </w:rPr>
      </w:pPr>
    </w:p>
    <w:p w14:paraId="14CE7551">
      <w:pPr>
        <w:bidi w:val="0"/>
        <w:rPr>
          <w:rFonts w:hint="default" w:ascii="宋体" w:hAnsi="宋体" w:eastAsia="宋体" w:cs="宋体"/>
          <w:sz w:val="24"/>
          <w:szCs w:val="24"/>
          <w:lang w:val="en-US" w:eastAsia="zh-CN"/>
        </w:rPr>
      </w:pPr>
    </w:p>
    <w:p w14:paraId="554BB2C8">
      <w:pPr>
        <w:bidi w:val="0"/>
        <w:rPr>
          <w:rFonts w:hint="default" w:ascii="宋体" w:hAnsi="宋体" w:eastAsia="宋体" w:cs="宋体"/>
          <w:sz w:val="24"/>
          <w:szCs w:val="24"/>
          <w:lang w:val="en-US" w:eastAsia="zh-CN"/>
        </w:rPr>
      </w:pPr>
    </w:p>
    <w:p w14:paraId="38B5A522">
      <w:pPr>
        <w:bidi w:val="0"/>
        <w:rPr>
          <w:rFonts w:hint="default" w:ascii="宋体" w:hAnsi="宋体" w:eastAsia="宋体" w:cs="宋体"/>
          <w:sz w:val="24"/>
          <w:szCs w:val="24"/>
          <w:lang w:val="en-US" w:eastAsia="zh-CN"/>
        </w:rPr>
      </w:pPr>
    </w:p>
    <w:p w14:paraId="39840EEF">
      <w:pPr>
        <w:bidi w:val="0"/>
        <w:rPr>
          <w:rFonts w:hint="default" w:ascii="宋体" w:hAnsi="宋体" w:eastAsia="宋体" w:cs="宋体"/>
          <w:sz w:val="24"/>
          <w:szCs w:val="24"/>
          <w:lang w:val="en-US" w:eastAsia="zh-CN"/>
        </w:rPr>
      </w:pPr>
    </w:p>
    <w:p w14:paraId="18B6E859">
      <w:pPr>
        <w:bidi w:val="0"/>
        <w:rPr>
          <w:rFonts w:hint="default" w:ascii="宋体" w:hAnsi="宋体" w:eastAsia="宋体" w:cs="宋体"/>
          <w:sz w:val="24"/>
          <w:szCs w:val="24"/>
          <w:lang w:val="en-US" w:eastAsia="zh-CN"/>
        </w:rPr>
      </w:pPr>
    </w:p>
    <w:p w14:paraId="6BEA2569">
      <w:pPr>
        <w:bidi w:val="0"/>
        <w:rPr>
          <w:rFonts w:hint="default" w:ascii="宋体" w:hAnsi="宋体" w:eastAsia="宋体" w:cs="宋体"/>
          <w:sz w:val="24"/>
          <w:szCs w:val="24"/>
          <w:lang w:val="en-US" w:eastAsia="zh-CN"/>
        </w:rPr>
      </w:pPr>
    </w:p>
    <w:p w14:paraId="5CEFB60D">
      <w:pPr>
        <w:bidi w:val="0"/>
        <w:rPr>
          <w:rFonts w:hint="default" w:ascii="宋体" w:hAnsi="宋体" w:eastAsia="宋体" w:cs="宋体"/>
          <w:sz w:val="24"/>
          <w:szCs w:val="24"/>
          <w:lang w:val="en-US" w:eastAsia="zh-CN"/>
        </w:rPr>
      </w:pPr>
    </w:p>
    <w:p w14:paraId="6AAA5050">
      <w:pPr>
        <w:bidi w:val="0"/>
        <w:rPr>
          <w:rFonts w:hint="default" w:ascii="宋体" w:hAnsi="宋体" w:eastAsia="宋体" w:cs="宋体"/>
          <w:sz w:val="24"/>
          <w:szCs w:val="24"/>
          <w:lang w:val="en-US" w:eastAsia="zh-CN"/>
        </w:rPr>
      </w:pPr>
    </w:p>
    <w:p w14:paraId="0A1D24D9">
      <w:pPr>
        <w:bidi w:val="0"/>
        <w:rPr>
          <w:rFonts w:hint="default" w:ascii="宋体" w:hAnsi="宋体" w:eastAsia="宋体" w:cs="宋体"/>
          <w:sz w:val="24"/>
          <w:szCs w:val="24"/>
          <w:lang w:val="en-US" w:eastAsia="zh-CN"/>
        </w:rPr>
      </w:pPr>
    </w:p>
    <w:p w14:paraId="03C2AFC8">
      <w:pPr>
        <w:bidi w:val="0"/>
        <w:rPr>
          <w:rFonts w:hint="default" w:ascii="宋体" w:hAnsi="宋体" w:eastAsia="宋体" w:cs="宋体"/>
          <w:sz w:val="24"/>
          <w:szCs w:val="24"/>
          <w:lang w:val="en-US" w:eastAsia="zh-CN"/>
        </w:rPr>
      </w:pPr>
    </w:p>
    <w:p w14:paraId="7BC1C937">
      <w:pPr>
        <w:bidi w:val="0"/>
        <w:rPr>
          <w:rFonts w:hint="default" w:ascii="宋体" w:hAnsi="宋体" w:eastAsia="宋体" w:cs="宋体"/>
          <w:sz w:val="24"/>
          <w:szCs w:val="24"/>
          <w:lang w:val="en-US" w:eastAsia="zh-CN"/>
        </w:rPr>
      </w:pPr>
    </w:p>
    <w:p w14:paraId="6D800DC4">
      <w:pPr>
        <w:bidi w:val="0"/>
        <w:rPr>
          <w:rFonts w:hint="default" w:ascii="宋体" w:hAnsi="宋体" w:eastAsia="宋体" w:cs="宋体"/>
          <w:sz w:val="24"/>
          <w:szCs w:val="24"/>
          <w:lang w:val="en-US" w:eastAsia="zh-CN"/>
        </w:rPr>
      </w:pPr>
    </w:p>
    <w:p w14:paraId="2E0C8F0E">
      <w:pPr>
        <w:bidi w:val="0"/>
        <w:rPr>
          <w:rFonts w:hint="default" w:ascii="宋体" w:hAnsi="宋体" w:eastAsia="宋体" w:cs="宋体"/>
          <w:sz w:val="24"/>
          <w:szCs w:val="24"/>
          <w:lang w:val="en-US" w:eastAsia="zh-CN"/>
        </w:rPr>
      </w:pPr>
    </w:p>
    <w:p w14:paraId="5264F093">
      <w:pPr>
        <w:bidi w:val="0"/>
        <w:rPr>
          <w:rFonts w:hint="default" w:ascii="宋体" w:hAnsi="宋体" w:eastAsia="宋体" w:cs="宋体"/>
          <w:sz w:val="24"/>
          <w:szCs w:val="24"/>
          <w:lang w:val="en-US" w:eastAsia="zh-CN"/>
        </w:rPr>
      </w:pPr>
    </w:p>
    <w:p w14:paraId="447BF4FB">
      <w:pPr>
        <w:bidi w:val="0"/>
        <w:rPr>
          <w:rFonts w:hint="default" w:ascii="宋体" w:hAnsi="宋体" w:eastAsia="宋体" w:cs="宋体"/>
          <w:sz w:val="24"/>
          <w:szCs w:val="24"/>
          <w:lang w:val="en-US" w:eastAsia="zh-CN"/>
        </w:rPr>
      </w:pPr>
    </w:p>
    <w:p w14:paraId="4FE2F431">
      <w:pPr>
        <w:bidi w:val="0"/>
        <w:rPr>
          <w:rFonts w:hint="default" w:ascii="宋体" w:hAnsi="宋体" w:eastAsia="宋体" w:cs="宋体"/>
          <w:sz w:val="24"/>
          <w:szCs w:val="24"/>
          <w:lang w:val="en-US" w:eastAsia="zh-CN"/>
        </w:rPr>
      </w:pPr>
    </w:p>
    <w:p w14:paraId="5A333F89">
      <w:pPr>
        <w:bidi w:val="0"/>
        <w:rPr>
          <w:rFonts w:hint="default" w:ascii="宋体" w:hAnsi="宋体" w:eastAsia="宋体" w:cs="宋体"/>
          <w:sz w:val="24"/>
          <w:szCs w:val="24"/>
          <w:lang w:val="en-US" w:eastAsia="zh-CN"/>
        </w:rPr>
      </w:pPr>
    </w:p>
    <w:p w14:paraId="1B978377">
      <w:pPr>
        <w:bidi w:val="0"/>
        <w:rPr>
          <w:rFonts w:hint="default" w:ascii="宋体" w:hAnsi="宋体" w:eastAsia="宋体" w:cs="宋体"/>
          <w:sz w:val="24"/>
          <w:szCs w:val="24"/>
          <w:lang w:val="en-US" w:eastAsia="zh-CN"/>
        </w:rPr>
      </w:pPr>
    </w:p>
    <w:p w14:paraId="62263617">
      <w:pPr>
        <w:bidi w:val="0"/>
        <w:rPr>
          <w:rFonts w:hint="default" w:ascii="宋体" w:hAnsi="宋体" w:eastAsia="宋体" w:cs="宋体"/>
          <w:sz w:val="24"/>
          <w:szCs w:val="24"/>
          <w:lang w:val="en-US" w:eastAsia="zh-CN"/>
        </w:rPr>
      </w:pPr>
    </w:p>
    <w:p w14:paraId="509449DF">
      <w:pPr>
        <w:bidi w:val="0"/>
        <w:rPr>
          <w:rFonts w:hint="default" w:ascii="宋体" w:hAnsi="宋体" w:eastAsia="宋体" w:cs="宋体"/>
          <w:sz w:val="24"/>
          <w:szCs w:val="24"/>
          <w:lang w:val="en-US" w:eastAsia="zh-CN"/>
        </w:rPr>
      </w:pPr>
    </w:p>
    <w:p w14:paraId="4CB0DB76">
      <w:pPr>
        <w:bidi w:val="0"/>
        <w:rPr>
          <w:rFonts w:hint="default" w:ascii="宋体" w:hAnsi="宋体" w:eastAsia="宋体" w:cs="宋体"/>
          <w:sz w:val="24"/>
          <w:szCs w:val="24"/>
          <w:lang w:val="en-US" w:eastAsia="zh-CN"/>
        </w:rPr>
      </w:pPr>
    </w:p>
    <w:p w14:paraId="59CE4193">
      <w:pPr>
        <w:bidi w:val="0"/>
        <w:rPr>
          <w:rFonts w:hint="default" w:ascii="宋体" w:hAnsi="宋体" w:eastAsia="宋体" w:cs="宋体"/>
          <w:sz w:val="24"/>
          <w:szCs w:val="24"/>
          <w:lang w:val="en-US" w:eastAsia="zh-CN"/>
        </w:rPr>
      </w:pPr>
    </w:p>
    <w:p w14:paraId="54A4E31E">
      <w:pPr>
        <w:bidi w:val="0"/>
        <w:rPr>
          <w:rFonts w:hint="default" w:ascii="宋体" w:hAnsi="宋体" w:eastAsia="宋体" w:cs="宋体"/>
          <w:sz w:val="24"/>
          <w:szCs w:val="24"/>
          <w:lang w:val="en-US" w:eastAsia="zh-CN"/>
        </w:rPr>
      </w:pPr>
    </w:p>
    <w:p w14:paraId="1043EC27">
      <w:pPr>
        <w:bidi w:val="0"/>
        <w:rPr>
          <w:rFonts w:hint="default" w:ascii="宋体" w:hAnsi="宋体" w:eastAsia="宋体" w:cs="宋体"/>
          <w:sz w:val="24"/>
          <w:szCs w:val="24"/>
          <w:lang w:val="en-US" w:eastAsia="zh-CN"/>
        </w:rPr>
      </w:pPr>
    </w:p>
    <w:p w14:paraId="573FFFE2">
      <w:pPr>
        <w:bidi w:val="0"/>
        <w:rPr>
          <w:rFonts w:hint="default" w:ascii="宋体" w:hAnsi="宋体" w:eastAsia="宋体" w:cs="宋体"/>
          <w:sz w:val="24"/>
          <w:szCs w:val="24"/>
          <w:lang w:val="en-US" w:eastAsia="zh-CN"/>
        </w:rPr>
      </w:pPr>
    </w:p>
    <w:p w14:paraId="2DB74D4A">
      <w:pPr>
        <w:bidi w:val="0"/>
        <w:rPr>
          <w:rFonts w:hint="default" w:ascii="宋体" w:hAnsi="宋体" w:eastAsia="宋体" w:cs="宋体"/>
          <w:sz w:val="24"/>
          <w:szCs w:val="24"/>
          <w:lang w:val="en-US" w:eastAsia="zh-CN"/>
        </w:rPr>
      </w:pPr>
    </w:p>
    <w:p w14:paraId="460B41E2">
      <w:pPr>
        <w:bidi w:val="0"/>
        <w:rPr>
          <w:rFonts w:hint="default" w:ascii="宋体" w:hAnsi="宋体" w:eastAsia="宋体" w:cs="宋体"/>
          <w:sz w:val="24"/>
          <w:szCs w:val="24"/>
          <w:lang w:val="en-US" w:eastAsia="zh-CN"/>
        </w:rPr>
      </w:pPr>
    </w:p>
    <w:p w14:paraId="636FA2F6">
      <w:pPr>
        <w:bidi w:val="0"/>
        <w:rPr>
          <w:rFonts w:hint="default" w:ascii="宋体" w:hAnsi="宋体" w:eastAsia="宋体" w:cs="宋体"/>
          <w:sz w:val="24"/>
          <w:szCs w:val="24"/>
          <w:lang w:val="en-US" w:eastAsia="zh-CN"/>
        </w:rPr>
      </w:pPr>
    </w:p>
    <w:p w14:paraId="148D0E9E">
      <w:pPr>
        <w:bidi w:val="0"/>
        <w:rPr>
          <w:rFonts w:hint="default" w:ascii="宋体" w:hAnsi="宋体" w:eastAsia="宋体" w:cs="宋体"/>
          <w:sz w:val="24"/>
          <w:szCs w:val="24"/>
          <w:lang w:val="en-US" w:eastAsia="zh-CN"/>
        </w:rPr>
      </w:pPr>
    </w:p>
    <w:p w14:paraId="1448522D">
      <w:pPr>
        <w:bidi w:val="0"/>
        <w:rPr>
          <w:rFonts w:hint="default" w:ascii="宋体" w:hAnsi="宋体" w:eastAsia="宋体" w:cs="宋体"/>
          <w:sz w:val="24"/>
          <w:szCs w:val="24"/>
          <w:lang w:val="en-US" w:eastAsia="zh-CN"/>
        </w:rPr>
      </w:pPr>
    </w:p>
    <w:p w14:paraId="5CFCFE86">
      <w:pPr>
        <w:bidi w:val="0"/>
        <w:rPr>
          <w:rFonts w:hint="default" w:ascii="宋体" w:hAnsi="宋体" w:eastAsia="宋体" w:cs="宋体"/>
          <w:sz w:val="24"/>
          <w:szCs w:val="24"/>
          <w:lang w:val="en-US" w:eastAsia="zh-CN"/>
        </w:rPr>
      </w:pPr>
    </w:p>
    <w:p w14:paraId="3A8A28DA">
      <w:pPr>
        <w:bidi w:val="0"/>
        <w:rPr>
          <w:rFonts w:hint="default" w:ascii="宋体" w:hAnsi="宋体" w:eastAsia="宋体" w:cs="宋体"/>
          <w:sz w:val="24"/>
          <w:szCs w:val="24"/>
          <w:lang w:val="en-US" w:eastAsia="zh-CN"/>
        </w:rPr>
      </w:pPr>
    </w:p>
    <w:p w14:paraId="7DB46F26">
      <w:pPr>
        <w:bidi w:val="0"/>
        <w:rPr>
          <w:rFonts w:hint="default" w:ascii="宋体" w:hAnsi="宋体" w:eastAsia="宋体" w:cs="宋体"/>
          <w:sz w:val="24"/>
          <w:szCs w:val="24"/>
          <w:lang w:val="en-US" w:eastAsia="zh-CN"/>
        </w:rPr>
      </w:pPr>
    </w:p>
    <w:p w14:paraId="699D053F">
      <w:pPr>
        <w:bidi w:val="0"/>
        <w:rPr>
          <w:rFonts w:hint="default" w:ascii="宋体" w:hAnsi="宋体" w:eastAsia="宋体" w:cs="宋体"/>
          <w:sz w:val="24"/>
          <w:szCs w:val="24"/>
          <w:lang w:val="en-US" w:eastAsia="zh-CN"/>
        </w:rPr>
      </w:pPr>
      <w:r>
        <w:drawing>
          <wp:anchor distT="0" distB="0" distL="114300" distR="114300" simplePos="0" relativeHeight="251662336" behindDoc="0" locked="0" layoutInCell="1" allowOverlap="1">
            <wp:simplePos x="0" y="0"/>
            <wp:positionH relativeFrom="column">
              <wp:posOffset>-1684020</wp:posOffset>
            </wp:positionH>
            <wp:positionV relativeFrom="paragraph">
              <wp:posOffset>1351280</wp:posOffset>
            </wp:positionV>
            <wp:extent cx="8745855" cy="6132830"/>
            <wp:effectExtent l="0" t="0" r="1270" b="17145"/>
            <wp:wrapNone/>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5"/>
                    <pic:cNvPicPr>
                      <a:picLocks noChangeAspect="1"/>
                    </pic:cNvPicPr>
                  </pic:nvPicPr>
                  <pic:blipFill>
                    <a:blip r:embed="rId26"/>
                    <a:stretch>
                      <a:fillRect/>
                    </a:stretch>
                  </pic:blipFill>
                  <pic:spPr>
                    <a:xfrm rot="5400000">
                      <a:off x="0" y="0"/>
                      <a:ext cx="8745855" cy="6132830"/>
                    </a:xfrm>
                    <a:prstGeom prst="rect">
                      <a:avLst/>
                    </a:prstGeom>
                    <a:noFill/>
                    <a:ln>
                      <a:noFill/>
                    </a:ln>
                  </pic:spPr>
                </pic:pic>
              </a:graphicData>
            </a:graphic>
          </wp:anchor>
        </w:drawing>
      </w:r>
    </w:p>
    <w:p w14:paraId="1026D5A6">
      <w:pPr>
        <w:bidi w:val="0"/>
        <w:rPr>
          <w:rFonts w:hint="default" w:ascii="宋体" w:hAnsi="宋体" w:eastAsia="宋体" w:cs="宋体"/>
          <w:sz w:val="24"/>
          <w:szCs w:val="24"/>
          <w:lang w:val="en-US" w:eastAsia="zh-CN"/>
        </w:rPr>
      </w:pPr>
    </w:p>
    <w:p w14:paraId="597F999E">
      <w:pPr>
        <w:bidi w:val="0"/>
        <w:rPr>
          <w:rFonts w:hint="default" w:ascii="宋体" w:hAnsi="宋体" w:eastAsia="宋体" w:cs="宋体"/>
          <w:sz w:val="24"/>
          <w:szCs w:val="24"/>
          <w:lang w:val="en-US" w:eastAsia="zh-CN"/>
        </w:rPr>
      </w:pPr>
    </w:p>
    <w:p w14:paraId="0F0F224B">
      <w:pPr>
        <w:bidi w:val="0"/>
        <w:rPr>
          <w:rFonts w:hint="default" w:ascii="宋体" w:hAnsi="宋体" w:eastAsia="宋体" w:cs="宋体"/>
          <w:sz w:val="24"/>
          <w:szCs w:val="24"/>
          <w:lang w:val="en-US" w:eastAsia="zh-CN"/>
        </w:rPr>
      </w:pPr>
    </w:p>
    <w:p w14:paraId="6E10ABE4">
      <w:pPr>
        <w:bidi w:val="0"/>
        <w:rPr>
          <w:rFonts w:hint="default" w:ascii="宋体" w:hAnsi="宋体" w:eastAsia="宋体" w:cs="宋体"/>
          <w:sz w:val="24"/>
          <w:szCs w:val="24"/>
          <w:lang w:val="en-US" w:eastAsia="zh-CN"/>
        </w:rPr>
      </w:pPr>
    </w:p>
    <w:p w14:paraId="586DEC61">
      <w:pPr>
        <w:bidi w:val="0"/>
        <w:rPr>
          <w:rFonts w:hint="default" w:ascii="宋体" w:hAnsi="宋体" w:eastAsia="宋体" w:cs="宋体"/>
          <w:sz w:val="24"/>
          <w:szCs w:val="24"/>
          <w:lang w:val="en-US" w:eastAsia="zh-CN"/>
        </w:rPr>
      </w:pPr>
    </w:p>
    <w:p w14:paraId="48B1E251">
      <w:pPr>
        <w:bidi w:val="0"/>
        <w:rPr>
          <w:rFonts w:hint="default" w:ascii="宋体" w:hAnsi="宋体" w:eastAsia="宋体" w:cs="宋体"/>
          <w:sz w:val="24"/>
          <w:szCs w:val="24"/>
          <w:lang w:val="en-US" w:eastAsia="zh-CN"/>
        </w:rPr>
      </w:pPr>
    </w:p>
    <w:p w14:paraId="71DB5EA5">
      <w:pPr>
        <w:bidi w:val="0"/>
        <w:rPr>
          <w:rFonts w:hint="default" w:ascii="宋体" w:hAnsi="宋体" w:eastAsia="宋体" w:cs="宋体"/>
          <w:sz w:val="24"/>
          <w:szCs w:val="24"/>
          <w:lang w:val="en-US" w:eastAsia="zh-CN"/>
        </w:rPr>
      </w:pPr>
    </w:p>
    <w:p w14:paraId="6AABA7E0">
      <w:pPr>
        <w:bidi w:val="0"/>
        <w:rPr>
          <w:rFonts w:hint="default" w:ascii="宋体" w:hAnsi="宋体" w:eastAsia="宋体" w:cs="宋体"/>
          <w:sz w:val="24"/>
          <w:szCs w:val="24"/>
          <w:lang w:val="en-US" w:eastAsia="zh-CN"/>
        </w:rPr>
      </w:pPr>
    </w:p>
    <w:p w14:paraId="3104E7E3">
      <w:pPr>
        <w:bidi w:val="0"/>
        <w:rPr>
          <w:rFonts w:hint="default" w:ascii="宋体" w:hAnsi="宋体" w:eastAsia="宋体" w:cs="宋体"/>
          <w:sz w:val="24"/>
          <w:szCs w:val="24"/>
          <w:lang w:val="en-US" w:eastAsia="zh-CN"/>
        </w:rPr>
      </w:pPr>
    </w:p>
    <w:p w14:paraId="54C3FDA5">
      <w:pPr>
        <w:bidi w:val="0"/>
        <w:rPr>
          <w:rFonts w:hint="default" w:ascii="宋体" w:hAnsi="宋体" w:eastAsia="宋体" w:cs="宋体"/>
          <w:sz w:val="24"/>
          <w:szCs w:val="24"/>
          <w:lang w:val="en-US" w:eastAsia="zh-CN"/>
        </w:rPr>
      </w:pPr>
    </w:p>
    <w:p w14:paraId="55AB8D3D">
      <w:pPr>
        <w:bidi w:val="0"/>
        <w:rPr>
          <w:rFonts w:hint="default" w:ascii="宋体" w:hAnsi="宋体" w:eastAsia="宋体" w:cs="宋体"/>
          <w:sz w:val="24"/>
          <w:szCs w:val="24"/>
          <w:lang w:val="en-US" w:eastAsia="zh-CN"/>
        </w:rPr>
      </w:pPr>
    </w:p>
    <w:p w14:paraId="7F88208D">
      <w:pPr>
        <w:bidi w:val="0"/>
        <w:rPr>
          <w:rFonts w:hint="default" w:ascii="宋体" w:hAnsi="宋体" w:eastAsia="宋体" w:cs="宋体"/>
          <w:sz w:val="24"/>
          <w:szCs w:val="24"/>
          <w:lang w:val="en-US" w:eastAsia="zh-CN"/>
        </w:rPr>
      </w:pPr>
    </w:p>
    <w:p w14:paraId="0307229E">
      <w:pPr>
        <w:bidi w:val="0"/>
        <w:rPr>
          <w:rFonts w:hint="default" w:ascii="宋体" w:hAnsi="宋体" w:eastAsia="宋体" w:cs="宋体"/>
          <w:sz w:val="24"/>
          <w:szCs w:val="24"/>
          <w:lang w:val="en-US" w:eastAsia="zh-CN"/>
        </w:rPr>
      </w:pPr>
    </w:p>
    <w:p w14:paraId="4A7E807F">
      <w:pPr>
        <w:bidi w:val="0"/>
        <w:rPr>
          <w:rFonts w:hint="default" w:ascii="宋体" w:hAnsi="宋体" w:eastAsia="宋体" w:cs="宋体"/>
          <w:sz w:val="24"/>
          <w:szCs w:val="24"/>
          <w:lang w:val="en-US" w:eastAsia="zh-CN"/>
        </w:rPr>
      </w:pPr>
    </w:p>
    <w:p w14:paraId="35445C3F">
      <w:pPr>
        <w:bidi w:val="0"/>
        <w:rPr>
          <w:rFonts w:hint="default" w:ascii="宋体" w:hAnsi="宋体" w:eastAsia="宋体" w:cs="宋体"/>
          <w:sz w:val="24"/>
          <w:szCs w:val="24"/>
          <w:lang w:val="en-US" w:eastAsia="zh-CN"/>
        </w:rPr>
      </w:pPr>
    </w:p>
    <w:p w14:paraId="22CF9452">
      <w:pPr>
        <w:bidi w:val="0"/>
        <w:rPr>
          <w:rFonts w:hint="default" w:ascii="宋体" w:hAnsi="宋体" w:eastAsia="宋体" w:cs="宋体"/>
          <w:sz w:val="24"/>
          <w:szCs w:val="24"/>
          <w:lang w:val="en-US" w:eastAsia="zh-CN"/>
        </w:rPr>
      </w:pPr>
    </w:p>
    <w:p w14:paraId="0A680719">
      <w:pPr>
        <w:bidi w:val="0"/>
        <w:rPr>
          <w:rFonts w:hint="default" w:ascii="宋体" w:hAnsi="宋体" w:eastAsia="宋体" w:cs="宋体"/>
          <w:sz w:val="24"/>
          <w:szCs w:val="24"/>
          <w:lang w:val="en-US" w:eastAsia="zh-CN"/>
        </w:rPr>
      </w:pPr>
    </w:p>
    <w:p w14:paraId="3B4851D7">
      <w:pPr>
        <w:bidi w:val="0"/>
        <w:rPr>
          <w:rFonts w:hint="default" w:ascii="宋体" w:hAnsi="宋体" w:eastAsia="宋体" w:cs="宋体"/>
          <w:sz w:val="24"/>
          <w:szCs w:val="24"/>
          <w:lang w:val="en-US" w:eastAsia="zh-CN"/>
        </w:rPr>
      </w:pPr>
    </w:p>
    <w:p w14:paraId="4FD00C33">
      <w:pPr>
        <w:bidi w:val="0"/>
        <w:rPr>
          <w:rFonts w:hint="default" w:ascii="宋体" w:hAnsi="宋体" w:eastAsia="宋体" w:cs="宋体"/>
          <w:sz w:val="24"/>
          <w:szCs w:val="24"/>
          <w:lang w:val="en-US" w:eastAsia="zh-CN"/>
        </w:rPr>
      </w:pPr>
    </w:p>
    <w:p w14:paraId="031235E7">
      <w:pPr>
        <w:bidi w:val="0"/>
        <w:rPr>
          <w:rFonts w:hint="default" w:ascii="宋体" w:hAnsi="宋体" w:eastAsia="宋体" w:cs="宋体"/>
          <w:sz w:val="24"/>
          <w:szCs w:val="24"/>
          <w:lang w:val="en-US" w:eastAsia="zh-CN"/>
        </w:rPr>
      </w:pPr>
    </w:p>
    <w:p w14:paraId="7FF88AD1">
      <w:pPr>
        <w:bidi w:val="0"/>
        <w:rPr>
          <w:rFonts w:hint="default" w:ascii="宋体" w:hAnsi="宋体" w:eastAsia="宋体" w:cs="宋体"/>
          <w:sz w:val="24"/>
          <w:szCs w:val="24"/>
          <w:lang w:val="en-US" w:eastAsia="zh-CN"/>
        </w:rPr>
      </w:pPr>
    </w:p>
    <w:p w14:paraId="6B7440DA">
      <w:pPr>
        <w:bidi w:val="0"/>
        <w:rPr>
          <w:rFonts w:hint="default" w:ascii="宋体" w:hAnsi="宋体" w:eastAsia="宋体" w:cs="宋体"/>
          <w:sz w:val="24"/>
          <w:szCs w:val="24"/>
          <w:lang w:val="en-US" w:eastAsia="zh-CN"/>
        </w:rPr>
      </w:pPr>
    </w:p>
    <w:p w14:paraId="671B9890">
      <w:pPr>
        <w:bidi w:val="0"/>
        <w:rPr>
          <w:rFonts w:hint="default" w:ascii="宋体" w:hAnsi="宋体" w:eastAsia="宋体" w:cs="宋体"/>
          <w:sz w:val="24"/>
          <w:szCs w:val="24"/>
          <w:lang w:val="en-US" w:eastAsia="zh-CN"/>
        </w:rPr>
      </w:pPr>
    </w:p>
    <w:p w14:paraId="53CDCCB3">
      <w:pPr>
        <w:bidi w:val="0"/>
        <w:rPr>
          <w:rFonts w:hint="default" w:ascii="宋体" w:hAnsi="宋体" w:eastAsia="宋体" w:cs="宋体"/>
          <w:sz w:val="24"/>
          <w:szCs w:val="24"/>
          <w:lang w:val="en-US" w:eastAsia="zh-CN"/>
        </w:rPr>
      </w:pPr>
    </w:p>
    <w:p w14:paraId="2749E0C6">
      <w:pPr>
        <w:bidi w:val="0"/>
        <w:rPr>
          <w:rFonts w:hint="default" w:ascii="宋体" w:hAnsi="宋体" w:eastAsia="宋体" w:cs="宋体"/>
          <w:sz w:val="24"/>
          <w:szCs w:val="24"/>
          <w:lang w:val="en-US" w:eastAsia="zh-CN"/>
        </w:rPr>
      </w:pPr>
    </w:p>
    <w:p w14:paraId="4E7FF32A">
      <w:pPr>
        <w:bidi w:val="0"/>
        <w:rPr>
          <w:rFonts w:hint="default" w:ascii="宋体" w:hAnsi="宋体" w:eastAsia="宋体" w:cs="宋体"/>
          <w:sz w:val="24"/>
          <w:szCs w:val="24"/>
          <w:lang w:val="en-US" w:eastAsia="zh-CN"/>
        </w:rPr>
      </w:pPr>
    </w:p>
    <w:p w14:paraId="7CEF460D">
      <w:pPr>
        <w:bidi w:val="0"/>
        <w:rPr>
          <w:rFonts w:hint="default" w:ascii="宋体" w:hAnsi="宋体" w:eastAsia="宋体" w:cs="宋体"/>
          <w:sz w:val="24"/>
          <w:szCs w:val="24"/>
          <w:lang w:val="en-US" w:eastAsia="zh-CN"/>
        </w:rPr>
      </w:pPr>
    </w:p>
    <w:p w14:paraId="27514474">
      <w:pPr>
        <w:bidi w:val="0"/>
        <w:rPr>
          <w:rFonts w:hint="default" w:ascii="宋体" w:hAnsi="宋体" w:eastAsia="宋体" w:cs="宋体"/>
          <w:sz w:val="24"/>
          <w:szCs w:val="24"/>
          <w:lang w:val="en-US" w:eastAsia="zh-CN"/>
        </w:rPr>
      </w:pPr>
    </w:p>
    <w:p w14:paraId="16BA4F43">
      <w:pPr>
        <w:bidi w:val="0"/>
        <w:rPr>
          <w:rFonts w:hint="default" w:ascii="宋体" w:hAnsi="宋体" w:eastAsia="宋体" w:cs="宋体"/>
          <w:sz w:val="24"/>
          <w:szCs w:val="24"/>
          <w:lang w:val="en-US" w:eastAsia="zh-CN"/>
        </w:rPr>
      </w:pPr>
    </w:p>
    <w:p w14:paraId="362AC36B">
      <w:pPr>
        <w:bidi w:val="0"/>
        <w:rPr>
          <w:rFonts w:hint="default" w:ascii="宋体" w:hAnsi="宋体" w:eastAsia="宋体" w:cs="宋体"/>
          <w:sz w:val="24"/>
          <w:szCs w:val="24"/>
          <w:lang w:val="en-US" w:eastAsia="zh-CN"/>
        </w:rPr>
      </w:pPr>
    </w:p>
    <w:p w14:paraId="1C369F1E">
      <w:pPr>
        <w:bidi w:val="0"/>
        <w:rPr>
          <w:rFonts w:hint="default" w:ascii="宋体" w:hAnsi="宋体" w:eastAsia="宋体" w:cs="宋体"/>
          <w:sz w:val="24"/>
          <w:szCs w:val="24"/>
          <w:lang w:val="en-US" w:eastAsia="zh-CN"/>
        </w:rPr>
      </w:pPr>
    </w:p>
    <w:p w14:paraId="2BAE4892">
      <w:pPr>
        <w:bidi w:val="0"/>
        <w:rPr>
          <w:rFonts w:hint="default" w:ascii="宋体" w:hAnsi="宋体" w:eastAsia="宋体" w:cs="宋体"/>
          <w:sz w:val="24"/>
          <w:szCs w:val="24"/>
          <w:lang w:val="en-US" w:eastAsia="zh-CN"/>
        </w:rPr>
      </w:pPr>
    </w:p>
    <w:p w14:paraId="3041B5F0">
      <w:pPr>
        <w:bidi w:val="0"/>
        <w:rPr>
          <w:rFonts w:hint="default" w:ascii="宋体" w:hAnsi="宋体" w:eastAsia="宋体" w:cs="宋体"/>
          <w:sz w:val="24"/>
          <w:szCs w:val="24"/>
          <w:lang w:val="en-US" w:eastAsia="zh-CN"/>
        </w:rPr>
      </w:pPr>
    </w:p>
    <w:p w14:paraId="5B8E21D8">
      <w:pPr>
        <w:bidi w:val="0"/>
        <w:rPr>
          <w:rFonts w:hint="default" w:ascii="宋体" w:hAnsi="宋体" w:eastAsia="宋体" w:cs="宋体"/>
          <w:sz w:val="24"/>
          <w:szCs w:val="24"/>
          <w:lang w:val="en-US" w:eastAsia="zh-CN"/>
        </w:rPr>
      </w:pPr>
    </w:p>
    <w:p w14:paraId="521FA574">
      <w:pPr>
        <w:bidi w:val="0"/>
        <w:rPr>
          <w:rFonts w:hint="default" w:ascii="宋体" w:hAnsi="宋体" w:eastAsia="宋体" w:cs="宋体"/>
          <w:sz w:val="24"/>
          <w:szCs w:val="24"/>
          <w:lang w:val="en-US" w:eastAsia="zh-CN"/>
        </w:rPr>
      </w:pPr>
    </w:p>
    <w:p w14:paraId="3695F33A">
      <w:pPr>
        <w:bidi w:val="0"/>
        <w:rPr>
          <w:rFonts w:hint="default" w:ascii="宋体" w:hAnsi="宋体" w:eastAsia="宋体" w:cs="宋体"/>
          <w:sz w:val="24"/>
          <w:szCs w:val="24"/>
          <w:lang w:val="en-US" w:eastAsia="zh-CN"/>
        </w:rPr>
      </w:pPr>
    </w:p>
    <w:p w14:paraId="12F820B1">
      <w:pPr>
        <w:bidi w:val="0"/>
        <w:rPr>
          <w:rFonts w:hint="default" w:ascii="宋体" w:hAnsi="宋体" w:eastAsia="宋体" w:cs="宋体"/>
          <w:sz w:val="24"/>
          <w:szCs w:val="24"/>
          <w:lang w:val="en-US" w:eastAsia="zh-CN"/>
        </w:rPr>
      </w:pPr>
    </w:p>
    <w:p w14:paraId="64D1BBD3">
      <w:pPr>
        <w:bidi w:val="0"/>
        <w:rPr>
          <w:rFonts w:hint="default" w:ascii="宋体" w:hAnsi="宋体" w:eastAsia="宋体" w:cs="宋体"/>
          <w:sz w:val="24"/>
          <w:szCs w:val="24"/>
          <w:lang w:val="en-US" w:eastAsia="zh-CN"/>
        </w:rPr>
      </w:pPr>
    </w:p>
    <w:p w14:paraId="65795F1A">
      <w:pPr>
        <w:bidi w:val="0"/>
        <w:rPr>
          <w:rFonts w:hint="default" w:ascii="宋体" w:hAnsi="宋体" w:eastAsia="宋体" w:cs="宋体"/>
          <w:sz w:val="24"/>
          <w:szCs w:val="24"/>
          <w:lang w:val="en-US" w:eastAsia="zh-CN"/>
        </w:rPr>
      </w:pPr>
    </w:p>
    <w:p w14:paraId="0D139611">
      <w:pPr>
        <w:bidi w:val="0"/>
        <w:rPr>
          <w:rFonts w:hint="default" w:ascii="宋体" w:hAnsi="宋体" w:eastAsia="宋体" w:cs="宋体"/>
          <w:sz w:val="24"/>
          <w:szCs w:val="24"/>
          <w:lang w:val="en-US" w:eastAsia="zh-CN"/>
        </w:rPr>
      </w:pPr>
    </w:p>
    <w:p w14:paraId="2EBA94EC">
      <w:pPr>
        <w:bidi w:val="0"/>
        <w:rPr>
          <w:rFonts w:hint="default" w:ascii="宋体" w:hAnsi="宋体" w:eastAsia="宋体" w:cs="宋体"/>
          <w:sz w:val="24"/>
          <w:szCs w:val="24"/>
          <w:lang w:val="en-US" w:eastAsia="zh-CN"/>
        </w:rPr>
      </w:pPr>
    </w:p>
    <w:p w14:paraId="3B1A4D17">
      <w:pPr>
        <w:bidi w:val="0"/>
        <w:rPr>
          <w:rFonts w:hint="default" w:ascii="宋体" w:hAnsi="宋体" w:eastAsia="宋体" w:cs="宋体"/>
          <w:sz w:val="24"/>
          <w:szCs w:val="24"/>
          <w:lang w:val="en-US" w:eastAsia="zh-CN"/>
        </w:rPr>
      </w:pPr>
    </w:p>
    <w:p w14:paraId="652EF846">
      <w:pPr>
        <w:bidi w:val="0"/>
        <w:rPr>
          <w:rFonts w:hint="default" w:ascii="宋体" w:hAnsi="宋体" w:eastAsia="宋体" w:cs="宋体"/>
          <w:sz w:val="24"/>
          <w:szCs w:val="24"/>
          <w:lang w:val="en-US" w:eastAsia="zh-CN"/>
        </w:rPr>
      </w:pPr>
    </w:p>
    <w:p w14:paraId="2E819FB6">
      <w:pPr>
        <w:bidi w:val="0"/>
        <w:rPr>
          <w:rFonts w:hint="default" w:ascii="宋体" w:hAnsi="宋体" w:eastAsia="宋体" w:cs="宋体"/>
          <w:sz w:val="24"/>
          <w:szCs w:val="24"/>
          <w:lang w:val="en-US" w:eastAsia="zh-CN"/>
        </w:rPr>
      </w:pPr>
      <w:r>
        <w:drawing>
          <wp:anchor distT="0" distB="0" distL="114300" distR="114300" simplePos="0" relativeHeight="251663360" behindDoc="0" locked="0" layoutInCell="1" allowOverlap="1">
            <wp:simplePos x="0" y="0"/>
            <wp:positionH relativeFrom="column">
              <wp:posOffset>-1783080</wp:posOffset>
            </wp:positionH>
            <wp:positionV relativeFrom="paragraph">
              <wp:posOffset>1318260</wp:posOffset>
            </wp:positionV>
            <wp:extent cx="8840470" cy="6212205"/>
            <wp:effectExtent l="0" t="0" r="17145" b="17780"/>
            <wp:wrapNone/>
            <wp:docPr id="4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6"/>
                    <pic:cNvPicPr>
                      <a:picLocks noChangeAspect="1"/>
                    </pic:cNvPicPr>
                  </pic:nvPicPr>
                  <pic:blipFill>
                    <a:blip r:embed="rId27"/>
                    <a:stretch>
                      <a:fillRect/>
                    </a:stretch>
                  </pic:blipFill>
                  <pic:spPr>
                    <a:xfrm rot="5400000">
                      <a:off x="0" y="0"/>
                      <a:ext cx="8840470" cy="6212205"/>
                    </a:xfrm>
                    <a:prstGeom prst="rect">
                      <a:avLst/>
                    </a:prstGeom>
                    <a:noFill/>
                    <a:ln>
                      <a:noFill/>
                    </a:ln>
                  </pic:spPr>
                </pic:pic>
              </a:graphicData>
            </a:graphic>
          </wp:anchor>
        </w:drawing>
      </w:r>
    </w:p>
    <w:p w14:paraId="146C83D6">
      <w:pPr>
        <w:bidi w:val="0"/>
        <w:rPr>
          <w:rFonts w:hint="default" w:ascii="宋体" w:hAnsi="宋体" w:eastAsia="宋体" w:cs="宋体"/>
          <w:sz w:val="24"/>
          <w:szCs w:val="24"/>
          <w:lang w:val="en-US" w:eastAsia="zh-CN"/>
        </w:rPr>
      </w:pPr>
    </w:p>
    <w:p w14:paraId="7588918C">
      <w:pPr>
        <w:bidi w:val="0"/>
        <w:rPr>
          <w:rFonts w:hint="default" w:ascii="宋体" w:hAnsi="宋体" w:eastAsia="宋体" w:cs="宋体"/>
          <w:sz w:val="24"/>
          <w:szCs w:val="24"/>
          <w:lang w:val="en-US" w:eastAsia="zh-CN"/>
        </w:rPr>
      </w:pPr>
    </w:p>
    <w:p w14:paraId="5708622E">
      <w:pPr>
        <w:bidi w:val="0"/>
        <w:rPr>
          <w:rFonts w:hint="default" w:ascii="宋体" w:hAnsi="宋体" w:eastAsia="宋体" w:cs="宋体"/>
          <w:sz w:val="24"/>
          <w:szCs w:val="24"/>
          <w:lang w:val="en-US" w:eastAsia="zh-CN"/>
        </w:rPr>
      </w:pPr>
    </w:p>
    <w:p w14:paraId="3C71C6AA">
      <w:pPr>
        <w:bidi w:val="0"/>
        <w:rPr>
          <w:rFonts w:hint="default" w:ascii="宋体" w:hAnsi="宋体" w:eastAsia="宋体" w:cs="宋体"/>
          <w:sz w:val="24"/>
          <w:szCs w:val="24"/>
          <w:lang w:val="en-US" w:eastAsia="zh-CN"/>
        </w:rPr>
      </w:pPr>
    </w:p>
    <w:p w14:paraId="1A1DA228">
      <w:pPr>
        <w:bidi w:val="0"/>
        <w:rPr>
          <w:rFonts w:hint="default" w:ascii="宋体" w:hAnsi="宋体" w:eastAsia="宋体" w:cs="宋体"/>
          <w:sz w:val="24"/>
          <w:szCs w:val="24"/>
          <w:lang w:val="en-US" w:eastAsia="zh-CN"/>
        </w:rPr>
      </w:pPr>
    </w:p>
    <w:p w14:paraId="6B6DDFBC">
      <w:pPr>
        <w:bidi w:val="0"/>
        <w:rPr>
          <w:rFonts w:hint="default" w:ascii="宋体" w:hAnsi="宋体" w:eastAsia="宋体" w:cs="宋体"/>
          <w:sz w:val="24"/>
          <w:szCs w:val="24"/>
          <w:lang w:val="en-US" w:eastAsia="zh-CN"/>
        </w:rPr>
      </w:pPr>
    </w:p>
    <w:p w14:paraId="29666A41">
      <w:pPr>
        <w:bidi w:val="0"/>
        <w:rPr>
          <w:rFonts w:hint="default" w:ascii="宋体" w:hAnsi="宋体" w:eastAsia="宋体" w:cs="宋体"/>
          <w:sz w:val="24"/>
          <w:szCs w:val="24"/>
          <w:lang w:val="en-US" w:eastAsia="zh-CN"/>
        </w:rPr>
      </w:pPr>
    </w:p>
    <w:p w14:paraId="31E322AC">
      <w:pPr>
        <w:bidi w:val="0"/>
        <w:rPr>
          <w:rFonts w:hint="default" w:ascii="宋体" w:hAnsi="宋体" w:eastAsia="宋体" w:cs="宋体"/>
          <w:sz w:val="24"/>
          <w:szCs w:val="24"/>
          <w:lang w:val="en-US" w:eastAsia="zh-CN"/>
        </w:rPr>
      </w:pPr>
    </w:p>
    <w:p w14:paraId="3E143624">
      <w:pPr>
        <w:bidi w:val="0"/>
        <w:rPr>
          <w:rFonts w:hint="default" w:ascii="宋体" w:hAnsi="宋体" w:eastAsia="宋体" w:cs="宋体"/>
          <w:sz w:val="24"/>
          <w:szCs w:val="24"/>
          <w:lang w:val="en-US" w:eastAsia="zh-CN"/>
        </w:rPr>
      </w:pPr>
    </w:p>
    <w:p w14:paraId="549B6433">
      <w:pPr>
        <w:bidi w:val="0"/>
        <w:rPr>
          <w:rFonts w:hint="default" w:ascii="宋体" w:hAnsi="宋体" w:eastAsia="宋体" w:cs="宋体"/>
          <w:sz w:val="24"/>
          <w:szCs w:val="24"/>
          <w:lang w:val="en-US" w:eastAsia="zh-CN"/>
        </w:rPr>
      </w:pPr>
    </w:p>
    <w:p w14:paraId="3E47BAC6">
      <w:pPr>
        <w:bidi w:val="0"/>
        <w:rPr>
          <w:rFonts w:hint="default" w:ascii="宋体" w:hAnsi="宋体" w:eastAsia="宋体" w:cs="宋体"/>
          <w:sz w:val="24"/>
          <w:szCs w:val="24"/>
          <w:lang w:val="en-US" w:eastAsia="zh-CN"/>
        </w:rPr>
      </w:pPr>
    </w:p>
    <w:p w14:paraId="4303807D">
      <w:pPr>
        <w:bidi w:val="0"/>
        <w:rPr>
          <w:rFonts w:hint="default" w:ascii="宋体" w:hAnsi="宋体" w:eastAsia="宋体" w:cs="宋体"/>
          <w:sz w:val="24"/>
          <w:szCs w:val="24"/>
          <w:lang w:val="en-US" w:eastAsia="zh-CN"/>
        </w:rPr>
      </w:pPr>
    </w:p>
    <w:p w14:paraId="758CEBE6">
      <w:pPr>
        <w:bidi w:val="0"/>
        <w:rPr>
          <w:rFonts w:hint="default" w:ascii="宋体" w:hAnsi="宋体" w:eastAsia="宋体" w:cs="宋体"/>
          <w:sz w:val="24"/>
          <w:szCs w:val="24"/>
          <w:lang w:val="en-US" w:eastAsia="zh-CN"/>
        </w:rPr>
      </w:pPr>
    </w:p>
    <w:p w14:paraId="2B584926">
      <w:pPr>
        <w:bidi w:val="0"/>
        <w:rPr>
          <w:rFonts w:hint="default" w:ascii="宋体" w:hAnsi="宋体" w:eastAsia="宋体" w:cs="宋体"/>
          <w:sz w:val="24"/>
          <w:szCs w:val="24"/>
          <w:lang w:val="en-US" w:eastAsia="zh-CN"/>
        </w:rPr>
      </w:pPr>
    </w:p>
    <w:p w14:paraId="704B7867">
      <w:pPr>
        <w:bidi w:val="0"/>
        <w:rPr>
          <w:rFonts w:hint="default" w:ascii="宋体" w:hAnsi="宋体" w:eastAsia="宋体" w:cs="宋体"/>
          <w:sz w:val="24"/>
          <w:szCs w:val="24"/>
          <w:lang w:val="en-US" w:eastAsia="zh-CN"/>
        </w:rPr>
      </w:pPr>
    </w:p>
    <w:p w14:paraId="72DF42F8">
      <w:pPr>
        <w:bidi w:val="0"/>
        <w:rPr>
          <w:rFonts w:hint="default" w:ascii="宋体" w:hAnsi="宋体" w:eastAsia="宋体" w:cs="宋体"/>
          <w:sz w:val="24"/>
          <w:szCs w:val="24"/>
          <w:lang w:val="en-US" w:eastAsia="zh-CN"/>
        </w:rPr>
      </w:pPr>
    </w:p>
    <w:p w14:paraId="0E1E2643">
      <w:pPr>
        <w:bidi w:val="0"/>
        <w:rPr>
          <w:rFonts w:hint="default" w:ascii="宋体" w:hAnsi="宋体" w:eastAsia="宋体" w:cs="宋体"/>
          <w:sz w:val="24"/>
          <w:szCs w:val="24"/>
          <w:lang w:val="en-US" w:eastAsia="zh-CN"/>
        </w:rPr>
      </w:pPr>
    </w:p>
    <w:p w14:paraId="19CA4C52">
      <w:pPr>
        <w:bidi w:val="0"/>
        <w:rPr>
          <w:rFonts w:hint="default" w:ascii="宋体" w:hAnsi="宋体" w:eastAsia="宋体" w:cs="宋体"/>
          <w:sz w:val="24"/>
          <w:szCs w:val="24"/>
          <w:lang w:val="en-US" w:eastAsia="zh-CN"/>
        </w:rPr>
      </w:pPr>
    </w:p>
    <w:p w14:paraId="42BD4A3F">
      <w:pPr>
        <w:bidi w:val="0"/>
        <w:rPr>
          <w:rFonts w:hint="default" w:ascii="宋体" w:hAnsi="宋体" w:eastAsia="宋体" w:cs="宋体"/>
          <w:sz w:val="24"/>
          <w:szCs w:val="24"/>
          <w:lang w:val="en-US" w:eastAsia="zh-CN"/>
        </w:rPr>
      </w:pPr>
    </w:p>
    <w:p w14:paraId="6A3BC5B0">
      <w:pPr>
        <w:bidi w:val="0"/>
        <w:rPr>
          <w:rFonts w:hint="default" w:ascii="宋体" w:hAnsi="宋体" w:eastAsia="宋体" w:cs="宋体"/>
          <w:sz w:val="24"/>
          <w:szCs w:val="24"/>
          <w:lang w:val="en-US" w:eastAsia="zh-CN"/>
        </w:rPr>
      </w:pPr>
    </w:p>
    <w:p w14:paraId="4B7BFBE1">
      <w:pPr>
        <w:bidi w:val="0"/>
        <w:rPr>
          <w:rFonts w:hint="default" w:ascii="宋体" w:hAnsi="宋体" w:eastAsia="宋体" w:cs="宋体"/>
          <w:sz w:val="24"/>
          <w:szCs w:val="24"/>
          <w:lang w:val="en-US" w:eastAsia="zh-CN"/>
        </w:rPr>
      </w:pPr>
    </w:p>
    <w:p w14:paraId="227361A0">
      <w:pPr>
        <w:bidi w:val="0"/>
        <w:rPr>
          <w:rFonts w:hint="default" w:ascii="宋体" w:hAnsi="宋体" w:eastAsia="宋体" w:cs="宋体"/>
          <w:sz w:val="24"/>
          <w:szCs w:val="24"/>
          <w:lang w:val="en-US" w:eastAsia="zh-CN"/>
        </w:rPr>
      </w:pPr>
    </w:p>
    <w:p w14:paraId="3D270042">
      <w:pPr>
        <w:bidi w:val="0"/>
        <w:rPr>
          <w:rFonts w:hint="default" w:ascii="宋体" w:hAnsi="宋体" w:eastAsia="宋体" w:cs="宋体"/>
          <w:sz w:val="24"/>
          <w:szCs w:val="24"/>
          <w:lang w:val="en-US" w:eastAsia="zh-CN"/>
        </w:rPr>
      </w:pPr>
    </w:p>
    <w:p w14:paraId="0B6E4102">
      <w:pPr>
        <w:bidi w:val="0"/>
        <w:rPr>
          <w:rFonts w:hint="default" w:ascii="宋体" w:hAnsi="宋体" w:eastAsia="宋体" w:cs="宋体"/>
          <w:sz w:val="24"/>
          <w:szCs w:val="24"/>
          <w:lang w:val="en-US" w:eastAsia="zh-CN"/>
        </w:rPr>
      </w:pPr>
    </w:p>
    <w:p w14:paraId="2CD4F8D7">
      <w:pPr>
        <w:bidi w:val="0"/>
        <w:rPr>
          <w:rFonts w:hint="default" w:ascii="宋体" w:hAnsi="宋体" w:eastAsia="宋体" w:cs="宋体"/>
          <w:sz w:val="24"/>
          <w:szCs w:val="24"/>
          <w:lang w:val="en-US" w:eastAsia="zh-CN"/>
        </w:rPr>
      </w:pPr>
    </w:p>
    <w:p w14:paraId="4ECB4EFE">
      <w:pPr>
        <w:bidi w:val="0"/>
        <w:rPr>
          <w:rFonts w:hint="default" w:ascii="宋体" w:hAnsi="宋体" w:eastAsia="宋体" w:cs="宋体"/>
          <w:sz w:val="24"/>
          <w:szCs w:val="24"/>
          <w:lang w:val="en-US" w:eastAsia="zh-CN"/>
        </w:rPr>
      </w:pPr>
    </w:p>
    <w:p w14:paraId="278D6695">
      <w:pPr>
        <w:bidi w:val="0"/>
        <w:rPr>
          <w:rFonts w:hint="default" w:ascii="宋体" w:hAnsi="宋体" w:eastAsia="宋体" w:cs="宋体"/>
          <w:sz w:val="24"/>
          <w:szCs w:val="24"/>
          <w:lang w:val="en-US" w:eastAsia="zh-CN"/>
        </w:rPr>
      </w:pPr>
    </w:p>
    <w:p w14:paraId="09B03340">
      <w:pPr>
        <w:bidi w:val="0"/>
        <w:rPr>
          <w:rFonts w:hint="default" w:ascii="宋体" w:hAnsi="宋体" w:eastAsia="宋体" w:cs="宋体"/>
          <w:sz w:val="24"/>
          <w:szCs w:val="24"/>
          <w:lang w:val="en-US" w:eastAsia="zh-CN"/>
        </w:rPr>
      </w:pPr>
    </w:p>
    <w:p w14:paraId="27690D4A">
      <w:pPr>
        <w:bidi w:val="0"/>
        <w:rPr>
          <w:rFonts w:hint="default" w:ascii="宋体" w:hAnsi="宋体" w:eastAsia="宋体" w:cs="宋体"/>
          <w:sz w:val="24"/>
          <w:szCs w:val="24"/>
          <w:lang w:val="en-US" w:eastAsia="zh-CN"/>
        </w:rPr>
      </w:pPr>
    </w:p>
    <w:p w14:paraId="7D616558">
      <w:pPr>
        <w:bidi w:val="0"/>
        <w:rPr>
          <w:rFonts w:hint="default" w:ascii="宋体" w:hAnsi="宋体" w:eastAsia="宋体" w:cs="宋体"/>
          <w:sz w:val="24"/>
          <w:szCs w:val="24"/>
          <w:lang w:val="en-US" w:eastAsia="zh-CN"/>
        </w:rPr>
      </w:pPr>
    </w:p>
    <w:p w14:paraId="62B2D1A9">
      <w:pPr>
        <w:bidi w:val="0"/>
        <w:rPr>
          <w:rFonts w:hint="default" w:ascii="宋体" w:hAnsi="宋体" w:eastAsia="宋体" w:cs="宋体"/>
          <w:sz w:val="24"/>
          <w:szCs w:val="24"/>
          <w:lang w:val="en-US" w:eastAsia="zh-CN"/>
        </w:rPr>
      </w:pPr>
    </w:p>
    <w:p w14:paraId="12F70DF7">
      <w:pPr>
        <w:bidi w:val="0"/>
        <w:rPr>
          <w:rFonts w:hint="default" w:ascii="宋体" w:hAnsi="宋体" w:eastAsia="宋体" w:cs="宋体"/>
          <w:sz w:val="24"/>
          <w:szCs w:val="24"/>
          <w:lang w:val="en-US" w:eastAsia="zh-CN"/>
        </w:rPr>
      </w:pPr>
    </w:p>
    <w:p w14:paraId="67D01517">
      <w:pPr>
        <w:bidi w:val="0"/>
        <w:rPr>
          <w:rFonts w:hint="default" w:ascii="宋体" w:hAnsi="宋体" w:eastAsia="宋体" w:cs="宋体"/>
          <w:sz w:val="24"/>
          <w:szCs w:val="24"/>
          <w:lang w:val="en-US" w:eastAsia="zh-CN"/>
        </w:rPr>
      </w:pPr>
    </w:p>
    <w:p w14:paraId="14FE7837">
      <w:pPr>
        <w:bidi w:val="0"/>
        <w:rPr>
          <w:rFonts w:hint="default" w:ascii="宋体" w:hAnsi="宋体" w:eastAsia="宋体" w:cs="宋体"/>
          <w:sz w:val="24"/>
          <w:szCs w:val="24"/>
          <w:lang w:val="en-US" w:eastAsia="zh-CN"/>
        </w:rPr>
      </w:pPr>
    </w:p>
    <w:p w14:paraId="6A06FDE5">
      <w:pPr>
        <w:bidi w:val="0"/>
        <w:rPr>
          <w:rFonts w:hint="default" w:ascii="宋体" w:hAnsi="宋体" w:eastAsia="宋体" w:cs="宋体"/>
          <w:sz w:val="24"/>
          <w:szCs w:val="24"/>
          <w:lang w:val="en-US" w:eastAsia="zh-CN"/>
        </w:rPr>
      </w:pPr>
    </w:p>
    <w:p w14:paraId="65B7F2F4">
      <w:pPr>
        <w:bidi w:val="0"/>
        <w:rPr>
          <w:rFonts w:hint="default" w:ascii="宋体" w:hAnsi="宋体" w:eastAsia="宋体" w:cs="宋体"/>
          <w:sz w:val="24"/>
          <w:szCs w:val="24"/>
          <w:lang w:val="en-US" w:eastAsia="zh-CN"/>
        </w:rPr>
      </w:pPr>
    </w:p>
    <w:p w14:paraId="34F1A9C9">
      <w:pPr>
        <w:bidi w:val="0"/>
        <w:rPr>
          <w:rFonts w:hint="default" w:ascii="宋体" w:hAnsi="宋体" w:eastAsia="宋体" w:cs="宋体"/>
          <w:sz w:val="24"/>
          <w:szCs w:val="24"/>
          <w:lang w:val="en-US" w:eastAsia="zh-CN"/>
        </w:rPr>
      </w:pPr>
    </w:p>
    <w:p w14:paraId="78255B77">
      <w:pPr>
        <w:bidi w:val="0"/>
        <w:rPr>
          <w:rFonts w:hint="default" w:ascii="宋体" w:hAnsi="宋体" w:eastAsia="宋体" w:cs="宋体"/>
          <w:sz w:val="24"/>
          <w:szCs w:val="24"/>
          <w:lang w:val="en-US" w:eastAsia="zh-CN"/>
        </w:rPr>
      </w:pPr>
    </w:p>
    <w:p w14:paraId="62F800AF">
      <w:pPr>
        <w:bidi w:val="0"/>
        <w:rPr>
          <w:rFonts w:hint="default" w:ascii="宋体" w:hAnsi="宋体" w:eastAsia="宋体" w:cs="宋体"/>
          <w:sz w:val="24"/>
          <w:szCs w:val="24"/>
          <w:lang w:val="en-US" w:eastAsia="zh-CN"/>
        </w:rPr>
      </w:pPr>
    </w:p>
    <w:p w14:paraId="498645B6">
      <w:pPr>
        <w:bidi w:val="0"/>
        <w:rPr>
          <w:rFonts w:hint="default" w:ascii="宋体" w:hAnsi="宋体" w:eastAsia="宋体" w:cs="宋体"/>
          <w:sz w:val="24"/>
          <w:szCs w:val="24"/>
          <w:lang w:val="en-US" w:eastAsia="zh-CN"/>
        </w:rPr>
      </w:pPr>
    </w:p>
    <w:p w14:paraId="7BE9C529">
      <w:pPr>
        <w:bidi w:val="0"/>
        <w:rPr>
          <w:rFonts w:hint="default" w:ascii="宋体" w:hAnsi="宋体" w:eastAsia="宋体" w:cs="宋体"/>
          <w:sz w:val="24"/>
          <w:szCs w:val="24"/>
          <w:lang w:val="en-US" w:eastAsia="zh-CN"/>
        </w:rPr>
      </w:pPr>
    </w:p>
    <w:p w14:paraId="005648A6">
      <w:pPr>
        <w:bidi w:val="0"/>
        <w:rPr>
          <w:rFonts w:hint="default" w:ascii="宋体" w:hAnsi="宋体" w:eastAsia="宋体" w:cs="宋体"/>
          <w:sz w:val="24"/>
          <w:szCs w:val="24"/>
          <w:lang w:val="en-US" w:eastAsia="zh-CN"/>
        </w:rPr>
      </w:pPr>
      <w:r>
        <w:drawing>
          <wp:anchor distT="0" distB="0" distL="114300" distR="114300" simplePos="0" relativeHeight="251664384" behindDoc="0" locked="0" layoutInCell="1" allowOverlap="1">
            <wp:simplePos x="0" y="0"/>
            <wp:positionH relativeFrom="column">
              <wp:posOffset>-1765300</wp:posOffset>
            </wp:positionH>
            <wp:positionV relativeFrom="paragraph">
              <wp:posOffset>1329055</wp:posOffset>
            </wp:positionV>
            <wp:extent cx="8815070" cy="6244590"/>
            <wp:effectExtent l="0" t="0" r="3810" b="5080"/>
            <wp:wrapNone/>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28"/>
                    <a:stretch>
                      <a:fillRect/>
                    </a:stretch>
                  </pic:blipFill>
                  <pic:spPr>
                    <a:xfrm rot="5400000">
                      <a:off x="0" y="0"/>
                      <a:ext cx="8815070" cy="6244590"/>
                    </a:xfrm>
                    <a:prstGeom prst="rect">
                      <a:avLst/>
                    </a:prstGeom>
                    <a:noFill/>
                    <a:ln>
                      <a:noFill/>
                    </a:ln>
                  </pic:spPr>
                </pic:pic>
              </a:graphicData>
            </a:graphic>
          </wp:anchor>
        </w:drawing>
      </w:r>
    </w:p>
    <w:sectPr>
      <w:footerReference r:id="rId5"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华文中宋">
    <w:altName w:val="宋体"/>
    <w:panose1 w:val="02010600040101010101"/>
    <w:charset w:val="86"/>
    <w:family w:val="auto"/>
    <w:pitch w:val="default"/>
    <w:sig w:usb0="00000000" w:usb1="00000000" w:usb2="00000000" w:usb3="00000000" w:csb0="0004009F" w:csb1="DFD70000"/>
  </w:font>
  <w:font w:name="思源黑体 CN Bold">
    <w:altName w:val="黑体"/>
    <w:panose1 w:val="020B0800000000000000"/>
    <w:charset w:val="86"/>
    <w:family w:val="swiss"/>
    <w:pitch w:val="default"/>
    <w:sig w:usb0="00000000" w:usb1="00000000" w:usb2="00000016" w:usb3="00000000" w:csb0="60060107" w:csb1="00000000"/>
  </w:font>
  <w:font w:name="KSOFD723FC5D">
    <w:panose1 w:val="02010609060101010101"/>
    <w:charset w:val="86"/>
    <w:family w:val="auto"/>
    <w:pitch w:val="default"/>
    <w:sig w:usb0="00000001" w:usb1="00000000" w:usb2="00000000" w:usb3="00000000" w:csb0="0006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4BE82A">
    <w:pPr>
      <w:pStyle w:val="6"/>
      <w:ind w:right="360"/>
      <w:rPr>
        <w:rFonts w:hint="eastAsia"/>
      </w:rPr>
    </w:pPr>
    <w:r>
      <w:rPr>
        <w:rFonts w:hint="eastAsia"/>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A8CA5C">
    <w:pPr>
      <w:pStyle w:val="6"/>
      <w:ind w:right="360"/>
      <w:rPr>
        <w:rFonts w:hint="eastAsia"/>
      </w:rPr>
    </w:pPr>
    <w:r>
      <w:rPr>
        <w:rFonts w:hint="eastAsia"/>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732532">
    <w:pPr>
      <w:spacing w:line="360" w:lineRule="auto"/>
      <w:jc w:val="center"/>
      <w:outlineLvl w:val="0"/>
      <w:rPr>
        <w:rFonts w:hint="eastAsia" w:ascii="黑体" w:hAnsi="华文中宋" w:eastAsia="黑体"/>
        <w:bCs/>
        <w:sz w:val="46"/>
        <w:szCs w:val="46"/>
      </w:rPr>
    </w:pPr>
    <w:r>
      <w:rPr>
        <w:rFonts w:hint="eastAsia"/>
      </w:rPr>
      <w:t xml:space="preserve">                                                          </w:t>
    </w:r>
    <w:r>
      <w:rPr>
        <w:rFonts w:hint="eastAsia" w:ascii="宋体" w:hAnsi="宋体"/>
        <w:szCs w:val="21"/>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EFC5B91"/>
    <w:rsid w:val="13A419BB"/>
    <w:rsid w:val="1A713DD9"/>
    <w:rsid w:val="1EFC586C"/>
    <w:rsid w:val="298D7A3B"/>
    <w:rsid w:val="2BE64003"/>
    <w:rsid w:val="48A06D34"/>
    <w:rsid w:val="4A23019D"/>
    <w:rsid w:val="4BB949C8"/>
    <w:rsid w:val="4EB57AA0"/>
    <w:rsid w:val="548361E1"/>
    <w:rsid w:val="596C19E9"/>
    <w:rsid w:val="60742CF0"/>
    <w:rsid w:val="64AA54EF"/>
    <w:rsid w:val="6E105F95"/>
    <w:rsid w:val="75C94AC9"/>
    <w:rsid w:val="75FC4D15"/>
    <w:rsid w:val="7CF8448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5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tabs>
        <w:tab w:val="center" w:pos="4517"/>
      </w:tabs>
      <w:snapToGrid w:val="0"/>
      <w:spacing w:before="200" w:beforeLines="200" w:after="150" w:afterLines="150" w:line="360" w:lineRule="auto"/>
      <w:ind w:left="0" w:leftChars="0" w:firstLine="0" w:firstLineChars="0"/>
      <w:jc w:val="left"/>
      <w:outlineLvl w:val="0"/>
    </w:pPr>
    <w:rPr>
      <w:rFonts w:ascii="Arial" w:hAnsi="Arial"/>
      <w:bCs/>
      <w:kern w:val="44"/>
      <w:szCs w:val="28"/>
    </w:rPr>
  </w:style>
  <w:style w:type="paragraph" w:styleId="3">
    <w:name w:val="heading 2"/>
    <w:basedOn w:val="1"/>
    <w:next w:val="1"/>
    <w:semiHidden/>
    <w:unhideWhenUsed/>
    <w:qFormat/>
    <w:uiPriority w:val="0"/>
    <w:pPr>
      <w:keepNext/>
      <w:keepLines/>
      <w:adjustRightInd w:val="0"/>
      <w:spacing w:line="240" w:lineRule="auto"/>
      <w:ind w:left="575" w:hanging="575" w:firstLineChars="0"/>
      <w:outlineLvl w:val="1"/>
    </w:pPr>
    <w:rPr>
      <w:rFonts w:ascii="仿宋" w:hAnsi="仿宋" w:cs="Times New Roman"/>
      <w:b/>
      <w:bCs/>
      <w:sz w:val="32"/>
      <w:szCs w:val="32"/>
    </w:rPr>
  </w:style>
  <w:style w:type="paragraph" w:styleId="4">
    <w:name w:val="heading 3"/>
    <w:basedOn w:val="1"/>
    <w:next w:val="1"/>
    <w:semiHidden/>
    <w:unhideWhenUsed/>
    <w:qFormat/>
    <w:uiPriority w:val="0"/>
    <w:pPr>
      <w:keepNext/>
      <w:keepLines/>
      <w:spacing w:line="240" w:lineRule="auto"/>
      <w:ind w:left="720" w:hanging="720"/>
      <w:outlineLvl w:val="2"/>
    </w:pPr>
    <w:rPr>
      <w:rFonts w:ascii="仿宋" w:hAnsi="仿宋" w:eastAsia="仿宋_GB2312" w:cs="Times New Roman"/>
      <w:b/>
      <w:bCs/>
      <w:kern w:val="2"/>
      <w:sz w:val="28"/>
      <w:szCs w:val="32"/>
      <w:lang w:val="en-US" w:eastAsia="zh-CN" w:bidi="ar-SA"/>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Body Text"/>
    <w:basedOn w:val="1"/>
    <w:next w:val="1"/>
    <w:qFormat/>
    <w:uiPriority w:val="1"/>
    <w:pPr>
      <w:autoSpaceDE w:val="0"/>
      <w:autoSpaceDN w:val="0"/>
      <w:jc w:val="left"/>
    </w:pPr>
    <w:rPr>
      <w:rFonts w:ascii="宋体" w:hAnsi="宋体" w:eastAsia="仿宋_GB2312" w:cs="宋体"/>
      <w:kern w:val="0"/>
      <w:szCs w:val="24"/>
      <w:lang w:val="zh-CN" w:bidi="zh-CN"/>
    </w:rPr>
  </w:style>
  <w:style w:type="paragraph" w:styleId="6">
    <w:name w:val="footer"/>
    <w:basedOn w:val="1"/>
    <w:qFormat/>
    <w:uiPriority w:val="0"/>
    <w:pPr>
      <w:tabs>
        <w:tab w:val="center" w:pos="4153"/>
        <w:tab w:val="right" w:pos="8306"/>
      </w:tabs>
      <w:snapToGrid w:val="0"/>
      <w:jc w:val="left"/>
    </w:pPr>
    <w:rPr>
      <w:sz w:val="18"/>
    </w:rPr>
  </w:style>
  <w:style w:type="paragraph" w:styleId="7">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8">
    <w:name w:val="toc 1"/>
    <w:basedOn w:val="1"/>
    <w:next w:val="1"/>
    <w:qFormat/>
    <w:uiPriority w:val="39"/>
  </w:style>
  <w:style w:type="table" w:styleId="10">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Strong"/>
    <w:basedOn w:val="11"/>
    <w:qFormat/>
    <w:uiPriority w:val="0"/>
    <w:rPr>
      <w:b/>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54</Pages>
  <Words>1627</Words>
  <Characters>1832</Characters>
  <TotalTime>46</TotalTime>
  <ScaleCrop>false</ScaleCrop>
  <LinksUpToDate>false</LinksUpToDate>
  <CharactersWithSpaces>1848</CharactersWithSpaces>
  <Application>WPS Office_12.1.0.26375_F1E327BC-269C-435d-A152-05C5408002CA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2026-01-29T10:50:00Z</dcterms:created>
  <dc:creator>Administrator</dc:creator>
  <cp:lastModifiedBy>易笑</cp:lastModifiedBy>
  <cp:lastPrinted>2026-03-04T02:48:00Z</cp:lastPrinted>
  <dcterms:modified xsi:type="dcterms:W3CDTF">2026-06-05T00:39:42Z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eyJoZGlkIjoiOGFjY2VjYzM2OTU5ZTMwYTZiODZkNzYzMjE3ODVhOWIiLCJ1c2VySWQiOiI3NTU2ODU4NTIifQ==</vt:lpwstr>
  </property>
  <property fmtid="{D5CDD505-2E9C-101B-9397-08002B2CF9AE}" pid="3" name="KSOProductBuildVer">
    <vt:lpwstr>2052-12.1.0.26375</vt:lpwstr>
  </property>
  <property fmtid="{D5CDD505-2E9C-101B-9397-08002B2CF9AE}" pid="4" name="ICV">
    <vt:lpwstr>229705932D634E49BA01AAD21ACE6C56_13</vt:lpwstr>
  </property>
</Properties>
</file>