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1A32C83">
      <w:pPr>
        <w:spacing w:line="720" w:lineRule="exact"/>
        <w:jc w:val="right"/>
        <w:rPr>
          <w:rFonts w:hint="eastAsia" w:ascii="华文中宋" w:hAnsi="华文中宋" w:eastAsia="华文中宋" w:cs="华文中宋"/>
          <w:bCs/>
          <w:color w:val="auto"/>
          <w:sz w:val="44"/>
          <w:szCs w:val="44"/>
        </w:rPr>
      </w:pPr>
      <w:r>
        <w:rPr>
          <w:color w:val="auto"/>
        </w:rPr>
        <w:drawing>
          <wp:anchor distT="0" distB="0" distL="114300" distR="114300" simplePos="0" relativeHeight="251665408" behindDoc="0" locked="0" layoutInCell="1" allowOverlap="1">
            <wp:simplePos x="0" y="0"/>
            <wp:positionH relativeFrom="column">
              <wp:posOffset>4017010</wp:posOffset>
            </wp:positionH>
            <wp:positionV relativeFrom="paragraph">
              <wp:posOffset>-112395</wp:posOffset>
            </wp:positionV>
            <wp:extent cx="1761490" cy="459105"/>
            <wp:effectExtent l="0" t="0" r="10160" b="17145"/>
            <wp:wrapNone/>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7"/>
                    <a:stretch>
                      <a:fillRect/>
                    </a:stretch>
                  </pic:blipFill>
                  <pic:spPr>
                    <a:xfrm>
                      <a:off x="0" y="0"/>
                      <a:ext cx="1761490" cy="459105"/>
                    </a:xfrm>
                    <a:prstGeom prst="rect">
                      <a:avLst/>
                    </a:prstGeom>
                    <a:noFill/>
                    <a:ln>
                      <a:noFill/>
                    </a:ln>
                  </pic:spPr>
                </pic:pic>
              </a:graphicData>
            </a:graphic>
          </wp:anchor>
        </w:drawing>
      </w:r>
    </w:p>
    <w:p w14:paraId="5997E903">
      <w:pPr>
        <w:jc w:val="center"/>
        <w:rPr>
          <w:rFonts w:hint="eastAsia" w:ascii="华文中宋" w:hAnsi="华文中宋" w:eastAsia="华文中宋" w:cs="华文中宋"/>
          <w:bCs/>
          <w:color w:val="auto"/>
          <w:sz w:val="44"/>
          <w:szCs w:val="44"/>
        </w:rPr>
      </w:pPr>
      <w:r>
        <w:rPr>
          <w:rFonts w:hint="eastAsia" w:ascii="华文中宋" w:hAnsi="华文中宋" w:eastAsia="华文中宋" w:cs="华文中宋"/>
          <w:bCs/>
          <w:color w:val="auto"/>
          <w:sz w:val="44"/>
          <w:szCs w:val="44"/>
          <w:lang w:val="en-US" w:eastAsia="zh-CN"/>
        </w:rPr>
        <w:t>垫江三中C级</w:t>
      </w:r>
      <w:bookmarkStart w:id="0" w:name="_GoBack"/>
      <w:bookmarkEnd w:id="0"/>
      <w:r>
        <w:rPr>
          <w:rFonts w:hint="eastAsia" w:ascii="华文中宋" w:hAnsi="华文中宋" w:eastAsia="华文中宋" w:cs="华文中宋"/>
          <w:bCs/>
          <w:color w:val="auto"/>
          <w:sz w:val="44"/>
          <w:szCs w:val="44"/>
          <w:lang w:val="en-US" w:eastAsia="zh-CN"/>
        </w:rPr>
        <w:t>房屋加固改造工程</w:t>
      </w:r>
    </w:p>
    <w:p w14:paraId="2B8DBEE8">
      <w:pPr>
        <w:jc w:val="center"/>
        <w:rPr>
          <w:rFonts w:hint="eastAsia" w:ascii="华文中宋" w:hAnsi="华文中宋" w:eastAsia="华文中宋"/>
          <w:b/>
          <w:color w:val="auto"/>
          <w:sz w:val="72"/>
          <w:szCs w:val="72"/>
          <w:lang w:eastAsia="zh-CN"/>
        </w:rPr>
      </w:pPr>
      <w:r>
        <w:rPr>
          <w:rFonts w:hint="eastAsia" w:ascii="华文中宋" w:hAnsi="华文中宋" w:eastAsia="华文中宋" w:cs="华文中宋"/>
          <w:bCs/>
          <w:color w:val="auto"/>
          <w:sz w:val="52"/>
          <w:szCs w:val="52"/>
          <w:lang w:val="en-US" w:eastAsia="zh-CN"/>
        </w:rPr>
        <w:t>方案设计文本</w:t>
      </w:r>
    </w:p>
    <w:p w14:paraId="0BE8FFDC">
      <w:pPr>
        <w:pStyle w:val="8"/>
        <w:rPr>
          <w:rFonts w:hint="eastAsia"/>
          <w:color w:val="auto"/>
        </w:rPr>
      </w:pPr>
    </w:p>
    <w:p w14:paraId="0DEE3B83">
      <w:pPr>
        <w:jc w:val="center"/>
        <w:rPr>
          <w:rFonts w:ascii="华文中宋" w:hAnsi="华文中宋" w:eastAsia="华文中宋" w:cs="华文中宋"/>
          <w:color w:val="auto"/>
          <w:sz w:val="32"/>
          <w:szCs w:val="40"/>
        </w:rPr>
      </w:pPr>
      <w:r>
        <w:rPr>
          <w:rFonts w:hint="eastAsia" w:ascii="华文中宋" w:hAnsi="华文中宋" w:eastAsia="华文中宋" w:cs="华文中宋"/>
          <w:color w:val="auto"/>
          <w:sz w:val="32"/>
          <w:szCs w:val="40"/>
        </w:rPr>
        <w:t xml:space="preserve">工 号: </w:t>
      </w:r>
      <w:r>
        <w:rPr>
          <w:rFonts w:hint="eastAsia" w:ascii="华文中宋" w:hAnsi="华文中宋" w:eastAsia="华文中宋" w:cs="华文中宋"/>
          <w:color w:val="auto"/>
          <w:sz w:val="32"/>
          <w:szCs w:val="40"/>
          <w:lang w:val="en-US" w:eastAsia="zh-CN"/>
        </w:rPr>
        <w:t>2026-LS-0003</w:t>
      </w:r>
    </w:p>
    <w:p w14:paraId="25B1E9E0">
      <w:pPr>
        <w:jc w:val="center"/>
        <w:rPr>
          <w:rFonts w:hint="eastAsia" w:ascii="华文中宋" w:hAnsi="华文中宋" w:eastAsia="华文中宋" w:cs="华文中宋"/>
          <w:color w:val="auto"/>
          <w:sz w:val="32"/>
          <w:szCs w:val="40"/>
        </w:rPr>
      </w:pPr>
      <w:r>
        <w:rPr>
          <w:rFonts w:hint="eastAsia" w:ascii="华文中宋" w:hAnsi="华文中宋" w:eastAsia="华文中宋" w:cs="华文中宋"/>
          <w:color w:val="auto"/>
          <w:sz w:val="32"/>
          <w:szCs w:val="40"/>
        </w:rPr>
        <w:t>建设规模:</w:t>
      </w:r>
      <w:r>
        <w:rPr>
          <w:rFonts w:hint="eastAsia" w:ascii="华文中宋" w:hAnsi="华文中宋" w:eastAsia="华文中宋" w:cs="华文中宋"/>
          <w:color w:val="auto"/>
          <w:sz w:val="32"/>
          <w:szCs w:val="40"/>
          <w:lang w:val="en-US" w:eastAsia="zh-CN"/>
        </w:rPr>
        <w:t>1322.23</w:t>
      </w:r>
      <w:r>
        <w:rPr>
          <w:rFonts w:hint="eastAsia" w:ascii="华文中宋" w:hAnsi="华文中宋" w:eastAsia="华文中宋" w:cs="华文中宋"/>
          <w:color w:val="auto"/>
          <w:sz w:val="32"/>
          <w:szCs w:val="40"/>
        </w:rPr>
        <w:t>平方米</w:t>
      </w:r>
    </w:p>
    <w:p w14:paraId="29767E71">
      <w:pPr>
        <w:spacing w:line="360" w:lineRule="auto"/>
        <w:ind w:firstLine="4200" w:firstLineChars="1500"/>
        <w:rPr>
          <w:rFonts w:hint="eastAsia" w:ascii="华文中宋" w:hAnsi="华文中宋" w:eastAsia="华文中宋"/>
          <w:bCs/>
          <w:color w:val="auto"/>
          <w:sz w:val="28"/>
          <w:szCs w:val="28"/>
        </w:rPr>
      </w:pPr>
    </w:p>
    <w:p w14:paraId="19732F4F">
      <w:pPr>
        <w:spacing w:line="360" w:lineRule="auto"/>
        <w:ind w:firstLine="4200" w:firstLineChars="1500"/>
        <w:rPr>
          <w:rFonts w:hint="eastAsia" w:ascii="华文中宋" w:hAnsi="华文中宋" w:eastAsia="华文中宋"/>
          <w:bCs/>
          <w:color w:val="auto"/>
          <w:sz w:val="28"/>
          <w:szCs w:val="28"/>
        </w:rPr>
      </w:pPr>
    </w:p>
    <w:p w14:paraId="67EC4D2D">
      <w:pPr>
        <w:spacing w:line="360" w:lineRule="auto"/>
        <w:ind w:left="1792" w:hanging="1792" w:hangingChars="640"/>
        <w:rPr>
          <w:rFonts w:hint="eastAsia" w:ascii="华文中宋" w:hAnsi="华文中宋" w:eastAsia="华文中宋"/>
          <w:bCs/>
          <w:color w:val="auto"/>
          <w:sz w:val="28"/>
          <w:szCs w:val="28"/>
        </w:rPr>
      </w:pPr>
      <w:r>
        <w:rPr>
          <w:rFonts w:ascii="华文中宋" w:hAnsi="华文中宋" w:eastAsia="华文中宋"/>
          <w:bCs/>
          <w:color w:val="auto"/>
          <w:sz w:val="28"/>
          <w:szCs w:val="28"/>
        </w:rPr>
        <w:t xml:space="preserve">       </w:t>
      </w:r>
    </w:p>
    <w:p w14:paraId="5C9D9837">
      <w:pPr>
        <w:spacing w:line="360" w:lineRule="auto"/>
        <w:ind w:left="1792" w:hanging="1792" w:hangingChars="640"/>
        <w:rPr>
          <w:rFonts w:hint="eastAsia" w:ascii="华文中宋" w:hAnsi="华文中宋" w:eastAsia="华文中宋"/>
          <w:bCs/>
          <w:color w:val="auto"/>
          <w:sz w:val="28"/>
          <w:szCs w:val="28"/>
        </w:rPr>
      </w:pPr>
    </w:p>
    <w:p w14:paraId="45B41C85">
      <w:pPr>
        <w:spacing w:line="360" w:lineRule="auto"/>
        <w:rPr>
          <w:rFonts w:hint="eastAsia" w:ascii="华文中宋" w:hAnsi="华文中宋" w:eastAsia="华文中宋"/>
          <w:bCs/>
          <w:color w:val="auto"/>
          <w:sz w:val="28"/>
          <w:szCs w:val="28"/>
        </w:rPr>
      </w:pPr>
    </w:p>
    <w:p w14:paraId="729269E6">
      <w:pPr>
        <w:spacing w:line="360" w:lineRule="auto"/>
        <w:ind w:left="1792" w:hanging="1792" w:hangingChars="640"/>
        <w:rPr>
          <w:rFonts w:hint="eastAsia" w:ascii="华文中宋" w:hAnsi="华文中宋" w:eastAsia="华文中宋"/>
          <w:bCs/>
          <w:color w:val="auto"/>
          <w:sz w:val="28"/>
          <w:szCs w:val="28"/>
        </w:rPr>
      </w:pPr>
    </w:p>
    <w:p w14:paraId="2A69FB00">
      <w:pPr>
        <w:spacing w:line="360" w:lineRule="auto"/>
        <w:rPr>
          <w:rFonts w:hint="eastAsia" w:ascii="华文中宋" w:hAnsi="华文中宋" w:eastAsia="华文中宋"/>
          <w:bCs/>
          <w:color w:val="auto"/>
          <w:sz w:val="28"/>
          <w:szCs w:val="28"/>
        </w:rPr>
      </w:pPr>
    </w:p>
    <w:p w14:paraId="2DD349A0">
      <w:pPr>
        <w:spacing w:line="360" w:lineRule="auto"/>
        <w:rPr>
          <w:rFonts w:hint="eastAsia" w:ascii="华文中宋" w:hAnsi="华文中宋" w:eastAsia="华文中宋"/>
          <w:bCs/>
          <w:color w:val="auto"/>
          <w:sz w:val="28"/>
          <w:szCs w:val="28"/>
        </w:rPr>
      </w:pPr>
    </w:p>
    <w:p w14:paraId="4731DFFA">
      <w:pPr>
        <w:pStyle w:val="8"/>
        <w:rPr>
          <w:rFonts w:hint="eastAsia" w:ascii="华文中宋" w:hAnsi="华文中宋" w:eastAsia="华文中宋"/>
          <w:bCs/>
          <w:color w:val="auto"/>
          <w:sz w:val="28"/>
          <w:szCs w:val="28"/>
        </w:rPr>
      </w:pPr>
    </w:p>
    <w:p w14:paraId="1686E4CD">
      <w:pPr>
        <w:rPr>
          <w:rFonts w:hint="eastAsia"/>
          <w:color w:val="auto"/>
        </w:rPr>
      </w:pPr>
    </w:p>
    <w:p w14:paraId="62D31600">
      <w:pPr>
        <w:spacing w:line="360" w:lineRule="auto"/>
        <w:rPr>
          <w:rFonts w:hint="eastAsia" w:ascii="华文中宋" w:hAnsi="华文中宋" w:eastAsia="华文中宋"/>
          <w:bCs/>
          <w:color w:val="auto"/>
          <w:sz w:val="28"/>
          <w:szCs w:val="28"/>
        </w:rPr>
      </w:pPr>
    </w:p>
    <w:p w14:paraId="5A8CF9B7">
      <w:pPr>
        <w:snapToGrid w:val="0"/>
        <w:spacing w:line="500" w:lineRule="exact"/>
        <w:jc w:val="center"/>
        <w:rPr>
          <w:rFonts w:hint="eastAsia" w:ascii="华文中宋" w:hAnsi="华文中宋" w:eastAsia="华文中宋"/>
          <w:color w:val="auto"/>
          <w:sz w:val="36"/>
          <w:szCs w:val="36"/>
        </w:rPr>
      </w:pPr>
      <w:r>
        <w:rPr>
          <w:rFonts w:hint="eastAsia" w:ascii="华文中宋" w:hAnsi="华文中宋" w:eastAsia="华文中宋"/>
          <w:color w:val="auto"/>
          <w:sz w:val="32"/>
          <w:szCs w:val="32"/>
        </w:rPr>
        <w:t>资质证书编号：</w:t>
      </w:r>
      <w:r>
        <w:rPr>
          <w:rFonts w:ascii="华文中宋" w:hAnsi="华文中宋" w:eastAsia="华文中宋"/>
          <w:color w:val="auto"/>
          <w:sz w:val="32"/>
          <w:szCs w:val="32"/>
        </w:rPr>
        <w:t>A250012599</w:t>
      </w:r>
    </w:p>
    <w:p w14:paraId="421CD671">
      <w:pPr>
        <w:snapToGrid w:val="0"/>
        <w:spacing w:line="600" w:lineRule="exact"/>
        <w:jc w:val="center"/>
        <w:rPr>
          <w:rFonts w:ascii="思源黑体 CN Bold" w:hAnsi="思源黑体 CN Bold" w:eastAsia="思源黑体 CN Bold"/>
          <w:color w:val="auto"/>
          <w:sz w:val="44"/>
          <w:szCs w:val="44"/>
        </w:rPr>
      </w:pPr>
      <w:r>
        <w:rPr>
          <w:rFonts w:hint="eastAsia" w:ascii="思源黑体 CN Bold" w:hAnsi="思源黑体 CN Bold" w:eastAsia="思源黑体 CN Bold"/>
          <w:color w:val="auto"/>
          <w:sz w:val="44"/>
          <w:szCs w:val="44"/>
        </w:rPr>
        <w:t>重庆设计集团有限公司</w:t>
      </w:r>
    </w:p>
    <w:p w14:paraId="3848BF51">
      <w:pPr>
        <w:snapToGrid w:val="0"/>
        <w:spacing w:line="300" w:lineRule="exact"/>
        <w:jc w:val="center"/>
        <w:rPr>
          <w:rFonts w:hint="eastAsia" w:ascii="思源黑体 CN Bold" w:hAnsi="思源黑体 CN Bold" w:eastAsia="思源黑体 CN Bold"/>
          <w:color w:val="auto"/>
          <w:sz w:val="24"/>
        </w:rPr>
      </w:pPr>
      <w:r>
        <w:rPr>
          <w:rFonts w:ascii="思源黑体 CN Bold" w:hAnsi="思源黑体 CN Bold" w:eastAsia="思源黑体 CN Bold"/>
          <w:color w:val="auto"/>
          <w:sz w:val="24"/>
        </w:rPr>
        <w:t>CHONGQING DESIGN GROUP CO.,LTD.</w:t>
      </w:r>
    </w:p>
    <w:p w14:paraId="640AA917">
      <w:pPr>
        <w:snapToGrid w:val="0"/>
        <w:spacing w:line="500" w:lineRule="exact"/>
        <w:jc w:val="center"/>
        <w:rPr>
          <w:rFonts w:hint="eastAsia" w:ascii="华文中宋" w:hAnsi="华文中宋" w:eastAsia="华文中宋"/>
          <w:color w:val="auto"/>
          <w:sz w:val="36"/>
          <w:szCs w:val="36"/>
        </w:rPr>
      </w:pPr>
      <w:r>
        <w:rPr>
          <w:rFonts w:hint="eastAsia" w:ascii="华文中宋" w:hAnsi="华文中宋" w:eastAsia="华文中宋"/>
          <w:color w:val="auto"/>
          <w:sz w:val="32"/>
          <w:szCs w:val="32"/>
        </w:rPr>
        <w:t>二O二</w:t>
      </w:r>
      <w:r>
        <w:rPr>
          <w:rFonts w:hint="eastAsia" w:ascii="华文中宋" w:hAnsi="华文中宋" w:eastAsia="华文中宋"/>
          <w:color w:val="auto"/>
          <w:sz w:val="32"/>
          <w:szCs w:val="32"/>
          <w:lang w:eastAsia="zh-CN"/>
        </w:rPr>
        <w:t>六</w:t>
      </w:r>
      <w:r>
        <w:rPr>
          <w:rFonts w:hint="eastAsia" w:ascii="华文中宋" w:hAnsi="华文中宋" w:eastAsia="华文中宋"/>
          <w:color w:val="auto"/>
          <w:sz w:val="32"/>
          <w:szCs w:val="32"/>
        </w:rPr>
        <w:t>年</w:t>
      </w:r>
      <w:r>
        <w:rPr>
          <w:rFonts w:hint="eastAsia" w:ascii="华文中宋" w:hAnsi="华文中宋" w:eastAsia="华文中宋"/>
          <w:color w:val="auto"/>
          <w:sz w:val="32"/>
          <w:szCs w:val="32"/>
          <w:lang w:eastAsia="zh-CN"/>
        </w:rPr>
        <w:t>二</w:t>
      </w:r>
      <w:r>
        <w:rPr>
          <w:rFonts w:hint="eastAsia" w:ascii="华文中宋" w:hAnsi="华文中宋" w:eastAsia="华文中宋"/>
          <w:color w:val="auto"/>
          <w:sz w:val="32"/>
          <w:szCs w:val="32"/>
        </w:rPr>
        <w:t>月</w:t>
      </w:r>
    </w:p>
    <w:p w14:paraId="77677D5C">
      <w:pPr>
        <w:spacing w:line="720" w:lineRule="exact"/>
        <w:jc w:val="right"/>
        <w:outlineLvl w:val="1"/>
        <w:rPr>
          <w:rFonts w:hint="eastAsia" w:ascii="华文中宋" w:hAnsi="华文中宋" w:eastAsia="华文中宋" w:cs="华文中宋"/>
          <w:bCs/>
          <w:color w:val="auto"/>
          <w:sz w:val="44"/>
          <w:szCs w:val="44"/>
        </w:rPr>
        <w:sectPr>
          <w:headerReference r:id="rId3" w:type="default"/>
          <w:footerReference r:id="rId4" w:type="default"/>
          <w:pgSz w:w="11907" w:h="16840"/>
          <w:pgMar w:top="1418" w:right="1134" w:bottom="1701" w:left="1701" w:header="851" w:footer="992" w:gutter="0"/>
          <w:pgNumType w:start="1"/>
          <w:cols w:space="720" w:num="1"/>
          <w:docGrid w:type="linesAndChars" w:linePitch="312" w:charSpace="0"/>
        </w:sectPr>
      </w:pPr>
    </w:p>
    <w:p w14:paraId="261065DC">
      <w:pPr>
        <w:numPr>
          <w:ilvl w:val="0"/>
          <w:numId w:val="0"/>
        </w:numPr>
        <w:rPr>
          <w:rFonts w:hint="eastAsia"/>
          <w:b/>
          <w:bCs/>
          <w:sz w:val="28"/>
          <w:szCs w:val="36"/>
          <w:lang w:val="en-US" w:eastAsia="zh-CN"/>
        </w:rPr>
      </w:pPr>
      <w:r>
        <w:drawing>
          <wp:inline distT="0" distB="0" distL="114300" distR="114300">
            <wp:extent cx="5871845" cy="8468995"/>
            <wp:effectExtent l="0" t="0" r="14605" b="8255"/>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8"/>
                    <a:stretch>
                      <a:fillRect/>
                    </a:stretch>
                  </pic:blipFill>
                  <pic:spPr>
                    <a:xfrm>
                      <a:off x="0" y="0"/>
                      <a:ext cx="5871845" cy="8468995"/>
                    </a:xfrm>
                    <a:prstGeom prst="rect">
                      <a:avLst/>
                    </a:prstGeom>
                    <a:noFill/>
                    <a:ln>
                      <a:noFill/>
                    </a:ln>
                  </pic:spPr>
                </pic:pic>
              </a:graphicData>
            </a:graphic>
          </wp:inline>
        </w:drawing>
      </w:r>
      <w:r>
        <w:rPr>
          <w:rFonts w:hint="eastAsia"/>
          <w:b/>
          <w:bCs/>
          <w:sz w:val="28"/>
          <w:szCs w:val="36"/>
          <w:lang w:val="en-US" w:eastAsia="zh-CN"/>
        </w:rPr>
        <w:t>一、工程概况</w:t>
      </w:r>
    </w:p>
    <w:p w14:paraId="584B9097">
      <w:pPr>
        <w:numPr>
          <w:ilvl w:val="0"/>
          <w:numId w:val="0"/>
        </w:numPr>
        <w:ind w:firstLine="600" w:firstLineChars="200"/>
        <w:rPr>
          <w:rFonts w:hint="default" w:asciiTheme="minorEastAsia" w:hAnsiTheme="minorEastAsia" w:eastAsiaTheme="minorEastAsia" w:cstheme="minorEastAsia"/>
          <w:kern w:val="0"/>
          <w:sz w:val="30"/>
          <w:szCs w:val="30"/>
          <w:highlight w:val="none"/>
          <w:lang w:val="en-US" w:eastAsia="zh-CN" w:bidi="ar"/>
        </w:rPr>
      </w:pPr>
      <w:r>
        <w:rPr>
          <w:rFonts w:hint="eastAsia" w:asciiTheme="minorEastAsia" w:hAnsiTheme="minorEastAsia" w:eastAsiaTheme="minorEastAsia" w:cstheme="minorEastAsia"/>
          <w:sz w:val="30"/>
          <w:szCs w:val="30"/>
          <w:highlight w:val="none"/>
          <w:lang w:val="en-US" w:eastAsia="zh-CN"/>
        </w:rPr>
        <w:t>本次设计内容包括垫江县第三中学</w:t>
      </w:r>
      <w:r>
        <w:rPr>
          <w:rFonts w:hint="eastAsia" w:asciiTheme="minorEastAsia" w:hAnsiTheme="minorEastAsia" w:eastAsiaTheme="minorEastAsia" w:cstheme="minorEastAsia"/>
          <w:kern w:val="0"/>
          <w:sz w:val="30"/>
          <w:szCs w:val="30"/>
          <w:highlight w:val="none"/>
          <w:lang w:val="en-US" w:eastAsia="zh-CN" w:bidi="ar"/>
        </w:rPr>
        <w:t>宿舍楼(行政办公楼)、艺馨园办公楼、“华尔街”宿舍楼与“摩天轮”宿舍楼的拆除设计与水电改造。</w:t>
      </w:r>
      <w:r>
        <w:rPr>
          <w:rFonts w:hint="eastAsia" w:asciiTheme="minorEastAsia" w:hAnsiTheme="minorEastAsia" w:cstheme="minorEastAsia"/>
          <w:kern w:val="0"/>
          <w:sz w:val="30"/>
          <w:szCs w:val="30"/>
          <w:highlight w:val="none"/>
          <w:lang w:val="en-US" w:eastAsia="zh-CN" w:bidi="ar"/>
        </w:rPr>
        <w:t>其中</w:t>
      </w:r>
      <w:r>
        <w:rPr>
          <w:rFonts w:hint="eastAsia" w:asciiTheme="minorEastAsia" w:hAnsiTheme="minorEastAsia" w:eastAsiaTheme="minorEastAsia" w:cstheme="minorEastAsia"/>
          <w:kern w:val="0"/>
          <w:sz w:val="30"/>
          <w:szCs w:val="30"/>
          <w:highlight w:val="none"/>
          <w:lang w:val="en-US" w:eastAsia="zh-CN" w:bidi="ar"/>
        </w:rPr>
        <w:t>宿舍楼(行政办公楼)</w:t>
      </w:r>
      <w:r>
        <w:rPr>
          <w:rFonts w:hint="eastAsia" w:asciiTheme="minorEastAsia" w:hAnsiTheme="minorEastAsia" w:cstheme="minorEastAsia"/>
          <w:kern w:val="0"/>
          <w:sz w:val="30"/>
          <w:szCs w:val="30"/>
          <w:highlight w:val="none"/>
          <w:lang w:val="en-US" w:eastAsia="zh-CN" w:bidi="ar"/>
        </w:rPr>
        <w:t>拆除第五层，拆除面积约为：139.54平方米；</w:t>
      </w:r>
      <w:r>
        <w:rPr>
          <w:rFonts w:hint="eastAsia" w:asciiTheme="minorEastAsia" w:hAnsiTheme="minorEastAsia" w:eastAsiaTheme="minorEastAsia" w:cstheme="minorEastAsia"/>
          <w:kern w:val="0"/>
          <w:sz w:val="30"/>
          <w:szCs w:val="30"/>
          <w:highlight w:val="none"/>
          <w:lang w:val="en-US" w:eastAsia="zh-CN" w:bidi="ar"/>
        </w:rPr>
        <w:t>艺馨园办公楼</w:t>
      </w:r>
      <w:r>
        <w:rPr>
          <w:rFonts w:hint="eastAsia" w:asciiTheme="minorEastAsia" w:hAnsiTheme="minorEastAsia" w:cstheme="minorEastAsia"/>
          <w:kern w:val="0"/>
          <w:sz w:val="30"/>
          <w:szCs w:val="30"/>
          <w:highlight w:val="none"/>
          <w:lang w:val="en-US" w:eastAsia="zh-CN" w:bidi="ar"/>
        </w:rPr>
        <w:t>拆除第五层，拆除面积约为：263.95平方米；</w:t>
      </w:r>
      <w:r>
        <w:rPr>
          <w:rFonts w:hint="eastAsia" w:asciiTheme="minorEastAsia" w:hAnsiTheme="minorEastAsia" w:eastAsiaTheme="minorEastAsia" w:cstheme="minorEastAsia"/>
          <w:kern w:val="0"/>
          <w:sz w:val="30"/>
          <w:szCs w:val="30"/>
          <w:highlight w:val="none"/>
          <w:lang w:val="en-US" w:eastAsia="zh-CN" w:bidi="ar"/>
        </w:rPr>
        <w:t>“华尔街”宿舍楼</w:t>
      </w:r>
      <w:r>
        <w:rPr>
          <w:rFonts w:hint="eastAsia" w:asciiTheme="minorEastAsia" w:hAnsiTheme="minorEastAsia" w:cstheme="minorEastAsia"/>
          <w:kern w:val="0"/>
          <w:sz w:val="30"/>
          <w:szCs w:val="30"/>
          <w:highlight w:val="none"/>
          <w:lang w:val="en-US" w:eastAsia="zh-CN" w:bidi="ar"/>
        </w:rPr>
        <w:t>拆除第五层，拆除面积约为：169.86平方米；</w:t>
      </w:r>
      <w:r>
        <w:rPr>
          <w:rFonts w:hint="eastAsia" w:asciiTheme="minorEastAsia" w:hAnsiTheme="minorEastAsia" w:eastAsiaTheme="minorEastAsia" w:cstheme="minorEastAsia"/>
          <w:kern w:val="0"/>
          <w:sz w:val="30"/>
          <w:szCs w:val="30"/>
          <w:highlight w:val="none"/>
          <w:lang w:val="en-US" w:eastAsia="zh-CN" w:bidi="ar"/>
        </w:rPr>
        <w:t>“摩天轮”宿舍楼</w:t>
      </w:r>
      <w:r>
        <w:rPr>
          <w:rFonts w:hint="eastAsia" w:asciiTheme="minorEastAsia" w:hAnsiTheme="minorEastAsia" w:cstheme="minorEastAsia"/>
          <w:kern w:val="0"/>
          <w:sz w:val="30"/>
          <w:szCs w:val="30"/>
          <w:highlight w:val="none"/>
          <w:lang w:val="en-US" w:eastAsia="zh-CN" w:bidi="ar"/>
        </w:rPr>
        <w:t>拆除第五层和第六层，拆除面积约为：748.88平方米。共计拆除面积约为1322.23平方米。</w:t>
      </w:r>
    </w:p>
    <w:p w14:paraId="067403A0">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kern w:val="0"/>
          <w:sz w:val="30"/>
          <w:szCs w:val="30"/>
          <w:highlight w:val="none"/>
          <w:lang w:val="en-US" w:eastAsia="zh-CN" w:bidi="ar"/>
        </w:rPr>
        <w:t>根据重庆市建设工程质量检验测试中心有限公司出具的各楼栋鉴定结论，拆除各楼栋顶部相应层数后，可以满足正常安全使用要求。</w:t>
      </w:r>
    </w:p>
    <w:p w14:paraId="1F338445">
      <w:pPr>
        <w:numPr>
          <w:ilvl w:val="0"/>
          <w:numId w:val="0"/>
        </w:numPr>
        <w:rPr>
          <w:rFonts w:hint="default"/>
          <w:b/>
          <w:bCs/>
          <w:sz w:val="28"/>
          <w:szCs w:val="36"/>
          <w:lang w:val="en-US" w:eastAsia="zh-CN"/>
        </w:rPr>
      </w:pPr>
      <w:r>
        <w:rPr>
          <w:rFonts w:hint="eastAsia"/>
          <w:b/>
          <w:bCs/>
          <w:sz w:val="28"/>
          <w:szCs w:val="36"/>
          <w:lang w:val="en-US" w:eastAsia="zh-CN"/>
        </w:rPr>
        <w:t>二、设计依据与原则</w:t>
      </w:r>
    </w:p>
    <w:p w14:paraId="391D01AA">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1.设计依据</w:t>
      </w:r>
    </w:p>
    <w:p w14:paraId="5FF0A38B">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w:t>
      </w:r>
      <w:r>
        <w:rPr>
          <w:rFonts w:hint="eastAsia" w:asciiTheme="minorEastAsia" w:hAnsiTheme="minorEastAsia" w:eastAsiaTheme="minorEastAsia" w:cstheme="minorEastAsia"/>
          <w:sz w:val="30"/>
          <w:szCs w:val="30"/>
          <w:highlight w:val="none"/>
          <w:lang w:val="en-US" w:eastAsia="zh-CN"/>
        </w:rPr>
        <w:t>《建筑拆除工程安全技术规范》 JGJ147-2016</w:t>
      </w:r>
    </w:p>
    <w:p w14:paraId="21311EC1">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w:t>
      </w:r>
      <w:r>
        <w:rPr>
          <w:rFonts w:hint="eastAsia" w:asciiTheme="minorEastAsia" w:hAnsiTheme="minorEastAsia" w:eastAsiaTheme="minorEastAsia" w:cstheme="minorEastAsia"/>
          <w:sz w:val="30"/>
          <w:szCs w:val="30"/>
          <w:highlight w:val="none"/>
          <w:lang w:val="en-US" w:eastAsia="zh-CN"/>
        </w:rPr>
        <w:t>建筑结构现场测绘图纸及数据</w:t>
      </w:r>
    </w:p>
    <w:p w14:paraId="754EE48D">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w:t>
      </w:r>
      <w:r>
        <w:rPr>
          <w:rFonts w:hint="eastAsia" w:asciiTheme="minorEastAsia" w:hAnsiTheme="minorEastAsia" w:eastAsiaTheme="minorEastAsia" w:cstheme="minorEastAsia"/>
          <w:sz w:val="30"/>
          <w:szCs w:val="30"/>
          <w:highlight w:val="none"/>
          <w:lang w:val="en-US" w:eastAsia="zh-CN"/>
        </w:rPr>
        <w:t>垫江县第三中学宿舍楼(行政办公楼)加固改造可行鉴定报告（KXC-KXX-2025-028）</w:t>
      </w:r>
    </w:p>
    <w:p w14:paraId="56DD9D92">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w:t>
      </w:r>
      <w:r>
        <w:rPr>
          <w:rFonts w:hint="eastAsia" w:asciiTheme="minorEastAsia" w:hAnsiTheme="minorEastAsia" w:eastAsiaTheme="minorEastAsia" w:cstheme="minorEastAsia"/>
          <w:sz w:val="30"/>
          <w:szCs w:val="30"/>
          <w:highlight w:val="none"/>
          <w:lang w:val="en-US" w:eastAsia="zh-CN"/>
        </w:rPr>
        <w:t>垫江县第三中学艺馨园办公楼加固改造可行鉴定报告（KXC-KXX-2025-029）</w:t>
      </w:r>
    </w:p>
    <w:p w14:paraId="5BEBFBEF">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w:t>
      </w:r>
      <w:r>
        <w:rPr>
          <w:rFonts w:hint="eastAsia" w:asciiTheme="minorEastAsia" w:hAnsiTheme="minorEastAsia" w:eastAsiaTheme="minorEastAsia" w:cstheme="minorEastAsia"/>
          <w:sz w:val="30"/>
          <w:szCs w:val="30"/>
          <w:highlight w:val="none"/>
          <w:lang w:val="en-US" w:eastAsia="zh-CN"/>
        </w:rPr>
        <w:t>垫江县第三中学“华尔街”宿舍楼加固改造可行鉴定报告（KXC-KXX-2025-030）</w:t>
      </w:r>
    </w:p>
    <w:p w14:paraId="274A8F0E">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w:t>
      </w:r>
      <w:r>
        <w:rPr>
          <w:rFonts w:hint="eastAsia" w:asciiTheme="minorEastAsia" w:hAnsiTheme="minorEastAsia" w:eastAsiaTheme="minorEastAsia" w:cstheme="minorEastAsia"/>
          <w:sz w:val="30"/>
          <w:szCs w:val="30"/>
          <w:highlight w:val="none"/>
          <w:lang w:val="en-US" w:eastAsia="zh-CN"/>
        </w:rPr>
        <w:t>垫江县第三中学“摩天轮”宿舍楼加固改造可行鉴定报告（KXC-KXX-2025-031）</w:t>
      </w:r>
    </w:p>
    <w:p w14:paraId="4F547974">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w:t>
      </w:r>
      <w:r>
        <w:rPr>
          <w:rFonts w:hint="eastAsia" w:asciiTheme="minorEastAsia" w:hAnsiTheme="minorEastAsia" w:eastAsiaTheme="minorEastAsia" w:cstheme="minorEastAsia"/>
          <w:sz w:val="30"/>
          <w:szCs w:val="30"/>
          <w:highlight w:val="none"/>
          <w:lang w:val="en-US" w:eastAsia="zh-CN"/>
        </w:rPr>
        <w:t>垫江县第三中学校方提供的相关要求</w:t>
      </w:r>
    </w:p>
    <w:p w14:paraId="73C96DDC">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2.设计原则</w:t>
      </w:r>
    </w:p>
    <w:p w14:paraId="5DCC128B">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·安全第一原则：确保拆除过程中保留结构、施工人员及周边环境的安全。</w:t>
      </w:r>
    </w:p>
    <w:p w14:paraId="1F154BA3">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w:t>
      </w:r>
      <w:r>
        <w:rPr>
          <w:rFonts w:hint="eastAsia" w:asciiTheme="minorEastAsia" w:hAnsiTheme="minorEastAsia" w:eastAsiaTheme="minorEastAsia" w:cstheme="minorEastAsia"/>
          <w:sz w:val="30"/>
          <w:szCs w:val="30"/>
          <w:highlight w:val="none"/>
          <w:lang w:val="en-US" w:eastAsia="zh-CN"/>
        </w:rPr>
        <w:t>施工可行原则：施工方案需考虑现场条件，具可操作性。</w:t>
      </w:r>
    </w:p>
    <w:p w14:paraId="1609A52E">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w:t>
      </w:r>
      <w:r>
        <w:rPr>
          <w:rFonts w:hint="eastAsia" w:asciiTheme="minorEastAsia" w:hAnsiTheme="minorEastAsia" w:eastAsiaTheme="minorEastAsia" w:cstheme="minorEastAsia"/>
          <w:sz w:val="30"/>
          <w:szCs w:val="30"/>
          <w:highlight w:val="none"/>
          <w:lang w:val="en-US" w:eastAsia="zh-CN"/>
        </w:rPr>
        <w:t>对保留结构影响最小化原则：采取合理顺序和工艺，避免对保留部分造成损伤。</w:t>
      </w:r>
    </w:p>
    <w:p w14:paraId="7075FF25">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w:t>
      </w:r>
      <w:r>
        <w:rPr>
          <w:rFonts w:hint="eastAsia" w:asciiTheme="minorEastAsia" w:hAnsiTheme="minorEastAsia" w:eastAsiaTheme="minorEastAsia" w:cstheme="minorEastAsia"/>
          <w:sz w:val="30"/>
          <w:szCs w:val="30"/>
          <w:highlight w:val="none"/>
          <w:lang w:val="en-US" w:eastAsia="zh-CN"/>
        </w:rPr>
        <w:t>经济环保原则：合理处理建筑垃圾，控制成本。</w:t>
      </w:r>
    </w:p>
    <w:p w14:paraId="60427E5E">
      <w:pPr>
        <w:numPr>
          <w:ilvl w:val="0"/>
          <w:numId w:val="0"/>
        </w:numPr>
        <w:rPr>
          <w:rFonts w:hint="default"/>
          <w:b/>
          <w:bCs/>
          <w:sz w:val="28"/>
          <w:szCs w:val="36"/>
          <w:lang w:val="en-US" w:eastAsia="zh-CN"/>
        </w:rPr>
      </w:pPr>
      <w:r>
        <w:rPr>
          <w:rFonts w:hint="eastAsia"/>
          <w:b/>
          <w:bCs/>
          <w:sz w:val="28"/>
          <w:szCs w:val="36"/>
          <w:lang w:val="en-US" w:eastAsia="zh-CN"/>
        </w:rPr>
        <w:t>三、拆除方案设计</w:t>
      </w:r>
    </w:p>
    <w:p w14:paraId="55CF0A60">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1.拆除内容</w:t>
      </w:r>
    </w:p>
    <w:p w14:paraId="1B0BEE39">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宿舍楼(行政办公楼)、艺馨园办公楼与“华尔街”宿舍楼拆除顶部一层及原四层悬挑梁板；“摩天轮”宿舍楼拆除顶部两层及原四层悬挑梁板。</w:t>
      </w:r>
    </w:p>
    <w:p w14:paraId="79F91177">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2.总体拆除顺序</w:t>
      </w:r>
    </w:p>
    <w:p w14:paraId="3B1E90A6">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原则：逆着建造顺序，“先次后主、先上后下、先非承重后承重”。</w:t>
      </w:r>
    </w:p>
    <w:p w14:paraId="5A7EF8EE">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具体流程</w:t>
      </w:r>
      <w:r>
        <w:rPr>
          <w:rFonts w:hint="eastAsia" w:asciiTheme="minorEastAsia" w:hAnsiTheme="minorEastAsia" w:eastAsiaTheme="minorEastAsia" w:cstheme="minorEastAsia"/>
          <w:sz w:val="30"/>
          <w:szCs w:val="30"/>
          <w:highlight w:val="none"/>
          <w:lang w:val="en-US" w:eastAsia="zh-CN"/>
        </w:rPr>
        <w:t>如下</w:t>
      </w:r>
      <w:r>
        <w:rPr>
          <w:rFonts w:hint="default" w:asciiTheme="minorEastAsia" w:hAnsiTheme="minorEastAsia" w:eastAsiaTheme="minorEastAsia" w:cstheme="minorEastAsia"/>
          <w:sz w:val="30"/>
          <w:szCs w:val="30"/>
          <w:highlight w:val="none"/>
          <w:lang w:val="en-US" w:eastAsia="zh-CN"/>
        </w:rPr>
        <w:t>：</w:t>
      </w:r>
    </w:p>
    <w:p w14:paraId="78101FA0">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拆除树脂瓦屋面板材→拆除树脂瓦屋面檩条及桁架→拆除树脂瓦屋面立柱→拆除门窗及附属设施→切割拆除屋面层混凝土悬挑梁及挑板→拆除砖砌女儿墙→</w:t>
      </w:r>
      <w:r>
        <w:rPr>
          <w:rFonts w:hint="default" w:asciiTheme="minorEastAsia" w:hAnsiTheme="minorEastAsia" w:eastAsiaTheme="minorEastAsia" w:cstheme="minorEastAsia"/>
          <w:sz w:val="30"/>
          <w:szCs w:val="30"/>
          <w:highlight w:val="none"/>
          <w:lang w:val="en-US" w:eastAsia="zh-CN"/>
        </w:rPr>
        <w:t>拆除屋面防水、保温层</w:t>
      </w:r>
      <w:r>
        <w:rPr>
          <w:rFonts w:hint="eastAsia" w:asciiTheme="minorEastAsia" w:hAnsiTheme="minorEastAsia" w:eastAsiaTheme="minorEastAsia" w:cstheme="minorEastAsia"/>
          <w:sz w:val="30"/>
          <w:szCs w:val="30"/>
          <w:highlight w:val="none"/>
          <w:lang w:val="en-US" w:eastAsia="zh-CN"/>
        </w:rPr>
        <w:t>→</w:t>
      </w:r>
      <w:r>
        <w:rPr>
          <w:rFonts w:hint="default" w:asciiTheme="minorEastAsia" w:hAnsiTheme="minorEastAsia" w:eastAsiaTheme="minorEastAsia" w:cstheme="minorEastAsia"/>
          <w:sz w:val="30"/>
          <w:szCs w:val="30"/>
          <w:highlight w:val="none"/>
          <w:lang w:val="en-US" w:eastAsia="zh-CN"/>
        </w:rPr>
        <w:t>拆除屋面</w:t>
      </w:r>
      <w:r>
        <w:rPr>
          <w:rFonts w:hint="eastAsia" w:asciiTheme="minorEastAsia" w:hAnsiTheme="minorEastAsia" w:eastAsiaTheme="minorEastAsia" w:cstheme="minorEastAsia"/>
          <w:sz w:val="30"/>
          <w:szCs w:val="30"/>
          <w:highlight w:val="none"/>
          <w:lang w:val="en-US" w:eastAsia="zh-CN"/>
        </w:rPr>
        <w:t>层预制板</w:t>
      </w:r>
      <w:r>
        <w:rPr>
          <w:rFonts w:hint="default" w:asciiTheme="minorEastAsia" w:hAnsiTheme="minorEastAsia" w:eastAsiaTheme="minorEastAsia" w:cstheme="minorEastAsia"/>
          <w:sz w:val="30"/>
          <w:szCs w:val="30"/>
          <w:highlight w:val="none"/>
          <w:lang w:val="en-US" w:eastAsia="zh-CN"/>
        </w:rPr>
        <w:t>楼板</w:t>
      </w:r>
      <w:r>
        <w:rPr>
          <w:rFonts w:hint="eastAsia" w:asciiTheme="minorEastAsia" w:hAnsiTheme="minorEastAsia" w:eastAsiaTheme="minorEastAsia" w:cstheme="minorEastAsia"/>
          <w:sz w:val="30"/>
          <w:szCs w:val="30"/>
          <w:highlight w:val="none"/>
          <w:lang w:val="en-US" w:eastAsia="zh-CN"/>
        </w:rPr>
        <w:t>→切割拆除下层混凝土悬挑梁及挑板→</w:t>
      </w:r>
      <w:r>
        <w:rPr>
          <w:rFonts w:hint="default" w:asciiTheme="minorEastAsia" w:hAnsiTheme="minorEastAsia" w:eastAsiaTheme="minorEastAsia" w:cstheme="minorEastAsia"/>
          <w:sz w:val="30"/>
          <w:szCs w:val="30"/>
          <w:highlight w:val="none"/>
          <w:lang w:val="en-US" w:eastAsia="zh-CN"/>
        </w:rPr>
        <w:t>分段、间隔拆除顶层承重墙→</w:t>
      </w:r>
      <w:r>
        <w:rPr>
          <w:rFonts w:hint="eastAsia" w:asciiTheme="minorEastAsia" w:hAnsiTheme="minorEastAsia" w:eastAsiaTheme="minorEastAsia" w:cstheme="minorEastAsia"/>
          <w:sz w:val="30"/>
          <w:szCs w:val="30"/>
          <w:highlight w:val="none"/>
          <w:lang w:val="en-US" w:eastAsia="zh-CN"/>
        </w:rPr>
        <w:t>（</w:t>
      </w:r>
      <w:r>
        <w:rPr>
          <w:rFonts w:hint="default" w:asciiTheme="minorEastAsia" w:hAnsiTheme="minorEastAsia" w:eastAsiaTheme="minorEastAsia" w:cstheme="minorEastAsia"/>
          <w:sz w:val="30"/>
          <w:szCs w:val="30"/>
          <w:highlight w:val="none"/>
          <w:lang w:val="en-US" w:eastAsia="zh-CN"/>
        </w:rPr>
        <w:t xml:space="preserve"> 拆除</w:t>
      </w:r>
      <w:r>
        <w:rPr>
          <w:rFonts w:hint="eastAsia" w:asciiTheme="minorEastAsia" w:hAnsiTheme="minorEastAsia" w:eastAsiaTheme="minorEastAsia" w:cstheme="minorEastAsia"/>
          <w:sz w:val="30"/>
          <w:szCs w:val="30"/>
          <w:highlight w:val="none"/>
          <w:lang w:val="en-US" w:eastAsia="zh-CN"/>
        </w:rPr>
        <w:t>下一</w:t>
      </w:r>
      <w:r>
        <w:rPr>
          <w:rFonts w:hint="default" w:asciiTheme="minorEastAsia" w:hAnsiTheme="minorEastAsia" w:eastAsiaTheme="minorEastAsia" w:cstheme="minorEastAsia"/>
          <w:sz w:val="30"/>
          <w:szCs w:val="30"/>
          <w:highlight w:val="none"/>
          <w:lang w:val="en-US" w:eastAsia="zh-CN"/>
        </w:rPr>
        <w:t>层</w:t>
      </w:r>
      <w:r>
        <w:rPr>
          <w:rFonts w:hint="eastAsia" w:asciiTheme="minorEastAsia" w:hAnsiTheme="minorEastAsia" w:eastAsiaTheme="minorEastAsia" w:cstheme="minorEastAsia"/>
          <w:sz w:val="30"/>
          <w:szCs w:val="30"/>
          <w:highlight w:val="none"/>
          <w:lang w:val="en-US" w:eastAsia="zh-CN"/>
        </w:rPr>
        <w:t>预制</w:t>
      </w:r>
      <w:r>
        <w:rPr>
          <w:rFonts w:hint="default" w:asciiTheme="minorEastAsia" w:hAnsiTheme="minorEastAsia" w:eastAsiaTheme="minorEastAsia" w:cstheme="minorEastAsia"/>
          <w:sz w:val="30"/>
          <w:szCs w:val="30"/>
          <w:highlight w:val="none"/>
          <w:lang w:val="en-US" w:eastAsia="zh-CN"/>
        </w:rPr>
        <w:t>楼板 → 按同样顺序拆除下一层</w:t>
      </w:r>
      <w:r>
        <w:rPr>
          <w:rFonts w:hint="eastAsia" w:asciiTheme="minorEastAsia" w:hAnsiTheme="minorEastAsia" w:eastAsiaTheme="minorEastAsia" w:cstheme="minorEastAsia"/>
          <w:sz w:val="30"/>
          <w:szCs w:val="30"/>
          <w:highlight w:val="none"/>
          <w:lang w:val="en-US" w:eastAsia="zh-CN"/>
        </w:rPr>
        <w:t>）</w:t>
      </w:r>
      <w:r>
        <w:rPr>
          <w:rFonts w:hint="default" w:asciiTheme="minorEastAsia" w:hAnsiTheme="minorEastAsia" w:eastAsiaTheme="minorEastAsia" w:cstheme="minorEastAsia"/>
          <w:sz w:val="30"/>
          <w:szCs w:val="30"/>
          <w:highlight w:val="none"/>
          <w:lang w:val="en-US" w:eastAsia="zh-CN"/>
        </w:rPr>
        <w:t>→处理拆除断面</w:t>
      </w:r>
      <w:r>
        <w:rPr>
          <w:rFonts w:hint="eastAsia" w:asciiTheme="minorEastAsia" w:hAnsiTheme="minorEastAsia" w:eastAsiaTheme="minorEastAsia" w:cstheme="minorEastAsia"/>
          <w:sz w:val="30"/>
          <w:szCs w:val="30"/>
          <w:highlight w:val="none"/>
          <w:lang w:val="en-US" w:eastAsia="zh-CN"/>
        </w:rPr>
        <w:t>(保留周边砖墙做女儿墙使用)</w:t>
      </w:r>
      <w:r>
        <w:rPr>
          <w:rFonts w:hint="default" w:asciiTheme="minorEastAsia" w:hAnsiTheme="minorEastAsia" w:eastAsiaTheme="minorEastAsia" w:cstheme="minorEastAsia"/>
          <w:sz w:val="30"/>
          <w:szCs w:val="30"/>
          <w:highlight w:val="none"/>
          <w:lang w:val="en-US" w:eastAsia="zh-CN"/>
        </w:rPr>
        <w:t>→</w:t>
      </w:r>
      <w:r>
        <w:rPr>
          <w:rFonts w:hint="eastAsia" w:asciiTheme="minorEastAsia" w:hAnsiTheme="minorEastAsia" w:eastAsiaTheme="minorEastAsia" w:cstheme="minorEastAsia"/>
          <w:sz w:val="30"/>
          <w:szCs w:val="30"/>
          <w:highlight w:val="none"/>
          <w:lang w:val="en-US" w:eastAsia="zh-CN"/>
        </w:rPr>
        <w:t>新增树脂瓦屋面</w:t>
      </w:r>
      <w:r>
        <w:rPr>
          <w:rFonts w:hint="default" w:asciiTheme="minorEastAsia" w:hAnsiTheme="minorEastAsia" w:eastAsiaTheme="minorEastAsia" w:cstheme="minorEastAsia"/>
          <w:sz w:val="30"/>
          <w:szCs w:val="30"/>
          <w:highlight w:val="none"/>
          <w:lang w:val="en-US" w:eastAsia="zh-CN"/>
        </w:rPr>
        <w:t>。</w:t>
      </w:r>
    </w:p>
    <w:p w14:paraId="443F5243">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注：括号内拆除范围适用于“摩天轮”宿舍楼顶部拆除两层时。</w:t>
      </w:r>
    </w:p>
    <w:p w14:paraId="1728738A">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3.关键工艺与技术措施</w:t>
      </w:r>
    </w:p>
    <w:p w14:paraId="1534F425">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人工为主，机械为辅</w:t>
      </w:r>
      <w:r>
        <w:rPr>
          <w:rFonts w:hint="eastAsia" w:asciiTheme="minorEastAsia" w:hAnsiTheme="minorEastAsia" w:eastAsiaTheme="minorEastAsia" w:cstheme="minorEastAsia"/>
          <w:sz w:val="30"/>
          <w:szCs w:val="30"/>
          <w:highlight w:val="none"/>
          <w:lang w:val="en-US" w:eastAsia="zh-CN"/>
        </w:rPr>
        <w:t>：</w:t>
      </w:r>
      <w:r>
        <w:rPr>
          <w:rFonts w:hint="default" w:asciiTheme="minorEastAsia" w:hAnsiTheme="minorEastAsia" w:eastAsiaTheme="minorEastAsia" w:cstheme="minorEastAsia"/>
          <w:sz w:val="30"/>
          <w:szCs w:val="30"/>
          <w:highlight w:val="none"/>
          <w:lang w:val="en-US" w:eastAsia="zh-CN"/>
        </w:rPr>
        <w:t>砌体结构拆除必须采用人工和小型机具（如电锤、液压钳），严禁使用大锤猛砸或大型机械（如挖掘机）直接破坏性拆除，防止剧烈震动。</w:t>
      </w:r>
      <w:r>
        <w:rPr>
          <w:rFonts w:hint="eastAsia" w:asciiTheme="minorEastAsia" w:hAnsiTheme="minorEastAsia" w:eastAsiaTheme="minorEastAsia" w:cstheme="minorEastAsia"/>
          <w:sz w:val="30"/>
          <w:szCs w:val="30"/>
          <w:highlight w:val="none"/>
          <w:lang w:val="en-US" w:eastAsia="zh-CN"/>
        </w:rPr>
        <w:t>钢筋混凝土悬挑梁及挑板应采用混凝土切割机逐步拆除。垃圾及时清运，不得集中堆放在楼板上。</w:t>
      </w:r>
    </w:p>
    <w:p w14:paraId="0817B27A">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分段卸载，对称拆除</w:t>
      </w:r>
      <w:r>
        <w:rPr>
          <w:rFonts w:hint="eastAsia" w:asciiTheme="minorEastAsia" w:hAnsiTheme="minorEastAsia" w:eastAsiaTheme="minorEastAsia" w:cstheme="minorEastAsia"/>
          <w:sz w:val="30"/>
          <w:szCs w:val="30"/>
          <w:highlight w:val="none"/>
          <w:lang w:val="en-US" w:eastAsia="zh-CN"/>
        </w:rPr>
        <w:t>：砖砌</w:t>
      </w:r>
      <w:r>
        <w:rPr>
          <w:rFonts w:hint="default" w:asciiTheme="minorEastAsia" w:hAnsiTheme="minorEastAsia" w:eastAsiaTheme="minorEastAsia" w:cstheme="minorEastAsia"/>
          <w:sz w:val="30"/>
          <w:szCs w:val="30"/>
          <w:highlight w:val="none"/>
          <w:lang w:val="en-US" w:eastAsia="zh-CN"/>
        </w:rPr>
        <w:t>墙体拆除必须</w:t>
      </w:r>
      <w:r>
        <w:rPr>
          <w:rFonts w:hint="eastAsia" w:asciiTheme="minorEastAsia" w:hAnsiTheme="minorEastAsia" w:eastAsiaTheme="minorEastAsia" w:cstheme="minorEastAsia"/>
          <w:sz w:val="30"/>
          <w:szCs w:val="30"/>
          <w:highlight w:val="none"/>
          <w:lang w:val="en-US" w:eastAsia="zh-CN"/>
        </w:rPr>
        <w:t>沿高度由上至下</w:t>
      </w:r>
      <w:r>
        <w:rPr>
          <w:rFonts w:hint="default" w:asciiTheme="minorEastAsia" w:hAnsiTheme="minorEastAsia" w:eastAsiaTheme="minorEastAsia" w:cstheme="minorEastAsia"/>
          <w:sz w:val="30"/>
          <w:szCs w:val="30"/>
          <w:highlight w:val="none"/>
          <w:lang w:val="en-US" w:eastAsia="zh-CN"/>
        </w:rPr>
        <w:t>分段进行，每段</w:t>
      </w:r>
      <w:r>
        <w:rPr>
          <w:rFonts w:hint="eastAsia" w:asciiTheme="minorEastAsia" w:hAnsiTheme="minorEastAsia" w:eastAsiaTheme="minorEastAsia" w:cstheme="minorEastAsia"/>
          <w:sz w:val="30"/>
          <w:szCs w:val="30"/>
          <w:highlight w:val="none"/>
          <w:lang w:val="en-US" w:eastAsia="zh-CN"/>
        </w:rPr>
        <w:t>高</w:t>
      </w:r>
      <w:r>
        <w:rPr>
          <w:rFonts w:hint="default" w:asciiTheme="minorEastAsia" w:hAnsiTheme="minorEastAsia" w:eastAsiaTheme="minorEastAsia" w:cstheme="minorEastAsia"/>
          <w:sz w:val="30"/>
          <w:szCs w:val="30"/>
          <w:highlight w:val="none"/>
          <w:lang w:val="en-US" w:eastAsia="zh-CN"/>
        </w:rPr>
        <w:t>度不超过1米。拆除时应在建筑平面对称进行，避免结构受力严重不均。</w:t>
      </w:r>
    </w:p>
    <w:p w14:paraId="5A2A63AF">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临时支撑体系：</w:t>
      </w:r>
    </w:p>
    <w:p w14:paraId="032A6C79">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在待拆除楼层下方（即保留部分的顶层）设置可靠的钢管脚手架支撑</w:t>
      </w:r>
      <w:r>
        <w:rPr>
          <w:rFonts w:hint="eastAsia" w:asciiTheme="minorEastAsia" w:hAnsiTheme="minorEastAsia" w:eastAsiaTheme="minorEastAsia" w:cstheme="minorEastAsia"/>
          <w:sz w:val="30"/>
          <w:szCs w:val="30"/>
          <w:highlight w:val="none"/>
          <w:lang w:val="en-US" w:eastAsia="zh-CN"/>
        </w:rPr>
        <w:t>，提供操作平台，保护下层楼板</w:t>
      </w:r>
      <w:r>
        <w:rPr>
          <w:rFonts w:hint="default" w:asciiTheme="minorEastAsia" w:hAnsiTheme="minorEastAsia" w:eastAsiaTheme="minorEastAsia" w:cstheme="minorEastAsia"/>
          <w:sz w:val="30"/>
          <w:szCs w:val="30"/>
          <w:highlight w:val="none"/>
          <w:lang w:val="en-US" w:eastAsia="zh-CN"/>
        </w:rPr>
        <w:t>。</w:t>
      </w:r>
    </w:p>
    <w:p w14:paraId="4AE0B2B5">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支撑架体需经过受力计算，设计立杆间距、横杆步距、剪刀撑设置，并考虑上部跌落荷载。支撑范围必须覆盖所有受影响的区域，并延伸至安全范围。</w:t>
      </w:r>
    </w:p>
    <w:p w14:paraId="24564521">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在拆除承重墙前，必须在墙两侧设置临时支撑，将上方荷载有效传递至支撑架体。</w:t>
      </w:r>
    </w:p>
    <w:p w14:paraId="00853462">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保留墙体的断面处理：</w:t>
      </w:r>
    </w:p>
    <w:p w14:paraId="760D5FE2">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拆除后，保留墙体顶部断面必须平整。</w:t>
      </w:r>
    </w:p>
    <w:p w14:paraId="32C48BB7">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对松动、破损的砖块进行剔凿清理，并用高压风吹净浮灰。</w:t>
      </w:r>
    </w:p>
    <w:p w14:paraId="5C50FD3F">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悬臂女儿墙顶部设置压顶梁，压顶梁为墙宽X100,主筋4f12,箍筋f6@250</w:t>
      </w:r>
      <w:r>
        <w:rPr>
          <w:rFonts w:hint="default" w:asciiTheme="minorEastAsia" w:hAnsiTheme="minorEastAsia" w:eastAsiaTheme="minorEastAsia" w:cstheme="minorEastAsia"/>
          <w:sz w:val="30"/>
          <w:szCs w:val="30"/>
          <w:highlight w:val="none"/>
          <w:lang w:val="en-US" w:eastAsia="zh-CN"/>
        </w:rPr>
        <w:t>。</w:t>
      </w:r>
    </w:p>
    <w:p w14:paraId="17D72DBF">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保留结构的监测：</w:t>
      </w:r>
    </w:p>
    <w:p w14:paraId="5866F605">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在拆除过程中及拆除后一段时间内，应对保留部分进行沉降观测和裂缝观测。</w:t>
      </w:r>
    </w:p>
    <w:p w14:paraId="79768242">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在关键部位</w:t>
      </w:r>
      <w:r>
        <w:rPr>
          <w:rFonts w:hint="eastAsia" w:asciiTheme="minorEastAsia" w:hAnsiTheme="minorEastAsia" w:eastAsiaTheme="minorEastAsia" w:cstheme="minorEastAsia"/>
          <w:sz w:val="30"/>
          <w:szCs w:val="30"/>
          <w:highlight w:val="none"/>
          <w:lang w:val="en-US" w:eastAsia="zh-CN"/>
        </w:rPr>
        <w:t>(角部及转角位置)</w:t>
      </w:r>
      <w:r>
        <w:rPr>
          <w:rFonts w:hint="default" w:asciiTheme="minorEastAsia" w:hAnsiTheme="minorEastAsia" w:eastAsiaTheme="minorEastAsia" w:cstheme="minorEastAsia"/>
          <w:sz w:val="30"/>
          <w:szCs w:val="30"/>
          <w:highlight w:val="none"/>
          <w:lang w:val="en-US" w:eastAsia="zh-CN"/>
        </w:rPr>
        <w:t>设置观测点，由专人每天记录，发现异常立即停工报警。</w:t>
      </w:r>
    </w:p>
    <w:p w14:paraId="390EB953">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4.艺馨园一层6/B-E轴墙体加固方案</w:t>
      </w:r>
    </w:p>
    <w:p w14:paraId="474AE738">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根据加固改造可行性鉴定报告，艺馨园顶部拆除顶层后一层6/B-E轴墙体仍不满足承载力要求，采取相应加固措施如下：</w:t>
      </w:r>
    </w:p>
    <w:p w14:paraId="203C2BA5">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对艺馨园一层6/B-E轴非楼梯侧新增钢筋网混凝土面层加固</w:t>
      </w:r>
    </w:p>
    <w:p w14:paraId="0E3369D3">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auto"/>
      </w:pPr>
      <w:r>
        <w:drawing>
          <wp:inline distT="0" distB="0" distL="114300" distR="114300">
            <wp:extent cx="5695950" cy="4586605"/>
            <wp:effectExtent l="0" t="0" r="0" b="4445"/>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9"/>
                    <a:srcRect l="995" t="2774" r="199" b="1478"/>
                    <a:stretch>
                      <a:fillRect/>
                    </a:stretch>
                  </pic:blipFill>
                  <pic:spPr>
                    <a:xfrm>
                      <a:off x="0" y="0"/>
                      <a:ext cx="5695950" cy="4586605"/>
                    </a:xfrm>
                    <a:prstGeom prst="rect">
                      <a:avLst/>
                    </a:prstGeom>
                    <a:noFill/>
                    <a:ln>
                      <a:noFill/>
                    </a:ln>
                  </pic:spPr>
                </pic:pic>
              </a:graphicData>
            </a:graphic>
          </wp:inline>
        </w:drawing>
      </w:r>
    </w:p>
    <w:p w14:paraId="2E55F02A">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a.喷射混凝土强度等级为C20，厚度为70mm，配筋为：竖向筋f10@200，横向筋f8@200，钢筋网与墙体的固定,双面加固时采用S形f6钢筋钻孔穿墙对拉，间距为600mm，并呈梅花状布置；</w:t>
      </w:r>
    </w:p>
    <w:p w14:paraId="6005637C">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b.在砖墙构件处,L形锚筋采用I、II类水泥基灌浆料或M15水泥砂浆锚固；</w:t>
      </w:r>
    </w:p>
    <w:p w14:paraId="55EC4AC6">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c.植筋锚固时,钢筋须采用III级钢，锚筋直径、间距不变，植筋锚固长度为120mm；</w:t>
      </w:r>
    </w:p>
    <w:p w14:paraId="3E5F5C1A">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d.在水泥砂浆面层中在楼层标高处设置2f12的水平钢筋。</w:t>
      </w:r>
    </w:p>
    <w:p w14:paraId="00690DC3">
      <w:pPr>
        <w:numPr>
          <w:ilvl w:val="0"/>
          <w:numId w:val="0"/>
        </w:numPr>
        <w:ind w:firstLine="600" w:firstLineChars="200"/>
        <w:rPr>
          <w:rFonts w:hint="eastAsia" w:asciiTheme="minorEastAsia" w:hAnsiTheme="minorEastAsia" w:cstheme="minorEastAsia"/>
          <w:sz w:val="30"/>
          <w:szCs w:val="30"/>
          <w:highlight w:val="none"/>
          <w:lang w:val="en-US" w:eastAsia="zh-CN"/>
        </w:rPr>
      </w:pPr>
      <w:r>
        <w:rPr>
          <w:rFonts w:hint="eastAsia" w:asciiTheme="minorEastAsia" w:hAnsiTheme="minorEastAsia" w:cstheme="minorEastAsia"/>
          <w:sz w:val="30"/>
          <w:szCs w:val="30"/>
          <w:highlight w:val="none"/>
          <w:lang w:val="en-US" w:eastAsia="zh-CN"/>
        </w:rPr>
        <w:t>5.原始图纸：</w:t>
      </w:r>
    </w:p>
    <w:p w14:paraId="6C2968BC">
      <w:pPr>
        <w:numPr>
          <w:ilvl w:val="0"/>
          <w:numId w:val="0"/>
        </w:numPr>
        <w:ind w:firstLine="420" w:firstLineChars="200"/>
        <w:rPr>
          <w:rFonts w:hint="eastAsia" w:asciiTheme="minorEastAsia" w:hAnsiTheme="minorEastAsia" w:cstheme="minorEastAsia"/>
          <w:sz w:val="30"/>
          <w:szCs w:val="30"/>
          <w:highlight w:val="none"/>
          <w:lang w:val="en-US" w:eastAsia="zh-CN"/>
        </w:rPr>
      </w:pPr>
      <w:r>
        <w:drawing>
          <wp:inline distT="0" distB="0" distL="114300" distR="114300">
            <wp:extent cx="8519160" cy="5163185"/>
            <wp:effectExtent l="0" t="0" r="18415" b="15240"/>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pic:cNvPicPr>
                      <a:picLocks noChangeAspect="1"/>
                    </pic:cNvPicPr>
                  </pic:nvPicPr>
                  <pic:blipFill>
                    <a:blip r:embed="rId10"/>
                    <a:stretch>
                      <a:fillRect/>
                    </a:stretch>
                  </pic:blipFill>
                  <pic:spPr>
                    <a:xfrm rot="16200000">
                      <a:off x="0" y="0"/>
                      <a:ext cx="8519160" cy="5163185"/>
                    </a:xfrm>
                    <a:prstGeom prst="rect">
                      <a:avLst/>
                    </a:prstGeom>
                    <a:noFill/>
                    <a:ln>
                      <a:noFill/>
                    </a:ln>
                  </pic:spPr>
                </pic:pic>
              </a:graphicData>
            </a:graphic>
          </wp:inline>
        </w:drawing>
      </w:r>
    </w:p>
    <w:p w14:paraId="613BA78B">
      <w:pPr>
        <w:numPr>
          <w:ilvl w:val="0"/>
          <w:numId w:val="0"/>
        </w:numPr>
        <w:ind w:firstLine="420" w:firstLineChars="200"/>
        <w:rPr>
          <w:rFonts w:hint="eastAsia" w:asciiTheme="minorEastAsia" w:hAnsiTheme="minorEastAsia" w:cstheme="minorEastAsia"/>
          <w:sz w:val="30"/>
          <w:szCs w:val="30"/>
          <w:highlight w:val="none"/>
          <w:lang w:val="en-US" w:eastAsia="zh-CN"/>
        </w:rPr>
      </w:pPr>
      <w:r>
        <w:drawing>
          <wp:inline distT="0" distB="0" distL="114300" distR="114300">
            <wp:extent cx="8707120" cy="4978400"/>
            <wp:effectExtent l="0" t="0" r="12700" b="17780"/>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pic:cNvPicPr>
                      <a:picLocks noChangeAspect="1"/>
                    </pic:cNvPicPr>
                  </pic:nvPicPr>
                  <pic:blipFill>
                    <a:blip r:embed="rId11"/>
                    <a:stretch>
                      <a:fillRect/>
                    </a:stretch>
                  </pic:blipFill>
                  <pic:spPr>
                    <a:xfrm rot="16200000">
                      <a:off x="0" y="0"/>
                      <a:ext cx="8707120" cy="4978400"/>
                    </a:xfrm>
                    <a:prstGeom prst="rect">
                      <a:avLst/>
                    </a:prstGeom>
                    <a:noFill/>
                    <a:ln>
                      <a:noFill/>
                    </a:ln>
                  </pic:spPr>
                </pic:pic>
              </a:graphicData>
            </a:graphic>
          </wp:inline>
        </w:drawing>
      </w:r>
    </w:p>
    <w:p w14:paraId="0F254F2A">
      <w:pPr>
        <w:numPr>
          <w:ilvl w:val="0"/>
          <w:numId w:val="0"/>
        </w:numPr>
        <w:ind w:firstLine="420" w:firstLineChars="200"/>
        <w:rPr>
          <w:rFonts w:hint="eastAsia" w:asciiTheme="minorEastAsia" w:hAnsiTheme="minorEastAsia" w:cstheme="minorEastAsia"/>
          <w:sz w:val="30"/>
          <w:szCs w:val="30"/>
          <w:highlight w:val="none"/>
          <w:lang w:val="en-US" w:eastAsia="zh-CN"/>
        </w:rPr>
      </w:pPr>
      <w:r>
        <w:drawing>
          <wp:inline distT="0" distB="0" distL="114300" distR="114300">
            <wp:extent cx="8082915" cy="5261610"/>
            <wp:effectExtent l="0" t="0" r="15240" b="13335"/>
            <wp:docPr id="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5"/>
                    <pic:cNvPicPr>
                      <a:picLocks noChangeAspect="1"/>
                    </pic:cNvPicPr>
                  </pic:nvPicPr>
                  <pic:blipFill>
                    <a:blip r:embed="rId12"/>
                    <a:stretch>
                      <a:fillRect/>
                    </a:stretch>
                  </pic:blipFill>
                  <pic:spPr>
                    <a:xfrm rot="16200000">
                      <a:off x="0" y="0"/>
                      <a:ext cx="8082915" cy="5261610"/>
                    </a:xfrm>
                    <a:prstGeom prst="rect">
                      <a:avLst/>
                    </a:prstGeom>
                    <a:noFill/>
                    <a:ln>
                      <a:noFill/>
                    </a:ln>
                  </pic:spPr>
                </pic:pic>
              </a:graphicData>
            </a:graphic>
          </wp:inline>
        </w:drawing>
      </w:r>
    </w:p>
    <w:p w14:paraId="02063800">
      <w:pPr>
        <w:numPr>
          <w:ilvl w:val="0"/>
          <w:numId w:val="0"/>
        </w:numPr>
        <w:ind w:firstLine="600" w:firstLineChars="200"/>
        <w:rPr>
          <w:rFonts w:hint="eastAsia" w:asciiTheme="minorEastAsia" w:hAnsiTheme="minorEastAsia" w:cstheme="minorEastAsia"/>
          <w:sz w:val="30"/>
          <w:szCs w:val="30"/>
          <w:highlight w:val="none"/>
          <w:lang w:val="en-US" w:eastAsia="zh-CN"/>
        </w:rPr>
      </w:pPr>
    </w:p>
    <w:p w14:paraId="446F133B">
      <w:pPr>
        <w:numPr>
          <w:ilvl w:val="0"/>
          <w:numId w:val="0"/>
        </w:numPr>
        <w:ind w:firstLine="420" w:firstLineChars="200"/>
        <w:rPr>
          <w:rFonts w:hint="eastAsia" w:asciiTheme="minorEastAsia" w:hAnsiTheme="minorEastAsia" w:cstheme="minorEastAsia"/>
          <w:sz w:val="30"/>
          <w:szCs w:val="30"/>
          <w:highlight w:val="none"/>
          <w:lang w:val="en-US" w:eastAsia="zh-CN"/>
        </w:rPr>
      </w:pPr>
      <w:r>
        <w:drawing>
          <wp:inline distT="0" distB="0" distL="114300" distR="114300">
            <wp:extent cx="8288655" cy="5245100"/>
            <wp:effectExtent l="0" t="0" r="12700" b="17145"/>
            <wp:docPr id="1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6"/>
                    <pic:cNvPicPr>
                      <a:picLocks noChangeAspect="1"/>
                    </pic:cNvPicPr>
                  </pic:nvPicPr>
                  <pic:blipFill>
                    <a:blip r:embed="rId13"/>
                    <a:stretch>
                      <a:fillRect/>
                    </a:stretch>
                  </pic:blipFill>
                  <pic:spPr>
                    <a:xfrm rot="16200000">
                      <a:off x="0" y="0"/>
                      <a:ext cx="8288655" cy="5245100"/>
                    </a:xfrm>
                    <a:prstGeom prst="rect">
                      <a:avLst/>
                    </a:prstGeom>
                    <a:noFill/>
                    <a:ln>
                      <a:noFill/>
                    </a:ln>
                  </pic:spPr>
                </pic:pic>
              </a:graphicData>
            </a:graphic>
          </wp:inline>
        </w:drawing>
      </w:r>
    </w:p>
    <w:p w14:paraId="3BBA6D91">
      <w:pPr>
        <w:numPr>
          <w:ilvl w:val="0"/>
          <w:numId w:val="0"/>
        </w:numPr>
        <w:rPr>
          <w:rFonts w:hint="default" w:asciiTheme="minorEastAsia" w:hAnsiTheme="minorEastAsia" w:cstheme="minorEastAsia"/>
          <w:sz w:val="30"/>
          <w:szCs w:val="30"/>
          <w:highlight w:val="none"/>
          <w:lang w:val="en-US" w:eastAsia="zh-CN"/>
        </w:rPr>
      </w:pPr>
    </w:p>
    <w:p w14:paraId="6EFD63EA">
      <w:pPr>
        <w:numPr>
          <w:ilvl w:val="0"/>
          <w:numId w:val="0"/>
        </w:numPr>
        <w:rPr>
          <w:rFonts w:hint="eastAsia"/>
          <w:b/>
          <w:bCs/>
          <w:sz w:val="28"/>
          <w:szCs w:val="36"/>
          <w:lang w:val="en-US" w:eastAsia="zh-CN"/>
        </w:rPr>
      </w:pPr>
      <w:r>
        <w:rPr>
          <w:rFonts w:hint="eastAsia"/>
          <w:b/>
          <w:bCs/>
          <w:sz w:val="28"/>
          <w:szCs w:val="36"/>
          <w:lang w:val="en-US" w:eastAsia="zh-CN"/>
        </w:rPr>
        <w:t>附图：临时拆迁车道图纸</w:t>
      </w:r>
    </w:p>
    <w:p w14:paraId="64853948">
      <w:pPr>
        <w:numPr>
          <w:ilvl w:val="0"/>
          <w:numId w:val="0"/>
        </w:numPr>
        <w:rPr>
          <w:rFonts w:hint="default"/>
          <w:b/>
          <w:bCs/>
          <w:sz w:val="28"/>
          <w:szCs w:val="36"/>
          <w:lang w:val="en-US" w:eastAsia="zh-CN"/>
        </w:rPr>
      </w:pPr>
      <w:r>
        <w:drawing>
          <wp:inline distT="0" distB="0" distL="114300" distR="114300">
            <wp:extent cx="7733665" cy="5463540"/>
            <wp:effectExtent l="0" t="0" r="3810" b="635"/>
            <wp:docPr id="1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7"/>
                    <pic:cNvPicPr>
                      <a:picLocks noChangeAspect="1"/>
                    </pic:cNvPicPr>
                  </pic:nvPicPr>
                  <pic:blipFill>
                    <a:blip r:embed="rId14"/>
                    <a:stretch>
                      <a:fillRect/>
                    </a:stretch>
                  </pic:blipFill>
                  <pic:spPr>
                    <a:xfrm rot="16200000">
                      <a:off x="0" y="0"/>
                      <a:ext cx="7733665" cy="5463540"/>
                    </a:xfrm>
                    <a:prstGeom prst="rect">
                      <a:avLst/>
                    </a:prstGeom>
                    <a:noFill/>
                    <a:ln>
                      <a:noFill/>
                    </a:ln>
                  </pic:spPr>
                </pic:pic>
              </a:graphicData>
            </a:graphic>
          </wp:inline>
        </w:drawing>
      </w:r>
    </w:p>
    <w:p w14:paraId="42340A9F">
      <w:pPr>
        <w:numPr>
          <w:ilvl w:val="0"/>
          <w:numId w:val="0"/>
        </w:numPr>
        <w:rPr>
          <w:rFonts w:hint="eastAsia"/>
          <w:b/>
          <w:bCs/>
          <w:sz w:val="28"/>
          <w:szCs w:val="36"/>
          <w:lang w:val="en-US" w:eastAsia="zh-CN"/>
        </w:rPr>
      </w:pPr>
    </w:p>
    <w:p w14:paraId="4CFB4B90">
      <w:pPr>
        <w:numPr>
          <w:ilvl w:val="0"/>
          <w:numId w:val="0"/>
        </w:numPr>
        <w:rPr>
          <w:rFonts w:hint="default"/>
          <w:b/>
          <w:bCs/>
          <w:sz w:val="28"/>
          <w:szCs w:val="36"/>
          <w:lang w:val="en-US" w:eastAsia="zh-CN"/>
        </w:rPr>
      </w:pPr>
      <w:r>
        <w:rPr>
          <w:rFonts w:hint="eastAsia"/>
          <w:b/>
          <w:bCs/>
          <w:sz w:val="28"/>
          <w:szCs w:val="36"/>
          <w:lang w:val="en-US" w:eastAsia="zh-CN"/>
        </w:rPr>
        <w:t>四、安全防护与环境保护措施</w:t>
      </w:r>
    </w:p>
    <w:p w14:paraId="68CB05BE">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安全防护：</w:t>
      </w:r>
    </w:p>
    <w:p w14:paraId="3B2C0A3F">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外围搭设全封闭硬质防护脚手架，满挂密目安全网，底部设踢脚板，防止物体飞出。</w:t>
      </w:r>
    </w:p>
    <w:p w14:paraId="33D4BB95">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设置安全警示区和警戒线，专人看守。</w:t>
      </w:r>
    </w:p>
    <w:p w14:paraId="7AB6F7F0">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施工人员必须佩戴齐全安全防护用品</w:t>
      </w:r>
      <w:r>
        <w:rPr>
          <w:rFonts w:hint="eastAsia" w:asciiTheme="minorEastAsia" w:hAnsiTheme="minorEastAsia" w:eastAsiaTheme="minorEastAsia" w:cstheme="minorEastAsia"/>
          <w:sz w:val="30"/>
          <w:szCs w:val="30"/>
          <w:highlight w:val="none"/>
          <w:lang w:val="en-US" w:eastAsia="zh-CN"/>
        </w:rPr>
        <w:t>，高空作业时必须佩戴安全带</w:t>
      </w:r>
      <w:r>
        <w:rPr>
          <w:rFonts w:hint="default" w:asciiTheme="minorEastAsia" w:hAnsiTheme="minorEastAsia" w:eastAsiaTheme="minorEastAsia" w:cstheme="minorEastAsia"/>
          <w:sz w:val="30"/>
          <w:szCs w:val="30"/>
          <w:highlight w:val="none"/>
          <w:lang w:val="en-US" w:eastAsia="zh-CN"/>
        </w:rPr>
        <w:t>。</w:t>
      </w:r>
    </w:p>
    <w:p w14:paraId="2E5B4D40">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临时用电、高空作业等必须符合安全规范。</w:t>
      </w:r>
    </w:p>
    <w:p w14:paraId="48FC29B0">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环境保护：</w:t>
      </w:r>
    </w:p>
    <w:p w14:paraId="5857FB2C">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采用湿法作业，拆除时喷水降尘。</w:t>
      </w:r>
    </w:p>
    <w:p w14:paraId="482BF3C7">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建筑垃圾袋装化，通过密闭通道或垂直运输设备清运，严禁抛掷。</w:t>
      </w:r>
    </w:p>
    <w:p w14:paraId="3877FD29">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合理安排施工时间，减少噪音扰民。</w:t>
      </w:r>
    </w:p>
    <w:p w14:paraId="710963F2">
      <w:pPr>
        <w:numPr>
          <w:ilvl w:val="0"/>
          <w:numId w:val="0"/>
        </w:numPr>
        <w:rPr>
          <w:rFonts w:hint="default"/>
          <w:b/>
          <w:bCs/>
          <w:sz w:val="28"/>
          <w:szCs w:val="36"/>
          <w:lang w:val="en-US" w:eastAsia="zh-CN"/>
        </w:rPr>
      </w:pPr>
      <w:r>
        <w:rPr>
          <w:rFonts w:hint="eastAsia"/>
          <w:b/>
          <w:bCs/>
          <w:sz w:val="28"/>
          <w:szCs w:val="36"/>
          <w:lang w:val="en-US" w:eastAsia="zh-CN"/>
        </w:rPr>
        <w:t>五、应急预案</w:t>
      </w:r>
    </w:p>
    <w:p w14:paraId="7A0D5C07">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制定针对坍塌、火灾、高空坠落、物体打击等事故的应急预案。</w:t>
      </w:r>
    </w:p>
    <w:p w14:paraId="59AB9032">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明确应急组织、通讯联络、处置流程和撤离路线。</w:t>
      </w:r>
    </w:p>
    <w:p w14:paraId="1E2B9A96">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准备必要的应急器材。</w:t>
      </w:r>
    </w:p>
    <w:p w14:paraId="164FB870">
      <w:pPr>
        <w:numPr>
          <w:ilvl w:val="0"/>
          <w:numId w:val="0"/>
        </w:numPr>
        <w:rPr>
          <w:rFonts w:hint="default"/>
          <w:b/>
          <w:bCs/>
          <w:sz w:val="28"/>
          <w:szCs w:val="36"/>
          <w:highlight w:val="none"/>
          <w:lang w:val="en-US" w:eastAsia="zh-CN"/>
        </w:rPr>
      </w:pPr>
      <w:r>
        <w:rPr>
          <w:rFonts w:hint="eastAsia"/>
          <w:b/>
          <w:bCs/>
          <w:sz w:val="28"/>
          <w:szCs w:val="36"/>
          <w:highlight w:val="none"/>
          <w:lang w:val="en-US" w:eastAsia="zh-CN"/>
        </w:rPr>
        <w:t>六、水电改造</w:t>
      </w:r>
    </w:p>
    <w:p w14:paraId="619BD9BF">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6.1给排水专业</w:t>
      </w:r>
    </w:p>
    <w:p w14:paraId="4F150D19">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6.1.1遵循的规范及标准</w:t>
      </w:r>
    </w:p>
    <w:p w14:paraId="42B10F0A">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《室外给水设计标准》（GB50013-2018）；</w:t>
      </w:r>
    </w:p>
    <w:p w14:paraId="0B23DAC6">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《建筑给水排水设计标准》（GB50015-2019）；</w:t>
      </w:r>
    </w:p>
    <w:p w14:paraId="60E9E7EA">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《建筑设计防火规范》(GB50016-2014年版，2018年版)；</w:t>
      </w:r>
    </w:p>
    <w:p w14:paraId="07AEACC0">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《消防给水及消火栓系统技术规范》（GB50974-2014）；</w:t>
      </w:r>
    </w:p>
    <w:p w14:paraId="4F8BABFD">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《建筑机电工程抗震设计规范》GB50981-2014）。</w:t>
      </w:r>
    </w:p>
    <w:p w14:paraId="5B7E5147">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《建筑给水排水与节水通用规范》GB 55020-2021</w:t>
      </w:r>
    </w:p>
    <w:p w14:paraId="30E11A76">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《建筑与市政工程抗震通用规范》GB 55002-2021</w:t>
      </w:r>
    </w:p>
    <w:p w14:paraId="6B7DC316">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《老旧小区改造提升建设标准》DBJ50/T-376-2020</w:t>
      </w:r>
    </w:p>
    <w:p w14:paraId="0528F4C3">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w:t>
      </w:r>
      <w:r>
        <w:rPr>
          <w:rFonts w:hint="eastAsia" w:asciiTheme="minorEastAsia" w:hAnsiTheme="minorEastAsia" w:eastAsiaTheme="minorEastAsia" w:cstheme="minorEastAsia"/>
          <w:sz w:val="30"/>
          <w:szCs w:val="30"/>
          <w:highlight w:val="none"/>
          <w:lang w:val="en-US" w:eastAsia="zh-CN"/>
        </w:rPr>
        <w:fldChar w:fldCharType="begin"/>
      </w:r>
      <w:r>
        <w:rPr>
          <w:rFonts w:hint="eastAsia" w:asciiTheme="minorEastAsia" w:hAnsiTheme="minorEastAsia" w:eastAsiaTheme="minorEastAsia" w:cstheme="minorEastAsia"/>
          <w:sz w:val="30"/>
          <w:szCs w:val="30"/>
          <w:highlight w:val="none"/>
          <w:lang w:val="en-US" w:eastAsia="zh-CN"/>
        </w:rPr>
        <w:instrText xml:space="preserve"> HYPERLINK "https://www.so.com/link?m=wEClshht9xfE67wqkhXLxKp0WxNm/dv9fILYoVNpH3rL5b/KBBOtsqvlmEFFJGEufiof/Mfy7h0jauYcdDpRgg/GLEkkMxEfjqS5OQtv4Wpi9PDbwTYigP+ST0fdJ9LwZuPnhKS9HRYARzH7SXrzBoTBbilGGh0dJBv0TNmA2MaTbGpaDBu6QiBesa+GGSINzHzxY3h54dPfE2PKa7vnKLkCwcxS+cyct6lxoKijlu0tt0ESFjnjAqIvjHDGNQNYC1OHW0pDYuM949RKJ0hZs+QqdFnlAIueEl+6u0gIf3qFG9NMV67rFCA==" \t "https://www.so.com/_blank" </w:instrText>
      </w:r>
      <w:r>
        <w:rPr>
          <w:rFonts w:hint="eastAsia" w:asciiTheme="minorEastAsia" w:hAnsiTheme="minorEastAsia" w:eastAsiaTheme="minorEastAsia" w:cstheme="minorEastAsia"/>
          <w:sz w:val="30"/>
          <w:szCs w:val="30"/>
          <w:highlight w:val="none"/>
          <w:lang w:val="en-US" w:eastAsia="zh-CN"/>
        </w:rPr>
        <w:fldChar w:fldCharType="separate"/>
      </w:r>
      <w:r>
        <w:rPr>
          <w:rFonts w:hint="eastAsia" w:asciiTheme="minorEastAsia" w:hAnsiTheme="minorEastAsia" w:eastAsiaTheme="minorEastAsia" w:cstheme="minorEastAsia"/>
          <w:sz w:val="30"/>
          <w:szCs w:val="30"/>
          <w:highlight w:val="none"/>
          <w:lang w:val="en-US" w:eastAsia="zh-CN"/>
        </w:rPr>
        <w:t>既有建筑维护与改造通用规范》GB55022-2021</w:t>
      </w:r>
      <w:r>
        <w:rPr>
          <w:rFonts w:hint="eastAsia" w:asciiTheme="minorEastAsia" w:hAnsiTheme="minorEastAsia" w:eastAsiaTheme="minorEastAsia" w:cstheme="minorEastAsia"/>
          <w:sz w:val="30"/>
          <w:szCs w:val="30"/>
          <w:highlight w:val="none"/>
          <w:lang w:val="en-US" w:eastAsia="zh-CN"/>
        </w:rPr>
        <w:fldChar w:fldCharType="end"/>
      </w:r>
    </w:p>
    <w:p w14:paraId="27E84AEC">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w:t>
      </w:r>
      <w:r>
        <w:rPr>
          <w:rFonts w:hint="eastAsia" w:asciiTheme="minorEastAsia" w:hAnsiTheme="minorEastAsia" w:eastAsiaTheme="minorEastAsia" w:cstheme="minorEastAsia"/>
          <w:sz w:val="30"/>
          <w:szCs w:val="30"/>
          <w:highlight w:val="none"/>
          <w:lang w:val="en-US" w:eastAsia="zh-CN"/>
        </w:rPr>
        <w:fldChar w:fldCharType="begin"/>
      </w:r>
      <w:r>
        <w:rPr>
          <w:rFonts w:hint="eastAsia" w:asciiTheme="minorEastAsia" w:hAnsiTheme="minorEastAsia" w:eastAsiaTheme="minorEastAsia" w:cstheme="minorEastAsia"/>
          <w:sz w:val="30"/>
          <w:szCs w:val="30"/>
          <w:highlight w:val="none"/>
          <w:lang w:val="en-US" w:eastAsia="zh-CN"/>
        </w:rPr>
        <w:instrText xml:space="preserve"> HYPERLINK "https://www.so.com/link?m=zrDEZz7oE/tNpo2YqLj83EWCtisAovRnpEsYSAlSsZy0o24damNT8hyOeDr67Rini93drsvtZz4PfXMpPVzzryBRijohuu24zxxsRY9DRGli6QU9wFqU1rBbgBQCZmkIwugAkVZxrMlIzREQiy/yBZWI5O/BK8BpABJ9GL6/IUyJ/gtq1MePGwGGNQ4VhcOL8uIznW02cLUJjtsHqNs6XOklvweTsi37xbKZ2qU4sa3U8eG17lsR5Sk47fjtvmLuM" \t "https://www.so.com/_blank" </w:instrText>
      </w:r>
      <w:r>
        <w:rPr>
          <w:rFonts w:hint="eastAsia" w:asciiTheme="minorEastAsia" w:hAnsiTheme="minorEastAsia" w:eastAsiaTheme="minorEastAsia" w:cstheme="minorEastAsia"/>
          <w:sz w:val="30"/>
          <w:szCs w:val="30"/>
          <w:highlight w:val="none"/>
          <w:lang w:val="en-US" w:eastAsia="zh-CN"/>
        </w:rPr>
        <w:fldChar w:fldCharType="separate"/>
      </w:r>
      <w:r>
        <w:rPr>
          <w:rFonts w:hint="eastAsia" w:asciiTheme="minorEastAsia" w:hAnsiTheme="minorEastAsia" w:eastAsiaTheme="minorEastAsia" w:cstheme="minorEastAsia"/>
          <w:sz w:val="30"/>
          <w:szCs w:val="30"/>
          <w:highlight w:val="none"/>
          <w:lang w:val="en-US" w:eastAsia="zh-CN"/>
        </w:rPr>
        <w:t>消防设施通用规范》GB55036-2022</w:t>
      </w:r>
      <w:r>
        <w:rPr>
          <w:rFonts w:hint="eastAsia" w:asciiTheme="minorEastAsia" w:hAnsiTheme="minorEastAsia" w:eastAsiaTheme="minorEastAsia" w:cstheme="minorEastAsia"/>
          <w:sz w:val="30"/>
          <w:szCs w:val="30"/>
          <w:highlight w:val="none"/>
          <w:lang w:val="en-US" w:eastAsia="zh-CN"/>
        </w:rPr>
        <w:fldChar w:fldCharType="end"/>
      </w:r>
    </w:p>
    <w:p w14:paraId="61499727">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w:t>
      </w:r>
      <w:r>
        <w:rPr>
          <w:rFonts w:hint="eastAsia" w:asciiTheme="minorEastAsia" w:hAnsiTheme="minorEastAsia" w:eastAsiaTheme="minorEastAsia" w:cstheme="minorEastAsia"/>
          <w:sz w:val="30"/>
          <w:szCs w:val="30"/>
          <w:highlight w:val="none"/>
          <w:lang w:val="en-US" w:eastAsia="zh-CN"/>
        </w:rPr>
        <w:fldChar w:fldCharType="begin"/>
      </w:r>
      <w:r>
        <w:rPr>
          <w:rFonts w:hint="eastAsia" w:asciiTheme="minorEastAsia" w:hAnsiTheme="minorEastAsia" w:eastAsiaTheme="minorEastAsia" w:cstheme="minorEastAsia"/>
          <w:sz w:val="30"/>
          <w:szCs w:val="30"/>
          <w:highlight w:val="none"/>
          <w:lang w:val="en-US" w:eastAsia="zh-CN"/>
        </w:rPr>
        <w:instrText xml:space="preserve"> HYPERLINK "https://www.so.com/link?m=zrDEZz7oE/tNpo2YqLj83EWCtisAovRnpEsYSAlSsZy0o24damNT8hyOeDr67Rini93drsvtZz4PfXMpPVzzryBRijohuu24zxxsRY9DRGli6QU9wFqU1rBbgBQCZmkIwugAkVZxrMlIzREQiy/yBZWI5O/BK8BpABJ9GL6/IUyJ/gtq1MePGwGGNQ4VhcOL8uIznW02cLUJjtsHqNs6XOklvweTsi37xbKZ2qU4sa3U8eG17lsR5Sk47fjtvmLuM" \t "https://www.so.com/_blank" </w:instrText>
      </w:r>
      <w:r>
        <w:rPr>
          <w:rFonts w:hint="eastAsia" w:asciiTheme="minorEastAsia" w:hAnsiTheme="minorEastAsia" w:eastAsiaTheme="minorEastAsia" w:cstheme="minorEastAsia"/>
          <w:sz w:val="30"/>
          <w:szCs w:val="30"/>
          <w:highlight w:val="none"/>
          <w:lang w:val="en-US" w:eastAsia="zh-CN"/>
        </w:rPr>
        <w:fldChar w:fldCharType="separate"/>
      </w:r>
      <w:r>
        <w:rPr>
          <w:rFonts w:hint="eastAsia" w:asciiTheme="minorEastAsia" w:hAnsiTheme="minorEastAsia" w:eastAsiaTheme="minorEastAsia" w:cstheme="minorEastAsia"/>
          <w:sz w:val="30"/>
          <w:szCs w:val="30"/>
          <w:highlight w:val="none"/>
          <w:lang w:val="en-US" w:eastAsia="zh-CN"/>
        </w:rPr>
        <w:t>建筑防火通用规范》GB55037-2022</w:t>
      </w:r>
      <w:r>
        <w:rPr>
          <w:rFonts w:hint="eastAsia" w:asciiTheme="minorEastAsia" w:hAnsiTheme="minorEastAsia" w:eastAsiaTheme="minorEastAsia" w:cstheme="minorEastAsia"/>
          <w:sz w:val="30"/>
          <w:szCs w:val="30"/>
          <w:highlight w:val="none"/>
          <w:lang w:val="en-US" w:eastAsia="zh-CN"/>
        </w:rPr>
        <w:fldChar w:fldCharType="end"/>
      </w:r>
    </w:p>
    <w:p w14:paraId="1239A073">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《关于实施&lt;危险性较大的分部分项工程安全管理规定&gt;有关问题的通知》（建办质〔2018〕31号）</w:t>
      </w:r>
    </w:p>
    <w:p w14:paraId="085001BE">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《重庆市建设领域禁止、限制使用落后技术通告（2024年版）》（重庆市住房和城乡建设委员会 2024.12.30）</w:t>
      </w:r>
    </w:p>
    <w:p w14:paraId="5C88785E">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《重庆市全面推进城镇老旧小区改造和社区服务提升专项行动方案》（渝城办〔2020〕14号）</w:t>
      </w:r>
    </w:p>
    <w:p w14:paraId="46E2CEDD">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《国务院办公厅关于全面推进城镇老旧小区改造工作的指导意见》国办发[2020]23号</w:t>
      </w:r>
    </w:p>
    <w:p w14:paraId="21DC7918">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fldChar w:fldCharType="begin"/>
      </w:r>
      <w:r>
        <w:rPr>
          <w:rFonts w:hint="eastAsia" w:asciiTheme="minorEastAsia" w:hAnsiTheme="minorEastAsia" w:eastAsiaTheme="minorEastAsia" w:cstheme="minorEastAsia"/>
          <w:sz w:val="30"/>
          <w:szCs w:val="30"/>
          <w:highlight w:val="none"/>
          <w:lang w:val="en-US" w:eastAsia="zh-CN"/>
        </w:rPr>
        <w:instrText xml:space="preserve"> HYPERLINK "javascript:void(0)" </w:instrText>
      </w:r>
      <w:r>
        <w:rPr>
          <w:rFonts w:hint="eastAsia" w:asciiTheme="minorEastAsia" w:hAnsiTheme="minorEastAsia" w:eastAsiaTheme="minorEastAsia" w:cstheme="minorEastAsia"/>
          <w:sz w:val="30"/>
          <w:szCs w:val="30"/>
          <w:highlight w:val="none"/>
          <w:lang w:val="en-US" w:eastAsia="zh-CN"/>
        </w:rPr>
        <w:fldChar w:fldCharType="separate"/>
      </w:r>
      <w:r>
        <w:rPr>
          <w:rFonts w:hint="eastAsia" w:asciiTheme="minorEastAsia" w:hAnsiTheme="minorEastAsia" w:eastAsiaTheme="minorEastAsia" w:cstheme="minorEastAsia"/>
          <w:sz w:val="30"/>
          <w:szCs w:val="30"/>
          <w:highlight w:val="none"/>
          <w:lang w:val="en-US" w:eastAsia="zh-CN"/>
        </w:rPr>
        <w:t>《重庆市城镇老旧小区改造提升工程设计文件编制深度规定</w:t>
      </w:r>
      <w:r>
        <w:rPr>
          <w:rFonts w:hint="eastAsia" w:asciiTheme="minorEastAsia" w:hAnsiTheme="minorEastAsia" w:cstheme="minorEastAsia"/>
          <w:sz w:val="30"/>
          <w:szCs w:val="30"/>
          <w:highlight w:val="none"/>
          <w:lang w:val="en-US" w:eastAsia="zh-CN"/>
        </w:rPr>
        <w:t>（试行）》</w:t>
      </w:r>
      <w:r>
        <w:rPr>
          <w:rFonts w:hint="eastAsia" w:asciiTheme="minorEastAsia" w:hAnsiTheme="minorEastAsia" w:eastAsiaTheme="minorEastAsia" w:cstheme="minorEastAsia"/>
          <w:sz w:val="30"/>
          <w:szCs w:val="30"/>
          <w:highlight w:val="none"/>
          <w:lang w:val="en-US" w:eastAsia="zh-CN"/>
        </w:rPr>
        <w:fldChar w:fldCharType="end"/>
      </w:r>
      <w:r>
        <w:rPr>
          <w:rFonts w:hint="eastAsia" w:asciiTheme="minorEastAsia" w:hAnsiTheme="minorEastAsia" w:eastAsiaTheme="minorEastAsia" w:cstheme="minorEastAsia"/>
          <w:sz w:val="30"/>
          <w:szCs w:val="30"/>
          <w:highlight w:val="none"/>
          <w:lang w:val="en-US" w:eastAsia="zh-CN"/>
        </w:rPr>
        <w:t>渝建勘设〔2020〕73号</w:t>
      </w:r>
    </w:p>
    <w:p w14:paraId="414CC8FE">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《重庆市城镇老旧小区改造和社区服务提升项目管理办法（试行）》渝城办〔2020〕25 号</w:t>
      </w:r>
    </w:p>
    <w:p w14:paraId="477057D5">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《重庆市建筑工程施工图设计文件编制技术规定（2024年版）》重庆市住房和城乡建设委员会2023.12</w:t>
      </w:r>
    </w:p>
    <w:p w14:paraId="56C6E58F">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《重庆市建筑工程施工图设计文件技术审查要点（2024年版）》重庆市住房和城乡建设委员会2023.12</w:t>
      </w:r>
    </w:p>
    <w:p w14:paraId="06487168">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6.1.2设计资料</w:t>
      </w:r>
    </w:p>
    <w:p w14:paraId="2E700425">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建设单位提供的本工程有关资料和设计任务书；</w:t>
      </w:r>
    </w:p>
    <w:p w14:paraId="46E8E859">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建设单位提供的红线内1：500实测地形管线图。</w:t>
      </w:r>
    </w:p>
    <w:p w14:paraId="7908DF74">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6.1.3设计原则</w:t>
      </w:r>
    </w:p>
    <w:p w14:paraId="76D0D0D3">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原建筑室内给水系统破损老旧，出现漏水等状况。本次将其原系统修复。</w:t>
      </w:r>
    </w:p>
    <w:p w14:paraId="5FE3F056">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6.1.4给水系统</w:t>
      </w:r>
    </w:p>
    <w:p w14:paraId="24869F55">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6.1.4.1水源：本工程水源为城市自来水，供水压力为0.25MP。原建筑设置有室内给水系统，因年代老旧，本次将其原系统修复。室内给水系统接室外已建给水系统。</w:t>
      </w:r>
    </w:p>
    <w:p w14:paraId="242BF00B">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6.1.4.2卫生器具和用水设备等的生活饮用水管配水件出水口应符合下列规定：</w:t>
      </w:r>
    </w:p>
    <w:p w14:paraId="5B9BDF53">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出水口不得被任何液体或杂质所淹没；</w:t>
      </w:r>
    </w:p>
    <w:p w14:paraId="38AE866A">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出水口高出承接用水容器溢流边缘的最小空气间隙，不得小于出水口直径的2．5倍。</w:t>
      </w:r>
    </w:p>
    <w:p w14:paraId="56BC720B">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6.1.4.3水质保障措施：</w:t>
      </w:r>
    </w:p>
    <w:p w14:paraId="1DD58BDF">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生活给水水质必须符合现行的规范《生活饮用水卫生标准》（GB5749-2022）对水质的相关要求。</w:t>
      </w:r>
    </w:p>
    <w:p w14:paraId="39DD981F">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严禁生活饮用水管道与大便器（槽）、小便斗（槽）采用非专用冲洗阀直接连接冲洗。</w:t>
      </w:r>
    </w:p>
    <w:p w14:paraId="56DB9212">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生活饮用水不得因管道产生虹吸、背压回流而受污染。</w:t>
      </w:r>
    </w:p>
    <w:p w14:paraId="091EF174">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在非饮用水管道上接出水嘴或取水短管时，应采取防止误饮误用的措施。</w:t>
      </w:r>
    </w:p>
    <w:p w14:paraId="75E640F8">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本项目所有水表采用远传计量水表，具有信息采集，数据处理，储存及上传等功能。</w:t>
      </w:r>
    </w:p>
    <w:p w14:paraId="55EEF7FC">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6.1.5给水系统</w:t>
      </w:r>
    </w:p>
    <w:p w14:paraId="27F4A5C7">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6.1.5.1给水管材</w:t>
      </w:r>
    </w:p>
    <w:p w14:paraId="4AC4583F">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冷水管：干管立管采用钢塑复合管，热熔连接；支采用PP-R管材执行CJ/T183-2008行业标准；管件执行CJ/T237-2006行业标准。管材、管道附件及设备等供水设施的选取和运用不应对供水造成二次污染。各种管道采用与该类管材相应的配件及接头。给水塑料管的管件壁厚不得小于相应管材的壁厚，管材与管件的承插粘接面必须表面平整，尺寸准确，以保证接口的密封性能。</w:t>
      </w:r>
    </w:p>
    <w:p w14:paraId="5C352760">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6.1.5.2管道布置和敷设</w:t>
      </w:r>
    </w:p>
    <w:p w14:paraId="20E2E582">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室内埋地给水管管顶覆土不小于150mm，并同时满足相关技术规程的要求。埋深不足时应通知设计院处理。</w:t>
      </w:r>
    </w:p>
    <w:p w14:paraId="668474CE">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当给水管道穿越伸缩缝、沉降缝和抗震缝时，应采用可曲绕橡胶接头或金属波纹管连接上述缝隙两边管道。</w:t>
      </w:r>
    </w:p>
    <w:p w14:paraId="7382091C">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管道穿过内墙或楼板时，应设置套管；套管与管道间的缝隙，应采用防火材料封堵。管道缝隙封堵按GB/ T 51410-2020 《建筑防火封堵应用技术标准》、现场施工按GB 50720-2011《建设工程施工现场消防安全技术规范》 有关要求执行。管道穿过地下室或地下构筑物及水池时应采用刚性防水套管，对有严格防水要求的，应采用柔性防水套管。防水套管详02S404。</w:t>
      </w:r>
    </w:p>
    <w:p w14:paraId="13097288">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管道穿出屋面及室外地沟顶板时，应做防雨装置，详国标01R409。</w:t>
      </w:r>
    </w:p>
    <w:p w14:paraId="7F87D73B">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严禁生活饮用水管道与大便器（槽）、小便器（槽）采用非专用冲洗阀直接连接冲洗。</w:t>
      </w:r>
    </w:p>
    <w:p w14:paraId="09C27B02">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6.1.5.3管道支架及吊架安装：</w:t>
      </w:r>
    </w:p>
    <w:p w14:paraId="1E622704">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管道支架吊架作法详03S402,03S401图集及所选管材的管道技术规程，根据管道单位长度重量选择相适应的管道支架吊架。支架吊架最大跨距应符合《建筑给水排水及采暖工程施工质量验收规范》及相关管道技术规程的规定。</w:t>
      </w:r>
    </w:p>
    <w:p w14:paraId="75BC1618">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管道活动支、吊、托架的位置设置，由安装单位在确定牢固可靠的原则下根据现场情况确定。</w:t>
      </w:r>
    </w:p>
    <w:p w14:paraId="3F4606A8">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管道的支、吊、托架必须设置在保温层的外部，在穿过支、吊、托架处，应镶与保温厚度相同的垫木。</w:t>
      </w:r>
    </w:p>
    <w:p w14:paraId="07C24C75">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管道的支、吊、托架一般固定于梁、柱、墙上及楼板下。位于管井的管道支架固定于井壁上，安装时应确保支、吊、托架的位置正确，牢固可靠。</w:t>
      </w:r>
    </w:p>
    <w:p w14:paraId="20D8AFAE">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管道重型附件旁应设置支、吊、托架，三通处亦尽量设支吊架。</w:t>
      </w:r>
    </w:p>
    <w:p w14:paraId="24134AD0">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管道焊缝，接头距支托架距离不小于100mm，法兰盘距支吊架距离不小于200mm。</w:t>
      </w:r>
    </w:p>
    <w:p w14:paraId="3D03BB99">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弹簧支吊托架的弹簧压缩度应按设计要求进行调整，弹簧的临时固定件应待系统安装、试压，保温完毕后方可拆除。</w:t>
      </w:r>
    </w:p>
    <w:p w14:paraId="52F2E63A">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活动支架的活动部分均应裸露，不得被水泥及保温材料敷盖。</w:t>
      </w:r>
    </w:p>
    <w:p w14:paraId="39A8EF02">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调整管道标高时，可在管道支坐底部加金属垫片，并与支架焊牢，但不得将垫块垫在管道与支座之间。</w:t>
      </w:r>
    </w:p>
    <w:p w14:paraId="0595144D">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管道固定：吊装管采用吊架，靠墙可采用托架，泵房内应采用弹性支吊架；屋面管道每隔3m，及转弯分支处设混凝土支墩。</w:t>
      </w:r>
    </w:p>
    <w:p w14:paraId="7A049AEE">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6.1.5.3常用仪表及附件的安装</w:t>
      </w:r>
    </w:p>
    <w:p w14:paraId="338C80E0">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水表：水表安装在便于检修和读数，不受曝晒、冻结、污染和机械损伤的地方。螺翼式水表的上游侧应保证长度为8-10倍水表公称直径的直管段，其它类型的水表前后直管段的长度，不宜小于300mm，应符合产品规定的要求（详国标GB/T778.2-1996）。水表前宜设橡胶减震接头及过滤装置。</w:t>
      </w:r>
    </w:p>
    <w:p w14:paraId="2C636837">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压力表：在水泵出口及需要读取压力的管段上应设压力表，安装压力表应有存水弯管及旋塞。</w:t>
      </w:r>
    </w:p>
    <w:p w14:paraId="535C51C4">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阀门：所有阀门安装前应按设计核对其型号、规格、技术参数及产品合格证。阀门安装前应作耐压强度试验，强度试验压力为公称压力的1.5倍，恒压时间不小于10min，然后降至阀门公称压力进行严密性试验，如在5min内不渗漏即为合格，不合格阀门不准安装。</w:t>
      </w:r>
    </w:p>
    <w:p w14:paraId="4C3058E8">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阀门安装:阀门安装位置除设计注明外，一般安装在维修、检查和操作方便的地方。阀门应在关闭状态下安装，并应根据管内介质流向确定安装方向。埋地管道阀门应设阀门井。</w:t>
      </w:r>
    </w:p>
    <w:p w14:paraId="084AF59A">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阀门的选用：除设计注明外，管径DN≤50时采用铜质截止阀，DN＞50和DN≤150之间者采用手柄蝶阀，DN＞150者采用涡轮蝶阀。泵房内水泵的进出水水管上均安装闸阀而不得安装蝶阀。阀门的工作压力应不小于系统最高工作压力,一般不小1.6MPa。</w:t>
      </w:r>
    </w:p>
    <w:p w14:paraId="20D42F76">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减压阀：根据产品要求，减压阀即可水平安装，也可垂直安装。减压阀进口端应装14目/cm2的不锈钢丝网Y型过滤器，减压阀前后应安装压力表和蝶阀。安装时应注意减压阀的水流方向。</w:t>
      </w:r>
    </w:p>
    <w:p w14:paraId="34BEA344">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卫生设备：卫生洁具及其配件均应采用符合国家标准的节水型产品，</w:t>
      </w:r>
    </w:p>
    <w:p w14:paraId="4C57DE64">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6.1.5.4压力试验</w:t>
      </w:r>
    </w:p>
    <w:p w14:paraId="248FC5E8">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管道试验：给水管道安装完毕后，应对管道系统进行强度和严密性水压试验。各种材质给水管道系统的试验压力为工作压力的1.5倍，但不得小于0.9MPa。严密性试验应在强度试验合格后进行。试验方法应按《建筑给水排水及采暖工程施工质量验收规范》的有关规定进行，不得任意更改。</w:t>
      </w:r>
    </w:p>
    <w:p w14:paraId="6D7A9250">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6.1.5.5管道冲洗及其它</w:t>
      </w:r>
    </w:p>
    <w:p w14:paraId="7CE0CAFB">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给水管道在系统运行前须用水冲洗和消毒,要求以不小于1.5m/s的流速进行冲洗,并符合《建筑给水排水及采暖工程施工质量验收规范》中4.2.3条的规定。</w:t>
      </w:r>
    </w:p>
    <w:p w14:paraId="2AEC41ED">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雨水管和排水管冲洗以管道通畅为合格。</w:t>
      </w:r>
    </w:p>
    <w:p w14:paraId="40790389">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6.</w:t>
      </w:r>
      <w:r>
        <w:rPr>
          <w:rFonts w:hint="eastAsia" w:asciiTheme="minorEastAsia" w:hAnsiTheme="minorEastAsia" w:cstheme="minorEastAsia"/>
          <w:sz w:val="30"/>
          <w:szCs w:val="30"/>
          <w:highlight w:val="none"/>
          <w:lang w:val="en-US" w:eastAsia="zh-CN"/>
        </w:rPr>
        <w:t>1.6</w:t>
      </w:r>
      <w:r>
        <w:rPr>
          <w:rFonts w:hint="eastAsia" w:asciiTheme="minorEastAsia" w:hAnsiTheme="minorEastAsia" w:eastAsiaTheme="minorEastAsia" w:cstheme="minorEastAsia"/>
          <w:sz w:val="30"/>
          <w:szCs w:val="30"/>
          <w:highlight w:val="none"/>
          <w:lang w:val="en-US" w:eastAsia="zh-CN"/>
        </w:rPr>
        <w:t>主要工程量表</w:t>
      </w:r>
    </w:p>
    <w:tbl>
      <w:tblPr>
        <w:tblStyle w:val="1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92"/>
        <w:gridCol w:w="2494"/>
        <w:gridCol w:w="2860"/>
        <w:gridCol w:w="832"/>
        <w:gridCol w:w="622"/>
        <w:gridCol w:w="622"/>
      </w:tblGrid>
      <w:tr w14:paraId="67139F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1092" w:type="dxa"/>
            <w:vAlign w:val="center"/>
          </w:tcPr>
          <w:p w14:paraId="5F4BB93B">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sz w:val="24"/>
                <w:szCs w:val="24"/>
                <w:lang w:val="en-US"/>
                <w14:textFill>
                  <w14:solidFill>
                    <w14:schemeClr w14:val="tx1"/>
                  </w14:solidFill>
                </w14:textFill>
              </w:rPr>
            </w:pPr>
            <w:r>
              <w:rPr>
                <w:rFonts w:hint="eastAsia" w:ascii="宋体" w:hAnsi="宋体" w:eastAsia="宋体" w:cs="宋体"/>
                <w:b w:val="0"/>
                <w:bCs w:val="0"/>
                <w:color w:val="000000" w:themeColor="text1"/>
                <w:sz w:val="24"/>
                <w:szCs w:val="24"/>
                <w:lang w:val="en-US"/>
                <w14:textFill>
                  <w14:solidFill>
                    <w14:schemeClr w14:val="tx1"/>
                  </w14:solidFill>
                </w14:textFill>
              </w:rPr>
              <w:t>序号</w:t>
            </w:r>
          </w:p>
        </w:tc>
        <w:tc>
          <w:tcPr>
            <w:tcW w:w="2494" w:type="dxa"/>
            <w:vAlign w:val="center"/>
          </w:tcPr>
          <w:p w14:paraId="3E3D1C1C">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sz w:val="24"/>
                <w:szCs w:val="24"/>
                <w:lang w:val="en-US" w:eastAsia="zh-CN"/>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设备器材名称</w:t>
            </w:r>
          </w:p>
        </w:tc>
        <w:tc>
          <w:tcPr>
            <w:tcW w:w="2860" w:type="dxa"/>
            <w:vAlign w:val="center"/>
          </w:tcPr>
          <w:p w14:paraId="0EE3CA3E">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sz w:val="24"/>
                <w:szCs w:val="24"/>
                <w:lang w:val="en-US" w:eastAsia="zh-CN"/>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性能参数</w:t>
            </w:r>
          </w:p>
        </w:tc>
        <w:tc>
          <w:tcPr>
            <w:tcW w:w="832" w:type="dxa"/>
            <w:vAlign w:val="center"/>
          </w:tcPr>
          <w:p w14:paraId="3A3B1DC6">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sz w:val="24"/>
                <w:szCs w:val="24"/>
                <w:lang w:val="en-US"/>
                <w14:textFill>
                  <w14:solidFill>
                    <w14:schemeClr w14:val="tx1"/>
                  </w14:solidFill>
                </w14:textFill>
              </w:rPr>
            </w:pPr>
            <w:r>
              <w:rPr>
                <w:rFonts w:hint="eastAsia" w:ascii="宋体" w:hAnsi="宋体" w:eastAsia="宋体" w:cs="宋体"/>
                <w:b w:val="0"/>
                <w:bCs w:val="0"/>
                <w:color w:val="000000" w:themeColor="text1"/>
                <w:sz w:val="24"/>
                <w:szCs w:val="24"/>
                <w:lang w:val="en-US"/>
                <w14:textFill>
                  <w14:solidFill>
                    <w14:schemeClr w14:val="tx1"/>
                  </w14:solidFill>
                </w14:textFill>
              </w:rPr>
              <w:t>工程量</w:t>
            </w:r>
          </w:p>
        </w:tc>
        <w:tc>
          <w:tcPr>
            <w:tcW w:w="622" w:type="dxa"/>
            <w:vAlign w:val="center"/>
          </w:tcPr>
          <w:p w14:paraId="700F614B">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sz w:val="24"/>
                <w:szCs w:val="24"/>
                <w:lang w:val="en-US"/>
                <w14:textFill>
                  <w14:solidFill>
                    <w14:schemeClr w14:val="tx1"/>
                  </w14:solidFill>
                </w14:textFill>
              </w:rPr>
            </w:pPr>
            <w:r>
              <w:rPr>
                <w:rFonts w:hint="eastAsia" w:ascii="宋体" w:hAnsi="宋体" w:eastAsia="宋体" w:cs="宋体"/>
                <w:b w:val="0"/>
                <w:bCs w:val="0"/>
                <w:color w:val="000000" w:themeColor="text1"/>
                <w:sz w:val="24"/>
                <w:szCs w:val="24"/>
                <w:lang w:val="en-US"/>
                <w14:textFill>
                  <w14:solidFill>
                    <w14:schemeClr w14:val="tx1"/>
                  </w14:solidFill>
                </w14:textFill>
              </w:rPr>
              <w:t>单位</w:t>
            </w:r>
          </w:p>
        </w:tc>
        <w:tc>
          <w:tcPr>
            <w:tcW w:w="622" w:type="dxa"/>
            <w:vAlign w:val="center"/>
          </w:tcPr>
          <w:p w14:paraId="1F16EA68">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sz w:val="21"/>
                <w:szCs w:val="21"/>
                <w:lang w:val="en-US" w:eastAsia="zh-CN"/>
                <w14:textFill>
                  <w14:solidFill>
                    <w14:schemeClr w14:val="tx1"/>
                  </w14:solidFill>
                </w14:textFill>
              </w:rPr>
            </w:pPr>
            <w:r>
              <w:rPr>
                <w:rFonts w:hint="eastAsia" w:ascii="宋体" w:hAnsi="宋体" w:eastAsia="宋体" w:cs="宋体"/>
                <w:b w:val="0"/>
                <w:bCs w:val="0"/>
                <w:color w:val="000000" w:themeColor="text1"/>
                <w:sz w:val="21"/>
                <w:szCs w:val="21"/>
                <w:lang w:val="en-US" w:eastAsia="zh-CN"/>
                <w14:textFill>
                  <w14:solidFill>
                    <w14:schemeClr w14:val="tx1"/>
                  </w14:solidFill>
                </w14:textFill>
              </w:rPr>
              <w:t>备注</w:t>
            </w:r>
          </w:p>
        </w:tc>
      </w:tr>
      <w:tr w14:paraId="47F18E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3586" w:type="dxa"/>
            <w:gridSpan w:val="2"/>
            <w:vAlign w:val="center"/>
          </w:tcPr>
          <w:p w14:paraId="0E0C7E3A">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sz w:val="24"/>
                <w:szCs w:val="24"/>
                <w:lang w:val="en-US" w:eastAsia="zh-CN"/>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垫江县第三中学“华尔街”宿舍楼</w:t>
            </w:r>
          </w:p>
        </w:tc>
        <w:tc>
          <w:tcPr>
            <w:tcW w:w="2860" w:type="dxa"/>
            <w:vAlign w:val="center"/>
          </w:tcPr>
          <w:p w14:paraId="1B69C967">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sz w:val="24"/>
                <w:szCs w:val="24"/>
                <w:lang w:val="en-US" w:eastAsia="zh-CN"/>
                <w14:textFill>
                  <w14:solidFill>
                    <w14:schemeClr w14:val="tx1"/>
                  </w14:solidFill>
                </w14:textFill>
              </w:rPr>
            </w:pPr>
          </w:p>
        </w:tc>
        <w:tc>
          <w:tcPr>
            <w:tcW w:w="832" w:type="dxa"/>
            <w:vAlign w:val="center"/>
          </w:tcPr>
          <w:p w14:paraId="488E5FED">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sz w:val="24"/>
                <w:szCs w:val="24"/>
                <w:lang w:val="en-US" w:eastAsia="zh-CN"/>
                <w14:textFill>
                  <w14:solidFill>
                    <w14:schemeClr w14:val="tx1"/>
                  </w14:solidFill>
                </w14:textFill>
              </w:rPr>
            </w:pPr>
          </w:p>
        </w:tc>
        <w:tc>
          <w:tcPr>
            <w:tcW w:w="622" w:type="dxa"/>
            <w:vAlign w:val="center"/>
          </w:tcPr>
          <w:p w14:paraId="6C0DF217">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sz w:val="24"/>
                <w:szCs w:val="24"/>
                <w:lang w:val="en-US" w:eastAsia="zh-CN"/>
                <w14:textFill>
                  <w14:solidFill>
                    <w14:schemeClr w14:val="tx1"/>
                  </w14:solidFill>
                </w14:textFill>
              </w:rPr>
            </w:pPr>
          </w:p>
        </w:tc>
        <w:tc>
          <w:tcPr>
            <w:tcW w:w="622" w:type="dxa"/>
            <w:vAlign w:val="center"/>
          </w:tcPr>
          <w:p w14:paraId="2A0043ED">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sz w:val="21"/>
                <w:szCs w:val="21"/>
                <w:lang w:val="en-US" w:eastAsia="zh-CN"/>
                <w14:textFill>
                  <w14:solidFill>
                    <w14:schemeClr w14:val="tx1"/>
                  </w14:solidFill>
                </w14:textFill>
              </w:rPr>
            </w:pPr>
          </w:p>
        </w:tc>
      </w:tr>
      <w:tr w14:paraId="6721D4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1092" w:type="dxa"/>
            <w:vAlign w:val="center"/>
          </w:tcPr>
          <w:p w14:paraId="6932B97B">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sz w:val="24"/>
                <w:szCs w:val="24"/>
                <w:lang w:val="en-US" w:eastAsia="zh-CN"/>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1</w:t>
            </w:r>
          </w:p>
        </w:tc>
        <w:tc>
          <w:tcPr>
            <w:tcW w:w="2494" w:type="dxa"/>
            <w:vAlign w:val="center"/>
          </w:tcPr>
          <w:p w14:paraId="23A57D35">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sz w:val="24"/>
                <w:szCs w:val="24"/>
                <w:lang w:val="en-US" w:eastAsia="zh-CN"/>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给水支管</w:t>
            </w:r>
          </w:p>
        </w:tc>
        <w:tc>
          <w:tcPr>
            <w:tcW w:w="2860" w:type="dxa"/>
            <w:vAlign w:val="center"/>
          </w:tcPr>
          <w:p w14:paraId="26E83A0C">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sz w:val="24"/>
                <w:szCs w:val="24"/>
                <w:lang w:val="en-US" w:eastAsia="zh-CN"/>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PPR管，1.0MPa/DN20</w:t>
            </w:r>
          </w:p>
        </w:tc>
        <w:tc>
          <w:tcPr>
            <w:tcW w:w="832" w:type="dxa"/>
            <w:vAlign w:val="center"/>
          </w:tcPr>
          <w:p w14:paraId="5EDF0B8E">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200</w:t>
            </w:r>
          </w:p>
        </w:tc>
        <w:tc>
          <w:tcPr>
            <w:tcW w:w="622" w:type="dxa"/>
            <w:vAlign w:val="center"/>
          </w:tcPr>
          <w:p w14:paraId="0A114604">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t>米</w:t>
            </w:r>
          </w:p>
        </w:tc>
        <w:tc>
          <w:tcPr>
            <w:tcW w:w="622" w:type="dxa"/>
            <w:vAlign w:val="center"/>
          </w:tcPr>
          <w:p w14:paraId="7FD989CE">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sz w:val="21"/>
                <w:szCs w:val="21"/>
                <w:lang w:val="en-US" w:eastAsia="zh-CN"/>
                <w14:textFill>
                  <w14:solidFill>
                    <w14:schemeClr w14:val="tx1"/>
                  </w14:solidFill>
                </w14:textFill>
              </w:rPr>
            </w:pPr>
          </w:p>
        </w:tc>
      </w:tr>
      <w:tr w14:paraId="0B89DD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1092" w:type="dxa"/>
            <w:vAlign w:val="center"/>
          </w:tcPr>
          <w:p w14:paraId="2DA9DA55">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sz w:val="24"/>
                <w:szCs w:val="24"/>
                <w:lang w:val="en-US" w:eastAsia="zh-CN"/>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2</w:t>
            </w:r>
          </w:p>
        </w:tc>
        <w:tc>
          <w:tcPr>
            <w:tcW w:w="2494" w:type="dxa"/>
            <w:vAlign w:val="center"/>
          </w:tcPr>
          <w:p w14:paraId="68B6C397">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sz w:val="24"/>
                <w:szCs w:val="24"/>
                <w:lang w:val="en-US" w:eastAsia="zh-CN"/>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给水干</w:t>
            </w:r>
          </w:p>
          <w:p w14:paraId="501E3652">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sz w:val="24"/>
                <w:szCs w:val="24"/>
                <w:lang w:val="en-US" w:eastAsia="zh-CN"/>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立管</w:t>
            </w:r>
          </w:p>
        </w:tc>
        <w:tc>
          <w:tcPr>
            <w:tcW w:w="2860" w:type="dxa"/>
            <w:vAlign w:val="center"/>
          </w:tcPr>
          <w:p w14:paraId="269A3156">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sz w:val="24"/>
                <w:szCs w:val="24"/>
                <w:lang w:val="en-US" w:eastAsia="zh-CN"/>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钢塑复合管，1.0MPa/DN40,32</w:t>
            </w:r>
          </w:p>
        </w:tc>
        <w:tc>
          <w:tcPr>
            <w:tcW w:w="832" w:type="dxa"/>
            <w:vAlign w:val="center"/>
          </w:tcPr>
          <w:p w14:paraId="3689F393">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24，15</w:t>
            </w:r>
          </w:p>
        </w:tc>
        <w:tc>
          <w:tcPr>
            <w:tcW w:w="622" w:type="dxa"/>
            <w:vAlign w:val="center"/>
          </w:tcPr>
          <w:p w14:paraId="4EC3C712">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t>米</w:t>
            </w:r>
          </w:p>
        </w:tc>
        <w:tc>
          <w:tcPr>
            <w:tcW w:w="622" w:type="dxa"/>
            <w:vAlign w:val="center"/>
          </w:tcPr>
          <w:p w14:paraId="46A3C5A9">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sz w:val="21"/>
                <w:szCs w:val="21"/>
                <w:lang w:val="en-US" w:eastAsia="zh-CN"/>
                <w14:textFill>
                  <w14:solidFill>
                    <w14:schemeClr w14:val="tx1"/>
                  </w14:solidFill>
                </w14:textFill>
              </w:rPr>
            </w:pPr>
          </w:p>
        </w:tc>
      </w:tr>
      <w:tr w14:paraId="71197F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1092" w:type="dxa"/>
            <w:vAlign w:val="center"/>
          </w:tcPr>
          <w:p w14:paraId="668D3048">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3</w:t>
            </w:r>
          </w:p>
        </w:tc>
        <w:tc>
          <w:tcPr>
            <w:tcW w:w="2494" w:type="dxa"/>
            <w:vAlign w:val="center"/>
          </w:tcPr>
          <w:p w14:paraId="06CAA110">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截止阀</w:t>
            </w:r>
          </w:p>
        </w:tc>
        <w:tc>
          <w:tcPr>
            <w:tcW w:w="2860" w:type="dxa"/>
            <w:vAlign w:val="center"/>
          </w:tcPr>
          <w:p w14:paraId="2ED15F15">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铜质/DN32,20</w:t>
            </w:r>
          </w:p>
        </w:tc>
        <w:tc>
          <w:tcPr>
            <w:tcW w:w="832" w:type="dxa"/>
            <w:vAlign w:val="center"/>
          </w:tcPr>
          <w:p w14:paraId="7F55058F">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10，20</w:t>
            </w:r>
          </w:p>
        </w:tc>
        <w:tc>
          <w:tcPr>
            <w:tcW w:w="622" w:type="dxa"/>
            <w:vAlign w:val="center"/>
          </w:tcPr>
          <w:p w14:paraId="2FC66CCD">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个</w:t>
            </w:r>
          </w:p>
        </w:tc>
        <w:tc>
          <w:tcPr>
            <w:tcW w:w="622" w:type="dxa"/>
            <w:vAlign w:val="center"/>
          </w:tcPr>
          <w:p w14:paraId="37EC8E82">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kern w:val="2"/>
                <w:sz w:val="21"/>
                <w:szCs w:val="21"/>
                <w:lang w:val="en-US" w:eastAsia="zh-CN" w:bidi="ar-SA"/>
                <w14:textFill>
                  <w14:solidFill>
                    <w14:schemeClr w14:val="tx1"/>
                  </w14:solidFill>
                </w14:textFill>
              </w:rPr>
            </w:pPr>
          </w:p>
        </w:tc>
      </w:tr>
      <w:tr w14:paraId="4F149E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1092" w:type="dxa"/>
            <w:vAlign w:val="center"/>
          </w:tcPr>
          <w:p w14:paraId="4BAC4CA9">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sz w:val="24"/>
                <w:szCs w:val="24"/>
                <w:lang w:val="en-US" w:eastAsia="zh-CN"/>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4</w:t>
            </w:r>
          </w:p>
        </w:tc>
        <w:tc>
          <w:tcPr>
            <w:tcW w:w="2494" w:type="dxa"/>
            <w:vAlign w:val="center"/>
          </w:tcPr>
          <w:p w14:paraId="38F16DB8">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sz w:val="24"/>
                <w:szCs w:val="24"/>
                <w:lang w:val="en-US" w:eastAsia="zh-CN"/>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水表</w:t>
            </w:r>
          </w:p>
        </w:tc>
        <w:tc>
          <w:tcPr>
            <w:tcW w:w="2860" w:type="dxa"/>
            <w:vAlign w:val="center"/>
          </w:tcPr>
          <w:p w14:paraId="0D9E6D2F">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sz w:val="24"/>
                <w:szCs w:val="24"/>
                <w:lang w:val="en-US" w:eastAsia="zh-CN"/>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不锈钢/DN20</w:t>
            </w:r>
          </w:p>
        </w:tc>
        <w:tc>
          <w:tcPr>
            <w:tcW w:w="832" w:type="dxa"/>
            <w:vAlign w:val="center"/>
          </w:tcPr>
          <w:p w14:paraId="6D6E1EC3">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sz w:val="24"/>
                <w:szCs w:val="24"/>
                <w:lang w:val="en-US" w:eastAsia="zh-CN"/>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20</w:t>
            </w:r>
          </w:p>
        </w:tc>
        <w:tc>
          <w:tcPr>
            <w:tcW w:w="622" w:type="dxa"/>
            <w:vAlign w:val="center"/>
          </w:tcPr>
          <w:p w14:paraId="1AD4A4C4">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sz w:val="24"/>
                <w:szCs w:val="24"/>
                <w:lang w:val="en-US" w:eastAsia="zh-CN"/>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个</w:t>
            </w:r>
          </w:p>
        </w:tc>
        <w:tc>
          <w:tcPr>
            <w:tcW w:w="622" w:type="dxa"/>
            <w:vAlign w:val="center"/>
          </w:tcPr>
          <w:p w14:paraId="25CA0793">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sz w:val="21"/>
                <w:szCs w:val="21"/>
                <w:lang w:val="en-US" w:eastAsia="zh-CN"/>
                <w14:textFill>
                  <w14:solidFill>
                    <w14:schemeClr w14:val="tx1"/>
                  </w14:solidFill>
                </w14:textFill>
              </w:rPr>
            </w:pPr>
          </w:p>
        </w:tc>
      </w:tr>
      <w:tr w14:paraId="09AC10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1092" w:type="dxa"/>
            <w:vAlign w:val="center"/>
          </w:tcPr>
          <w:p w14:paraId="616275FC">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sz w:val="24"/>
                <w:szCs w:val="24"/>
                <w:lang w:val="en-US" w:eastAsia="zh-CN"/>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5</w:t>
            </w:r>
          </w:p>
        </w:tc>
        <w:tc>
          <w:tcPr>
            <w:tcW w:w="2494" w:type="dxa"/>
            <w:vAlign w:val="center"/>
          </w:tcPr>
          <w:p w14:paraId="3D7EEAEC">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sz w:val="24"/>
                <w:szCs w:val="24"/>
                <w:lang w:val="en-US" w:eastAsia="zh-CN"/>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放气阀</w:t>
            </w:r>
          </w:p>
        </w:tc>
        <w:tc>
          <w:tcPr>
            <w:tcW w:w="2860" w:type="dxa"/>
            <w:vAlign w:val="center"/>
          </w:tcPr>
          <w:p w14:paraId="3602BC3F">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t>铜质/DN20</w:t>
            </w:r>
          </w:p>
        </w:tc>
        <w:tc>
          <w:tcPr>
            <w:tcW w:w="832" w:type="dxa"/>
            <w:vAlign w:val="center"/>
          </w:tcPr>
          <w:p w14:paraId="1A0305EC">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2</w:t>
            </w:r>
          </w:p>
        </w:tc>
        <w:tc>
          <w:tcPr>
            <w:tcW w:w="622" w:type="dxa"/>
            <w:vAlign w:val="center"/>
          </w:tcPr>
          <w:p w14:paraId="1620A7E5">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个</w:t>
            </w:r>
          </w:p>
        </w:tc>
        <w:tc>
          <w:tcPr>
            <w:tcW w:w="622" w:type="dxa"/>
            <w:tcBorders>
              <w:top w:val="single" w:color="auto" w:sz="4" w:space="0"/>
              <w:bottom w:val="single" w:color="auto" w:sz="4" w:space="0"/>
            </w:tcBorders>
            <w:vAlign w:val="center"/>
          </w:tcPr>
          <w:p w14:paraId="3EA2DA99">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sz w:val="21"/>
                <w:szCs w:val="21"/>
                <w:lang w:val="en-US" w:eastAsia="zh-CN"/>
                <w14:textFill>
                  <w14:solidFill>
                    <w14:schemeClr w14:val="tx1"/>
                  </w14:solidFill>
                </w14:textFill>
              </w:rPr>
            </w:pPr>
          </w:p>
        </w:tc>
      </w:tr>
      <w:tr w14:paraId="5E8D27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3586" w:type="dxa"/>
            <w:gridSpan w:val="2"/>
            <w:vAlign w:val="center"/>
          </w:tcPr>
          <w:p w14:paraId="1726952F">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sz w:val="24"/>
                <w:szCs w:val="24"/>
                <w:lang w:val="en-US" w:eastAsia="zh-CN"/>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垫江县第三中学宿舍楼（行政办公楼）</w:t>
            </w:r>
          </w:p>
        </w:tc>
        <w:tc>
          <w:tcPr>
            <w:tcW w:w="2860" w:type="dxa"/>
            <w:vAlign w:val="center"/>
          </w:tcPr>
          <w:p w14:paraId="0D2C0ABC">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p>
        </w:tc>
        <w:tc>
          <w:tcPr>
            <w:tcW w:w="832" w:type="dxa"/>
            <w:vAlign w:val="center"/>
          </w:tcPr>
          <w:p w14:paraId="457916E3">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p>
        </w:tc>
        <w:tc>
          <w:tcPr>
            <w:tcW w:w="622" w:type="dxa"/>
            <w:vAlign w:val="center"/>
          </w:tcPr>
          <w:p w14:paraId="089FAC07">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p>
        </w:tc>
        <w:tc>
          <w:tcPr>
            <w:tcW w:w="622" w:type="dxa"/>
            <w:tcBorders>
              <w:top w:val="single" w:color="auto" w:sz="4" w:space="0"/>
              <w:bottom w:val="single" w:color="auto" w:sz="4" w:space="0"/>
            </w:tcBorders>
            <w:vAlign w:val="center"/>
          </w:tcPr>
          <w:p w14:paraId="5493A855">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sz w:val="21"/>
                <w:szCs w:val="21"/>
                <w:lang w:val="en-US" w:eastAsia="zh-CN"/>
                <w14:textFill>
                  <w14:solidFill>
                    <w14:schemeClr w14:val="tx1"/>
                  </w14:solidFill>
                </w14:textFill>
              </w:rPr>
            </w:pPr>
          </w:p>
        </w:tc>
      </w:tr>
      <w:tr w14:paraId="0F8F60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1092" w:type="dxa"/>
            <w:vAlign w:val="center"/>
          </w:tcPr>
          <w:p w14:paraId="00069642">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sz w:val="24"/>
                <w:szCs w:val="24"/>
                <w:lang w:val="en-US" w:eastAsia="zh-CN"/>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1</w:t>
            </w:r>
          </w:p>
        </w:tc>
        <w:tc>
          <w:tcPr>
            <w:tcW w:w="2494" w:type="dxa"/>
            <w:vAlign w:val="center"/>
          </w:tcPr>
          <w:p w14:paraId="63AE28F3">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sz w:val="24"/>
                <w:szCs w:val="24"/>
                <w:lang w:val="en-US" w:eastAsia="zh-CN"/>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给水支管</w:t>
            </w:r>
          </w:p>
        </w:tc>
        <w:tc>
          <w:tcPr>
            <w:tcW w:w="2860" w:type="dxa"/>
            <w:vAlign w:val="center"/>
          </w:tcPr>
          <w:p w14:paraId="4BF4950A">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PPR管，1.0MPa/DN20</w:t>
            </w:r>
          </w:p>
        </w:tc>
        <w:tc>
          <w:tcPr>
            <w:tcW w:w="832" w:type="dxa"/>
            <w:vAlign w:val="center"/>
          </w:tcPr>
          <w:p w14:paraId="060DD20F">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100</w:t>
            </w:r>
          </w:p>
        </w:tc>
        <w:tc>
          <w:tcPr>
            <w:tcW w:w="622" w:type="dxa"/>
            <w:vAlign w:val="center"/>
          </w:tcPr>
          <w:p w14:paraId="78C8707A">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t>米</w:t>
            </w:r>
          </w:p>
        </w:tc>
        <w:tc>
          <w:tcPr>
            <w:tcW w:w="622" w:type="dxa"/>
            <w:tcBorders>
              <w:top w:val="single" w:color="auto" w:sz="4" w:space="0"/>
              <w:bottom w:val="single" w:color="auto" w:sz="4" w:space="0"/>
            </w:tcBorders>
            <w:vAlign w:val="center"/>
          </w:tcPr>
          <w:p w14:paraId="1D177A35">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sz w:val="21"/>
                <w:szCs w:val="21"/>
                <w:lang w:val="en-US" w:eastAsia="zh-CN"/>
                <w14:textFill>
                  <w14:solidFill>
                    <w14:schemeClr w14:val="tx1"/>
                  </w14:solidFill>
                </w14:textFill>
              </w:rPr>
            </w:pPr>
          </w:p>
        </w:tc>
      </w:tr>
      <w:tr w14:paraId="679494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1092" w:type="dxa"/>
            <w:vAlign w:val="center"/>
          </w:tcPr>
          <w:p w14:paraId="467745E1">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sz w:val="24"/>
                <w:szCs w:val="24"/>
                <w:lang w:val="en-US" w:eastAsia="zh-CN"/>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2</w:t>
            </w:r>
          </w:p>
        </w:tc>
        <w:tc>
          <w:tcPr>
            <w:tcW w:w="2494" w:type="dxa"/>
            <w:vAlign w:val="center"/>
          </w:tcPr>
          <w:p w14:paraId="30566AA5">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sz w:val="24"/>
                <w:szCs w:val="24"/>
                <w:lang w:val="en-US" w:eastAsia="zh-CN"/>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给水干</w:t>
            </w:r>
          </w:p>
          <w:p w14:paraId="3EDD854A">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sz w:val="24"/>
                <w:szCs w:val="24"/>
                <w:lang w:val="en-US" w:eastAsia="zh-CN"/>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立管</w:t>
            </w:r>
          </w:p>
        </w:tc>
        <w:tc>
          <w:tcPr>
            <w:tcW w:w="2860" w:type="dxa"/>
            <w:vAlign w:val="center"/>
          </w:tcPr>
          <w:p w14:paraId="4B30FD88">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钢塑复合管，1.0MPa/DN40,32</w:t>
            </w:r>
          </w:p>
        </w:tc>
        <w:tc>
          <w:tcPr>
            <w:tcW w:w="832" w:type="dxa"/>
            <w:vAlign w:val="center"/>
          </w:tcPr>
          <w:p w14:paraId="3051A321">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12，8</w:t>
            </w:r>
          </w:p>
        </w:tc>
        <w:tc>
          <w:tcPr>
            <w:tcW w:w="622" w:type="dxa"/>
            <w:vAlign w:val="center"/>
          </w:tcPr>
          <w:p w14:paraId="79AAEE49">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t>米</w:t>
            </w:r>
          </w:p>
        </w:tc>
        <w:tc>
          <w:tcPr>
            <w:tcW w:w="622" w:type="dxa"/>
            <w:tcBorders>
              <w:top w:val="single" w:color="auto" w:sz="4" w:space="0"/>
              <w:bottom w:val="single" w:color="auto" w:sz="4" w:space="0"/>
            </w:tcBorders>
            <w:vAlign w:val="center"/>
          </w:tcPr>
          <w:p w14:paraId="20EB3C59">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sz w:val="21"/>
                <w:szCs w:val="21"/>
                <w:lang w:val="en-US" w:eastAsia="zh-CN"/>
                <w14:textFill>
                  <w14:solidFill>
                    <w14:schemeClr w14:val="tx1"/>
                  </w14:solidFill>
                </w14:textFill>
              </w:rPr>
            </w:pPr>
          </w:p>
        </w:tc>
      </w:tr>
      <w:tr w14:paraId="771BF3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1092" w:type="dxa"/>
            <w:vAlign w:val="center"/>
          </w:tcPr>
          <w:p w14:paraId="3F7261FA">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sz w:val="24"/>
                <w:szCs w:val="24"/>
                <w:lang w:val="en-US" w:eastAsia="zh-CN"/>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3</w:t>
            </w:r>
          </w:p>
        </w:tc>
        <w:tc>
          <w:tcPr>
            <w:tcW w:w="2494" w:type="dxa"/>
            <w:vAlign w:val="center"/>
          </w:tcPr>
          <w:p w14:paraId="4DBE5B98">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sz w:val="24"/>
                <w:szCs w:val="24"/>
                <w:lang w:val="en-US" w:eastAsia="zh-CN"/>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截止阀</w:t>
            </w:r>
          </w:p>
        </w:tc>
        <w:tc>
          <w:tcPr>
            <w:tcW w:w="2860" w:type="dxa"/>
            <w:vAlign w:val="center"/>
          </w:tcPr>
          <w:p w14:paraId="58F0E745">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铜质/DN32,20</w:t>
            </w:r>
          </w:p>
        </w:tc>
        <w:tc>
          <w:tcPr>
            <w:tcW w:w="832" w:type="dxa"/>
            <w:vAlign w:val="center"/>
          </w:tcPr>
          <w:p w14:paraId="25678E8E">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5，10</w:t>
            </w:r>
          </w:p>
        </w:tc>
        <w:tc>
          <w:tcPr>
            <w:tcW w:w="622" w:type="dxa"/>
            <w:vAlign w:val="center"/>
          </w:tcPr>
          <w:p w14:paraId="501BEE07">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个</w:t>
            </w:r>
          </w:p>
        </w:tc>
        <w:tc>
          <w:tcPr>
            <w:tcW w:w="622" w:type="dxa"/>
            <w:tcBorders>
              <w:top w:val="single" w:color="auto" w:sz="4" w:space="0"/>
              <w:bottom w:val="single" w:color="auto" w:sz="4" w:space="0"/>
            </w:tcBorders>
            <w:vAlign w:val="center"/>
          </w:tcPr>
          <w:p w14:paraId="6F101029">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sz w:val="21"/>
                <w:szCs w:val="21"/>
                <w:lang w:val="en-US" w:eastAsia="zh-CN"/>
                <w14:textFill>
                  <w14:solidFill>
                    <w14:schemeClr w14:val="tx1"/>
                  </w14:solidFill>
                </w14:textFill>
              </w:rPr>
            </w:pPr>
          </w:p>
        </w:tc>
      </w:tr>
      <w:tr w14:paraId="1DA45C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1092" w:type="dxa"/>
            <w:vAlign w:val="center"/>
          </w:tcPr>
          <w:p w14:paraId="715E7664">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sz w:val="24"/>
                <w:szCs w:val="24"/>
                <w:lang w:val="en-US" w:eastAsia="zh-CN"/>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4</w:t>
            </w:r>
          </w:p>
        </w:tc>
        <w:tc>
          <w:tcPr>
            <w:tcW w:w="2494" w:type="dxa"/>
            <w:vAlign w:val="center"/>
          </w:tcPr>
          <w:p w14:paraId="23F5D3FB">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sz w:val="24"/>
                <w:szCs w:val="24"/>
                <w:lang w:val="en-US" w:eastAsia="zh-CN"/>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水表</w:t>
            </w:r>
          </w:p>
        </w:tc>
        <w:tc>
          <w:tcPr>
            <w:tcW w:w="2860" w:type="dxa"/>
            <w:vAlign w:val="center"/>
          </w:tcPr>
          <w:p w14:paraId="4093B58C">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不锈钢/DN20</w:t>
            </w:r>
          </w:p>
        </w:tc>
        <w:tc>
          <w:tcPr>
            <w:tcW w:w="832" w:type="dxa"/>
            <w:vAlign w:val="center"/>
          </w:tcPr>
          <w:p w14:paraId="463970CC">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10</w:t>
            </w:r>
          </w:p>
        </w:tc>
        <w:tc>
          <w:tcPr>
            <w:tcW w:w="622" w:type="dxa"/>
            <w:vAlign w:val="center"/>
          </w:tcPr>
          <w:p w14:paraId="51A67A4C">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个</w:t>
            </w:r>
          </w:p>
        </w:tc>
        <w:tc>
          <w:tcPr>
            <w:tcW w:w="622" w:type="dxa"/>
            <w:tcBorders>
              <w:top w:val="single" w:color="auto" w:sz="4" w:space="0"/>
              <w:bottom w:val="single" w:color="auto" w:sz="4" w:space="0"/>
            </w:tcBorders>
            <w:vAlign w:val="center"/>
          </w:tcPr>
          <w:p w14:paraId="4A182B66">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sz w:val="21"/>
                <w:szCs w:val="21"/>
                <w:lang w:val="en-US" w:eastAsia="zh-CN"/>
                <w14:textFill>
                  <w14:solidFill>
                    <w14:schemeClr w14:val="tx1"/>
                  </w14:solidFill>
                </w14:textFill>
              </w:rPr>
            </w:pPr>
          </w:p>
        </w:tc>
      </w:tr>
      <w:tr w14:paraId="74DACB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1092" w:type="dxa"/>
            <w:vAlign w:val="center"/>
          </w:tcPr>
          <w:p w14:paraId="77FE656E">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sz w:val="24"/>
                <w:szCs w:val="24"/>
                <w:lang w:val="en-US" w:eastAsia="zh-CN"/>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5</w:t>
            </w:r>
          </w:p>
        </w:tc>
        <w:tc>
          <w:tcPr>
            <w:tcW w:w="2494" w:type="dxa"/>
            <w:vAlign w:val="center"/>
          </w:tcPr>
          <w:p w14:paraId="30FC0A4B">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sz w:val="24"/>
                <w:szCs w:val="24"/>
                <w:lang w:val="en-US" w:eastAsia="zh-CN"/>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放气阀</w:t>
            </w:r>
          </w:p>
        </w:tc>
        <w:tc>
          <w:tcPr>
            <w:tcW w:w="2860" w:type="dxa"/>
            <w:vAlign w:val="center"/>
          </w:tcPr>
          <w:p w14:paraId="6C019105">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t>铜质/DN20</w:t>
            </w:r>
          </w:p>
        </w:tc>
        <w:tc>
          <w:tcPr>
            <w:tcW w:w="832" w:type="dxa"/>
            <w:vAlign w:val="center"/>
          </w:tcPr>
          <w:p w14:paraId="2A6DC841">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1</w:t>
            </w:r>
          </w:p>
        </w:tc>
        <w:tc>
          <w:tcPr>
            <w:tcW w:w="622" w:type="dxa"/>
            <w:vAlign w:val="center"/>
          </w:tcPr>
          <w:p w14:paraId="50946A65">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个</w:t>
            </w:r>
          </w:p>
        </w:tc>
        <w:tc>
          <w:tcPr>
            <w:tcW w:w="622" w:type="dxa"/>
            <w:tcBorders>
              <w:top w:val="single" w:color="auto" w:sz="4" w:space="0"/>
              <w:bottom w:val="single" w:color="auto" w:sz="4" w:space="0"/>
            </w:tcBorders>
            <w:vAlign w:val="center"/>
          </w:tcPr>
          <w:p w14:paraId="021ED171">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sz w:val="21"/>
                <w:szCs w:val="21"/>
                <w:lang w:val="en-US" w:eastAsia="zh-CN"/>
                <w14:textFill>
                  <w14:solidFill>
                    <w14:schemeClr w14:val="tx1"/>
                  </w14:solidFill>
                </w14:textFill>
              </w:rPr>
            </w:pPr>
          </w:p>
        </w:tc>
      </w:tr>
      <w:tr w14:paraId="503F15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3586" w:type="dxa"/>
            <w:gridSpan w:val="2"/>
            <w:shd w:val="clear" w:color="auto" w:fill="auto"/>
            <w:vAlign w:val="center"/>
          </w:tcPr>
          <w:p w14:paraId="6E6744A4">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垫江县第三中学艺馨园办公楼</w:t>
            </w:r>
          </w:p>
        </w:tc>
        <w:tc>
          <w:tcPr>
            <w:tcW w:w="2860" w:type="dxa"/>
            <w:shd w:val="clear" w:color="auto" w:fill="auto"/>
            <w:vAlign w:val="center"/>
          </w:tcPr>
          <w:p w14:paraId="4CDFA575">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p>
        </w:tc>
        <w:tc>
          <w:tcPr>
            <w:tcW w:w="832" w:type="dxa"/>
            <w:shd w:val="clear" w:color="auto" w:fill="auto"/>
            <w:vAlign w:val="center"/>
          </w:tcPr>
          <w:p w14:paraId="3CE69978">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p>
        </w:tc>
        <w:tc>
          <w:tcPr>
            <w:tcW w:w="622" w:type="dxa"/>
            <w:shd w:val="clear" w:color="auto" w:fill="auto"/>
            <w:vAlign w:val="center"/>
          </w:tcPr>
          <w:p w14:paraId="5AAEF98F">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p>
        </w:tc>
        <w:tc>
          <w:tcPr>
            <w:tcW w:w="622" w:type="dxa"/>
            <w:tcBorders>
              <w:top w:val="single" w:color="auto" w:sz="4" w:space="0"/>
              <w:bottom w:val="single" w:color="auto" w:sz="4" w:space="0"/>
            </w:tcBorders>
            <w:vAlign w:val="center"/>
          </w:tcPr>
          <w:p w14:paraId="0C22A5B1">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sz w:val="21"/>
                <w:szCs w:val="21"/>
                <w:lang w:val="en-US" w:eastAsia="zh-CN"/>
                <w14:textFill>
                  <w14:solidFill>
                    <w14:schemeClr w14:val="tx1"/>
                  </w14:solidFill>
                </w14:textFill>
              </w:rPr>
            </w:pPr>
          </w:p>
        </w:tc>
      </w:tr>
      <w:tr w14:paraId="50EDD5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1092" w:type="dxa"/>
            <w:shd w:val="clear" w:color="auto" w:fill="auto"/>
            <w:vAlign w:val="center"/>
          </w:tcPr>
          <w:p w14:paraId="72258E94">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1</w:t>
            </w:r>
          </w:p>
        </w:tc>
        <w:tc>
          <w:tcPr>
            <w:tcW w:w="2494" w:type="dxa"/>
            <w:shd w:val="clear" w:color="auto" w:fill="auto"/>
            <w:vAlign w:val="center"/>
          </w:tcPr>
          <w:p w14:paraId="07E77854">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给水支管</w:t>
            </w:r>
          </w:p>
        </w:tc>
        <w:tc>
          <w:tcPr>
            <w:tcW w:w="2860" w:type="dxa"/>
            <w:shd w:val="clear" w:color="auto" w:fill="auto"/>
            <w:vAlign w:val="center"/>
          </w:tcPr>
          <w:p w14:paraId="34444831">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PPR管，1.0MPa/DN20</w:t>
            </w:r>
          </w:p>
        </w:tc>
        <w:tc>
          <w:tcPr>
            <w:tcW w:w="832" w:type="dxa"/>
            <w:shd w:val="clear" w:color="auto" w:fill="auto"/>
            <w:vAlign w:val="center"/>
          </w:tcPr>
          <w:p w14:paraId="6EC2F713">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100</w:t>
            </w:r>
          </w:p>
        </w:tc>
        <w:tc>
          <w:tcPr>
            <w:tcW w:w="622" w:type="dxa"/>
            <w:shd w:val="clear" w:color="auto" w:fill="auto"/>
            <w:vAlign w:val="center"/>
          </w:tcPr>
          <w:p w14:paraId="1FC91E7D">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t>米</w:t>
            </w:r>
          </w:p>
        </w:tc>
        <w:tc>
          <w:tcPr>
            <w:tcW w:w="622" w:type="dxa"/>
            <w:tcBorders>
              <w:top w:val="single" w:color="auto" w:sz="4" w:space="0"/>
              <w:bottom w:val="single" w:color="auto" w:sz="4" w:space="0"/>
            </w:tcBorders>
            <w:shd w:val="clear" w:color="auto" w:fill="auto"/>
            <w:vAlign w:val="center"/>
          </w:tcPr>
          <w:p w14:paraId="2B2DEF54">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kern w:val="2"/>
                <w:sz w:val="21"/>
                <w:szCs w:val="21"/>
                <w:lang w:val="en-US" w:eastAsia="zh-CN" w:bidi="ar-SA"/>
                <w14:textFill>
                  <w14:solidFill>
                    <w14:schemeClr w14:val="tx1"/>
                  </w14:solidFill>
                </w14:textFill>
              </w:rPr>
            </w:pPr>
          </w:p>
        </w:tc>
      </w:tr>
      <w:tr w14:paraId="27DA6B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1092" w:type="dxa"/>
            <w:shd w:val="clear" w:color="auto" w:fill="auto"/>
            <w:vAlign w:val="center"/>
          </w:tcPr>
          <w:p w14:paraId="08AAD49D">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2</w:t>
            </w:r>
          </w:p>
        </w:tc>
        <w:tc>
          <w:tcPr>
            <w:tcW w:w="2494" w:type="dxa"/>
            <w:shd w:val="clear" w:color="auto" w:fill="auto"/>
            <w:vAlign w:val="center"/>
          </w:tcPr>
          <w:p w14:paraId="28270CAB">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sz w:val="24"/>
                <w:szCs w:val="24"/>
                <w:lang w:val="en-US" w:eastAsia="zh-CN"/>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给水干</w:t>
            </w:r>
          </w:p>
          <w:p w14:paraId="678AB660">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立管</w:t>
            </w:r>
          </w:p>
        </w:tc>
        <w:tc>
          <w:tcPr>
            <w:tcW w:w="2860" w:type="dxa"/>
            <w:shd w:val="clear" w:color="auto" w:fill="auto"/>
            <w:vAlign w:val="center"/>
          </w:tcPr>
          <w:p w14:paraId="0DAF2BFC">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钢塑复合管，1.0MPa/DN40,32</w:t>
            </w:r>
          </w:p>
        </w:tc>
        <w:tc>
          <w:tcPr>
            <w:tcW w:w="832" w:type="dxa"/>
            <w:shd w:val="clear" w:color="auto" w:fill="auto"/>
            <w:vAlign w:val="center"/>
          </w:tcPr>
          <w:p w14:paraId="4FDB54E9">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18，8</w:t>
            </w:r>
          </w:p>
        </w:tc>
        <w:tc>
          <w:tcPr>
            <w:tcW w:w="622" w:type="dxa"/>
            <w:shd w:val="clear" w:color="auto" w:fill="auto"/>
            <w:vAlign w:val="center"/>
          </w:tcPr>
          <w:p w14:paraId="7FE1E4C5">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t>米</w:t>
            </w:r>
          </w:p>
        </w:tc>
        <w:tc>
          <w:tcPr>
            <w:tcW w:w="622" w:type="dxa"/>
            <w:tcBorders>
              <w:top w:val="single" w:color="auto" w:sz="4" w:space="0"/>
              <w:bottom w:val="single" w:color="auto" w:sz="4" w:space="0"/>
            </w:tcBorders>
            <w:shd w:val="clear" w:color="auto" w:fill="auto"/>
            <w:vAlign w:val="center"/>
          </w:tcPr>
          <w:p w14:paraId="79F144C5">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kern w:val="2"/>
                <w:sz w:val="21"/>
                <w:szCs w:val="21"/>
                <w:lang w:val="en-US" w:eastAsia="zh-CN" w:bidi="ar-SA"/>
                <w14:textFill>
                  <w14:solidFill>
                    <w14:schemeClr w14:val="tx1"/>
                  </w14:solidFill>
                </w14:textFill>
              </w:rPr>
            </w:pPr>
          </w:p>
        </w:tc>
      </w:tr>
      <w:tr w14:paraId="20AA82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1092" w:type="dxa"/>
            <w:shd w:val="clear" w:color="auto" w:fill="auto"/>
            <w:vAlign w:val="center"/>
          </w:tcPr>
          <w:p w14:paraId="6CA9F12E">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3</w:t>
            </w:r>
          </w:p>
        </w:tc>
        <w:tc>
          <w:tcPr>
            <w:tcW w:w="2494" w:type="dxa"/>
            <w:shd w:val="clear" w:color="auto" w:fill="auto"/>
            <w:vAlign w:val="center"/>
          </w:tcPr>
          <w:p w14:paraId="7DD182A0">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截止阀</w:t>
            </w:r>
          </w:p>
        </w:tc>
        <w:tc>
          <w:tcPr>
            <w:tcW w:w="2860" w:type="dxa"/>
            <w:shd w:val="clear" w:color="auto" w:fill="auto"/>
            <w:vAlign w:val="center"/>
          </w:tcPr>
          <w:p w14:paraId="53381F7F">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sz w:val="24"/>
                <w:szCs w:val="24"/>
                <w:lang w:val="en-US" w:eastAsia="zh-CN"/>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铜质/DN32</w:t>
            </w:r>
          </w:p>
        </w:tc>
        <w:tc>
          <w:tcPr>
            <w:tcW w:w="832" w:type="dxa"/>
            <w:shd w:val="clear" w:color="auto" w:fill="auto"/>
            <w:vAlign w:val="center"/>
          </w:tcPr>
          <w:p w14:paraId="7F816239">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12</w:t>
            </w:r>
          </w:p>
        </w:tc>
        <w:tc>
          <w:tcPr>
            <w:tcW w:w="622" w:type="dxa"/>
            <w:shd w:val="clear" w:color="auto" w:fill="auto"/>
            <w:vAlign w:val="center"/>
          </w:tcPr>
          <w:p w14:paraId="3B39A404">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个</w:t>
            </w:r>
          </w:p>
        </w:tc>
        <w:tc>
          <w:tcPr>
            <w:tcW w:w="622" w:type="dxa"/>
            <w:tcBorders>
              <w:top w:val="single" w:color="auto" w:sz="4" w:space="0"/>
              <w:bottom w:val="single" w:color="auto" w:sz="4" w:space="0"/>
            </w:tcBorders>
            <w:shd w:val="clear" w:color="auto" w:fill="auto"/>
            <w:vAlign w:val="center"/>
          </w:tcPr>
          <w:p w14:paraId="3A5C5179">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kern w:val="2"/>
                <w:sz w:val="21"/>
                <w:szCs w:val="21"/>
                <w:lang w:val="en-US" w:eastAsia="zh-CN" w:bidi="ar-SA"/>
                <w14:textFill>
                  <w14:solidFill>
                    <w14:schemeClr w14:val="tx1"/>
                  </w14:solidFill>
                </w14:textFill>
              </w:rPr>
            </w:pPr>
          </w:p>
        </w:tc>
      </w:tr>
      <w:tr w14:paraId="44046C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1092" w:type="dxa"/>
            <w:shd w:val="clear" w:color="auto" w:fill="auto"/>
            <w:vAlign w:val="center"/>
          </w:tcPr>
          <w:p w14:paraId="1B311D91">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4</w:t>
            </w:r>
          </w:p>
        </w:tc>
        <w:tc>
          <w:tcPr>
            <w:tcW w:w="2494" w:type="dxa"/>
            <w:shd w:val="clear" w:color="auto" w:fill="auto"/>
            <w:vAlign w:val="center"/>
          </w:tcPr>
          <w:p w14:paraId="321ECC7F">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水表</w:t>
            </w:r>
          </w:p>
        </w:tc>
        <w:tc>
          <w:tcPr>
            <w:tcW w:w="2860" w:type="dxa"/>
            <w:shd w:val="clear" w:color="auto" w:fill="auto"/>
            <w:vAlign w:val="center"/>
          </w:tcPr>
          <w:p w14:paraId="6C5237B3">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不锈钢/DN32</w:t>
            </w:r>
          </w:p>
        </w:tc>
        <w:tc>
          <w:tcPr>
            <w:tcW w:w="832" w:type="dxa"/>
            <w:shd w:val="clear" w:color="auto" w:fill="auto"/>
            <w:vAlign w:val="center"/>
          </w:tcPr>
          <w:p w14:paraId="01D3A2EE">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5</w:t>
            </w:r>
          </w:p>
        </w:tc>
        <w:tc>
          <w:tcPr>
            <w:tcW w:w="622" w:type="dxa"/>
            <w:shd w:val="clear" w:color="auto" w:fill="auto"/>
            <w:vAlign w:val="center"/>
          </w:tcPr>
          <w:p w14:paraId="04ABBD15">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个</w:t>
            </w:r>
          </w:p>
        </w:tc>
        <w:tc>
          <w:tcPr>
            <w:tcW w:w="622" w:type="dxa"/>
            <w:tcBorders>
              <w:top w:val="single" w:color="auto" w:sz="4" w:space="0"/>
              <w:bottom w:val="single" w:color="auto" w:sz="4" w:space="0"/>
            </w:tcBorders>
            <w:shd w:val="clear" w:color="auto" w:fill="auto"/>
            <w:vAlign w:val="center"/>
          </w:tcPr>
          <w:p w14:paraId="5F791A91">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kern w:val="2"/>
                <w:sz w:val="21"/>
                <w:szCs w:val="21"/>
                <w:lang w:val="en-US" w:eastAsia="zh-CN" w:bidi="ar-SA"/>
                <w14:textFill>
                  <w14:solidFill>
                    <w14:schemeClr w14:val="tx1"/>
                  </w14:solidFill>
                </w14:textFill>
              </w:rPr>
            </w:pPr>
          </w:p>
        </w:tc>
      </w:tr>
      <w:tr w14:paraId="392294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1092" w:type="dxa"/>
            <w:shd w:val="clear" w:color="auto" w:fill="auto"/>
            <w:vAlign w:val="center"/>
          </w:tcPr>
          <w:p w14:paraId="2BBD7094">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5</w:t>
            </w:r>
          </w:p>
        </w:tc>
        <w:tc>
          <w:tcPr>
            <w:tcW w:w="2494" w:type="dxa"/>
            <w:shd w:val="clear" w:color="auto" w:fill="auto"/>
            <w:vAlign w:val="center"/>
          </w:tcPr>
          <w:p w14:paraId="0C8A8FFD">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放气阀</w:t>
            </w:r>
          </w:p>
        </w:tc>
        <w:tc>
          <w:tcPr>
            <w:tcW w:w="2860" w:type="dxa"/>
            <w:shd w:val="clear" w:color="auto" w:fill="auto"/>
            <w:vAlign w:val="center"/>
          </w:tcPr>
          <w:p w14:paraId="7EC3AE3C">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t>铜质/DN20</w:t>
            </w:r>
          </w:p>
        </w:tc>
        <w:tc>
          <w:tcPr>
            <w:tcW w:w="832" w:type="dxa"/>
            <w:shd w:val="clear" w:color="auto" w:fill="auto"/>
            <w:vAlign w:val="center"/>
          </w:tcPr>
          <w:p w14:paraId="00CB628B">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1</w:t>
            </w:r>
          </w:p>
        </w:tc>
        <w:tc>
          <w:tcPr>
            <w:tcW w:w="622" w:type="dxa"/>
            <w:shd w:val="clear" w:color="auto" w:fill="auto"/>
            <w:vAlign w:val="center"/>
          </w:tcPr>
          <w:p w14:paraId="3B245205">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个</w:t>
            </w:r>
          </w:p>
        </w:tc>
        <w:tc>
          <w:tcPr>
            <w:tcW w:w="622" w:type="dxa"/>
            <w:tcBorders>
              <w:top w:val="single" w:color="auto" w:sz="4" w:space="0"/>
              <w:bottom w:val="single" w:color="auto" w:sz="4" w:space="0"/>
            </w:tcBorders>
            <w:shd w:val="clear" w:color="auto" w:fill="auto"/>
            <w:vAlign w:val="center"/>
          </w:tcPr>
          <w:p w14:paraId="1BEA97BB">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kern w:val="2"/>
                <w:sz w:val="21"/>
                <w:szCs w:val="21"/>
                <w:lang w:val="en-US" w:eastAsia="zh-CN" w:bidi="ar-SA"/>
                <w14:textFill>
                  <w14:solidFill>
                    <w14:schemeClr w14:val="tx1"/>
                  </w14:solidFill>
                </w14:textFill>
              </w:rPr>
            </w:pPr>
          </w:p>
        </w:tc>
      </w:tr>
      <w:tr w14:paraId="4E372D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3586" w:type="dxa"/>
            <w:gridSpan w:val="2"/>
            <w:shd w:val="clear" w:color="auto" w:fill="auto"/>
            <w:vAlign w:val="center"/>
          </w:tcPr>
          <w:p w14:paraId="1D60E849">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垫江县第三中学“摩天轮”宿舍楼</w:t>
            </w:r>
          </w:p>
        </w:tc>
        <w:tc>
          <w:tcPr>
            <w:tcW w:w="2860" w:type="dxa"/>
            <w:shd w:val="clear" w:color="auto" w:fill="auto"/>
            <w:vAlign w:val="center"/>
          </w:tcPr>
          <w:p w14:paraId="46185380">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p>
        </w:tc>
        <w:tc>
          <w:tcPr>
            <w:tcW w:w="832" w:type="dxa"/>
            <w:shd w:val="clear" w:color="auto" w:fill="auto"/>
            <w:vAlign w:val="center"/>
          </w:tcPr>
          <w:p w14:paraId="23AC8BB7">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p>
        </w:tc>
        <w:tc>
          <w:tcPr>
            <w:tcW w:w="622" w:type="dxa"/>
            <w:shd w:val="clear" w:color="auto" w:fill="auto"/>
            <w:vAlign w:val="center"/>
          </w:tcPr>
          <w:p w14:paraId="1FB63F21">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p>
        </w:tc>
        <w:tc>
          <w:tcPr>
            <w:tcW w:w="622" w:type="dxa"/>
            <w:tcBorders>
              <w:top w:val="single" w:color="auto" w:sz="4" w:space="0"/>
              <w:bottom w:val="single" w:color="auto" w:sz="4" w:space="0"/>
            </w:tcBorders>
            <w:shd w:val="clear" w:color="auto" w:fill="auto"/>
            <w:vAlign w:val="center"/>
          </w:tcPr>
          <w:p w14:paraId="227E39EC">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kern w:val="2"/>
                <w:sz w:val="21"/>
                <w:szCs w:val="21"/>
                <w:lang w:val="en-US" w:eastAsia="zh-CN" w:bidi="ar-SA"/>
                <w14:textFill>
                  <w14:solidFill>
                    <w14:schemeClr w14:val="tx1"/>
                  </w14:solidFill>
                </w14:textFill>
              </w:rPr>
            </w:pPr>
          </w:p>
        </w:tc>
      </w:tr>
      <w:tr w14:paraId="3CA2D1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1092" w:type="dxa"/>
            <w:shd w:val="clear" w:color="auto" w:fill="auto"/>
            <w:vAlign w:val="center"/>
          </w:tcPr>
          <w:p w14:paraId="6067AE44">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1</w:t>
            </w:r>
          </w:p>
        </w:tc>
        <w:tc>
          <w:tcPr>
            <w:tcW w:w="2494" w:type="dxa"/>
            <w:shd w:val="clear" w:color="auto" w:fill="auto"/>
            <w:vAlign w:val="center"/>
          </w:tcPr>
          <w:p w14:paraId="2763256C">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给水支管</w:t>
            </w:r>
          </w:p>
        </w:tc>
        <w:tc>
          <w:tcPr>
            <w:tcW w:w="2860" w:type="dxa"/>
            <w:shd w:val="clear" w:color="auto" w:fill="auto"/>
            <w:vAlign w:val="center"/>
          </w:tcPr>
          <w:p w14:paraId="2A313535">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PPR管，1.0MPa/DN20</w:t>
            </w:r>
          </w:p>
        </w:tc>
        <w:tc>
          <w:tcPr>
            <w:tcW w:w="832" w:type="dxa"/>
            <w:shd w:val="clear" w:color="auto" w:fill="auto"/>
            <w:vAlign w:val="center"/>
          </w:tcPr>
          <w:p w14:paraId="521B3A6E">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220</w:t>
            </w:r>
          </w:p>
        </w:tc>
        <w:tc>
          <w:tcPr>
            <w:tcW w:w="622" w:type="dxa"/>
            <w:shd w:val="clear" w:color="auto" w:fill="auto"/>
            <w:vAlign w:val="center"/>
          </w:tcPr>
          <w:p w14:paraId="08B72C6B">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t>米</w:t>
            </w:r>
          </w:p>
        </w:tc>
        <w:tc>
          <w:tcPr>
            <w:tcW w:w="622" w:type="dxa"/>
            <w:tcBorders>
              <w:top w:val="single" w:color="auto" w:sz="4" w:space="0"/>
              <w:bottom w:val="single" w:color="auto" w:sz="4" w:space="0"/>
            </w:tcBorders>
            <w:shd w:val="clear" w:color="auto" w:fill="auto"/>
            <w:vAlign w:val="center"/>
          </w:tcPr>
          <w:p w14:paraId="7E74645B">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kern w:val="2"/>
                <w:sz w:val="21"/>
                <w:szCs w:val="21"/>
                <w:lang w:val="en-US" w:eastAsia="zh-CN" w:bidi="ar-SA"/>
                <w14:textFill>
                  <w14:solidFill>
                    <w14:schemeClr w14:val="tx1"/>
                  </w14:solidFill>
                </w14:textFill>
              </w:rPr>
            </w:pPr>
          </w:p>
        </w:tc>
      </w:tr>
      <w:tr w14:paraId="4F58F8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1092" w:type="dxa"/>
            <w:shd w:val="clear" w:color="auto" w:fill="auto"/>
            <w:vAlign w:val="center"/>
          </w:tcPr>
          <w:p w14:paraId="11ACDF0E">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2</w:t>
            </w:r>
          </w:p>
        </w:tc>
        <w:tc>
          <w:tcPr>
            <w:tcW w:w="2494" w:type="dxa"/>
            <w:shd w:val="clear" w:color="auto" w:fill="auto"/>
            <w:vAlign w:val="center"/>
          </w:tcPr>
          <w:p w14:paraId="536BB33F">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sz w:val="24"/>
                <w:szCs w:val="24"/>
                <w:lang w:val="en-US" w:eastAsia="zh-CN"/>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给水干</w:t>
            </w:r>
          </w:p>
          <w:p w14:paraId="424A6294">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立管</w:t>
            </w:r>
          </w:p>
        </w:tc>
        <w:tc>
          <w:tcPr>
            <w:tcW w:w="2860" w:type="dxa"/>
            <w:shd w:val="clear" w:color="auto" w:fill="auto"/>
            <w:vAlign w:val="center"/>
          </w:tcPr>
          <w:p w14:paraId="03B0884C">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钢塑复合管，1.0MPa/DN40,32</w:t>
            </w:r>
          </w:p>
        </w:tc>
        <w:tc>
          <w:tcPr>
            <w:tcW w:w="832" w:type="dxa"/>
            <w:shd w:val="clear" w:color="auto" w:fill="auto"/>
            <w:vAlign w:val="center"/>
          </w:tcPr>
          <w:p w14:paraId="0D1CC0FB">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36，18</w:t>
            </w:r>
          </w:p>
        </w:tc>
        <w:tc>
          <w:tcPr>
            <w:tcW w:w="622" w:type="dxa"/>
            <w:shd w:val="clear" w:color="auto" w:fill="auto"/>
            <w:vAlign w:val="center"/>
          </w:tcPr>
          <w:p w14:paraId="3B6D6B67">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t>米</w:t>
            </w:r>
          </w:p>
        </w:tc>
        <w:tc>
          <w:tcPr>
            <w:tcW w:w="622" w:type="dxa"/>
            <w:tcBorders>
              <w:top w:val="single" w:color="auto" w:sz="4" w:space="0"/>
              <w:bottom w:val="single" w:color="auto" w:sz="4" w:space="0"/>
            </w:tcBorders>
            <w:shd w:val="clear" w:color="auto" w:fill="auto"/>
            <w:vAlign w:val="center"/>
          </w:tcPr>
          <w:p w14:paraId="23457D24">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kern w:val="2"/>
                <w:sz w:val="21"/>
                <w:szCs w:val="21"/>
                <w:lang w:val="en-US" w:eastAsia="zh-CN" w:bidi="ar-SA"/>
                <w14:textFill>
                  <w14:solidFill>
                    <w14:schemeClr w14:val="tx1"/>
                  </w14:solidFill>
                </w14:textFill>
              </w:rPr>
            </w:pPr>
          </w:p>
        </w:tc>
      </w:tr>
      <w:tr w14:paraId="0B3700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1092" w:type="dxa"/>
            <w:shd w:val="clear" w:color="auto" w:fill="auto"/>
            <w:vAlign w:val="center"/>
          </w:tcPr>
          <w:p w14:paraId="40D752ED">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3</w:t>
            </w:r>
          </w:p>
        </w:tc>
        <w:tc>
          <w:tcPr>
            <w:tcW w:w="2494" w:type="dxa"/>
            <w:shd w:val="clear" w:color="auto" w:fill="auto"/>
            <w:vAlign w:val="center"/>
          </w:tcPr>
          <w:p w14:paraId="440CB7C8">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截止阀</w:t>
            </w:r>
          </w:p>
        </w:tc>
        <w:tc>
          <w:tcPr>
            <w:tcW w:w="2860" w:type="dxa"/>
            <w:shd w:val="clear" w:color="auto" w:fill="auto"/>
            <w:vAlign w:val="center"/>
          </w:tcPr>
          <w:p w14:paraId="10FDCC96">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铜质/DN32,20</w:t>
            </w:r>
          </w:p>
        </w:tc>
        <w:tc>
          <w:tcPr>
            <w:tcW w:w="832" w:type="dxa"/>
            <w:shd w:val="clear" w:color="auto" w:fill="auto"/>
            <w:vAlign w:val="center"/>
          </w:tcPr>
          <w:p w14:paraId="45D959F8">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12，48</w:t>
            </w:r>
          </w:p>
        </w:tc>
        <w:tc>
          <w:tcPr>
            <w:tcW w:w="622" w:type="dxa"/>
            <w:shd w:val="clear" w:color="auto" w:fill="auto"/>
            <w:vAlign w:val="center"/>
          </w:tcPr>
          <w:p w14:paraId="3E71F19E">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个</w:t>
            </w:r>
          </w:p>
        </w:tc>
        <w:tc>
          <w:tcPr>
            <w:tcW w:w="622" w:type="dxa"/>
            <w:tcBorders>
              <w:top w:val="single" w:color="auto" w:sz="4" w:space="0"/>
              <w:bottom w:val="single" w:color="auto" w:sz="4" w:space="0"/>
            </w:tcBorders>
            <w:shd w:val="clear" w:color="auto" w:fill="auto"/>
            <w:vAlign w:val="center"/>
          </w:tcPr>
          <w:p w14:paraId="3FC7B9C0">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kern w:val="2"/>
                <w:sz w:val="21"/>
                <w:szCs w:val="21"/>
                <w:lang w:val="en-US" w:eastAsia="zh-CN" w:bidi="ar-SA"/>
                <w14:textFill>
                  <w14:solidFill>
                    <w14:schemeClr w14:val="tx1"/>
                  </w14:solidFill>
                </w14:textFill>
              </w:rPr>
            </w:pPr>
          </w:p>
        </w:tc>
      </w:tr>
      <w:tr w14:paraId="774C47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1092" w:type="dxa"/>
            <w:shd w:val="clear" w:color="auto" w:fill="auto"/>
            <w:vAlign w:val="center"/>
          </w:tcPr>
          <w:p w14:paraId="216692A5">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4</w:t>
            </w:r>
          </w:p>
        </w:tc>
        <w:tc>
          <w:tcPr>
            <w:tcW w:w="2494" w:type="dxa"/>
            <w:shd w:val="clear" w:color="auto" w:fill="auto"/>
            <w:vAlign w:val="center"/>
          </w:tcPr>
          <w:p w14:paraId="1AC3DE7E">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水表</w:t>
            </w:r>
          </w:p>
        </w:tc>
        <w:tc>
          <w:tcPr>
            <w:tcW w:w="2860" w:type="dxa"/>
            <w:shd w:val="clear" w:color="auto" w:fill="auto"/>
            <w:vAlign w:val="center"/>
          </w:tcPr>
          <w:p w14:paraId="60A6D9F3">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不锈钢/DN20</w:t>
            </w:r>
          </w:p>
        </w:tc>
        <w:tc>
          <w:tcPr>
            <w:tcW w:w="832" w:type="dxa"/>
            <w:shd w:val="clear" w:color="auto" w:fill="auto"/>
            <w:vAlign w:val="center"/>
          </w:tcPr>
          <w:p w14:paraId="6A1CA687">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24</w:t>
            </w:r>
          </w:p>
        </w:tc>
        <w:tc>
          <w:tcPr>
            <w:tcW w:w="622" w:type="dxa"/>
            <w:shd w:val="clear" w:color="auto" w:fill="auto"/>
            <w:vAlign w:val="center"/>
          </w:tcPr>
          <w:p w14:paraId="751A2D35">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个</w:t>
            </w:r>
          </w:p>
        </w:tc>
        <w:tc>
          <w:tcPr>
            <w:tcW w:w="622" w:type="dxa"/>
            <w:tcBorders>
              <w:top w:val="single" w:color="auto" w:sz="4" w:space="0"/>
              <w:bottom w:val="single" w:color="auto" w:sz="4" w:space="0"/>
            </w:tcBorders>
            <w:shd w:val="clear" w:color="auto" w:fill="auto"/>
            <w:vAlign w:val="center"/>
          </w:tcPr>
          <w:p w14:paraId="7D958CC7">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kern w:val="2"/>
                <w:sz w:val="21"/>
                <w:szCs w:val="21"/>
                <w:lang w:val="en-US" w:eastAsia="zh-CN" w:bidi="ar-SA"/>
                <w14:textFill>
                  <w14:solidFill>
                    <w14:schemeClr w14:val="tx1"/>
                  </w14:solidFill>
                </w14:textFill>
              </w:rPr>
            </w:pPr>
          </w:p>
        </w:tc>
      </w:tr>
      <w:tr w14:paraId="18D083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1092" w:type="dxa"/>
            <w:shd w:val="clear" w:color="auto" w:fill="auto"/>
            <w:vAlign w:val="center"/>
          </w:tcPr>
          <w:p w14:paraId="45BBD77A">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5</w:t>
            </w:r>
          </w:p>
        </w:tc>
        <w:tc>
          <w:tcPr>
            <w:tcW w:w="2494" w:type="dxa"/>
            <w:shd w:val="clear" w:color="auto" w:fill="auto"/>
            <w:vAlign w:val="center"/>
          </w:tcPr>
          <w:p w14:paraId="1A0DDEEE">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放气阀</w:t>
            </w:r>
          </w:p>
        </w:tc>
        <w:tc>
          <w:tcPr>
            <w:tcW w:w="2860" w:type="dxa"/>
            <w:shd w:val="clear" w:color="auto" w:fill="auto"/>
            <w:vAlign w:val="center"/>
          </w:tcPr>
          <w:p w14:paraId="55A25C35">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t>铜质/DN20</w:t>
            </w:r>
          </w:p>
        </w:tc>
        <w:tc>
          <w:tcPr>
            <w:tcW w:w="832" w:type="dxa"/>
            <w:shd w:val="clear" w:color="auto" w:fill="auto"/>
            <w:vAlign w:val="center"/>
          </w:tcPr>
          <w:p w14:paraId="57F3CDE7">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2</w:t>
            </w:r>
          </w:p>
        </w:tc>
        <w:tc>
          <w:tcPr>
            <w:tcW w:w="622" w:type="dxa"/>
            <w:shd w:val="clear" w:color="auto" w:fill="auto"/>
            <w:vAlign w:val="center"/>
          </w:tcPr>
          <w:p w14:paraId="2FD8B767">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个</w:t>
            </w:r>
          </w:p>
        </w:tc>
        <w:tc>
          <w:tcPr>
            <w:tcW w:w="622" w:type="dxa"/>
            <w:tcBorders>
              <w:top w:val="single" w:color="auto" w:sz="4" w:space="0"/>
              <w:bottom w:val="single" w:color="auto" w:sz="4" w:space="0"/>
            </w:tcBorders>
            <w:shd w:val="clear" w:color="auto" w:fill="auto"/>
            <w:vAlign w:val="center"/>
          </w:tcPr>
          <w:p w14:paraId="2353B4D4">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kern w:val="2"/>
                <w:sz w:val="21"/>
                <w:szCs w:val="21"/>
                <w:lang w:val="en-US" w:eastAsia="zh-CN" w:bidi="ar-SA"/>
                <w14:textFill>
                  <w14:solidFill>
                    <w14:schemeClr w14:val="tx1"/>
                  </w14:solidFill>
                </w14:textFill>
              </w:rPr>
            </w:pPr>
          </w:p>
        </w:tc>
      </w:tr>
    </w:tbl>
    <w:p w14:paraId="16BE42F9">
      <w:pPr>
        <w:bidi w:val="0"/>
        <w:rPr>
          <w:rFonts w:hint="eastAsia" w:ascii="宋体" w:hAnsi="宋体" w:eastAsia="宋体" w:cs="宋体"/>
          <w:sz w:val="24"/>
          <w:szCs w:val="24"/>
          <w:lang w:val="en-US" w:eastAsia="zh-CN"/>
        </w:rPr>
      </w:pPr>
    </w:p>
    <w:p w14:paraId="6941B368">
      <w:pPr>
        <w:bidi w:val="0"/>
        <w:rPr>
          <w:rFonts w:hint="eastAsia" w:ascii="宋体" w:hAnsi="宋体" w:eastAsia="宋体" w:cs="宋体"/>
          <w:sz w:val="24"/>
          <w:szCs w:val="24"/>
          <w:lang w:val="en-US" w:eastAsia="zh-CN"/>
        </w:rPr>
      </w:pPr>
    </w:p>
    <w:p w14:paraId="42879EDB">
      <w:pPr>
        <w:bidi w:val="0"/>
        <w:rPr>
          <w:rFonts w:hint="eastAsia" w:ascii="宋体" w:hAnsi="宋体" w:eastAsia="宋体" w:cs="宋体"/>
          <w:sz w:val="24"/>
          <w:szCs w:val="24"/>
          <w:lang w:val="en-US" w:eastAsia="zh-CN"/>
        </w:rPr>
      </w:pPr>
    </w:p>
    <w:p w14:paraId="3278F84E">
      <w:pPr>
        <w:bidi w:val="0"/>
        <w:rPr>
          <w:rFonts w:hint="eastAsia" w:ascii="宋体" w:hAnsi="宋体" w:eastAsia="宋体" w:cs="宋体"/>
          <w:sz w:val="24"/>
          <w:szCs w:val="24"/>
          <w:lang w:val="en-US" w:eastAsia="zh-CN"/>
        </w:rPr>
      </w:pPr>
    </w:p>
    <w:p w14:paraId="1DA8E849">
      <w:pPr>
        <w:bidi w:val="0"/>
        <w:rPr>
          <w:rFonts w:hint="eastAsia" w:ascii="宋体" w:hAnsi="宋体" w:eastAsia="宋体" w:cs="宋体"/>
          <w:sz w:val="24"/>
          <w:szCs w:val="24"/>
          <w:lang w:val="en-US" w:eastAsia="zh-CN"/>
        </w:rPr>
      </w:pPr>
    </w:p>
    <w:p w14:paraId="528A70A3">
      <w:pPr>
        <w:bidi w:val="0"/>
        <w:rPr>
          <w:rFonts w:hint="eastAsia" w:ascii="宋体" w:hAnsi="宋体" w:eastAsia="宋体" w:cs="宋体"/>
          <w:sz w:val="24"/>
          <w:szCs w:val="24"/>
          <w:lang w:val="en-US" w:eastAsia="zh-CN"/>
        </w:rPr>
      </w:pPr>
    </w:p>
    <w:p w14:paraId="6F1616FA">
      <w:pPr>
        <w:bidi w:val="0"/>
        <w:rPr>
          <w:rFonts w:hint="eastAsia" w:ascii="宋体" w:hAnsi="宋体" w:eastAsia="宋体" w:cs="宋体"/>
          <w:sz w:val="24"/>
          <w:szCs w:val="24"/>
          <w:lang w:val="en-US" w:eastAsia="zh-CN"/>
        </w:rPr>
      </w:pPr>
      <w:r>
        <w:rPr>
          <w:rFonts w:hint="eastAsia" w:asciiTheme="minorEastAsia" w:hAnsiTheme="minorEastAsia" w:eastAsiaTheme="minorEastAsia" w:cstheme="minorEastAsia"/>
          <w:sz w:val="30"/>
          <w:szCs w:val="30"/>
          <w:highlight w:val="none"/>
          <w:lang w:val="en-US" w:eastAsia="zh-CN"/>
        </w:rPr>
        <w:t>6</w:t>
      </w:r>
      <w:r>
        <w:rPr>
          <w:rFonts w:hint="eastAsia" w:asciiTheme="minorEastAsia" w:hAnsiTheme="minorEastAsia" w:cstheme="minorEastAsia"/>
          <w:sz w:val="30"/>
          <w:szCs w:val="30"/>
          <w:highlight w:val="none"/>
          <w:lang w:val="en-US" w:eastAsia="zh-CN"/>
        </w:rPr>
        <w:t>.1.7</w:t>
      </w:r>
      <w:r>
        <w:rPr>
          <w:rFonts w:hint="eastAsia" w:asciiTheme="minorEastAsia" w:hAnsiTheme="minorEastAsia" w:eastAsiaTheme="minorEastAsia" w:cstheme="minorEastAsia"/>
          <w:sz w:val="30"/>
          <w:szCs w:val="30"/>
          <w:highlight w:val="none"/>
          <w:lang w:val="en-US" w:eastAsia="zh-CN"/>
        </w:rPr>
        <w:t>给排水改造附</w:t>
      </w:r>
      <w:r>
        <w:rPr>
          <w:rFonts w:hint="eastAsia" w:asciiTheme="minorEastAsia" w:hAnsiTheme="minorEastAsia" w:cstheme="minorEastAsia"/>
          <w:sz w:val="30"/>
          <w:szCs w:val="30"/>
          <w:highlight w:val="none"/>
          <w:lang w:val="en-US" w:eastAsia="zh-CN"/>
        </w:rPr>
        <w:t>图</w:t>
      </w:r>
    </w:p>
    <w:p w14:paraId="24043BD5">
      <w:pPr>
        <w:bidi w:val="0"/>
        <w:rPr>
          <w:rFonts w:hint="eastAsia" w:ascii="宋体" w:hAnsi="宋体" w:eastAsia="宋体" w:cs="宋体"/>
          <w:sz w:val="24"/>
          <w:szCs w:val="24"/>
          <w:lang w:val="en-US" w:eastAsia="zh-CN"/>
        </w:rPr>
      </w:pPr>
    </w:p>
    <w:p w14:paraId="5343A487">
      <w:pPr>
        <w:bidi w:val="0"/>
        <w:rPr>
          <w:rFonts w:hint="eastAsia" w:ascii="宋体" w:hAnsi="宋体" w:eastAsia="宋体" w:cs="宋体"/>
          <w:sz w:val="24"/>
          <w:szCs w:val="24"/>
          <w:lang w:val="en-US" w:eastAsia="zh-CN"/>
        </w:rPr>
      </w:pPr>
    </w:p>
    <w:p w14:paraId="5245F84D">
      <w:pPr>
        <w:bidi w:val="0"/>
        <w:rPr>
          <w:rFonts w:hint="eastAsia" w:ascii="宋体" w:hAnsi="宋体" w:eastAsia="宋体" w:cs="宋体"/>
          <w:sz w:val="24"/>
          <w:szCs w:val="24"/>
          <w:lang w:val="en-US" w:eastAsia="zh-CN"/>
        </w:rPr>
      </w:pPr>
    </w:p>
    <w:p w14:paraId="01853760">
      <w:pPr>
        <w:numPr>
          <w:ilvl w:val="0"/>
          <w:numId w:val="0"/>
        </w:numPr>
        <w:ind w:firstLine="480" w:firstLineChars="200"/>
        <w:rPr>
          <w:rFonts w:hint="eastAsia" w:asciiTheme="minorEastAsia" w:hAnsiTheme="minorEastAsia" w:eastAsiaTheme="minorEastAsia" w:cstheme="minorEastAsia"/>
          <w:sz w:val="30"/>
          <w:szCs w:val="30"/>
          <w:highlight w:val="none"/>
          <w:lang w:val="en-US" w:eastAsia="zh-CN"/>
        </w:rPr>
      </w:pPr>
      <w:r>
        <w:rPr>
          <w:rFonts w:hint="default" w:ascii="宋体" w:hAnsi="宋体" w:eastAsia="宋体" w:cs="宋体"/>
          <w:sz w:val="24"/>
          <w:szCs w:val="24"/>
          <w:lang w:val="en-US" w:eastAsia="zh-CN"/>
        </w:rPr>
        <w:drawing>
          <wp:inline distT="0" distB="0" distL="114300" distR="114300">
            <wp:extent cx="5263515" cy="7442835"/>
            <wp:effectExtent l="0" t="0" r="13335" b="5715"/>
            <wp:docPr id="5" name="图片 3" descr="垫江三中房屋改造平面图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descr="垫江三中房屋改造平面图01"/>
                    <pic:cNvPicPr>
                      <a:picLocks noChangeAspect="1"/>
                    </pic:cNvPicPr>
                  </pic:nvPicPr>
                  <pic:blipFill>
                    <a:blip r:embed="rId15"/>
                    <a:stretch>
                      <a:fillRect/>
                    </a:stretch>
                  </pic:blipFill>
                  <pic:spPr>
                    <a:xfrm>
                      <a:off x="0" y="0"/>
                      <a:ext cx="5263515" cy="7442835"/>
                    </a:xfrm>
                    <a:prstGeom prst="rect">
                      <a:avLst/>
                    </a:prstGeom>
                  </pic:spPr>
                </pic:pic>
              </a:graphicData>
            </a:graphic>
          </wp:inline>
        </w:drawing>
      </w:r>
    </w:p>
    <w:p w14:paraId="6B4E81EF">
      <w:pPr>
        <w:bidi w:val="0"/>
        <w:rPr>
          <w:rFonts w:hint="default" w:ascii="宋体" w:hAnsi="宋体" w:eastAsia="宋体" w:cs="宋体"/>
          <w:sz w:val="24"/>
          <w:szCs w:val="24"/>
          <w:lang w:val="en-US" w:eastAsia="zh-CN"/>
        </w:rPr>
      </w:pPr>
      <w:r>
        <w:rPr>
          <w:rFonts w:hint="default" w:ascii="宋体" w:hAnsi="宋体" w:eastAsia="宋体" w:cs="宋体"/>
          <w:sz w:val="24"/>
          <w:szCs w:val="24"/>
          <w:lang w:val="en-US" w:eastAsia="zh-CN"/>
        </w:rPr>
        <w:drawing>
          <wp:inline distT="0" distB="0" distL="114300" distR="114300">
            <wp:extent cx="8787765" cy="6214110"/>
            <wp:effectExtent l="0" t="0" r="15240" b="13335"/>
            <wp:docPr id="8" name="图片 4" descr="垫江三中房屋改造平面图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 descr="垫江三中房屋改造平面图02"/>
                    <pic:cNvPicPr>
                      <a:picLocks noChangeAspect="1"/>
                    </pic:cNvPicPr>
                  </pic:nvPicPr>
                  <pic:blipFill>
                    <a:blip r:embed="rId16"/>
                    <a:stretch>
                      <a:fillRect/>
                    </a:stretch>
                  </pic:blipFill>
                  <pic:spPr>
                    <a:xfrm rot="5400000">
                      <a:off x="0" y="0"/>
                      <a:ext cx="8787765" cy="6214110"/>
                    </a:xfrm>
                    <a:prstGeom prst="rect">
                      <a:avLst/>
                    </a:prstGeom>
                  </pic:spPr>
                </pic:pic>
              </a:graphicData>
            </a:graphic>
          </wp:inline>
        </w:drawing>
      </w:r>
    </w:p>
    <w:p w14:paraId="1C435E5A">
      <w:pPr>
        <w:bidi w:val="0"/>
        <w:rPr>
          <w:rFonts w:hint="default" w:ascii="宋体" w:hAnsi="宋体" w:eastAsia="宋体" w:cs="宋体"/>
          <w:sz w:val="24"/>
          <w:szCs w:val="24"/>
          <w:lang w:val="en-US" w:eastAsia="zh-CN"/>
        </w:rPr>
      </w:pPr>
      <w:r>
        <w:rPr>
          <w:rFonts w:hint="default" w:ascii="宋体" w:hAnsi="宋体" w:eastAsia="宋体" w:cs="宋体"/>
          <w:sz w:val="24"/>
          <w:szCs w:val="24"/>
          <w:lang w:val="en-US" w:eastAsia="zh-CN"/>
        </w:rPr>
        <w:drawing>
          <wp:inline distT="0" distB="0" distL="114300" distR="114300">
            <wp:extent cx="5263515" cy="7442835"/>
            <wp:effectExtent l="0" t="0" r="13335" b="5715"/>
            <wp:docPr id="11" name="图片 5" descr="垫江三中房屋改造平面图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5" descr="垫江三中房屋改造平面图03"/>
                    <pic:cNvPicPr>
                      <a:picLocks noChangeAspect="1"/>
                    </pic:cNvPicPr>
                  </pic:nvPicPr>
                  <pic:blipFill>
                    <a:blip r:embed="rId17"/>
                    <a:stretch>
                      <a:fillRect/>
                    </a:stretch>
                  </pic:blipFill>
                  <pic:spPr>
                    <a:xfrm>
                      <a:off x="0" y="0"/>
                      <a:ext cx="5263515" cy="7442835"/>
                    </a:xfrm>
                    <a:prstGeom prst="rect">
                      <a:avLst/>
                    </a:prstGeom>
                  </pic:spPr>
                </pic:pic>
              </a:graphicData>
            </a:graphic>
          </wp:inline>
        </w:drawing>
      </w:r>
      <w:r>
        <w:rPr>
          <w:rFonts w:hint="default" w:ascii="宋体" w:hAnsi="宋体" w:eastAsia="宋体" w:cs="宋体"/>
          <w:sz w:val="24"/>
          <w:szCs w:val="24"/>
          <w:lang w:val="en-US" w:eastAsia="zh-CN"/>
        </w:rPr>
        <w:drawing>
          <wp:inline distT="0" distB="0" distL="114300" distR="114300">
            <wp:extent cx="8773795" cy="6203950"/>
            <wp:effectExtent l="0" t="0" r="6350" b="8255"/>
            <wp:docPr id="14" name="图片 6" descr="垫江三中房屋改造平面图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6" descr="垫江三中房屋改造平面图04"/>
                    <pic:cNvPicPr>
                      <a:picLocks noChangeAspect="1"/>
                    </pic:cNvPicPr>
                  </pic:nvPicPr>
                  <pic:blipFill>
                    <a:blip r:embed="rId18"/>
                    <a:stretch>
                      <a:fillRect/>
                    </a:stretch>
                  </pic:blipFill>
                  <pic:spPr>
                    <a:xfrm rot="5400000">
                      <a:off x="0" y="0"/>
                      <a:ext cx="8773795" cy="6203950"/>
                    </a:xfrm>
                    <a:prstGeom prst="rect">
                      <a:avLst/>
                    </a:prstGeom>
                  </pic:spPr>
                </pic:pic>
              </a:graphicData>
            </a:graphic>
          </wp:inline>
        </w:drawing>
      </w:r>
    </w:p>
    <w:p w14:paraId="0AB048B1">
      <w:pPr>
        <w:bidi w:val="0"/>
        <w:rPr>
          <w:rFonts w:hint="default" w:ascii="宋体" w:hAnsi="宋体" w:eastAsia="宋体" w:cs="宋体"/>
          <w:sz w:val="24"/>
          <w:szCs w:val="24"/>
          <w:lang w:val="en-US" w:eastAsia="zh-CN"/>
        </w:rPr>
      </w:pPr>
      <w:r>
        <w:rPr>
          <w:rFonts w:hint="default" w:ascii="宋体" w:hAnsi="宋体" w:eastAsia="宋体" w:cs="宋体"/>
          <w:sz w:val="24"/>
          <w:szCs w:val="24"/>
          <w:lang w:val="en-US" w:eastAsia="zh-CN"/>
        </w:rPr>
        <w:drawing>
          <wp:inline distT="0" distB="0" distL="114300" distR="114300">
            <wp:extent cx="5263515" cy="7442835"/>
            <wp:effectExtent l="0" t="0" r="13335" b="5715"/>
            <wp:docPr id="17" name="图片 7" descr="垫江三中房屋改造平面图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7" descr="垫江三中房屋改造平面图05"/>
                    <pic:cNvPicPr>
                      <a:picLocks noChangeAspect="1"/>
                    </pic:cNvPicPr>
                  </pic:nvPicPr>
                  <pic:blipFill>
                    <a:blip r:embed="rId19"/>
                    <a:stretch>
                      <a:fillRect/>
                    </a:stretch>
                  </pic:blipFill>
                  <pic:spPr>
                    <a:xfrm>
                      <a:off x="0" y="0"/>
                      <a:ext cx="5263515" cy="7442835"/>
                    </a:xfrm>
                    <a:prstGeom prst="rect">
                      <a:avLst/>
                    </a:prstGeom>
                  </pic:spPr>
                </pic:pic>
              </a:graphicData>
            </a:graphic>
          </wp:inline>
        </w:drawing>
      </w:r>
      <w:r>
        <w:rPr>
          <w:rFonts w:hint="default" w:ascii="宋体" w:hAnsi="宋体" w:eastAsia="宋体" w:cs="宋体"/>
          <w:sz w:val="24"/>
          <w:szCs w:val="24"/>
          <w:lang w:val="en-US" w:eastAsia="zh-CN"/>
        </w:rPr>
        <w:drawing>
          <wp:inline distT="0" distB="0" distL="114300" distR="114300">
            <wp:extent cx="8807450" cy="6227445"/>
            <wp:effectExtent l="0" t="0" r="1905" b="12700"/>
            <wp:docPr id="20" name="图片 8" descr="垫江三中房屋改造平面图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8" descr="垫江三中房屋改造平面图06"/>
                    <pic:cNvPicPr>
                      <a:picLocks noChangeAspect="1"/>
                    </pic:cNvPicPr>
                  </pic:nvPicPr>
                  <pic:blipFill>
                    <a:blip r:embed="rId20"/>
                    <a:stretch>
                      <a:fillRect/>
                    </a:stretch>
                  </pic:blipFill>
                  <pic:spPr>
                    <a:xfrm rot="5400000">
                      <a:off x="0" y="0"/>
                      <a:ext cx="8807450" cy="6227445"/>
                    </a:xfrm>
                    <a:prstGeom prst="rect">
                      <a:avLst/>
                    </a:prstGeom>
                  </pic:spPr>
                </pic:pic>
              </a:graphicData>
            </a:graphic>
          </wp:inline>
        </w:drawing>
      </w:r>
    </w:p>
    <w:p w14:paraId="3B1640DB">
      <w:pPr>
        <w:bidi w:val="0"/>
        <w:rPr>
          <w:rFonts w:hint="default" w:ascii="宋体" w:hAnsi="宋体" w:eastAsia="宋体" w:cs="宋体"/>
          <w:sz w:val="24"/>
          <w:szCs w:val="24"/>
          <w:lang w:val="en-US" w:eastAsia="zh-CN"/>
        </w:rPr>
      </w:pPr>
      <w:r>
        <w:rPr>
          <w:rFonts w:hint="default" w:ascii="宋体" w:hAnsi="宋体" w:eastAsia="宋体" w:cs="宋体"/>
          <w:sz w:val="24"/>
          <w:szCs w:val="24"/>
          <w:lang w:val="en-US" w:eastAsia="zh-CN"/>
        </w:rPr>
        <w:drawing>
          <wp:inline distT="0" distB="0" distL="114300" distR="114300">
            <wp:extent cx="5263515" cy="7442835"/>
            <wp:effectExtent l="0" t="0" r="13335" b="5715"/>
            <wp:docPr id="23" name="图片 9" descr="垫江三中房屋改造平面图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9" descr="垫江三中房屋改造平面图07"/>
                    <pic:cNvPicPr>
                      <a:picLocks noChangeAspect="1"/>
                    </pic:cNvPicPr>
                  </pic:nvPicPr>
                  <pic:blipFill>
                    <a:blip r:embed="rId21"/>
                    <a:stretch>
                      <a:fillRect/>
                    </a:stretch>
                  </pic:blipFill>
                  <pic:spPr>
                    <a:xfrm>
                      <a:off x="0" y="0"/>
                      <a:ext cx="5263515" cy="7442835"/>
                    </a:xfrm>
                    <a:prstGeom prst="rect">
                      <a:avLst/>
                    </a:prstGeom>
                  </pic:spPr>
                </pic:pic>
              </a:graphicData>
            </a:graphic>
          </wp:inline>
        </w:drawing>
      </w:r>
      <w:r>
        <w:rPr>
          <w:rFonts w:hint="default" w:ascii="宋体" w:hAnsi="宋体" w:eastAsia="宋体" w:cs="宋体"/>
          <w:sz w:val="24"/>
          <w:szCs w:val="24"/>
          <w:lang w:val="en-US" w:eastAsia="zh-CN"/>
        </w:rPr>
        <w:drawing>
          <wp:inline distT="0" distB="0" distL="114300" distR="114300">
            <wp:extent cx="8816340" cy="6233795"/>
            <wp:effectExtent l="0" t="0" r="14605" b="3810"/>
            <wp:docPr id="26" name="图片 10" descr="垫江三中房屋改造平面图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0" descr="垫江三中房屋改造平面图08"/>
                    <pic:cNvPicPr>
                      <a:picLocks noChangeAspect="1"/>
                    </pic:cNvPicPr>
                  </pic:nvPicPr>
                  <pic:blipFill>
                    <a:blip r:embed="rId22"/>
                    <a:stretch>
                      <a:fillRect/>
                    </a:stretch>
                  </pic:blipFill>
                  <pic:spPr>
                    <a:xfrm rot="5400000">
                      <a:off x="0" y="0"/>
                      <a:ext cx="8816340" cy="6233795"/>
                    </a:xfrm>
                    <a:prstGeom prst="rect">
                      <a:avLst/>
                    </a:prstGeom>
                  </pic:spPr>
                </pic:pic>
              </a:graphicData>
            </a:graphic>
          </wp:inline>
        </w:drawing>
      </w:r>
    </w:p>
    <w:p w14:paraId="64DFC139">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6.2电气专业</w:t>
      </w:r>
    </w:p>
    <w:p w14:paraId="44E7AF6D">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6.2.1遵循的规范及标准</w:t>
      </w:r>
    </w:p>
    <w:p w14:paraId="1ECF9893">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1.《建筑电气与智能化通用规范》GB55024-2022；</w:t>
      </w:r>
    </w:p>
    <w:p w14:paraId="2BDB4608">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 xml:space="preserve">2.《建筑防火通用规范》GB55037-2022； </w:t>
      </w:r>
    </w:p>
    <w:p w14:paraId="1C355046">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3.《建筑环境通用规范》GB 55016-2021；</w:t>
      </w:r>
    </w:p>
    <w:p w14:paraId="7D3F872F">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4.《建筑节能与可再生能源利用通用规范》GB55015-2021；</w:t>
      </w:r>
    </w:p>
    <w:p w14:paraId="28D27FCF">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 xml:space="preserve">5.《建筑设计防火规范》GB50016-2014（2018年版）； </w:t>
      </w:r>
    </w:p>
    <w:p w14:paraId="374A8DF1">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6.《安全防范工程通用规范》GB55029-2022；</w:t>
      </w:r>
    </w:p>
    <w:p w14:paraId="32EDFA13">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 xml:space="preserve">7.《民用建筑电气设计标准》GB51348-2019； </w:t>
      </w:r>
    </w:p>
    <w:p w14:paraId="01960301">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 xml:space="preserve">8.《建筑机电工程抗震设计规范》GB50981-2014； </w:t>
      </w:r>
    </w:p>
    <w:p w14:paraId="1E9C782F">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 xml:space="preserve">9.《建筑物防雷设计规范》GB50057-2010； </w:t>
      </w:r>
    </w:p>
    <w:p w14:paraId="4398A398">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 xml:space="preserve">10.《低压配电设计规范》GB50054-2011； </w:t>
      </w:r>
    </w:p>
    <w:p w14:paraId="63A0655F">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 xml:space="preserve">11.《供配电系统设计规范》GB50052-2009； </w:t>
      </w:r>
    </w:p>
    <w:p w14:paraId="7F086774">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 xml:space="preserve">12.《建筑照明设计标准》GB/T50034-2024； </w:t>
      </w:r>
    </w:p>
    <w:p w14:paraId="594B60CA">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 xml:space="preserve">13.国家和地方与本工程有关的其它现行设计规范、标准、法规和条例； </w:t>
      </w:r>
    </w:p>
    <w:p w14:paraId="54D70DAF">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 xml:space="preserve">14.甲方提供的设计任务书及设计要求。 </w:t>
      </w:r>
    </w:p>
    <w:p w14:paraId="382AA29F">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6.2.2设计资料</w:t>
      </w:r>
    </w:p>
    <w:p w14:paraId="3B516A8B">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建设单位提供的本工程有关资料和设计任务书；</w:t>
      </w:r>
    </w:p>
    <w:p w14:paraId="6818E4D3">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建设单位提供的红线内1：500实测地形管线图。</w:t>
      </w:r>
    </w:p>
    <w:p w14:paraId="15AAC90C">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6.2.3设计原则</w:t>
      </w:r>
    </w:p>
    <w:p w14:paraId="4D59F63B">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原建筑室内配电系统破损老旧，出现线路破损等状况。本次将其原系统修复。</w:t>
      </w:r>
    </w:p>
    <w:p w14:paraId="151D6419">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6.2.4配电系统</w:t>
      </w:r>
    </w:p>
    <w:p w14:paraId="015EEA46">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本工程供电电源为380/220V低压电源，从原楼栋总配电箱引入单电源供电。</w:t>
      </w:r>
    </w:p>
    <w:p w14:paraId="0E04F850">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既有建筑电气改造工程的设计，应在对既有建筑供配电系统、照明系统和防雷接地系统现场检查、评定的基础上，根据改造后建筑物的用电负荷情况和使用要求进行供配电系统、照明系统和防雷接地系统设计。</w:t>
      </w:r>
    </w:p>
    <w:p w14:paraId="3E77D424">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220/380V低压配电系统采用放射式与树干式相结合的方式，对于单台容量较大的负荷或重要负荷采用放射式供电，照明及一般负荷采用树干式与放射式相结合的配电方式</w:t>
      </w:r>
      <w:r>
        <w:rPr>
          <w:rFonts w:hint="eastAsia" w:asciiTheme="minorEastAsia" w:hAnsiTheme="minorEastAsia" w:eastAsiaTheme="minorEastAsia" w:cstheme="minorEastAsia"/>
          <w:sz w:val="30"/>
          <w:szCs w:val="30"/>
          <w:highlight w:val="none"/>
          <w:lang w:val="en-US" w:eastAsia="zh-CN"/>
        </w:rPr>
        <w:t>。</w:t>
      </w:r>
    </w:p>
    <w:p w14:paraId="6326A16C">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配电线路设短路和过负荷保护，对于突然断电比过负荷造成的损失更大的线路，该线路的过负荷保护只作用于报警而作用于不跳闸。</w:t>
      </w:r>
    </w:p>
    <w:p w14:paraId="3A47649C">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配电线路断路器的短路保护应在短路电流对导体和连接件产生的热效应和机械力造成危险之前切断短路电流。</w:t>
      </w:r>
    </w:p>
    <w:p w14:paraId="7E60937A">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本工程计量仪表均选用数字式仪表过负荷型，准确度为0.5级。其中电能表过载应在4倍以上。</w:t>
      </w:r>
    </w:p>
    <w:p w14:paraId="28D88352">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6.2.5 照明系统</w:t>
      </w:r>
    </w:p>
    <w:p w14:paraId="6BE7FAE6">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1、本工程替换原有楼道灯具，楼梯间采用吸顶节能灯、走道采用吸顶节能灯或嵌入式节能筒灯。</w:t>
      </w:r>
    </w:p>
    <w:p w14:paraId="52FCCF6A">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2、</w:t>
      </w:r>
      <w:r>
        <w:rPr>
          <w:rFonts w:hint="default" w:asciiTheme="minorEastAsia" w:hAnsiTheme="minorEastAsia" w:eastAsiaTheme="minorEastAsia" w:cstheme="minorEastAsia"/>
          <w:sz w:val="30"/>
          <w:szCs w:val="30"/>
          <w:highlight w:val="none"/>
          <w:lang w:val="en-US" w:eastAsia="zh-CN"/>
        </w:rPr>
        <w:t>开关、插座和照明灯具靠近可燃物时，应采取隔热、散热等防火措施。</w:t>
      </w:r>
    </w:p>
    <w:p w14:paraId="5AB02086">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 xml:space="preserve">  </w:t>
      </w:r>
      <w:r>
        <w:rPr>
          <w:rFonts w:hint="eastAsia" w:asciiTheme="minorEastAsia" w:hAnsiTheme="minorEastAsia" w:eastAsiaTheme="minorEastAsia" w:cstheme="minorEastAsia"/>
          <w:sz w:val="30"/>
          <w:szCs w:val="30"/>
          <w:highlight w:val="none"/>
          <w:lang w:val="en-US" w:eastAsia="zh-CN"/>
        </w:rPr>
        <w:t xml:space="preserve">  </w:t>
      </w:r>
      <w:r>
        <w:rPr>
          <w:rFonts w:hint="default" w:asciiTheme="minorEastAsia" w:hAnsiTheme="minorEastAsia" w:eastAsiaTheme="minorEastAsia" w:cstheme="minorEastAsia"/>
          <w:sz w:val="30"/>
          <w:szCs w:val="30"/>
          <w:highlight w:val="none"/>
          <w:lang w:val="en-US" w:eastAsia="zh-CN"/>
        </w:rPr>
        <w:t>卤钨灯和额定功率不小于100W的白炽灯泡的吸顶灯、槽灯、嵌入式灯，其引入线应采用瓷管、矿棉等不燃材料作隔热保护。</w:t>
      </w:r>
    </w:p>
    <w:p w14:paraId="1005F97E">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 xml:space="preserve">  </w:t>
      </w:r>
      <w:r>
        <w:rPr>
          <w:rFonts w:hint="eastAsia" w:asciiTheme="minorEastAsia" w:hAnsiTheme="minorEastAsia" w:eastAsiaTheme="minorEastAsia" w:cstheme="minorEastAsia"/>
          <w:sz w:val="30"/>
          <w:szCs w:val="30"/>
          <w:highlight w:val="none"/>
          <w:lang w:val="en-US" w:eastAsia="zh-CN"/>
        </w:rPr>
        <w:t xml:space="preserve">  </w:t>
      </w:r>
      <w:r>
        <w:rPr>
          <w:rFonts w:hint="default" w:asciiTheme="minorEastAsia" w:hAnsiTheme="minorEastAsia" w:eastAsiaTheme="minorEastAsia" w:cstheme="minorEastAsia"/>
          <w:sz w:val="30"/>
          <w:szCs w:val="30"/>
          <w:highlight w:val="none"/>
          <w:lang w:val="en-US" w:eastAsia="zh-CN"/>
        </w:rPr>
        <w:t>额定功率不小于60W 的白炽灯、卤鸽灯、高压纳灯、金属卤化物灯、荧光高压汞灯(包括电感镇流器)等，不应直接安装在可燃物体上或采取其他防火措施。</w:t>
      </w:r>
    </w:p>
    <w:p w14:paraId="7AAB2D7E">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3</w:t>
      </w:r>
      <w:r>
        <w:rPr>
          <w:rFonts w:hint="default" w:asciiTheme="minorEastAsia" w:hAnsiTheme="minorEastAsia" w:eastAsiaTheme="minorEastAsia" w:cstheme="minorEastAsia"/>
          <w:sz w:val="30"/>
          <w:szCs w:val="30"/>
          <w:highlight w:val="none"/>
          <w:lang w:val="en-US" w:eastAsia="zh-CN"/>
        </w:rPr>
        <w:t>、照明控制：</w:t>
      </w:r>
      <w:r>
        <w:rPr>
          <w:rFonts w:hint="eastAsia" w:asciiTheme="minorEastAsia" w:hAnsiTheme="minorEastAsia" w:eastAsiaTheme="minorEastAsia" w:cstheme="minorEastAsia"/>
          <w:sz w:val="30"/>
          <w:szCs w:val="30"/>
          <w:highlight w:val="none"/>
          <w:lang w:val="en-US" w:eastAsia="zh-CN"/>
        </w:rPr>
        <w:t>楼梯间灯具采用红外感应开关控制，楼道间灯具</w:t>
      </w:r>
      <w:r>
        <w:rPr>
          <w:rFonts w:hint="default" w:asciiTheme="minorEastAsia" w:hAnsiTheme="minorEastAsia" w:eastAsiaTheme="minorEastAsia" w:cstheme="minorEastAsia"/>
          <w:sz w:val="30"/>
          <w:szCs w:val="30"/>
          <w:highlight w:val="none"/>
          <w:lang w:val="en-US" w:eastAsia="zh-CN"/>
        </w:rPr>
        <w:t>采用普通开关就地控制。</w:t>
      </w:r>
    </w:p>
    <w:p w14:paraId="2E5F4518">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6.2.6 线路敷设</w:t>
      </w:r>
    </w:p>
    <w:p w14:paraId="3A363C47">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1、本工程消防及非消防荷配电电线电缆均需符合《民用建筑电线电缆防火设计标准》DBJ50/T-164-2021及《电缆及光缆燃烧性能分级》GB 31247-2014规定，电线电缆满足燃烧性能B2级、产烟毒性为t2级、燃烧滴落物/微粒等级为d2级的要求。</w:t>
      </w:r>
    </w:p>
    <w:p w14:paraId="566DCB4D">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所有线路采用铜芯导线、电缆。普通公共设施配电干线、分支干线采用WDZB-YJY-B2电缆，公共照明支线出线路采用WDZC-BYJ-B2导线；其他非消防支线采用WDZC-BYJ-B2导线。</w:t>
      </w:r>
    </w:p>
    <w:p w14:paraId="712E2606">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普通用电负荷线缆沿专用电缆桥架引至各配电箱。所有线缆从竖井至末端线路暗敷于楼板时穿JDG金属管或SC钢管。配电线路不得穿越通风管道内腔或直接敷设在通风管道外壁上。配电线路明敷时采取穿金属导管、采用封闭式金属桥架等防火保护措施。</w:t>
      </w:r>
    </w:p>
    <w:p w14:paraId="761F48D7">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电气管线暗敷于楼板内应分散布置，在交叉处采用线盒等措施。管道直径不超过楼板厚度的1/3，管道重叠不超过两层。为保证线路运行安全和防火、阻燃要求，布线用刚性塑料导管(槽)及附件必须选用非火焰蔓延类制品。当非消防电线导管暗敷设在楼板、墙体内时，其与楼板、墙体表面的外护层厚度不应小于15mm。</w:t>
      </w:r>
    </w:p>
    <w:p w14:paraId="147BF78A">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导线穿管标准（详见国标图集19DX101-1及地方标准）</w:t>
      </w:r>
      <w:r>
        <w:rPr>
          <w:rFonts w:hint="eastAsia" w:asciiTheme="minorEastAsia" w:hAnsiTheme="minorEastAsia" w:eastAsiaTheme="minorEastAsia" w:cstheme="minorEastAsia"/>
          <w:sz w:val="30"/>
          <w:szCs w:val="30"/>
          <w:highlight w:val="none"/>
          <w:lang w:val="en-US" w:eastAsia="zh-CN"/>
        </w:rPr>
        <w:t>：</w:t>
      </w:r>
      <w:r>
        <w:rPr>
          <w:rFonts w:hint="default" w:asciiTheme="minorEastAsia" w:hAnsiTheme="minorEastAsia" w:eastAsiaTheme="minorEastAsia" w:cstheme="minorEastAsia"/>
          <w:sz w:val="30"/>
          <w:szCs w:val="30"/>
          <w:highlight w:val="none"/>
          <w:lang w:val="en-US" w:eastAsia="zh-CN"/>
        </w:rPr>
        <w:t>埋设于地下或混凝土楼板内的PVC管应采用重型PVC-U B1级阻燃电工用硬聚氯乙烯管材（本图简称为PC管）制作工艺应符合JG/T3050等国家标准；SC管制作工艺应符合GB/T3091-2008等国家标准；KBG管制作工艺应符合GB/T20041.21-2017等国家标准，并满足说明相关规范壁厚要求。</w:t>
      </w:r>
    </w:p>
    <w:p w14:paraId="5FD8EFC5">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灯具吸吊顶安装时,从接线盒至灯具的导线穿金属软管保护,金属软管长度不宜大于1.2m。动力管线具体管径及敷设方式详见系统图或平面图标注。</w:t>
      </w:r>
    </w:p>
    <w:p w14:paraId="2F66D5B7">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住宅户内、公共区域的照明线路均标明开关与灯具的控制逻辑关系。室内安装的Ⅰ类灯具之金属外壳均与PE专用保护线可靠连接。</w:t>
      </w:r>
    </w:p>
    <w:p w14:paraId="066D74D0">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电气线路和各类管道穿过防火墙、防火隔墙、竖井井壁、建筑变形缝处和楼板处的孔隙应采取防火封堵措施。防火封堵组件的耐火性能不应低于防火分隔部位的耐火性能要求。线路穿越楼板位置，在安装完毕须将孔洞采用不低于楼板耐火极限的不燃材料或防火封堵材料封堵；穿越防火分区隔墙位置，在电缆敷设后须采用不低于原建筑构造耐火极限的防火封堵材料做严密封堵处理，当保护管、桥架等内截≥710</w:t>
      </w:r>
      <w:r>
        <w:rPr>
          <w:rFonts w:hint="eastAsia" w:asciiTheme="minorEastAsia" w:hAnsiTheme="minorEastAsia" w:eastAsiaTheme="minorEastAsia" w:cstheme="minorEastAsia"/>
          <w:sz w:val="30"/>
          <w:szCs w:val="30"/>
          <w:highlight w:val="none"/>
          <w:lang w:val="en-US" w:eastAsia="zh-CN"/>
        </w:rPr>
        <w:t>mm²</w:t>
      </w:r>
      <w:r>
        <w:rPr>
          <w:rFonts w:hint="default" w:asciiTheme="minorEastAsia" w:hAnsiTheme="minorEastAsia" w:eastAsiaTheme="minorEastAsia" w:cstheme="minorEastAsia"/>
          <w:sz w:val="30"/>
          <w:szCs w:val="30"/>
          <w:highlight w:val="none"/>
          <w:lang w:val="en-US" w:eastAsia="zh-CN"/>
        </w:rPr>
        <w:t>时，需从内部封堵。线路穿越人防密闭墙位置，需预埋热镀锌密闭钢套管，并采取密闭措施。</w:t>
      </w:r>
    </w:p>
    <w:p w14:paraId="28F07497">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过负荷及短路保护开关与回路导体载流量减小处的距离不超过3米，该段线路需采取防止机械损伤等保护措施，且远离可燃物。</w:t>
      </w:r>
    </w:p>
    <w:p w14:paraId="7D324BC8">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箱（柜）上方不应有水管和其它无关管道通过。</w:t>
      </w:r>
    </w:p>
    <w:p w14:paraId="1915E0CB">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凡管线经过伸缩沉降缝时应做好伸缩补偿装置,应按照D301-1~3《室内管线安装（2004年合订本）》中对应做法进行施工。</w:t>
      </w:r>
    </w:p>
    <w:p w14:paraId="793E2FC0">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照明、插座分回路配电，照明回路为单相三线，灯具的外露可导电部分应可靠接地；插座回路为单相三线，采用漏电断路器保护）。普通照明灯具均为I类，不得采用0类灯具。</w:t>
      </w:r>
    </w:p>
    <w:p w14:paraId="156EC235">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强电桥架内电线电缆的总截面不大于桥架截面的20%；强电桥架内电线电缆的总截面不大于桥架截面的40%。强、弱电线路不得共管、共桥架敷设。电力管线与其它管道之间的最小距离按相关施工验收规范确定。电缆与电线同桥架敷设时，桥架内应设置分隔，并分别敷设在不同的分隔槽内。</w:t>
      </w:r>
    </w:p>
    <w:p w14:paraId="384EC72C">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本图内电缆桥架的设计和架设路由如图所示。其中，非消防配电电缆应以在桥架上单层并排无间距敷设来确定其最终的桥架宽度、边高和层数</w:t>
      </w:r>
      <w:r>
        <w:rPr>
          <w:rFonts w:hint="eastAsia" w:asciiTheme="minorEastAsia" w:hAnsiTheme="minorEastAsia" w:eastAsiaTheme="minorEastAsia" w:cstheme="minorEastAsia"/>
          <w:sz w:val="30"/>
          <w:szCs w:val="30"/>
          <w:highlight w:val="none"/>
          <w:lang w:val="en-US" w:eastAsia="zh-CN"/>
        </w:rPr>
        <w:t>，</w:t>
      </w:r>
      <w:r>
        <w:rPr>
          <w:rFonts w:hint="default" w:asciiTheme="minorEastAsia" w:hAnsiTheme="minorEastAsia" w:eastAsiaTheme="minorEastAsia" w:cstheme="minorEastAsia"/>
          <w:sz w:val="30"/>
          <w:szCs w:val="30"/>
          <w:highlight w:val="none"/>
          <w:lang w:val="en-US" w:eastAsia="zh-CN"/>
        </w:rPr>
        <w:t>在实际施工现场来进行配置和调整。</w:t>
      </w:r>
    </w:p>
    <w:p w14:paraId="29D7526D">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当金属导管与热水管、蒸汽管同侧敷设时，敷设在热水管、蒸汽管的下方。相互间的净距宜符合下列规定：</w:t>
      </w:r>
    </w:p>
    <w:p w14:paraId="47479E91">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 xml:space="preserve"> </w:t>
      </w:r>
      <w:r>
        <w:rPr>
          <w:rFonts w:hint="eastAsia" w:asciiTheme="minorEastAsia" w:hAnsiTheme="minorEastAsia" w:eastAsiaTheme="minorEastAsia" w:cstheme="minorEastAsia"/>
          <w:sz w:val="30"/>
          <w:szCs w:val="30"/>
          <w:highlight w:val="none"/>
          <w:lang w:val="en-US" w:eastAsia="zh-CN"/>
        </w:rPr>
        <w:t xml:space="preserve">   </w:t>
      </w:r>
      <w:r>
        <w:rPr>
          <w:rFonts w:hint="default" w:asciiTheme="minorEastAsia" w:hAnsiTheme="minorEastAsia" w:eastAsiaTheme="minorEastAsia" w:cstheme="minorEastAsia"/>
          <w:sz w:val="30"/>
          <w:szCs w:val="30"/>
          <w:highlight w:val="none"/>
          <w:lang w:val="en-US" w:eastAsia="zh-CN"/>
        </w:rPr>
        <w:t>1</w:t>
      </w:r>
      <w:r>
        <w:rPr>
          <w:rFonts w:hint="eastAsia" w:asciiTheme="minorEastAsia" w:hAnsiTheme="minorEastAsia" w:eastAsiaTheme="minorEastAsia" w:cstheme="minorEastAsia"/>
          <w:sz w:val="30"/>
          <w:szCs w:val="30"/>
          <w:highlight w:val="none"/>
          <w:lang w:val="en-US" w:eastAsia="zh-CN"/>
        </w:rPr>
        <w:t>）</w:t>
      </w:r>
      <w:r>
        <w:rPr>
          <w:rFonts w:hint="default" w:asciiTheme="minorEastAsia" w:hAnsiTheme="minorEastAsia" w:eastAsiaTheme="minorEastAsia" w:cstheme="minorEastAsia"/>
          <w:sz w:val="30"/>
          <w:szCs w:val="30"/>
          <w:highlight w:val="none"/>
          <w:lang w:val="en-US" w:eastAsia="zh-CN"/>
        </w:rPr>
        <w:t>当金属导管平行敷设在热水管下方时，净距不宜小于200mm；交叉敷设时，净距不宜小于100mm；</w:t>
      </w:r>
    </w:p>
    <w:p w14:paraId="5C283DEE">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2</w:t>
      </w:r>
      <w:r>
        <w:rPr>
          <w:rFonts w:hint="eastAsia" w:asciiTheme="minorEastAsia" w:hAnsiTheme="minorEastAsia" w:eastAsiaTheme="minorEastAsia" w:cstheme="minorEastAsia"/>
          <w:sz w:val="30"/>
          <w:szCs w:val="30"/>
          <w:highlight w:val="none"/>
          <w:lang w:val="en-US" w:eastAsia="zh-CN"/>
        </w:rPr>
        <w:t>）</w:t>
      </w:r>
      <w:r>
        <w:rPr>
          <w:rFonts w:hint="default" w:asciiTheme="minorEastAsia" w:hAnsiTheme="minorEastAsia" w:eastAsiaTheme="minorEastAsia" w:cstheme="minorEastAsia"/>
          <w:sz w:val="30"/>
          <w:szCs w:val="30"/>
          <w:highlight w:val="none"/>
          <w:lang w:val="en-US" w:eastAsia="zh-CN"/>
        </w:rPr>
        <w:t>当电线管路敷设在蒸汽管下方时净距不宜小于500mm；交叉敷设时，净距不宜小于300mm；</w:t>
      </w:r>
    </w:p>
    <w:p w14:paraId="26DB0AE2">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3</w:t>
      </w:r>
      <w:r>
        <w:rPr>
          <w:rFonts w:hint="eastAsia" w:asciiTheme="minorEastAsia" w:hAnsiTheme="minorEastAsia" w:eastAsiaTheme="minorEastAsia" w:cstheme="minorEastAsia"/>
          <w:sz w:val="30"/>
          <w:szCs w:val="30"/>
          <w:highlight w:val="none"/>
          <w:lang w:val="en-US" w:eastAsia="zh-CN"/>
        </w:rPr>
        <w:t>）</w:t>
      </w:r>
      <w:r>
        <w:rPr>
          <w:rFonts w:hint="default" w:asciiTheme="minorEastAsia" w:hAnsiTheme="minorEastAsia" w:eastAsiaTheme="minorEastAsia" w:cstheme="minorEastAsia"/>
          <w:sz w:val="30"/>
          <w:szCs w:val="30"/>
          <w:highlight w:val="none"/>
          <w:lang w:val="en-US" w:eastAsia="zh-CN"/>
        </w:rPr>
        <w:t>当不能符合上述要求时，应采取隔热措施；当蒸汽管有保温措施时，金属导管与蒸汽管间的净距可减至200mm；</w:t>
      </w:r>
    </w:p>
    <w:p w14:paraId="6F33B911">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4</w:t>
      </w:r>
      <w:r>
        <w:rPr>
          <w:rFonts w:hint="eastAsia" w:asciiTheme="minorEastAsia" w:hAnsiTheme="minorEastAsia" w:eastAsiaTheme="minorEastAsia" w:cstheme="minorEastAsia"/>
          <w:sz w:val="30"/>
          <w:szCs w:val="30"/>
          <w:highlight w:val="none"/>
          <w:lang w:val="en-US" w:eastAsia="zh-CN"/>
        </w:rPr>
        <w:t>）</w:t>
      </w:r>
      <w:r>
        <w:rPr>
          <w:rFonts w:hint="default" w:asciiTheme="minorEastAsia" w:hAnsiTheme="minorEastAsia" w:eastAsiaTheme="minorEastAsia" w:cstheme="minorEastAsia"/>
          <w:sz w:val="30"/>
          <w:szCs w:val="30"/>
          <w:highlight w:val="none"/>
          <w:lang w:val="en-US" w:eastAsia="zh-CN"/>
        </w:rPr>
        <w:t>金属导管与其他管道（不包括可燃气体及易燃、可燃液体管道）的平行净距不应小于100mm；交叉净距不应小于50mm。</w:t>
      </w:r>
    </w:p>
    <w:p w14:paraId="0FCC7C5C">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电缆桥架水平敷设时，底边距地高度不低于2.2m。除敷设在配电间或竖井内，垂直敷设的线路1.8m以下应加金属盖板保护。电缆桥架水平敷设时，上部预留检修空间，并根据风管、水管等位置优化调整，敷设在吊顶内。桥架托架间距为1.5~2米。桥架内设置隔板，双回路供电的工作回路电缆和备用回路电缆分别敷设于隔板两侧。两段桥架之间采用截面不小于4mm2的铜芯导线或编织铜线跨接。具体做法详见国标图集04D701-3《电缆桥架安装》、08D800-6《民用建筑电气设计与施工-室内布线》等。</w:t>
      </w:r>
    </w:p>
    <w:p w14:paraId="3B9E834D">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电缆桥架多层敷设时，层间距离应满足敷设和维护需要，并符合下列规定：</w:t>
      </w:r>
    </w:p>
    <w:p w14:paraId="4FAF7EBB">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1</w:t>
      </w:r>
      <w:r>
        <w:rPr>
          <w:rFonts w:hint="eastAsia" w:asciiTheme="minorEastAsia" w:hAnsiTheme="minorEastAsia" w:eastAsiaTheme="minorEastAsia" w:cstheme="minorEastAsia"/>
          <w:sz w:val="30"/>
          <w:szCs w:val="30"/>
          <w:highlight w:val="none"/>
          <w:lang w:val="en-US" w:eastAsia="zh-CN"/>
        </w:rPr>
        <w:t>）</w:t>
      </w:r>
      <w:r>
        <w:rPr>
          <w:rFonts w:hint="default" w:asciiTheme="minorEastAsia" w:hAnsiTheme="minorEastAsia" w:eastAsiaTheme="minorEastAsia" w:cstheme="minorEastAsia"/>
          <w:sz w:val="30"/>
          <w:szCs w:val="30"/>
          <w:highlight w:val="none"/>
          <w:lang w:val="en-US" w:eastAsia="zh-CN"/>
        </w:rPr>
        <w:t>电力电缆的电缆桥架间距不应小于0.3m；</w:t>
      </w:r>
    </w:p>
    <w:p w14:paraId="508B4F5C">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2</w:t>
      </w:r>
      <w:r>
        <w:rPr>
          <w:rFonts w:hint="eastAsia" w:asciiTheme="minorEastAsia" w:hAnsiTheme="minorEastAsia" w:eastAsiaTheme="minorEastAsia" w:cstheme="minorEastAsia"/>
          <w:sz w:val="30"/>
          <w:szCs w:val="30"/>
          <w:highlight w:val="none"/>
          <w:lang w:val="en-US" w:eastAsia="zh-CN"/>
        </w:rPr>
        <w:t>）</w:t>
      </w:r>
      <w:r>
        <w:rPr>
          <w:rFonts w:hint="default" w:asciiTheme="minorEastAsia" w:hAnsiTheme="minorEastAsia" w:eastAsiaTheme="minorEastAsia" w:cstheme="minorEastAsia"/>
          <w:sz w:val="30"/>
          <w:szCs w:val="30"/>
          <w:highlight w:val="none"/>
          <w:lang w:val="en-US" w:eastAsia="zh-CN"/>
        </w:rPr>
        <w:t>电信电缆与电力电缆的电缆桥架间距不小于0.5m,当有屏蔽盖板时可减少到0.3m；</w:t>
      </w:r>
    </w:p>
    <w:p w14:paraId="2841CA79">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3</w:t>
      </w:r>
      <w:r>
        <w:rPr>
          <w:rFonts w:hint="eastAsia" w:asciiTheme="minorEastAsia" w:hAnsiTheme="minorEastAsia" w:eastAsiaTheme="minorEastAsia" w:cstheme="minorEastAsia"/>
          <w:sz w:val="30"/>
          <w:szCs w:val="30"/>
          <w:highlight w:val="none"/>
          <w:lang w:val="en-US" w:eastAsia="zh-CN"/>
        </w:rPr>
        <w:t>）</w:t>
      </w:r>
      <w:r>
        <w:rPr>
          <w:rFonts w:hint="default" w:asciiTheme="minorEastAsia" w:hAnsiTheme="minorEastAsia" w:eastAsiaTheme="minorEastAsia" w:cstheme="minorEastAsia"/>
          <w:sz w:val="30"/>
          <w:szCs w:val="30"/>
          <w:highlight w:val="none"/>
          <w:lang w:val="en-US" w:eastAsia="zh-CN"/>
        </w:rPr>
        <w:t>控制电缆的电缆桥架间距不应小于0.2m；</w:t>
      </w:r>
    </w:p>
    <w:p w14:paraId="28577BA9">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4</w:t>
      </w:r>
      <w:r>
        <w:rPr>
          <w:rFonts w:hint="eastAsia" w:asciiTheme="minorEastAsia" w:hAnsiTheme="minorEastAsia" w:eastAsiaTheme="minorEastAsia" w:cstheme="minorEastAsia"/>
          <w:sz w:val="30"/>
          <w:szCs w:val="30"/>
          <w:highlight w:val="none"/>
          <w:lang w:val="en-US" w:eastAsia="zh-CN"/>
        </w:rPr>
        <w:t>）</w:t>
      </w:r>
      <w:r>
        <w:rPr>
          <w:rFonts w:hint="default" w:asciiTheme="minorEastAsia" w:hAnsiTheme="minorEastAsia" w:eastAsiaTheme="minorEastAsia" w:cstheme="minorEastAsia"/>
          <w:sz w:val="30"/>
          <w:szCs w:val="30"/>
          <w:highlight w:val="none"/>
          <w:lang w:val="en-US" w:eastAsia="zh-CN"/>
        </w:rPr>
        <w:t>最上层的电缆桥架的上部距顶棚、楼板或梁等不小于0.15m。</w:t>
      </w:r>
    </w:p>
    <w:p w14:paraId="17DC979A">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当两组或两组以上电缆桥架在同一高度平行敷设时，各相邻电缆桥架间应预留维护、检修距离，且不小于0.2m。</w:t>
      </w:r>
    </w:p>
    <w:p w14:paraId="1DE10ED3">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矿物绝缘电缆中间连接附件的耐火等级不得低于电缆本体的耐火等级。电缆应分回路进出配电箱，并采用金属件固定或金属线绑扎，不得形成闭合铁磁回路</w:t>
      </w:r>
      <w:r>
        <w:rPr>
          <w:rFonts w:hint="eastAsia" w:asciiTheme="minorEastAsia" w:hAnsiTheme="minorEastAsia" w:eastAsiaTheme="minorEastAsia" w:cstheme="minorEastAsia"/>
          <w:sz w:val="30"/>
          <w:szCs w:val="30"/>
          <w:highlight w:val="none"/>
          <w:lang w:val="en-US" w:eastAsia="zh-CN"/>
        </w:rPr>
        <w:t>。</w:t>
      </w:r>
    </w:p>
    <w:p w14:paraId="24B32577">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当电缆穿过钢套管或钢筋混凝土楼板、墙体的预留洞时，需分回路敷设。电缆首末端、分支处及中间接头处应设置标志牌。当电缆铜护套作为保护导体使用时，终端接地铜片最小截面积不得小于电缆铜护套截面积，电缆接地连接线允许最小截面积不得小于中性线截面积。电线或电缆在桥架内不应设置接头。当确需在桥架内设置接头时，应采用专用连接件。</w:t>
      </w:r>
    </w:p>
    <w:p w14:paraId="26B4000B">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电气线路的敷设应符合下列规定：</w:t>
      </w:r>
    </w:p>
    <w:p w14:paraId="03B7FCC2">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1</w:t>
      </w:r>
      <w:r>
        <w:rPr>
          <w:rFonts w:hint="eastAsia" w:asciiTheme="minorEastAsia" w:hAnsiTheme="minorEastAsia" w:eastAsiaTheme="minorEastAsia" w:cstheme="minorEastAsia"/>
          <w:sz w:val="30"/>
          <w:szCs w:val="30"/>
          <w:highlight w:val="none"/>
          <w:lang w:val="en-US" w:eastAsia="zh-CN"/>
        </w:rPr>
        <w:t>）</w:t>
      </w:r>
      <w:r>
        <w:rPr>
          <w:rFonts w:hint="default" w:asciiTheme="minorEastAsia" w:hAnsiTheme="minorEastAsia" w:eastAsiaTheme="minorEastAsia" w:cstheme="minorEastAsia"/>
          <w:sz w:val="30"/>
          <w:szCs w:val="30"/>
          <w:highlight w:val="none"/>
          <w:lang w:val="en-US" w:eastAsia="zh-CN"/>
        </w:rPr>
        <w:t>电气线路敷设应避开炉灶、烟囱等高温部位及其他可能受高温作业影响的部位，不应直接敷设在可燃物上；</w:t>
      </w:r>
    </w:p>
    <w:p w14:paraId="07609A34">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2</w:t>
      </w:r>
      <w:r>
        <w:rPr>
          <w:rFonts w:hint="eastAsia" w:asciiTheme="minorEastAsia" w:hAnsiTheme="minorEastAsia" w:eastAsiaTheme="minorEastAsia" w:cstheme="minorEastAsia"/>
          <w:sz w:val="30"/>
          <w:szCs w:val="30"/>
          <w:highlight w:val="none"/>
          <w:lang w:val="en-US" w:eastAsia="zh-CN"/>
        </w:rPr>
        <w:t>）</w:t>
      </w:r>
      <w:r>
        <w:rPr>
          <w:rFonts w:hint="default" w:asciiTheme="minorEastAsia" w:hAnsiTheme="minorEastAsia" w:eastAsiaTheme="minorEastAsia" w:cstheme="minorEastAsia"/>
          <w:sz w:val="30"/>
          <w:szCs w:val="30"/>
          <w:highlight w:val="none"/>
          <w:lang w:val="en-US" w:eastAsia="zh-CN"/>
        </w:rPr>
        <w:t>室内明敷的电气线路，在有可燃物的吊顶或难燃性、可燃性墙体内敷设的电气线路，应具有相应的防火性能或防火保护措施；</w:t>
      </w:r>
    </w:p>
    <w:p w14:paraId="6009A594">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3</w:t>
      </w:r>
      <w:r>
        <w:rPr>
          <w:rFonts w:hint="eastAsia" w:asciiTheme="minorEastAsia" w:hAnsiTheme="minorEastAsia" w:eastAsiaTheme="minorEastAsia" w:cstheme="minorEastAsia"/>
          <w:sz w:val="30"/>
          <w:szCs w:val="30"/>
          <w:highlight w:val="none"/>
          <w:lang w:val="en-US" w:eastAsia="zh-CN"/>
        </w:rPr>
        <w:t>）</w:t>
      </w:r>
      <w:r>
        <w:rPr>
          <w:rFonts w:hint="default" w:asciiTheme="minorEastAsia" w:hAnsiTheme="minorEastAsia" w:eastAsiaTheme="minorEastAsia" w:cstheme="minorEastAsia"/>
          <w:sz w:val="30"/>
          <w:szCs w:val="30"/>
          <w:highlight w:val="none"/>
          <w:lang w:val="en-US" w:eastAsia="zh-CN"/>
        </w:rPr>
        <w:t>室外电缆沟或电缆隧道在进入建筑、工程或变电站处应采取防火分隔措施，防火分隔部位的耐火极限不应低于2.00h，门应采用甲级防火门。</w:t>
      </w:r>
    </w:p>
    <w:p w14:paraId="48519A00">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电气线路不应穿越或敷设在燃烧性能为B1或B2级的保温材料中；确需穿越或敷设时，应采取穿金属管并在金属管周围采用不燃隔热材料进行防火隔离等防火保护措施。设置开关、插座等电器配件的部位周围应采取不燃隔热材料进行防火隔离等防火保护措施。</w:t>
      </w:r>
    </w:p>
    <w:p w14:paraId="70295D36">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桥架与其他管道交叉、或不同桥架交叉时，根据现场需要和实际情况，桥架进行上翻或下翻处理，桥架与其他管道之间，或桥架之间预留200mm作为检修维护距离。当与风管、水管交叉时，管道从上至下安装顺序为：风管、电缆桥架、压力水管，各层管道之间应预留安装维护间距。当桥架路径与风管、水管有重叠时，遵循以小就大的原则，根据现场实际情况调整。其最小净距应符合下表的规定</w:t>
      </w:r>
      <w:r>
        <w:rPr>
          <w:rFonts w:hint="eastAsia" w:asciiTheme="minorEastAsia" w:hAnsiTheme="minorEastAsia" w:eastAsiaTheme="minorEastAsia" w:cstheme="minorEastAsia"/>
          <w:sz w:val="30"/>
          <w:szCs w:val="30"/>
          <w:highlight w:val="none"/>
          <w:lang w:val="en-US" w:eastAsia="zh-CN"/>
        </w:rPr>
        <w:t>：</w:t>
      </w:r>
    </w:p>
    <w:tbl>
      <w:tblPr>
        <w:tblStyle w:val="1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10"/>
        <w:gridCol w:w="1630"/>
        <w:gridCol w:w="2841"/>
        <w:gridCol w:w="2841"/>
      </w:tblGrid>
      <w:tr w14:paraId="14B26C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gridSpan w:val="2"/>
          </w:tcPr>
          <w:p w14:paraId="4B0E52D3">
            <w:pPr>
              <w:numPr>
                <w:ilvl w:val="0"/>
                <w:numId w:val="0"/>
              </w:numPr>
              <w:ind w:firstLine="480" w:firstLineChars="200"/>
              <w:rPr>
                <w:rFonts w:hint="default" w:asciiTheme="minorEastAsia" w:hAnsiTheme="minorEastAsia" w:eastAsiaTheme="minorEastAsia" w:cstheme="minorEastAsia"/>
                <w:sz w:val="24"/>
                <w:szCs w:val="24"/>
                <w:highlight w:val="none"/>
                <w:lang w:val="en-US" w:eastAsia="zh-CN"/>
              </w:rPr>
            </w:pPr>
            <w:r>
              <w:rPr>
                <w:rFonts w:hint="eastAsia" w:asciiTheme="minorEastAsia" w:hAnsiTheme="minorEastAsia" w:eastAsiaTheme="minorEastAsia" w:cstheme="minorEastAsia"/>
                <w:sz w:val="24"/>
                <w:szCs w:val="24"/>
                <w:highlight w:val="none"/>
                <w:lang w:val="en-US" w:eastAsia="zh-CN"/>
              </w:rPr>
              <w:t>管道类别</w:t>
            </w:r>
          </w:p>
        </w:tc>
        <w:tc>
          <w:tcPr>
            <w:tcW w:w="2841" w:type="dxa"/>
          </w:tcPr>
          <w:p w14:paraId="290FD628">
            <w:pPr>
              <w:numPr>
                <w:ilvl w:val="0"/>
                <w:numId w:val="0"/>
              </w:numPr>
              <w:ind w:firstLine="480" w:firstLineChars="200"/>
              <w:rPr>
                <w:rFonts w:hint="default" w:asciiTheme="minorEastAsia" w:hAnsiTheme="minorEastAsia" w:eastAsiaTheme="minorEastAsia" w:cstheme="minorEastAsia"/>
                <w:sz w:val="24"/>
                <w:szCs w:val="24"/>
                <w:highlight w:val="none"/>
                <w:lang w:val="en-US" w:eastAsia="zh-CN"/>
              </w:rPr>
            </w:pPr>
            <w:r>
              <w:rPr>
                <w:rFonts w:hint="eastAsia" w:asciiTheme="minorEastAsia" w:hAnsiTheme="minorEastAsia" w:eastAsiaTheme="minorEastAsia" w:cstheme="minorEastAsia"/>
                <w:sz w:val="24"/>
                <w:szCs w:val="24"/>
                <w:highlight w:val="none"/>
                <w:lang w:val="en-US" w:eastAsia="zh-CN"/>
              </w:rPr>
              <w:t>平行净距（m）</w:t>
            </w:r>
          </w:p>
        </w:tc>
        <w:tc>
          <w:tcPr>
            <w:tcW w:w="2841" w:type="dxa"/>
          </w:tcPr>
          <w:p w14:paraId="31E000E4">
            <w:pPr>
              <w:numPr>
                <w:ilvl w:val="0"/>
                <w:numId w:val="0"/>
              </w:numPr>
              <w:ind w:firstLine="480" w:firstLineChars="200"/>
              <w:rPr>
                <w:rFonts w:hint="default" w:asciiTheme="minorEastAsia" w:hAnsiTheme="minorEastAsia" w:eastAsiaTheme="minorEastAsia" w:cstheme="minorEastAsia"/>
                <w:sz w:val="24"/>
                <w:szCs w:val="24"/>
                <w:highlight w:val="none"/>
                <w:lang w:val="en-US" w:eastAsia="zh-CN"/>
              </w:rPr>
            </w:pPr>
            <w:r>
              <w:rPr>
                <w:rFonts w:hint="eastAsia" w:asciiTheme="minorEastAsia" w:hAnsiTheme="minorEastAsia" w:eastAsiaTheme="minorEastAsia" w:cstheme="minorEastAsia"/>
                <w:sz w:val="24"/>
                <w:szCs w:val="24"/>
                <w:highlight w:val="none"/>
                <w:lang w:val="en-US" w:eastAsia="zh-CN"/>
              </w:rPr>
              <w:t>交叉净距（m）</w:t>
            </w:r>
          </w:p>
        </w:tc>
      </w:tr>
      <w:tr w14:paraId="0B084A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gridSpan w:val="2"/>
          </w:tcPr>
          <w:p w14:paraId="608E7489">
            <w:pPr>
              <w:numPr>
                <w:ilvl w:val="0"/>
                <w:numId w:val="0"/>
              </w:numPr>
              <w:ind w:firstLine="480" w:firstLineChars="200"/>
              <w:rPr>
                <w:rFonts w:hint="default" w:asciiTheme="minorEastAsia" w:hAnsiTheme="minorEastAsia" w:eastAsiaTheme="minorEastAsia" w:cstheme="minorEastAsia"/>
                <w:sz w:val="24"/>
                <w:szCs w:val="24"/>
                <w:highlight w:val="none"/>
                <w:lang w:val="en-US" w:eastAsia="zh-CN"/>
              </w:rPr>
            </w:pPr>
            <w:r>
              <w:rPr>
                <w:rFonts w:hint="eastAsia" w:asciiTheme="minorEastAsia" w:hAnsiTheme="minorEastAsia" w:eastAsiaTheme="minorEastAsia" w:cstheme="minorEastAsia"/>
                <w:sz w:val="24"/>
                <w:szCs w:val="24"/>
                <w:highlight w:val="none"/>
                <w:lang w:val="en-US" w:eastAsia="zh-CN"/>
              </w:rPr>
              <w:t>一般工艺管道</w:t>
            </w:r>
          </w:p>
        </w:tc>
        <w:tc>
          <w:tcPr>
            <w:tcW w:w="2841" w:type="dxa"/>
          </w:tcPr>
          <w:p w14:paraId="7217E0F0">
            <w:pPr>
              <w:numPr>
                <w:ilvl w:val="0"/>
                <w:numId w:val="0"/>
              </w:numPr>
              <w:ind w:firstLine="480" w:firstLineChars="200"/>
              <w:rPr>
                <w:rFonts w:hint="default" w:asciiTheme="minorEastAsia" w:hAnsiTheme="minorEastAsia" w:eastAsiaTheme="minorEastAsia" w:cstheme="minorEastAsia"/>
                <w:sz w:val="24"/>
                <w:szCs w:val="24"/>
                <w:highlight w:val="none"/>
                <w:lang w:val="en-US" w:eastAsia="zh-CN"/>
              </w:rPr>
            </w:pPr>
            <w:r>
              <w:rPr>
                <w:rFonts w:hint="eastAsia" w:asciiTheme="minorEastAsia" w:hAnsiTheme="minorEastAsia" w:eastAsiaTheme="minorEastAsia" w:cstheme="minorEastAsia"/>
                <w:sz w:val="24"/>
                <w:szCs w:val="24"/>
                <w:highlight w:val="none"/>
                <w:lang w:val="en-US" w:eastAsia="zh-CN"/>
              </w:rPr>
              <w:t>0.4</w:t>
            </w:r>
          </w:p>
        </w:tc>
        <w:tc>
          <w:tcPr>
            <w:tcW w:w="2841" w:type="dxa"/>
          </w:tcPr>
          <w:p w14:paraId="4190343C">
            <w:pPr>
              <w:numPr>
                <w:ilvl w:val="0"/>
                <w:numId w:val="0"/>
              </w:numPr>
              <w:ind w:firstLine="480" w:firstLineChars="200"/>
              <w:rPr>
                <w:rFonts w:hint="default" w:asciiTheme="minorEastAsia" w:hAnsiTheme="minorEastAsia" w:eastAsiaTheme="minorEastAsia" w:cstheme="minorEastAsia"/>
                <w:sz w:val="24"/>
                <w:szCs w:val="24"/>
                <w:highlight w:val="none"/>
                <w:lang w:val="en-US" w:eastAsia="zh-CN"/>
              </w:rPr>
            </w:pPr>
            <w:r>
              <w:rPr>
                <w:rFonts w:hint="eastAsia" w:asciiTheme="minorEastAsia" w:hAnsiTheme="minorEastAsia" w:eastAsiaTheme="minorEastAsia" w:cstheme="minorEastAsia"/>
                <w:sz w:val="24"/>
                <w:szCs w:val="24"/>
                <w:highlight w:val="none"/>
                <w:lang w:val="en-US" w:eastAsia="zh-CN"/>
              </w:rPr>
              <w:t>0.3</w:t>
            </w:r>
          </w:p>
        </w:tc>
      </w:tr>
      <w:tr w14:paraId="5B3488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gridSpan w:val="2"/>
          </w:tcPr>
          <w:p w14:paraId="62AE3F37">
            <w:pPr>
              <w:numPr>
                <w:ilvl w:val="0"/>
                <w:numId w:val="0"/>
              </w:numPr>
              <w:ind w:firstLine="480" w:firstLineChars="200"/>
              <w:rPr>
                <w:rFonts w:hint="default" w:asciiTheme="minorEastAsia" w:hAnsiTheme="minorEastAsia" w:eastAsiaTheme="minorEastAsia" w:cstheme="minorEastAsia"/>
                <w:sz w:val="24"/>
                <w:szCs w:val="24"/>
                <w:highlight w:val="none"/>
                <w:lang w:val="en-US" w:eastAsia="zh-CN"/>
              </w:rPr>
            </w:pPr>
            <w:r>
              <w:rPr>
                <w:rFonts w:hint="eastAsia" w:asciiTheme="minorEastAsia" w:hAnsiTheme="minorEastAsia" w:eastAsiaTheme="minorEastAsia" w:cstheme="minorEastAsia"/>
                <w:sz w:val="24"/>
                <w:szCs w:val="24"/>
                <w:highlight w:val="none"/>
                <w:lang w:val="en-US" w:eastAsia="zh-CN"/>
              </w:rPr>
              <w:t>具有腐蚀性气体管道</w:t>
            </w:r>
          </w:p>
        </w:tc>
        <w:tc>
          <w:tcPr>
            <w:tcW w:w="2841" w:type="dxa"/>
          </w:tcPr>
          <w:p w14:paraId="6A4B367C">
            <w:pPr>
              <w:numPr>
                <w:ilvl w:val="0"/>
                <w:numId w:val="0"/>
              </w:numPr>
              <w:ind w:firstLine="480" w:firstLineChars="200"/>
              <w:rPr>
                <w:rFonts w:hint="default" w:asciiTheme="minorEastAsia" w:hAnsiTheme="minorEastAsia" w:eastAsiaTheme="minorEastAsia" w:cstheme="minorEastAsia"/>
                <w:sz w:val="24"/>
                <w:szCs w:val="24"/>
                <w:highlight w:val="none"/>
                <w:lang w:val="en-US" w:eastAsia="zh-CN"/>
              </w:rPr>
            </w:pPr>
            <w:r>
              <w:rPr>
                <w:rFonts w:hint="eastAsia" w:asciiTheme="minorEastAsia" w:hAnsiTheme="minorEastAsia" w:eastAsiaTheme="minorEastAsia" w:cstheme="minorEastAsia"/>
                <w:sz w:val="24"/>
                <w:szCs w:val="24"/>
                <w:highlight w:val="none"/>
                <w:lang w:val="en-US" w:eastAsia="zh-CN"/>
              </w:rPr>
              <w:t>0.5</w:t>
            </w:r>
          </w:p>
        </w:tc>
        <w:tc>
          <w:tcPr>
            <w:tcW w:w="2841" w:type="dxa"/>
          </w:tcPr>
          <w:p w14:paraId="7C316AF4">
            <w:pPr>
              <w:numPr>
                <w:ilvl w:val="0"/>
                <w:numId w:val="0"/>
              </w:numPr>
              <w:ind w:firstLine="480" w:firstLineChars="200"/>
              <w:rPr>
                <w:rFonts w:hint="default" w:asciiTheme="minorEastAsia" w:hAnsiTheme="minorEastAsia" w:eastAsiaTheme="minorEastAsia" w:cstheme="minorEastAsia"/>
                <w:sz w:val="24"/>
                <w:szCs w:val="24"/>
                <w:highlight w:val="none"/>
                <w:lang w:val="en-US" w:eastAsia="zh-CN"/>
              </w:rPr>
            </w:pPr>
            <w:r>
              <w:rPr>
                <w:rFonts w:hint="eastAsia" w:asciiTheme="minorEastAsia" w:hAnsiTheme="minorEastAsia" w:eastAsiaTheme="minorEastAsia" w:cstheme="minorEastAsia"/>
                <w:sz w:val="24"/>
                <w:szCs w:val="24"/>
                <w:highlight w:val="none"/>
                <w:lang w:val="en-US" w:eastAsia="zh-CN"/>
              </w:rPr>
              <w:t>0.5</w:t>
            </w:r>
          </w:p>
        </w:tc>
      </w:tr>
      <w:tr w14:paraId="04610D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0" w:type="dxa"/>
            <w:vMerge w:val="restart"/>
          </w:tcPr>
          <w:p w14:paraId="18DB48A3">
            <w:pPr>
              <w:numPr>
                <w:ilvl w:val="0"/>
                <w:numId w:val="0"/>
              </w:numPr>
              <w:ind w:firstLine="480" w:firstLineChars="200"/>
              <w:rPr>
                <w:rFonts w:hint="default" w:asciiTheme="minorEastAsia" w:hAnsiTheme="minorEastAsia" w:eastAsiaTheme="minorEastAsia" w:cstheme="minorEastAsia"/>
                <w:sz w:val="24"/>
                <w:szCs w:val="24"/>
                <w:highlight w:val="none"/>
                <w:lang w:val="en-US" w:eastAsia="zh-CN"/>
              </w:rPr>
            </w:pPr>
            <w:r>
              <w:rPr>
                <w:rFonts w:hint="eastAsia" w:asciiTheme="minorEastAsia" w:hAnsiTheme="minorEastAsia" w:eastAsiaTheme="minorEastAsia" w:cstheme="minorEastAsia"/>
                <w:sz w:val="24"/>
                <w:szCs w:val="24"/>
                <w:highlight w:val="none"/>
                <w:lang w:val="en-US" w:eastAsia="zh-CN"/>
              </w:rPr>
              <w:t>热力管道</w:t>
            </w:r>
          </w:p>
        </w:tc>
        <w:tc>
          <w:tcPr>
            <w:tcW w:w="1630" w:type="dxa"/>
          </w:tcPr>
          <w:p w14:paraId="6A7015B6">
            <w:pPr>
              <w:numPr>
                <w:ilvl w:val="0"/>
                <w:numId w:val="0"/>
              </w:numPr>
              <w:ind w:firstLine="480" w:firstLineChars="200"/>
              <w:rPr>
                <w:rFonts w:hint="default" w:asciiTheme="minorEastAsia" w:hAnsiTheme="minorEastAsia" w:eastAsiaTheme="minorEastAsia" w:cstheme="minorEastAsia"/>
                <w:sz w:val="24"/>
                <w:szCs w:val="24"/>
                <w:highlight w:val="none"/>
                <w:lang w:val="en-US" w:eastAsia="zh-CN"/>
              </w:rPr>
            </w:pPr>
            <w:r>
              <w:rPr>
                <w:rFonts w:hint="eastAsia" w:asciiTheme="minorEastAsia" w:hAnsiTheme="minorEastAsia" w:eastAsiaTheme="minorEastAsia" w:cstheme="minorEastAsia"/>
                <w:sz w:val="24"/>
                <w:szCs w:val="24"/>
                <w:highlight w:val="none"/>
                <w:lang w:val="en-US" w:eastAsia="zh-CN"/>
              </w:rPr>
              <w:t>有保温层</w:t>
            </w:r>
          </w:p>
        </w:tc>
        <w:tc>
          <w:tcPr>
            <w:tcW w:w="2841" w:type="dxa"/>
          </w:tcPr>
          <w:p w14:paraId="5388BB52">
            <w:pPr>
              <w:numPr>
                <w:ilvl w:val="0"/>
                <w:numId w:val="0"/>
              </w:numPr>
              <w:ind w:firstLine="480" w:firstLineChars="200"/>
              <w:rPr>
                <w:rFonts w:hint="default" w:asciiTheme="minorEastAsia" w:hAnsiTheme="minorEastAsia" w:eastAsiaTheme="minorEastAsia" w:cstheme="minorEastAsia"/>
                <w:sz w:val="24"/>
                <w:szCs w:val="24"/>
                <w:highlight w:val="none"/>
                <w:lang w:val="en-US" w:eastAsia="zh-CN"/>
              </w:rPr>
            </w:pPr>
            <w:r>
              <w:rPr>
                <w:rFonts w:hint="eastAsia" w:asciiTheme="minorEastAsia" w:hAnsiTheme="minorEastAsia" w:eastAsiaTheme="minorEastAsia" w:cstheme="minorEastAsia"/>
                <w:sz w:val="24"/>
                <w:szCs w:val="24"/>
                <w:highlight w:val="none"/>
                <w:lang w:val="en-US" w:eastAsia="zh-CN"/>
              </w:rPr>
              <w:t>0.5</w:t>
            </w:r>
          </w:p>
        </w:tc>
        <w:tc>
          <w:tcPr>
            <w:tcW w:w="2841" w:type="dxa"/>
          </w:tcPr>
          <w:p w14:paraId="3790CFD7">
            <w:pPr>
              <w:numPr>
                <w:ilvl w:val="0"/>
                <w:numId w:val="0"/>
              </w:numPr>
              <w:ind w:firstLine="480" w:firstLineChars="200"/>
              <w:rPr>
                <w:rFonts w:hint="default" w:asciiTheme="minorEastAsia" w:hAnsiTheme="minorEastAsia" w:eastAsiaTheme="minorEastAsia" w:cstheme="minorEastAsia"/>
                <w:sz w:val="24"/>
                <w:szCs w:val="24"/>
                <w:highlight w:val="none"/>
                <w:lang w:val="en-US" w:eastAsia="zh-CN"/>
              </w:rPr>
            </w:pPr>
            <w:r>
              <w:rPr>
                <w:rFonts w:hint="eastAsia" w:asciiTheme="minorEastAsia" w:hAnsiTheme="minorEastAsia" w:eastAsiaTheme="minorEastAsia" w:cstheme="minorEastAsia"/>
                <w:sz w:val="24"/>
                <w:szCs w:val="24"/>
                <w:highlight w:val="none"/>
                <w:lang w:val="en-US" w:eastAsia="zh-CN"/>
              </w:rPr>
              <w:t>0.3</w:t>
            </w:r>
          </w:p>
        </w:tc>
      </w:tr>
      <w:tr w14:paraId="4F9FAE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0" w:type="dxa"/>
            <w:vMerge w:val="continue"/>
          </w:tcPr>
          <w:p w14:paraId="6AED951B">
            <w:pPr>
              <w:numPr>
                <w:ilvl w:val="0"/>
                <w:numId w:val="0"/>
              </w:numPr>
              <w:ind w:firstLine="480" w:firstLineChars="200"/>
              <w:rPr>
                <w:rFonts w:hint="default" w:asciiTheme="minorEastAsia" w:hAnsiTheme="minorEastAsia" w:eastAsiaTheme="minorEastAsia" w:cstheme="minorEastAsia"/>
                <w:sz w:val="24"/>
                <w:szCs w:val="24"/>
                <w:highlight w:val="none"/>
                <w:lang w:val="en-US" w:eastAsia="zh-CN"/>
              </w:rPr>
            </w:pPr>
          </w:p>
        </w:tc>
        <w:tc>
          <w:tcPr>
            <w:tcW w:w="1630" w:type="dxa"/>
          </w:tcPr>
          <w:p w14:paraId="563D5D6C">
            <w:pPr>
              <w:numPr>
                <w:ilvl w:val="0"/>
                <w:numId w:val="0"/>
              </w:numPr>
              <w:ind w:firstLine="480" w:firstLineChars="200"/>
              <w:rPr>
                <w:rFonts w:hint="default" w:asciiTheme="minorEastAsia" w:hAnsiTheme="minorEastAsia" w:eastAsiaTheme="minorEastAsia" w:cstheme="minorEastAsia"/>
                <w:sz w:val="24"/>
                <w:szCs w:val="24"/>
                <w:highlight w:val="none"/>
                <w:lang w:val="en-US" w:eastAsia="zh-CN"/>
              </w:rPr>
            </w:pPr>
            <w:r>
              <w:rPr>
                <w:rFonts w:hint="eastAsia" w:asciiTheme="minorEastAsia" w:hAnsiTheme="minorEastAsia" w:eastAsiaTheme="minorEastAsia" w:cstheme="minorEastAsia"/>
                <w:sz w:val="24"/>
                <w:szCs w:val="24"/>
                <w:highlight w:val="none"/>
                <w:lang w:val="en-US" w:eastAsia="zh-CN"/>
              </w:rPr>
              <w:t>无保温层</w:t>
            </w:r>
          </w:p>
        </w:tc>
        <w:tc>
          <w:tcPr>
            <w:tcW w:w="2841" w:type="dxa"/>
          </w:tcPr>
          <w:p w14:paraId="754315C5">
            <w:pPr>
              <w:numPr>
                <w:ilvl w:val="0"/>
                <w:numId w:val="0"/>
              </w:numPr>
              <w:ind w:firstLine="480" w:firstLineChars="200"/>
              <w:rPr>
                <w:rFonts w:hint="default" w:asciiTheme="minorEastAsia" w:hAnsiTheme="minorEastAsia" w:eastAsiaTheme="minorEastAsia" w:cstheme="minorEastAsia"/>
                <w:sz w:val="24"/>
                <w:szCs w:val="24"/>
                <w:highlight w:val="none"/>
                <w:lang w:val="en-US" w:eastAsia="zh-CN"/>
              </w:rPr>
            </w:pPr>
            <w:r>
              <w:rPr>
                <w:rFonts w:hint="eastAsia" w:asciiTheme="minorEastAsia" w:hAnsiTheme="minorEastAsia" w:eastAsiaTheme="minorEastAsia" w:cstheme="minorEastAsia"/>
                <w:sz w:val="24"/>
                <w:szCs w:val="24"/>
                <w:highlight w:val="none"/>
                <w:lang w:val="en-US" w:eastAsia="zh-CN"/>
              </w:rPr>
              <w:t>1.0</w:t>
            </w:r>
          </w:p>
        </w:tc>
        <w:tc>
          <w:tcPr>
            <w:tcW w:w="2841" w:type="dxa"/>
          </w:tcPr>
          <w:p w14:paraId="7ED0CF3E">
            <w:pPr>
              <w:numPr>
                <w:ilvl w:val="0"/>
                <w:numId w:val="0"/>
              </w:numPr>
              <w:ind w:firstLine="480" w:firstLineChars="200"/>
              <w:rPr>
                <w:rFonts w:hint="default" w:asciiTheme="minorEastAsia" w:hAnsiTheme="minorEastAsia" w:eastAsiaTheme="minorEastAsia" w:cstheme="minorEastAsia"/>
                <w:sz w:val="24"/>
                <w:szCs w:val="24"/>
                <w:highlight w:val="none"/>
                <w:lang w:val="en-US" w:eastAsia="zh-CN"/>
              </w:rPr>
            </w:pPr>
            <w:r>
              <w:rPr>
                <w:rFonts w:hint="eastAsia" w:asciiTheme="minorEastAsia" w:hAnsiTheme="minorEastAsia" w:eastAsiaTheme="minorEastAsia" w:cstheme="minorEastAsia"/>
                <w:sz w:val="24"/>
                <w:szCs w:val="24"/>
                <w:highlight w:val="none"/>
                <w:lang w:val="en-US" w:eastAsia="zh-CN"/>
              </w:rPr>
              <w:t>0.5</w:t>
            </w:r>
          </w:p>
        </w:tc>
      </w:tr>
    </w:tbl>
    <w:p w14:paraId="799661A8">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所有支吊架防腐，在支吊架制作完毕后需除锈处理，并刷红丹防锈漆两道，灰色调和漆（面漆）两道。超高空间设备吊架长度大于等于1500mm应设置反向支撑架的说明。</w:t>
      </w:r>
    </w:p>
    <w:p w14:paraId="344CAF18">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强电竖井内的配电干线，采用支架敷设。桥架水平安装时，支架间距不大于2.0米；垂直安装时，支架间距不大于1.5米。桥架施工时应注意与其它专业的配合，电缆线管、桥架穿越防火分区或楼层时，应在安装完毕后，采用防火材料封堵。金属电缆桥架及其支吊架必须可靠接地，全长应不少于2处与接地干线相连接。电气竖井门应有警示标识并加装门禁装置，检修门应向外开启。</w:t>
      </w:r>
    </w:p>
    <w:p w14:paraId="0259AFD3">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不同用途、不同电压等级的电缆、线缆以及消防设备的双回路供电线路，原则上应分桥架敷设，若受条件限制需共用桥架敷设时，应加防火金属隔板分开。</w:t>
      </w:r>
    </w:p>
    <w:p w14:paraId="7333CA6D">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明敷于潮湿场所或埋地敷设的金属导管，应采用管壁厚度不小于2．Omm的钢导管。明敷或暗敷于干燥场所的金属导管宜采用管壁厚度不小于1．5mm的电线管。配电线路敷设在有可燃物的闷顶、吊顶内时，应采取穿金属导管、采用封闭式金属桥架等防火保护措施。</w:t>
      </w:r>
    </w:p>
    <w:p w14:paraId="2376707F">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明敷设用的塑料导管、桥架、接线盒、分线盒应采用阻燃性能分级为B1级的难燃制品。当安装插座的接线盒为金属材质时，插座的接地插孔端子和金属接线盒应有可靠的电气连接。</w:t>
      </w:r>
    </w:p>
    <w:p w14:paraId="5230A711">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导线穿管的管路较长或有弯时，适当加装拉线盒，两个拉线点之间的距离应符合以下要求：对无弯的管路，不得超过30米；两个拉线点之间有一个弯时，不超过20米；两个拉线点之间有两个弯时，不超过15米；两个拉线点之间有三个弯时，不超过8米，拉线盒的设置，平面图上不再表示。金属电线管严禁对口熔焊连接。电压等级超过交流50V以上的消防配电线路在吊顶内或室内接驳时，应采用防火防水接线盒，不应采用普通接线盒接线。</w:t>
      </w:r>
    </w:p>
    <w:p w14:paraId="57B132E8">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室内干燥场所的线缆采用导管布线时，应符合下列规定：</w:t>
      </w:r>
    </w:p>
    <w:p w14:paraId="3A5119AF">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采用金属导管布线时，其壁厚不应小于1. 5mm；</w:t>
      </w:r>
    </w:p>
    <w:p w14:paraId="700C57B9">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采用塑料导管暗敷布线时，应选用不低于中型的导管。</w:t>
      </w:r>
    </w:p>
    <w:p w14:paraId="5A132983">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室内潮湿场所的线缆明敷时，应符合下列规定：</w:t>
      </w:r>
    </w:p>
    <w:p w14:paraId="49561373">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应采用防潮防腐材料制造的导管或电缆桥架；</w:t>
      </w:r>
    </w:p>
    <w:p w14:paraId="50376639">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当采取金属导管或电缆桥架时，应采取防潮防腐措施，且金属导管壁厚不应小于2.0mm；</w:t>
      </w:r>
    </w:p>
    <w:p w14:paraId="77DA108F">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当采用可弯曲金属导管时，应选用防水重型的导管。</w:t>
      </w:r>
    </w:p>
    <w:p w14:paraId="6369CC76">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建筑物底层及地面层以下外墙内的线缆采用导管暗敷布线时，应符合下列规定：</w:t>
      </w:r>
    </w:p>
    <w:p w14:paraId="3D355DCE">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采用金属导管布线时，其壁厚不应小于2.0mm；</w:t>
      </w:r>
    </w:p>
    <w:p w14:paraId="1D5BDAD6">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采用可弯曲金属导管布线时，应选用防水重型的导管；</w:t>
      </w:r>
    </w:p>
    <w:p w14:paraId="2C30034C">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采用塑料导管布线时，应选用重型的导管。</w:t>
      </w:r>
    </w:p>
    <w:p w14:paraId="2675625C">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线缆采用导管暗敷布线时，应符合下列规定：</w:t>
      </w:r>
    </w:p>
    <w:p w14:paraId="686F9AF4">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不应穿过设备基础；</w:t>
      </w:r>
    </w:p>
    <w:p w14:paraId="4C6BBB55">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当穿过建筑物外墙时，应采取止水措施。</w:t>
      </w:r>
    </w:p>
    <w:p w14:paraId="0936B258">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民用建筑内电力线缆、控制线缆和智能化线缆敷设应符合下列规定：</w:t>
      </w:r>
    </w:p>
    <w:p w14:paraId="491109D0">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不应采用裸露带电导体布线；</w:t>
      </w:r>
    </w:p>
    <w:p w14:paraId="0C508224">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除塑料护套电线外，其他电线不应采用直敷布线方式；</w:t>
      </w:r>
    </w:p>
    <w:p w14:paraId="330765BD">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明敷的导管、电缆桥架，应选择燃烧性能不低于B1级的难燃材料制品或不燃材料制品。</w:t>
      </w:r>
    </w:p>
    <w:p w14:paraId="5B4BD845">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3</w:t>
      </w:r>
      <w:r>
        <w:rPr>
          <w:rFonts w:hint="eastAsia" w:asciiTheme="minorEastAsia" w:hAnsiTheme="minorEastAsia" w:eastAsiaTheme="minorEastAsia" w:cstheme="minorEastAsia"/>
          <w:sz w:val="30"/>
          <w:szCs w:val="30"/>
          <w:highlight w:val="none"/>
          <w:lang w:val="en-US" w:eastAsia="zh-CN"/>
        </w:rPr>
        <w:t>1</w:t>
      </w:r>
      <w:r>
        <w:rPr>
          <w:rFonts w:hint="default" w:asciiTheme="minorEastAsia" w:hAnsiTheme="minorEastAsia" w:eastAsiaTheme="minorEastAsia" w:cstheme="minorEastAsia"/>
          <w:sz w:val="30"/>
          <w:szCs w:val="30"/>
          <w:highlight w:val="none"/>
          <w:lang w:val="en-US" w:eastAsia="zh-CN"/>
        </w:rPr>
        <w:t>、除民用建筑和变电所外，其他建筑内低压裸露带电导体距地面的高度应符合下列规定：</w:t>
      </w:r>
    </w:p>
    <w:p w14:paraId="0E08818D">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1</w:t>
      </w:r>
      <w:r>
        <w:rPr>
          <w:rFonts w:hint="eastAsia" w:asciiTheme="minorEastAsia" w:hAnsiTheme="minorEastAsia" w:eastAsiaTheme="minorEastAsia" w:cstheme="minorEastAsia"/>
          <w:sz w:val="30"/>
          <w:szCs w:val="30"/>
          <w:highlight w:val="none"/>
          <w:lang w:val="en-US" w:eastAsia="zh-CN"/>
        </w:rPr>
        <w:t>）</w:t>
      </w:r>
      <w:r>
        <w:rPr>
          <w:rFonts w:hint="default" w:asciiTheme="minorEastAsia" w:hAnsiTheme="minorEastAsia" w:eastAsiaTheme="minorEastAsia" w:cstheme="minorEastAsia"/>
          <w:sz w:val="30"/>
          <w:szCs w:val="30"/>
          <w:highlight w:val="none"/>
          <w:lang w:val="en-US" w:eastAsia="zh-CN"/>
        </w:rPr>
        <w:t>无遮护的裸露带电导体至地面的距离不应小于3.5m；</w:t>
      </w:r>
    </w:p>
    <w:p w14:paraId="6338F0BD">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2</w:t>
      </w:r>
      <w:r>
        <w:rPr>
          <w:rFonts w:hint="eastAsia" w:asciiTheme="minorEastAsia" w:hAnsiTheme="minorEastAsia" w:eastAsiaTheme="minorEastAsia" w:cstheme="minorEastAsia"/>
          <w:sz w:val="30"/>
          <w:szCs w:val="30"/>
          <w:highlight w:val="none"/>
          <w:lang w:val="en-US" w:eastAsia="zh-CN"/>
        </w:rPr>
        <w:t>）</w:t>
      </w:r>
      <w:r>
        <w:rPr>
          <w:rFonts w:hint="default" w:asciiTheme="minorEastAsia" w:hAnsiTheme="minorEastAsia" w:eastAsiaTheme="minorEastAsia" w:cstheme="minorEastAsia"/>
          <w:sz w:val="30"/>
          <w:szCs w:val="30"/>
          <w:highlight w:val="none"/>
          <w:lang w:val="en-US" w:eastAsia="zh-CN"/>
        </w:rPr>
        <w:t>采用防护等级不低于IP2X 的网孔遮护时，裸露带电导体至地面的距离不应小于2.5m；</w:t>
      </w:r>
    </w:p>
    <w:p w14:paraId="7A6EB317">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3</w:t>
      </w:r>
      <w:r>
        <w:rPr>
          <w:rFonts w:hint="eastAsia" w:asciiTheme="minorEastAsia" w:hAnsiTheme="minorEastAsia" w:eastAsiaTheme="minorEastAsia" w:cstheme="minorEastAsia"/>
          <w:sz w:val="30"/>
          <w:szCs w:val="30"/>
          <w:highlight w:val="none"/>
          <w:lang w:val="en-US" w:eastAsia="zh-CN"/>
        </w:rPr>
        <w:t>）</w:t>
      </w:r>
      <w:r>
        <w:rPr>
          <w:rFonts w:hint="default" w:asciiTheme="minorEastAsia" w:hAnsiTheme="minorEastAsia" w:eastAsiaTheme="minorEastAsia" w:cstheme="minorEastAsia"/>
          <w:sz w:val="30"/>
          <w:szCs w:val="30"/>
          <w:highlight w:val="none"/>
          <w:lang w:val="en-US" w:eastAsia="zh-CN"/>
        </w:rPr>
        <w:t>网状遮护与裸露带电导体的间距，不应小于100mm 。</w:t>
      </w:r>
    </w:p>
    <w:p w14:paraId="5342BEA7">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3</w:t>
      </w:r>
      <w:r>
        <w:rPr>
          <w:rFonts w:hint="eastAsia" w:asciiTheme="minorEastAsia" w:hAnsiTheme="minorEastAsia" w:eastAsiaTheme="minorEastAsia" w:cstheme="minorEastAsia"/>
          <w:sz w:val="30"/>
          <w:szCs w:val="30"/>
          <w:highlight w:val="none"/>
          <w:lang w:val="en-US" w:eastAsia="zh-CN"/>
        </w:rPr>
        <w:t>2</w:t>
      </w:r>
      <w:r>
        <w:rPr>
          <w:rFonts w:hint="default" w:asciiTheme="minorEastAsia" w:hAnsiTheme="minorEastAsia" w:eastAsiaTheme="minorEastAsia" w:cstheme="minorEastAsia"/>
          <w:sz w:val="30"/>
          <w:szCs w:val="30"/>
          <w:highlight w:val="none"/>
          <w:lang w:val="en-US" w:eastAsia="zh-CN"/>
        </w:rPr>
        <w:t>、电气及智能化竖井的位置和数量应根据建筑物高度、建筑物变形缝位置、防火分区、系统要求、供电回路半径等因素确定，并应符合下列规定：</w:t>
      </w:r>
    </w:p>
    <w:p w14:paraId="72E06205">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1</w:t>
      </w:r>
      <w:r>
        <w:rPr>
          <w:rFonts w:hint="eastAsia" w:asciiTheme="minorEastAsia" w:hAnsiTheme="minorEastAsia" w:eastAsiaTheme="minorEastAsia" w:cstheme="minorEastAsia"/>
          <w:sz w:val="30"/>
          <w:szCs w:val="30"/>
          <w:highlight w:val="none"/>
          <w:lang w:val="en-US" w:eastAsia="zh-CN"/>
        </w:rPr>
        <w:t>）</w:t>
      </w:r>
      <w:r>
        <w:rPr>
          <w:rFonts w:hint="default" w:asciiTheme="minorEastAsia" w:hAnsiTheme="minorEastAsia" w:eastAsiaTheme="minorEastAsia" w:cstheme="minorEastAsia"/>
          <w:sz w:val="30"/>
          <w:szCs w:val="30"/>
          <w:highlight w:val="none"/>
          <w:lang w:val="en-US" w:eastAsia="zh-CN"/>
        </w:rPr>
        <w:t>不应与电梯井、其他专业管道井共用同一竖井；</w:t>
      </w:r>
    </w:p>
    <w:p w14:paraId="4F032C57">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2</w:t>
      </w:r>
      <w:r>
        <w:rPr>
          <w:rFonts w:hint="eastAsia" w:asciiTheme="minorEastAsia" w:hAnsiTheme="minorEastAsia" w:eastAsiaTheme="minorEastAsia" w:cstheme="minorEastAsia"/>
          <w:sz w:val="30"/>
          <w:szCs w:val="30"/>
          <w:highlight w:val="none"/>
          <w:lang w:val="en-US" w:eastAsia="zh-CN"/>
        </w:rPr>
        <w:t>）</w:t>
      </w:r>
      <w:r>
        <w:rPr>
          <w:rFonts w:hint="default" w:asciiTheme="minorEastAsia" w:hAnsiTheme="minorEastAsia" w:eastAsiaTheme="minorEastAsia" w:cstheme="minorEastAsia"/>
          <w:sz w:val="30"/>
          <w:szCs w:val="30"/>
          <w:highlight w:val="none"/>
          <w:lang w:val="en-US" w:eastAsia="zh-CN"/>
        </w:rPr>
        <w:t xml:space="preserve">不应贴邻热烟道、热力管道及其他散热量大的场所。 </w:t>
      </w:r>
    </w:p>
    <w:p w14:paraId="7E661271">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3</w:t>
      </w:r>
      <w:r>
        <w:rPr>
          <w:rFonts w:hint="eastAsia" w:asciiTheme="minorEastAsia" w:hAnsiTheme="minorEastAsia" w:eastAsiaTheme="minorEastAsia" w:cstheme="minorEastAsia"/>
          <w:sz w:val="30"/>
          <w:szCs w:val="30"/>
          <w:highlight w:val="none"/>
          <w:lang w:val="en-US" w:eastAsia="zh-CN"/>
        </w:rPr>
        <w:t>3</w:t>
      </w:r>
      <w:r>
        <w:rPr>
          <w:rFonts w:hint="default" w:asciiTheme="minorEastAsia" w:hAnsiTheme="minorEastAsia" w:eastAsiaTheme="minorEastAsia" w:cstheme="minorEastAsia"/>
          <w:sz w:val="30"/>
          <w:szCs w:val="30"/>
          <w:highlight w:val="none"/>
          <w:lang w:val="en-US" w:eastAsia="zh-CN"/>
        </w:rPr>
        <w:t>、电气线路的敷设应符合下列规定：</w:t>
      </w:r>
    </w:p>
    <w:p w14:paraId="770B397D">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 xml:space="preserve">    1</w:t>
      </w:r>
      <w:r>
        <w:rPr>
          <w:rFonts w:hint="eastAsia" w:asciiTheme="minorEastAsia" w:hAnsiTheme="minorEastAsia" w:eastAsiaTheme="minorEastAsia" w:cstheme="minorEastAsia"/>
          <w:sz w:val="30"/>
          <w:szCs w:val="30"/>
          <w:highlight w:val="none"/>
          <w:lang w:val="en-US" w:eastAsia="zh-CN"/>
        </w:rPr>
        <w:t>）</w:t>
      </w:r>
      <w:r>
        <w:rPr>
          <w:rFonts w:hint="default" w:asciiTheme="minorEastAsia" w:hAnsiTheme="minorEastAsia" w:eastAsiaTheme="minorEastAsia" w:cstheme="minorEastAsia"/>
          <w:sz w:val="30"/>
          <w:szCs w:val="30"/>
          <w:highlight w:val="none"/>
          <w:lang w:val="en-US" w:eastAsia="zh-CN"/>
        </w:rPr>
        <w:t>电气线路敷设应避开炉灶、烟囱等高温部位及其他可能受高温作业影响的部位，不应直接敷设在可燃物上；</w:t>
      </w:r>
    </w:p>
    <w:p w14:paraId="4C2CBDB0">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 xml:space="preserve">    2</w:t>
      </w:r>
      <w:r>
        <w:rPr>
          <w:rFonts w:hint="eastAsia" w:asciiTheme="minorEastAsia" w:hAnsiTheme="minorEastAsia" w:eastAsiaTheme="minorEastAsia" w:cstheme="minorEastAsia"/>
          <w:sz w:val="30"/>
          <w:szCs w:val="30"/>
          <w:highlight w:val="none"/>
          <w:lang w:val="en-US" w:eastAsia="zh-CN"/>
        </w:rPr>
        <w:t>）</w:t>
      </w:r>
      <w:r>
        <w:rPr>
          <w:rFonts w:hint="default" w:asciiTheme="minorEastAsia" w:hAnsiTheme="minorEastAsia" w:eastAsiaTheme="minorEastAsia" w:cstheme="minorEastAsia"/>
          <w:sz w:val="30"/>
          <w:szCs w:val="30"/>
          <w:highlight w:val="none"/>
          <w:lang w:val="en-US" w:eastAsia="zh-CN"/>
        </w:rPr>
        <w:t>室内明敷的电气线路，在有可燃物的吊顶或难燃性、可燃性墙体内敷设的电气线路，应具有相应的防火性能或防火保护措施；</w:t>
      </w:r>
    </w:p>
    <w:p w14:paraId="5819F0B1">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 xml:space="preserve">    3</w:t>
      </w:r>
      <w:r>
        <w:rPr>
          <w:rFonts w:hint="eastAsia" w:asciiTheme="minorEastAsia" w:hAnsiTheme="minorEastAsia" w:eastAsiaTheme="minorEastAsia" w:cstheme="minorEastAsia"/>
          <w:sz w:val="30"/>
          <w:szCs w:val="30"/>
          <w:highlight w:val="none"/>
          <w:lang w:val="en-US" w:eastAsia="zh-CN"/>
        </w:rPr>
        <w:t>）</w:t>
      </w:r>
      <w:r>
        <w:rPr>
          <w:rFonts w:hint="default" w:asciiTheme="minorEastAsia" w:hAnsiTheme="minorEastAsia" w:eastAsiaTheme="minorEastAsia" w:cstheme="minorEastAsia"/>
          <w:sz w:val="30"/>
          <w:szCs w:val="30"/>
          <w:highlight w:val="none"/>
          <w:lang w:val="en-US" w:eastAsia="zh-CN"/>
        </w:rPr>
        <w:t>室外电缆沟或电缆隧道在进入建筑、工程或变电站处应采取防火分隔措施，防火分隔部位的耐火极限不应低于2.00h，门应采用甲级防火门。</w:t>
      </w:r>
    </w:p>
    <w:p w14:paraId="1F62F7F2">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 xml:space="preserve">6.2.7 </w:t>
      </w:r>
      <w:r>
        <w:rPr>
          <w:rFonts w:hint="default" w:asciiTheme="minorEastAsia" w:hAnsiTheme="minorEastAsia" w:eastAsiaTheme="minorEastAsia" w:cstheme="minorEastAsia"/>
          <w:sz w:val="30"/>
          <w:szCs w:val="30"/>
          <w:highlight w:val="none"/>
          <w:lang w:val="en-US" w:eastAsia="zh-CN"/>
        </w:rPr>
        <w:t>设备选型及安装</w:t>
      </w:r>
    </w:p>
    <w:p w14:paraId="0202B4B7">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1、所有电气设备需采用符合国家标准的低能耗电气设备，凡属强制认证的产品应取得国家认证标志。电力变压器、电动机、交流接触器和照明产品的能效水平应高于能效限定值或能效等级3级的要求。</w:t>
      </w:r>
    </w:p>
    <w:p w14:paraId="5B703F16">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2、照明配电箱、动力配电箱、控制箱等在竖井、机房内及车库相关部位挂墙明装，箱体高度0.6m以下，底边距地1.5m；0.6m~0.8m高，底边距地1.2m；0.8m~1m高，底边距地1m；1m~1.2m高，底边距地0.8m；1.2m以上的落地式安装，下设高出总平完成面200mm砖砌基础基座。</w:t>
      </w:r>
    </w:p>
    <w:p w14:paraId="4074F24E">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3</w:t>
      </w:r>
      <w:r>
        <w:rPr>
          <w:rFonts w:hint="default" w:asciiTheme="minorEastAsia" w:hAnsiTheme="minorEastAsia" w:eastAsiaTheme="minorEastAsia" w:cstheme="minorEastAsia"/>
          <w:sz w:val="30"/>
          <w:szCs w:val="30"/>
          <w:highlight w:val="none"/>
          <w:lang w:val="en-US" w:eastAsia="zh-CN"/>
        </w:rPr>
        <w:t>、灯具严禁直接设置在可燃装修材料或可燃构件上。对人员可触及的光环境设施，当表面温度高于70℃时，应采取隔离保护措施。</w:t>
      </w:r>
    </w:p>
    <w:p w14:paraId="7FED436A">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4</w:t>
      </w:r>
      <w:r>
        <w:rPr>
          <w:rFonts w:hint="default" w:asciiTheme="minorEastAsia" w:hAnsiTheme="minorEastAsia" w:eastAsiaTheme="minorEastAsia" w:cstheme="minorEastAsia"/>
          <w:sz w:val="30"/>
          <w:szCs w:val="30"/>
          <w:highlight w:val="none"/>
          <w:lang w:val="en-US" w:eastAsia="zh-CN"/>
        </w:rPr>
        <w:t>、灯具就地控制开关、风机就地控制按钮等距地1.3米安装。开关、插座和灯具等靠近可燃物时，应采取隔热、散热等措施。</w:t>
      </w:r>
    </w:p>
    <w:p w14:paraId="285CF112">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5</w:t>
      </w:r>
      <w:r>
        <w:rPr>
          <w:rFonts w:hint="default" w:asciiTheme="minorEastAsia" w:hAnsiTheme="minorEastAsia" w:eastAsiaTheme="minorEastAsia" w:cstheme="minorEastAsia"/>
          <w:sz w:val="30"/>
          <w:szCs w:val="30"/>
          <w:highlight w:val="none"/>
          <w:lang w:val="en-US" w:eastAsia="zh-CN"/>
        </w:rPr>
        <w:t>、当电箱设于潮湿环境时，非消防电气设备的外壳的防尘与防水等级不低于IP54。</w:t>
      </w:r>
    </w:p>
    <w:p w14:paraId="278C88CB">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6</w:t>
      </w:r>
      <w:r>
        <w:rPr>
          <w:rFonts w:hint="default" w:asciiTheme="minorEastAsia" w:hAnsiTheme="minorEastAsia" w:eastAsiaTheme="minorEastAsia" w:cstheme="minorEastAsia"/>
          <w:sz w:val="30"/>
          <w:szCs w:val="30"/>
          <w:highlight w:val="none"/>
          <w:lang w:val="en-US" w:eastAsia="zh-CN"/>
        </w:rPr>
        <w:t>、一般照明开关距地1.3m暗装，一般插座距地0.3m暗装（有防水要求或潮湿场所为1.5m）。一般插座为二孔加三孔安全型插座，潮湿场所采用防潮防溅型面板，并应设在2区以外。</w:t>
      </w:r>
    </w:p>
    <w:p w14:paraId="0E8DAD8F">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7</w:t>
      </w:r>
      <w:r>
        <w:rPr>
          <w:rFonts w:hint="default" w:asciiTheme="minorEastAsia" w:hAnsiTheme="minorEastAsia" w:eastAsiaTheme="minorEastAsia" w:cstheme="minorEastAsia"/>
          <w:sz w:val="30"/>
          <w:szCs w:val="30"/>
          <w:highlight w:val="none"/>
          <w:lang w:val="en-US" w:eastAsia="zh-CN"/>
        </w:rPr>
        <w:t>、不同回路的线路不应穿于同一根导管内共管敷设。照明灯具的可接近裸露导体，必须接地。</w:t>
      </w:r>
    </w:p>
    <w:p w14:paraId="24FD6676">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8</w:t>
      </w:r>
      <w:r>
        <w:rPr>
          <w:rFonts w:hint="default" w:asciiTheme="minorEastAsia" w:hAnsiTheme="minorEastAsia" w:eastAsiaTheme="minorEastAsia" w:cstheme="minorEastAsia"/>
          <w:sz w:val="30"/>
          <w:szCs w:val="30"/>
          <w:highlight w:val="none"/>
          <w:lang w:val="en-US" w:eastAsia="zh-CN"/>
        </w:rPr>
        <w:t>、采用带隔离功能的控制与保护开关电器（CPS），应能同时断开主电路和控制电路，且能防止被无意识地开断。</w:t>
      </w:r>
    </w:p>
    <w:p w14:paraId="0AB429B2">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9</w:t>
      </w:r>
      <w:r>
        <w:rPr>
          <w:rFonts w:hint="default" w:asciiTheme="minorEastAsia" w:hAnsiTheme="minorEastAsia" w:eastAsiaTheme="minorEastAsia" w:cstheme="minorEastAsia"/>
          <w:sz w:val="30"/>
          <w:szCs w:val="30"/>
          <w:highlight w:val="none"/>
          <w:lang w:val="en-US" w:eastAsia="zh-CN"/>
        </w:rPr>
        <w:t>、在装有浴盆或淋浴器的房间，布线埋设的深度至少为5cm。</w:t>
      </w:r>
    </w:p>
    <w:p w14:paraId="1D83A36F">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1</w:t>
      </w:r>
      <w:r>
        <w:rPr>
          <w:rFonts w:hint="eastAsia" w:asciiTheme="minorEastAsia" w:hAnsiTheme="minorEastAsia" w:eastAsiaTheme="minorEastAsia" w:cstheme="minorEastAsia"/>
          <w:sz w:val="30"/>
          <w:szCs w:val="30"/>
          <w:highlight w:val="none"/>
          <w:lang w:val="en-US" w:eastAsia="zh-CN"/>
        </w:rPr>
        <w:t>0</w:t>
      </w:r>
      <w:r>
        <w:rPr>
          <w:rFonts w:hint="default" w:asciiTheme="minorEastAsia" w:hAnsiTheme="minorEastAsia" w:eastAsiaTheme="minorEastAsia" w:cstheme="minorEastAsia"/>
          <w:sz w:val="30"/>
          <w:szCs w:val="30"/>
          <w:highlight w:val="none"/>
          <w:lang w:val="en-US" w:eastAsia="zh-CN"/>
        </w:rPr>
        <w:t>、强、弱电井相邻墙面应采取防电磁干扰措施：墙面敷设金属网或密闭金属装置。</w:t>
      </w:r>
    </w:p>
    <w:p w14:paraId="1D0E54BB">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1</w:t>
      </w:r>
      <w:r>
        <w:rPr>
          <w:rFonts w:hint="eastAsia" w:asciiTheme="minorEastAsia" w:hAnsiTheme="minorEastAsia" w:eastAsiaTheme="minorEastAsia" w:cstheme="minorEastAsia"/>
          <w:sz w:val="30"/>
          <w:szCs w:val="30"/>
          <w:highlight w:val="none"/>
          <w:lang w:val="en-US" w:eastAsia="zh-CN"/>
        </w:rPr>
        <w:t>1</w:t>
      </w:r>
      <w:r>
        <w:rPr>
          <w:rFonts w:hint="default" w:asciiTheme="minorEastAsia" w:hAnsiTheme="minorEastAsia" w:eastAsiaTheme="minorEastAsia" w:cstheme="minorEastAsia"/>
          <w:sz w:val="30"/>
          <w:szCs w:val="30"/>
          <w:highlight w:val="none"/>
          <w:lang w:val="en-US" w:eastAsia="zh-CN"/>
        </w:rPr>
        <w:t>、灯具的安装应符合下列规定：</w:t>
      </w:r>
    </w:p>
    <w:p w14:paraId="3BEEC91C">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1</w:t>
      </w:r>
      <w:r>
        <w:rPr>
          <w:rFonts w:hint="eastAsia" w:asciiTheme="minorEastAsia" w:hAnsiTheme="minorEastAsia" w:eastAsiaTheme="minorEastAsia" w:cstheme="minorEastAsia"/>
          <w:sz w:val="30"/>
          <w:szCs w:val="30"/>
          <w:highlight w:val="none"/>
          <w:lang w:val="en-US" w:eastAsia="zh-CN"/>
        </w:rPr>
        <w:t>）</w:t>
      </w:r>
      <w:r>
        <w:rPr>
          <w:rFonts w:hint="default" w:asciiTheme="minorEastAsia" w:hAnsiTheme="minorEastAsia" w:eastAsiaTheme="minorEastAsia" w:cstheme="minorEastAsia"/>
          <w:sz w:val="30"/>
          <w:szCs w:val="30"/>
          <w:highlight w:val="none"/>
          <w:lang w:val="en-US" w:eastAsia="zh-CN"/>
        </w:rPr>
        <w:t>灯具的固定应牢固可靠，在砌体和混凝土结构上严禁使用木楔、尼龙塞和塑料塞固定；</w:t>
      </w:r>
    </w:p>
    <w:p w14:paraId="111E3848">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 xml:space="preserve">    2</w:t>
      </w:r>
      <w:r>
        <w:rPr>
          <w:rFonts w:hint="eastAsia" w:asciiTheme="minorEastAsia" w:hAnsiTheme="minorEastAsia" w:eastAsiaTheme="minorEastAsia" w:cstheme="minorEastAsia"/>
          <w:sz w:val="30"/>
          <w:szCs w:val="30"/>
          <w:highlight w:val="none"/>
          <w:lang w:val="en-US" w:eastAsia="zh-CN"/>
        </w:rPr>
        <w:t>）</w:t>
      </w:r>
      <w:r>
        <w:rPr>
          <w:rFonts w:hint="default" w:asciiTheme="minorEastAsia" w:hAnsiTheme="minorEastAsia" w:eastAsiaTheme="minorEastAsia" w:cstheme="minorEastAsia"/>
          <w:sz w:val="30"/>
          <w:szCs w:val="30"/>
          <w:highlight w:val="none"/>
          <w:lang w:val="en-US" w:eastAsia="zh-CN"/>
        </w:rPr>
        <w:t>Ⅰ类灯具的外露可导电部分必须与保护接地导体可靠连接，连接处应设置接地标识；</w:t>
      </w:r>
    </w:p>
    <w:p w14:paraId="7A1DF7E3">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 xml:space="preserve">    3</w:t>
      </w:r>
      <w:r>
        <w:rPr>
          <w:rFonts w:hint="eastAsia" w:asciiTheme="minorEastAsia" w:hAnsiTheme="minorEastAsia" w:eastAsiaTheme="minorEastAsia" w:cstheme="minorEastAsia"/>
          <w:sz w:val="30"/>
          <w:szCs w:val="30"/>
          <w:highlight w:val="none"/>
          <w:lang w:val="en-US" w:eastAsia="zh-CN"/>
        </w:rPr>
        <w:t>）</w:t>
      </w:r>
      <w:r>
        <w:rPr>
          <w:rFonts w:hint="default" w:asciiTheme="minorEastAsia" w:hAnsiTheme="minorEastAsia" w:eastAsiaTheme="minorEastAsia" w:cstheme="minorEastAsia"/>
          <w:sz w:val="30"/>
          <w:szCs w:val="30"/>
          <w:highlight w:val="none"/>
          <w:lang w:val="en-US" w:eastAsia="zh-CN"/>
        </w:rPr>
        <w:t>接线盒引至嵌入式灯具或槽灯的电线应采用金属柔性导管保护，不得裸露；柔性导管与灯具壳体应采用专用接头连接；</w:t>
      </w:r>
    </w:p>
    <w:p w14:paraId="3E176DC4">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 xml:space="preserve">    4</w:t>
      </w:r>
      <w:r>
        <w:rPr>
          <w:rFonts w:hint="eastAsia" w:asciiTheme="minorEastAsia" w:hAnsiTheme="minorEastAsia" w:eastAsiaTheme="minorEastAsia" w:cstheme="minorEastAsia"/>
          <w:sz w:val="30"/>
          <w:szCs w:val="30"/>
          <w:highlight w:val="none"/>
          <w:lang w:val="en-US" w:eastAsia="zh-CN"/>
        </w:rPr>
        <w:t>）</w:t>
      </w:r>
      <w:r>
        <w:rPr>
          <w:rFonts w:hint="default" w:asciiTheme="minorEastAsia" w:hAnsiTheme="minorEastAsia" w:eastAsiaTheme="minorEastAsia" w:cstheme="minorEastAsia"/>
          <w:sz w:val="30"/>
          <w:szCs w:val="30"/>
          <w:highlight w:val="none"/>
          <w:lang w:val="en-US" w:eastAsia="zh-CN"/>
        </w:rPr>
        <w:t>从接线盒引至灯具的电线截面面积应与灯具要求相匹配且不应小于1mm²；</w:t>
      </w:r>
    </w:p>
    <w:p w14:paraId="531F5C40">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 xml:space="preserve">    5</w:t>
      </w:r>
      <w:r>
        <w:rPr>
          <w:rFonts w:hint="eastAsia" w:asciiTheme="minorEastAsia" w:hAnsiTheme="minorEastAsia" w:eastAsiaTheme="minorEastAsia" w:cstheme="minorEastAsia"/>
          <w:sz w:val="30"/>
          <w:szCs w:val="30"/>
          <w:highlight w:val="none"/>
          <w:lang w:val="en-US" w:eastAsia="zh-CN"/>
        </w:rPr>
        <w:t>）</w:t>
      </w:r>
      <w:r>
        <w:rPr>
          <w:rFonts w:hint="default" w:asciiTheme="minorEastAsia" w:hAnsiTheme="minorEastAsia" w:eastAsiaTheme="minorEastAsia" w:cstheme="minorEastAsia"/>
          <w:sz w:val="30"/>
          <w:szCs w:val="30"/>
          <w:highlight w:val="none"/>
          <w:lang w:val="en-US" w:eastAsia="zh-CN"/>
        </w:rPr>
        <w:t>埋地灯具、水下灯具及室外灯具的接线盒，其防护等级应与灯具的防护等级相同，且盒内导线接头应做防水绝缘处理；</w:t>
      </w:r>
    </w:p>
    <w:p w14:paraId="394D86E3">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 xml:space="preserve">    6</w:t>
      </w:r>
      <w:r>
        <w:rPr>
          <w:rFonts w:hint="eastAsia" w:asciiTheme="minorEastAsia" w:hAnsiTheme="minorEastAsia" w:eastAsiaTheme="minorEastAsia" w:cstheme="minorEastAsia"/>
          <w:sz w:val="30"/>
          <w:szCs w:val="30"/>
          <w:highlight w:val="none"/>
          <w:lang w:val="en-US" w:eastAsia="zh-CN"/>
        </w:rPr>
        <w:t>）</w:t>
      </w:r>
      <w:r>
        <w:rPr>
          <w:rFonts w:hint="default" w:asciiTheme="minorEastAsia" w:hAnsiTheme="minorEastAsia" w:eastAsiaTheme="minorEastAsia" w:cstheme="minorEastAsia"/>
          <w:sz w:val="30"/>
          <w:szCs w:val="30"/>
          <w:highlight w:val="none"/>
          <w:lang w:val="en-US" w:eastAsia="zh-CN"/>
        </w:rPr>
        <w:t>安装在人员密集场所的灯具玻璃罩，应有防止其向下溅落的措施；</w:t>
      </w:r>
    </w:p>
    <w:p w14:paraId="42EA4D2D">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 xml:space="preserve">    7</w:t>
      </w:r>
      <w:r>
        <w:rPr>
          <w:rFonts w:hint="eastAsia" w:asciiTheme="minorEastAsia" w:hAnsiTheme="minorEastAsia" w:eastAsiaTheme="minorEastAsia" w:cstheme="minorEastAsia"/>
          <w:sz w:val="30"/>
          <w:szCs w:val="30"/>
          <w:highlight w:val="none"/>
          <w:lang w:val="en-US" w:eastAsia="zh-CN"/>
        </w:rPr>
        <w:t>）</w:t>
      </w:r>
      <w:r>
        <w:rPr>
          <w:rFonts w:hint="default" w:asciiTheme="minorEastAsia" w:hAnsiTheme="minorEastAsia" w:eastAsiaTheme="minorEastAsia" w:cstheme="minorEastAsia"/>
          <w:sz w:val="30"/>
          <w:szCs w:val="30"/>
          <w:highlight w:val="none"/>
          <w:lang w:val="en-US" w:eastAsia="zh-CN"/>
        </w:rPr>
        <w:t>在人行道等人员来往密集场所安装的落地式景观照明灯，当采用表面温度大于60℃的灯具且无围栏防护时，灯具距地面高度应大于2.5m，灯具的金属构架及金属保护管应分别与保护导体采用焊接或螺栓连接，连接处应设置接地标识；</w:t>
      </w:r>
    </w:p>
    <w:p w14:paraId="2A400AFC">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 xml:space="preserve">    8</w:t>
      </w:r>
      <w:r>
        <w:rPr>
          <w:rFonts w:hint="eastAsia" w:asciiTheme="minorEastAsia" w:hAnsiTheme="minorEastAsia" w:eastAsiaTheme="minorEastAsia" w:cstheme="minorEastAsia"/>
          <w:sz w:val="30"/>
          <w:szCs w:val="30"/>
          <w:highlight w:val="none"/>
          <w:lang w:val="en-US" w:eastAsia="zh-CN"/>
        </w:rPr>
        <w:t>）</w:t>
      </w:r>
      <w:r>
        <w:rPr>
          <w:rFonts w:hint="default" w:asciiTheme="minorEastAsia" w:hAnsiTheme="minorEastAsia" w:eastAsiaTheme="minorEastAsia" w:cstheme="minorEastAsia"/>
          <w:sz w:val="30"/>
          <w:szCs w:val="30"/>
          <w:highlight w:val="none"/>
          <w:lang w:val="en-US" w:eastAsia="zh-CN"/>
        </w:rPr>
        <w:t>灯具表面及其附件的高温部位靠近可燃物时，应采取隔热、散热防火保护措施。</w:t>
      </w:r>
    </w:p>
    <w:p w14:paraId="025891E4">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1</w:t>
      </w:r>
      <w:r>
        <w:rPr>
          <w:rFonts w:hint="default" w:asciiTheme="minorEastAsia" w:hAnsiTheme="minorEastAsia" w:eastAsiaTheme="minorEastAsia" w:cstheme="minorEastAsia"/>
          <w:sz w:val="30"/>
          <w:szCs w:val="30"/>
          <w:highlight w:val="none"/>
          <w:lang w:val="en-US" w:eastAsia="zh-CN"/>
        </w:rPr>
        <w:t>2、可能处于潮湿环境内的消防电气设备，外壳的防尘与防水等级对于潮湿环境，不应低于IP45。用电设备安装在室外或潮湿场所时，其接线口或接线盒应采取防水防潮措施。</w:t>
      </w:r>
    </w:p>
    <w:p w14:paraId="414B4DC6">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13</w:t>
      </w:r>
      <w:r>
        <w:rPr>
          <w:rFonts w:hint="default" w:asciiTheme="minorEastAsia" w:hAnsiTheme="minorEastAsia" w:eastAsiaTheme="minorEastAsia" w:cstheme="minorEastAsia"/>
          <w:sz w:val="30"/>
          <w:szCs w:val="30"/>
          <w:highlight w:val="none"/>
          <w:lang w:val="en-US" w:eastAsia="zh-CN"/>
        </w:rPr>
        <w:t>、各住户配电箱暗装，单排H+1.8m，双排H+1.6m；弱电箱暗装0.5m。当分户墙上同一位置背靠背设电箱时，箱体安装高度分别按1.65m及1.9m错位安装。</w:t>
      </w:r>
    </w:p>
    <w:p w14:paraId="6F92C7E3">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14</w:t>
      </w:r>
      <w:r>
        <w:rPr>
          <w:rFonts w:hint="default" w:asciiTheme="minorEastAsia" w:hAnsiTheme="minorEastAsia" w:eastAsiaTheme="minorEastAsia" w:cstheme="minorEastAsia"/>
          <w:sz w:val="30"/>
          <w:szCs w:val="30"/>
          <w:highlight w:val="none"/>
          <w:lang w:val="en-US" w:eastAsia="zh-CN"/>
        </w:rPr>
        <w:t>、跷板开关、触摸延时开关、门铃按钮暗装，安装高度H+1.3m(H为装修完成面)。</w:t>
      </w:r>
    </w:p>
    <w:p w14:paraId="0D00F18D">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15</w:t>
      </w:r>
      <w:r>
        <w:rPr>
          <w:rFonts w:hint="default" w:asciiTheme="minorEastAsia" w:hAnsiTheme="minorEastAsia" w:eastAsiaTheme="minorEastAsia" w:cstheme="minorEastAsia"/>
          <w:sz w:val="30"/>
          <w:szCs w:val="30"/>
          <w:highlight w:val="none"/>
          <w:lang w:val="en-US" w:eastAsia="zh-CN"/>
        </w:rPr>
        <w:t>、前室、走道等红外感应开关暗装，H+1.3m,或吸顶安装，距灯具≥0.2m;楼梯走廊红外感应开关灯具自带安装。</w:t>
      </w:r>
    </w:p>
    <w:p w14:paraId="4AB549E4">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16</w:t>
      </w:r>
      <w:r>
        <w:rPr>
          <w:rFonts w:hint="default" w:asciiTheme="minorEastAsia" w:hAnsiTheme="minorEastAsia" w:eastAsiaTheme="minorEastAsia" w:cstheme="minorEastAsia"/>
          <w:sz w:val="30"/>
          <w:szCs w:val="30"/>
          <w:highlight w:val="none"/>
          <w:lang w:val="en-US" w:eastAsia="zh-CN"/>
        </w:rPr>
        <w:t>、住户内插座均暗装，在卫生间安装的插座须设在2区以外(2区范围以《民用建筑电气设计标准》GB 51348-2019附录C浴室区域的划分为准)。在露台、开敞式阳台、卫生间安装的插座均须加防溅盖板。安装距地1.8m及以下的插座均选用带安全门的插座。</w:t>
      </w:r>
    </w:p>
    <w:p w14:paraId="57418E39">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17</w:t>
      </w:r>
      <w:r>
        <w:rPr>
          <w:rFonts w:hint="default" w:asciiTheme="minorEastAsia" w:hAnsiTheme="minorEastAsia" w:eastAsiaTheme="minorEastAsia" w:cstheme="minorEastAsia"/>
          <w:sz w:val="30"/>
          <w:szCs w:val="30"/>
          <w:highlight w:val="none"/>
          <w:lang w:val="en-US" w:eastAsia="zh-CN"/>
        </w:rPr>
        <w:t>、插座应保证与热水器、燃气管间的水平净距不得小于150mm，与燃气表间的水平净距不得小于200mm。</w:t>
      </w:r>
    </w:p>
    <w:p w14:paraId="163F4EA1">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18</w:t>
      </w:r>
      <w:r>
        <w:rPr>
          <w:rFonts w:hint="default" w:asciiTheme="minorEastAsia" w:hAnsiTheme="minorEastAsia" w:eastAsiaTheme="minorEastAsia" w:cstheme="minorEastAsia"/>
          <w:sz w:val="30"/>
          <w:szCs w:val="30"/>
          <w:highlight w:val="none"/>
          <w:lang w:val="en-US" w:eastAsia="zh-CN"/>
        </w:rPr>
        <w:t>、住户内放置配电箱、弱电箱的墙体厚度不得小于150mm，低于180mm时，配电箱、弱电箱后应挂网批荡。</w:t>
      </w:r>
    </w:p>
    <w:p w14:paraId="56250DA9">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6.2.8</w:t>
      </w:r>
      <w:r>
        <w:rPr>
          <w:rFonts w:hint="default" w:asciiTheme="minorEastAsia" w:hAnsiTheme="minorEastAsia" w:eastAsiaTheme="minorEastAsia" w:cstheme="minorEastAsia"/>
          <w:sz w:val="30"/>
          <w:szCs w:val="30"/>
          <w:highlight w:val="none"/>
          <w:lang w:val="en-US" w:eastAsia="zh-CN"/>
        </w:rPr>
        <w:t>电气节能</w:t>
      </w:r>
    </w:p>
    <w:p w14:paraId="1C9CCF11">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 xml:space="preserve">   电力变压器、电动机、交流接触器和照明产品的能效水平应高于能效限定值或能效等级3级的要求。</w:t>
      </w:r>
    </w:p>
    <w:p w14:paraId="1468D02A">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1、供配电系统</w:t>
      </w:r>
    </w:p>
    <w:p w14:paraId="0F414395">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 xml:space="preserve">    1</w:t>
      </w:r>
      <w:r>
        <w:rPr>
          <w:rFonts w:hint="eastAsia" w:asciiTheme="minorEastAsia" w:hAnsiTheme="minorEastAsia" w:eastAsiaTheme="minorEastAsia" w:cstheme="minorEastAsia"/>
          <w:sz w:val="30"/>
          <w:szCs w:val="30"/>
          <w:highlight w:val="none"/>
          <w:lang w:val="en-US" w:eastAsia="zh-CN"/>
        </w:rPr>
        <w:t>）</w:t>
      </w:r>
      <w:r>
        <w:rPr>
          <w:rFonts w:hint="default" w:asciiTheme="minorEastAsia" w:hAnsiTheme="minorEastAsia" w:eastAsiaTheme="minorEastAsia" w:cstheme="minorEastAsia"/>
          <w:sz w:val="30"/>
          <w:szCs w:val="30"/>
          <w:highlight w:val="none"/>
          <w:lang w:val="en-US" w:eastAsia="zh-CN"/>
        </w:rPr>
        <w:t>380/220V低压供电半径不超过200米。并通过合理选择敷设路径等措施降低线路损耗。0.4kV系统的配电级数不超过三级。</w:t>
      </w:r>
    </w:p>
    <w:p w14:paraId="43175C44">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 xml:space="preserve">    </w:t>
      </w:r>
      <w:r>
        <w:rPr>
          <w:rFonts w:hint="eastAsia" w:asciiTheme="minorEastAsia" w:hAnsiTheme="minorEastAsia" w:eastAsiaTheme="minorEastAsia" w:cstheme="minorEastAsia"/>
          <w:sz w:val="30"/>
          <w:szCs w:val="30"/>
          <w:highlight w:val="none"/>
          <w:lang w:val="en-US" w:eastAsia="zh-CN"/>
        </w:rPr>
        <w:t>2）</w:t>
      </w:r>
      <w:r>
        <w:rPr>
          <w:rFonts w:hint="default" w:asciiTheme="minorEastAsia" w:hAnsiTheme="minorEastAsia" w:eastAsiaTheme="minorEastAsia" w:cstheme="minorEastAsia"/>
          <w:sz w:val="30"/>
          <w:szCs w:val="30"/>
          <w:highlight w:val="none"/>
          <w:lang w:val="en-US" w:eastAsia="zh-CN"/>
        </w:rPr>
        <w:t>低压功率因数补偿电容串联一定电抗率的电抗器，以限制涌流（串1%电抗器时），抑制因节能灯、空调设备等非线性负荷产生的谐波（串14%或7%电抗器时）。谐波含量较大的用电设备，采用自带滤波装置的产品或设置独立的终端电气综合治理保护系统等滤波装置。</w:t>
      </w:r>
    </w:p>
    <w:p w14:paraId="61D3CE07">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 xml:space="preserve">    </w:t>
      </w:r>
      <w:r>
        <w:rPr>
          <w:rFonts w:hint="eastAsia" w:asciiTheme="minorEastAsia" w:hAnsiTheme="minorEastAsia" w:eastAsiaTheme="minorEastAsia" w:cstheme="minorEastAsia"/>
          <w:sz w:val="30"/>
          <w:szCs w:val="30"/>
          <w:highlight w:val="none"/>
          <w:lang w:val="en-US" w:eastAsia="zh-CN"/>
        </w:rPr>
        <w:t>3）</w:t>
      </w:r>
      <w:r>
        <w:rPr>
          <w:rFonts w:hint="default" w:asciiTheme="minorEastAsia" w:hAnsiTheme="minorEastAsia" w:eastAsiaTheme="minorEastAsia" w:cstheme="minorEastAsia"/>
          <w:sz w:val="30"/>
          <w:szCs w:val="30"/>
          <w:highlight w:val="none"/>
          <w:lang w:val="en-US" w:eastAsia="zh-CN"/>
        </w:rPr>
        <w:t>三相配电干线的各相负荷平衡分配，其最大相负荷不超过三相负荷平均值的115％，最小相负荷不小于三相负荷平均值的85％。为降低三相低压配电系统的不对称度，对单相负荷（如照明、插座负荷等），当线路电流小于或等于40A时，宜采用220V单相供电，当线路电流大于40A时，宜采用220/380V三相供电。</w:t>
      </w:r>
    </w:p>
    <w:p w14:paraId="33D6DD38">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 xml:space="preserve">    </w:t>
      </w:r>
      <w:r>
        <w:rPr>
          <w:rFonts w:hint="eastAsia" w:asciiTheme="minorEastAsia" w:hAnsiTheme="minorEastAsia" w:eastAsiaTheme="minorEastAsia" w:cstheme="minorEastAsia"/>
          <w:sz w:val="30"/>
          <w:szCs w:val="30"/>
          <w:highlight w:val="none"/>
          <w:lang w:val="en-US" w:eastAsia="zh-CN"/>
        </w:rPr>
        <w:t>4）</w:t>
      </w:r>
      <w:r>
        <w:rPr>
          <w:rFonts w:hint="default" w:asciiTheme="minorEastAsia" w:hAnsiTheme="minorEastAsia" w:eastAsiaTheme="minorEastAsia" w:cstheme="minorEastAsia"/>
          <w:sz w:val="30"/>
          <w:szCs w:val="30"/>
          <w:highlight w:val="none"/>
          <w:lang w:val="en-US" w:eastAsia="zh-CN"/>
        </w:rPr>
        <w:t>季节性负荷、工艺负荷卸载时，为其单独设置的变压器应具有退出运行的措施。水泵、风机以及电热设备应采取节能自动控制措施。</w:t>
      </w:r>
    </w:p>
    <w:p w14:paraId="7784CF89">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2、照明节能</w:t>
      </w:r>
    </w:p>
    <w:p w14:paraId="6925AF16">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 xml:space="preserve">    </w:t>
      </w:r>
      <w:r>
        <w:rPr>
          <w:rFonts w:hint="eastAsia" w:asciiTheme="minorEastAsia" w:hAnsiTheme="minorEastAsia" w:eastAsiaTheme="minorEastAsia" w:cstheme="minorEastAsia"/>
          <w:sz w:val="30"/>
          <w:szCs w:val="30"/>
          <w:highlight w:val="none"/>
          <w:lang w:val="en-US" w:eastAsia="zh-CN"/>
        </w:rPr>
        <w:t>1）</w:t>
      </w:r>
      <w:r>
        <w:rPr>
          <w:rFonts w:hint="default" w:asciiTheme="minorEastAsia" w:hAnsiTheme="minorEastAsia" w:eastAsiaTheme="minorEastAsia" w:cstheme="minorEastAsia"/>
          <w:sz w:val="30"/>
          <w:szCs w:val="30"/>
          <w:highlight w:val="none"/>
          <w:lang w:val="en-US" w:eastAsia="zh-CN"/>
        </w:rPr>
        <w:t>各场所的照度、照明功率密度值、眩光值、显色指数按照《建筑节能与可再生能源利用通用规范》GB55015-2021及《建筑照明设计标准》(GB50034-20</w:t>
      </w:r>
      <w:r>
        <w:rPr>
          <w:rFonts w:hint="eastAsia" w:asciiTheme="minorEastAsia" w:hAnsiTheme="minorEastAsia" w:eastAsiaTheme="minorEastAsia" w:cstheme="minorEastAsia"/>
          <w:sz w:val="30"/>
          <w:szCs w:val="30"/>
          <w:highlight w:val="none"/>
          <w:lang w:val="en-US" w:eastAsia="zh-CN"/>
        </w:rPr>
        <w:t>24</w:t>
      </w:r>
      <w:r>
        <w:rPr>
          <w:rFonts w:hint="default" w:asciiTheme="minorEastAsia" w:hAnsiTheme="minorEastAsia" w:eastAsiaTheme="minorEastAsia" w:cstheme="minorEastAsia"/>
          <w:sz w:val="30"/>
          <w:szCs w:val="30"/>
          <w:highlight w:val="none"/>
          <w:lang w:val="en-US" w:eastAsia="zh-CN"/>
        </w:rPr>
        <w:t>)规定设计，详见前面章节说明。</w:t>
      </w:r>
    </w:p>
    <w:p w14:paraId="17C6E6B0">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 xml:space="preserve">    </w:t>
      </w:r>
      <w:r>
        <w:rPr>
          <w:rFonts w:hint="eastAsia" w:asciiTheme="minorEastAsia" w:hAnsiTheme="minorEastAsia" w:eastAsiaTheme="minorEastAsia" w:cstheme="minorEastAsia"/>
          <w:sz w:val="30"/>
          <w:szCs w:val="30"/>
          <w:highlight w:val="none"/>
          <w:lang w:val="en-US" w:eastAsia="zh-CN"/>
        </w:rPr>
        <w:t>2）</w:t>
      </w:r>
      <w:r>
        <w:rPr>
          <w:rFonts w:hint="default" w:asciiTheme="minorEastAsia" w:hAnsiTheme="minorEastAsia" w:eastAsiaTheme="minorEastAsia" w:cstheme="minorEastAsia"/>
          <w:sz w:val="30"/>
          <w:szCs w:val="30"/>
          <w:highlight w:val="none"/>
          <w:lang w:val="en-US" w:eastAsia="zh-CN"/>
        </w:rPr>
        <w:t>采用高效低耗光源及灯具；采用高效节能灯具附件(电子镇流器或节能型镇流器等)。各种灯具效率满足《建筑节能与可再生能源利用通用规范》GB55015-2021及《建筑照明设计标准》(GB50034-20</w:t>
      </w:r>
      <w:r>
        <w:rPr>
          <w:rFonts w:hint="eastAsia" w:asciiTheme="minorEastAsia" w:hAnsiTheme="minorEastAsia" w:eastAsiaTheme="minorEastAsia" w:cstheme="minorEastAsia"/>
          <w:sz w:val="30"/>
          <w:szCs w:val="30"/>
          <w:highlight w:val="none"/>
          <w:lang w:val="en-US" w:eastAsia="zh-CN"/>
        </w:rPr>
        <w:t>24</w:t>
      </w:r>
      <w:r>
        <w:rPr>
          <w:rFonts w:hint="default" w:asciiTheme="minorEastAsia" w:hAnsiTheme="minorEastAsia" w:eastAsiaTheme="minorEastAsia" w:cstheme="minorEastAsia"/>
          <w:sz w:val="30"/>
          <w:szCs w:val="30"/>
          <w:highlight w:val="none"/>
          <w:lang w:val="en-US" w:eastAsia="zh-CN"/>
        </w:rPr>
        <w:t>)规定，详见前面章节说明。</w:t>
      </w:r>
    </w:p>
    <w:p w14:paraId="22A9790F">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 xml:space="preserve">    </w:t>
      </w:r>
      <w:r>
        <w:rPr>
          <w:rFonts w:hint="eastAsia" w:asciiTheme="minorEastAsia" w:hAnsiTheme="minorEastAsia" w:eastAsiaTheme="minorEastAsia" w:cstheme="minorEastAsia"/>
          <w:sz w:val="30"/>
          <w:szCs w:val="30"/>
          <w:highlight w:val="none"/>
          <w:lang w:val="en-US" w:eastAsia="zh-CN"/>
        </w:rPr>
        <w:t>3）</w:t>
      </w:r>
      <w:r>
        <w:rPr>
          <w:rFonts w:hint="default" w:asciiTheme="minorEastAsia" w:hAnsiTheme="minorEastAsia" w:eastAsiaTheme="minorEastAsia" w:cstheme="minorEastAsia"/>
          <w:sz w:val="30"/>
          <w:szCs w:val="30"/>
          <w:highlight w:val="none"/>
          <w:lang w:val="en-US" w:eastAsia="zh-CN"/>
        </w:rPr>
        <w:t>照明电源线路尽量做到三相负荷平衡。</w:t>
      </w:r>
    </w:p>
    <w:p w14:paraId="6B99A993">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 xml:space="preserve">    </w:t>
      </w:r>
      <w:r>
        <w:rPr>
          <w:rFonts w:hint="eastAsia" w:asciiTheme="minorEastAsia" w:hAnsiTheme="minorEastAsia" w:eastAsiaTheme="minorEastAsia" w:cstheme="minorEastAsia"/>
          <w:sz w:val="30"/>
          <w:szCs w:val="30"/>
          <w:highlight w:val="none"/>
          <w:lang w:val="en-US" w:eastAsia="zh-CN"/>
        </w:rPr>
        <w:t>4）</w:t>
      </w:r>
      <w:r>
        <w:rPr>
          <w:rFonts w:hint="default" w:asciiTheme="minorEastAsia" w:hAnsiTheme="minorEastAsia" w:eastAsiaTheme="minorEastAsia" w:cstheme="minorEastAsia"/>
          <w:sz w:val="30"/>
          <w:szCs w:val="30"/>
          <w:highlight w:val="none"/>
          <w:lang w:val="en-US" w:eastAsia="zh-CN"/>
        </w:rPr>
        <w:t xml:space="preserve">合理选择照明控制方式，详见前面章节说明。充分利用天然光。    </w:t>
      </w:r>
    </w:p>
    <w:p w14:paraId="77EF2CFB">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 xml:space="preserve">    </w:t>
      </w:r>
      <w:r>
        <w:rPr>
          <w:rFonts w:hint="eastAsia" w:asciiTheme="minorEastAsia" w:hAnsiTheme="minorEastAsia" w:eastAsiaTheme="minorEastAsia" w:cstheme="minorEastAsia"/>
          <w:sz w:val="30"/>
          <w:szCs w:val="30"/>
          <w:highlight w:val="none"/>
          <w:lang w:val="en-US" w:eastAsia="zh-CN"/>
        </w:rPr>
        <w:t>5）</w:t>
      </w:r>
      <w:r>
        <w:rPr>
          <w:rFonts w:hint="default" w:asciiTheme="minorEastAsia" w:hAnsiTheme="minorEastAsia" w:eastAsiaTheme="minorEastAsia" w:cstheme="minorEastAsia"/>
          <w:sz w:val="30"/>
          <w:szCs w:val="30"/>
          <w:highlight w:val="none"/>
          <w:lang w:val="en-US" w:eastAsia="zh-CN"/>
        </w:rPr>
        <w:t>能效等级：本工程选用的光源、镇流器能效不低于相应能效标准的节能评价值。</w:t>
      </w:r>
    </w:p>
    <w:p w14:paraId="5478983E">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 xml:space="preserve">    双端荧光灯节能评价值满足《普通照明用双端荧光灯能效限定值及能效等级》GB19043-2013能效2级；</w:t>
      </w:r>
    </w:p>
    <w:p w14:paraId="632ADA86">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 xml:space="preserve">    自镇流荧光灯节能评价值满足《普通照明用自镇流荧光灯能效限定值及能效等级》GB19044-2013能效等级2级；</w:t>
      </w:r>
    </w:p>
    <w:p w14:paraId="3728E4FD">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 xml:space="preserve">    高压钠灯节能评价值满足《高压钠灯能效限定值及能效等级》GB19573-2004能效等级2级；</w:t>
      </w:r>
    </w:p>
    <w:p w14:paraId="23DBA270">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 xml:space="preserve">    金属卤化物灯节能评价值满足《金属卤化物灯能效限定值及能效等级》GB20054-2006能效等级2级；</w:t>
      </w:r>
    </w:p>
    <w:p w14:paraId="795A0B41">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 xml:space="preserve">    电子镇流器节能评价值满足《管型荧光灯镇流器能效限定值及能效等级》GB17896-2013能效等级2级。</w:t>
      </w:r>
    </w:p>
    <w:p w14:paraId="19A96B4C">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 xml:space="preserve">   </w:t>
      </w:r>
      <w:r>
        <w:rPr>
          <w:rFonts w:hint="eastAsia" w:asciiTheme="minorEastAsia" w:hAnsiTheme="minorEastAsia" w:eastAsiaTheme="minorEastAsia" w:cstheme="minorEastAsia"/>
          <w:sz w:val="30"/>
          <w:szCs w:val="30"/>
          <w:highlight w:val="none"/>
          <w:lang w:val="en-US" w:eastAsia="zh-CN"/>
        </w:rPr>
        <w:t xml:space="preserve"> </w:t>
      </w:r>
      <w:r>
        <w:rPr>
          <w:rFonts w:hint="default" w:asciiTheme="minorEastAsia" w:hAnsiTheme="minorEastAsia" w:eastAsiaTheme="minorEastAsia" w:cstheme="minorEastAsia"/>
          <w:sz w:val="30"/>
          <w:szCs w:val="30"/>
          <w:highlight w:val="none"/>
          <w:lang w:val="en-US" w:eastAsia="zh-CN"/>
        </w:rPr>
        <w:t>采用时间集中控制、定时控制、红外感应等控制方式，以满足节能要求。</w:t>
      </w:r>
    </w:p>
    <w:p w14:paraId="274D811F">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 xml:space="preserve">   </w:t>
      </w:r>
      <w:r>
        <w:rPr>
          <w:rFonts w:hint="eastAsia" w:asciiTheme="minorEastAsia" w:hAnsiTheme="minorEastAsia" w:eastAsiaTheme="minorEastAsia" w:cstheme="minorEastAsia"/>
          <w:sz w:val="30"/>
          <w:szCs w:val="30"/>
          <w:highlight w:val="none"/>
          <w:lang w:val="en-US" w:eastAsia="zh-CN"/>
        </w:rPr>
        <w:t xml:space="preserve"> </w:t>
      </w:r>
      <w:r>
        <w:rPr>
          <w:rFonts w:hint="default" w:asciiTheme="minorEastAsia" w:hAnsiTheme="minorEastAsia" w:eastAsiaTheme="minorEastAsia" w:cstheme="minorEastAsia"/>
          <w:sz w:val="30"/>
          <w:szCs w:val="30"/>
          <w:highlight w:val="none"/>
          <w:lang w:val="en-US" w:eastAsia="zh-CN"/>
        </w:rPr>
        <w:t>建筑的走廊、楼梯间应能够根据照明需求进行节能控制。走廊、楼梯间等场所，无人主动关注照明的开、关，可采用就地感应控制，包括红外、雷达、声波等探测器的自动控制装置，通过自动开关或调光实现节能控制。景观照明应设置平时、一般节日及重大节日多种控制模式。</w:t>
      </w:r>
    </w:p>
    <w:p w14:paraId="78E9CF46">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3、计量</w:t>
      </w:r>
    </w:p>
    <w:p w14:paraId="7A4AD079">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按功能区域设置电能计量，对照明插座、空调、电力、特殊用电设备等分项计量，可以进行能效分析和用能管理。</w:t>
      </w:r>
    </w:p>
    <w:p w14:paraId="14036E16">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6.2.9</w:t>
      </w:r>
      <w:r>
        <w:rPr>
          <w:rFonts w:hint="default" w:asciiTheme="minorEastAsia" w:hAnsiTheme="minorEastAsia" w:eastAsiaTheme="minorEastAsia" w:cstheme="minorEastAsia"/>
          <w:sz w:val="30"/>
          <w:szCs w:val="30"/>
          <w:highlight w:val="none"/>
          <w:lang w:val="en-US" w:eastAsia="zh-CN"/>
        </w:rPr>
        <w:t>建筑安装工程质量常见问题</w:t>
      </w:r>
    </w:p>
    <w:p w14:paraId="631310B1">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1、电缆沟进入建筑物处、配电箱进出口、穿过楼板或隔墙时的桥架内外侧，应在桥架内外侧、管线穿越防火分区等处防火封堵严密。具体做法详见国标图集《建筑电气工程施工安装》18D802 P73～74。</w:t>
      </w:r>
    </w:p>
    <w:p w14:paraId="1C808C0C">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2、建筑机电抗震支架除C型槽钢、全螺纹吊杆可进行现场切割外其余所有构件应采用成品构件。</w:t>
      </w:r>
    </w:p>
    <w:p w14:paraId="08129367">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3、桥架等穿越变形缝时，应有伸缩补偿措施。具体做法详见国标图集《建筑电气工程施工安装》18D802 P36～43。</w:t>
      </w:r>
    </w:p>
    <w:p w14:paraId="26C3D035">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4、电气导管应配管到位，不得有电线裸露，软管的使用应符合规范要求；消防配管明装时应有防火措施。具体做法详见国标图集《建筑电气工程施工安装》18D802 P49～52。</w:t>
      </w:r>
    </w:p>
    <w:p w14:paraId="12831D41">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5、 6mm²以下导线连接应绕接后接头搪锡或采用专用接线器连接；接头应包扎紧密，绝缘可靠。具体做法详见国标图集《建筑电气工程施工安装》18D802 P49～52。</w:t>
      </w:r>
    </w:p>
    <w:p w14:paraId="1984F709">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6、导线应按相分色，L1相用黄色，L2相用绿色，L3相用红色，中性线N用浅蓝或蓝色，保护接地线PE用黄绿双色。照明开关后相线可采用原相色或白色。</w:t>
      </w:r>
    </w:p>
    <w:p w14:paraId="51024B34">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7、插座接线时，相线、N线和PE线在插座之间不得利用插座本体的接线端子串联连接。</w:t>
      </w:r>
    </w:p>
    <w:p w14:paraId="1217F676">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8、电气设备的外露可导电部分应单独与保护导体相连接，不得串联连接；Ⅰ类灯具外露可导电部分必须采用铜芯软导线与保护导体可靠连接；非镀锌、梯架、托盘和桥架本体之间应做接地跨接；金属导管接头、线盒、进出桥架和配电箱等处应接地跨接，当采用紧定连接、卡套连接的金属导管不做跨接接地时，必须有可靠持久的保证接地导通的连接工艺及其工艺标准。具体做法详见国标图集《民用建筑电气设计与施工－防雷与接地》08D800-8 P79、P87~91。</w:t>
      </w:r>
    </w:p>
    <w:p w14:paraId="7522D820">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6.2.10</w:t>
      </w:r>
      <w:r>
        <w:rPr>
          <w:rFonts w:hint="default" w:asciiTheme="minorEastAsia" w:hAnsiTheme="minorEastAsia" w:eastAsiaTheme="minorEastAsia" w:cstheme="minorEastAsia"/>
          <w:sz w:val="30"/>
          <w:szCs w:val="30"/>
          <w:highlight w:val="none"/>
          <w:lang w:val="en-US" w:eastAsia="zh-CN"/>
        </w:rPr>
        <w:t>其它</w:t>
      </w:r>
    </w:p>
    <w:p w14:paraId="1EA85A33">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1、施工单位应认真阅读设计图说，查看并核对相关专业的设计图说，本设计风机、水泵等设备的具体位置、功率和控制要求应以风、水专业的设计图说为准，需与相关专业及厂家确认后方可实施。施工过程中，应与各相关专业互相配合、协调进行，共同做好预留预埋工作，避免事后开槽打洞，相关施工完成后，应采用不燃烧材料封堵孔洞。施工各阶段应做好相关的检测工作，数据资料应完整和准确。</w:t>
      </w:r>
    </w:p>
    <w:p w14:paraId="0FF02C44">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2、其他说明见有关系统或平面图。在不改变系统接线和满足相关规范要求的前提下，配电线路的走向可根据具体情况和施工习惯酌情调整。（但重大的技术变更应取得设计单位、建设单位和监理单位的同意认可）</w:t>
      </w:r>
    </w:p>
    <w:p w14:paraId="26B122E7">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3、凡与本工程有关而又未说明之处，参见国家，地方标准图集施工，或与设计院协商解决。</w:t>
      </w:r>
    </w:p>
    <w:p w14:paraId="32EFD3C3">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4、本工程选用的电气设备、主要材料及配件，在招标定货采购时，设备规格性能等技术指标，应保证符合设计和招</w:t>
      </w:r>
    </w:p>
    <w:p w14:paraId="18A83C33">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标技术文件的要求，且必须满足与产品相关的国家标准的规定，产品必须具有检测合格证书，供电及消防产品应具有相关专项许可证。所选设备在确定厂家后，应由建设、施工、设计、监理各方参加技术交底。</w:t>
      </w:r>
    </w:p>
    <w:p w14:paraId="674911DB">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5、本设计文件需报具有县以上人民政府建设行政主管部门或其他部门审查批准后方可施工。</w:t>
      </w:r>
    </w:p>
    <w:p w14:paraId="1B00611C">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6、施工单位必须按照工程设计图纸和施工技术标准施工，在施工阶段若发现设计文件有差错，应及时提出，不得擅自修改工程设计。</w:t>
      </w:r>
    </w:p>
    <w:p w14:paraId="61FBD46A">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7、施工中各相关单位必须依照国家、行业和本地区保障工程质量、生产安全和环境保护的相关法律，技术规范、规程的规定要求。</w:t>
      </w:r>
    </w:p>
    <w:p w14:paraId="49AABB98">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8、施工单位现场施工时应注意用电安全，满足《建设工程施工现场供用电安全规范》GB50194及《施工现场临时用电安全技术规范》JGJ46的要求。</w:t>
      </w:r>
    </w:p>
    <w:p w14:paraId="2DB1F920">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10、消防设施投入使用后，应定期进行巡查、检查和维护，并应保证其处于正常运行或工作状态，不应擅自关停、拆改或移动。超过有效期的灭火介质、消防设施或经检验不符合继续使用要求的管道、组件和压力容器不应使用。</w:t>
      </w:r>
    </w:p>
    <w:p w14:paraId="6D7252BF">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11、消防设施的安装工程应进行工程质量和消防设施功能验收，验收结果应有明确的合格与不合格的结论。</w:t>
      </w:r>
    </w:p>
    <w:p w14:paraId="60E8A3BC">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12、消防设施上或附近应设置区别于环境的明显标识，说明文字应准确、清楚且易于识别，颜色、符号或标志应规范。手动操作按钮等装置处应采取误操作或被损坏的防护措施。</w:t>
      </w:r>
    </w:p>
    <w:p w14:paraId="48A85712">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13、建设工程竣工验收时，必须具备设计单位签署的质量合格文件。</w:t>
      </w:r>
    </w:p>
    <w:p w14:paraId="47B77E41">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6.2.10电气改造附图</w:t>
      </w:r>
    </w:p>
    <w:p w14:paraId="736886F5">
      <w:pPr>
        <w:bidi w:val="0"/>
        <w:rPr>
          <w:rFonts w:hint="default" w:ascii="宋体" w:hAnsi="宋体" w:eastAsia="宋体" w:cs="宋体"/>
          <w:sz w:val="24"/>
          <w:szCs w:val="24"/>
          <w:lang w:val="en-US" w:eastAsia="zh-CN"/>
        </w:rPr>
      </w:pPr>
    </w:p>
    <w:p w14:paraId="786AA370">
      <w:pPr>
        <w:bidi w:val="0"/>
        <w:rPr>
          <w:rFonts w:hint="default" w:ascii="宋体" w:hAnsi="宋体" w:eastAsia="宋体" w:cs="宋体"/>
          <w:sz w:val="24"/>
          <w:szCs w:val="24"/>
          <w:lang w:val="en-US" w:eastAsia="zh-CN"/>
        </w:rPr>
      </w:pPr>
      <w:r>
        <w:drawing>
          <wp:anchor distT="0" distB="0" distL="114300" distR="114300" simplePos="0" relativeHeight="251659264" behindDoc="0" locked="0" layoutInCell="1" allowOverlap="1">
            <wp:simplePos x="0" y="0"/>
            <wp:positionH relativeFrom="column">
              <wp:posOffset>-1566545</wp:posOffset>
            </wp:positionH>
            <wp:positionV relativeFrom="paragraph">
              <wp:posOffset>1331595</wp:posOffset>
            </wp:positionV>
            <wp:extent cx="8445500" cy="5906135"/>
            <wp:effectExtent l="0" t="0" r="18415" b="12700"/>
            <wp:wrapNone/>
            <wp:docPr id="2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
                    <pic:cNvPicPr>
                      <a:picLocks noChangeAspect="1"/>
                    </pic:cNvPicPr>
                  </pic:nvPicPr>
                  <pic:blipFill>
                    <a:blip r:embed="rId23"/>
                    <a:stretch>
                      <a:fillRect/>
                    </a:stretch>
                  </pic:blipFill>
                  <pic:spPr>
                    <a:xfrm rot="5400000">
                      <a:off x="0" y="0"/>
                      <a:ext cx="8445500" cy="5906135"/>
                    </a:xfrm>
                    <a:prstGeom prst="rect">
                      <a:avLst/>
                    </a:prstGeom>
                    <a:noFill/>
                    <a:ln>
                      <a:noFill/>
                    </a:ln>
                  </pic:spPr>
                </pic:pic>
              </a:graphicData>
            </a:graphic>
          </wp:anchor>
        </w:drawing>
      </w:r>
    </w:p>
    <w:p w14:paraId="363E2C26">
      <w:pPr>
        <w:bidi w:val="0"/>
        <w:rPr>
          <w:rFonts w:hint="default" w:ascii="宋体" w:hAnsi="宋体" w:eastAsia="宋体" w:cs="宋体"/>
          <w:sz w:val="24"/>
          <w:szCs w:val="24"/>
          <w:lang w:val="en-US" w:eastAsia="zh-CN"/>
        </w:rPr>
      </w:pPr>
    </w:p>
    <w:p w14:paraId="1C9DEAD5">
      <w:pPr>
        <w:bidi w:val="0"/>
        <w:rPr>
          <w:rFonts w:hint="default" w:ascii="宋体" w:hAnsi="宋体" w:eastAsia="宋体" w:cs="宋体"/>
          <w:sz w:val="24"/>
          <w:szCs w:val="24"/>
          <w:lang w:val="en-US" w:eastAsia="zh-CN"/>
        </w:rPr>
      </w:pPr>
    </w:p>
    <w:p w14:paraId="162256ED">
      <w:pPr>
        <w:bidi w:val="0"/>
        <w:rPr>
          <w:rFonts w:hint="default" w:ascii="宋体" w:hAnsi="宋体" w:eastAsia="宋体" w:cs="宋体"/>
          <w:sz w:val="24"/>
          <w:szCs w:val="24"/>
          <w:lang w:val="en-US" w:eastAsia="zh-CN"/>
        </w:rPr>
      </w:pPr>
    </w:p>
    <w:p w14:paraId="67A19AD2">
      <w:pPr>
        <w:bidi w:val="0"/>
        <w:rPr>
          <w:rFonts w:hint="default" w:ascii="宋体" w:hAnsi="宋体" w:eastAsia="宋体" w:cs="宋体"/>
          <w:sz w:val="24"/>
          <w:szCs w:val="24"/>
          <w:lang w:val="en-US" w:eastAsia="zh-CN"/>
        </w:rPr>
      </w:pPr>
    </w:p>
    <w:p w14:paraId="4357ACC3">
      <w:pPr>
        <w:bidi w:val="0"/>
        <w:rPr>
          <w:rFonts w:hint="default" w:ascii="宋体" w:hAnsi="宋体" w:eastAsia="宋体" w:cs="宋体"/>
          <w:sz w:val="24"/>
          <w:szCs w:val="24"/>
          <w:lang w:val="en-US" w:eastAsia="zh-CN"/>
        </w:rPr>
      </w:pPr>
    </w:p>
    <w:p w14:paraId="105C3C84">
      <w:pPr>
        <w:bidi w:val="0"/>
        <w:rPr>
          <w:rFonts w:hint="default" w:ascii="宋体" w:hAnsi="宋体" w:eastAsia="宋体" w:cs="宋体"/>
          <w:sz w:val="24"/>
          <w:szCs w:val="24"/>
          <w:lang w:val="en-US" w:eastAsia="zh-CN"/>
        </w:rPr>
      </w:pPr>
    </w:p>
    <w:p w14:paraId="21FB447F">
      <w:pPr>
        <w:bidi w:val="0"/>
        <w:rPr>
          <w:rFonts w:hint="default" w:ascii="宋体" w:hAnsi="宋体" w:eastAsia="宋体" w:cs="宋体"/>
          <w:sz w:val="24"/>
          <w:szCs w:val="24"/>
          <w:lang w:val="en-US" w:eastAsia="zh-CN"/>
        </w:rPr>
      </w:pPr>
    </w:p>
    <w:p w14:paraId="3CDADBC8">
      <w:pPr>
        <w:bidi w:val="0"/>
        <w:rPr>
          <w:rFonts w:hint="default" w:ascii="宋体" w:hAnsi="宋体" w:eastAsia="宋体" w:cs="宋体"/>
          <w:sz w:val="24"/>
          <w:szCs w:val="24"/>
          <w:lang w:val="en-US" w:eastAsia="zh-CN"/>
        </w:rPr>
      </w:pPr>
    </w:p>
    <w:p w14:paraId="72B07C60">
      <w:pPr>
        <w:bidi w:val="0"/>
        <w:rPr>
          <w:rFonts w:hint="default" w:ascii="宋体" w:hAnsi="宋体" w:eastAsia="宋体" w:cs="宋体"/>
          <w:sz w:val="24"/>
          <w:szCs w:val="24"/>
          <w:lang w:val="en-US" w:eastAsia="zh-CN"/>
        </w:rPr>
      </w:pPr>
    </w:p>
    <w:p w14:paraId="03B236E7">
      <w:pPr>
        <w:bidi w:val="0"/>
        <w:rPr>
          <w:rFonts w:hint="default" w:ascii="宋体" w:hAnsi="宋体" w:eastAsia="宋体" w:cs="宋体"/>
          <w:sz w:val="24"/>
          <w:szCs w:val="24"/>
          <w:lang w:val="en-US" w:eastAsia="zh-CN"/>
        </w:rPr>
      </w:pPr>
    </w:p>
    <w:p w14:paraId="3585FDCA">
      <w:pPr>
        <w:bidi w:val="0"/>
        <w:rPr>
          <w:rFonts w:hint="default" w:ascii="宋体" w:hAnsi="宋体" w:eastAsia="宋体" w:cs="宋体"/>
          <w:sz w:val="24"/>
          <w:szCs w:val="24"/>
          <w:lang w:val="en-US" w:eastAsia="zh-CN"/>
        </w:rPr>
      </w:pPr>
    </w:p>
    <w:p w14:paraId="2DFA1D26">
      <w:pPr>
        <w:bidi w:val="0"/>
        <w:rPr>
          <w:rFonts w:hint="default" w:ascii="宋体" w:hAnsi="宋体" w:eastAsia="宋体" w:cs="宋体"/>
          <w:sz w:val="24"/>
          <w:szCs w:val="24"/>
          <w:lang w:val="en-US" w:eastAsia="zh-CN"/>
        </w:rPr>
      </w:pPr>
    </w:p>
    <w:p w14:paraId="0E2219D9">
      <w:pPr>
        <w:bidi w:val="0"/>
        <w:rPr>
          <w:rFonts w:hint="default" w:ascii="宋体" w:hAnsi="宋体" w:eastAsia="宋体" w:cs="宋体"/>
          <w:sz w:val="24"/>
          <w:szCs w:val="24"/>
          <w:lang w:val="en-US" w:eastAsia="zh-CN"/>
        </w:rPr>
      </w:pPr>
    </w:p>
    <w:p w14:paraId="2B685C8D">
      <w:pPr>
        <w:bidi w:val="0"/>
        <w:rPr>
          <w:rFonts w:hint="default" w:ascii="宋体" w:hAnsi="宋体" w:eastAsia="宋体" w:cs="宋体"/>
          <w:sz w:val="24"/>
          <w:szCs w:val="24"/>
          <w:lang w:val="en-US" w:eastAsia="zh-CN"/>
        </w:rPr>
      </w:pPr>
    </w:p>
    <w:p w14:paraId="4861DB04">
      <w:pPr>
        <w:bidi w:val="0"/>
        <w:rPr>
          <w:rFonts w:hint="default" w:ascii="宋体" w:hAnsi="宋体" w:eastAsia="宋体" w:cs="宋体"/>
          <w:sz w:val="24"/>
          <w:szCs w:val="24"/>
          <w:lang w:val="en-US" w:eastAsia="zh-CN"/>
        </w:rPr>
      </w:pPr>
    </w:p>
    <w:p w14:paraId="4EFC269A">
      <w:pPr>
        <w:bidi w:val="0"/>
        <w:rPr>
          <w:rFonts w:hint="default" w:ascii="宋体" w:hAnsi="宋体" w:eastAsia="宋体" w:cs="宋体"/>
          <w:sz w:val="24"/>
          <w:szCs w:val="24"/>
          <w:lang w:val="en-US" w:eastAsia="zh-CN"/>
        </w:rPr>
      </w:pPr>
    </w:p>
    <w:p w14:paraId="34D94DA1">
      <w:pPr>
        <w:bidi w:val="0"/>
        <w:rPr>
          <w:rFonts w:hint="default" w:ascii="宋体" w:hAnsi="宋体" w:eastAsia="宋体" w:cs="宋体"/>
          <w:sz w:val="24"/>
          <w:szCs w:val="24"/>
          <w:lang w:val="en-US" w:eastAsia="zh-CN"/>
        </w:rPr>
      </w:pPr>
    </w:p>
    <w:p w14:paraId="36E95CD8">
      <w:pPr>
        <w:bidi w:val="0"/>
        <w:rPr>
          <w:rFonts w:hint="default" w:ascii="宋体" w:hAnsi="宋体" w:eastAsia="宋体" w:cs="宋体"/>
          <w:sz w:val="24"/>
          <w:szCs w:val="24"/>
          <w:lang w:val="en-US" w:eastAsia="zh-CN"/>
        </w:rPr>
      </w:pPr>
    </w:p>
    <w:p w14:paraId="3F028409">
      <w:pPr>
        <w:bidi w:val="0"/>
        <w:rPr>
          <w:rFonts w:hint="default" w:ascii="宋体" w:hAnsi="宋体" w:eastAsia="宋体" w:cs="宋体"/>
          <w:sz w:val="24"/>
          <w:szCs w:val="24"/>
          <w:lang w:val="en-US" w:eastAsia="zh-CN"/>
        </w:rPr>
      </w:pPr>
    </w:p>
    <w:p w14:paraId="004777BB">
      <w:pPr>
        <w:bidi w:val="0"/>
        <w:rPr>
          <w:rFonts w:hint="default" w:ascii="宋体" w:hAnsi="宋体" w:eastAsia="宋体" w:cs="宋体"/>
          <w:sz w:val="24"/>
          <w:szCs w:val="24"/>
          <w:lang w:val="en-US" w:eastAsia="zh-CN"/>
        </w:rPr>
      </w:pPr>
    </w:p>
    <w:p w14:paraId="27F3E814">
      <w:pPr>
        <w:bidi w:val="0"/>
        <w:rPr>
          <w:rFonts w:hint="default" w:ascii="宋体" w:hAnsi="宋体" w:eastAsia="宋体" w:cs="宋体"/>
          <w:sz w:val="24"/>
          <w:szCs w:val="24"/>
          <w:lang w:val="en-US" w:eastAsia="zh-CN"/>
        </w:rPr>
      </w:pPr>
    </w:p>
    <w:p w14:paraId="25A6163B">
      <w:pPr>
        <w:bidi w:val="0"/>
        <w:rPr>
          <w:rFonts w:hint="default" w:ascii="宋体" w:hAnsi="宋体" w:eastAsia="宋体" w:cs="宋体"/>
          <w:sz w:val="24"/>
          <w:szCs w:val="24"/>
          <w:lang w:val="en-US" w:eastAsia="zh-CN"/>
        </w:rPr>
      </w:pPr>
    </w:p>
    <w:p w14:paraId="3B365A53">
      <w:pPr>
        <w:bidi w:val="0"/>
        <w:rPr>
          <w:rFonts w:hint="default" w:ascii="宋体" w:hAnsi="宋体" w:eastAsia="宋体" w:cs="宋体"/>
          <w:sz w:val="24"/>
          <w:szCs w:val="24"/>
          <w:lang w:val="en-US" w:eastAsia="zh-CN"/>
        </w:rPr>
      </w:pPr>
    </w:p>
    <w:p w14:paraId="7944575E">
      <w:pPr>
        <w:bidi w:val="0"/>
        <w:rPr>
          <w:rFonts w:hint="default" w:ascii="宋体" w:hAnsi="宋体" w:eastAsia="宋体" w:cs="宋体"/>
          <w:sz w:val="24"/>
          <w:szCs w:val="24"/>
          <w:lang w:val="en-US" w:eastAsia="zh-CN"/>
        </w:rPr>
      </w:pPr>
    </w:p>
    <w:p w14:paraId="1EB268C3">
      <w:pPr>
        <w:bidi w:val="0"/>
        <w:rPr>
          <w:rFonts w:hint="default" w:ascii="宋体" w:hAnsi="宋体" w:eastAsia="宋体" w:cs="宋体"/>
          <w:sz w:val="24"/>
          <w:szCs w:val="24"/>
          <w:lang w:val="en-US" w:eastAsia="zh-CN"/>
        </w:rPr>
      </w:pPr>
    </w:p>
    <w:p w14:paraId="7007F245">
      <w:pPr>
        <w:bidi w:val="0"/>
        <w:rPr>
          <w:rFonts w:hint="default" w:ascii="宋体" w:hAnsi="宋体" w:eastAsia="宋体" w:cs="宋体"/>
          <w:sz w:val="24"/>
          <w:szCs w:val="24"/>
          <w:lang w:val="en-US" w:eastAsia="zh-CN"/>
        </w:rPr>
      </w:pPr>
    </w:p>
    <w:p w14:paraId="72DC0389">
      <w:pPr>
        <w:bidi w:val="0"/>
        <w:rPr>
          <w:rFonts w:hint="default" w:ascii="宋体" w:hAnsi="宋体" w:eastAsia="宋体" w:cs="宋体"/>
          <w:sz w:val="24"/>
          <w:szCs w:val="24"/>
          <w:lang w:val="en-US" w:eastAsia="zh-CN"/>
        </w:rPr>
      </w:pPr>
    </w:p>
    <w:p w14:paraId="2F63882D">
      <w:pPr>
        <w:bidi w:val="0"/>
        <w:rPr>
          <w:rFonts w:hint="default" w:ascii="宋体" w:hAnsi="宋体" w:eastAsia="宋体" w:cs="宋体"/>
          <w:sz w:val="24"/>
          <w:szCs w:val="24"/>
          <w:lang w:val="en-US" w:eastAsia="zh-CN"/>
        </w:rPr>
      </w:pPr>
    </w:p>
    <w:p w14:paraId="29D89A82">
      <w:pPr>
        <w:bidi w:val="0"/>
        <w:rPr>
          <w:rFonts w:hint="default" w:ascii="宋体" w:hAnsi="宋体" w:eastAsia="宋体" w:cs="宋体"/>
          <w:sz w:val="24"/>
          <w:szCs w:val="24"/>
          <w:lang w:val="en-US" w:eastAsia="zh-CN"/>
        </w:rPr>
      </w:pPr>
    </w:p>
    <w:p w14:paraId="57173408">
      <w:pPr>
        <w:bidi w:val="0"/>
        <w:rPr>
          <w:rFonts w:hint="default" w:ascii="宋体" w:hAnsi="宋体" w:eastAsia="宋体" w:cs="宋体"/>
          <w:sz w:val="24"/>
          <w:szCs w:val="24"/>
          <w:lang w:val="en-US" w:eastAsia="zh-CN"/>
        </w:rPr>
      </w:pPr>
    </w:p>
    <w:p w14:paraId="20256EEE">
      <w:pPr>
        <w:bidi w:val="0"/>
        <w:rPr>
          <w:rFonts w:hint="default" w:ascii="宋体" w:hAnsi="宋体" w:eastAsia="宋体" w:cs="宋体"/>
          <w:sz w:val="24"/>
          <w:szCs w:val="24"/>
          <w:lang w:val="en-US" w:eastAsia="zh-CN"/>
        </w:rPr>
      </w:pPr>
    </w:p>
    <w:p w14:paraId="5F92E178">
      <w:pPr>
        <w:bidi w:val="0"/>
        <w:rPr>
          <w:rFonts w:hint="default" w:ascii="宋体" w:hAnsi="宋体" w:eastAsia="宋体" w:cs="宋体"/>
          <w:sz w:val="24"/>
          <w:szCs w:val="24"/>
          <w:lang w:val="en-US" w:eastAsia="zh-CN"/>
        </w:rPr>
      </w:pPr>
    </w:p>
    <w:p w14:paraId="1709B937">
      <w:pPr>
        <w:bidi w:val="0"/>
        <w:rPr>
          <w:rFonts w:hint="default" w:ascii="宋体" w:hAnsi="宋体" w:eastAsia="宋体" w:cs="宋体"/>
          <w:sz w:val="24"/>
          <w:szCs w:val="24"/>
          <w:lang w:val="en-US" w:eastAsia="zh-CN"/>
        </w:rPr>
      </w:pPr>
    </w:p>
    <w:p w14:paraId="05968667">
      <w:pPr>
        <w:bidi w:val="0"/>
        <w:rPr>
          <w:rFonts w:hint="default" w:ascii="宋体" w:hAnsi="宋体" w:eastAsia="宋体" w:cs="宋体"/>
          <w:sz w:val="24"/>
          <w:szCs w:val="24"/>
          <w:lang w:val="en-US" w:eastAsia="zh-CN"/>
        </w:rPr>
      </w:pPr>
    </w:p>
    <w:p w14:paraId="2E886236">
      <w:pPr>
        <w:bidi w:val="0"/>
        <w:rPr>
          <w:rFonts w:hint="default" w:ascii="宋体" w:hAnsi="宋体" w:eastAsia="宋体" w:cs="宋体"/>
          <w:sz w:val="24"/>
          <w:szCs w:val="24"/>
          <w:lang w:val="en-US" w:eastAsia="zh-CN"/>
        </w:rPr>
      </w:pPr>
    </w:p>
    <w:p w14:paraId="21EA2BB4">
      <w:pPr>
        <w:bidi w:val="0"/>
        <w:rPr>
          <w:rFonts w:hint="default" w:ascii="宋体" w:hAnsi="宋体" w:eastAsia="宋体" w:cs="宋体"/>
          <w:sz w:val="24"/>
          <w:szCs w:val="24"/>
          <w:lang w:val="en-US" w:eastAsia="zh-CN"/>
        </w:rPr>
      </w:pPr>
    </w:p>
    <w:p w14:paraId="268C191F">
      <w:pPr>
        <w:bidi w:val="0"/>
        <w:rPr>
          <w:rFonts w:hint="default" w:ascii="宋体" w:hAnsi="宋体" w:eastAsia="宋体" w:cs="宋体"/>
          <w:sz w:val="24"/>
          <w:szCs w:val="24"/>
          <w:lang w:val="en-US" w:eastAsia="zh-CN"/>
        </w:rPr>
      </w:pPr>
    </w:p>
    <w:p w14:paraId="0510B41D">
      <w:pPr>
        <w:bidi w:val="0"/>
        <w:rPr>
          <w:rFonts w:hint="default" w:ascii="宋体" w:hAnsi="宋体" w:eastAsia="宋体" w:cs="宋体"/>
          <w:sz w:val="24"/>
          <w:szCs w:val="24"/>
          <w:lang w:val="en-US" w:eastAsia="zh-CN"/>
        </w:rPr>
      </w:pPr>
    </w:p>
    <w:p w14:paraId="050DCE1D">
      <w:pPr>
        <w:bidi w:val="0"/>
        <w:rPr>
          <w:rFonts w:hint="default" w:ascii="宋体" w:hAnsi="宋体" w:eastAsia="宋体" w:cs="宋体"/>
          <w:sz w:val="24"/>
          <w:szCs w:val="24"/>
          <w:lang w:val="en-US" w:eastAsia="zh-CN"/>
        </w:rPr>
      </w:pPr>
    </w:p>
    <w:p w14:paraId="5ED23834">
      <w:pPr>
        <w:bidi w:val="0"/>
        <w:rPr>
          <w:rFonts w:hint="default" w:ascii="宋体" w:hAnsi="宋体" w:eastAsia="宋体" w:cs="宋体"/>
          <w:sz w:val="24"/>
          <w:szCs w:val="24"/>
          <w:lang w:val="en-US" w:eastAsia="zh-CN"/>
        </w:rPr>
      </w:pPr>
    </w:p>
    <w:p w14:paraId="6F6194C3">
      <w:pPr>
        <w:bidi w:val="0"/>
        <w:rPr>
          <w:rFonts w:hint="default" w:ascii="宋体" w:hAnsi="宋体" w:eastAsia="宋体" w:cs="宋体"/>
          <w:sz w:val="24"/>
          <w:szCs w:val="24"/>
          <w:lang w:val="en-US" w:eastAsia="zh-CN"/>
        </w:rPr>
      </w:pPr>
    </w:p>
    <w:p w14:paraId="585FE04F">
      <w:pPr>
        <w:bidi w:val="0"/>
        <w:rPr>
          <w:rFonts w:hint="default" w:ascii="宋体" w:hAnsi="宋体" w:eastAsia="宋体" w:cs="宋体"/>
          <w:sz w:val="24"/>
          <w:szCs w:val="24"/>
          <w:lang w:val="en-US" w:eastAsia="zh-CN"/>
        </w:rPr>
      </w:pPr>
    </w:p>
    <w:p w14:paraId="46D19EDA">
      <w:pPr>
        <w:bidi w:val="0"/>
        <w:rPr>
          <w:rFonts w:hint="default" w:ascii="宋体" w:hAnsi="宋体" w:eastAsia="宋体" w:cs="宋体"/>
          <w:sz w:val="24"/>
          <w:szCs w:val="24"/>
          <w:lang w:val="en-US" w:eastAsia="zh-CN"/>
        </w:rPr>
      </w:pPr>
    </w:p>
    <w:p w14:paraId="06849AC9">
      <w:pPr>
        <w:bidi w:val="0"/>
        <w:rPr>
          <w:rFonts w:hint="default" w:ascii="宋体" w:hAnsi="宋体" w:eastAsia="宋体" w:cs="宋体"/>
          <w:sz w:val="24"/>
          <w:szCs w:val="24"/>
          <w:lang w:val="en-US" w:eastAsia="zh-CN"/>
        </w:rPr>
      </w:pPr>
      <w:r>
        <w:drawing>
          <wp:anchor distT="0" distB="0" distL="114300" distR="114300" simplePos="0" relativeHeight="251660288" behindDoc="0" locked="0" layoutInCell="1" allowOverlap="1">
            <wp:simplePos x="0" y="0"/>
            <wp:positionH relativeFrom="column">
              <wp:posOffset>-1582420</wp:posOffset>
            </wp:positionH>
            <wp:positionV relativeFrom="paragraph">
              <wp:posOffset>1361440</wp:posOffset>
            </wp:positionV>
            <wp:extent cx="8517890" cy="6029960"/>
            <wp:effectExtent l="0" t="0" r="8890" b="16510"/>
            <wp:wrapNone/>
            <wp:docPr id="3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
                    <pic:cNvPicPr>
                      <a:picLocks noChangeAspect="1"/>
                    </pic:cNvPicPr>
                  </pic:nvPicPr>
                  <pic:blipFill>
                    <a:blip r:embed="rId24"/>
                    <a:stretch>
                      <a:fillRect/>
                    </a:stretch>
                  </pic:blipFill>
                  <pic:spPr>
                    <a:xfrm rot="5400000">
                      <a:off x="0" y="0"/>
                      <a:ext cx="8517890" cy="6029960"/>
                    </a:xfrm>
                    <a:prstGeom prst="rect">
                      <a:avLst/>
                    </a:prstGeom>
                    <a:noFill/>
                    <a:ln>
                      <a:noFill/>
                    </a:ln>
                  </pic:spPr>
                </pic:pic>
              </a:graphicData>
            </a:graphic>
          </wp:anchor>
        </w:drawing>
      </w:r>
    </w:p>
    <w:p w14:paraId="4B8675C1">
      <w:pPr>
        <w:bidi w:val="0"/>
        <w:rPr>
          <w:rFonts w:hint="default" w:ascii="宋体" w:hAnsi="宋体" w:eastAsia="宋体" w:cs="宋体"/>
          <w:sz w:val="24"/>
          <w:szCs w:val="24"/>
          <w:lang w:val="en-US" w:eastAsia="zh-CN"/>
        </w:rPr>
      </w:pPr>
    </w:p>
    <w:p w14:paraId="4072E674">
      <w:pPr>
        <w:bidi w:val="0"/>
        <w:rPr>
          <w:rFonts w:hint="default" w:ascii="宋体" w:hAnsi="宋体" w:eastAsia="宋体" w:cs="宋体"/>
          <w:sz w:val="24"/>
          <w:szCs w:val="24"/>
          <w:lang w:val="en-US" w:eastAsia="zh-CN"/>
        </w:rPr>
      </w:pPr>
    </w:p>
    <w:p w14:paraId="3A0DF6D6">
      <w:pPr>
        <w:bidi w:val="0"/>
        <w:rPr>
          <w:rFonts w:hint="default" w:ascii="宋体" w:hAnsi="宋体" w:eastAsia="宋体" w:cs="宋体"/>
          <w:sz w:val="24"/>
          <w:szCs w:val="24"/>
          <w:lang w:val="en-US" w:eastAsia="zh-CN"/>
        </w:rPr>
      </w:pPr>
    </w:p>
    <w:p w14:paraId="475D3EE3">
      <w:pPr>
        <w:bidi w:val="0"/>
        <w:rPr>
          <w:rFonts w:hint="default" w:ascii="宋体" w:hAnsi="宋体" w:eastAsia="宋体" w:cs="宋体"/>
          <w:sz w:val="24"/>
          <w:szCs w:val="24"/>
          <w:lang w:val="en-US" w:eastAsia="zh-CN"/>
        </w:rPr>
      </w:pPr>
    </w:p>
    <w:p w14:paraId="203E1E5C">
      <w:pPr>
        <w:bidi w:val="0"/>
        <w:rPr>
          <w:rFonts w:hint="default" w:ascii="宋体" w:hAnsi="宋体" w:eastAsia="宋体" w:cs="宋体"/>
          <w:sz w:val="24"/>
          <w:szCs w:val="24"/>
          <w:lang w:val="en-US" w:eastAsia="zh-CN"/>
        </w:rPr>
      </w:pPr>
    </w:p>
    <w:p w14:paraId="2DA4C75E">
      <w:pPr>
        <w:bidi w:val="0"/>
        <w:rPr>
          <w:rFonts w:hint="default" w:ascii="宋体" w:hAnsi="宋体" w:eastAsia="宋体" w:cs="宋体"/>
          <w:sz w:val="24"/>
          <w:szCs w:val="24"/>
          <w:lang w:val="en-US" w:eastAsia="zh-CN"/>
        </w:rPr>
      </w:pPr>
    </w:p>
    <w:p w14:paraId="02876570">
      <w:pPr>
        <w:bidi w:val="0"/>
        <w:rPr>
          <w:rFonts w:hint="default" w:ascii="宋体" w:hAnsi="宋体" w:eastAsia="宋体" w:cs="宋体"/>
          <w:sz w:val="24"/>
          <w:szCs w:val="24"/>
          <w:lang w:val="en-US" w:eastAsia="zh-CN"/>
        </w:rPr>
      </w:pPr>
    </w:p>
    <w:p w14:paraId="1F77AC1F">
      <w:pPr>
        <w:bidi w:val="0"/>
        <w:rPr>
          <w:rFonts w:hint="default" w:ascii="宋体" w:hAnsi="宋体" w:eastAsia="宋体" w:cs="宋体"/>
          <w:sz w:val="24"/>
          <w:szCs w:val="24"/>
          <w:lang w:val="en-US" w:eastAsia="zh-CN"/>
        </w:rPr>
      </w:pPr>
    </w:p>
    <w:p w14:paraId="58693A3D">
      <w:pPr>
        <w:bidi w:val="0"/>
        <w:rPr>
          <w:rFonts w:hint="default" w:ascii="宋体" w:hAnsi="宋体" w:eastAsia="宋体" w:cs="宋体"/>
          <w:sz w:val="24"/>
          <w:szCs w:val="24"/>
          <w:lang w:val="en-US" w:eastAsia="zh-CN"/>
        </w:rPr>
      </w:pPr>
    </w:p>
    <w:p w14:paraId="1BB79513">
      <w:pPr>
        <w:bidi w:val="0"/>
        <w:rPr>
          <w:rFonts w:hint="default" w:ascii="宋体" w:hAnsi="宋体" w:eastAsia="宋体" w:cs="宋体"/>
          <w:sz w:val="24"/>
          <w:szCs w:val="24"/>
          <w:lang w:val="en-US" w:eastAsia="zh-CN"/>
        </w:rPr>
      </w:pPr>
    </w:p>
    <w:p w14:paraId="608B3E65">
      <w:pPr>
        <w:bidi w:val="0"/>
        <w:rPr>
          <w:rFonts w:hint="default" w:ascii="宋体" w:hAnsi="宋体" w:eastAsia="宋体" w:cs="宋体"/>
          <w:sz w:val="24"/>
          <w:szCs w:val="24"/>
          <w:lang w:val="en-US" w:eastAsia="zh-CN"/>
        </w:rPr>
      </w:pPr>
    </w:p>
    <w:p w14:paraId="20FB45B6">
      <w:pPr>
        <w:bidi w:val="0"/>
        <w:rPr>
          <w:rFonts w:hint="default" w:ascii="宋体" w:hAnsi="宋体" w:eastAsia="宋体" w:cs="宋体"/>
          <w:sz w:val="24"/>
          <w:szCs w:val="24"/>
          <w:lang w:val="en-US" w:eastAsia="zh-CN"/>
        </w:rPr>
      </w:pPr>
    </w:p>
    <w:p w14:paraId="0D2A5964">
      <w:pPr>
        <w:bidi w:val="0"/>
        <w:rPr>
          <w:rFonts w:hint="default" w:ascii="宋体" w:hAnsi="宋体" w:eastAsia="宋体" w:cs="宋体"/>
          <w:sz w:val="24"/>
          <w:szCs w:val="24"/>
          <w:lang w:val="en-US" w:eastAsia="zh-CN"/>
        </w:rPr>
      </w:pPr>
    </w:p>
    <w:p w14:paraId="4AF31B54">
      <w:pPr>
        <w:bidi w:val="0"/>
        <w:rPr>
          <w:rFonts w:hint="default" w:ascii="宋体" w:hAnsi="宋体" w:eastAsia="宋体" w:cs="宋体"/>
          <w:sz w:val="24"/>
          <w:szCs w:val="24"/>
          <w:lang w:val="en-US" w:eastAsia="zh-CN"/>
        </w:rPr>
      </w:pPr>
    </w:p>
    <w:p w14:paraId="6A136291">
      <w:pPr>
        <w:bidi w:val="0"/>
        <w:rPr>
          <w:rFonts w:hint="default" w:ascii="宋体" w:hAnsi="宋体" w:eastAsia="宋体" w:cs="宋体"/>
          <w:sz w:val="24"/>
          <w:szCs w:val="24"/>
          <w:lang w:val="en-US" w:eastAsia="zh-CN"/>
        </w:rPr>
      </w:pPr>
    </w:p>
    <w:p w14:paraId="6AF2B8B9">
      <w:pPr>
        <w:bidi w:val="0"/>
        <w:rPr>
          <w:rFonts w:hint="default" w:ascii="宋体" w:hAnsi="宋体" w:eastAsia="宋体" w:cs="宋体"/>
          <w:sz w:val="24"/>
          <w:szCs w:val="24"/>
          <w:lang w:val="en-US" w:eastAsia="zh-CN"/>
        </w:rPr>
      </w:pPr>
    </w:p>
    <w:p w14:paraId="17502644">
      <w:pPr>
        <w:bidi w:val="0"/>
        <w:rPr>
          <w:rFonts w:hint="default" w:ascii="宋体" w:hAnsi="宋体" w:eastAsia="宋体" w:cs="宋体"/>
          <w:sz w:val="24"/>
          <w:szCs w:val="24"/>
          <w:lang w:val="en-US" w:eastAsia="zh-CN"/>
        </w:rPr>
      </w:pPr>
    </w:p>
    <w:p w14:paraId="05CED6F9">
      <w:pPr>
        <w:bidi w:val="0"/>
        <w:rPr>
          <w:rFonts w:hint="default" w:ascii="宋体" w:hAnsi="宋体" w:eastAsia="宋体" w:cs="宋体"/>
          <w:sz w:val="24"/>
          <w:szCs w:val="24"/>
          <w:lang w:val="en-US" w:eastAsia="zh-CN"/>
        </w:rPr>
      </w:pPr>
    </w:p>
    <w:p w14:paraId="184FE437">
      <w:pPr>
        <w:bidi w:val="0"/>
        <w:rPr>
          <w:rFonts w:hint="default" w:ascii="宋体" w:hAnsi="宋体" w:eastAsia="宋体" w:cs="宋体"/>
          <w:sz w:val="24"/>
          <w:szCs w:val="24"/>
          <w:lang w:val="en-US" w:eastAsia="zh-CN"/>
        </w:rPr>
      </w:pPr>
    </w:p>
    <w:p w14:paraId="04BAFA8E">
      <w:pPr>
        <w:bidi w:val="0"/>
        <w:rPr>
          <w:rFonts w:hint="default" w:ascii="宋体" w:hAnsi="宋体" w:eastAsia="宋体" w:cs="宋体"/>
          <w:sz w:val="24"/>
          <w:szCs w:val="24"/>
          <w:lang w:val="en-US" w:eastAsia="zh-CN"/>
        </w:rPr>
      </w:pPr>
    </w:p>
    <w:p w14:paraId="33290116">
      <w:pPr>
        <w:bidi w:val="0"/>
        <w:rPr>
          <w:rFonts w:hint="default" w:ascii="宋体" w:hAnsi="宋体" w:eastAsia="宋体" w:cs="宋体"/>
          <w:sz w:val="24"/>
          <w:szCs w:val="24"/>
          <w:lang w:val="en-US" w:eastAsia="zh-CN"/>
        </w:rPr>
      </w:pPr>
    </w:p>
    <w:p w14:paraId="5EDAA79E">
      <w:pPr>
        <w:bidi w:val="0"/>
        <w:rPr>
          <w:rFonts w:hint="default" w:ascii="宋体" w:hAnsi="宋体" w:eastAsia="宋体" w:cs="宋体"/>
          <w:sz w:val="24"/>
          <w:szCs w:val="24"/>
          <w:lang w:val="en-US" w:eastAsia="zh-CN"/>
        </w:rPr>
      </w:pPr>
    </w:p>
    <w:p w14:paraId="383C30AE">
      <w:pPr>
        <w:bidi w:val="0"/>
        <w:rPr>
          <w:rFonts w:hint="default" w:ascii="宋体" w:hAnsi="宋体" w:eastAsia="宋体" w:cs="宋体"/>
          <w:sz w:val="24"/>
          <w:szCs w:val="24"/>
          <w:lang w:val="en-US" w:eastAsia="zh-CN"/>
        </w:rPr>
      </w:pPr>
    </w:p>
    <w:p w14:paraId="0E80C959">
      <w:pPr>
        <w:bidi w:val="0"/>
        <w:rPr>
          <w:rFonts w:hint="default" w:ascii="宋体" w:hAnsi="宋体" w:eastAsia="宋体" w:cs="宋体"/>
          <w:sz w:val="24"/>
          <w:szCs w:val="24"/>
          <w:lang w:val="en-US" w:eastAsia="zh-CN"/>
        </w:rPr>
      </w:pPr>
    </w:p>
    <w:p w14:paraId="7BBAB041">
      <w:pPr>
        <w:bidi w:val="0"/>
        <w:rPr>
          <w:rFonts w:hint="default" w:ascii="宋体" w:hAnsi="宋体" w:eastAsia="宋体" w:cs="宋体"/>
          <w:sz w:val="24"/>
          <w:szCs w:val="24"/>
          <w:lang w:val="en-US" w:eastAsia="zh-CN"/>
        </w:rPr>
      </w:pPr>
    </w:p>
    <w:p w14:paraId="07734CB2">
      <w:pPr>
        <w:bidi w:val="0"/>
        <w:rPr>
          <w:rFonts w:hint="default" w:ascii="宋体" w:hAnsi="宋体" w:eastAsia="宋体" w:cs="宋体"/>
          <w:sz w:val="24"/>
          <w:szCs w:val="24"/>
          <w:lang w:val="en-US" w:eastAsia="zh-CN"/>
        </w:rPr>
      </w:pPr>
    </w:p>
    <w:p w14:paraId="7995BB4E">
      <w:pPr>
        <w:bidi w:val="0"/>
        <w:rPr>
          <w:rFonts w:hint="default" w:ascii="宋体" w:hAnsi="宋体" w:eastAsia="宋体" w:cs="宋体"/>
          <w:sz w:val="24"/>
          <w:szCs w:val="24"/>
          <w:lang w:val="en-US" w:eastAsia="zh-CN"/>
        </w:rPr>
      </w:pPr>
    </w:p>
    <w:p w14:paraId="0F3CC4BB">
      <w:pPr>
        <w:bidi w:val="0"/>
        <w:rPr>
          <w:rFonts w:hint="default" w:ascii="宋体" w:hAnsi="宋体" w:eastAsia="宋体" w:cs="宋体"/>
          <w:sz w:val="24"/>
          <w:szCs w:val="24"/>
          <w:lang w:val="en-US" w:eastAsia="zh-CN"/>
        </w:rPr>
      </w:pPr>
    </w:p>
    <w:p w14:paraId="63C0E0EC">
      <w:pPr>
        <w:bidi w:val="0"/>
        <w:rPr>
          <w:rFonts w:hint="default" w:ascii="宋体" w:hAnsi="宋体" w:eastAsia="宋体" w:cs="宋体"/>
          <w:sz w:val="24"/>
          <w:szCs w:val="24"/>
          <w:lang w:val="en-US" w:eastAsia="zh-CN"/>
        </w:rPr>
      </w:pPr>
    </w:p>
    <w:p w14:paraId="4994258A">
      <w:pPr>
        <w:bidi w:val="0"/>
        <w:rPr>
          <w:rFonts w:hint="default" w:ascii="宋体" w:hAnsi="宋体" w:eastAsia="宋体" w:cs="宋体"/>
          <w:sz w:val="24"/>
          <w:szCs w:val="24"/>
          <w:lang w:val="en-US" w:eastAsia="zh-CN"/>
        </w:rPr>
      </w:pPr>
    </w:p>
    <w:p w14:paraId="0A38F081">
      <w:pPr>
        <w:bidi w:val="0"/>
        <w:rPr>
          <w:rFonts w:hint="default" w:ascii="宋体" w:hAnsi="宋体" w:eastAsia="宋体" w:cs="宋体"/>
          <w:sz w:val="24"/>
          <w:szCs w:val="24"/>
          <w:lang w:val="en-US" w:eastAsia="zh-CN"/>
        </w:rPr>
      </w:pPr>
    </w:p>
    <w:p w14:paraId="1B033971">
      <w:pPr>
        <w:bidi w:val="0"/>
        <w:rPr>
          <w:rFonts w:hint="default" w:ascii="宋体" w:hAnsi="宋体" w:eastAsia="宋体" w:cs="宋体"/>
          <w:sz w:val="24"/>
          <w:szCs w:val="24"/>
          <w:lang w:val="en-US" w:eastAsia="zh-CN"/>
        </w:rPr>
      </w:pPr>
    </w:p>
    <w:p w14:paraId="46476CC1">
      <w:pPr>
        <w:bidi w:val="0"/>
        <w:rPr>
          <w:rFonts w:hint="default" w:ascii="宋体" w:hAnsi="宋体" w:eastAsia="宋体" w:cs="宋体"/>
          <w:sz w:val="24"/>
          <w:szCs w:val="24"/>
          <w:lang w:val="en-US" w:eastAsia="zh-CN"/>
        </w:rPr>
      </w:pPr>
    </w:p>
    <w:p w14:paraId="48089381">
      <w:pPr>
        <w:bidi w:val="0"/>
        <w:rPr>
          <w:rFonts w:hint="default" w:ascii="宋体" w:hAnsi="宋体" w:eastAsia="宋体" w:cs="宋体"/>
          <w:sz w:val="24"/>
          <w:szCs w:val="24"/>
          <w:lang w:val="en-US" w:eastAsia="zh-CN"/>
        </w:rPr>
      </w:pPr>
    </w:p>
    <w:p w14:paraId="5D04C1C7">
      <w:pPr>
        <w:bidi w:val="0"/>
        <w:rPr>
          <w:rFonts w:hint="default" w:ascii="宋体" w:hAnsi="宋体" w:eastAsia="宋体" w:cs="宋体"/>
          <w:sz w:val="24"/>
          <w:szCs w:val="24"/>
          <w:lang w:val="en-US" w:eastAsia="zh-CN"/>
        </w:rPr>
      </w:pPr>
    </w:p>
    <w:p w14:paraId="4166F08E">
      <w:pPr>
        <w:bidi w:val="0"/>
        <w:rPr>
          <w:rFonts w:hint="default" w:ascii="宋体" w:hAnsi="宋体" w:eastAsia="宋体" w:cs="宋体"/>
          <w:sz w:val="24"/>
          <w:szCs w:val="24"/>
          <w:lang w:val="en-US" w:eastAsia="zh-CN"/>
        </w:rPr>
      </w:pPr>
    </w:p>
    <w:p w14:paraId="3BCC4699">
      <w:pPr>
        <w:bidi w:val="0"/>
        <w:rPr>
          <w:rFonts w:hint="default" w:ascii="宋体" w:hAnsi="宋体" w:eastAsia="宋体" w:cs="宋体"/>
          <w:sz w:val="24"/>
          <w:szCs w:val="24"/>
          <w:lang w:val="en-US" w:eastAsia="zh-CN"/>
        </w:rPr>
      </w:pPr>
    </w:p>
    <w:p w14:paraId="0DA6118E">
      <w:pPr>
        <w:bidi w:val="0"/>
        <w:rPr>
          <w:rFonts w:hint="default" w:ascii="宋体" w:hAnsi="宋体" w:eastAsia="宋体" w:cs="宋体"/>
          <w:sz w:val="24"/>
          <w:szCs w:val="24"/>
          <w:lang w:val="en-US" w:eastAsia="zh-CN"/>
        </w:rPr>
      </w:pPr>
    </w:p>
    <w:p w14:paraId="6F8FDA2E">
      <w:pPr>
        <w:bidi w:val="0"/>
        <w:rPr>
          <w:rFonts w:hint="default" w:ascii="宋体" w:hAnsi="宋体" w:eastAsia="宋体" w:cs="宋体"/>
          <w:sz w:val="24"/>
          <w:szCs w:val="24"/>
          <w:lang w:val="en-US" w:eastAsia="zh-CN"/>
        </w:rPr>
      </w:pPr>
    </w:p>
    <w:p w14:paraId="1912ABE2">
      <w:pPr>
        <w:bidi w:val="0"/>
        <w:rPr>
          <w:rFonts w:hint="default" w:ascii="宋体" w:hAnsi="宋体" w:eastAsia="宋体" w:cs="宋体"/>
          <w:sz w:val="24"/>
          <w:szCs w:val="24"/>
          <w:lang w:val="en-US" w:eastAsia="zh-CN"/>
        </w:rPr>
      </w:pPr>
    </w:p>
    <w:p w14:paraId="649FC426">
      <w:pPr>
        <w:bidi w:val="0"/>
        <w:rPr>
          <w:rFonts w:hint="default" w:ascii="宋体" w:hAnsi="宋体" w:eastAsia="宋体" w:cs="宋体"/>
          <w:sz w:val="24"/>
          <w:szCs w:val="24"/>
          <w:lang w:val="en-US" w:eastAsia="zh-CN"/>
        </w:rPr>
      </w:pPr>
    </w:p>
    <w:p w14:paraId="6EA8F703">
      <w:pPr>
        <w:bidi w:val="0"/>
        <w:rPr>
          <w:rFonts w:hint="default" w:ascii="宋体" w:hAnsi="宋体" w:eastAsia="宋体" w:cs="宋体"/>
          <w:sz w:val="24"/>
          <w:szCs w:val="24"/>
          <w:lang w:val="en-US" w:eastAsia="zh-CN"/>
        </w:rPr>
      </w:pPr>
    </w:p>
    <w:p w14:paraId="1601DEDA">
      <w:pPr>
        <w:bidi w:val="0"/>
        <w:rPr>
          <w:rFonts w:hint="default" w:ascii="宋体" w:hAnsi="宋体" w:eastAsia="宋体" w:cs="宋体"/>
          <w:sz w:val="24"/>
          <w:szCs w:val="24"/>
          <w:lang w:val="en-US" w:eastAsia="zh-CN"/>
        </w:rPr>
      </w:pPr>
    </w:p>
    <w:p w14:paraId="16877DF4">
      <w:pPr>
        <w:bidi w:val="0"/>
        <w:rPr>
          <w:rFonts w:hint="default" w:ascii="宋体" w:hAnsi="宋体" w:eastAsia="宋体" w:cs="宋体"/>
          <w:sz w:val="24"/>
          <w:szCs w:val="24"/>
          <w:lang w:val="en-US" w:eastAsia="zh-CN"/>
        </w:rPr>
      </w:pPr>
      <w:r>
        <w:drawing>
          <wp:anchor distT="0" distB="0" distL="114300" distR="114300" simplePos="0" relativeHeight="251661312" behindDoc="0" locked="0" layoutInCell="1" allowOverlap="1">
            <wp:simplePos x="0" y="0"/>
            <wp:positionH relativeFrom="column">
              <wp:posOffset>-1746250</wp:posOffset>
            </wp:positionH>
            <wp:positionV relativeFrom="paragraph">
              <wp:posOffset>1476375</wp:posOffset>
            </wp:positionV>
            <wp:extent cx="8808085" cy="5882005"/>
            <wp:effectExtent l="0" t="0" r="4445" b="12065"/>
            <wp:wrapNone/>
            <wp:docPr id="3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4"/>
                    <pic:cNvPicPr>
                      <a:picLocks noChangeAspect="1"/>
                    </pic:cNvPicPr>
                  </pic:nvPicPr>
                  <pic:blipFill>
                    <a:blip r:embed="rId25"/>
                    <a:stretch>
                      <a:fillRect/>
                    </a:stretch>
                  </pic:blipFill>
                  <pic:spPr>
                    <a:xfrm rot="5400000">
                      <a:off x="0" y="0"/>
                      <a:ext cx="8808085" cy="5882005"/>
                    </a:xfrm>
                    <a:prstGeom prst="rect">
                      <a:avLst/>
                    </a:prstGeom>
                    <a:noFill/>
                    <a:ln>
                      <a:noFill/>
                    </a:ln>
                  </pic:spPr>
                </pic:pic>
              </a:graphicData>
            </a:graphic>
          </wp:anchor>
        </w:drawing>
      </w:r>
    </w:p>
    <w:p w14:paraId="0D6D3520">
      <w:pPr>
        <w:bidi w:val="0"/>
        <w:rPr>
          <w:rFonts w:hint="default" w:ascii="宋体" w:hAnsi="宋体" w:eastAsia="宋体" w:cs="宋体"/>
          <w:sz w:val="24"/>
          <w:szCs w:val="24"/>
          <w:lang w:val="en-US" w:eastAsia="zh-CN"/>
        </w:rPr>
      </w:pPr>
    </w:p>
    <w:p w14:paraId="4C1AB7CB">
      <w:pPr>
        <w:bidi w:val="0"/>
        <w:rPr>
          <w:rFonts w:hint="default" w:ascii="宋体" w:hAnsi="宋体" w:eastAsia="宋体" w:cs="宋体"/>
          <w:sz w:val="24"/>
          <w:szCs w:val="24"/>
          <w:lang w:val="en-US" w:eastAsia="zh-CN"/>
        </w:rPr>
      </w:pPr>
    </w:p>
    <w:p w14:paraId="2913BAE9">
      <w:pPr>
        <w:bidi w:val="0"/>
        <w:rPr>
          <w:rFonts w:hint="default" w:ascii="宋体" w:hAnsi="宋体" w:eastAsia="宋体" w:cs="宋体"/>
          <w:sz w:val="24"/>
          <w:szCs w:val="24"/>
          <w:lang w:val="en-US" w:eastAsia="zh-CN"/>
        </w:rPr>
      </w:pPr>
    </w:p>
    <w:p w14:paraId="55D47025">
      <w:pPr>
        <w:bidi w:val="0"/>
        <w:rPr>
          <w:rFonts w:hint="default" w:ascii="宋体" w:hAnsi="宋体" w:eastAsia="宋体" w:cs="宋体"/>
          <w:sz w:val="24"/>
          <w:szCs w:val="24"/>
          <w:lang w:val="en-US" w:eastAsia="zh-CN"/>
        </w:rPr>
      </w:pPr>
    </w:p>
    <w:p w14:paraId="73C246CC">
      <w:pPr>
        <w:bidi w:val="0"/>
        <w:rPr>
          <w:rFonts w:hint="default" w:ascii="宋体" w:hAnsi="宋体" w:eastAsia="宋体" w:cs="宋体"/>
          <w:sz w:val="24"/>
          <w:szCs w:val="24"/>
          <w:lang w:val="en-US" w:eastAsia="zh-CN"/>
        </w:rPr>
      </w:pPr>
    </w:p>
    <w:p w14:paraId="3F0D29E3">
      <w:pPr>
        <w:bidi w:val="0"/>
        <w:rPr>
          <w:rFonts w:hint="default" w:ascii="宋体" w:hAnsi="宋体" w:eastAsia="宋体" w:cs="宋体"/>
          <w:sz w:val="24"/>
          <w:szCs w:val="24"/>
          <w:lang w:val="en-US" w:eastAsia="zh-CN"/>
        </w:rPr>
      </w:pPr>
    </w:p>
    <w:p w14:paraId="60A3B176">
      <w:pPr>
        <w:bidi w:val="0"/>
        <w:rPr>
          <w:rFonts w:hint="default" w:ascii="宋体" w:hAnsi="宋体" w:eastAsia="宋体" w:cs="宋体"/>
          <w:sz w:val="24"/>
          <w:szCs w:val="24"/>
          <w:lang w:val="en-US" w:eastAsia="zh-CN"/>
        </w:rPr>
      </w:pPr>
    </w:p>
    <w:p w14:paraId="14CE7551">
      <w:pPr>
        <w:bidi w:val="0"/>
        <w:rPr>
          <w:rFonts w:hint="default" w:ascii="宋体" w:hAnsi="宋体" w:eastAsia="宋体" w:cs="宋体"/>
          <w:sz w:val="24"/>
          <w:szCs w:val="24"/>
          <w:lang w:val="en-US" w:eastAsia="zh-CN"/>
        </w:rPr>
      </w:pPr>
    </w:p>
    <w:p w14:paraId="554BB2C8">
      <w:pPr>
        <w:bidi w:val="0"/>
        <w:rPr>
          <w:rFonts w:hint="default" w:ascii="宋体" w:hAnsi="宋体" w:eastAsia="宋体" w:cs="宋体"/>
          <w:sz w:val="24"/>
          <w:szCs w:val="24"/>
          <w:lang w:val="en-US" w:eastAsia="zh-CN"/>
        </w:rPr>
      </w:pPr>
    </w:p>
    <w:p w14:paraId="38B5A522">
      <w:pPr>
        <w:bidi w:val="0"/>
        <w:rPr>
          <w:rFonts w:hint="default" w:ascii="宋体" w:hAnsi="宋体" w:eastAsia="宋体" w:cs="宋体"/>
          <w:sz w:val="24"/>
          <w:szCs w:val="24"/>
          <w:lang w:val="en-US" w:eastAsia="zh-CN"/>
        </w:rPr>
      </w:pPr>
    </w:p>
    <w:p w14:paraId="39840EEF">
      <w:pPr>
        <w:bidi w:val="0"/>
        <w:rPr>
          <w:rFonts w:hint="default" w:ascii="宋体" w:hAnsi="宋体" w:eastAsia="宋体" w:cs="宋体"/>
          <w:sz w:val="24"/>
          <w:szCs w:val="24"/>
          <w:lang w:val="en-US" w:eastAsia="zh-CN"/>
        </w:rPr>
      </w:pPr>
    </w:p>
    <w:p w14:paraId="18B6E859">
      <w:pPr>
        <w:bidi w:val="0"/>
        <w:rPr>
          <w:rFonts w:hint="default" w:ascii="宋体" w:hAnsi="宋体" w:eastAsia="宋体" w:cs="宋体"/>
          <w:sz w:val="24"/>
          <w:szCs w:val="24"/>
          <w:lang w:val="en-US" w:eastAsia="zh-CN"/>
        </w:rPr>
      </w:pPr>
    </w:p>
    <w:p w14:paraId="6BEA2569">
      <w:pPr>
        <w:bidi w:val="0"/>
        <w:rPr>
          <w:rFonts w:hint="default" w:ascii="宋体" w:hAnsi="宋体" w:eastAsia="宋体" w:cs="宋体"/>
          <w:sz w:val="24"/>
          <w:szCs w:val="24"/>
          <w:lang w:val="en-US" w:eastAsia="zh-CN"/>
        </w:rPr>
      </w:pPr>
    </w:p>
    <w:p w14:paraId="5CEFB60D">
      <w:pPr>
        <w:bidi w:val="0"/>
        <w:rPr>
          <w:rFonts w:hint="default" w:ascii="宋体" w:hAnsi="宋体" w:eastAsia="宋体" w:cs="宋体"/>
          <w:sz w:val="24"/>
          <w:szCs w:val="24"/>
          <w:lang w:val="en-US" w:eastAsia="zh-CN"/>
        </w:rPr>
      </w:pPr>
    </w:p>
    <w:p w14:paraId="6AAA5050">
      <w:pPr>
        <w:bidi w:val="0"/>
        <w:rPr>
          <w:rFonts w:hint="default" w:ascii="宋体" w:hAnsi="宋体" w:eastAsia="宋体" w:cs="宋体"/>
          <w:sz w:val="24"/>
          <w:szCs w:val="24"/>
          <w:lang w:val="en-US" w:eastAsia="zh-CN"/>
        </w:rPr>
      </w:pPr>
    </w:p>
    <w:p w14:paraId="0A1D24D9">
      <w:pPr>
        <w:bidi w:val="0"/>
        <w:rPr>
          <w:rFonts w:hint="default" w:ascii="宋体" w:hAnsi="宋体" w:eastAsia="宋体" w:cs="宋体"/>
          <w:sz w:val="24"/>
          <w:szCs w:val="24"/>
          <w:lang w:val="en-US" w:eastAsia="zh-CN"/>
        </w:rPr>
      </w:pPr>
    </w:p>
    <w:p w14:paraId="03C2AFC8">
      <w:pPr>
        <w:bidi w:val="0"/>
        <w:rPr>
          <w:rFonts w:hint="default" w:ascii="宋体" w:hAnsi="宋体" w:eastAsia="宋体" w:cs="宋体"/>
          <w:sz w:val="24"/>
          <w:szCs w:val="24"/>
          <w:lang w:val="en-US" w:eastAsia="zh-CN"/>
        </w:rPr>
      </w:pPr>
    </w:p>
    <w:p w14:paraId="7BC1C937">
      <w:pPr>
        <w:bidi w:val="0"/>
        <w:rPr>
          <w:rFonts w:hint="default" w:ascii="宋体" w:hAnsi="宋体" w:eastAsia="宋体" w:cs="宋体"/>
          <w:sz w:val="24"/>
          <w:szCs w:val="24"/>
          <w:lang w:val="en-US" w:eastAsia="zh-CN"/>
        </w:rPr>
      </w:pPr>
    </w:p>
    <w:p w14:paraId="6D800DC4">
      <w:pPr>
        <w:bidi w:val="0"/>
        <w:rPr>
          <w:rFonts w:hint="default" w:ascii="宋体" w:hAnsi="宋体" w:eastAsia="宋体" w:cs="宋体"/>
          <w:sz w:val="24"/>
          <w:szCs w:val="24"/>
          <w:lang w:val="en-US" w:eastAsia="zh-CN"/>
        </w:rPr>
      </w:pPr>
    </w:p>
    <w:p w14:paraId="2E0C8F0E">
      <w:pPr>
        <w:bidi w:val="0"/>
        <w:rPr>
          <w:rFonts w:hint="default" w:ascii="宋体" w:hAnsi="宋体" w:eastAsia="宋体" w:cs="宋体"/>
          <w:sz w:val="24"/>
          <w:szCs w:val="24"/>
          <w:lang w:val="en-US" w:eastAsia="zh-CN"/>
        </w:rPr>
      </w:pPr>
    </w:p>
    <w:p w14:paraId="5264F093">
      <w:pPr>
        <w:bidi w:val="0"/>
        <w:rPr>
          <w:rFonts w:hint="default" w:ascii="宋体" w:hAnsi="宋体" w:eastAsia="宋体" w:cs="宋体"/>
          <w:sz w:val="24"/>
          <w:szCs w:val="24"/>
          <w:lang w:val="en-US" w:eastAsia="zh-CN"/>
        </w:rPr>
      </w:pPr>
    </w:p>
    <w:p w14:paraId="447BF4FB">
      <w:pPr>
        <w:bidi w:val="0"/>
        <w:rPr>
          <w:rFonts w:hint="default" w:ascii="宋体" w:hAnsi="宋体" w:eastAsia="宋体" w:cs="宋体"/>
          <w:sz w:val="24"/>
          <w:szCs w:val="24"/>
          <w:lang w:val="en-US" w:eastAsia="zh-CN"/>
        </w:rPr>
      </w:pPr>
    </w:p>
    <w:p w14:paraId="4FE2F431">
      <w:pPr>
        <w:bidi w:val="0"/>
        <w:rPr>
          <w:rFonts w:hint="default" w:ascii="宋体" w:hAnsi="宋体" w:eastAsia="宋体" w:cs="宋体"/>
          <w:sz w:val="24"/>
          <w:szCs w:val="24"/>
          <w:lang w:val="en-US" w:eastAsia="zh-CN"/>
        </w:rPr>
      </w:pPr>
    </w:p>
    <w:p w14:paraId="5A333F89">
      <w:pPr>
        <w:bidi w:val="0"/>
        <w:rPr>
          <w:rFonts w:hint="default" w:ascii="宋体" w:hAnsi="宋体" w:eastAsia="宋体" w:cs="宋体"/>
          <w:sz w:val="24"/>
          <w:szCs w:val="24"/>
          <w:lang w:val="en-US" w:eastAsia="zh-CN"/>
        </w:rPr>
      </w:pPr>
    </w:p>
    <w:p w14:paraId="1B978377">
      <w:pPr>
        <w:bidi w:val="0"/>
        <w:rPr>
          <w:rFonts w:hint="default" w:ascii="宋体" w:hAnsi="宋体" w:eastAsia="宋体" w:cs="宋体"/>
          <w:sz w:val="24"/>
          <w:szCs w:val="24"/>
          <w:lang w:val="en-US" w:eastAsia="zh-CN"/>
        </w:rPr>
      </w:pPr>
    </w:p>
    <w:p w14:paraId="62263617">
      <w:pPr>
        <w:bidi w:val="0"/>
        <w:rPr>
          <w:rFonts w:hint="default" w:ascii="宋体" w:hAnsi="宋体" w:eastAsia="宋体" w:cs="宋体"/>
          <w:sz w:val="24"/>
          <w:szCs w:val="24"/>
          <w:lang w:val="en-US" w:eastAsia="zh-CN"/>
        </w:rPr>
      </w:pPr>
    </w:p>
    <w:p w14:paraId="509449DF">
      <w:pPr>
        <w:bidi w:val="0"/>
        <w:rPr>
          <w:rFonts w:hint="default" w:ascii="宋体" w:hAnsi="宋体" w:eastAsia="宋体" w:cs="宋体"/>
          <w:sz w:val="24"/>
          <w:szCs w:val="24"/>
          <w:lang w:val="en-US" w:eastAsia="zh-CN"/>
        </w:rPr>
      </w:pPr>
    </w:p>
    <w:p w14:paraId="4CB0DB76">
      <w:pPr>
        <w:bidi w:val="0"/>
        <w:rPr>
          <w:rFonts w:hint="default" w:ascii="宋体" w:hAnsi="宋体" w:eastAsia="宋体" w:cs="宋体"/>
          <w:sz w:val="24"/>
          <w:szCs w:val="24"/>
          <w:lang w:val="en-US" w:eastAsia="zh-CN"/>
        </w:rPr>
      </w:pPr>
    </w:p>
    <w:p w14:paraId="59CE4193">
      <w:pPr>
        <w:bidi w:val="0"/>
        <w:rPr>
          <w:rFonts w:hint="default" w:ascii="宋体" w:hAnsi="宋体" w:eastAsia="宋体" w:cs="宋体"/>
          <w:sz w:val="24"/>
          <w:szCs w:val="24"/>
          <w:lang w:val="en-US" w:eastAsia="zh-CN"/>
        </w:rPr>
      </w:pPr>
    </w:p>
    <w:p w14:paraId="54A4E31E">
      <w:pPr>
        <w:bidi w:val="0"/>
        <w:rPr>
          <w:rFonts w:hint="default" w:ascii="宋体" w:hAnsi="宋体" w:eastAsia="宋体" w:cs="宋体"/>
          <w:sz w:val="24"/>
          <w:szCs w:val="24"/>
          <w:lang w:val="en-US" w:eastAsia="zh-CN"/>
        </w:rPr>
      </w:pPr>
    </w:p>
    <w:p w14:paraId="1043EC27">
      <w:pPr>
        <w:bidi w:val="0"/>
        <w:rPr>
          <w:rFonts w:hint="default" w:ascii="宋体" w:hAnsi="宋体" w:eastAsia="宋体" w:cs="宋体"/>
          <w:sz w:val="24"/>
          <w:szCs w:val="24"/>
          <w:lang w:val="en-US" w:eastAsia="zh-CN"/>
        </w:rPr>
      </w:pPr>
    </w:p>
    <w:p w14:paraId="573FFFE2">
      <w:pPr>
        <w:bidi w:val="0"/>
        <w:rPr>
          <w:rFonts w:hint="default" w:ascii="宋体" w:hAnsi="宋体" w:eastAsia="宋体" w:cs="宋体"/>
          <w:sz w:val="24"/>
          <w:szCs w:val="24"/>
          <w:lang w:val="en-US" w:eastAsia="zh-CN"/>
        </w:rPr>
      </w:pPr>
    </w:p>
    <w:p w14:paraId="2DB74D4A">
      <w:pPr>
        <w:bidi w:val="0"/>
        <w:rPr>
          <w:rFonts w:hint="default" w:ascii="宋体" w:hAnsi="宋体" w:eastAsia="宋体" w:cs="宋体"/>
          <w:sz w:val="24"/>
          <w:szCs w:val="24"/>
          <w:lang w:val="en-US" w:eastAsia="zh-CN"/>
        </w:rPr>
      </w:pPr>
    </w:p>
    <w:p w14:paraId="460B41E2">
      <w:pPr>
        <w:bidi w:val="0"/>
        <w:rPr>
          <w:rFonts w:hint="default" w:ascii="宋体" w:hAnsi="宋体" w:eastAsia="宋体" w:cs="宋体"/>
          <w:sz w:val="24"/>
          <w:szCs w:val="24"/>
          <w:lang w:val="en-US" w:eastAsia="zh-CN"/>
        </w:rPr>
      </w:pPr>
    </w:p>
    <w:p w14:paraId="636FA2F6">
      <w:pPr>
        <w:bidi w:val="0"/>
        <w:rPr>
          <w:rFonts w:hint="default" w:ascii="宋体" w:hAnsi="宋体" w:eastAsia="宋体" w:cs="宋体"/>
          <w:sz w:val="24"/>
          <w:szCs w:val="24"/>
          <w:lang w:val="en-US" w:eastAsia="zh-CN"/>
        </w:rPr>
      </w:pPr>
    </w:p>
    <w:p w14:paraId="148D0E9E">
      <w:pPr>
        <w:bidi w:val="0"/>
        <w:rPr>
          <w:rFonts w:hint="default" w:ascii="宋体" w:hAnsi="宋体" w:eastAsia="宋体" w:cs="宋体"/>
          <w:sz w:val="24"/>
          <w:szCs w:val="24"/>
          <w:lang w:val="en-US" w:eastAsia="zh-CN"/>
        </w:rPr>
      </w:pPr>
    </w:p>
    <w:p w14:paraId="1448522D">
      <w:pPr>
        <w:bidi w:val="0"/>
        <w:rPr>
          <w:rFonts w:hint="default" w:ascii="宋体" w:hAnsi="宋体" w:eastAsia="宋体" w:cs="宋体"/>
          <w:sz w:val="24"/>
          <w:szCs w:val="24"/>
          <w:lang w:val="en-US" w:eastAsia="zh-CN"/>
        </w:rPr>
      </w:pPr>
    </w:p>
    <w:p w14:paraId="5CFCFE86">
      <w:pPr>
        <w:bidi w:val="0"/>
        <w:rPr>
          <w:rFonts w:hint="default" w:ascii="宋体" w:hAnsi="宋体" w:eastAsia="宋体" w:cs="宋体"/>
          <w:sz w:val="24"/>
          <w:szCs w:val="24"/>
          <w:lang w:val="en-US" w:eastAsia="zh-CN"/>
        </w:rPr>
      </w:pPr>
    </w:p>
    <w:p w14:paraId="3A8A28DA">
      <w:pPr>
        <w:bidi w:val="0"/>
        <w:rPr>
          <w:rFonts w:hint="default" w:ascii="宋体" w:hAnsi="宋体" w:eastAsia="宋体" w:cs="宋体"/>
          <w:sz w:val="24"/>
          <w:szCs w:val="24"/>
          <w:lang w:val="en-US" w:eastAsia="zh-CN"/>
        </w:rPr>
      </w:pPr>
    </w:p>
    <w:p w14:paraId="7DB46F26">
      <w:pPr>
        <w:bidi w:val="0"/>
        <w:rPr>
          <w:rFonts w:hint="default" w:ascii="宋体" w:hAnsi="宋体" w:eastAsia="宋体" w:cs="宋体"/>
          <w:sz w:val="24"/>
          <w:szCs w:val="24"/>
          <w:lang w:val="en-US" w:eastAsia="zh-CN"/>
        </w:rPr>
      </w:pPr>
    </w:p>
    <w:p w14:paraId="699D053F">
      <w:pPr>
        <w:bidi w:val="0"/>
        <w:rPr>
          <w:rFonts w:hint="default" w:ascii="宋体" w:hAnsi="宋体" w:eastAsia="宋体" w:cs="宋体"/>
          <w:sz w:val="24"/>
          <w:szCs w:val="24"/>
          <w:lang w:val="en-US" w:eastAsia="zh-CN"/>
        </w:rPr>
      </w:pPr>
      <w:r>
        <w:drawing>
          <wp:anchor distT="0" distB="0" distL="114300" distR="114300" simplePos="0" relativeHeight="251662336" behindDoc="0" locked="0" layoutInCell="1" allowOverlap="1">
            <wp:simplePos x="0" y="0"/>
            <wp:positionH relativeFrom="column">
              <wp:posOffset>-1684020</wp:posOffset>
            </wp:positionH>
            <wp:positionV relativeFrom="paragraph">
              <wp:posOffset>1351280</wp:posOffset>
            </wp:positionV>
            <wp:extent cx="8745855" cy="6132830"/>
            <wp:effectExtent l="0" t="0" r="1270" b="17145"/>
            <wp:wrapNone/>
            <wp:docPr id="3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5"/>
                    <pic:cNvPicPr>
                      <a:picLocks noChangeAspect="1"/>
                    </pic:cNvPicPr>
                  </pic:nvPicPr>
                  <pic:blipFill>
                    <a:blip r:embed="rId26"/>
                    <a:stretch>
                      <a:fillRect/>
                    </a:stretch>
                  </pic:blipFill>
                  <pic:spPr>
                    <a:xfrm rot="5400000">
                      <a:off x="0" y="0"/>
                      <a:ext cx="8745855" cy="6132830"/>
                    </a:xfrm>
                    <a:prstGeom prst="rect">
                      <a:avLst/>
                    </a:prstGeom>
                    <a:noFill/>
                    <a:ln>
                      <a:noFill/>
                    </a:ln>
                  </pic:spPr>
                </pic:pic>
              </a:graphicData>
            </a:graphic>
          </wp:anchor>
        </w:drawing>
      </w:r>
    </w:p>
    <w:p w14:paraId="1026D5A6">
      <w:pPr>
        <w:bidi w:val="0"/>
        <w:rPr>
          <w:rFonts w:hint="default" w:ascii="宋体" w:hAnsi="宋体" w:eastAsia="宋体" w:cs="宋体"/>
          <w:sz w:val="24"/>
          <w:szCs w:val="24"/>
          <w:lang w:val="en-US" w:eastAsia="zh-CN"/>
        </w:rPr>
      </w:pPr>
    </w:p>
    <w:p w14:paraId="597F999E">
      <w:pPr>
        <w:bidi w:val="0"/>
        <w:rPr>
          <w:rFonts w:hint="default" w:ascii="宋体" w:hAnsi="宋体" w:eastAsia="宋体" w:cs="宋体"/>
          <w:sz w:val="24"/>
          <w:szCs w:val="24"/>
          <w:lang w:val="en-US" w:eastAsia="zh-CN"/>
        </w:rPr>
      </w:pPr>
    </w:p>
    <w:p w14:paraId="0F0F224B">
      <w:pPr>
        <w:bidi w:val="0"/>
        <w:rPr>
          <w:rFonts w:hint="default" w:ascii="宋体" w:hAnsi="宋体" w:eastAsia="宋体" w:cs="宋体"/>
          <w:sz w:val="24"/>
          <w:szCs w:val="24"/>
          <w:lang w:val="en-US" w:eastAsia="zh-CN"/>
        </w:rPr>
      </w:pPr>
    </w:p>
    <w:p w14:paraId="6E10ABE4">
      <w:pPr>
        <w:bidi w:val="0"/>
        <w:rPr>
          <w:rFonts w:hint="default" w:ascii="宋体" w:hAnsi="宋体" w:eastAsia="宋体" w:cs="宋体"/>
          <w:sz w:val="24"/>
          <w:szCs w:val="24"/>
          <w:lang w:val="en-US" w:eastAsia="zh-CN"/>
        </w:rPr>
      </w:pPr>
    </w:p>
    <w:p w14:paraId="586DEC61">
      <w:pPr>
        <w:bidi w:val="0"/>
        <w:rPr>
          <w:rFonts w:hint="default" w:ascii="宋体" w:hAnsi="宋体" w:eastAsia="宋体" w:cs="宋体"/>
          <w:sz w:val="24"/>
          <w:szCs w:val="24"/>
          <w:lang w:val="en-US" w:eastAsia="zh-CN"/>
        </w:rPr>
      </w:pPr>
    </w:p>
    <w:p w14:paraId="48B1E251">
      <w:pPr>
        <w:bidi w:val="0"/>
        <w:rPr>
          <w:rFonts w:hint="default" w:ascii="宋体" w:hAnsi="宋体" w:eastAsia="宋体" w:cs="宋体"/>
          <w:sz w:val="24"/>
          <w:szCs w:val="24"/>
          <w:lang w:val="en-US" w:eastAsia="zh-CN"/>
        </w:rPr>
      </w:pPr>
    </w:p>
    <w:p w14:paraId="71DB5EA5">
      <w:pPr>
        <w:bidi w:val="0"/>
        <w:rPr>
          <w:rFonts w:hint="default" w:ascii="宋体" w:hAnsi="宋体" w:eastAsia="宋体" w:cs="宋体"/>
          <w:sz w:val="24"/>
          <w:szCs w:val="24"/>
          <w:lang w:val="en-US" w:eastAsia="zh-CN"/>
        </w:rPr>
      </w:pPr>
    </w:p>
    <w:p w14:paraId="6AABA7E0">
      <w:pPr>
        <w:bidi w:val="0"/>
        <w:rPr>
          <w:rFonts w:hint="default" w:ascii="宋体" w:hAnsi="宋体" w:eastAsia="宋体" w:cs="宋体"/>
          <w:sz w:val="24"/>
          <w:szCs w:val="24"/>
          <w:lang w:val="en-US" w:eastAsia="zh-CN"/>
        </w:rPr>
      </w:pPr>
    </w:p>
    <w:p w14:paraId="3104E7E3">
      <w:pPr>
        <w:bidi w:val="0"/>
        <w:rPr>
          <w:rFonts w:hint="default" w:ascii="宋体" w:hAnsi="宋体" w:eastAsia="宋体" w:cs="宋体"/>
          <w:sz w:val="24"/>
          <w:szCs w:val="24"/>
          <w:lang w:val="en-US" w:eastAsia="zh-CN"/>
        </w:rPr>
      </w:pPr>
    </w:p>
    <w:p w14:paraId="54C3FDA5">
      <w:pPr>
        <w:bidi w:val="0"/>
        <w:rPr>
          <w:rFonts w:hint="default" w:ascii="宋体" w:hAnsi="宋体" w:eastAsia="宋体" w:cs="宋体"/>
          <w:sz w:val="24"/>
          <w:szCs w:val="24"/>
          <w:lang w:val="en-US" w:eastAsia="zh-CN"/>
        </w:rPr>
      </w:pPr>
    </w:p>
    <w:p w14:paraId="55AB8D3D">
      <w:pPr>
        <w:bidi w:val="0"/>
        <w:rPr>
          <w:rFonts w:hint="default" w:ascii="宋体" w:hAnsi="宋体" w:eastAsia="宋体" w:cs="宋体"/>
          <w:sz w:val="24"/>
          <w:szCs w:val="24"/>
          <w:lang w:val="en-US" w:eastAsia="zh-CN"/>
        </w:rPr>
      </w:pPr>
    </w:p>
    <w:p w14:paraId="7F88208D">
      <w:pPr>
        <w:bidi w:val="0"/>
        <w:rPr>
          <w:rFonts w:hint="default" w:ascii="宋体" w:hAnsi="宋体" w:eastAsia="宋体" w:cs="宋体"/>
          <w:sz w:val="24"/>
          <w:szCs w:val="24"/>
          <w:lang w:val="en-US" w:eastAsia="zh-CN"/>
        </w:rPr>
      </w:pPr>
    </w:p>
    <w:p w14:paraId="0307229E">
      <w:pPr>
        <w:bidi w:val="0"/>
        <w:rPr>
          <w:rFonts w:hint="default" w:ascii="宋体" w:hAnsi="宋体" w:eastAsia="宋体" w:cs="宋体"/>
          <w:sz w:val="24"/>
          <w:szCs w:val="24"/>
          <w:lang w:val="en-US" w:eastAsia="zh-CN"/>
        </w:rPr>
      </w:pPr>
    </w:p>
    <w:p w14:paraId="4A7E807F">
      <w:pPr>
        <w:bidi w:val="0"/>
        <w:rPr>
          <w:rFonts w:hint="default" w:ascii="宋体" w:hAnsi="宋体" w:eastAsia="宋体" w:cs="宋体"/>
          <w:sz w:val="24"/>
          <w:szCs w:val="24"/>
          <w:lang w:val="en-US" w:eastAsia="zh-CN"/>
        </w:rPr>
      </w:pPr>
    </w:p>
    <w:p w14:paraId="35445C3F">
      <w:pPr>
        <w:bidi w:val="0"/>
        <w:rPr>
          <w:rFonts w:hint="default" w:ascii="宋体" w:hAnsi="宋体" w:eastAsia="宋体" w:cs="宋体"/>
          <w:sz w:val="24"/>
          <w:szCs w:val="24"/>
          <w:lang w:val="en-US" w:eastAsia="zh-CN"/>
        </w:rPr>
      </w:pPr>
    </w:p>
    <w:p w14:paraId="22CF9452">
      <w:pPr>
        <w:bidi w:val="0"/>
        <w:rPr>
          <w:rFonts w:hint="default" w:ascii="宋体" w:hAnsi="宋体" w:eastAsia="宋体" w:cs="宋体"/>
          <w:sz w:val="24"/>
          <w:szCs w:val="24"/>
          <w:lang w:val="en-US" w:eastAsia="zh-CN"/>
        </w:rPr>
      </w:pPr>
    </w:p>
    <w:p w14:paraId="0A680719">
      <w:pPr>
        <w:bidi w:val="0"/>
        <w:rPr>
          <w:rFonts w:hint="default" w:ascii="宋体" w:hAnsi="宋体" w:eastAsia="宋体" w:cs="宋体"/>
          <w:sz w:val="24"/>
          <w:szCs w:val="24"/>
          <w:lang w:val="en-US" w:eastAsia="zh-CN"/>
        </w:rPr>
      </w:pPr>
    </w:p>
    <w:p w14:paraId="3B4851D7">
      <w:pPr>
        <w:bidi w:val="0"/>
        <w:rPr>
          <w:rFonts w:hint="default" w:ascii="宋体" w:hAnsi="宋体" w:eastAsia="宋体" w:cs="宋体"/>
          <w:sz w:val="24"/>
          <w:szCs w:val="24"/>
          <w:lang w:val="en-US" w:eastAsia="zh-CN"/>
        </w:rPr>
      </w:pPr>
    </w:p>
    <w:p w14:paraId="4FD00C33">
      <w:pPr>
        <w:bidi w:val="0"/>
        <w:rPr>
          <w:rFonts w:hint="default" w:ascii="宋体" w:hAnsi="宋体" w:eastAsia="宋体" w:cs="宋体"/>
          <w:sz w:val="24"/>
          <w:szCs w:val="24"/>
          <w:lang w:val="en-US" w:eastAsia="zh-CN"/>
        </w:rPr>
      </w:pPr>
    </w:p>
    <w:p w14:paraId="031235E7">
      <w:pPr>
        <w:bidi w:val="0"/>
        <w:rPr>
          <w:rFonts w:hint="default" w:ascii="宋体" w:hAnsi="宋体" w:eastAsia="宋体" w:cs="宋体"/>
          <w:sz w:val="24"/>
          <w:szCs w:val="24"/>
          <w:lang w:val="en-US" w:eastAsia="zh-CN"/>
        </w:rPr>
      </w:pPr>
    </w:p>
    <w:p w14:paraId="7FF88AD1">
      <w:pPr>
        <w:bidi w:val="0"/>
        <w:rPr>
          <w:rFonts w:hint="default" w:ascii="宋体" w:hAnsi="宋体" w:eastAsia="宋体" w:cs="宋体"/>
          <w:sz w:val="24"/>
          <w:szCs w:val="24"/>
          <w:lang w:val="en-US" w:eastAsia="zh-CN"/>
        </w:rPr>
      </w:pPr>
    </w:p>
    <w:p w14:paraId="6B7440DA">
      <w:pPr>
        <w:bidi w:val="0"/>
        <w:rPr>
          <w:rFonts w:hint="default" w:ascii="宋体" w:hAnsi="宋体" w:eastAsia="宋体" w:cs="宋体"/>
          <w:sz w:val="24"/>
          <w:szCs w:val="24"/>
          <w:lang w:val="en-US" w:eastAsia="zh-CN"/>
        </w:rPr>
      </w:pPr>
    </w:p>
    <w:p w14:paraId="671B9890">
      <w:pPr>
        <w:bidi w:val="0"/>
        <w:rPr>
          <w:rFonts w:hint="default" w:ascii="宋体" w:hAnsi="宋体" w:eastAsia="宋体" w:cs="宋体"/>
          <w:sz w:val="24"/>
          <w:szCs w:val="24"/>
          <w:lang w:val="en-US" w:eastAsia="zh-CN"/>
        </w:rPr>
      </w:pPr>
    </w:p>
    <w:p w14:paraId="53CDCCB3">
      <w:pPr>
        <w:bidi w:val="0"/>
        <w:rPr>
          <w:rFonts w:hint="default" w:ascii="宋体" w:hAnsi="宋体" w:eastAsia="宋体" w:cs="宋体"/>
          <w:sz w:val="24"/>
          <w:szCs w:val="24"/>
          <w:lang w:val="en-US" w:eastAsia="zh-CN"/>
        </w:rPr>
      </w:pPr>
    </w:p>
    <w:p w14:paraId="2749E0C6">
      <w:pPr>
        <w:bidi w:val="0"/>
        <w:rPr>
          <w:rFonts w:hint="default" w:ascii="宋体" w:hAnsi="宋体" w:eastAsia="宋体" w:cs="宋体"/>
          <w:sz w:val="24"/>
          <w:szCs w:val="24"/>
          <w:lang w:val="en-US" w:eastAsia="zh-CN"/>
        </w:rPr>
      </w:pPr>
    </w:p>
    <w:p w14:paraId="4E7FF32A">
      <w:pPr>
        <w:bidi w:val="0"/>
        <w:rPr>
          <w:rFonts w:hint="default" w:ascii="宋体" w:hAnsi="宋体" w:eastAsia="宋体" w:cs="宋体"/>
          <w:sz w:val="24"/>
          <w:szCs w:val="24"/>
          <w:lang w:val="en-US" w:eastAsia="zh-CN"/>
        </w:rPr>
      </w:pPr>
    </w:p>
    <w:p w14:paraId="7CEF460D">
      <w:pPr>
        <w:bidi w:val="0"/>
        <w:rPr>
          <w:rFonts w:hint="default" w:ascii="宋体" w:hAnsi="宋体" w:eastAsia="宋体" w:cs="宋体"/>
          <w:sz w:val="24"/>
          <w:szCs w:val="24"/>
          <w:lang w:val="en-US" w:eastAsia="zh-CN"/>
        </w:rPr>
      </w:pPr>
    </w:p>
    <w:p w14:paraId="27514474">
      <w:pPr>
        <w:bidi w:val="0"/>
        <w:rPr>
          <w:rFonts w:hint="default" w:ascii="宋体" w:hAnsi="宋体" w:eastAsia="宋体" w:cs="宋体"/>
          <w:sz w:val="24"/>
          <w:szCs w:val="24"/>
          <w:lang w:val="en-US" w:eastAsia="zh-CN"/>
        </w:rPr>
      </w:pPr>
    </w:p>
    <w:p w14:paraId="16BA4F43">
      <w:pPr>
        <w:bidi w:val="0"/>
        <w:rPr>
          <w:rFonts w:hint="default" w:ascii="宋体" w:hAnsi="宋体" w:eastAsia="宋体" w:cs="宋体"/>
          <w:sz w:val="24"/>
          <w:szCs w:val="24"/>
          <w:lang w:val="en-US" w:eastAsia="zh-CN"/>
        </w:rPr>
      </w:pPr>
    </w:p>
    <w:p w14:paraId="362AC36B">
      <w:pPr>
        <w:bidi w:val="0"/>
        <w:rPr>
          <w:rFonts w:hint="default" w:ascii="宋体" w:hAnsi="宋体" w:eastAsia="宋体" w:cs="宋体"/>
          <w:sz w:val="24"/>
          <w:szCs w:val="24"/>
          <w:lang w:val="en-US" w:eastAsia="zh-CN"/>
        </w:rPr>
      </w:pPr>
    </w:p>
    <w:p w14:paraId="1C369F1E">
      <w:pPr>
        <w:bidi w:val="0"/>
        <w:rPr>
          <w:rFonts w:hint="default" w:ascii="宋体" w:hAnsi="宋体" w:eastAsia="宋体" w:cs="宋体"/>
          <w:sz w:val="24"/>
          <w:szCs w:val="24"/>
          <w:lang w:val="en-US" w:eastAsia="zh-CN"/>
        </w:rPr>
      </w:pPr>
    </w:p>
    <w:p w14:paraId="2BAE4892">
      <w:pPr>
        <w:bidi w:val="0"/>
        <w:rPr>
          <w:rFonts w:hint="default" w:ascii="宋体" w:hAnsi="宋体" w:eastAsia="宋体" w:cs="宋体"/>
          <w:sz w:val="24"/>
          <w:szCs w:val="24"/>
          <w:lang w:val="en-US" w:eastAsia="zh-CN"/>
        </w:rPr>
      </w:pPr>
    </w:p>
    <w:p w14:paraId="3041B5F0">
      <w:pPr>
        <w:bidi w:val="0"/>
        <w:rPr>
          <w:rFonts w:hint="default" w:ascii="宋体" w:hAnsi="宋体" w:eastAsia="宋体" w:cs="宋体"/>
          <w:sz w:val="24"/>
          <w:szCs w:val="24"/>
          <w:lang w:val="en-US" w:eastAsia="zh-CN"/>
        </w:rPr>
      </w:pPr>
    </w:p>
    <w:p w14:paraId="5B8E21D8">
      <w:pPr>
        <w:bidi w:val="0"/>
        <w:rPr>
          <w:rFonts w:hint="default" w:ascii="宋体" w:hAnsi="宋体" w:eastAsia="宋体" w:cs="宋体"/>
          <w:sz w:val="24"/>
          <w:szCs w:val="24"/>
          <w:lang w:val="en-US" w:eastAsia="zh-CN"/>
        </w:rPr>
      </w:pPr>
    </w:p>
    <w:p w14:paraId="521FA574">
      <w:pPr>
        <w:bidi w:val="0"/>
        <w:rPr>
          <w:rFonts w:hint="default" w:ascii="宋体" w:hAnsi="宋体" w:eastAsia="宋体" w:cs="宋体"/>
          <w:sz w:val="24"/>
          <w:szCs w:val="24"/>
          <w:lang w:val="en-US" w:eastAsia="zh-CN"/>
        </w:rPr>
      </w:pPr>
    </w:p>
    <w:p w14:paraId="3695F33A">
      <w:pPr>
        <w:bidi w:val="0"/>
        <w:rPr>
          <w:rFonts w:hint="default" w:ascii="宋体" w:hAnsi="宋体" w:eastAsia="宋体" w:cs="宋体"/>
          <w:sz w:val="24"/>
          <w:szCs w:val="24"/>
          <w:lang w:val="en-US" w:eastAsia="zh-CN"/>
        </w:rPr>
      </w:pPr>
    </w:p>
    <w:p w14:paraId="12F820B1">
      <w:pPr>
        <w:bidi w:val="0"/>
        <w:rPr>
          <w:rFonts w:hint="default" w:ascii="宋体" w:hAnsi="宋体" w:eastAsia="宋体" w:cs="宋体"/>
          <w:sz w:val="24"/>
          <w:szCs w:val="24"/>
          <w:lang w:val="en-US" w:eastAsia="zh-CN"/>
        </w:rPr>
      </w:pPr>
    </w:p>
    <w:p w14:paraId="64D1BBD3">
      <w:pPr>
        <w:bidi w:val="0"/>
        <w:rPr>
          <w:rFonts w:hint="default" w:ascii="宋体" w:hAnsi="宋体" w:eastAsia="宋体" w:cs="宋体"/>
          <w:sz w:val="24"/>
          <w:szCs w:val="24"/>
          <w:lang w:val="en-US" w:eastAsia="zh-CN"/>
        </w:rPr>
      </w:pPr>
    </w:p>
    <w:p w14:paraId="65795F1A">
      <w:pPr>
        <w:bidi w:val="0"/>
        <w:rPr>
          <w:rFonts w:hint="default" w:ascii="宋体" w:hAnsi="宋体" w:eastAsia="宋体" w:cs="宋体"/>
          <w:sz w:val="24"/>
          <w:szCs w:val="24"/>
          <w:lang w:val="en-US" w:eastAsia="zh-CN"/>
        </w:rPr>
      </w:pPr>
    </w:p>
    <w:p w14:paraId="0D139611">
      <w:pPr>
        <w:bidi w:val="0"/>
        <w:rPr>
          <w:rFonts w:hint="default" w:ascii="宋体" w:hAnsi="宋体" w:eastAsia="宋体" w:cs="宋体"/>
          <w:sz w:val="24"/>
          <w:szCs w:val="24"/>
          <w:lang w:val="en-US" w:eastAsia="zh-CN"/>
        </w:rPr>
      </w:pPr>
    </w:p>
    <w:p w14:paraId="2EBA94EC">
      <w:pPr>
        <w:bidi w:val="0"/>
        <w:rPr>
          <w:rFonts w:hint="default" w:ascii="宋体" w:hAnsi="宋体" w:eastAsia="宋体" w:cs="宋体"/>
          <w:sz w:val="24"/>
          <w:szCs w:val="24"/>
          <w:lang w:val="en-US" w:eastAsia="zh-CN"/>
        </w:rPr>
      </w:pPr>
    </w:p>
    <w:p w14:paraId="3B1A4D17">
      <w:pPr>
        <w:bidi w:val="0"/>
        <w:rPr>
          <w:rFonts w:hint="default" w:ascii="宋体" w:hAnsi="宋体" w:eastAsia="宋体" w:cs="宋体"/>
          <w:sz w:val="24"/>
          <w:szCs w:val="24"/>
          <w:lang w:val="en-US" w:eastAsia="zh-CN"/>
        </w:rPr>
      </w:pPr>
    </w:p>
    <w:p w14:paraId="652EF846">
      <w:pPr>
        <w:bidi w:val="0"/>
        <w:rPr>
          <w:rFonts w:hint="default" w:ascii="宋体" w:hAnsi="宋体" w:eastAsia="宋体" w:cs="宋体"/>
          <w:sz w:val="24"/>
          <w:szCs w:val="24"/>
          <w:lang w:val="en-US" w:eastAsia="zh-CN"/>
        </w:rPr>
      </w:pPr>
    </w:p>
    <w:p w14:paraId="2E819FB6">
      <w:pPr>
        <w:bidi w:val="0"/>
        <w:rPr>
          <w:rFonts w:hint="default" w:ascii="宋体" w:hAnsi="宋体" w:eastAsia="宋体" w:cs="宋体"/>
          <w:sz w:val="24"/>
          <w:szCs w:val="24"/>
          <w:lang w:val="en-US" w:eastAsia="zh-CN"/>
        </w:rPr>
      </w:pPr>
      <w:r>
        <w:drawing>
          <wp:anchor distT="0" distB="0" distL="114300" distR="114300" simplePos="0" relativeHeight="251663360" behindDoc="0" locked="0" layoutInCell="1" allowOverlap="1">
            <wp:simplePos x="0" y="0"/>
            <wp:positionH relativeFrom="column">
              <wp:posOffset>-1783080</wp:posOffset>
            </wp:positionH>
            <wp:positionV relativeFrom="paragraph">
              <wp:posOffset>1318260</wp:posOffset>
            </wp:positionV>
            <wp:extent cx="8840470" cy="6212205"/>
            <wp:effectExtent l="0" t="0" r="17145" b="17780"/>
            <wp:wrapNone/>
            <wp:docPr id="4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6"/>
                    <pic:cNvPicPr>
                      <a:picLocks noChangeAspect="1"/>
                    </pic:cNvPicPr>
                  </pic:nvPicPr>
                  <pic:blipFill>
                    <a:blip r:embed="rId27"/>
                    <a:stretch>
                      <a:fillRect/>
                    </a:stretch>
                  </pic:blipFill>
                  <pic:spPr>
                    <a:xfrm rot="5400000">
                      <a:off x="0" y="0"/>
                      <a:ext cx="8840470" cy="6212205"/>
                    </a:xfrm>
                    <a:prstGeom prst="rect">
                      <a:avLst/>
                    </a:prstGeom>
                    <a:noFill/>
                    <a:ln>
                      <a:noFill/>
                    </a:ln>
                  </pic:spPr>
                </pic:pic>
              </a:graphicData>
            </a:graphic>
          </wp:anchor>
        </w:drawing>
      </w:r>
    </w:p>
    <w:p w14:paraId="146C83D6">
      <w:pPr>
        <w:bidi w:val="0"/>
        <w:rPr>
          <w:rFonts w:hint="default" w:ascii="宋体" w:hAnsi="宋体" w:eastAsia="宋体" w:cs="宋体"/>
          <w:sz w:val="24"/>
          <w:szCs w:val="24"/>
          <w:lang w:val="en-US" w:eastAsia="zh-CN"/>
        </w:rPr>
      </w:pPr>
    </w:p>
    <w:p w14:paraId="7588918C">
      <w:pPr>
        <w:bidi w:val="0"/>
        <w:rPr>
          <w:rFonts w:hint="default" w:ascii="宋体" w:hAnsi="宋体" w:eastAsia="宋体" w:cs="宋体"/>
          <w:sz w:val="24"/>
          <w:szCs w:val="24"/>
          <w:lang w:val="en-US" w:eastAsia="zh-CN"/>
        </w:rPr>
      </w:pPr>
    </w:p>
    <w:p w14:paraId="5708622E">
      <w:pPr>
        <w:bidi w:val="0"/>
        <w:rPr>
          <w:rFonts w:hint="default" w:ascii="宋体" w:hAnsi="宋体" w:eastAsia="宋体" w:cs="宋体"/>
          <w:sz w:val="24"/>
          <w:szCs w:val="24"/>
          <w:lang w:val="en-US" w:eastAsia="zh-CN"/>
        </w:rPr>
      </w:pPr>
    </w:p>
    <w:p w14:paraId="3C71C6AA">
      <w:pPr>
        <w:bidi w:val="0"/>
        <w:rPr>
          <w:rFonts w:hint="default" w:ascii="宋体" w:hAnsi="宋体" w:eastAsia="宋体" w:cs="宋体"/>
          <w:sz w:val="24"/>
          <w:szCs w:val="24"/>
          <w:lang w:val="en-US" w:eastAsia="zh-CN"/>
        </w:rPr>
      </w:pPr>
    </w:p>
    <w:p w14:paraId="1A1DA228">
      <w:pPr>
        <w:bidi w:val="0"/>
        <w:rPr>
          <w:rFonts w:hint="default" w:ascii="宋体" w:hAnsi="宋体" w:eastAsia="宋体" w:cs="宋体"/>
          <w:sz w:val="24"/>
          <w:szCs w:val="24"/>
          <w:lang w:val="en-US" w:eastAsia="zh-CN"/>
        </w:rPr>
      </w:pPr>
    </w:p>
    <w:p w14:paraId="6B6DDFBC">
      <w:pPr>
        <w:bidi w:val="0"/>
        <w:rPr>
          <w:rFonts w:hint="default" w:ascii="宋体" w:hAnsi="宋体" w:eastAsia="宋体" w:cs="宋体"/>
          <w:sz w:val="24"/>
          <w:szCs w:val="24"/>
          <w:lang w:val="en-US" w:eastAsia="zh-CN"/>
        </w:rPr>
      </w:pPr>
    </w:p>
    <w:p w14:paraId="29666A41">
      <w:pPr>
        <w:bidi w:val="0"/>
        <w:rPr>
          <w:rFonts w:hint="default" w:ascii="宋体" w:hAnsi="宋体" w:eastAsia="宋体" w:cs="宋体"/>
          <w:sz w:val="24"/>
          <w:szCs w:val="24"/>
          <w:lang w:val="en-US" w:eastAsia="zh-CN"/>
        </w:rPr>
      </w:pPr>
    </w:p>
    <w:p w14:paraId="31E322AC">
      <w:pPr>
        <w:bidi w:val="0"/>
        <w:rPr>
          <w:rFonts w:hint="default" w:ascii="宋体" w:hAnsi="宋体" w:eastAsia="宋体" w:cs="宋体"/>
          <w:sz w:val="24"/>
          <w:szCs w:val="24"/>
          <w:lang w:val="en-US" w:eastAsia="zh-CN"/>
        </w:rPr>
      </w:pPr>
    </w:p>
    <w:p w14:paraId="3E143624">
      <w:pPr>
        <w:bidi w:val="0"/>
        <w:rPr>
          <w:rFonts w:hint="default" w:ascii="宋体" w:hAnsi="宋体" w:eastAsia="宋体" w:cs="宋体"/>
          <w:sz w:val="24"/>
          <w:szCs w:val="24"/>
          <w:lang w:val="en-US" w:eastAsia="zh-CN"/>
        </w:rPr>
      </w:pPr>
    </w:p>
    <w:p w14:paraId="549B6433">
      <w:pPr>
        <w:bidi w:val="0"/>
        <w:rPr>
          <w:rFonts w:hint="default" w:ascii="宋体" w:hAnsi="宋体" w:eastAsia="宋体" w:cs="宋体"/>
          <w:sz w:val="24"/>
          <w:szCs w:val="24"/>
          <w:lang w:val="en-US" w:eastAsia="zh-CN"/>
        </w:rPr>
      </w:pPr>
    </w:p>
    <w:p w14:paraId="3E47BAC6">
      <w:pPr>
        <w:bidi w:val="0"/>
        <w:rPr>
          <w:rFonts w:hint="default" w:ascii="宋体" w:hAnsi="宋体" w:eastAsia="宋体" w:cs="宋体"/>
          <w:sz w:val="24"/>
          <w:szCs w:val="24"/>
          <w:lang w:val="en-US" w:eastAsia="zh-CN"/>
        </w:rPr>
      </w:pPr>
    </w:p>
    <w:p w14:paraId="4303807D">
      <w:pPr>
        <w:bidi w:val="0"/>
        <w:rPr>
          <w:rFonts w:hint="default" w:ascii="宋体" w:hAnsi="宋体" w:eastAsia="宋体" w:cs="宋体"/>
          <w:sz w:val="24"/>
          <w:szCs w:val="24"/>
          <w:lang w:val="en-US" w:eastAsia="zh-CN"/>
        </w:rPr>
      </w:pPr>
    </w:p>
    <w:p w14:paraId="758CEBE6">
      <w:pPr>
        <w:bidi w:val="0"/>
        <w:rPr>
          <w:rFonts w:hint="default" w:ascii="宋体" w:hAnsi="宋体" w:eastAsia="宋体" w:cs="宋体"/>
          <w:sz w:val="24"/>
          <w:szCs w:val="24"/>
          <w:lang w:val="en-US" w:eastAsia="zh-CN"/>
        </w:rPr>
      </w:pPr>
    </w:p>
    <w:p w14:paraId="2B584926">
      <w:pPr>
        <w:bidi w:val="0"/>
        <w:rPr>
          <w:rFonts w:hint="default" w:ascii="宋体" w:hAnsi="宋体" w:eastAsia="宋体" w:cs="宋体"/>
          <w:sz w:val="24"/>
          <w:szCs w:val="24"/>
          <w:lang w:val="en-US" w:eastAsia="zh-CN"/>
        </w:rPr>
      </w:pPr>
    </w:p>
    <w:p w14:paraId="704B7867">
      <w:pPr>
        <w:bidi w:val="0"/>
        <w:rPr>
          <w:rFonts w:hint="default" w:ascii="宋体" w:hAnsi="宋体" w:eastAsia="宋体" w:cs="宋体"/>
          <w:sz w:val="24"/>
          <w:szCs w:val="24"/>
          <w:lang w:val="en-US" w:eastAsia="zh-CN"/>
        </w:rPr>
      </w:pPr>
    </w:p>
    <w:p w14:paraId="72DF42F8">
      <w:pPr>
        <w:bidi w:val="0"/>
        <w:rPr>
          <w:rFonts w:hint="default" w:ascii="宋体" w:hAnsi="宋体" w:eastAsia="宋体" w:cs="宋体"/>
          <w:sz w:val="24"/>
          <w:szCs w:val="24"/>
          <w:lang w:val="en-US" w:eastAsia="zh-CN"/>
        </w:rPr>
      </w:pPr>
    </w:p>
    <w:p w14:paraId="0E1E2643">
      <w:pPr>
        <w:bidi w:val="0"/>
        <w:rPr>
          <w:rFonts w:hint="default" w:ascii="宋体" w:hAnsi="宋体" w:eastAsia="宋体" w:cs="宋体"/>
          <w:sz w:val="24"/>
          <w:szCs w:val="24"/>
          <w:lang w:val="en-US" w:eastAsia="zh-CN"/>
        </w:rPr>
      </w:pPr>
    </w:p>
    <w:p w14:paraId="19CA4C52">
      <w:pPr>
        <w:bidi w:val="0"/>
        <w:rPr>
          <w:rFonts w:hint="default" w:ascii="宋体" w:hAnsi="宋体" w:eastAsia="宋体" w:cs="宋体"/>
          <w:sz w:val="24"/>
          <w:szCs w:val="24"/>
          <w:lang w:val="en-US" w:eastAsia="zh-CN"/>
        </w:rPr>
      </w:pPr>
    </w:p>
    <w:p w14:paraId="42BD4A3F">
      <w:pPr>
        <w:bidi w:val="0"/>
        <w:rPr>
          <w:rFonts w:hint="default" w:ascii="宋体" w:hAnsi="宋体" w:eastAsia="宋体" w:cs="宋体"/>
          <w:sz w:val="24"/>
          <w:szCs w:val="24"/>
          <w:lang w:val="en-US" w:eastAsia="zh-CN"/>
        </w:rPr>
      </w:pPr>
    </w:p>
    <w:p w14:paraId="6A3BC5B0">
      <w:pPr>
        <w:bidi w:val="0"/>
        <w:rPr>
          <w:rFonts w:hint="default" w:ascii="宋体" w:hAnsi="宋体" w:eastAsia="宋体" w:cs="宋体"/>
          <w:sz w:val="24"/>
          <w:szCs w:val="24"/>
          <w:lang w:val="en-US" w:eastAsia="zh-CN"/>
        </w:rPr>
      </w:pPr>
    </w:p>
    <w:p w14:paraId="4B7BFBE1">
      <w:pPr>
        <w:bidi w:val="0"/>
        <w:rPr>
          <w:rFonts w:hint="default" w:ascii="宋体" w:hAnsi="宋体" w:eastAsia="宋体" w:cs="宋体"/>
          <w:sz w:val="24"/>
          <w:szCs w:val="24"/>
          <w:lang w:val="en-US" w:eastAsia="zh-CN"/>
        </w:rPr>
      </w:pPr>
    </w:p>
    <w:p w14:paraId="227361A0">
      <w:pPr>
        <w:bidi w:val="0"/>
        <w:rPr>
          <w:rFonts w:hint="default" w:ascii="宋体" w:hAnsi="宋体" w:eastAsia="宋体" w:cs="宋体"/>
          <w:sz w:val="24"/>
          <w:szCs w:val="24"/>
          <w:lang w:val="en-US" w:eastAsia="zh-CN"/>
        </w:rPr>
      </w:pPr>
    </w:p>
    <w:p w14:paraId="3D270042">
      <w:pPr>
        <w:bidi w:val="0"/>
        <w:rPr>
          <w:rFonts w:hint="default" w:ascii="宋体" w:hAnsi="宋体" w:eastAsia="宋体" w:cs="宋体"/>
          <w:sz w:val="24"/>
          <w:szCs w:val="24"/>
          <w:lang w:val="en-US" w:eastAsia="zh-CN"/>
        </w:rPr>
      </w:pPr>
    </w:p>
    <w:p w14:paraId="0B6E4102">
      <w:pPr>
        <w:bidi w:val="0"/>
        <w:rPr>
          <w:rFonts w:hint="default" w:ascii="宋体" w:hAnsi="宋体" w:eastAsia="宋体" w:cs="宋体"/>
          <w:sz w:val="24"/>
          <w:szCs w:val="24"/>
          <w:lang w:val="en-US" w:eastAsia="zh-CN"/>
        </w:rPr>
      </w:pPr>
    </w:p>
    <w:p w14:paraId="2CD4F8D7">
      <w:pPr>
        <w:bidi w:val="0"/>
        <w:rPr>
          <w:rFonts w:hint="default" w:ascii="宋体" w:hAnsi="宋体" w:eastAsia="宋体" w:cs="宋体"/>
          <w:sz w:val="24"/>
          <w:szCs w:val="24"/>
          <w:lang w:val="en-US" w:eastAsia="zh-CN"/>
        </w:rPr>
      </w:pPr>
    </w:p>
    <w:p w14:paraId="4ECB4EFE">
      <w:pPr>
        <w:bidi w:val="0"/>
        <w:rPr>
          <w:rFonts w:hint="default" w:ascii="宋体" w:hAnsi="宋体" w:eastAsia="宋体" w:cs="宋体"/>
          <w:sz w:val="24"/>
          <w:szCs w:val="24"/>
          <w:lang w:val="en-US" w:eastAsia="zh-CN"/>
        </w:rPr>
      </w:pPr>
    </w:p>
    <w:p w14:paraId="278D6695">
      <w:pPr>
        <w:bidi w:val="0"/>
        <w:rPr>
          <w:rFonts w:hint="default" w:ascii="宋体" w:hAnsi="宋体" w:eastAsia="宋体" w:cs="宋体"/>
          <w:sz w:val="24"/>
          <w:szCs w:val="24"/>
          <w:lang w:val="en-US" w:eastAsia="zh-CN"/>
        </w:rPr>
      </w:pPr>
    </w:p>
    <w:p w14:paraId="09B03340">
      <w:pPr>
        <w:bidi w:val="0"/>
        <w:rPr>
          <w:rFonts w:hint="default" w:ascii="宋体" w:hAnsi="宋体" w:eastAsia="宋体" w:cs="宋体"/>
          <w:sz w:val="24"/>
          <w:szCs w:val="24"/>
          <w:lang w:val="en-US" w:eastAsia="zh-CN"/>
        </w:rPr>
      </w:pPr>
    </w:p>
    <w:p w14:paraId="27690D4A">
      <w:pPr>
        <w:bidi w:val="0"/>
        <w:rPr>
          <w:rFonts w:hint="default" w:ascii="宋体" w:hAnsi="宋体" w:eastAsia="宋体" w:cs="宋体"/>
          <w:sz w:val="24"/>
          <w:szCs w:val="24"/>
          <w:lang w:val="en-US" w:eastAsia="zh-CN"/>
        </w:rPr>
      </w:pPr>
    </w:p>
    <w:p w14:paraId="7D616558">
      <w:pPr>
        <w:bidi w:val="0"/>
        <w:rPr>
          <w:rFonts w:hint="default" w:ascii="宋体" w:hAnsi="宋体" w:eastAsia="宋体" w:cs="宋体"/>
          <w:sz w:val="24"/>
          <w:szCs w:val="24"/>
          <w:lang w:val="en-US" w:eastAsia="zh-CN"/>
        </w:rPr>
      </w:pPr>
    </w:p>
    <w:p w14:paraId="62B2D1A9">
      <w:pPr>
        <w:bidi w:val="0"/>
        <w:rPr>
          <w:rFonts w:hint="default" w:ascii="宋体" w:hAnsi="宋体" w:eastAsia="宋体" w:cs="宋体"/>
          <w:sz w:val="24"/>
          <w:szCs w:val="24"/>
          <w:lang w:val="en-US" w:eastAsia="zh-CN"/>
        </w:rPr>
      </w:pPr>
    </w:p>
    <w:p w14:paraId="12F70DF7">
      <w:pPr>
        <w:bidi w:val="0"/>
        <w:rPr>
          <w:rFonts w:hint="default" w:ascii="宋体" w:hAnsi="宋体" w:eastAsia="宋体" w:cs="宋体"/>
          <w:sz w:val="24"/>
          <w:szCs w:val="24"/>
          <w:lang w:val="en-US" w:eastAsia="zh-CN"/>
        </w:rPr>
      </w:pPr>
    </w:p>
    <w:p w14:paraId="67D01517">
      <w:pPr>
        <w:bidi w:val="0"/>
        <w:rPr>
          <w:rFonts w:hint="default" w:ascii="宋体" w:hAnsi="宋体" w:eastAsia="宋体" w:cs="宋体"/>
          <w:sz w:val="24"/>
          <w:szCs w:val="24"/>
          <w:lang w:val="en-US" w:eastAsia="zh-CN"/>
        </w:rPr>
      </w:pPr>
    </w:p>
    <w:p w14:paraId="14FE7837">
      <w:pPr>
        <w:bidi w:val="0"/>
        <w:rPr>
          <w:rFonts w:hint="default" w:ascii="宋体" w:hAnsi="宋体" w:eastAsia="宋体" w:cs="宋体"/>
          <w:sz w:val="24"/>
          <w:szCs w:val="24"/>
          <w:lang w:val="en-US" w:eastAsia="zh-CN"/>
        </w:rPr>
      </w:pPr>
    </w:p>
    <w:p w14:paraId="6A06FDE5">
      <w:pPr>
        <w:bidi w:val="0"/>
        <w:rPr>
          <w:rFonts w:hint="default" w:ascii="宋体" w:hAnsi="宋体" w:eastAsia="宋体" w:cs="宋体"/>
          <w:sz w:val="24"/>
          <w:szCs w:val="24"/>
          <w:lang w:val="en-US" w:eastAsia="zh-CN"/>
        </w:rPr>
      </w:pPr>
    </w:p>
    <w:p w14:paraId="65B7F2F4">
      <w:pPr>
        <w:bidi w:val="0"/>
        <w:rPr>
          <w:rFonts w:hint="default" w:ascii="宋体" w:hAnsi="宋体" w:eastAsia="宋体" w:cs="宋体"/>
          <w:sz w:val="24"/>
          <w:szCs w:val="24"/>
          <w:lang w:val="en-US" w:eastAsia="zh-CN"/>
        </w:rPr>
      </w:pPr>
    </w:p>
    <w:p w14:paraId="34F1A9C9">
      <w:pPr>
        <w:bidi w:val="0"/>
        <w:rPr>
          <w:rFonts w:hint="default" w:ascii="宋体" w:hAnsi="宋体" w:eastAsia="宋体" w:cs="宋体"/>
          <w:sz w:val="24"/>
          <w:szCs w:val="24"/>
          <w:lang w:val="en-US" w:eastAsia="zh-CN"/>
        </w:rPr>
      </w:pPr>
    </w:p>
    <w:p w14:paraId="78255B77">
      <w:pPr>
        <w:bidi w:val="0"/>
        <w:rPr>
          <w:rFonts w:hint="default" w:ascii="宋体" w:hAnsi="宋体" w:eastAsia="宋体" w:cs="宋体"/>
          <w:sz w:val="24"/>
          <w:szCs w:val="24"/>
          <w:lang w:val="en-US" w:eastAsia="zh-CN"/>
        </w:rPr>
      </w:pPr>
    </w:p>
    <w:p w14:paraId="62F800AF">
      <w:pPr>
        <w:bidi w:val="0"/>
        <w:rPr>
          <w:rFonts w:hint="default" w:ascii="宋体" w:hAnsi="宋体" w:eastAsia="宋体" w:cs="宋体"/>
          <w:sz w:val="24"/>
          <w:szCs w:val="24"/>
          <w:lang w:val="en-US" w:eastAsia="zh-CN"/>
        </w:rPr>
      </w:pPr>
    </w:p>
    <w:p w14:paraId="498645B6">
      <w:pPr>
        <w:bidi w:val="0"/>
        <w:rPr>
          <w:rFonts w:hint="default" w:ascii="宋体" w:hAnsi="宋体" w:eastAsia="宋体" w:cs="宋体"/>
          <w:sz w:val="24"/>
          <w:szCs w:val="24"/>
          <w:lang w:val="en-US" w:eastAsia="zh-CN"/>
        </w:rPr>
      </w:pPr>
    </w:p>
    <w:p w14:paraId="7BE9C529">
      <w:pPr>
        <w:bidi w:val="0"/>
        <w:rPr>
          <w:rFonts w:hint="default" w:ascii="宋体" w:hAnsi="宋体" w:eastAsia="宋体" w:cs="宋体"/>
          <w:sz w:val="24"/>
          <w:szCs w:val="24"/>
          <w:lang w:val="en-US" w:eastAsia="zh-CN"/>
        </w:rPr>
      </w:pPr>
    </w:p>
    <w:p w14:paraId="005648A6">
      <w:pPr>
        <w:bidi w:val="0"/>
        <w:rPr>
          <w:rFonts w:hint="default" w:ascii="宋体" w:hAnsi="宋体" w:eastAsia="宋体" w:cs="宋体"/>
          <w:sz w:val="24"/>
          <w:szCs w:val="24"/>
          <w:lang w:val="en-US" w:eastAsia="zh-CN"/>
        </w:rPr>
      </w:pPr>
      <w:r>
        <w:drawing>
          <wp:anchor distT="0" distB="0" distL="114300" distR="114300" simplePos="0" relativeHeight="251664384" behindDoc="0" locked="0" layoutInCell="1" allowOverlap="1">
            <wp:simplePos x="0" y="0"/>
            <wp:positionH relativeFrom="column">
              <wp:posOffset>-1765300</wp:posOffset>
            </wp:positionH>
            <wp:positionV relativeFrom="paragraph">
              <wp:posOffset>1329055</wp:posOffset>
            </wp:positionV>
            <wp:extent cx="8815070" cy="6244590"/>
            <wp:effectExtent l="0" t="0" r="3810" b="5080"/>
            <wp:wrapNone/>
            <wp:docPr id="4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7"/>
                    <pic:cNvPicPr>
                      <a:picLocks noChangeAspect="1"/>
                    </pic:cNvPicPr>
                  </pic:nvPicPr>
                  <pic:blipFill>
                    <a:blip r:embed="rId28"/>
                    <a:stretch>
                      <a:fillRect/>
                    </a:stretch>
                  </pic:blipFill>
                  <pic:spPr>
                    <a:xfrm rot="5400000">
                      <a:off x="0" y="0"/>
                      <a:ext cx="8815070" cy="6244590"/>
                    </a:xfrm>
                    <a:prstGeom prst="rect">
                      <a:avLst/>
                    </a:prstGeom>
                    <a:noFill/>
                    <a:ln>
                      <a:noFill/>
                    </a:ln>
                  </pic:spPr>
                </pic:pic>
              </a:graphicData>
            </a:graphic>
          </wp:anchor>
        </w:drawing>
      </w:r>
    </w:p>
    <w:sectPr>
      <w:footerReference r:id="rId5"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仿宋">
    <w:panose1 w:val="02010609060101010101"/>
    <w:charset w:val="86"/>
    <w:family w:val="modern"/>
    <w:pitch w:val="default"/>
    <w:sig w:usb0="800002BF" w:usb1="38CF7CFA" w:usb2="00000016" w:usb3="00000000" w:csb0="00040001" w:csb1="00000000"/>
  </w:font>
  <w:font w:name="仿宋_GB2312">
    <w:altName w:val="仿宋"/>
    <w:panose1 w:val="02010609030101010101"/>
    <w:charset w:val="86"/>
    <w:family w:val="modern"/>
    <w:pitch w:val="default"/>
    <w:sig w:usb0="00000000" w:usb1="00000000" w:usb2="00000000" w:usb3="00000000" w:csb0="00040000" w:csb1="00000000"/>
  </w:font>
  <w:font w:name="华文中宋">
    <w:panose1 w:val="02010600040101010101"/>
    <w:charset w:val="86"/>
    <w:family w:val="auto"/>
    <w:pitch w:val="default"/>
    <w:sig w:usb0="00000287" w:usb1="080F0000" w:usb2="00000000" w:usb3="00000000" w:csb0="0004009F" w:csb1="DFD70000"/>
  </w:font>
  <w:font w:name="思源黑体 CN Bold">
    <w:altName w:val="黑体"/>
    <w:panose1 w:val="020B0800000000000000"/>
    <w:charset w:val="86"/>
    <w:family w:val="swiss"/>
    <w:pitch w:val="default"/>
    <w:sig w:usb0="00000000" w:usb1="00000000" w:usb2="00000016" w:usb3="00000000" w:csb0="60060107" w:csb1="00000000"/>
  </w:font>
  <w:font w:name="KSOFD723FC5D">
    <w:panose1 w:val="02010609060101010101"/>
    <w:charset w:val="86"/>
    <w:family w:val="auto"/>
    <w:pitch w:val="default"/>
    <w:sig w:usb0="00000001" w:usb1="00000000" w:usb2="00000000" w:usb3="00000000" w:csb0="0006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84BE82A">
    <w:pPr>
      <w:pStyle w:val="6"/>
      <w:ind w:right="360"/>
      <w:rPr>
        <w:rFonts w:hint="eastAsia"/>
      </w:rPr>
    </w:pPr>
    <w:r>
      <w:rPr>
        <w:rFonts w:hint="eastAsia"/>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A8CA5C">
    <w:pPr>
      <w:pStyle w:val="6"/>
      <w:ind w:right="360"/>
      <w:rPr>
        <w:rFonts w:hint="eastAsia"/>
      </w:rPr>
    </w:pPr>
    <w:r>
      <w:rPr>
        <w:rFonts w:hint="eastAsia"/>
      </w:rPr>
      <w:t xml:space="preserve">                                        </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732532">
    <w:pPr>
      <w:spacing w:line="360" w:lineRule="auto"/>
      <w:jc w:val="center"/>
      <w:outlineLvl w:val="0"/>
      <w:rPr>
        <w:rFonts w:hint="eastAsia" w:ascii="黑体" w:hAnsi="华文中宋" w:eastAsia="黑体"/>
        <w:bCs/>
        <w:sz w:val="46"/>
        <w:szCs w:val="46"/>
      </w:rPr>
    </w:pPr>
    <w:r>
      <w:rPr>
        <w:rFonts w:hint="eastAsia"/>
      </w:rPr>
      <w:t xml:space="preserve">                                                          </w:t>
    </w:r>
    <w:r>
      <w:rPr>
        <w:rFonts w:hint="eastAsia" w:ascii="宋体" w:hAnsi="宋体"/>
        <w:szCs w:val="21"/>
      </w:rPr>
      <w:t xml:space="preserve">                     </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EFC5B91"/>
    <w:rsid w:val="13A419BB"/>
    <w:rsid w:val="1A713DD9"/>
    <w:rsid w:val="1EFC586C"/>
    <w:rsid w:val="298D7A3B"/>
    <w:rsid w:val="2BE64003"/>
    <w:rsid w:val="48A06D34"/>
    <w:rsid w:val="4A23019D"/>
    <w:rsid w:val="4BB949C8"/>
    <w:rsid w:val="4EB57AA0"/>
    <w:rsid w:val="548361E1"/>
    <w:rsid w:val="596C19E9"/>
    <w:rsid w:val="60742CF0"/>
    <w:rsid w:val="64AA54EF"/>
    <w:rsid w:val="6E105F95"/>
    <w:rsid w:val="75C94AC9"/>
    <w:rsid w:val="75FC4D15"/>
    <w:rsid w:val="76DB407D"/>
    <w:rsid w:val="7CF84488"/>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mc:AlternateContent>
    <mc:Choice Requires="wpsCustomData">
      <wpsCustomData:typoFeatureVersion val="0"/>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1"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59"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qFormat/>
    <w:uiPriority w:val="0"/>
    <w:pPr>
      <w:keepNext/>
      <w:keepLines/>
      <w:tabs>
        <w:tab w:val="center" w:pos="4517"/>
      </w:tabs>
      <w:snapToGrid w:val="0"/>
      <w:spacing w:before="200" w:beforeLines="200" w:after="150" w:afterLines="150" w:line="360" w:lineRule="auto"/>
      <w:ind w:left="0" w:leftChars="0" w:firstLine="0" w:firstLineChars="0"/>
      <w:jc w:val="left"/>
      <w:outlineLvl w:val="0"/>
    </w:pPr>
    <w:rPr>
      <w:rFonts w:ascii="Arial" w:hAnsi="Arial"/>
      <w:bCs/>
      <w:kern w:val="44"/>
      <w:szCs w:val="28"/>
    </w:rPr>
  </w:style>
  <w:style w:type="paragraph" w:styleId="3">
    <w:name w:val="heading 2"/>
    <w:basedOn w:val="1"/>
    <w:next w:val="1"/>
    <w:semiHidden/>
    <w:unhideWhenUsed/>
    <w:qFormat/>
    <w:uiPriority w:val="0"/>
    <w:pPr>
      <w:keepNext/>
      <w:keepLines/>
      <w:adjustRightInd w:val="0"/>
      <w:spacing w:line="240" w:lineRule="auto"/>
      <w:ind w:left="575" w:hanging="575" w:firstLineChars="0"/>
      <w:outlineLvl w:val="1"/>
    </w:pPr>
    <w:rPr>
      <w:rFonts w:ascii="仿宋" w:hAnsi="仿宋" w:cs="Times New Roman"/>
      <w:b/>
      <w:bCs/>
      <w:sz w:val="32"/>
      <w:szCs w:val="32"/>
    </w:rPr>
  </w:style>
  <w:style w:type="paragraph" w:styleId="4">
    <w:name w:val="heading 3"/>
    <w:basedOn w:val="1"/>
    <w:next w:val="1"/>
    <w:semiHidden/>
    <w:unhideWhenUsed/>
    <w:qFormat/>
    <w:uiPriority w:val="0"/>
    <w:pPr>
      <w:keepNext/>
      <w:keepLines/>
      <w:spacing w:line="240" w:lineRule="auto"/>
      <w:ind w:left="720" w:hanging="720"/>
      <w:outlineLvl w:val="2"/>
    </w:pPr>
    <w:rPr>
      <w:rFonts w:ascii="仿宋" w:hAnsi="仿宋" w:eastAsia="仿宋_GB2312" w:cs="Times New Roman"/>
      <w:b/>
      <w:bCs/>
      <w:kern w:val="2"/>
      <w:sz w:val="28"/>
      <w:szCs w:val="32"/>
      <w:lang w:val="en-US" w:eastAsia="zh-CN" w:bidi="ar-SA"/>
    </w:rPr>
  </w:style>
  <w:style w:type="character" w:default="1" w:styleId="11">
    <w:name w:val="Default Paragraph Font"/>
    <w:semiHidden/>
    <w:qFormat/>
    <w:uiPriority w:val="0"/>
  </w:style>
  <w:style w:type="table" w:default="1" w:styleId="9">
    <w:name w:val="Normal Table"/>
    <w:semiHidden/>
    <w:qFormat/>
    <w:uiPriority w:val="0"/>
    <w:tblPr>
      <w:tblCellMar>
        <w:top w:w="0" w:type="dxa"/>
        <w:left w:w="108" w:type="dxa"/>
        <w:bottom w:w="0" w:type="dxa"/>
        <w:right w:w="108" w:type="dxa"/>
      </w:tblCellMar>
    </w:tblPr>
  </w:style>
  <w:style w:type="paragraph" w:styleId="5">
    <w:name w:val="Body Text"/>
    <w:basedOn w:val="1"/>
    <w:next w:val="1"/>
    <w:qFormat/>
    <w:uiPriority w:val="1"/>
    <w:pPr>
      <w:autoSpaceDE w:val="0"/>
      <w:autoSpaceDN w:val="0"/>
      <w:jc w:val="left"/>
    </w:pPr>
    <w:rPr>
      <w:rFonts w:ascii="宋体" w:hAnsi="宋体" w:eastAsia="仿宋_GB2312" w:cs="宋体"/>
      <w:kern w:val="0"/>
      <w:szCs w:val="24"/>
      <w:lang w:val="zh-CN" w:bidi="zh-CN"/>
    </w:rPr>
  </w:style>
  <w:style w:type="paragraph" w:styleId="6">
    <w:name w:val="footer"/>
    <w:basedOn w:val="1"/>
    <w:qFormat/>
    <w:uiPriority w:val="0"/>
    <w:pPr>
      <w:tabs>
        <w:tab w:val="center" w:pos="4153"/>
        <w:tab w:val="right" w:pos="8306"/>
      </w:tabs>
      <w:snapToGrid w:val="0"/>
      <w:jc w:val="left"/>
    </w:pPr>
    <w:rPr>
      <w:sz w:val="18"/>
    </w:rPr>
  </w:style>
  <w:style w:type="paragraph" w:styleId="7">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8">
    <w:name w:val="toc 1"/>
    <w:basedOn w:val="1"/>
    <w:next w:val="1"/>
    <w:qFormat/>
    <w:uiPriority w:val="39"/>
  </w:style>
  <w:style w:type="table" w:styleId="10">
    <w:name w:val="Table Grid"/>
    <w:basedOn w:val="9"/>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2">
    <w:name w:val="Strong"/>
    <w:basedOn w:val="11"/>
    <w:qFormat/>
    <w:uiPriority w:val="0"/>
    <w:rPr>
      <w:b/>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2.xml"/><Relationship Id="rId4" Type="http://schemas.openxmlformats.org/officeDocument/2006/relationships/footer" Target="footer1.xml"/><Relationship Id="rId3" Type="http://schemas.openxmlformats.org/officeDocument/2006/relationships/header" Target="header1.xml"/><Relationship Id="rId29" Type="http://schemas.openxmlformats.org/officeDocument/2006/relationships/fontTable" Target="fontTable.xml"/><Relationship Id="rId28" Type="http://schemas.openxmlformats.org/officeDocument/2006/relationships/image" Target="media/image22.png"/><Relationship Id="rId27" Type="http://schemas.openxmlformats.org/officeDocument/2006/relationships/image" Target="media/image21.png"/><Relationship Id="rId26" Type="http://schemas.openxmlformats.org/officeDocument/2006/relationships/image" Target="media/image20.png"/><Relationship Id="rId25" Type="http://schemas.openxmlformats.org/officeDocument/2006/relationships/image" Target="media/image19.png"/><Relationship Id="rId24" Type="http://schemas.openxmlformats.org/officeDocument/2006/relationships/image" Target="media/image18.png"/><Relationship Id="rId23" Type="http://schemas.openxmlformats.org/officeDocument/2006/relationships/image" Target="media/image17.png"/><Relationship Id="rId22" Type="http://schemas.openxmlformats.org/officeDocument/2006/relationships/image" Target="media/image16.png"/><Relationship Id="rId21" Type="http://schemas.openxmlformats.org/officeDocument/2006/relationships/image" Target="media/image15.png"/><Relationship Id="rId20" Type="http://schemas.openxmlformats.org/officeDocument/2006/relationships/image" Target="media/image14.png"/><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Pages>54</Pages>
  <Words>4697</Words>
  <Characters>5336</Characters>
  <TotalTime>46</TotalTime>
  <ScaleCrop>false</ScaleCrop>
  <LinksUpToDate>false</LinksUpToDate>
  <CharactersWithSpaces>5361</CharactersWithSpaces>
  <Application>WPS Office_12.1.0.26895_F1E327BC-269C-435d-A152-05C5408002CA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2026-01-29T10:50:00Z</dcterms:created>
  <dc:creator>Administrator</dc:creator>
  <cp:lastModifiedBy>WPS_1664260647</cp:lastModifiedBy>
  <cp:lastPrinted>2026-03-04T02:48:00Z</cp:lastPrinted>
  <dcterms:modified xsi:type="dcterms:W3CDTF">2026-06-10T08:37:21Z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eyJoZGlkIjoiNjg4MWM2YmFhNjI2ZjBiMzdmZDQ5YWQxZGNmMDQ4ZWEiLCJ1c2VySWQiOiIxNDIwMzQ5NDg4In0=</vt:lpwstr>
  </property>
  <property fmtid="{D5CDD505-2E9C-101B-9397-08002B2CF9AE}" pid="3" name="KSOProductBuildVer">
    <vt:lpwstr>2052-12.1.0.26895</vt:lpwstr>
  </property>
  <property fmtid="{D5CDD505-2E9C-101B-9397-08002B2CF9AE}" pid="4" name="ICV">
    <vt:lpwstr>229705932D634E49BA01AAD21ACE6C56_13</vt:lpwstr>
  </property>
</Properties>
</file>