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399F8">
      <w:pPr>
        <w:jc w:val="center"/>
        <w:rPr>
          <w:rFonts w:hint="eastAsia" w:ascii="宋体" w:hAnsi="宋体"/>
          <w:b/>
          <w:color w:val="000000" w:themeColor="text1"/>
          <w:sz w:val="44"/>
          <w:szCs w:val="44"/>
          <w14:textFill>
            <w14:solidFill>
              <w14:schemeClr w14:val="tx1"/>
            </w14:solidFill>
          </w14:textFill>
        </w:rPr>
      </w:pPr>
      <w:bookmarkStart w:id="0" w:name="_Toc287620665"/>
    </w:p>
    <w:p w14:paraId="69C10E43">
      <w:pPr>
        <w:spacing w:line="360" w:lineRule="auto"/>
        <w:jc w:val="center"/>
        <w:rPr>
          <w:rFonts w:hint="eastAsia" w:ascii="宋体" w:hAnsi="宋体"/>
          <w:color w:val="000000" w:themeColor="text1"/>
          <w:kern w:val="0"/>
          <w:sz w:val="32"/>
          <w:szCs w:val="32"/>
          <w14:textFill>
            <w14:solidFill>
              <w14:schemeClr w14:val="tx1"/>
            </w14:solidFill>
          </w14:textFill>
        </w:rPr>
      </w:pPr>
      <w:r>
        <w:rPr>
          <w:rFonts w:hint="eastAsia" w:ascii="宋体" w:hAnsi="宋体"/>
          <w:color w:val="000000" w:themeColor="text1"/>
          <w:kern w:val="0"/>
          <w:sz w:val="32"/>
          <w:szCs w:val="32"/>
          <w:u w:val="single"/>
          <w14:textFill>
            <w14:solidFill>
              <w14:schemeClr w14:val="tx1"/>
            </w14:solidFill>
          </w14:textFill>
        </w:rPr>
        <w:t>垫江县全过程人民民主实践中心装修项目</w:t>
      </w:r>
    </w:p>
    <w:p w14:paraId="28CED8EC">
      <w:pPr>
        <w:autoSpaceDE w:val="0"/>
        <w:autoSpaceDN w:val="0"/>
        <w:adjustRightInd w:val="0"/>
        <w:snapToGrid w:val="0"/>
        <w:spacing w:line="360" w:lineRule="auto"/>
        <w:jc w:val="left"/>
        <w:rPr>
          <w:rFonts w:hint="eastAsia" w:ascii="宋体" w:hAnsi="宋体"/>
          <w:color w:val="000000" w:themeColor="text1"/>
          <w:kern w:val="0"/>
          <w:sz w:val="20"/>
          <w:szCs w:val="20"/>
          <w14:textFill>
            <w14:solidFill>
              <w14:schemeClr w14:val="tx1"/>
            </w14:solidFill>
          </w14:textFill>
        </w:rPr>
      </w:pPr>
    </w:p>
    <w:p w14:paraId="7EBB7C1D">
      <w:pPr>
        <w:autoSpaceDE w:val="0"/>
        <w:autoSpaceDN w:val="0"/>
        <w:adjustRightInd w:val="0"/>
        <w:snapToGrid w:val="0"/>
        <w:spacing w:line="360" w:lineRule="auto"/>
        <w:jc w:val="left"/>
        <w:rPr>
          <w:rFonts w:hint="eastAsia" w:ascii="宋体" w:hAnsi="宋体"/>
          <w:color w:val="000000" w:themeColor="text1"/>
          <w:kern w:val="0"/>
          <w:sz w:val="20"/>
          <w:szCs w:val="20"/>
          <w14:textFill>
            <w14:solidFill>
              <w14:schemeClr w14:val="tx1"/>
            </w14:solidFill>
          </w14:textFill>
        </w:rPr>
      </w:pPr>
    </w:p>
    <w:p w14:paraId="43DD65C1">
      <w:pPr>
        <w:autoSpaceDE w:val="0"/>
        <w:autoSpaceDN w:val="0"/>
        <w:adjustRightInd w:val="0"/>
        <w:snapToGrid w:val="0"/>
        <w:spacing w:line="360" w:lineRule="auto"/>
        <w:jc w:val="left"/>
        <w:rPr>
          <w:rFonts w:hint="eastAsia" w:ascii="宋体" w:hAnsi="宋体"/>
          <w:color w:val="000000" w:themeColor="text1"/>
          <w:kern w:val="0"/>
          <w:sz w:val="20"/>
          <w:szCs w:val="20"/>
          <w14:textFill>
            <w14:solidFill>
              <w14:schemeClr w14:val="tx1"/>
            </w14:solidFill>
          </w14:textFill>
        </w:rPr>
      </w:pPr>
    </w:p>
    <w:p w14:paraId="32A6299B">
      <w:pPr>
        <w:autoSpaceDE w:val="0"/>
        <w:autoSpaceDN w:val="0"/>
        <w:adjustRightInd w:val="0"/>
        <w:snapToGrid w:val="0"/>
        <w:spacing w:line="360" w:lineRule="auto"/>
        <w:jc w:val="left"/>
        <w:rPr>
          <w:rFonts w:hint="eastAsia" w:ascii="宋体" w:hAnsi="宋体"/>
          <w:color w:val="000000" w:themeColor="text1"/>
          <w:kern w:val="0"/>
          <w:sz w:val="20"/>
          <w:szCs w:val="20"/>
          <w14:textFill>
            <w14:solidFill>
              <w14:schemeClr w14:val="tx1"/>
            </w14:solidFill>
          </w14:textFill>
        </w:rPr>
      </w:pPr>
    </w:p>
    <w:p w14:paraId="0B7222A1">
      <w:pPr>
        <w:autoSpaceDE w:val="0"/>
        <w:autoSpaceDN w:val="0"/>
        <w:adjustRightInd w:val="0"/>
        <w:snapToGrid w:val="0"/>
        <w:spacing w:line="360" w:lineRule="auto"/>
        <w:jc w:val="left"/>
        <w:rPr>
          <w:rFonts w:hint="eastAsia" w:ascii="宋体" w:hAnsi="宋体"/>
          <w:color w:val="000000" w:themeColor="text1"/>
          <w:kern w:val="0"/>
          <w:sz w:val="20"/>
          <w:szCs w:val="20"/>
          <w14:textFill>
            <w14:solidFill>
              <w14:schemeClr w14:val="tx1"/>
            </w14:solidFill>
          </w14:textFill>
        </w:rPr>
      </w:pPr>
    </w:p>
    <w:p w14:paraId="7C31D65A">
      <w:pPr>
        <w:autoSpaceDE w:val="0"/>
        <w:autoSpaceDN w:val="0"/>
        <w:adjustRightInd w:val="0"/>
        <w:snapToGrid w:val="0"/>
        <w:spacing w:line="360" w:lineRule="auto"/>
        <w:jc w:val="left"/>
        <w:rPr>
          <w:rFonts w:hint="eastAsia" w:ascii="宋体" w:hAnsi="宋体"/>
          <w:color w:val="000000" w:themeColor="text1"/>
          <w:kern w:val="0"/>
          <w:sz w:val="20"/>
          <w:szCs w:val="20"/>
          <w14:textFill>
            <w14:solidFill>
              <w14:schemeClr w14:val="tx1"/>
            </w14:solidFill>
          </w14:textFill>
        </w:rPr>
      </w:pPr>
    </w:p>
    <w:p w14:paraId="7BCB3EF8">
      <w:pPr>
        <w:pStyle w:val="2"/>
        <w:rPr>
          <w:color w:val="000000" w:themeColor="text1"/>
          <w14:textFill>
            <w14:solidFill>
              <w14:schemeClr w14:val="tx1"/>
            </w14:solidFill>
          </w14:textFill>
        </w:rPr>
      </w:pPr>
    </w:p>
    <w:p w14:paraId="135A0290">
      <w:pPr>
        <w:rPr>
          <w:color w:val="000000" w:themeColor="text1"/>
          <w14:textFill>
            <w14:solidFill>
              <w14:schemeClr w14:val="tx1"/>
            </w14:solidFill>
          </w14:textFill>
        </w:rPr>
      </w:pPr>
    </w:p>
    <w:p w14:paraId="0E58E446">
      <w:pPr>
        <w:autoSpaceDE w:val="0"/>
        <w:autoSpaceDN w:val="0"/>
        <w:adjustRightInd w:val="0"/>
        <w:snapToGrid w:val="0"/>
        <w:spacing w:line="360" w:lineRule="auto"/>
        <w:jc w:val="center"/>
        <w:rPr>
          <w:rFonts w:hint="eastAsia" w:ascii="宋体" w:hAnsi="宋体"/>
          <w:color w:val="000000" w:themeColor="text1"/>
          <w:kern w:val="0"/>
          <w:sz w:val="72"/>
          <w:szCs w:val="72"/>
          <w14:textFill>
            <w14:solidFill>
              <w14:schemeClr w14:val="tx1"/>
            </w14:solidFill>
          </w14:textFill>
        </w:rPr>
      </w:pPr>
      <w:r>
        <w:rPr>
          <w:rFonts w:hint="eastAsia" w:ascii="宋体" w:hAnsi="宋体"/>
          <w:color w:val="000000" w:themeColor="text1"/>
          <w:kern w:val="0"/>
          <w:sz w:val="72"/>
          <w:szCs w:val="72"/>
          <w14:textFill>
            <w14:solidFill>
              <w14:schemeClr w14:val="tx1"/>
            </w14:solidFill>
          </w14:textFill>
        </w:rPr>
        <w:t>竞争性比选</w:t>
      </w:r>
      <w:r>
        <w:rPr>
          <w:rFonts w:ascii="宋体" w:hAnsi="宋体"/>
          <w:color w:val="000000" w:themeColor="text1"/>
          <w:kern w:val="0"/>
          <w:sz w:val="72"/>
          <w:szCs w:val="72"/>
          <w14:textFill>
            <w14:solidFill>
              <w14:schemeClr w14:val="tx1"/>
            </w14:solidFill>
          </w14:textFill>
        </w:rPr>
        <w:t>文件</w:t>
      </w:r>
    </w:p>
    <w:p w14:paraId="3792E377">
      <w:pPr>
        <w:autoSpaceDE w:val="0"/>
        <w:autoSpaceDN w:val="0"/>
        <w:adjustRightInd w:val="0"/>
        <w:snapToGrid w:val="0"/>
        <w:spacing w:line="360" w:lineRule="auto"/>
        <w:jc w:val="left"/>
        <w:rPr>
          <w:rFonts w:hint="eastAsia" w:ascii="宋体" w:hAnsi="宋体"/>
          <w:color w:val="000000" w:themeColor="text1"/>
          <w:kern w:val="0"/>
          <w:sz w:val="10"/>
          <w:szCs w:val="10"/>
          <w14:textFill>
            <w14:solidFill>
              <w14:schemeClr w14:val="tx1"/>
            </w14:solidFill>
          </w14:textFill>
        </w:rPr>
      </w:pPr>
    </w:p>
    <w:p w14:paraId="36DD9395">
      <w:pPr>
        <w:autoSpaceDE w:val="0"/>
        <w:autoSpaceDN w:val="0"/>
        <w:adjustRightInd w:val="0"/>
        <w:snapToGrid w:val="0"/>
        <w:spacing w:line="360" w:lineRule="auto"/>
        <w:jc w:val="left"/>
        <w:rPr>
          <w:rFonts w:hint="eastAsia" w:ascii="宋体" w:hAnsi="宋体"/>
          <w:color w:val="000000" w:themeColor="text1"/>
          <w:kern w:val="0"/>
          <w:sz w:val="20"/>
          <w:szCs w:val="20"/>
          <w14:textFill>
            <w14:solidFill>
              <w14:schemeClr w14:val="tx1"/>
            </w14:solidFill>
          </w14:textFill>
        </w:rPr>
      </w:pPr>
    </w:p>
    <w:p w14:paraId="0E911DAC">
      <w:pPr>
        <w:autoSpaceDE w:val="0"/>
        <w:autoSpaceDN w:val="0"/>
        <w:adjustRightInd w:val="0"/>
        <w:snapToGrid w:val="0"/>
        <w:spacing w:line="360" w:lineRule="auto"/>
        <w:jc w:val="left"/>
        <w:rPr>
          <w:rFonts w:hint="eastAsia" w:ascii="宋体" w:hAnsi="宋体"/>
          <w:color w:val="000000" w:themeColor="text1"/>
          <w:kern w:val="0"/>
          <w:sz w:val="20"/>
          <w:szCs w:val="20"/>
          <w14:textFill>
            <w14:solidFill>
              <w14:schemeClr w14:val="tx1"/>
            </w14:solidFill>
          </w14:textFill>
        </w:rPr>
      </w:pPr>
    </w:p>
    <w:p w14:paraId="08512D63">
      <w:pPr>
        <w:autoSpaceDE w:val="0"/>
        <w:autoSpaceDN w:val="0"/>
        <w:adjustRightInd w:val="0"/>
        <w:snapToGrid w:val="0"/>
        <w:spacing w:line="360" w:lineRule="auto"/>
        <w:jc w:val="left"/>
        <w:rPr>
          <w:rFonts w:hint="eastAsia" w:ascii="宋体" w:hAnsi="宋体"/>
          <w:color w:val="000000" w:themeColor="text1"/>
          <w:kern w:val="0"/>
          <w:sz w:val="20"/>
          <w:szCs w:val="20"/>
          <w14:textFill>
            <w14:solidFill>
              <w14:schemeClr w14:val="tx1"/>
            </w14:solidFill>
          </w14:textFill>
        </w:rPr>
      </w:pPr>
    </w:p>
    <w:p w14:paraId="7659B9A0">
      <w:pPr>
        <w:autoSpaceDE w:val="0"/>
        <w:autoSpaceDN w:val="0"/>
        <w:adjustRightInd w:val="0"/>
        <w:snapToGrid w:val="0"/>
        <w:spacing w:line="360" w:lineRule="auto"/>
        <w:jc w:val="left"/>
        <w:rPr>
          <w:rFonts w:hint="eastAsia" w:ascii="宋体" w:hAnsi="宋体"/>
          <w:color w:val="000000" w:themeColor="text1"/>
          <w:kern w:val="0"/>
          <w:sz w:val="20"/>
          <w:szCs w:val="20"/>
          <w14:textFill>
            <w14:solidFill>
              <w14:schemeClr w14:val="tx1"/>
            </w14:solidFill>
          </w14:textFill>
        </w:rPr>
      </w:pPr>
    </w:p>
    <w:p w14:paraId="3B20A548">
      <w:pPr>
        <w:autoSpaceDE w:val="0"/>
        <w:autoSpaceDN w:val="0"/>
        <w:adjustRightInd w:val="0"/>
        <w:snapToGrid w:val="0"/>
        <w:spacing w:line="360" w:lineRule="auto"/>
        <w:jc w:val="left"/>
        <w:rPr>
          <w:rFonts w:hint="eastAsia" w:ascii="宋体" w:hAnsi="宋体"/>
          <w:color w:val="000000" w:themeColor="text1"/>
          <w:kern w:val="0"/>
          <w:sz w:val="20"/>
          <w:szCs w:val="20"/>
          <w14:textFill>
            <w14:solidFill>
              <w14:schemeClr w14:val="tx1"/>
            </w14:solidFill>
          </w14:textFill>
        </w:rPr>
      </w:pPr>
    </w:p>
    <w:p w14:paraId="63E2AA50">
      <w:pPr>
        <w:autoSpaceDE w:val="0"/>
        <w:autoSpaceDN w:val="0"/>
        <w:adjustRightInd w:val="0"/>
        <w:snapToGrid w:val="0"/>
        <w:spacing w:line="360" w:lineRule="auto"/>
        <w:jc w:val="left"/>
        <w:rPr>
          <w:rFonts w:hint="eastAsia" w:ascii="宋体" w:hAnsi="宋体"/>
          <w:color w:val="000000" w:themeColor="text1"/>
          <w:kern w:val="0"/>
          <w:sz w:val="20"/>
          <w:szCs w:val="20"/>
          <w14:textFill>
            <w14:solidFill>
              <w14:schemeClr w14:val="tx1"/>
            </w14:solidFill>
          </w14:textFill>
        </w:rPr>
      </w:pPr>
    </w:p>
    <w:p w14:paraId="0D6236C0">
      <w:pPr>
        <w:autoSpaceDE w:val="0"/>
        <w:autoSpaceDN w:val="0"/>
        <w:adjustRightInd w:val="0"/>
        <w:snapToGrid w:val="0"/>
        <w:spacing w:line="360" w:lineRule="auto"/>
        <w:jc w:val="left"/>
        <w:rPr>
          <w:rFonts w:hint="eastAsia" w:ascii="宋体" w:hAnsi="宋体"/>
          <w:color w:val="000000" w:themeColor="text1"/>
          <w:kern w:val="0"/>
          <w:sz w:val="20"/>
          <w:szCs w:val="20"/>
          <w14:textFill>
            <w14:solidFill>
              <w14:schemeClr w14:val="tx1"/>
            </w14:solidFill>
          </w14:textFill>
        </w:rPr>
      </w:pPr>
    </w:p>
    <w:p w14:paraId="494DFE29">
      <w:pPr>
        <w:autoSpaceDE w:val="0"/>
        <w:autoSpaceDN w:val="0"/>
        <w:adjustRightInd w:val="0"/>
        <w:snapToGrid w:val="0"/>
        <w:spacing w:line="360" w:lineRule="auto"/>
        <w:rPr>
          <w:rFonts w:hint="eastAsia" w:ascii="宋体" w:hAnsi="宋体"/>
          <w:color w:val="000000" w:themeColor="text1"/>
          <w:kern w:val="0"/>
          <w:sz w:val="20"/>
          <w:szCs w:val="20"/>
          <w14:textFill>
            <w14:solidFill>
              <w14:schemeClr w14:val="tx1"/>
            </w14:solidFill>
          </w14:textFill>
        </w:rPr>
      </w:pPr>
    </w:p>
    <w:p w14:paraId="7D1F1610">
      <w:pPr>
        <w:autoSpaceDE w:val="0"/>
        <w:autoSpaceDN w:val="0"/>
        <w:adjustRightInd w:val="0"/>
        <w:snapToGrid w:val="0"/>
        <w:spacing w:line="360" w:lineRule="auto"/>
        <w:jc w:val="left"/>
        <w:rPr>
          <w:rFonts w:hint="eastAsia" w:ascii="宋体" w:hAnsi="宋体"/>
          <w:color w:val="000000" w:themeColor="text1"/>
          <w:kern w:val="0"/>
          <w:sz w:val="20"/>
          <w:szCs w:val="20"/>
          <w14:textFill>
            <w14:solidFill>
              <w14:schemeClr w14:val="tx1"/>
            </w14:solidFill>
          </w14:textFill>
        </w:rPr>
      </w:pPr>
    </w:p>
    <w:p w14:paraId="2EEF6722">
      <w:pPr>
        <w:autoSpaceDE w:val="0"/>
        <w:autoSpaceDN w:val="0"/>
        <w:adjustRightInd w:val="0"/>
        <w:snapToGrid w:val="0"/>
        <w:spacing w:line="360" w:lineRule="auto"/>
        <w:rPr>
          <w:rFonts w:hint="eastAsia" w:ascii="宋体" w:hAnsi="宋体"/>
          <w:color w:val="000000" w:themeColor="text1"/>
          <w:kern w:val="0"/>
          <w:sz w:val="20"/>
          <w:szCs w:val="20"/>
          <w14:textFill>
            <w14:solidFill>
              <w14:schemeClr w14:val="tx1"/>
            </w14:solidFill>
          </w14:textFill>
        </w:rPr>
      </w:pPr>
    </w:p>
    <w:p w14:paraId="62892D77">
      <w:pPr>
        <w:autoSpaceDE w:val="0"/>
        <w:autoSpaceDN w:val="0"/>
        <w:adjustRightInd w:val="0"/>
        <w:snapToGrid w:val="0"/>
        <w:spacing w:line="360" w:lineRule="auto"/>
        <w:rPr>
          <w:rFonts w:hint="eastAsia" w:ascii="宋体" w:hAnsi="宋体"/>
          <w:color w:val="000000" w:themeColor="text1"/>
          <w:kern w:val="0"/>
          <w:sz w:val="20"/>
          <w:szCs w:val="20"/>
          <w14:textFill>
            <w14:solidFill>
              <w14:schemeClr w14:val="tx1"/>
            </w14:solidFill>
          </w14:textFill>
        </w:rPr>
      </w:pPr>
    </w:p>
    <w:p w14:paraId="42244AEA">
      <w:pPr>
        <w:autoSpaceDE w:val="0"/>
        <w:autoSpaceDN w:val="0"/>
        <w:adjustRightInd w:val="0"/>
        <w:snapToGrid w:val="0"/>
        <w:spacing w:line="360" w:lineRule="auto"/>
        <w:rPr>
          <w:rFonts w:hint="eastAsia" w:ascii="宋体" w:hAnsi="宋体"/>
          <w:color w:val="000000" w:themeColor="text1"/>
          <w:kern w:val="0"/>
          <w:sz w:val="20"/>
          <w:szCs w:val="20"/>
          <w14:textFill>
            <w14:solidFill>
              <w14:schemeClr w14:val="tx1"/>
            </w14:solidFill>
          </w14:textFill>
        </w:rPr>
      </w:pPr>
    </w:p>
    <w:p w14:paraId="2EFD593A">
      <w:pPr>
        <w:tabs>
          <w:tab w:val="left" w:pos="6219"/>
        </w:tabs>
        <w:autoSpaceDE w:val="0"/>
        <w:autoSpaceDN w:val="0"/>
        <w:adjustRightInd w:val="0"/>
        <w:snapToGrid w:val="0"/>
        <w:spacing w:line="360" w:lineRule="auto"/>
        <w:ind w:firstLine="1135" w:firstLineChars="410"/>
        <w:rPr>
          <w:rFonts w:hint="eastAsia" w:ascii="宋体" w:hAnsi="宋体"/>
          <w:bCs/>
          <w:color w:val="000000" w:themeColor="text1"/>
          <w:w w:val="99"/>
          <w:kern w:val="0"/>
          <w:sz w:val="28"/>
          <w:szCs w:val="28"/>
          <w14:textFill>
            <w14:solidFill>
              <w14:schemeClr w14:val="tx1"/>
            </w14:solidFill>
          </w14:textFill>
        </w:rPr>
      </w:pPr>
      <w:r>
        <w:rPr>
          <w:rFonts w:ascii="宋体" w:hAnsi="宋体"/>
          <w:bCs/>
          <w:color w:val="000000" w:themeColor="text1"/>
          <w:w w:val="99"/>
          <w:kern w:val="0"/>
          <w:sz w:val="28"/>
          <w:szCs w:val="28"/>
          <w14:textFill>
            <w14:solidFill>
              <w14:schemeClr w14:val="tx1"/>
            </w14:solidFill>
          </w14:textFill>
        </w:rPr>
        <w:t>招标人：</w:t>
      </w:r>
      <w:r>
        <w:rPr>
          <w:rFonts w:hint="eastAsia" w:ascii="宋体" w:hAnsi="宋体"/>
          <w:bCs/>
          <w:color w:val="000000" w:themeColor="text1"/>
          <w:kern w:val="0"/>
          <w:sz w:val="28"/>
          <w:szCs w:val="28"/>
          <w:u w:val="single"/>
          <w14:textFill>
            <w14:solidFill>
              <w14:schemeClr w14:val="tx1"/>
            </w14:solidFill>
          </w14:textFill>
        </w:rPr>
        <w:t>垫江县人民代表大会常务委员会办公室</w:t>
      </w:r>
      <w:r>
        <w:rPr>
          <w:rFonts w:ascii="宋体" w:hAnsi="宋体"/>
          <w:bCs/>
          <w:color w:val="000000" w:themeColor="text1"/>
          <w:w w:val="99"/>
          <w:kern w:val="0"/>
          <w:sz w:val="28"/>
          <w:szCs w:val="28"/>
          <w14:textFill>
            <w14:solidFill>
              <w14:schemeClr w14:val="tx1"/>
            </w14:solidFill>
          </w14:textFill>
        </w:rPr>
        <w:t>（盖单位法人章）</w:t>
      </w:r>
    </w:p>
    <w:p w14:paraId="24E7C517">
      <w:pPr>
        <w:tabs>
          <w:tab w:val="left" w:pos="6252"/>
        </w:tabs>
        <w:autoSpaceDE w:val="0"/>
        <w:autoSpaceDN w:val="0"/>
        <w:adjustRightInd w:val="0"/>
        <w:snapToGrid w:val="0"/>
        <w:spacing w:line="360" w:lineRule="auto"/>
        <w:ind w:firstLine="1133" w:firstLineChars="383"/>
        <w:rPr>
          <w:rFonts w:hint="eastAsia" w:ascii="宋体" w:hAnsi="宋体"/>
          <w:bCs/>
          <w:color w:val="000000" w:themeColor="text1"/>
          <w:w w:val="99"/>
          <w:kern w:val="0"/>
          <w:sz w:val="28"/>
          <w:szCs w:val="28"/>
          <w14:textFill>
            <w14:solidFill>
              <w14:schemeClr w14:val="tx1"/>
            </w14:solidFill>
          </w14:textFill>
        </w:rPr>
      </w:pPr>
      <w:r>
        <w:rPr>
          <w:rFonts w:ascii="宋体" w:hAnsi="宋体"/>
          <w:bCs/>
          <w:color w:val="000000" w:themeColor="text1"/>
          <w:spacing w:val="8"/>
          <w:kern w:val="0"/>
          <w:sz w:val="28"/>
          <w:szCs w:val="28"/>
          <w14:textFill>
            <w14:solidFill>
              <w14:schemeClr w14:val="tx1"/>
            </w14:solidFill>
          </w14:textFill>
        </w:rPr>
        <w:t>招标代理机构：</w:t>
      </w:r>
      <w:r>
        <w:rPr>
          <w:rFonts w:hint="eastAsia" w:ascii="宋体" w:hAnsi="宋体"/>
          <w:bCs/>
          <w:color w:val="000000" w:themeColor="text1"/>
          <w:kern w:val="0"/>
          <w:sz w:val="28"/>
          <w:szCs w:val="28"/>
          <w:u w:val="single"/>
          <w14:textFill>
            <w14:solidFill>
              <w14:schemeClr w14:val="tx1"/>
            </w14:solidFill>
          </w14:textFill>
        </w:rPr>
        <w:t>重庆立生实业有限公司</w:t>
      </w:r>
      <w:r>
        <w:rPr>
          <w:rFonts w:ascii="宋体" w:hAnsi="宋体"/>
          <w:bCs/>
          <w:color w:val="000000" w:themeColor="text1"/>
          <w:w w:val="99"/>
          <w:kern w:val="0"/>
          <w:sz w:val="28"/>
          <w:szCs w:val="28"/>
          <w14:textFill>
            <w14:solidFill>
              <w14:schemeClr w14:val="tx1"/>
            </w14:solidFill>
          </w14:textFill>
        </w:rPr>
        <w:t>（盖单位法人章）</w:t>
      </w:r>
    </w:p>
    <w:p w14:paraId="05E3D541">
      <w:pPr>
        <w:autoSpaceDE w:val="0"/>
        <w:autoSpaceDN w:val="0"/>
        <w:adjustRightInd w:val="0"/>
        <w:snapToGrid w:val="0"/>
        <w:spacing w:line="360" w:lineRule="auto"/>
        <w:jc w:val="center"/>
        <w:rPr>
          <w:rFonts w:hint="eastAsia" w:ascii="宋体" w:hAnsi="宋体"/>
          <w:bCs/>
          <w:color w:val="000000" w:themeColor="text1"/>
          <w:kern w:val="0"/>
          <w:sz w:val="20"/>
          <w:szCs w:val="20"/>
          <w14:textFill>
            <w14:solidFill>
              <w14:schemeClr w14:val="tx1"/>
            </w14:solidFill>
          </w14:textFill>
        </w:rPr>
      </w:pPr>
    </w:p>
    <w:p w14:paraId="2080C3AC">
      <w:pPr>
        <w:autoSpaceDE w:val="0"/>
        <w:autoSpaceDN w:val="0"/>
        <w:adjustRightInd w:val="0"/>
        <w:snapToGrid w:val="0"/>
        <w:spacing w:line="360" w:lineRule="auto"/>
        <w:jc w:val="center"/>
        <w:rPr>
          <w:rFonts w:hint="eastAsia" w:ascii="宋体" w:hAnsi="宋体"/>
          <w:bCs/>
          <w:color w:val="000000" w:themeColor="text1"/>
          <w:kern w:val="0"/>
          <w:sz w:val="28"/>
          <w:szCs w:val="28"/>
          <w14:textFill>
            <w14:solidFill>
              <w14:schemeClr w14:val="tx1"/>
            </w14:solidFill>
          </w14:textFill>
        </w:rPr>
      </w:pPr>
    </w:p>
    <w:p w14:paraId="3AF4E1DB">
      <w:pPr>
        <w:autoSpaceDE w:val="0"/>
        <w:autoSpaceDN w:val="0"/>
        <w:adjustRightInd w:val="0"/>
        <w:snapToGrid w:val="0"/>
        <w:spacing w:line="360" w:lineRule="auto"/>
        <w:jc w:val="center"/>
        <w:rPr>
          <w:rFonts w:hint="eastAsia" w:ascii="宋体" w:hAnsi="宋体"/>
          <w:bCs/>
          <w:color w:val="000000" w:themeColor="text1"/>
          <w:kern w:val="0"/>
          <w:sz w:val="28"/>
          <w:szCs w:val="28"/>
          <w14:textFill>
            <w14:solidFill>
              <w14:schemeClr w14:val="tx1"/>
            </w14:solidFill>
          </w14:textFill>
        </w:rPr>
      </w:pPr>
    </w:p>
    <w:p w14:paraId="352CFB7F">
      <w:pPr>
        <w:autoSpaceDE w:val="0"/>
        <w:autoSpaceDN w:val="0"/>
        <w:adjustRightInd w:val="0"/>
        <w:snapToGrid w:val="0"/>
        <w:spacing w:line="360" w:lineRule="auto"/>
        <w:rPr>
          <w:rFonts w:hint="eastAsia" w:ascii="宋体" w:hAnsi="宋体"/>
          <w:bCs/>
          <w:color w:val="000000" w:themeColor="text1"/>
          <w:kern w:val="0"/>
          <w:sz w:val="20"/>
          <w:szCs w:val="20"/>
          <w14:textFill>
            <w14:solidFill>
              <w14:schemeClr w14:val="tx1"/>
            </w14:solidFill>
          </w14:textFill>
        </w:rPr>
      </w:pPr>
    </w:p>
    <w:p w14:paraId="5B31A396">
      <w:pPr>
        <w:pStyle w:val="3"/>
        <w:spacing w:before="0" w:line="360" w:lineRule="auto"/>
        <w:rPr>
          <w:rFonts w:hint="eastAsia" w:ascii="宋体" w:hAnsi="宋体"/>
          <w:color w:val="000000" w:themeColor="text1"/>
          <w:w w:val="99"/>
          <w:kern w:val="0"/>
          <w:sz w:val="24"/>
          <w14:textFill>
            <w14:solidFill>
              <w14:schemeClr w14:val="tx1"/>
            </w14:solidFill>
          </w14:textFill>
        </w:rPr>
        <w:sectPr>
          <w:pgSz w:w="11907" w:h="16840"/>
          <w:pgMar w:top="1304" w:right="1134" w:bottom="1304" w:left="1304" w:header="851" w:footer="992" w:gutter="0"/>
          <w:pgNumType w:fmt="numberInDash" w:start="1"/>
          <w:cols w:space="720" w:num="1"/>
          <w:docGrid w:linePitch="312" w:charSpace="0"/>
        </w:sectPr>
      </w:pPr>
    </w:p>
    <w:p w14:paraId="71B4DF1A">
      <w:pPr>
        <w:pStyle w:val="57"/>
        <w:spacing w:before="0"/>
        <w:jc w:val="center"/>
        <w:rPr>
          <w:rFonts w:hint="eastAsia" w:ascii="宋体" w:hAnsi="宋体"/>
          <w:color w:val="000000" w:themeColor="text1"/>
          <w:sz w:val="44"/>
          <w:szCs w:val="44"/>
          <w14:textFill>
            <w14:solidFill>
              <w14:schemeClr w14:val="tx1"/>
            </w14:solidFill>
          </w14:textFill>
        </w:rPr>
      </w:pPr>
      <w:bookmarkStart w:id="1" w:name="_Toc23843"/>
      <w:r>
        <w:rPr>
          <w:rFonts w:ascii="宋体" w:hAnsi="宋体"/>
          <w:color w:val="000000" w:themeColor="text1"/>
          <w:sz w:val="44"/>
          <w:szCs w:val="44"/>
          <w:lang w:val="zh-CN"/>
          <w14:textFill>
            <w14:solidFill>
              <w14:schemeClr w14:val="tx1"/>
            </w14:solidFill>
          </w14:textFill>
        </w:rPr>
        <w:t>目</w:t>
      </w:r>
      <w:r>
        <w:rPr>
          <w:rFonts w:hint="eastAsia" w:ascii="宋体" w:hAnsi="宋体"/>
          <w:color w:val="000000" w:themeColor="text1"/>
          <w:sz w:val="44"/>
          <w:szCs w:val="44"/>
          <w:lang w:val="zh-CN"/>
          <w14:textFill>
            <w14:solidFill>
              <w14:schemeClr w14:val="tx1"/>
            </w14:solidFill>
          </w14:textFill>
        </w:rPr>
        <w:t xml:space="preserve"> </w:t>
      </w:r>
      <w:r>
        <w:rPr>
          <w:rFonts w:ascii="宋体" w:hAnsi="宋体"/>
          <w:color w:val="000000" w:themeColor="text1"/>
          <w:sz w:val="44"/>
          <w:szCs w:val="44"/>
          <w:lang w:val="zh-CN"/>
          <w14:textFill>
            <w14:solidFill>
              <w14:schemeClr w14:val="tx1"/>
            </w14:solidFill>
          </w14:textFill>
        </w:rPr>
        <w:t>录</w:t>
      </w:r>
      <w:bookmarkEnd w:id="1"/>
    </w:p>
    <w:p w14:paraId="084C8B13">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rPr>
          <w:rFonts w:ascii="宋体" w:hAnsi="宋体"/>
          <w:color w:val="000000" w:themeColor="text1"/>
          <w14:textFill>
            <w14:solidFill>
              <w14:schemeClr w14:val="tx1"/>
            </w14:solidFill>
          </w14:textFill>
        </w:rPr>
        <w:fldChar w:fldCharType="begin"/>
      </w:r>
      <w:r>
        <w:rPr>
          <w:rFonts w:ascii="宋体" w:hAnsi="宋体"/>
          <w:color w:val="000000" w:themeColor="text1"/>
          <w14:textFill>
            <w14:solidFill>
              <w14:schemeClr w14:val="tx1"/>
            </w14:solidFill>
          </w14:textFill>
        </w:rPr>
        <w:instrText xml:space="preserve"> TOC \o "1-3" \h \z \u </w:instrText>
      </w:r>
      <w:r>
        <w:rPr>
          <w:rFonts w:ascii="宋体" w:hAnsi="宋体"/>
          <w:color w:val="000000" w:themeColor="text1"/>
          <w14:textFill>
            <w14:solidFill>
              <w14:schemeClr w14:val="tx1"/>
            </w14:solidFill>
          </w14:textFill>
        </w:rPr>
        <w:fldChar w:fldCharType="separate"/>
      </w:r>
      <w:r>
        <w:fldChar w:fldCharType="begin"/>
      </w:r>
      <w:r>
        <w:instrText xml:space="preserve"> HYPERLINK \l "_Toc226115513" </w:instrText>
      </w:r>
      <w:r>
        <w:fldChar w:fldCharType="separate"/>
      </w:r>
      <w:r>
        <w:rPr>
          <w:rStyle w:val="53"/>
          <w:rFonts w:hint="eastAsia" w:ascii="宋体" w:hAnsi="宋体"/>
          <w:color w:val="000000" w:themeColor="text1"/>
          <w14:textFill>
            <w14:solidFill>
              <w14:schemeClr w14:val="tx1"/>
            </w14:solidFill>
          </w14:textFill>
        </w:rPr>
        <w:t>第 一 卷</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_Toc226115513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AE09684">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fldChar w:fldCharType="begin"/>
      </w:r>
      <w:r>
        <w:instrText xml:space="preserve"> HYPERLINK \l "_Toc226115514" </w:instrText>
      </w:r>
      <w:r>
        <w:fldChar w:fldCharType="separate"/>
      </w:r>
      <w:r>
        <w:rPr>
          <w:rStyle w:val="53"/>
          <w:rFonts w:hint="eastAsia" w:ascii="宋体" w:hAnsi="宋体"/>
          <w:snapToGrid w:val="0"/>
          <w:color w:val="000000" w:themeColor="text1"/>
          <w:kern w:val="0"/>
          <w14:textFill>
            <w14:solidFill>
              <w14:schemeClr w14:val="tx1"/>
            </w14:solidFill>
          </w14:textFill>
        </w:rPr>
        <w:t>第一章  竞争性比选公告</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_Toc226115514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1E34566">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"_Toc226115515" </w:instrText>
      </w:r>
      <w:r>
        <w:fldChar w:fldCharType="separate"/>
      </w:r>
      <w:r>
        <w:rPr>
          <w:rStyle w:val="53"/>
          <w:rFonts w:hint="eastAsia" w:ascii="宋体" w:hAnsi="宋体"/>
          <w:snapToGrid w:val="0"/>
          <w:color w:val="000000" w:themeColor="text1"/>
          <w14:textFill>
            <w14:solidFill>
              <w14:schemeClr w14:val="tx1"/>
            </w14:solidFill>
          </w14:textFill>
        </w:rPr>
        <w:t>1.  招标条件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_Toc226115515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5CFD5A8">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"_Toc226115516" </w:instrText>
      </w:r>
      <w:r>
        <w:fldChar w:fldCharType="separate"/>
      </w:r>
      <w:r>
        <w:rPr>
          <w:rStyle w:val="53"/>
          <w:rFonts w:hint="eastAsia" w:ascii="宋体" w:hAnsi="宋体"/>
          <w:snapToGrid w:val="0"/>
          <w:color w:val="000000" w:themeColor="text1"/>
          <w14:textFill>
            <w14:solidFill>
              <w14:schemeClr w14:val="tx1"/>
            </w14:solidFill>
          </w14:textFill>
        </w:rPr>
        <w:t>2.  项目概况与招标范围</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_Toc226115516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CA222BF">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"_Toc226115517" </w:instrText>
      </w:r>
      <w:r>
        <w:fldChar w:fldCharType="separate"/>
      </w:r>
      <w:r>
        <w:rPr>
          <w:rStyle w:val="53"/>
          <w:rFonts w:hint="eastAsia" w:ascii="宋体" w:hAnsi="宋体"/>
          <w:snapToGrid w:val="0"/>
          <w:color w:val="000000" w:themeColor="text1"/>
          <w14:textFill>
            <w14:solidFill>
              <w14:schemeClr w14:val="tx1"/>
            </w14:solidFill>
          </w14:textFill>
        </w:rPr>
        <w:t>3.  政府采购工程</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_Toc226115517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D53820B">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"_Toc226115518" </w:instrText>
      </w:r>
      <w:r>
        <w:fldChar w:fldCharType="separate"/>
      </w:r>
      <w:r>
        <w:rPr>
          <w:rStyle w:val="53"/>
          <w:rFonts w:hint="eastAsia" w:ascii="宋体" w:hAnsi="宋体"/>
          <w:snapToGrid w:val="0"/>
          <w:color w:val="000000" w:themeColor="text1"/>
          <w14:textFill>
            <w14:solidFill>
              <w14:schemeClr w14:val="tx1"/>
            </w14:solidFill>
          </w14:textFill>
        </w:rPr>
        <w:t>4.  投标人资格要求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_Toc226115518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ED26BBD">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"_Toc226115519" </w:instrText>
      </w:r>
      <w:r>
        <w:fldChar w:fldCharType="separate"/>
      </w:r>
      <w:r>
        <w:rPr>
          <w:rStyle w:val="53"/>
          <w:rFonts w:hint="eastAsia" w:ascii="宋体" w:hAnsi="宋体"/>
          <w:snapToGrid w:val="0"/>
          <w:color w:val="000000" w:themeColor="text1"/>
          <w14:textFill>
            <w14:solidFill>
              <w14:schemeClr w14:val="tx1"/>
            </w14:solidFill>
          </w14:textFill>
        </w:rPr>
        <w:t>5.  竞争性比选文件的获取</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_Toc226115519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A7CC90E">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"_Toc226115520" </w:instrText>
      </w:r>
      <w:r>
        <w:fldChar w:fldCharType="separate"/>
      </w:r>
      <w:r>
        <w:rPr>
          <w:rStyle w:val="53"/>
          <w:rFonts w:hint="eastAsia" w:ascii="宋体" w:hAnsi="宋体"/>
          <w:snapToGrid w:val="0"/>
          <w:color w:val="000000" w:themeColor="text1"/>
          <w14:textFill>
            <w14:solidFill>
              <w14:schemeClr w14:val="tx1"/>
            </w14:solidFill>
          </w14:textFill>
        </w:rPr>
        <w:t>6.  投标文件的递交</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_Toc226115520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9DA7FD5">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"_Toc226115521" </w:instrText>
      </w:r>
      <w:r>
        <w:fldChar w:fldCharType="separate"/>
      </w:r>
      <w:r>
        <w:rPr>
          <w:rStyle w:val="53"/>
          <w:rFonts w:hint="eastAsia" w:ascii="宋体" w:hAnsi="宋体"/>
          <w:snapToGrid w:val="0"/>
          <w:color w:val="000000" w:themeColor="text1"/>
          <w14:textFill>
            <w14:solidFill>
              <w14:schemeClr w14:val="tx1"/>
            </w14:solidFill>
          </w14:textFill>
        </w:rPr>
        <w:t>7.  发布公告的媒介</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_Toc226115521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74D2A89">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"_Toc226115522" </w:instrText>
      </w:r>
      <w:r>
        <w:fldChar w:fldCharType="separate"/>
      </w:r>
      <w:r>
        <w:rPr>
          <w:rStyle w:val="53"/>
          <w:rFonts w:hint="eastAsia" w:ascii="宋体" w:hAnsi="宋体"/>
          <w:snapToGrid w:val="0"/>
          <w:color w:val="000000" w:themeColor="text1"/>
          <w14:textFill>
            <w14:solidFill>
              <w14:schemeClr w14:val="tx1"/>
            </w14:solidFill>
          </w14:textFill>
        </w:rPr>
        <w:t>8.  联系方式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_Toc226115522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B920F28">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fldChar w:fldCharType="begin"/>
      </w:r>
      <w:r>
        <w:instrText xml:space="preserve"> HYPERLINK \l "_Toc226115523" </w:instrText>
      </w:r>
      <w:r>
        <w:fldChar w:fldCharType="separate"/>
      </w:r>
      <w:r>
        <w:rPr>
          <w:rStyle w:val="53"/>
          <w:rFonts w:hint="eastAsia" w:ascii="宋体" w:hAnsi="宋体"/>
          <w:snapToGrid w:val="0"/>
          <w:color w:val="000000" w:themeColor="text1"/>
          <w:kern w:val="0"/>
          <w14:textFill>
            <w14:solidFill>
              <w14:schemeClr w14:val="tx1"/>
            </w14:solidFill>
          </w14:textFill>
        </w:rPr>
        <w:t>第二章  投标人须知</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_Toc226115523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8AF19CA">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"_Toc226115524" </w:instrText>
      </w:r>
      <w:r>
        <w:fldChar w:fldCharType="separate"/>
      </w:r>
      <w:r>
        <w:rPr>
          <w:rStyle w:val="53"/>
          <w:rFonts w:hint="eastAsia" w:ascii="宋体" w:hAnsi="宋体"/>
          <w:color w:val="000000" w:themeColor="text1"/>
          <w14:textFill>
            <w14:solidFill>
              <w14:schemeClr w14:val="tx1"/>
            </w14:solidFill>
          </w14:textFill>
        </w:rPr>
        <w:t>投标人须知前附表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_Toc226115524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9005964">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"_Toc226115525" </w:instrText>
      </w:r>
      <w:r>
        <w:fldChar w:fldCharType="separate"/>
      </w:r>
      <w:r>
        <w:rPr>
          <w:rStyle w:val="53"/>
          <w:rFonts w:hint="eastAsia" w:ascii="宋体" w:hAnsi="宋体"/>
          <w:snapToGrid w:val="0"/>
          <w:color w:val="000000" w:themeColor="text1"/>
          <w14:textFill>
            <w14:solidFill>
              <w14:schemeClr w14:val="tx1"/>
            </w14:solidFill>
          </w14:textFill>
        </w:rPr>
        <w:t>1.  总则</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_Toc226115525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61B2253">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"_Toc226115526" </w:instrText>
      </w:r>
      <w:r>
        <w:fldChar w:fldCharType="separate"/>
      </w:r>
      <w:r>
        <w:rPr>
          <w:rStyle w:val="53"/>
          <w:rFonts w:hint="eastAsia" w:ascii="宋体" w:hAnsi="宋体"/>
          <w:snapToGrid w:val="0"/>
          <w:color w:val="000000" w:themeColor="text1"/>
          <w14:textFill>
            <w14:solidFill>
              <w14:schemeClr w14:val="tx1"/>
            </w14:solidFill>
          </w14:textFill>
        </w:rPr>
        <w:t>1.1  项目概况</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_Toc226115526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0EB27FF">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"_Toc226115527" </w:instrText>
      </w:r>
      <w:r>
        <w:fldChar w:fldCharType="separate"/>
      </w:r>
      <w:r>
        <w:rPr>
          <w:rStyle w:val="53"/>
          <w:rFonts w:hint="eastAsia" w:ascii="宋体" w:hAnsi="宋体"/>
          <w:snapToGrid w:val="0"/>
          <w:color w:val="000000" w:themeColor="text1"/>
          <w14:textFill>
            <w14:solidFill>
              <w14:schemeClr w14:val="tx1"/>
            </w14:solidFill>
          </w14:textFill>
        </w:rPr>
        <w:t>1.2  资金来源和落实情况</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_Toc226115527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89B0D1C">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"_Toc226115528" </w:instrText>
      </w:r>
      <w:r>
        <w:fldChar w:fldCharType="separate"/>
      </w:r>
      <w:r>
        <w:rPr>
          <w:rStyle w:val="53"/>
          <w:rFonts w:hint="eastAsia" w:ascii="宋体" w:hAnsi="宋体"/>
          <w:snapToGrid w:val="0"/>
          <w:color w:val="000000" w:themeColor="text1"/>
          <w14:textFill>
            <w14:solidFill>
              <w14:schemeClr w14:val="tx1"/>
            </w14:solidFill>
          </w14:textFill>
        </w:rPr>
        <w:t>1.3  招标范围、计划工期和质量要求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_Toc226115528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066F1A5">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"_Toc226115529" </w:instrText>
      </w:r>
      <w:r>
        <w:fldChar w:fldCharType="separate"/>
      </w:r>
      <w:r>
        <w:rPr>
          <w:rStyle w:val="53"/>
          <w:rFonts w:hint="eastAsia" w:ascii="宋体" w:hAnsi="宋体"/>
          <w:snapToGrid w:val="0"/>
          <w:color w:val="000000" w:themeColor="text1"/>
          <w14:textFill>
            <w14:solidFill>
              <w14:schemeClr w14:val="tx1"/>
            </w14:solidFill>
          </w14:textFill>
        </w:rPr>
        <w:t>1.4  投标人资格要求（适用于未进行资格预审的）</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_Toc226115529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87DF7AB">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"_Toc226115530" </w:instrText>
      </w:r>
      <w:r>
        <w:fldChar w:fldCharType="separate"/>
      </w:r>
      <w:r>
        <w:rPr>
          <w:rStyle w:val="53"/>
          <w:rFonts w:hint="eastAsia" w:ascii="宋体" w:hAnsi="宋体"/>
          <w:snapToGrid w:val="0"/>
          <w:color w:val="000000" w:themeColor="text1"/>
          <w14:textFill>
            <w14:solidFill>
              <w14:schemeClr w14:val="tx1"/>
            </w14:solidFill>
          </w14:textFill>
        </w:rPr>
        <w:t>1.5  费用承担</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_Toc226115530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D57AC50">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"_Toc226115531" </w:instrText>
      </w:r>
      <w:r>
        <w:fldChar w:fldCharType="separate"/>
      </w:r>
      <w:r>
        <w:rPr>
          <w:rStyle w:val="53"/>
          <w:rFonts w:hint="eastAsia" w:ascii="宋体" w:hAnsi="宋体"/>
          <w:snapToGrid w:val="0"/>
          <w:color w:val="000000" w:themeColor="text1"/>
          <w14:textFill>
            <w14:solidFill>
              <w14:schemeClr w14:val="tx1"/>
            </w14:solidFill>
          </w14:textFill>
        </w:rPr>
        <w:t>1.6  保密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_Toc226115531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BFD9DF8">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"_Toc226115532" </w:instrText>
      </w:r>
      <w:r>
        <w:fldChar w:fldCharType="separate"/>
      </w:r>
      <w:r>
        <w:rPr>
          <w:rStyle w:val="53"/>
          <w:rFonts w:hint="eastAsia" w:ascii="宋体" w:hAnsi="宋体"/>
          <w:snapToGrid w:val="0"/>
          <w:color w:val="000000" w:themeColor="text1"/>
          <w14:textFill>
            <w14:solidFill>
              <w14:schemeClr w14:val="tx1"/>
            </w14:solidFill>
          </w14:textFill>
        </w:rPr>
        <w:t>1.7  语言文字</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_Toc226115532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C36B58F">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"_Toc226115533" </w:instrText>
      </w:r>
      <w:r>
        <w:fldChar w:fldCharType="separate"/>
      </w:r>
      <w:r>
        <w:rPr>
          <w:rStyle w:val="53"/>
          <w:rFonts w:hint="eastAsia" w:ascii="宋体" w:hAnsi="宋体"/>
          <w:snapToGrid w:val="0"/>
          <w:color w:val="000000" w:themeColor="text1"/>
          <w14:textFill>
            <w14:solidFill>
              <w14:schemeClr w14:val="tx1"/>
            </w14:solidFill>
          </w14:textFill>
        </w:rPr>
        <w:t>1.8  计量单位</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_Toc226115533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AD15DB6">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"_Toc226115534" </w:instrText>
      </w:r>
      <w:r>
        <w:fldChar w:fldCharType="separate"/>
      </w:r>
      <w:r>
        <w:rPr>
          <w:rStyle w:val="53"/>
          <w:rFonts w:hint="eastAsia" w:ascii="宋体" w:hAnsi="宋体"/>
          <w:snapToGrid w:val="0"/>
          <w:color w:val="000000" w:themeColor="text1"/>
          <w14:textFill>
            <w14:solidFill>
              <w14:schemeClr w14:val="tx1"/>
            </w14:solidFill>
          </w14:textFill>
        </w:rPr>
        <w:t>1.9  踏勘现场</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_Toc226115534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53BAD4A">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"_Toc226115535" </w:instrText>
      </w:r>
      <w:r>
        <w:fldChar w:fldCharType="separate"/>
      </w:r>
      <w:r>
        <w:rPr>
          <w:rStyle w:val="53"/>
          <w:rFonts w:hint="eastAsia" w:ascii="宋体" w:hAnsi="宋体"/>
          <w:snapToGrid w:val="0"/>
          <w:color w:val="000000" w:themeColor="text1"/>
          <w14:textFill>
            <w14:solidFill>
              <w14:schemeClr w14:val="tx1"/>
            </w14:solidFill>
          </w14:textFill>
        </w:rPr>
        <w:t>1.10  投标预备会</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_Toc226115535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067AF8A">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"_Toc226115536" </w:instrText>
      </w:r>
      <w:r>
        <w:fldChar w:fldCharType="separate"/>
      </w:r>
      <w:r>
        <w:rPr>
          <w:rStyle w:val="53"/>
          <w:rFonts w:hint="eastAsia" w:ascii="宋体" w:hAnsi="宋体"/>
          <w:snapToGrid w:val="0"/>
          <w:color w:val="000000" w:themeColor="text1"/>
          <w14:textFill>
            <w14:solidFill>
              <w14:schemeClr w14:val="tx1"/>
            </w14:solidFill>
          </w14:textFill>
        </w:rPr>
        <w:t>1.11  分包</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_Toc226115536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09E4592">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"_Toc226115537" </w:instrText>
      </w:r>
      <w:r>
        <w:fldChar w:fldCharType="separate"/>
      </w:r>
      <w:r>
        <w:rPr>
          <w:rStyle w:val="53"/>
          <w:rFonts w:hint="eastAsia" w:ascii="宋体" w:hAnsi="宋体"/>
          <w:snapToGrid w:val="0"/>
          <w:color w:val="000000" w:themeColor="text1"/>
          <w14:textFill>
            <w14:solidFill>
              <w14:schemeClr w14:val="tx1"/>
            </w14:solidFill>
          </w14:textFill>
        </w:rPr>
        <w:t>1.12  偏离</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_Toc226115537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CB58EA3">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"_Toc226115538" </w:instrText>
      </w:r>
      <w:r>
        <w:fldChar w:fldCharType="separate"/>
      </w:r>
      <w:r>
        <w:rPr>
          <w:rStyle w:val="53"/>
          <w:rFonts w:hint="eastAsia" w:ascii="宋体" w:hAnsi="宋体"/>
          <w:snapToGrid w:val="0"/>
          <w:color w:val="000000" w:themeColor="text1"/>
          <w14:textFill>
            <w14:solidFill>
              <w14:schemeClr w14:val="tx1"/>
            </w14:solidFill>
          </w14:textFill>
        </w:rPr>
        <w:t>2.  竞争性比选文件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_Toc226115538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99E106B">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"_Toc226115539" </w:instrText>
      </w:r>
      <w:r>
        <w:fldChar w:fldCharType="separate"/>
      </w:r>
      <w:r>
        <w:rPr>
          <w:rStyle w:val="53"/>
          <w:rFonts w:hint="eastAsia" w:ascii="宋体" w:hAnsi="宋体"/>
          <w:snapToGrid w:val="0"/>
          <w:color w:val="000000" w:themeColor="text1"/>
          <w14:textFill>
            <w14:solidFill>
              <w14:schemeClr w14:val="tx1"/>
            </w14:solidFill>
          </w14:textFill>
        </w:rPr>
        <w:t>2.1  竞争性比选文件的组成</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_Toc226115539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3501830">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"_Toc226115540" </w:instrText>
      </w:r>
      <w:r>
        <w:fldChar w:fldCharType="separate"/>
      </w:r>
      <w:r>
        <w:rPr>
          <w:rStyle w:val="53"/>
          <w:rFonts w:hint="eastAsia" w:ascii="宋体" w:hAnsi="宋体"/>
          <w:snapToGrid w:val="0"/>
          <w:color w:val="000000" w:themeColor="text1"/>
          <w14:textFill>
            <w14:solidFill>
              <w14:schemeClr w14:val="tx1"/>
            </w14:solidFill>
          </w14:textFill>
        </w:rPr>
        <w:t>2.2  竞争性比选文件的澄清</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_Toc226115540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6E19588">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"_Toc226115541" </w:instrText>
      </w:r>
      <w:r>
        <w:fldChar w:fldCharType="separate"/>
      </w:r>
      <w:r>
        <w:rPr>
          <w:rStyle w:val="53"/>
          <w:rFonts w:hint="eastAsia" w:ascii="宋体" w:hAnsi="宋体"/>
          <w:snapToGrid w:val="0"/>
          <w:color w:val="000000" w:themeColor="text1"/>
          <w14:textFill>
            <w14:solidFill>
              <w14:schemeClr w14:val="tx1"/>
            </w14:solidFill>
          </w14:textFill>
        </w:rPr>
        <w:t>2.3  竞争性比选文件的修改</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_Toc226115541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22C2816">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"_Toc226115542" </w:instrText>
      </w:r>
      <w:r>
        <w:fldChar w:fldCharType="separate"/>
      </w:r>
      <w:r>
        <w:rPr>
          <w:rStyle w:val="53"/>
          <w:rFonts w:hint="eastAsia" w:ascii="宋体" w:hAnsi="宋体"/>
          <w:snapToGrid w:val="0"/>
          <w:color w:val="000000" w:themeColor="text1"/>
          <w14:textFill>
            <w14:solidFill>
              <w14:schemeClr w14:val="tx1"/>
            </w14:solidFill>
          </w14:textFill>
        </w:rPr>
        <w:t>3.  投标文件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_Toc226115542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7205EC1">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"_Toc226115543" </w:instrText>
      </w:r>
      <w:r>
        <w:fldChar w:fldCharType="separate"/>
      </w:r>
      <w:r>
        <w:rPr>
          <w:rStyle w:val="53"/>
          <w:rFonts w:hint="eastAsia" w:ascii="宋体" w:hAnsi="宋体"/>
          <w:snapToGrid w:val="0"/>
          <w:color w:val="000000" w:themeColor="text1"/>
          <w14:textFill>
            <w14:solidFill>
              <w14:schemeClr w14:val="tx1"/>
            </w14:solidFill>
          </w14:textFill>
        </w:rPr>
        <w:t>3.1  投标文件的组成</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_Toc226115543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78CB862">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"_Toc226115544" </w:instrText>
      </w:r>
      <w:r>
        <w:fldChar w:fldCharType="separate"/>
      </w:r>
      <w:r>
        <w:rPr>
          <w:rStyle w:val="53"/>
          <w:rFonts w:hint="eastAsia" w:ascii="宋体" w:hAnsi="宋体"/>
          <w:snapToGrid w:val="0"/>
          <w:color w:val="000000" w:themeColor="text1"/>
          <w14:textFill>
            <w14:solidFill>
              <w14:schemeClr w14:val="tx1"/>
            </w14:solidFill>
          </w14:textFill>
        </w:rPr>
        <w:t>3.2  投标报价</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_Toc226115544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E9CEC6C">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"_Toc226115545" </w:instrText>
      </w:r>
      <w:r>
        <w:fldChar w:fldCharType="separate"/>
      </w:r>
      <w:r>
        <w:rPr>
          <w:rStyle w:val="53"/>
          <w:rFonts w:hint="eastAsia" w:ascii="宋体" w:hAnsi="宋体"/>
          <w:snapToGrid w:val="0"/>
          <w:color w:val="000000" w:themeColor="text1"/>
          <w14:textFill>
            <w14:solidFill>
              <w14:schemeClr w14:val="tx1"/>
            </w14:solidFill>
          </w14:textFill>
        </w:rPr>
        <w:t>3.3  投标有效期</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_Toc226115545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26B5C30">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"_Toc226115546" </w:instrText>
      </w:r>
      <w:r>
        <w:fldChar w:fldCharType="separate"/>
      </w:r>
      <w:r>
        <w:rPr>
          <w:rStyle w:val="53"/>
          <w:rFonts w:hint="eastAsia" w:ascii="宋体" w:hAnsi="宋体"/>
          <w:snapToGrid w:val="0"/>
          <w:color w:val="000000" w:themeColor="text1"/>
          <w14:textFill>
            <w14:solidFill>
              <w14:schemeClr w14:val="tx1"/>
            </w14:solidFill>
          </w14:textFill>
        </w:rPr>
        <w:t>3.4  投标保证金</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_Toc226115546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A11FFCB">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"_Toc226115547" </w:instrText>
      </w:r>
      <w:r>
        <w:fldChar w:fldCharType="separate"/>
      </w:r>
      <w:r>
        <w:rPr>
          <w:rStyle w:val="53"/>
          <w:rFonts w:hint="eastAsia" w:ascii="宋体" w:hAnsi="宋体"/>
          <w:snapToGrid w:val="0"/>
          <w:color w:val="000000" w:themeColor="text1"/>
          <w14:textFill>
            <w14:solidFill>
              <w14:schemeClr w14:val="tx1"/>
            </w14:solidFill>
          </w14:textFill>
        </w:rPr>
        <w:t>3.5  资格审查资料</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_Toc226115547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0A51E1A">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"_Toc226115548" </w:instrText>
      </w:r>
      <w:r>
        <w:fldChar w:fldCharType="separate"/>
      </w:r>
      <w:r>
        <w:rPr>
          <w:rStyle w:val="53"/>
          <w:rFonts w:hint="eastAsia" w:ascii="宋体" w:hAnsi="宋体"/>
          <w:snapToGrid w:val="0"/>
          <w:color w:val="000000" w:themeColor="text1"/>
          <w14:textFill>
            <w14:solidFill>
              <w14:schemeClr w14:val="tx1"/>
            </w14:solidFill>
          </w14:textFill>
        </w:rPr>
        <w:t>3.6  备选投标方案</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_Toc226115548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3764906">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"_Toc226115549" </w:instrText>
      </w:r>
      <w:r>
        <w:fldChar w:fldCharType="separate"/>
      </w:r>
      <w:r>
        <w:rPr>
          <w:rStyle w:val="53"/>
          <w:rFonts w:hint="eastAsia" w:ascii="宋体" w:hAnsi="宋体"/>
          <w:snapToGrid w:val="0"/>
          <w:color w:val="000000" w:themeColor="text1"/>
          <w14:textFill>
            <w14:solidFill>
              <w14:schemeClr w14:val="tx1"/>
            </w14:solidFill>
          </w14:textFill>
        </w:rPr>
        <w:t>3.7  投标文件的编制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_Toc226115549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977E721">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"_Toc226115550" </w:instrText>
      </w:r>
      <w:r>
        <w:fldChar w:fldCharType="separate"/>
      </w:r>
      <w:r>
        <w:rPr>
          <w:rStyle w:val="53"/>
          <w:rFonts w:hint="eastAsia" w:ascii="宋体" w:hAnsi="宋体"/>
          <w:snapToGrid w:val="0"/>
          <w:color w:val="000000" w:themeColor="text1"/>
          <w14:textFill>
            <w14:solidFill>
              <w14:schemeClr w14:val="tx1"/>
            </w14:solidFill>
          </w14:textFill>
        </w:rPr>
        <w:t>4.  投标</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_Toc226115550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7A03CCA">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"_Toc226115551" </w:instrText>
      </w:r>
      <w:r>
        <w:fldChar w:fldCharType="separate"/>
      </w:r>
      <w:r>
        <w:rPr>
          <w:rStyle w:val="53"/>
          <w:rFonts w:hint="eastAsia" w:ascii="宋体" w:hAnsi="宋体"/>
          <w:snapToGrid w:val="0"/>
          <w:color w:val="000000" w:themeColor="text1"/>
          <w14:textFill>
            <w14:solidFill>
              <w14:schemeClr w14:val="tx1"/>
            </w14:solidFill>
          </w14:textFill>
        </w:rPr>
        <w:t>4.1  投标文件的密封和标记</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_Toc226115551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FB0938C">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"_Toc226115552" </w:instrText>
      </w:r>
      <w:r>
        <w:fldChar w:fldCharType="separate"/>
      </w:r>
      <w:r>
        <w:rPr>
          <w:rStyle w:val="53"/>
          <w:rFonts w:hint="eastAsia" w:ascii="宋体" w:hAnsi="宋体"/>
          <w:snapToGrid w:val="0"/>
          <w:color w:val="000000" w:themeColor="text1"/>
          <w14:textFill>
            <w14:solidFill>
              <w14:schemeClr w14:val="tx1"/>
            </w14:solidFill>
          </w14:textFill>
        </w:rPr>
        <w:t>4.2  投标文件的递交</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_Toc226115552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61F3F35">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"_Toc226115553" </w:instrText>
      </w:r>
      <w:r>
        <w:fldChar w:fldCharType="separate"/>
      </w:r>
      <w:r>
        <w:rPr>
          <w:rStyle w:val="53"/>
          <w:rFonts w:hint="eastAsia" w:ascii="宋体" w:hAnsi="宋体"/>
          <w:snapToGrid w:val="0"/>
          <w:color w:val="000000" w:themeColor="text1"/>
          <w14:textFill>
            <w14:solidFill>
              <w14:schemeClr w14:val="tx1"/>
            </w14:solidFill>
          </w14:textFill>
        </w:rPr>
        <w:t>4.3  投标文件的修改与撤回</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_Toc226115553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C8E2A93">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"_Toc226115554" </w:instrText>
      </w:r>
      <w:r>
        <w:fldChar w:fldCharType="separate"/>
      </w:r>
      <w:r>
        <w:rPr>
          <w:rStyle w:val="53"/>
          <w:rFonts w:hint="eastAsia" w:ascii="宋体" w:hAnsi="宋体"/>
          <w:snapToGrid w:val="0"/>
          <w:color w:val="000000" w:themeColor="text1"/>
          <w14:textFill>
            <w14:solidFill>
              <w14:schemeClr w14:val="tx1"/>
            </w14:solidFill>
          </w14:textFill>
        </w:rPr>
        <w:t>5.  开标</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_Toc226115554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AD158B8">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"_Toc226115555" </w:instrText>
      </w:r>
      <w:r>
        <w:fldChar w:fldCharType="separate"/>
      </w:r>
      <w:r>
        <w:rPr>
          <w:rStyle w:val="53"/>
          <w:rFonts w:hint="eastAsia" w:ascii="宋体" w:hAnsi="宋体"/>
          <w:snapToGrid w:val="0"/>
          <w:color w:val="000000" w:themeColor="text1"/>
          <w14:textFill>
            <w14:solidFill>
              <w14:schemeClr w14:val="tx1"/>
            </w14:solidFill>
          </w14:textFill>
        </w:rPr>
        <w:t>5.1  开标时间和地点</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_Toc226115555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A8D9D67">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"_Toc226115556" </w:instrText>
      </w:r>
      <w:r>
        <w:fldChar w:fldCharType="separate"/>
      </w:r>
      <w:r>
        <w:rPr>
          <w:rStyle w:val="53"/>
          <w:rFonts w:hint="eastAsia" w:ascii="宋体" w:hAnsi="宋体"/>
          <w:snapToGrid w:val="0"/>
          <w:color w:val="000000" w:themeColor="text1"/>
          <w14:textFill>
            <w14:solidFill>
              <w14:schemeClr w14:val="tx1"/>
            </w14:solidFill>
          </w14:textFill>
        </w:rPr>
        <w:t>5.2  开标程序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_Toc226115556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8C1187C">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"_Toc226115557" </w:instrText>
      </w:r>
      <w:r>
        <w:fldChar w:fldCharType="separate"/>
      </w:r>
      <w:r>
        <w:rPr>
          <w:rStyle w:val="53"/>
          <w:rFonts w:hint="eastAsia" w:ascii="宋体" w:hAnsi="宋体"/>
          <w:snapToGrid w:val="0"/>
          <w:color w:val="000000" w:themeColor="text1"/>
          <w14:textFill>
            <w14:solidFill>
              <w14:schemeClr w14:val="tx1"/>
            </w14:solidFill>
          </w14:textFill>
        </w:rPr>
        <w:t>5.3  开标异议</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_Toc226115557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2BC1927">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"_Toc226115558" </w:instrText>
      </w:r>
      <w:r>
        <w:fldChar w:fldCharType="separate"/>
      </w:r>
      <w:r>
        <w:rPr>
          <w:rStyle w:val="53"/>
          <w:rFonts w:hint="eastAsia" w:ascii="宋体" w:hAnsi="宋体"/>
          <w:snapToGrid w:val="0"/>
          <w:color w:val="000000" w:themeColor="text1"/>
          <w14:textFill>
            <w14:solidFill>
              <w14:schemeClr w14:val="tx1"/>
            </w14:solidFill>
          </w14:textFill>
        </w:rPr>
        <w:t>6.  评标</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_Toc226115558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6D505EC">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"_Toc226115559" </w:instrText>
      </w:r>
      <w:r>
        <w:fldChar w:fldCharType="separate"/>
      </w:r>
      <w:r>
        <w:rPr>
          <w:rStyle w:val="53"/>
          <w:rFonts w:hint="eastAsia" w:ascii="宋体" w:hAnsi="宋体"/>
          <w:snapToGrid w:val="0"/>
          <w:color w:val="000000" w:themeColor="text1"/>
          <w14:textFill>
            <w14:solidFill>
              <w14:schemeClr w14:val="tx1"/>
            </w14:solidFill>
          </w14:textFill>
        </w:rPr>
        <w:t>6.1  评标委员会</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_Toc226115559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60EBFB5">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"_Toc226115560" </w:instrText>
      </w:r>
      <w:r>
        <w:fldChar w:fldCharType="separate"/>
      </w:r>
      <w:r>
        <w:rPr>
          <w:rStyle w:val="53"/>
          <w:rFonts w:hint="eastAsia" w:ascii="宋体" w:hAnsi="宋体"/>
          <w:snapToGrid w:val="0"/>
          <w:color w:val="000000" w:themeColor="text1"/>
          <w14:textFill>
            <w14:solidFill>
              <w14:schemeClr w14:val="tx1"/>
            </w14:solidFill>
          </w14:textFill>
        </w:rPr>
        <w:t>6.2  评标原则</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_Toc226115560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E3CC946">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"_Toc226115561" </w:instrText>
      </w:r>
      <w:r>
        <w:fldChar w:fldCharType="separate"/>
      </w:r>
      <w:r>
        <w:rPr>
          <w:rStyle w:val="53"/>
          <w:rFonts w:hint="eastAsia" w:ascii="宋体" w:hAnsi="宋体"/>
          <w:snapToGrid w:val="0"/>
          <w:color w:val="000000" w:themeColor="text1"/>
          <w14:textFill>
            <w14:solidFill>
              <w14:schemeClr w14:val="tx1"/>
            </w14:solidFill>
          </w14:textFill>
        </w:rPr>
        <w:t>6.3  评标</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_Toc226115561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E64F145">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"_Toc226115562" </w:instrText>
      </w:r>
      <w:r>
        <w:fldChar w:fldCharType="separate"/>
      </w:r>
      <w:r>
        <w:rPr>
          <w:rStyle w:val="53"/>
          <w:rFonts w:hint="eastAsia" w:ascii="宋体" w:hAnsi="宋体"/>
          <w:snapToGrid w:val="0"/>
          <w:color w:val="000000" w:themeColor="text1"/>
          <w14:textFill>
            <w14:solidFill>
              <w14:schemeClr w14:val="tx1"/>
            </w14:solidFill>
          </w14:textFill>
        </w:rPr>
        <w:t>7.  合同授予</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_Toc226115562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8CD6685">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"_Toc226115563" </w:instrText>
      </w:r>
      <w:r>
        <w:fldChar w:fldCharType="separate"/>
      </w:r>
      <w:r>
        <w:rPr>
          <w:rStyle w:val="53"/>
          <w:rFonts w:hint="eastAsia" w:ascii="宋体" w:hAnsi="宋体"/>
          <w:snapToGrid w:val="0"/>
          <w:color w:val="000000" w:themeColor="text1"/>
          <w14:textFill>
            <w14:solidFill>
              <w14:schemeClr w14:val="tx1"/>
            </w14:solidFill>
          </w14:textFill>
        </w:rPr>
        <w:t>7.1  定标方式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_Toc226115563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008A40D">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"_Toc226115564" </w:instrText>
      </w:r>
      <w:r>
        <w:fldChar w:fldCharType="separate"/>
      </w:r>
      <w:r>
        <w:rPr>
          <w:rStyle w:val="53"/>
          <w:rFonts w:hint="eastAsia" w:ascii="宋体" w:hAnsi="宋体"/>
          <w:snapToGrid w:val="0"/>
          <w:color w:val="000000" w:themeColor="text1"/>
          <w14:textFill>
            <w14:solidFill>
              <w14:schemeClr w14:val="tx1"/>
            </w14:solidFill>
          </w14:textFill>
        </w:rPr>
        <w:t>7.2  中标公示及中标通知</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_Toc226115564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F36DE93">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"_Toc226115565" </w:instrText>
      </w:r>
      <w:r>
        <w:fldChar w:fldCharType="separate"/>
      </w:r>
      <w:r>
        <w:rPr>
          <w:rStyle w:val="53"/>
          <w:rFonts w:hint="eastAsia" w:ascii="宋体" w:hAnsi="宋体"/>
          <w:snapToGrid w:val="0"/>
          <w:color w:val="000000" w:themeColor="text1"/>
          <w14:textFill>
            <w14:solidFill>
              <w14:schemeClr w14:val="tx1"/>
            </w14:solidFill>
          </w14:textFill>
        </w:rPr>
        <w:t>7.3  履约担保</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_Toc226115565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7BAC370">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"_Toc226115566" </w:instrText>
      </w:r>
      <w:r>
        <w:fldChar w:fldCharType="separate"/>
      </w:r>
      <w:r>
        <w:rPr>
          <w:rStyle w:val="53"/>
          <w:rFonts w:hint="eastAsia" w:ascii="宋体" w:hAnsi="宋体"/>
          <w:snapToGrid w:val="0"/>
          <w:color w:val="000000" w:themeColor="text1"/>
          <w14:textFill>
            <w14:solidFill>
              <w14:schemeClr w14:val="tx1"/>
            </w14:solidFill>
          </w14:textFill>
        </w:rPr>
        <w:t>7.4  签订合同</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_Toc226115566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6D34C37">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"_Toc226115567" </w:instrText>
      </w:r>
      <w:r>
        <w:fldChar w:fldCharType="separate"/>
      </w:r>
      <w:r>
        <w:rPr>
          <w:rStyle w:val="53"/>
          <w:rFonts w:hint="eastAsia" w:ascii="宋体" w:hAnsi="宋体"/>
          <w:snapToGrid w:val="0"/>
          <w:color w:val="000000" w:themeColor="text1"/>
          <w14:textFill>
            <w14:solidFill>
              <w14:schemeClr w14:val="tx1"/>
            </w14:solidFill>
          </w14:textFill>
        </w:rPr>
        <w:t>8.  重新招标和不再招标</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_Toc226115567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1003CBE">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"_Toc226115568" </w:instrText>
      </w:r>
      <w:r>
        <w:fldChar w:fldCharType="separate"/>
      </w:r>
      <w:r>
        <w:rPr>
          <w:rStyle w:val="53"/>
          <w:rFonts w:hint="eastAsia" w:ascii="宋体" w:hAnsi="宋体"/>
          <w:snapToGrid w:val="0"/>
          <w:color w:val="000000" w:themeColor="text1"/>
          <w14:textFill>
            <w14:solidFill>
              <w14:schemeClr w14:val="tx1"/>
            </w14:solidFill>
          </w14:textFill>
        </w:rPr>
        <w:t>8.1  重新招标的情形</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_Toc226115568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012CAE7">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"_Toc226115569" </w:instrText>
      </w:r>
      <w:r>
        <w:fldChar w:fldCharType="separate"/>
      </w:r>
      <w:r>
        <w:rPr>
          <w:rStyle w:val="53"/>
          <w:rFonts w:hint="eastAsia" w:ascii="宋体" w:hAnsi="宋体"/>
          <w:snapToGrid w:val="0"/>
          <w:color w:val="000000" w:themeColor="text1"/>
          <w14:textFill>
            <w14:solidFill>
              <w14:schemeClr w14:val="tx1"/>
            </w14:solidFill>
          </w14:textFill>
        </w:rPr>
        <w:t>8.2  重新招标和不再招标</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_Toc226115569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1E0538F">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"_Toc226115570" </w:instrText>
      </w:r>
      <w:r>
        <w:fldChar w:fldCharType="separate"/>
      </w:r>
      <w:r>
        <w:rPr>
          <w:rStyle w:val="53"/>
          <w:rFonts w:hint="eastAsia" w:ascii="宋体" w:hAnsi="宋体"/>
          <w:snapToGrid w:val="0"/>
          <w:color w:val="000000" w:themeColor="text1"/>
          <w14:textFill>
            <w14:solidFill>
              <w14:schemeClr w14:val="tx1"/>
            </w14:solidFill>
          </w14:textFill>
        </w:rPr>
        <w:t>9.  纪律和监督</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_Toc226115570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A6DC555">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"_Toc226115571" </w:instrText>
      </w:r>
      <w:r>
        <w:fldChar w:fldCharType="separate"/>
      </w:r>
      <w:r>
        <w:rPr>
          <w:rStyle w:val="53"/>
          <w:rFonts w:hint="eastAsia" w:ascii="宋体" w:hAnsi="宋体"/>
          <w:snapToGrid w:val="0"/>
          <w:color w:val="000000" w:themeColor="text1"/>
          <w14:textFill>
            <w14:solidFill>
              <w14:schemeClr w14:val="tx1"/>
            </w14:solidFill>
          </w14:textFill>
        </w:rPr>
        <w:t>9.1  对招标人的纪律要求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_Toc226115571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92D9A8E">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"_Toc226115572" </w:instrText>
      </w:r>
      <w:r>
        <w:fldChar w:fldCharType="separate"/>
      </w:r>
      <w:r>
        <w:rPr>
          <w:rStyle w:val="53"/>
          <w:rFonts w:hint="eastAsia" w:ascii="宋体" w:hAnsi="宋体"/>
          <w:snapToGrid w:val="0"/>
          <w:color w:val="000000" w:themeColor="text1"/>
          <w14:textFill>
            <w14:solidFill>
              <w14:schemeClr w14:val="tx1"/>
            </w14:solidFill>
          </w14:textFill>
        </w:rPr>
        <w:t>9.2  对投标人的纪律要求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_Toc226115572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11504D6">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"_Toc226115573" </w:instrText>
      </w:r>
      <w:r>
        <w:fldChar w:fldCharType="separate"/>
      </w:r>
      <w:r>
        <w:rPr>
          <w:rStyle w:val="53"/>
          <w:rFonts w:hint="eastAsia" w:ascii="宋体" w:hAnsi="宋体"/>
          <w:snapToGrid w:val="0"/>
          <w:color w:val="000000" w:themeColor="text1"/>
          <w14:textFill>
            <w14:solidFill>
              <w14:schemeClr w14:val="tx1"/>
            </w14:solidFill>
          </w14:textFill>
        </w:rPr>
        <w:t>9.3  对评标委员会成员的纪律要求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_Toc226115573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1D64A06">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"_Toc226115574" </w:instrText>
      </w:r>
      <w:r>
        <w:fldChar w:fldCharType="separate"/>
      </w:r>
      <w:r>
        <w:rPr>
          <w:rStyle w:val="53"/>
          <w:rFonts w:hint="eastAsia" w:ascii="宋体" w:hAnsi="宋体"/>
          <w:snapToGrid w:val="0"/>
          <w:color w:val="000000" w:themeColor="text1"/>
          <w14:textFill>
            <w14:solidFill>
              <w14:schemeClr w14:val="tx1"/>
            </w14:solidFill>
          </w14:textFill>
        </w:rPr>
        <w:t>9.4  对与评标活动有关的工作人员的纪律要求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_Toc226115574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861440D">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"_Toc226115575" </w:instrText>
      </w:r>
      <w:r>
        <w:fldChar w:fldCharType="separate"/>
      </w:r>
      <w:r>
        <w:rPr>
          <w:rStyle w:val="53"/>
          <w:rFonts w:hint="eastAsia" w:ascii="宋体" w:hAnsi="宋体"/>
          <w:snapToGrid w:val="0"/>
          <w:color w:val="000000" w:themeColor="text1"/>
          <w14:textFill>
            <w14:solidFill>
              <w14:schemeClr w14:val="tx1"/>
            </w14:solidFill>
          </w14:textFill>
        </w:rPr>
        <w:t>9.5  投诉</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_Toc226115575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E277041">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"_Toc226115576" </w:instrText>
      </w:r>
      <w:r>
        <w:fldChar w:fldCharType="separate"/>
      </w:r>
      <w:r>
        <w:rPr>
          <w:rStyle w:val="53"/>
          <w:rFonts w:hint="eastAsia" w:ascii="宋体" w:hAnsi="宋体"/>
          <w:snapToGrid w:val="0"/>
          <w:color w:val="000000" w:themeColor="text1"/>
          <w14:textFill>
            <w14:solidFill>
              <w14:schemeClr w14:val="tx1"/>
            </w14:solidFill>
          </w14:textFill>
        </w:rPr>
        <w:t>10. 需要补充的其他内容</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_Toc226115576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7D12811">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fldChar w:fldCharType="begin"/>
      </w:r>
      <w:r>
        <w:instrText xml:space="preserve"> HYPERLINK \l "_Toc226115577" </w:instrText>
      </w:r>
      <w:r>
        <w:fldChar w:fldCharType="separate"/>
      </w:r>
      <w:r>
        <w:rPr>
          <w:rStyle w:val="53"/>
          <w:rFonts w:hint="eastAsia" w:ascii="宋体" w:hAnsi="宋体"/>
          <w:snapToGrid w:val="0"/>
          <w:color w:val="000000" w:themeColor="text1"/>
          <w:kern w:val="0"/>
          <w14:textFill>
            <w14:solidFill>
              <w14:schemeClr w14:val="tx1"/>
            </w14:solidFill>
          </w14:textFill>
        </w:rPr>
        <w:t>第三章  评标办法（经评审的最低投标价法）</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_Toc226115577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2EFD926">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"_Toc226115578" </w:instrText>
      </w:r>
      <w:r>
        <w:fldChar w:fldCharType="separate"/>
      </w:r>
      <w:r>
        <w:rPr>
          <w:rStyle w:val="53"/>
          <w:rFonts w:hint="eastAsia" w:ascii="宋体" w:hAnsi="宋体"/>
          <w:b/>
          <w:color w:val="000000" w:themeColor="text1"/>
          <w14:textFill>
            <w14:solidFill>
              <w14:schemeClr w14:val="tx1"/>
            </w14:solidFill>
          </w14:textFill>
        </w:rPr>
        <w:t>评标办法前附表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_Toc226115578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2B87D29">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"_Toc226115579" </w:instrText>
      </w:r>
      <w:r>
        <w:fldChar w:fldCharType="separate"/>
      </w:r>
      <w:r>
        <w:rPr>
          <w:rStyle w:val="53"/>
          <w:rFonts w:hint="eastAsia" w:ascii="宋体" w:hAnsi="宋体"/>
          <w:snapToGrid w:val="0"/>
          <w:color w:val="000000" w:themeColor="text1"/>
          <w14:textFill>
            <w14:solidFill>
              <w14:schemeClr w14:val="tx1"/>
            </w14:solidFill>
          </w14:textFill>
        </w:rPr>
        <w:t>1.  评标方法</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_Toc226115579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7F2B459">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"_Toc226115580" </w:instrText>
      </w:r>
      <w:r>
        <w:fldChar w:fldCharType="separate"/>
      </w:r>
      <w:r>
        <w:rPr>
          <w:rStyle w:val="53"/>
          <w:rFonts w:hint="eastAsia" w:ascii="宋体" w:hAnsi="宋体"/>
          <w:snapToGrid w:val="0"/>
          <w:color w:val="000000" w:themeColor="text1"/>
          <w14:textFill>
            <w14:solidFill>
              <w14:schemeClr w14:val="tx1"/>
            </w14:solidFill>
          </w14:textFill>
        </w:rPr>
        <w:t>2.  评审标准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_Toc226115580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771A007">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"_Toc226115581" </w:instrText>
      </w:r>
      <w:r>
        <w:fldChar w:fldCharType="separate"/>
      </w:r>
      <w:r>
        <w:rPr>
          <w:rStyle w:val="53"/>
          <w:rFonts w:hint="eastAsia" w:ascii="宋体" w:hAnsi="宋体" w:cs="宋体"/>
          <w:color w:val="000000" w:themeColor="text1"/>
          <w14:textFill>
            <w14:solidFill>
              <w14:schemeClr w14:val="tx1"/>
            </w14:solidFill>
          </w14:textFill>
        </w:rPr>
        <w:t>2.1初步评审标准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_Toc226115581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BA06E16">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"_Toc226115582" </w:instrText>
      </w:r>
      <w:r>
        <w:fldChar w:fldCharType="separate"/>
      </w:r>
      <w:r>
        <w:rPr>
          <w:rStyle w:val="53"/>
          <w:rFonts w:hint="eastAsia" w:ascii="宋体" w:hAnsi="宋体" w:cs="宋体"/>
          <w:color w:val="000000" w:themeColor="text1"/>
          <w14:textFill>
            <w14:solidFill>
              <w14:schemeClr w14:val="tx1"/>
            </w14:solidFill>
          </w14:textFill>
        </w:rPr>
        <w:t>2.2详细评审标准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_Toc226115582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D57249C">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"_Toc226115583" </w:instrText>
      </w:r>
      <w:r>
        <w:fldChar w:fldCharType="separate"/>
      </w:r>
      <w:r>
        <w:rPr>
          <w:rStyle w:val="53"/>
          <w:rFonts w:hint="eastAsia" w:ascii="宋体" w:hAnsi="宋体"/>
          <w:snapToGrid w:val="0"/>
          <w:color w:val="000000" w:themeColor="text1"/>
          <w14:textFill>
            <w14:solidFill>
              <w14:schemeClr w14:val="tx1"/>
            </w14:solidFill>
          </w14:textFill>
        </w:rPr>
        <w:t>3.  评标程序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_Toc226115583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96FF03B">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"_Toc226115584" </w:instrText>
      </w:r>
      <w:r>
        <w:fldChar w:fldCharType="separate"/>
      </w:r>
      <w:r>
        <w:rPr>
          <w:rStyle w:val="53"/>
          <w:rFonts w:hint="eastAsia" w:ascii="宋体" w:hAnsi="宋体" w:cs="宋体"/>
          <w:color w:val="000000" w:themeColor="text1"/>
          <w14:textFill>
            <w14:solidFill>
              <w14:schemeClr w14:val="tx1"/>
            </w14:solidFill>
          </w14:textFill>
        </w:rPr>
        <w:t>3.1投标报价排序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_Toc226115584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46010BD">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"_Toc226115585" </w:instrText>
      </w:r>
      <w:r>
        <w:fldChar w:fldCharType="separate"/>
      </w:r>
      <w:r>
        <w:rPr>
          <w:rStyle w:val="53"/>
          <w:rFonts w:hint="eastAsia" w:ascii="宋体" w:hAnsi="宋体" w:cs="宋体"/>
          <w:color w:val="000000" w:themeColor="text1"/>
          <w14:textFill>
            <w14:solidFill>
              <w14:schemeClr w14:val="tx1"/>
            </w14:solidFill>
          </w14:textFill>
        </w:rPr>
        <w:t>3.2初步评审和详细评审</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_Toc226115585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ABE9D54">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"_Toc226115586" </w:instrText>
      </w:r>
      <w:r>
        <w:fldChar w:fldCharType="separate"/>
      </w:r>
      <w:r>
        <w:rPr>
          <w:rStyle w:val="53"/>
          <w:rFonts w:hint="eastAsia" w:ascii="宋体" w:hAnsi="宋体" w:cs="宋体"/>
          <w:color w:val="000000" w:themeColor="text1"/>
          <w14:textFill>
            <w14:solidFill>
              <w14:schemeClr w14:val="tx1"/>
            </w14:solidFill>
          </w14:textFill>
        </w:rPr>
        <w:t>3.3 投标文件的澄清和补正</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_Toc226115586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D69FE28">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"_Toc226115587" </w:instrText>
      </w:r>
      <w:r>
        <w:fldChar w:fldCharType="separate"/>
      </w:r>
      <w:r>
        <w:rPr>
          <w:rStyle w:val="53"/>
          <w:rFonts w:hint="eastAsia" w:ascii="宋体" w:hAnsi="宋体" w:cs="宋体"/>
          <w:color w:val="000000" w:themeColor="text1"/>
          <w14:textFill>
            <w14:solidFill>
              <w14:schemeClr w14:val="tx1"/>
            </w14:solidFill>
          </w14:textFill>
        </w:rPr>
        <w:t>3.4 评标结果</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_Toc226115587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962ECE2">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"_Toc226115588" </w:instrText>
      </w:r>
      <w:r>
        <w:fldChar w:fldCharType="separate"/>
      </w:r>
      <w:r>
        <w:rPr>
          <w:rStyle w:val="53"/>
          <w:rFonts w:hint="eastAsia" w:ascii="宋体" w:hAnsi="宋体" w:cs="宋体"/>
          <w:color w:val="000000" w:themeColor="text1"/>
          <w14:textFill>
            <w14:solidFill>
              <w14:schemeClr w14:val="tx1"/>
            </w14:solidFill>
          </w14:textFill>
        </w:rPr>
        <w:t>3.4.2 评标委员会完成评标后，应当向招标人提交书面评标报告和中标候选人名单。</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_Toc226115588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9F69CFD">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fldChar w:fldCharType="begin"/>
      </w:r>
      <w:r>
        <w:instrText xml:space="preserve"> HYPERLINK \l "_Toc226115589" </w:instrText>
      </w:r>
      <w:r>
        <w:fldChar w:fldCharType="separate"/>
      </w:r>
      <w:r>
        <w:rPr>
          <w:rStyle w:val="53"/>
          <w:rFonts w:hint="eastAsia" w:ascii="宋体" w:hAnsi="宋体"/>
          <w:color w:val="000000" w:themeColor="text1"/>
          <w:kern w:val="0"/>
          <w14:textFill>
            <w14:solidFill>
              <w14:schemeClr w14:val="tx1"/>
            </w14:solidFill>
          </w14:textFill>
        </w:rPr>
        <w:t>第四章  合同条款及格式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_Toc226115589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50AF361">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"_Toc226115590" </w:instrText>
      </w:r>
      <w:r>
        <w:fldChar w:fldCharType="separate"/>
      </w:r>
      <w:r>
        <w:rPr>
          <w:rStyle w:val="53"/>
          <w:rFonts w:hint="eastAsia" w:ascii="宋体" w:hAnsi="宋体"/>
          <w:color w:val="000000" w:themeColor="text1"/>
          <w14:textFill>
            <w14:solidFill>
              <w14:schemeClr w14:val="tx1"/>
            </w14:solidFill>
          </w14:textFill>
        </w:rPr>
        <w:t>第一部分 合同协议书</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_Toc226115590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486162E">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"_Toc226115591" </w:instrText>
      </w:r>
      <w:r>
        <w:fldChar w:fldCharType="separate"/>
      </w:r>
      <w:r>
        <w:rPr>
          <w:rStyle w:val="53"/>
          <w:rFonts w:hint="eastAsia" w:ascii="宋体" w:hAnsi="宋体"/>
          <w:color w:val="000000" w:themeColor="text1"/>
          <w14:textFill>
            <w14:solidFill>
              <w14:schemeClr w14:val="tx1"/>
            </w14:solidFill>
          </w14:textFill>
        </w:rPr>
        <w:t>第二部分 通用合同条款</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_Toc226115591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683C39C">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"_Toc226115592" </w:instrText>
      </w:r>
      <w:r>
        <w:fldChar w:fldCharType="separate"/>
      </w:r>
      <w:r>
        <w:rPr>
          <w:rStyle w:val="53"/>
          <w:rFonts w:hint="eastAsia" w:ascii="宋体" w:hAnsi="宋体"/>
          <w:color w:val="000000" w:themeColor="text1"/>
          <w14:textFill>
            <w14:solidFill>
              <w14:schemeClr w14:val="tx1"/>
            </w14:solidFill>
          </w14:textFill>
        </w:rPr>
        <w:t>第三部分 专用合同条款</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_Toc226115592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94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20EA635">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fldChar w:fldCharType="begin"/>
      </w:r>
      <w:r>
        <w:instrText xml:space="preserve"> HYPERLINK \l "_Toc226115593" </w:instrText>
      </w:r>
      <w:r>
        <w:fldChar w:fldCharType="separate"/>
      </w:r>
      <w:r>
        <w:rPr>
          <w:rStyle w:val="53"/>
          <w:rFonts w:hint="eastAsia" w:ascii="宋体" w:hAnsi="宋体" w:cs="宋体"/>
          <w:color w:val="000000" w:themeColor="text1"/>
          <w14:textFill>
            <w14:solidFill>
              <w14:schemeClr w14:val="tx1"/>
            </w14:solidFill>
          </w14:textFill>
        </w:rPr>
        <w:t>一、工程质量保修范围和内容</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_Toc226115593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139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DE64EF2">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fldChar w:fldCharType="begin"/>
      </w:r>
      <w:r>
        <w:instrText xml:space="preserve"> HYPERLINK \l "_Toc226115594" </w:instrText>
      </w:r>
      <w:r>
        <w:fldChar w:fldCharType="separate"/>
      </w:r>
      <w:r>
        <w:rPr>
          <w:rStyle w:val="53"/>
          <w:rFonts w:hint="eastAsia" w:ascii="宋体" w:hAnsi="宋体" w:cs="宋体"/>
          <w:color w:val="000000" w:themeColor="text1"/>
          <w14:textFill>
            <w14:solidFill>
              <w14:schemeClr w14:val="tx1"/>
            </w14:solidFill>
          </w14:textFill>
        </w:rPr>
        <w:t>二、质量保修期</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_Toc226115594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139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E11EE81">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fldChar w:fldCharType="begin"/>
      </w:r>
      <w:r>
        <w:instrText xml:space="preserve"> HYPERLINK \l "_Toc226115595" </w:instrText>
      </w:r>
      <w:r>
        <w:fldChar w:fldCharType="separate"/>
      </w:r>
      <w:r>
        <w:rPr>
          <w:rStyle w:val="53"/>
          <w:rFonts w:hint="eastAsia" w:ascii="宋体" w:hAnsi="宋体" w:cs="宋体"/>
          <w:color w:val="000000" w:themeColor="text1"/>
          <w14:textFill>
            <w14:solidFill>
              <w14:schemeClr w14:val="tx1"/>
            </w14:solidFill>
          </w14:textFill>
        </w:rPr>
        <w:t>三、缺陷责任期</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_Toc226115595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139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96B4169">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fldChar w:fldCharType="begin"/>
      </w:r>
      <w:r>
        <w:instrText xml:space="preserve"> HYPERLINK \l "_Toc226115596" </w:instrText>
      </w:r>
      <w:r>
        <w:fldChar w:fldCharType="separate"/>
      </w:r>
      <w:r>
        <w:rPr>
          <w:rStyle w:val="53"/>
          <w:rFonts w:hint="eastAsia" w:ascii="宋体" w:hAnsi="宋体" w:cs="宋体"/>
          <w:color w:val="000000" w:themeColor="text1"/>
          <w14:textFill>
            <w14:solidFill>
              <w14:schemeClr w14:val="tx1"/>
            </w14:solidFill>
          </w14:textFill>
        </w:rPr>
        <w:t>四、质量保修责任</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_Toc226115596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139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E76BED9">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fldChar w:fldCharType="begin"/>
      </w:r>
      <w:r>
        <w:instrText xml:space="preserve"> HYPERLINK \l "_Toc226115597" </w:instrText>
      </w:r>
      <w:r>
        <w:fldChar w:fldCharType="separate"/>
      </w:r>
      <w:r>
        <w:rPr>
          <w:rStyle w:val="53"/>
          <w:rFonts w:hint="eastAsia" w:ascii="宋体" w:hAnsi="宋体" w:cs="宋体"/>
          <w:color w:val="000000" w:themeColor="text1"/>
          <w14:textFill>
            <w14:solidFill>
              <w14:schemeClr w14:val="tx1"/>
            </w14:solidFill>
          </w14:textFill>
        </w:rPr>
        <w:t>五、保修费用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_Toc226115597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140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3E3014E">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fldChar w:fldCharType="begin"/>
      </w:r>
      <w:r>
        <w:instrText xml:space="preserve"> HYPERLINK \l "_Toc226115598" </w:instrText>
      </w:r>
      <w:r>
        <w:fldChar w:fldCharType="separate"/>
      </w:r>
      <w:r>
        <w:rPr>
          <w:rStyle w:val="53"/>
          <w:rFonts w:hint="eastAsia" w:ascii="宋体" w:hAnsi="宋体"/>
          <w:color w:val="000000" w:themeColor="text1"/>
          <w14:textFill>
            <w14:solidFill>
              <w14:schemeClr w14:val="tx1"/>
            </w14:solidFill>
          </w14:textFill>
        </w:rPr>
        <w:t>第五章  工程量清单</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_Toc226115598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147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D449809">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fldChar w:fldCharType="begin"/>
      </w:r>
      <w:r>
        <w:instrText xml:space="preserve"> HYPERLINK \l "_Toc226115599" </w:instrText>
      </w:r>
      <w:r>
        <w:fldChar w:fldCharType="separate"/>
      </w:r>
      <w:r>
        <w:rPr>
          <w:rStyle w:val="53"/>
          <w:rFonts w:hint="eastAsia" w:ascii="宋体" w:hAnsi="宋体"/>
          <w:color w:val="000000" w:themeColor="text1"/>
          <w14:textFill>
            <w14:solidFill>
              <w14:schemeClr w14:val="tx1"/>
            </w14:solidFill>
          </w14:textFill>
        </w:rPr>
        <w:t>第 二 卷</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_Toc226115599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148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252A1AA">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fldChar w:fldCharType="begin"/>
      </w:r>
      <w:r>
        <w:instrText xml:space="preserve"> HYPERLINK \l "_Toc226115600" </w:instrText>
      </w:r>
      <w:r>
        <w:fldChar w:fldCharType="separate"/>
      </w:r>
      <w:r>
        <w:rPr>
          <w:rStyle w:val="53"/>
          <w:rFonts w:hint="eastAsia" w:ascii="宋体" w:hAnsi="宋体"/>
          <w:color w:val="000000" w:themeColor="text1"/>
          <w14:textFill>
            <w14:solidFill>
              <w14:schemeClr w14:val="tx1"/>
            </w14:solidFill>
          </w14:textFill>
        </w:rPr>
        <w:t>第六章  图纸</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_Toc226115600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149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736E502">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fldChar w:fldCharType="begin"/>
      </w:r>
      <w:r>
        <w:instrText xml:space="preserve"> HYPERLINK \l "_Toc226115601" </w:instrText>
      </w:r>
      <w:r>
        <w:fldChar w:fldCharType="separate"/>
      </w:r>
      <w:r>
        <w:rPr>
          <w:rStyle w:val="53"/>
          <w:rFonts w:hint="eastAsia" w:ascii="宋体" w:hAnsi="宋体"/>
          <w:color w:val="000000" w:themeColor="text1"/>
          <w14:textFill>
            <w14:solidFill>
              <w14:schemeClr w14:val="tx1"/>
            </w14:solidFill>
          </w14:textFill>
        </w:rPr>
        <w:t>第 三 卷</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_Toc226115601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150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97DFEC6">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fldChar w:fldCharType="begin"/>
      </w:r>
      <w:r>
        <w:instrText xml:space="preserve"> HYPERLINK \l "_Toc226115602" </w:instrText>
      </w:r>
      <w:r>
        <w:fldChar w:fldCharType="separate"/>
      </w:r>
      <w:r>
        <w:rPr>
          <w:rStyle w:val="53"/>
          <w:rFonts w:hint="eastAsia" w:ascii="宋体" w:hAnsi="宋体"/>
          <w:color w:val="000000" w:themeColor="text1"/>
          <w14:textFill>
            <w14:solidFill>
              <w14:schemeClr w14:val="tx1"/>
            </w14:solidFill>
          </w14:textFill>
        </w:rPr>
        <w:t>第七章  技术标准和要求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_Toc226115602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151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E2B7926">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fldChar w:fldCharType="begin"/>
      </w:r>
      <w:r>
        <w:instrText xml:space="preserve"> HYPERLINK \l "_Toc226115603" </w:instrText>
      </w:r>
      <w:r>
        <w:fldChar w:fldCharType="separate"/>
      </w:r>
      <w:r>
        <w:rPr>
          <w:rStyle w:val="53"/>
          <w:rFonts w:hint="eastAsia" w:ascii="宋体" w:hAnsi="宋体"/>
          <w:color w:val="000000" w:themeColor="text1"/>
          <w14:textFill>
            <w14:solidFill>
              <w14:schemeClr w14:val="tx1"/>
            </w14:solidFill>
          </w14:textFill>
        </w:rPr>
        <w:t>第 四 卷</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_Toc226115603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152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9456753">
      <w:pPr>
        <w:pStyle w:val="31"/>
        <w:tabs>
          <w:tab w:val="right" w:leader="dot" w:pos="9459"/>
        </w:tabs>
        <w:rPr>
          <w:rFonts w:asciiTheme="minorHAnsi" w:hAnsiTheme="minorHAnsi" w:eastAsiaTheme="minorEastAsia" w:cstheme="minorBidi"/>
          <w:b w:val="0"/>
          <w:bCs w:val="0"/>
          <w:caps w:val="0"/>
          <w:color w:val="000000" w:themeColor="text1"/>
          <w:sz w:val="22"/>
          <w:szCs w:val="24"/>
          <w14:textFill>
            <w14:solidFill>
              <w14:schemeClr w14:val="tx1"/>
            </w14:solidFill>
          </w14:textFill>
          <w14:ligatures w14:val="standardContextual"/>
        </w:rPr>
      </w:pPr>
      <w:r>
        <w:fldChar w:fldCharType="begin"/>
      </w:r>
      <w:r>
        <w:instrText xml:space="preserve"> HYPERLINK \l "_Toc226115604" </w:instrText>
      </w:r>
      <w:r>
        <w:fldChar w:fldCharType="separate"/>
      </w:r>
      <w:r>
        <w:rPr>
          <w:rStyle w:val="53"/>
          <w:rFonts w:hint="eastAsia" w:ascii="宋体" w:hAnsi="宋体"/>
          <w:color w:val="000000" w:themeColor="text1"/>
          <w14:textFill>
            <w14:solidFill>
              <w14:schemeClr w14:val="tx1"/>
            </w14:solidFill>
          </w14:textFill>
        </w:rPr>
        <w:t>第八章  投标文件格式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_Toc226115604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153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626ECB0">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"_Toc226115605" </w:instrText>
      </w:r>
      <w:r>
        <w:fldChar w:fldCharType="separate"/>
      </w:r>
      <w:r>
        <w:rPr>
          <w:rStyle w:val="53"/>
          <w:rFonts w:hint="eastAsia" w:ascii="宋体" w:hAnsi="宋体"/>
          <w:color w:val="000000" w:themeColor="text1"/>
          <w14:textFill>
            <w14:solidFill>
              <w14:schemeClr w14:val="tx1"/>
            </w14:solidFill>
          </w14:textFill>
        </w:rPr>
        <w:t>一、投标函部分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_Toc226115605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155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8FC6C2E">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"_Toc226115606" </w:instrText>
      </w:r>
      <w:r>
        <w:fldChar w:fldCharType="separate"/>
      </w:r>
      <w:r>
        <w:rPr>
          <w:rStyle w:val="53"/>
          <w:rFonts w:hint="eastAsia" w:ascii="宋体" w:hAnsi="宋体"/>
          <w:color w:val="000000" w:themeColor="text1"/>
          <w14:textFill>
            <w14:solidFill>
              <w14:schemeClr w14:val="tx1"/>
            </w14:solidFill>
          </w14:textFill>
        </w:rPr>
        <w:t>（一）投标函</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_Toc226115606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158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7E4AF7F">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"_Toc226115607" </w:instrText>
      </w:r>
      <w:r>
        <w:fldChar w:fldCharType="separate"/>
      </w:r>
      <w:r>
        <w:rPr>
          <w:rStyle w:val="53"/>
          <w:rFonts w:hint="eastAsia" w:ascii="宋体" w:hAnsi="宋体"/>
          <w:color w:val="000000" w:themeColor="text1"/>
          <w14:textFill>
            <w14:solidFill>
              <w14:schemeClr w14:val="tx1"/>
            </w14:solidFill>
          </w14:textFill>
        </w:rPr>
        <w:t>（二）投标函附录</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_Toc226115607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159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BD5D6E2">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"_Toc226115608" </w:instrText>
      </w:r>
      <w:r>
        <w:fldChar w:fldCharType="separate"/>
      </w:r>
      <w:r>
        <w:rPr>
          <w:rStyle w:val="53"/>
          <w:rFonts w:hint="eastAsia" w:ascii="宋体" w:hAnsi="宋体"/>
          <w:color w:val="000000" w:themeColor="text1"/>
          <w14:textFill>
            <w14:solidFill>
              <w14:schemeClr w14:val="tx1"/>
            </w14:solidFill>
          </w14:textFill>
        </w:rPr>
        <w:t>（三）投标报价合理性说明（如有）</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_Toc226115608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160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63B6DF2">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"_Toc226115609" </w:instrText>
      </w:r>
      <w:r>
        <w:fldChar w:fldCharType="separate"/>
      </w:r>
      <w:r>
        <w:rPr>
          <w:rStyle w:val="53"/>
          <w:rFonts w:hint="eastAsia" w:ascii="宋体" w:hAnsi="宋体"/>
          <w:color w:val="000000" w:themeColor="text1"/>
          <w14:textFill>
            <w14:solidFill>
              <w14:schemeClr w14:val="tx1"/>
            </w14:solidFill>
          </w14:textFill>
        </w:rPr>
        <w:t>（四）法定代表人身份证明或授权委托书</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_Toc226115609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161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5F73EEA">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"_Toc226115610" </w:instrText>
      </w:r>
      <w:r>
        <w:fldChar w:fldCharType="separate"/>
      </w:r>
      <w:r>
        <w:rPr>
          <w:rStyle w:val="53"/>
          <w:rFonts w:hint="eastAsia" w:ascii="宋体" w:hAnsi="宋体"/>
          <w:color w:val="000000" w:themeColor="text1"/>
          <w14:textFill>
            <w14:solidFill>
              <w14:schemeClr w14:val="tx1"/>
            </w14:solidFill>
          </w14:textFill>
        </w:rPr>
        <w:t>二、报价部分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_Toc226115610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163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E24C1F5">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"_Toc226115611" </w:instrText>
      </w:r>
      <w:r>
        <w:fldChar w:fldCharType="separate"/>
      </w:r>
      <w:r>
        <w:rPr>
          <w:rStyle w:val="53"/>
          <w:rFonts w:hint="eastAsia" w:ascii="宋体" w:hAnsi="宋体"/>
          <w:color w:val="000000" w:themeColor="text1"/>
          <w14:textFill>
            <w14:solidFill>
              <w14:schemeClr w14:val="tx1"/>
            </w14:solidFill>
          </w14:textFill>
        </w:rPr>
        <w:t>（一）已标价工程量清单</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_Toc226115611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166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4022B7C">
      <w:pPr>
        <w:pStyle w:val="37"/>
        <w:tabs>
          <w:tab w:val="right" w:leader="dot" w:pos="9459"/>
        </w:tabs>
        <w:rPr>
          <w:rFonts w:asciiTheme="minorHAnsi" w:hAnsiTheme="minorHAnsi" w:eastAsiaTheme="minorEastAsia" w:cstheme="minorBidi"/>
          <w:smallCaps w:val="0"/>
          <w:color w:val="000000" w:themeColor="text1"/>
          <w:sz w:val="22"/>
          <w:szCs w:val="24"/>
          <w14:textFill>
            <w14:solidFill>
              <w14:schemeClr w14:val="tx1"/>
            </w14:solidFill>
          </w14:textFill>
          <w14:ligatures w14:val="standardContextual"/>
        </w:rPr>
      </w:pPr>
      <w:r>
        <w:fldChar w:fldCharType="begin"/>
      </w:r>
      <w:r>
        <w:instrText xml:space="preserve"> HYPERLINK \l "_Toc226115612" </w:instrText>
      </w:r>
      <w:r>
        <w:fldChar w:fldCharType="separate"/>
      </w:r>
      <w:r>
        <w:rPr>
          <w:rStyle w:val="53"/>
          <w:rFonts w:hint="eastAsia" w:ascii="宋体" w:hAnsi="宋体"/>
          <w:color w:val="000000" w:themeColor="text1"/>
          <w14:textFill>
            <w14:solidFill>
              <w14:schemeClr w14:val="tx1"/>
            </w14:solidFill>
          </w14:textFill>
        </w:rPr>
        <w:t>三、资格审查部分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_Toc226115612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167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F7CF74A">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"_Toc226115613" </w:instrText>
      </w:r>
      <w:r>
        <w:fldChar w:fldCharType="separate"/>
      </w:r>
      <w:r>
        <w:rPr>
          <w:rStyle w:val="53"/>
          <w:rFonts w:hint="eastAsia" w:ascii="宋体" w:hAnsi="宋体"/>
          <w:color w:val="000000" w:themeColor="text1"/>
          <w14:textFill>
            <w14:solidFill>
              <w14:schemeClr w14:val="tx1"/>
            </w14:solidFill>
          </w14:textFill>
        </w:rPr>
        <w:t>（一）法定代表人身份证明或授权委托书</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_Toc226115613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170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E4E8D91">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"_Toc226115614" </w:instrText>
      </w:r>
      <w:r>
        <w:fldChar w:fldCharType="separate"/>
      </w:r>
      <w:r>
        <w:rPr>
          <w:rStyle w:val="53"/>
          <w:rFonts w:hint="eastAsia" w:ascii="宋体" w:hAnsi="宋体"/>
          <w:color w:val="000000" w:themeColor="text1"/>
          <w14:textFill>
            <w14:solidFill>
              <w14:schemeClr w14:val="tx1"/>
            </w14:solidFill>
          </w14:textFill>
        </w:rPr>
        <w:t>（二）承诺</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_Toc226115614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172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444B43C">
      <w:pPr>
        <w:pStyle w:val="22"/>
        <w:tabs>
          <w:tab w:val="right" w:leader="dot" w:pos="9459"/>
        </w:tabs>
        <w:rPr>
          <w:rFonts w:asciiTheme="minorHAnsi" w:hAnsiTheme="minorHAnsi" w:eastAsiaTheme="minorEastAsia" w:cstheme="minorBidi"/>
          <w:i w:val="0"/>
          <w:iCs w:val="0"/>
          <w:color w:val="000000" w:themeColor="text1"/>
          <w:sz w:val="22"/>
          <w:szCs w:val="24"/>
          <w14:textFill>
            <w14:solidFill>
              <w14:schemeClr w14:val="tx1"/>
            </w14:solidFill>
          </w14:textFill>
          <w14:ligatures w14:val="standardContextual"/>
        </w:rPr>
      </w:pPr>
      <w:r>
        <w:fldChar w:fldCharType="begin"/>
      </w:r>
      <w:r>
        <w:instrText xml:space="preserve"> HYPERLINK \l "_Toc226115615" </w:instrText>
      </w:r>
      <w:r>
        <w:fldChar w:fldCharType="separate"/>
      </w:r>
      <w:r>
        <w:rPr>
          <w:rStyle w:val="53"/>
          <w:rFonts w:hint="eastAsia" w:ascii="宋体" w:hAnsi="宋体"/>
          <w:color w:val="000000" w:themeColor="text1"/>
          <w14:textFill>
            <w14:solidFill>
              <w14:schemeClr w14:val="tx1"/>
            </w14:solidFill>
          </w14:textFill>
        </w:rPr>
        <w:t>（三）其他资料</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_Toc226115615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174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7A5C14F">
      <w:pPr>
        <w:pStyle w:val="22"/>
        <w:tabs>
          <w:tab w:val="right" w:leader="dot" w:pos="9469"/>
        </w:tabs>
        <w:rPr>
          <w:rFonts w:hint="eastAsia" w:ascii="宋体" w:hAnsi="宋体"/>
          <w:color w:val="000000" w:themeColor="text1"/>
          <w14:textFill>
            <w14:solidFill>
              <w14:schemeClr w14:val="tx1"/>
            </w14:solidFill>
          </w14:textFill>
        </w:rPr>
      </w:pPr>
      <w:r>
        <w:rPr>
          <w:rFonts w:ascii="宋体" w:hAnsi="宋体"/>
          <w:bCs/>
          <w:i w:val="0"/>
          <w:iCs w:val="0"/>
          <w:color w:val="000000" w:themeColor="text1"/>
          <w:lang w:val="zh-CN"/>
          <w14:textFill>
            <w14:solidFill>
              <w14:schemeClr w14:val="tx1"/>
            </w14:solidFill>
          </w14:textFill>
        </w:rPr>
        <w:fldChar w:fldCharType="end"/>
      </w:r>
    </w:p>
    <w:bookmarkEnd w:id="0"/>
    <w:p w14:paraId="7BA6FC12">
      <w:pPr>
        <w:spacing w:line="20" w:lineRule="exact"/>
        <w:rPr>
          <w:rFonts w:hint="eastAsia" w:ascii="宋体" w:hAnsi="宋体"/>
          <w:color w:val="000000" w:themeColor="text1"/>
          <w14:textFill>
            <w14:solidFill>
              <w14:schemeClr w14:val="tx1"/>
            </w14:solidFill>
          </w14:textFill>
        </w:rPr>
      </w:pPr>
      <w:bookmarkStart w:id="2" w:name="_Toc430530414"/>
    </w:p>
    <w:p w14:paraId="1DC86EC2">
      <w:pPr>
        <w:spacing w:line="20" w:lineRule="exact"/>
        <w:jc w:val="left"/>
        <w:rPr>
          <w:rFonts w:hint="eastAsia" w:ascii="宋体" w:hAnsi="宋体"/>
          <w:color w:val="000000" w:themeColor="text1"/>
          <w14:textFill>
            <w14:solidFill>
              <w14:schemeClr w14:val="tx1"/>
            </w14:solidFill>
          </w14:textFill>
        </w:rPr>
        <w:sectPr>
          <w:footerReference r:id="rId3" w:type="default"/>
          <w:pgSz w:w="11907" w:h="16840"/>
          <w:pgMar w:top="1304" w:right="1134" w:bottom="1304" w:left="1304" w:header="851" w:footer="992" w:gutter="0"/>
          <w:pgNumType w:fmt="numberInDash" w:start="1"/>
          <w:cols w:space="720" w:num="1"/>
          <w:docGrid w:linePitch="312" w:charSpace="0"/>
        </w:sectPr>
      </w:pPr>
    </w:p>
    <w:bookmarkEnd w:id="2"/>
    <w:p w14:paraId="2FACB06C">
      <w:pPr>
        <w:spacing w:line="360" w:lineRule="auto"/>
        <w:rPr>
          <w:rFonts w:hint="eastAsia" w:ascii="宋体" w:hAnsi="宋体"/>
          <w:color w:val="000000" w:themeColor="text1"/>
          <w14:textFill>
            <w14:solidFill>
              <w14:schemeClr w14:val="tx1"/>
            </w14:solidFill>
          </w14:textFill>
        </w:rPr>
      </w:pPr>
    </w:p>
    <w:p w14:paraId="79142720">
      <w:pPr>
        <w:pStyle w:val="3"/>
        <w:spacing w:before="0" w:after="0" w:line="480" w:lineRule="auto"/>
        <w:jc w:val="center"/>
        <w:rPr>
          <w:rFonts w:hint="eastAsia" w:ascii="宋体" w:hAnsi="宋体"/>
          <w:color w:val="000000" w:themeColor="text1"/>
          <w:sz w:val="52"/>
          <w:szCs w:val="52"/>
          <w14:textFill>
            <w14:solidFill>
              <w14:schemeClr w14:val="tx1"/>
            </w14:solidFill>
          </w14:textFill>
        </w:rPr>
      </w:pPr>
      <w:bookmarkStart w:id="3" w:name="_Toc226115513"/>
      <w:bookmarkStart w:id="4" w:name="_Toc15277"/>
      <w:bookmarkStart w:id="5" w:name="_Toc509218690"/>
      <w:r>
        <w:rPr>
          <w:rFonts w:hint="eastAsia" w:ascii="宋体" w:hAnsi="宋体"/>
          <w:color w:val="000000" w:themeColor="text1"/>
          <w:sz w:val="52"/>
          <w:szCs w:val="52"/>
          <w14:textFill>
            <w14:solidFill>
              <w14:schemeClr w14:val="tx1"/>
            </w14:solidFill>
          </w14:textFill>
        </w:rPr>
        <w:t>第 一 卷</w:t>
      </w:r>
      <w:bookmarkEnd w:id="3"/>
      <w:bookmarkEnd w:id="4"/>
      <w:bookmarkEnd w:id="5"/>
    </w:p>
    <w:p w14:paraId="35956C2F">
      <w:pPr>
        <w:spacing w:line="200" w:lineRule="exac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3084CAA7">
      <w:pPr>
        <w:pStyle w:val="3"/>
        <w:spacing w:before="0" w:line="360" w:lineRule="auto"/>
        <w:jc w:val="center"/>
        <w:rPr>
          <w:rFonts w:hint="eastAsia" w:ascii="宋体" w:hAnsi="宋体"/>
          <w:snapToGrid w:val="0"/>
          <w:color w:val="000000" w:themeColor="text1"/>
          <w:kern w:val="0"/>
          <w14:textFill>
            <w14:solidFill>
              <w14:schemeClr w14:val="tx1"/>
            </w14:solidFill>
          </w14:textFill>
        </w:rPr>
      </w:pPr>
      <w:bookmarkStart w:id="6" w:name="_Toc224103298"/>
      <w:bookmarkStart w:id="7" w:name="_Toc287620666"/>
      <w:bookmarkStart w:id="8" w:name="_Toc287607727"/>
      <w:bookmarkStart w:id="9" w:name="_Toc430530415"/>
      <w:bookmarkStart w:id="10" w:name="_Toc277082535"/>
      <w:bookmarkStart w:id="11" w:name="_Toc509218691"/>
      <w:bookmarkStart w:id="12" w:name="_Toc10054"/>
      <w:bookmarkStart w:id="13" w:name="_Toc226115514"/>
      <w:r>
        <w:rPr>
          <w:rFonts w:ascii="宋体" w:hAnsi="宋体"/>
          <w:snapToGrid w:val="0"/>
          <w:color w:val="000000" w:themeColor="text1"/>
          <w:kern w:val="0"/>
          <w14:textFill>
            <w14:solidFill>
              <w14:schemeClr w14:val="tx1"/>
            </w14:solidFill>
          </w14:textFill>
        </w:rPr>
        <w:t>第一章  竞争性比选公告</w:t>
      </w:r>
      <w:bookmarkEnd w:id="6"/>
      <w:bookmarkEnd w:id="7"/>
      <w:bookmarkEnd w:id="8"/>
      <w:bookmarkEnd w:id="9"/>
      <w:bookmarkEnd w:id="10"/>
      <w:bookmarkEnd w:id="11"/>
      <w:bookmarkEnd w:id="12"/>
      <w:bookmarkEnd w:id="13"/>
    </w:p>
    <w:p w14:paraId="0C2CF38F">
      <w:pPr>
        <w:autoSpaceDE w:val="0"/>
        <w:autoSpaceDN w:val="0"/>
        <w:adjustRightInd w:val="0"/>
        <w:snapToGrid w:val="0"/>
        <w:spacing w:line="360" w:lineRule="auto"/>
        <w:jc w:val="center"/>
        <w:rPr>
          <w:rFonts w:hint="eastAsia" w:ascii="宋体" w:hAnsi="宋体"/>
          <w:snapToGrid w:val="0"/>
          <w:color w:val="000000" w:themeColor="text1"/>
          <w:kern w:val="0"/>
          <w:sz w:val="28"/>
          <w:szCs w:val="28"/>
          <w14:textFill>
            <w14:solidFill>
              <w14:schemeClr w14:val="tx1"/>
            </w14:solidFill>
          </w14:textFill>
        </w:rPr>
      </w:pPr>
      <w:r>
        <w:rPr>
          <w:rFonts w:hint="eastAsia" w:ascii="宋体" w:hAnsi="宋体"/>
          <w:snapToGrid w:val="0"/>
          <w:color w:val="000000" w:themeColor="text1"/>
          <w:kern w:val="0"/>
          <w:sz w:val="28"/>
          <w:szCs w:val="28"/>
          <w:u w:val="single"/>
          <w14:textFill>
            <w14:solidFill>
              <w14:schemeClr w14:val="tx1"/>
            </w14:solidFill>
          </w14:textFill>
        </w:rPr>
        <w:t>垫江县全过程人民民主实践中心装修项目</w:t>
      </w:r>
      <w:r>
        <w:rPr>
          <w:rFonts w:ascii="宋体" w:hAnsi="宋体"/>
          <w:snapToGrid w:val="0"/>
          <w:color w:val="000000" w:themeColor="text1"/>
          <w:w w:val="99"/>
          <w:kern w:val="0"/>
          <w:sz w:val="28"/>
          <w:szCs w:val="28"/>
          <w14:textFill>
            <w14:solidFill>
              <w14:schemeClr w14:val="tx1"/>
            </w14:solidFill>
          </w14:textFill>
        </w:rPr>
        <w:t>竞争性比选公告</w:t>
      </w:r>
    </w:p>
    <w:p w14:paraId="44BC5C87">
      <w:pPr>
        <w:pStyle w:val="4"/>
        <w:spacing w:before="0" w:after="0" w:line="360" w:lineRule="auto"/>
        <w:rPr>
          <w:rFonts w:hint="eastAsia" w:ascii="宋体" w:hAnsi="宋体"/>
          <w:snapToGrid w:val="0"/>
          <w:color w:val="000000" w:themeColor="text1"/>
          <w:sz w:val="28"/>
          <w:szCs w:val="28"/>
          <w14:textFill>
            <w14:solidFill>
              <w14:schemeClr w14:val="tx1"/>
            </w14:solidFill>
          </w14:textFill>
        </w:rPr>
      </w:pPr>
      <w:bookmarkStart w:id="14" w:name="_Toc224103299"/>
      <w:bookmarkStart w:id="15" w:name="_Toc226115515"/>
      <w:bookmarkStart w:id="16" w:name="_Toc200359238"/>
      <w:bookmarkStart w:id="17" w:name="_Toc24274"/>
      <w:bookmarkStart w:id="18" w:name="_Toc200359427"/>
      <w:bookmarkStart w:id="19" w:name="_Toc277082536"/>
      <w:bookmarkStart w:id="20" w:name="_Toc430530416"/>
      <w:bookmarkStart w:id="21" w:name="_Toc287607728"/>
      <w:bookmarkStart w:id="22" w:name="_Toc509218692"/>
      <w:bookmarkStart w:id="23" w:name="_Toc287620667"/>
      <w:r>
        <w:rPr>
          <w:rFonts w:ascii="宋体" w:hAnsi="宋体"/>
          <w:snapToGrid w:val="0"/>
          <w:color w:val="000000" w:themeColor="text1"/>
          <w:sz w:val="28"/>
          <w:szCs w:val="28"/>
          <w14:textFill>
            <w14:solidFill>
              <w14:schemeClr w14:val="tx1"/>
            </w14:solidFill>
          </w14:textFill>
        </w:rPr>
        <w:t xml:space="preserve">1. </w:t>
      </w:r>
      <w:r>
        <w:rPr>
          <w:rFonts w:hint="eastAsia" w:ascii="宋体" w:hAnsi="宋体"/>
          <w:snapToGrid w:val="0"/>
          <w:color w:val="000000" w:themeColor="text1"/>
          <w:sz w:val="28"/>
          <w:szCs w:val="28"/>
          <w14:textFill>
            <w14:solidFill>
              <w14:schemeClr w14:val="tx1"/>
            </w14:solidFill>
          </w14:textFill>
        </w:rPr>
        <w:t xml:space="preserve"> </w:t>
      </w:r>
      <w:r>
        <w:rPr>
          <w:rFonts w:ascii="宋体" w:hAnsi="宋体"/>
          <w:snapToGrid w:val="0"/>
          <w:color w:val="000000" w:themeColor="text1"/>
          <w:sz w:val="28"/>
          <w:szCs w:val="28"/>
          <w14:textFill>
            <w14:solidFill>
              <w14:schemeClr w14:val="tx1"/>
            </w14:solidFill>
          </w14:textFill>
        </w:rPr>
        <w:t>招标条件</w:t>
      </w:r>
      <w:bookmarkEnd w:id="14"/>
      <w:bookmarkEnd w:id="15"/>
      <w:bookmarkEnd w:id="16"/>
      <w:bookmarkEnd w:id="17"/>
      <w:bookmarkEnd w:id="18"/>
      <w:bookmarkEnd w:id="19"/>
      <w:bookmarkEnd w:id="20"/>
      <w:bookmarkEnd w:id="21"/>
      <w:bookmarkEnd w:id="22"/>
      <w:bookmarkEnd w:id="23"/>
    </w:p>
    <w:p w14:paraId="44425245">
      <w:pPr>
        <w:tabs>
          <w:tab w:val="left" w:pos="3315"/>
          <w:tab w:val="left" w:pos="3390"/>
          <w:tab w:val="left" w:pos="6120"/>
          <w:tab w:val="left" w:pos="8850"/>
        </w:tabs>
        <w:autoSpaceDE w:val="0"/>
        <w:autoSpaceDN w:val="0"/>
        <w:adjustRightInd w:val="0"/>
        <w:snapToGrid w:val="0"/>
        <w:spacing w:line="360" w:lineRule="auto"/>
        <w:ind w:firstLine="420"/>
        <w:jc w:val="left"/>
        <w:rPr>
          <w:rFonts w:hint="eastAsia" w:ascii="宋体" w:hAnsi="宋体"/>
          <w:snapToGrid w:val="0"/>
          <w:color w:val="000000" w:themeColor="text1"/>
          <w:kern w:val="0"/>
          <w:szCs w:val="21"/>
          <w14:textFill>
            <w14:solidFill>
              <w14:schemeClr w14:val="tx1"/>
            </w14:solidFill>
          </w14:textFill>
        </w:rPr>
      </w:pPr>
      <w:bookmarkStart w:id="24" w:name="OLE_LINK10"/>
      <w:r>
        <w:rPr>
          <w:rFonts w:ascii="宋体" w:hAnsi="宋体"/>
          <w:snapToGrid w:val="0"/>
          <w:color w:val="000000" w:themeColor="text1"/>
          <w:kern w:val="0"/>
          <w:szCs w:val="21"/>
          <w14:textFill>
            <w14:solidFill>
              <w14:schemeClr w14:val="tx1"/>
            </w14:solidFill>
          </w14:textFill>
        </w:rPr>
        <w:t>本招标项目</w:t>
      </w:r>
      <w:r>
        <w:rPr>
          <w:rFonts w:ascii="宋体" w:hAnsi="宋体"/>
          <w:snapToGrid w:val="0"/>
          <w:color w:val="000000" w:themeColor="text1"/>
          <w:kern w:val="0"/>
          <w:szCs w:val="21"/>
          <w:u w:val="single"/>
          <w14:textFill>
            <w14:solidFill>
              <w14:schemeClr w14:val="tx1"/>
            </w14:solidFill>
          </w14:textFill>
        </w:rPr>
        <w:t>垫江县全过程人民民主实践中心装修项目</w:t>
      </w:r>
      <w:r>
        <w:rPr>
          <w:rFonts w:ascii="宋体" w:hAnsi="宋体"/>
          <w:snapToGrid w:val="0"/>
          <w:color w:val="000000" w:themeColor="text1"/>
          <w:kern w:val="0"/>
          <w:szCs w:val="21"/>
          <w14:textFill>
            <w14:solidFill>
              <w14:schemeClr w14:val="tx1"/>
            </w14:solidFill>
          </w14:textFill>
        </w:rPr>
        <w:t>，招标人</w:t>
      </w:r>
      <w:r>
        <w:rPr>
          <w:rFonts w:ascii="宋体" w:hAnsi="宋体"/>
          <w:snapToGrid w:val="0"/>
          <w:color w:val="000000" w:themeColor="text1"/>
          <w:kern w:val="0"/>
          <w:position w:val="-2"/>
          <w:szCs w:val="21"/>
          <w14:textFill>
            <w14:solidFill>
              <w14:schemeClr w14:val="tx1"/>
            </w14:solidFill>
          </w14:textFill>
        </w:rPr>
        <w:t>为</w:t>
      </w:r>
      <w:r>
        <w:rPr>
          <w:rFonts w:hint="eastAsia" w:ascii="宋体" w:hAnsi="宋体"/>
          <w:snapToGrid w:val="0"/>
          <w:color w:val="000000" w:themeColor="text1"/>
          <w:kern w:val="0"/>
          <w:szCs w:val="21"/>
          <w:u w:val="single"/>
          <w14:textFill>
            <w14:solidFill>
              <w14:schemeClr w14:val="tx1"/>
            </w14:solidFill>
          </w14:textFill>
        </w:rPr>
        <w:t>垫江县人民代表大会常务委员会办公室</w:t>
      </w:r>
      <w:r>
        <w:rPr>
          <w:rFonts w:ascii="宋体" w:hAnsi="宋体"/>
          <w:snapToGrid w:val="0"/>
          <w:color w:val="000000" w:themeColor="text1"/>
          <w:kern w:val="0"/>
          <w:position w:val="-2"/>
          <w:szCs w:val="21"/>
          <w14:textFill>
            <w14:solidFill>
              <w14:schemeClr w14:val="tx1"/>
            </w14:solidFill>
          </w14:textFill>
        </w:rPr>
        <w:t>。项目已具备招标条件，现对</w:t>
      </w:r>
      <w:r>
        <w:rPr>
          <w:rFonts w:hint="eastAsia" w:ascii="宋体" w:hAnsi="宋体"/>
          <w:snapToGrid w:val="0"/>
          <w:color w:val="000000" w:themeColor="text1"/>
          <w:kern w:val="0"/>
          <w:position w:val="-2"/>
          <w:szCs w:val="21"/>
          <w:u w:val="single"/>
          <w14:textFill>
            <w14:solidFill>
              <w14:schemeClr w14:val="tx1"/>
            </w14:solidFill>
          </w14:textFill>
        </w:rPr>
        <w:t>施工</w:t>
      </w:r>
      <w:r>
        <w:rPr>
          <w:rFonts w:ascii="宋体" w:hAnsi="宋体"/>
          <w:snapToGrid w:val="0"/>
          <w:color w:val="000000" w:themeColor="text1"/>
          <w:kern w:val="0"/>
          <w:position w:val="-2"/>
          <w:szCs w:val="21"/>
          <w14:textFill>
            <w14:solidFill>
              <w14:schemeClr w14:val="tx1"/>
            </w14:solidFill>
          </w14:textFill>
        </w:rPr>
        <w:t>进行公开</w:t>
      </w:r>
      <w:r>
        <w:rPr>
          <w:rFonts w:hint="eastAsia" w:ascii="宋体" w:hAnsi="宋体"/>
          <w:snapToGrid w:val="0"/>
          <w:color w:val="000000" w:themeColor="text1"/>
          <w:kern w:val="0"/>
          <w:position w:val="-2"/>
          <w:szCs w:val="21"/>
          <w14:textFill>
            <w14:solidFill>
              <w14:schemeClr w14:val="tx1"/>
            </w14:solidFill>
          </w14:textFill>
        </w:rPr>
        <w:t>竞争性比选，评标办法采用经评审的最低投标价法。</w:t>
      </w:r>
    </w:p>
    <w:bookmarkEnd w:id="24"/>
    <w:p w14:paraId="16D62541">
      <w:pPr>
        <w:pStyle w:val="4"/>
        <w:spacing w:before="0" w:after="0" w:line="360" w:lineRule="auto"/>
        <w:rPr>
          <w:rFonts w:hint="eastAsia" w:ascii="宋体" w:hAnsi="宋体"/>
          <w:snapToGrid w:val="0"/>
          <w:color w:val="000000" w:themeColor="text1"/>
          <w:sz w:val="28"/>
          <w:szCs w:val="28"/>
          <w14:textFill>
            <w14:solidFill>
              <w14:schemeClr w14:val="tx1"/>
            </w14:solidFill>
          </w14:textFill>
        </w:rPr>
      </w:pPr>
      <w:bookmarkStart w:id="25" w:name="_Toc226115516"/>
      <w:bookmarkStart w:id="26" w:name="_Toc430530417"/>
      <w:bookmarkStart w:id="27" w:name="_Toc277082537"/>
      <w:bookmarkStart w:id="28" w:name="_Toc8532"/>
      <w:bookmarkStart w:id="29" w:name="_Toc200359428"/>
      <w:bookmarkStart w:id="30" w:name="_Toc287620668"/>
      <w:bookmarkStart w:id="31" w:name="_Toc287607729"/>
      <w:bookmarkStart w:id="32" w:name="_Toc224103300"/>
      <w:bookmarkStart w:id="33" w:name="_Toc200359239"/>
      <w:bookmarkStart w:id="34" w:name="_Toc509218693"/>
      <w:r>
        <w:rPr>
          <w:rFonts w:ascii="宋体" w:hAnsi="宋体"/>
          <w:snapToGrid w:val="0"/>
          <w:color w:val="000000" w:themeColor="text1"/>
          <w:sz w:val="28"/>
          <w:szCs w:val="28"/>
          <w14:textFill>
            <w14:solidFill>
              <w14:schemeClr w14:val="tx1"/>
            </w14:solidFill>
          </w14:textFill>
        </w:rPr>
        <w:t>2.</w:t>
      </w:r>
      <w:r>
        <w:rPr>
          <w:rFonts w:hint="eastAsia" w:ascii="宋体" w:hAnsi="宋体"/>
          <w:snapToGrid w:val="0"/>
          <w:color w:val="000000" w:themeColor="text1"/>
          <w:sz w:val="28"/>
          <w:szCs w:val="28"/>
          <w14:textFill>
            <w14:solidFill>
              <w14:schemeClr w14:val="tx1"/>
            </w14:solidFill>
          </w14:textFill>
        </w:rPr>
        <w:t xml:space="preserve"> </w:t>
      </w:r>
      <w:r>
        <w:rPr>
          <w:rFonts w:ascii="宋体" w:hAnsi="宋体"/>
          <w:snapToGrid w:val="0"/>
          <w:color w:val="000000" w:themeColor="text1"/>
          <w:sz w:val="28"/>
          <w:szCs w:val="28"/>
          <w14:textFill>
            <w14:solidFill>
              <w14:schemeClr w14:val="tx1"/>
            </w14:solidFill>
          </w14:textFill>
        </w:rPr>
        <w:t xml:space="preserve"> 项目概况与招标范围</w:t>
      </w:r>
      <w:bookmarkEnd w:id="25"/>
      <w:bookmarkEnd w:id="26"/>
      <w:bookmarkEnd w:id="27"/>
      <w:bookmarkEnd w:id="28"/>
      <w:bookmarkEnd w:id="29"/>
      <w:bookmarkEnd w:id="30"/>
      <w:bookmarkEnd w:id="31"/>
      <w:bookmarkEnd w:id="32"/>
      <w:bookmarkEnd w:id="33"/>
      <w:bookmarkEnd w:id="34"/>
    </w:p>
    <w:p w14:paraId="42B90D1D">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color w:val="000000" w:themeColor="text1"/>
          <w:kern w:val="0"/>
          <w:szCs w:val="21"/>
          <w:u w:val="single"/>
          <w14:textFill>
            <w14:solidFill>
              <w14:schemeClr w14:val="tx1"/>
            </w14:solidFill>
          </w14:textFill>
        </w:rPr>
      </w:pPr>
      <w:bookmarkStart w:id="35" w:name="OLE_LINK11"/>
      <w:r>
        <w:rPr>
          <w:rFonts w:hint="eastAsia" w:ascii="宋体" w:hAnsi="宋体"/>
          <w:snapToGrid w:val="0"/>
          <w:color w:val="000000" w:themeColor="text1"/>
          <w:kern w:val="0"/>
          <w:szCs w:val="21"/>
          <w14:textFill>
            <w14:solidFill>
              <w14:schemeClr w14:val="tx1"/>
            </w14:solidFill>
          </w14:textFill>
        </w:rPr>
        <w:t>2.1 建设地点：</w:t>
      </w:r>
      <w:r>
        <w:rPr>
          <w:rFonts w:hint="eastAsia" w:ascii="宋体" w:hAnsi="宋体"/>
          <w:snapToGrid w:val="0"/>
          <w:color w:val="000000" w:themeColor="text1"/>
          <w:kern w:val="0"/>
          <w:szCs w:val="21"/>
          <w:u w:val="single"/>
          <w14:textFill>
            <w14:solidFill>
              <w14:schemeClr w14:val="tx1"/>
            </w14:solidFill>
          </w14:textFill>
        </w:rPr>
        <w:t>垫江县人大常委会机关二会议室</w:t>
      </w:r>
    </w:p>
    <w:p w14:paraId="7DBEE12E">
      <w:pPr>
        <w:tabs>
          <w:tab w:val="left" w:pos="3840"/>
          <w:tab w:val="left" w:pos="5300"/>
        </w:tabs>
        <w:autoSpaceDE w:val="0"/>
        <w:autoSpaceDN w:val="0"/>
        <w:adjustRightInd w:val="0"/>
        <w:snapToGrid w:val="0"/>
        <w:spacing w:line="360" w:lineRule="auto"/>
        <w:ind w:firstLine="420" w:firstLineChars="200"/>
        <w:jc w:val="left"/>
        <w:rPr>
          <w:rFonts w:hint="eastAsia" w:ascii="宋体" w:hAnsi="宋体"/>
          <w:i/>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2.2 项目概况与建设规模：</w:t>
      </w:r>
      <w:r>
        <w:rPr>
          <w:rFonts w:hint="eastAsia" w:ascii="宋体" w:hAnsi="宋体"/>
          <w:snapToGrid w:val="0"/>
          <w:color w:val="000000" w:themeColor="text1"/>
          <w:kern w:val="0"/>
          <w:szCs w:val="21"/>
          <w:u w:val="single"/>
          <w14:textFill>
            <w14:solidFill>
              <w14:schemeClr w14:val="tx1"/>
            </w14:solidFill>
          </w14:textFill>
        </w:rPr>
        <w:t>本次项目建设内容主要为</w:t>
      </w:r>
      <w:r>
        <w:rPr>
          <w:rFonts w:ascii="宋体" w:hAnsi="宋体"/>
          <w:snapToGrid w:val="0"/>
          <w:color w:val="000000" w:themeColor="text1"/>
          <w:kern w:val="0"/>
          <w:szCs w:val="21"/>
          <w:u w:val="single"/>
          <w14:textFill>
            <w14:solidFill>
              <w14:schemeClr w14:val="tx1"/>
            </w14:solidFill>
          </w14:textFill>
        </w:rPr>
        <w:t>垫江县全过程人民民主实践中心装修项目,</w:t>
      </w:r>
      <w:r>
        <w:rPr>
          <w:rFonts w:hint="eastAsia" w:ascii="宋体" w:hAnsi="宋体"/>
          <w:snapToGrid w:val="0"/>
          <w:color w:val="000000" w:themeColor="text1"/>
          <w:kern w:val="0"/>
          <w:szCs w:val="21"/>
          <w:u w:val="single"/>
          <w14:textFill>
            <w14:solidFill>
              <w14:schemeClr w14:val="tx1"/>
            </w14:solidFill>
          </w14:textFill>
        </w:rPr>
        <w:t>主要包括拆除工程、墙、柱面装饰与隔断、幕墙工程、楼地面装饰工程、天棚工程、安装工程等</w:t>
      </w:r>
      <w:r>
        <w:rPr>
          <w:rFonts w:hint="eastAsia" w:ascii="宋体" w:hAnsi="宋体"/>
          <w:snapToGrid w:val="0"/>
          <w:color w:val="000000" w:themeColor="text1"/>
          <w:kern w:val="0"/>
          <w:szCs w:val="21"/>
          <w14:textFill>
            <w14:solidFill>
              <w14:schemeClr w14:val="tx1"/>
            </w14:solidFill>
          </w14:textFill>
        </w:rPr>
        <w:t>。</w:t>
      </w:r>
    </w:p>
    <w:p w14:paraId="18EE1A6B">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color w:val="000000" w:themeColor="text1"/>
          <w:kern w:val="0"/>
          <w:szCs w:val="21"/>
          <w:u w:val="single"/>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2.3本次招标项目合同估算金额：</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226176.77</w:t>
      </w:r>
      <w:r>
        <w:rPr>
          <w:rFonts w:hint="eastAsia" w:ascii="宋体" w:hAnsi="宋体"/>
          <w:snapToGrid w:val="0"/>
          <w:color w:val="000000" w:themeColor="text1"/>
          <w:kern w:val="0"/>
          <w:szCs w:val="21"/>
          <w:u w:val="single"/>
          <w14:textFill>
            <w14:solidFill>
              <w14:schemeClr w14:val="tx1"/>
            </w14:solidFill>
          </w14:textFill>
        </w:rPr>
        <w:t>元</w:t>
      </w:r>
    </w:p>
    <w:p w14:paraId="24D29958">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color w:val="000000" w:themeColor="text1"/>
          <w:kern w:val="0"/>
          <w:szCs w:val="21"/>
          <w:u w:val="single"/>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2.4 招标范围：</w:t>
      </w:r>
      <w:r>
        <w:rPr>
          <w:rFonts w:hint="eastAsia" w:ascii="宋体" w:hAnsi="宋体"/>
          <w:snapToGrid w:val="0"/>
          <w:color w:val="000000" w:themeColor="text1"/>
          <w:kern w:val="0"/>
          <w:szCs w:val="21"/>
          <w:u w:val="single"/>
          <w14:textFill>
            <w14:solidFill>
              <w14:schemeClr w14:val="tx1"/>
            </w14:solidFill>
          </w14:textFill>
        </w:rPr>
        <w:t>本项目施工图和工程量清单所示的全部工程内容，具体内容详见招标人提供的施工图纸、工程量清单、答疑资料、澄清资料及补遗资料等相关内容。</w:t>
      </w:r>
    </w:p>
    <w:p w14:paraId="3F72ED50">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color w:val="000000" w:themeColor="text1"/>
          <w:kern w:val="0"/>
          <w:szCs w:val="21"/>
          <w:u w:val="single"/>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2.5 工期要求：</w:t>
      </w:r>
      <w:r>
        <w:rPr>
          <w:rFonts w:hint="eastAsia" w:ascii="宋体" w:hAnsi="宋体"/>
          <w:snapToGrid w:val="0"/>
          <w:color w:val="000000" w:themeColor="text1"/>
          <w:kern w:val="0"/>
          <w:szCs w:val="21"/>
          <w:u w:val="single"/>
          <w14:textFill>
            <w14:solidFill>
              <w14:schemeClr w14:val="tx1"/>
            </w14:solidFill>
          </w14:textFill>
        </w:rPr>
        <w:t>30日历天</w:t>
      </w:r>
    </w:p>
    <w:p w14:paraId="3E29A18C">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 xml:space="preserve">    缺陷责任期要求：</w:t>
      </w:r>
      <w:r>
        <w:rPr>
          <w:rFonts w:hint="eastAsia" w:ascii="宋体" w:hAnsi="宋体"/>
          <w:snapToGrid w:val="0"/>
          <w:color w:val="000000" w:themeColor="text1"/>
          <w:kern w:val="0"/>
          <w:szCs w:val="21"/>
          <w:u w:val="single"/>
          <w14:textFill>
            <w14:solidFill>
              <w14:schemeClr w14:val="tx1"/>
            </w14:solidFill>
          </w14:textFill>
        </w:rPr>
        <w:t>24个月</w:t>
      </w:r>
    </w:p>
    <w:p w14:paraId="7787CB50">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2.6 标段划分（如有）：</w:t>
      </w:r>
      <w:r>
        <w:rPr>
          <w:rFonts w:hint="eastAsia" w:ascii="宋体" w:hAnsi="宋体"/>
          <w:snapToGrid w:val="0"/>
          <w:color w:val="000000" w:themeColor="text1"/>
          <w:kern w:val="0"/>
          <w:szCs w:val="21"/>
          <w:u w:val="single"/>
          <w14:textFill>
            <w14:solidFill>
              <w14:schemeClr w14:val="tx1"/>
            </w14:solidFill>
          </w14:textFill>
        </w:rPr>
        <w:t>/</w:t>
      </w:r>
    </w:p>
    <w:p w14:paraId="501A8CED">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2.</w:t>
      </w:r>
      <w:r>
        <w:rPr>
          <w:rFonts w:ascii="宋体" w:hAnsi="宋体"/>
          <w:snapToGrid w:val="0"/>
          <w:color w:val="000000" w:themeColor="text1"/>
          <w:kern w:val="0"/>
          <w:szCs w:val="21"/>
          <w14:textFill>
            <w14:solidFill>
              <w14:schemeClr w14:val="tx1"/>
            </w14:solidFill>
          </w14:textFill>
        </w:rPr>
        <w:t>7</w:t>
      </w:r>
      <w:r>
        <w:rPr>
          <w:rFonts w:hint="eastAsia" w:ascii="宋体" w:hAnsi="宋体"/>
          <w:snapToGrid w:val="0"/>
          <w:color w:val="000000" w:themeColor="text1"/>
          <w:kern w:val="0"/>
          <w:szCs w:val="21"/>
          <w14:textFill>
            <w14:solidFill>
              <w14:schemeClr w14:val="tx1"/>
            </w14:solidFill>
          </w14:textFill>
        </w:rPr>
        <w:t xml:space="preserve"> 其他：</w:t>
      </w:r>
      <w:r>
        <w:rPr>
          <w:rFonts w:hint="eastAsia" w:ascii="宋体" w:hAnsi="宋体"/>
          <w:snapToGrid w:val="0"/>
          <w:color w:val="000000" w:themeColor="text1"/>
          <w:kern w:val="0"/>
          <w:szCs w:val="21"/>
          <w:u w:val="single"/>
          <w14:textFill>
            <w14:solidFill>
              <w14:schemeClr w14:val="tx1"/>
            </w14:solidFill>
          </w14:textFill>
        </w:rPr>
        <w:t>/</w:t>
      </w:r>
    </w:p>
    <w:bookmarkEnd w:id="35"/>
    <w:p w14:paraId="528F3AB0">
      <w:pPr>
        <w:pStyle w:val="4"/>
        <w:spacing w:before="0" w:after="0" w:line="360" w:lineRule="auto"/>
        <w:rPr>
          <w:rFonts w:hint="eastAsia" w:ascii="宋体" w:hAnsi="宋体"/>
          <w:snapToGrid w:val="0"/>
          <w:color w:val="000000" w:themeColor="text1"/>
          <w:sz w:val="28"/>
          <w:szCs w:val="28"/>
          <w14:textFill>
            <w14:solidFill>
              <w14:schemeClr w14:val="tx1"/>
            </w14:solidFill>
          </w14:textFill>
        </w:rPr>
      </w:pPr>
      <w:bookmarkStart w:id="36" w:name="_Toc226115517"/>
      <w:r>
        <w:rPr>
          <w:rFonts w:hint="eastAsia" w:ascii="宋体" w:hAnsi="宋体"/>
          <w:snapToGrid w:val="0"/>
          <w:color w:val="000000" w:themeColor="text1"/>
          <w:sz w:val="28"/>
          <w:szCs w:val="28"/>
          <w14:textFill>
            <w14:solidFill>
              <w14:schemeClr w14:val="tx1"/>
            </w14:solidFill>
          </w14:textFill>
        </w:rPr>
        <w:t>3</w:t>
      </w:r>
      <w:r>
        <w:rPr>
          <w:rFonts w:ascii="宋体" w:hAnsi="宋体"/>
          <w:snapToGrid w:val="0"/>
          <w:color w:val="000000" w:themeColor="text1"/>
          <w:sz w:val="28"/>
          <w:szCs w:val="28"/>
          <w14:textFill>
            <w14:solidFill>
              <w14:schemeClr w14:val="tx1"/>
            </w14:solidFill>
          </w14:textFill>
        </w:rPr>
        <w:t xml:space="preserve">. </w:t>
      </w:r>
      <w:r>
        <w:rPr>
          <w:rFonts w:hint="eastAsia" w:ascii="宋体" w:hAnsi="宋体"/>
          <w:snapToGrid w:val="0"/>
          <w:color w:val="000000" w:themeColor="text1"/>
          <w:sz w:val="28"/>
          <w:szCs w:val="28"/>
          <w14:textFill>
            <w14:solidFill>
              <w14:schemeClr w14:val="tx1"/>
            </w14:solidFill>
          </w14:textFill>
        </w:rPr>
        <w:t xml:space="preserve"> </w:t>
      </w:r>
      <w:bookmarkEnd w:id="36"/>
      <w:bookmarkStart w:id="37" w:name="_Toc509218694"/>
      <w:bookmarkStart w:id="38" w:name="_Toc200359240"/>
      <w:bookmarkStart w:id="39" w:name="_Toc277082538"/>
      <w:bookmarkStart w:id="40" w:name="_Toc226115518"/>
      <w:bookmarkStart w:id="41" w:name="_Toc224103301"/>
      <w:bookmarkStart w:id="42" w:name="_Toc21962"/>
      <w:bookmarkStart w:id="43" w:name="_Toc430530418"/>
      <w:bookmarkStart w:id="44" w:name="_Toc200359429"/>
      <w:bookmarkStart w:id="45" w:name="_Toc287620669"/>
      <w:bookmarkStart w:id="46" w:name="_Toc287607730"/>
      <w:r>
        <w:rPr>
          <w:rFonts w:ascii="宋体" w:hAnsi="宋体"/>
          <w:snapToGrid w:val="0"/>
          <w:color w:val="000000" w:themeColor="text1"/>
          <w:sz w:val="28"/>
          <w:szCs w:val="28"/>
          <w14:textFill>
            <w14:solidFill>
              <w14:schemeClr w14:val="tx1"/>
            </w14:solidFill>
          </w14:textFill>
        </w:rPr>
        <w:t>投标人资格要求</w:t>
      </w:r>
      <w:bookmarkEnd w:id="37"/>
      <w:bookmarkEnd w:id="38"/>
      <w:bookmarkEnd w:id="39"/>
      <w:bookmarkEnd w:id="40"/>
      <w:bookmarkEnd w:id="41"/>
      <w:bookmarkEnd w:id="42"/>
      <w:bookmarkEnd w:id="43"/>
      <w:bookmarkEnd w:id="44"/>
      <w:bookmarkEnd w:id="45"/>
      <w:bookmarkEnd w:id="46"/>
    </w:p>
    <w:p w14:paraId="76E13761">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color w:val="000000" w:themeColor="text1"/>
          <w:kern w:val="0"/>
          <w:szCs w:val="21"/>
          <w14:textFill>
            <w14:solidFill>
              <w14:schemeClr w14:val="tx1"/>
            </w14:solidFill>
          </w14:textFill>
        </w:rPr>
      </w:pPr>
      <w:bookmarkStart w:id="47" w:name="OLE_LINK13"/>
      <w:r>
        <w:rPr>
          <w:rFonts w:hint="eastAsia" w:ascii="宋体" w:hAnsi="宋体"/>
          <w:snapToGrid w:val="0"/>
          <w:color w:val="000000" w:themeColor="text1"/>
          <w:kern w:val="0"/>
          <w:szCs w:val="21"/>
          <w14:textFill>
            <w14:solidFill>
              <w14:schemeClr w14:val="tx1"/>
            </w14:solidFill>
          </w14:textFill>
        </w:rPr>
        <w:t>3</w:t>
      </w:r>
      <w:r>
        <w:rPr>
          <w:rFonts w:ascii="宋体" w:hAnsi="宋体"/>
          <w:snapToGrid w:val="0"/>
          <w:color w:val="000000" w:themeColor="text1"/>
          <w:kern w:val="0"/>
          <w:szCs w:val="21"/>
          <w14:textFill>
            <w14:solidFill>
              <w14:schemeClr w14:val="tx1"/>
            </w14:solidFill>
          </w14:textFill>
        </w:rPr>
        <w:t>.1  本次招标要求投标人须具备</w:t>
      </w:r>
      <w:r>
        <w:rPr>
          <w:rFonts w:hint="eastAsia" w:ascii="宋体" w:hAnsi="宋体"/>
          <w:snapToGrid w:val="0"/>
          <w:color w:val="000000" w:themeColor="text1"/>
          <w:kern w:val="0"/>
          <w:szCs w:val="21"/>
          <w14:textFill>
            <w14:solidFill>
              <w14:schemeClr w14:val="tx1"/>
            </w14:solidFill>
          </w14:textFill>
        </w:rPr>
        <w:t>以下条件：</w:t>
      </w:r>
    </w:p>
    <w:p w14:paraId="718F1F31">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3.1.1 本次招标要求投标人具备的资质条件：</w:t>
      </w:r>
      <w:r>
        <w:rPr>
          <w:rFonts w:hint="eastAsia" w:ascii="宋体" w:hAnsi="宋体"/>
          <w:snapToGrid w:val="0"/>
          <w:color w:val="000000" w:themeColor="text1"/>
          <w:kern w:val="0"/>
          <w:szCs w:val="21"/>
          <w:u w:val="single"/>
          <w14:textFill>
            <w14:solidFill>
              <w14:schemeClr w14:val="tx1"/>
            </w14:solidFill>
          </w14:textFill>
        </w:rPr>
        <w:t>具备建设行政主管部门颁发的有效的建筑装修装饰工程专业承包二级及以上资质或建筑工程施工总承包三级及以上资质</w:t>
      </w:r>
      <w:r>
        <w:rPr>
          <w:rFonts w:hint="eastAsia" w:ascii="宋体" w:hAnsi="宋体"/>
          <w:snapToGrid w:val="0"/>
          <w:color w:val="000000" w:themeColor="text1"/>
          <w:kern w:val="0"/>
          <w:szCs w:val="21"/>
          <w14:textFill>
            <w14:solidFill>
              <w14:schemeClr w14:val="tx1"/>
            </w14:solidFill>
          </w14:textFill>
        </w:rPr>
        <w:t>；</w:t>
      </w:r>
    </w:p>
    <w:p w14:paraId="67535EE6">
      <w:pPr>
        <w:tabs>
          <w:tab w:val="left" w:pos="3840"/>
          <w:tab w:val="left" w:pos="5300"/>
        </w:tabs>
        <w:autoSpaceDE w:val="0"/>
        <w:autoSpaceDN w:val="0"/>
        <w:adjustRightInd w:val="0"/>
        <w:snapToGrid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3.1.2 投标人还应在人员、业绩、设备、资金等方面具有相应的施工能力，详见竞争性比选文件第二章投标人须知前附表第1.4.1项内容。</w:t>
      </w:r>
    </w:p>
    <w:p w14:paraId="4BE94BAF">
      <w:pPr>
        <w:tabs>
          <w:tab w:val="left" w:pos="3045"/>
          <w:tab w:val="left" w:pos="8310"/>
        </w:tabs>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3</w:t>
      </w:r>
      <w:r>
        <w:rPr>
          <w:rFonts w:ascii="宋体" w:hAnsi="宋体"/>
          <w:snapToGrid w:val="0"/>
          <w:color w:val="000000" w:themeColor="text1"/>
          <w:kern w:val="0"/>
          <w:szCs w:val="21"/>
          <w14:textFill>
            <w14:solidFill>
              <w14:schemeClr w14:val="tx1"/>
            </w14:solidFill>
          </w14:textFill>
        </w:rPr>
        <w:t>.2  本次招标</w:t>
      </w:r>
      <w:r>
        <w:rPr>
          <w:rFonts w:hint="eastAsia" w:ascii="宋体" w:hAnsi="宋体"/>
          <w:snapToGrid w:val="0"/>
          <w:color w:val="000000" w:themeColor="text1"/>
          <w:kern w:val="0"/>
          <w:szCs w:val="21"/>
          <w14:textFill>
            <w14:solidFill>
              <w14:schemeClr w14:val="tx1"/>
            </w14:solidFill>
          </w14:textFill>
        </w:rPr>
        <w:t>不接受</w:t>
      </w:r>
      <w:r>
        <w:rPr>
          <w:rFonts w:ascii="宋体" w:hAnsi="宋体"/>
          <w:snapToGrid w:val="0"/>
          <w:color w:val="000000" w:themeColor="text1"/>
          <w:kern w:val="0"/>
          <w:szCs w:val="21"/>
          <w14:textFill>
            <w14:solidFill>
              <w14:schemeClr w14:val="tx1"/>
            </w14:solidFill>
          </w14:textFill>
        </w:rPr>
        <w:t>联合体投标。</w:t>
      </w:r>
    </w:p>
    <w:bookmarkEnd w:id="47"/>
    <w:p w14:paraId="24E6EC07">
      <w:pPr>
        <w:pStyle w:val="4"/>
        <w:spacing w:before="0" w:after="0" w:line="360" w:lineRule="auto"/>
        <w:rPr>
          <w:rFonts w:hint="eastAsia" w:ascii="宋体" w:hAnsi="宋体"/>
          <w:snapToGrid w:val="0"/>
          <w:color w:val="000000" w:themeColor="text1"/>
          <w:sz w:val="28"/>
          <w:szCs w:val="28"/>
          <w14:textFill>
            <w14:solidFill>
              <w14:schemeClr w14:val="tx1"/>
            </w14:solidFill>
          </w14:textFill>
        </w:rPr>
      </w:pPr>
      <w:bookmarkStart w:id="48" w:name="_Toc24104"/>
      <w:bookmarkStart w:id="49" w:name="_Toc509218695"/>
      <w:bookmarkStart w:id="50" w:name="_Toc200359241"/>
      <w:bookmarkStart w:id="51" w:name="_Toc287607731"/>
      <w:bookmarkStart w:id="52" w:name="_Toc226115519"/>
      <w:bookmarkStart w:id="53" w:name="_Toc200359430"/>
      <w:bookmarkStart w:id="54" w:name="_Toc277082539"/>
      <w:bookmarkStart w:id="55" w:name="_Toc430530419"/>
      <w:bookmarkStart w:id="56" w:name="_Toc287620670"/>
      <w:bookmarkStart w:id="57" w:name="_Toc224103302"/>
      <w:r>
        <w:rPr>
          <w:rFonts w:hint="eastAsia" w:ascii="宋体" w:hAnsi="宋体"/>
          <w:snapToGrid w:val="0"/>
          <w:color w:val="000000" w:themeColor="text1"/>
          <w:sz w:val="28"/>
          <w:szCs w:val="28"/>
          <w14:textFill>
            <w14:solidFill>
              <w14:schemeClr w14:val="tx1"/>
            </w14:solidFill>
          </w14:textFill>
        </w:rPr>
        <w:t>4</w:t>
      </w:r>
      <w:r>
        <w:rPr>
          <w:rFonts w:ascii="宋体" w:hAnsi="宋体"/>
          <w:snapToGrid w:val="0"/>
          <w:color w:val="000000" w:themeColor="text1"/>
          <w:sz w:val="28"/>
          <w:szCs w:val="28"/>
          <w14:textFill>
            <w14:solidFill>
              <w14:schemeClr w14:val="tx1"/>
            </w14:solidFill>
          </w14:textFill>
        </w:rPr>
        <w:t xml:space="preserve">. </w:t>
      </w:r>
      <w:r>
        <w:rPr>
          <w:rFonts w:hint="eastAsia" w:ascii="宋体" w:hAnsi="宋体"/>
          <w:snapToGrid w:val="0"/>
          <w:color w:val="000000" w:themeColor="text1"/>
          <w:sz w:val="28"/>
          <w:szCs w:val="28"/>
          <w14:textFill>
            <w14:solidFill>
              <w14:schemeClr w14:val="tx1"/>
            </w14:solidFill>
          </w14:textFill>
        </w:rPr>
        <w:t xml:space="preserve"> </w:t>
      </w:r>
      <w:r>
        <w:rPr>
          <w:rFonts w:ascii="宋体" w:hAnsi="宋体"/>
          <w:snapToGrid w:val="0"/>
          <w:color w:val="000000" w:themeColor="text1"/>
          <w:sz w:val="28"/>
          <w:szCs w:val="28"/>
          <w14:textFill>
            <w14:solidFill>
              <w14:schemeClr w14:val="tx1"/>
            </w14:solidFill>
          </w14:textFill>
        </w:rPr>
        <w:t>竞争性比选文件的获取</w:t>
      </w:r>
      <w:bookmarkEnd w:id="48"/>
      <w:bookmarkEnd w:id="49"/>
      <w:bookmarkEnd w:id="50"/>
      <w:bookmarkEnd w:id="51"/>
      <w:bookmarkEnd w:id="52"/>
      <w:bookmarkEnd w:id="53"/>
      <w:bookmarkEnd w:id="54"/>
      <w:bookmarkEnd w:id="55"/>
      <w:bookmarkEnd w:id="56"/>
      <w:bookmarkEnd w:id="57"/>
    </w:p>
    <w:p w14:paraId="0CF4B3F1">
      <w:pPr>
        <w:tabs>
          <w:tab w:val="left" w:pos="2420"/>
          <w:tab w:val="left" w:pos="5445"/>
        </w:tabs>
        <w:autoSpaceDE w:val="0"/>
        <w:autoSpaceDN w:val="0"/>
        <w:adjustRightInd w:val="0"/>
        <w:snapToGrid w:val="0"/>
        <w:spacing w:line="360" w:lineRule="auto"/>
        <w:ind w:firstLine="420"/>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 xml:space="preserve">4.1  </w:t>
      </w:r>
      <w:r>
        <w:rPr>
          <w:rFonts w:hint="eastAsia" w:ascii="宋体" w:hAnsi="宋体" w:cs="宋体"/>
          <w:snapToGrid w:val="0"/>
          <w:color w:val="000000" w:themeColor="text1"/>
          <w:kern w:val="0"/>
          <w:szCs w:val="21"/>
          <w14:textFill>
            <w14:solidFill>
              <w14:schemeClr w14:val="tx1"/>
            </w14:solidFill>
          </w14:textFill>
        </w:rPr>
        <w:t>凡对本项目感兴趣的投标人可于本竞争性比选公告发布之日起至投标截止时间前在垫江县人民政府官网下载竞争性比选文件、图纸、工程量清单等资料，无论投标人下载与否，均视为已知晓本项目所有信息。</w:t>
      </w:r>
    </w:p>
    <w:p w14:paraId="6CD317CE">
      <w:pPr>
        <w:tabs>
          <w:tab w:val="left" w:pos="2420"/>
          <w:tab w:val="left" w:pos="5445"/>
        </w:tabs>
        <w:autoSpaceDE w:val="0"/>
        <w:autoSpaceDN w:val="0"/>
        <w:adjustRightInd w:val="0"/>
        <w:snapToGrid w:val="0"/>
        <w:spacing w:line="360" w:lineRule="auto"/>
        <w:ind w:firstLine="420"/>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 xml:space="preserve">4.2  </w:t>
      </w:r>
      <w:r>
        <w:rPr>
          <w:rFonts w:hint="eastAsia" w:ascii="宋体" w:hAnsi="宋体" w:cs="宋体"/>
          <w:snapToGrid w:val="0"/>
          <w:color w:val="000000" w:themeColor="text1"/>
          <w:kern w:val="0"/>
          <w:szCs w:val="21"/>
          <w14:textFill>
            <w14:solidFill>
              <w14:schemeClr w14:val="tx1"/>
            </w14:solidFill>
          </w14:textFill>
        </w:rPr>
        <w:t>投标人对本项目竞争性比选文件有疑问请于2026年</w:t>
      </w:r>
      <w:r>
        <w:rPr>
          <w:rFonts w:hint="eastAsia" w:ascii="宋体" w:hAnsi="宋体" w:cs="宋体"/>
          <w:snapToGrid w:val="0"/>
          <w:color w:val="000000" w:themeColor="text1"/>
          <w:kern w:val="0"/>
          <w:szCs w:val="21"/>
          <w:u w:val="single"/>
          <w14:textFill>
            <w14:solidFill>
              <w14:schemeClr w14:val="tx1"/>
            </w14:solidFill>
          </w14:textFill>
        </w:rPr>
        <w:t>6</w:t>
      </w:r>
      <w:r>
        <w:rPr>
          <w:rFonts w:hint="eastAsia" w:ascii="宋体" w:hAnsi="宋体" w:cs="宋体"/>
          <w:snapToGrid w:val="0"/>
          <w:color w:val="000000" w:themeColor="text1"/>
          <w:kern w:val="0"/>
          <w:szCs w:val="21"/>
          <w14:textFill>
            <w14:solidFill>
              <w14:schemeClr w14:val="tx1"/>
            </w14:solidFill>
          </w14:textFill>
        </w:rPr>
        <w:t>月</w:t>
      </w:r>
      <w:r>
        <w:rPr>
          <w:rFonts w:hint="eastAsia" w:ascii="宋体" w:hAnsi="宋体" w:cs="宋体"/>
          <w:snapToGrid w:val="0"/>
          <w:color w:val="000000" w:themeColor="text1"/>
          <w:kern w:val="0"/>
          <w:szCs w:val="21"/>
          <w:u w:val="single"/>
          <w14:textFill>
            <w14:solidFill>
              <w14:schemeClr w14:val="tx1"/>
            </w14:solidFill>
          </w14:textFill>
        </w:rPr>
        <w:t>2</w:t>
      </w:r>
      <w:r>
        <w:rPr>
          <w:rFonts w:hint="eastAsia" w:ascii="宋体" w:hAnsi="宋体" w:cs="宋体"/>
          <w:snapToGrid w:val="0"/>
          <w:color w:val="000000" w:themeColor="text1"/>
          <w:kern w:val="0"/>
          <w:szCs w:val="21"/>
          <w:u w:val="single"/>
          <w:lang w:val="en-US" w:eastAsia="zh-CN"/>
          <w14:textFill>
            <w14:solidFill>
              <w14:schemeClr w14:val="tx1"/>
            </w14:solidFill>
          </w14:textFill>
        </w:rPr>
        <w:t>6</w:t>
      </w:r>
      <w:r>
        <w:rPr>
          <w:rFonts w:hint="eastAsia" w:ascii="宋体" w:hAnsi="宋体" w:cs="宋体"/>
          <w:snapToGrid w:val="0"/>
          <w:color w:val="000000" w:themeColor="text1"/>
          <w:kern w:val="0"/>
          <w:szCs w:val="21"/>
          <w14:textFill>
            <w14:solidFill>
              <w14:schemeClr w14:val="tx1"/>
            </w14:solidFill>
          </w14:textFill>
        </w:rPr>
        <w:t>日12:00前以书面形式送达招标人的方式提出</w:t>
      </w:r>
    </w:p>
    <w:p w14:paraId="22725AA4">
      <w:pPr>
        <w:tabs>
          <w:tab w:val="left" w:pos="2420"/>
          <w:tab w:val="left" w:pos="5445"/>
        </w:tabs>
        <w:autoSpaceDE w:val="0"/>
        <w:autoSpaceDN w:val="0"/>
        <w:adjustRightInd w:val="0"/>
        <w:snapToGrid w:val="0"/>
        <w:spacing w:line="360" w:lineRule="auto"/>
        <w:ind w:firstLine="420"/>
        <w:jc w:val="left"/>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 xml:space="preserve">4.3  </w:t>
      </w:r>
      <w:r>
        <w:rPr>
          <w:rFonts w:hint="eastAsia" w:ascii="宋体" w:hAnsi="宋体" w:cs="宋体"/>
          <w:snapToGrid w:val="0"/>
          <w:color w:val="000000" w:themeColor="text1"/>
          <w:kern w:val="0"/>
          <w:szCs w:val="21"/>
          <w14:textFill>
            <w14:solidFill>
              <w14:schemeClr w14:val="tx1"/>
            </w14:solidFill>
          </w14:textFill>
        </w:rPr>
        <w:t>招标人应于2026年</w:t>
      </w:r>
      <w:r>
        <w:rPr>
          <w:rFonts w:hint="eastAsia" w:ascii="宋体" w:hAnsi="宋体" w:cs="宋体"/>
          <w:snapToGrid w:val="0"/>
          <w:color w:val="000000" w:themeColor="text1"/>
          <w:kern w:val="0"/>
          <w:szCs w:val="21"/>
          <w:u w:val="single"/>
          <w14:textFill>
            <w14:solidFill>
              <w14:schemeClr w14:val="tx1"/>
            </w14:solidFill>
          </w14:textFill>
        </w:rPr>
        <w:t>6</w:t>
      </w:r>
      <w:r>
        <w:rPr>
          <w:rFonts w:hint="eastAsia" w:ascii="宋体" w:hAnsi="宋体" w:cs="宋体"/>
          <w:snapToGrid w:val="0"/>
          <w:color w:val="000000" w:themeColor="text1"/>
          <w:kern w:val="0"/>
          <w:szCs w:val="21"/>
          <w14:textFill>
            <w14:solidFill>
              <w14:schemeClr w14:val="tx1"/>
            </w14:solidFill>
          </w14:textFill>
        </w:rPr>
        <w:t>月</w:t>
      </w:r>
      <w:r>
        <w:rPr>
          <w:rFonts w:hint="eastAsia" w:ascii="宋体" w:hAnsi="宋体" w:cs="宋体"/>
          <w:snapToGrid w:val="0"/>
          <w:color w:val="000000" w:themeColor="text1"/>
          <w:kern w:val="0"/>
          <w:szCs w:val="21"/>
          <w:u w:val="single"/>
          <w14:textFill>
            <w14:solidFill>
              <w14:schemeClr w14:val="tx1"/>
            </w14:solidFill>
          </w14:textFill>
        </w:rPr>
        <w:t>2</w:t>
      </w:r>
      <w:r>
        <w:rPr>
          <w:rFonts w:hint="eastAsia" w:ascii="宋体" w:hAnsi="宋体" w:cs="宋体"/>
          <w:snapToGrid w:val="0"/>
          <w:color w:val="000000" w:themeColor="text1"/>
          <w:kern w:val="0"/>
          <w:szCs w:val="21"/>
          <w:u w:val="single"/>
          <w:lang w:val="en-US" w:eastAsia="zh-CN"/>
          <w14:textFill>
            <w14:solidFill>
              <w14:schemeClr w14:val="tx1"/>
            </w14:solidFill>
          </w14:textFill>
        </w:rPr>
        <w:t>6</w:t>
      </w:r>
      <w:r>
        <w:rPr>
          <w:rFonts w:hint="eastAsia" w:ascii="宋体" w:hAnsi="宋体" w:cs="宋体"/>
          <w:snapToGrid w:val="0"/>
          <w:color w:val="000000" w:themeColor="text1"/>
          <w:kern w:val="0"/>
          <w:szCs w:val="21"/>
          <w14:textFill>
            <w14:solidFill>
              <w14:schemeClr w14:val="tx1"/>
            </w14:solidFill>
          </w14:textFill>
        </w:rPr>
        <w:t>日17:00前在垫江县人</w:t>
      </w:r>
      <w:bookmarkStart w:id="2160" w:name="_GoBack"/>
      <w:bookmarkEnd w:id="2160"/>
      <w:r>
        <w:rPr>
          <w:rFonts w:hint="eastAsia" w:ascii="宋体" w:hAnsi="宋体" w:cs="宋体"/>
          <w:snapToGrid w:val="0"/>
          <w:color w:val="000000" w:themeColor="text1"/>
          <w:kern w:val="0"/>
          <w:szCs w:val="21"/>
          <w14:textFill>
            <w14:solidFill>
              <w14:schemeClr w14:val="tx1"/>
            </w14:solidFill>
          </w14:textFill>
        </w:rPr>
        <w:t>民政府官网发布澄清或修改。</w:t>
      </w:r>
    </w:p>
    <w:p w14:paraId="7781FB13">
      <w:pPr>
        <w:pStyle w:val="4"/>
        <w:spacing w:before="0" w:after="0" w:line="360" w:lineRule="auto"/>
        <w:rPr>
          <w:rFonts w:hint="eastAsia" w:ascii="宋体" w:hAnsi="宋体"/>
          <w:snapToGrid w:val="0"/>
          <w:color w:val="000000" w:themeColor="text1"/>
          <w:sz w:val="28"/>
          <w:szCs w:val="28"/>
          <w14:textFill>
            <w14:solidFill>
              <w14:schemeClr w14:val="tx1"/>
            </w14:solidFill>
          </w14:textFill>
        </w:rPr>
      </w:pPr>
      <w:bookmarkStart w:id="58" w:name="_Toc224103303"/>
      <w:bookmarkStart w:id="59" w:name="_Toc200359431"/>
      <w:bookmarkStart w:id="60" w:name="_Toc226115520"/>
      <w:bookmarkStart w:id="61" w:name="_Toc200359242"/>
      <w:bookmarkStart w:id="62" w:name="_Toc287620671"/>
      <w:bookmarkStart w:id="63" w:name="_Toc430530420"/>
      <w:bookmarkStart w:id="64" w:name="_Toc287607732"/>
      <w:bookmarkStart w:id="65" w:name="_Toc277082540"/>
      <w:bookmarkStart w:id="66" w:name="_Toc18111"/>
      <w:bookmarkStart w:id="67" w:name="_Toc509218696"/>
      <w:r>
        <w:rPr>
          <w:rFonts w:hint="eastAsia" w:ascii="宋体" w:hAnsi="宋体"/>
          <w:snapToGrid w:val="0"/>
          <w:color w:val="000000" w:themeColor="text1"/>
          <w:sz w:val="28"/>
          <w:szCs w:val="28"/>
          <w14:textFill>
            <w14:solidFill>
              <w14:schemeClr w14:val="tx1"/>
            </w14:solidFill>
          </w14:textFill>
        </w:rPr>
        <w:t>5</w:t>
      </w:r>
      <w:r>
        <w:rPr>
          <w:rFonts w:ascii="宋体" w:hAnsi="宋体"/>
          <w:snapToGrid w:val="0"/>
          <w:color w:val="000000" w:themeColor="text1"/>
          <w:sz w:val="28"/>
          <w:szCs w:val="28"/>
          <w14:textFill>
            <w14:solidFill>
              <w14:schemeClr w14:val="tx1"/>
            </w14:solidFill>
          </w14:textFill>
        </w:rPr>
        <w:t xml:space="preserve">. </w:t>
      </w:r>
      <w:r>
        <w:rPr>
          <w:rFonts w:hint="eastAsia" w:ascii="宋体" w:hAnsi="宋体"/>
          <w:snapToGrid w:val="0"/>
          <w:color w:val="000000" w:themeColor="text1"/>
          <w:sz w:val="28"/>
          <w:szCs w:val="28"/>
          <w14:textFill>
            <w14:solidFill>
              <w14:schemeClr w14:val="tx1"/>
            </w14:solidFill>
          </w14:textFill>
        </w:rPr>
        <w:t xml:space="preserve"> </w:t>
      </w:r>
      <w:r>
        <w:rPr>
          <w:rFonts w:ascii="宋体" w:hAnsi="宋体"/>
          <w:snapToGrid w:val="0"/>
          <w:color w:val="000000" w:themeColor="text1"/>
          <w:sz w:val="28"/>
          <w:szCs w:val="28"/>
          <w14:textFill>
            <w14:solidFill>
              <w14:schemeClr w14:val="tx1"/>
            </w14:solidFill>
          </w14:textFill>
        </w:rPr>
        <w:t>投标文件的递交</w:t>
      </w:r>
      <w:bookmarkEnd w:id="58"/>
      <w:bookmarkEnd w:id="59"/>
      <w:bookmarkEnd w:id="60"/>
      <w:bookmarkEnd w:id="61"/>
      <w:bookmarkEnd w:id="62"/>
      <w:bookmarkEnd w:id="63"/>
      <w:bookmarkEnd w:id="64"/>
      <w:bookmarkEnd w:id="65"/>
      <w:bookmarkEnd w:id="66"/>
      <w:bookmarkEnd w:id="67"/>
    </w:p>
    <w:p w14:paraId="2D95509C">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20" w:firstLineChars="200"/>
        <w:jc w:val="left"/>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5</w:t>
      </w:r>
      <w:r>
        <w:rPr>
          <w:rFonts w:ascii="宋体" w:hAnsi="宋体"/>
          <w:snapToGrid w:val="0"/>
          <w:color w:val="000000" w:themeColor="text1"/>
          <w:kern w:val="0"/>
          <w:szCs w:val="21"/>
          <w14:textFill>
            <w14:solidFill>
              <w14:schemeClr w14:val="tx1"/>
            </w14:solidFill>
          </w14:textFill>
        </w:rPr>
        <w:t xml:space="preserve">.1  </w:t>
      </w:r>
      <w:r>
        <w:rPr>
          <w:rFonts w:hint="eastAsia" w:ascii="宋体" w:hAnsi="宋体" w:cs="宋体"/>
          <w:snapToGrid w:val="0"/>
          <w:color w:val="000000" w:themeColor="text1"/>
          <w:kern w:val="0"/>
          <w:szCs w:val="21"/>
          <w14:textFill>
            <w14:solidFill>
              <w14:schemeClr w14:val="tx1"/>
            </w14:solidFill>
          </w14:textFill>
        </w:rPr>
        <w:t>投标文件递交时间为2026年</w:t>
      </w:r>
      <w:r>
        <w:rPr>
          <w:rFonts w:hint="eastAsia" w:ascii="宋体" w:hAnsi="宋体" w:cs="宋体"/>
          <w:snapToGrid w:val="0"/>
          <w:color w:val="000000" w:themeColor="text1"/>
          <w:kern w:val="0"/>
          <w:szCs w:val="21"/>
          <w:u w:val="single"/>
          <w14:textFill>
            <w14:solidFill>
              <w14:schemeClr w14:val="tx1"/>
            </w14:solidFill>
          </w14:textFill>
        </w:rPr>
        <w:t>6</w:t>
      </w:r>
      <w:r>
        <w:rPr>
          <w:rFonts w:hint="eastAsia" w:ascii="宋体" w:hAnsi="宋体" w:cs="宋体"/>
          <w:snapToGrid w:val="0"/>
          <w:color w:val="000000" w:themeColor="text1"/>
          <w:kern w:val="0"/>
          <w:szCs w:val="21"/>
          <w14:textFill>
            <w14:solidFill>
              <w14:schemeClr w14:val="tx1"/>
            </w14:solidFill>
          </w14:textFill>
        </w:rPr>
        <w:t>月</w:t>
      </w:r>
      <w:r>
        <w:rPr>
          <w:rFonts w:hint="eastAsia" w:ascii="宋体" w:hAnsi="宋体" w:cs="宋体"/>
          <w:snapToGrid w:val="0"/>
          <w:color w:val="000000" w:themeColor="text1"/>
          <w:kern w:val="0"/>
          <w:szCs w:val="21"/>
          <w:u w:val="single"/>
          <w:lang w:val="en-US" w:eastAsia="zh-CN"/>
          <w14:textFill>
            <w14:solidFill>
              <w14:schemeClr w14:val="tx1"/>
            </w14:solidFill>
          </w14:textFill>
        </w:rPr>
        <w:t>30</w:t>
      </w:r>
      <w:r>
        <w:rPr>
          <w:rFonts w:hint="eastAsia" w:ascii="宋体" w:hAnsi="宋体" w:cs="宋体"/>
          <w:snapToGrid w:val="0"/>
          <w:color w:val="000000" w:themeColor="text1"/>
          <w:kern w:val="0"/>
          <w:szCs w:val="21"/>
          <w14:textFill>
            <w14:solidFill>
              <w14:schemeClr w14:val="tx1"/>
            </w14:solidFill>
          </w14:textFill>
        </w:rPr>
        <w:t>日9:00至2026年</w:t>
      </w:r>
      <w:r>
        <w:rPr>
          <w:rFonts w:hint="eastAsia" w:ascii="宋体" w:hAnsi="宋体" w:cs="宋体"/>
          <w:snapToGrid w:val="0"/>
          <w:color w:val="000000" w:themeColor="text1"/>
          <w:kern w:val="0"/>
          <w:szCs w:val="21"/>
          <w:u w:val="single"/>
          <w14:textFill>
            <w14:solidFill>
              <w14:schemeClr w14:val="tx1"/>
            </w14:solidFill>
          </w14:textFill>
        </w:rPr>
        <w:t>6</w:t>
      </w:r>
      <w:r>
        <w:rPr>
          <w:rFonts w:hint="eastAsia" w:ascii="宋体" w:hAnsi="宋体" w:cs="宋体"/>
          <w:snapToGrid w:val="0"/>
          <w:color w:val="000000" w:themeColor="text1"/>
          <w:kern w:val="0"/>
          <w:szCs w:val="21"/>
          <w14:textFill>
            <w14:solidFill>
              <w14:schemeClr w14:val="tx1"/>
            </w14:solidFill>
          </w14:textFill>
        </w:rPr>
        <w:t>月</w:t>
      </w:r>
      <w:r>
        <w:rPr>
          <w:rFonts w:hint="eastAsia" w:ascii="宋体" w:hAnsi="宋体" w:cs="宋体"/>
          <w:snapToGrid w:val="0"/>
          <w:color w:val="000000" w:themeColor="text1"/>
          <w:kern w:val="0"/>
          <w:szCs w:val="21"/>
          <w:u w:val="single"/>
          <w:lang w:val="en-US" w:eastAsia="zh-CN"/>
          <w14:textFill>
            <w14:solidFill>
              <w14:schemeClr w14:val="tx1"/>
            </w14:solidFill>
          </w14:textFill>
        </w:rPr>
        <w:t>30</w:t>
      </w:r>
      <w:r>
        <w:rPr>
          <w:rFonts w:hint="eastAsia" w:ascii="宋体" w:hAnsi="宋体" w:cs="宋体"/>
          <w:snapToGrid w:val="0"/>
          <w:color w:val="000000" w:themeColor="text1"/>
          <w:kern w:val="0"/>
          <w:szCs w:val="21"/>
          <w14:textFill>
            <w14:solidFill>
              <w14:schemeClr w14:val="tx1"/>
            </w14:solidFill>
          </w14:textFill>
        </w:rPr>
        <w:t>日9:30，地点为：</w:t>
      </w:r>
      <w:r>
        <w:rPr>
          <w:rFonts w:ascii="宋体" w:hAnsi="宋体" w:cs="宋体"/>
          <w:snapToGrid w:val="0"/>
          <w:color w:val="000000" w:themeColor="text1"/>
          <w:kern w:val="0"/>
          <w:szCs w:val="21"/>
          <w14:textFill>
            <w14:solidFill>
              <w14:schemeClr w14:val="tx1"/>
            </w14:solidFill>
          </w14:textFill>
        </w:rPr>
        <w:t>垫江县桂阳街道桂西大道南段208号县级机关综合楼（一）801室</w:t>
      </w:r>
      <w:r>
        <w:rPr>
          <w:rFonts w:hint="eastAsia" w:ascii="宋体" w:hAnsi="宋体" w:cs="宋体"/>
          <w:snapToGrid w:val="0"/>
          <w:color w:val="000000" w:themeColor="text1"/>
          <w:kern w:val="0"/>
          <w:szCs w:val="21"/>
          <w14:textFill>
            <w14:solidFill>
              <w14:schemeClr w14:val="tx1"/>
            </w14:solidFill>
          </w14:textFill>
        </w:rPr>
        <w:t>。</w:t>
      </w:r>
    </w:p>
    <w:p w14:paraId="44A5E760">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5</w:t>
      </w:r>
      <w:r>
        <w:rPr>
          <w:rFonts w:ascii="宋体" w:hAnsi="宋体"/>
          <w:snapToGrid w:val="0"/>
          <w:color w:val="000000" w:themeColor="text1"/>
          <w:kern w:val="0"/>
          <w:szCs w:val="21"/>
          <w14:textFill>
            <w14:solidFill>
              <w14:schemeClr w14:val="tx1"/>
            </w14:solidFill>
          </w14:textFill>
        </w:rPr>
        <w:t xml:space="preserve">.2  </w:t>
      </w:r>
      <w:r>
        <w:rPr>
          <w:rFonts w:hint="eastAsia" w:ascii="宋体" w:hAnsi="宋体" w:cs="宋体"/>
          <w:snapToGrid w:val="0"/>
          <w:color w:val="000000" w:themeColor="text1"/>
          <w:kern w:val="0"/>
          <w:szCs w:val="21"/>
          <w14:textFill>
            <w14:solidFill>
              <w14:schemeClr w14:val="tx1"/>
            </w14:solidFill>
          </w14:textFill>
        </w:rPr>
        <w:t>逾期送达的或者未送达指定地点的投标文件，招标人不予受理。</w:t>
      </w:r>
    </w:p>
    <w:p w14:paraId="2F394204">
      <w:pPr>
        <w:pStyle w:val="4"/>
        <w:spacing w:before="0" w:after="0" w:line="360" w:lineRule="auto"/>
        <w:rPr>
          <w:rFonts w:hint="eastAsia" w:ascii="宋体" w:hAnsi="宋体"/>
          <w:snapToGrid w:val="0"/>
          <w:color w:val="000000" w:themeColor="text1"/>
          <w:sz w:val="28"/>
          <w:szCs w:val="28"/>
          <w14:textFill>
            <w14:solidFill>
              <w14:schemeClr w14:val="tx1"/>
            </w14:solidFill>
          </w14:textFill>
        </w:rPr>
      </w:pPr>
      <w:bookmarkStart w:id="68" w:name="_Toc200359432"/>
      <w:bookmarkStart w:id="69" w:name="_Toc200359243"/>
      <w:bookmarkStart w:id="70" w:name="_Toc28442"/>
      <w:bookmarkStart w:id="71" w:name="_Toc430530421"/>
      <w:bookmarkStart w:id="72" w:name="_Toc287607733"/>
      <w:bookmarkStart w:id="73" w:name="_Toc226115521"/>
      <w:bookmarkStart w:id="74" w:name="_Toc287620672"/>
      <w:bookmarkStart w:id="75" w:name="_Toc277082541"/>
      <w:bookmarkStart w:id="76" w:name="_Toc224103304"/>
      <w:bookmarkStart w:id="77" w:name="_Toc509218697"/>
      <w:r>
        <w:rPr>
          <w:rFonts w:hint="eastAsia" w:ascii="宋体" w:hAnsi="宋体"/>
          <w:snapToGrid w:val="0"/>
          <w:color w:val="000000" w:themeColor="text1"/>
          <w:sz w:val="28"/>
          <w:szCs w:val="28"/>
          <w14:textFill>
            <w14:solidFill>
              <w14:schemeClr w14:val="tx1"/>
            </w14:solidFill>
          </w14:textFill>
        </w:rPr>
        <w:t>6</w:t>
      </w:r>
      <w:r>
        <w:rPr>
          <w:rFonts w:ascii="宋体" w:hAnsi="宋体"/>
          <w:snapToGrid w:val="0"/>
          <w:color w:val="000000" w:themeColor="text1"/>
          <w:sz w:val="28"/>
          <w:szCs w:val="28"/>
          <w14:textFill>
            <w14:solidFill>
              <w14:schemeClr w14:val="tx1"/>
            </w14:solidFill>
          </w14:textFill>
        </w:rPr>
        <w:t xml:space="preserve">. </w:t>
      </w:r>
      <w:r>
        <w:rPr>
          <w:rFonts w:hint="eastAsia" w:ascii="宋体" w:hAnsi="宋体"/>
          <w:snapToGrid w:val="0"/>
          <w:color w:val="000000" w:themeColor="text1"/>
          <w:sz w:val="28"/>
          <w:szCs w:val="28"/>
          <w14:textFill>
            <w14:solidFill>
              <w14:schemeClr w14:val="tx1"/>
            </w14:solidFill>
          </w14:textFill>
        </w:rPr>
        <w:t xml:space="preserve"> </w:t>
      </w:r>
      <w:r>
        <w:rPr>
          <w:rFonts w:ascii="宋体" w:hAnsi="宋体"/>
          <w:snapToGrid w:val="0"/>
          <w:color w:val="000000" w:themeColor="text1"/>
          <w:sz w:val="28"/>
          <w:szCs w:val="28"/>
          <w14:textFill>
            <w14:solidFill>
              <w14:schemeClr w14:val="tx1"/>
            </w14:solidFill>
          </w14:textFill>
        </w:rPr>
        <w:t>发布公告的媒介</w:t>
      </w:r>
      <w:bookmarkEnd w:id="68"/>
      <w:bookmarkEnd w:id="69"/>
      <w:bookmarkEnd w:id="70"/>
      <w:bookmarkEnd w:id="71"/>
      <w:bookmarkEnd w:id="72"/>
      <w:bookmarkEnd w:id="73"/>
      <w:bookmarkEnd w:id="74"/>
      <w:bookmarkEnd w:id="75"/>
      <w:bookmarkEnd w:id="76"/>
      <w:bookmarkEnd w:id="77"/>
    </w:p>
    <w:p w14:paraId="7F627ECD">
      <w:pPr>
        <w:tabs>
          <w:tab w:val="left" w:pos="4950"/>
        </w:tabs>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本次竞争性比选公告在</w:t>
      </w:r>
      <w:r>
        <w:rPr>
          <w:rFonts w:ascii="宋体" w:hAnsi="宋体"/>
          <w:snapToGrid w:val="0"/>
          <w:color w:val="000000" w:themeColor="text1"/>
          <w:kern w:val="0"/>
          <w:szCs w:val="21"/>
          <w:u w:val="single"/>
          <w14:textFill>
            <w14:solidFill>
              <w14:schemeClr w14:val="tx1"/>
            </w14:solidFill>
          </w14:textFill>
        </w:rPr>
        <w:t>垫江县人民政府官网</w:t>
      </w:r>
      <w:r>
        <w:rPr>
          <w:rFonts w:ascii="宋体" w:hAnsi="宋体"/>
          <w:snapToGrid w:val="0"/>
          <w:color w:val="000000" w:themeColor="text1"/>
          <w:kern w:val="0"/>
          <w:szCs w:val="21"/>
          <w14:textFill>
            <w14:solidFill>
              <w14:schemeClr w14:val="tx1"/>
            </w14:solidFill>
          </w14:textFill>
        </w:rPr>
        <w:t>上发布。</w:t>
      </w:r>
    </w:p>
    <w:p w14:paraId="51C60AED">
      <w:pPr>
        <w:pStyle w:val="4"/>
        <w:spacing w:before="0" w:after="0" w:line="360" w:lineRule="auto"/>
        <w:rPr>
          <w:rFonts w:hint="eastAsia" w:ascii="宋体" w:hAnsi="宋体"/>
          <w:snapToGrid w:val="0"/>
          <w:color w:val="000000" w:themeColor="text1"/>
          <w:sz w:val="28"/>
          <w:szCs w:val="28"/>
          <w14:textFill>
            <w14:solidFill>
              <w14:schemeClr w14:val="tx1"/>
            </w14:solidFill>
          </w14:textFill>
        </w:rPr>
      </w:pPr>
      <w:bookmarkStart w:id="78" w:name="_Toc430530422"/>
      <w:bookmarkStart w:id="79" w:name="_Toc277082542"/>
      <w:bookmarkStart w:id="80" w:name="_Toc226115522"/>
      <w:bookmarkStart w:id="81" w:name="_Toc287620673"/>
      <w:bookmarkStart w:id="82" w:name="_Toc224103305"/>
      <w:bookmarkStart w:id="83" w:name="_Toc23065"/>
      <w:bookmarkStart w:id="84" w:name="_Toc509218698"/>
      <w:bookmarkStart w:id="85" w:name="_Toc287607734"/>
      <w:r>
        <w:rPr>
          <w:rFonts w:hint="eastAsia" w:ascii="宋体" w:hAnsi="宋体"/>
          <w:snapToGrid w:val="0"/>
          <w:color w:val="000000" w:themeColor="text1"/>
          <w:sz w:val="28"/>
          <w:szCs w:val="28"/>
          <w14:textFill>
            <w14:solidFill>
              <w14:schemeClr w14:val="tx1"/>
            </w14:solidFill>
          </w14:textFill>
        </w:rPr>
        <w:t>7</w:t>
      </w:r>
      <w:r>
        <w:rPr>
          <w:rFonts w:ascii="宋体" w:hAnsi="宋体"/>
          <w:snapToGrid w:val="0"/>
          <w:color w:val="000000" w:themeColor="text1"/>
          <w:sz w:val="28"/>
          <w:szCs w:val="28"/>
          <w14:textFill>
            <w14:solidFill>
              <w14:schemeClr w14:val="tx1"/>
            </w14:solidFill>
          </w14:textFill>
        </w:rPr>
        <w:t xml:space="preserve">. </w:t>
      </w:r>
      <w:r>
        <w:rPr>
          <w:rFonts w:hint="eastAsia" w:ascii="宋体" w:hAnsi="宋体"/>
          <w:snapToGrid w:val="0"/>
          <w:color w:val="000000" w:themeColor="text1"/>
          <w:sz w:val="28"/>
          <w:szCs w:val="28"/>
          <w14:textFill>
            <w14:solidFill>
              <w14:schemeClr w14:val="tx1"/>
            </w14:solidFill>
          </w14:textFill>
        </w:rPr>
        <w:t xml:space="preserve"> </w:t>
      </w:r>
      <w:r>
        <w:rPr>
          <w:rFonts w:ascii="宋体" w:hAnsi="宋体"/>
          <w:snapToGrid w:val="0"/>
          <w:color w:val="000000" w:themeColor="text1"/>
          <w:sz w:val="28"/>
          <w:szCs w:val="28"/>
          <w14:textFill>
            <w14:solidFill>
              <w14:schemeClr w14:val="tx1"/>
            </w14:solidFill>
          </w14:textFill>
        </w:rPr>
        <w:t>联系方式</w:t>
      </w:r>
      <w:bookmarkEnd w:id="78"/>
      <w:bookmarkEnd w:id="79"/>
      <w:bookmarkEnd w:id="80"/>
      <w:bookmarkEnd w:id="81"/>
      <w:bookmarkEnd w:id="82"/>
      <w:bookmarkEnd w:id="83"/>
      <w:bookmarkEnd w:id="84"/>
      <w:bookmarkEnd w:id="85"/>
    </w:p>
    <w:p w14:paraId="2DBBEC7C">
      <w:pPr>
        <w:tabs>
          <w:tab w:val="left" w:pos="5140"/>
          <w:tab w:val="left" w:pos="8520"/>
        </w:tabs>
        <w:autoSpaceDE w:val="0"/>
        <w:autoSpaceDN w:val="0"/>
        <w:adjustRightInd w:val="0"/>
        <w:snapToGrid w:val="0"/>
        <w:spacing w:line="450" w:lineRule="exact"/>
        <w:ind w:firstLine="420" w:firstLineChars="200"/>
        <w:jc w:val="left"/>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招标人：</w:t>
      </w:r>
      <w:r>
        <w:rPr>
          <w:rFonts w:hint="eastAsia" w:ascii="宋体" w:hAnsi="宋体"/>
          <w:snapToGrid w:val="0"/>
          <w:color w:val="000000" w:themeColor="text1"/>
          <w:kern w:val="0"/>
          <w:szCs w:val="21"/>
          <w:u w:val="single"/>
          <w14:textFill>
            <w14:solidFill>
              <w14:schemeClr w14:val="tx1"/>
            </w14:solidFill>
          </w14:textFill>
        </w:rPr>
        <w:t>垫江县人民代表大会常务委员会办公室</w:t>
      </w:r>
      <w:r>
        <w:rPr>
          <w:rFonts w:hint="eastAsia" w:ascii="宋体" w:hAnsi="宋体"/>
          <w:snapToGrid w:val="0"/>
          <w:color w:val="000000" w:themeColor="text1"/>
          <w:kern w:val="0"/>
          <w:szCs w:val="21"/>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 xml:space="preserve"> 招标代理机构：</w:t>
      </w:r>
      <w:r>
        <w:rPr>
          <w:rFonts w:hint="eastAsia" w:ascii="宋体" w:hAnsi="宋体"/>
          <w:snapToGrid w:val="0"/>
          <w:color w:val="000000" w:themeColor="text1"/>
          <w:kern w:val="0"/>
          <w:szCs w:val="21"/>
          <w:u w:val="single"/>
          <w14:textFill>
            <w14:solidFill>
              <w14:schemeClr w14:val="tx1"/>
            </w14:solidFill>
          </w14:textFill>
        </w:rPr>
        <w:t>重庆立生实业有限公司</w:t>
      </w:r>
    </w:p>
    <w:p w14:paraId="2D0BB08B">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color w:val="000000" w:themeColor="text1"/>
          <w:kern w:val="0"/>
          <w:szCs w:val="21"/>
          <w:u w:val="single"/>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地址：</w:t>
      </w:r>
      <w:r>
        <w:rPr>
          <w:rFonts w:hint="eastAsia" w:ascii="宋体" w:hAnsi="宋体"/>
          <w:snapToGrid w:val="0"/>
          <w:color w:val="000000" w:themeColor="text1"/>
          <w:kern w:val="0"/>
          <w:szCs w:val="21"/>
          <w:u w:val="single"/>
          <w14:textFill>
            <w14:solidFill>
              <w14:schemeClr w14:val="tx1"/>
            </w14:solidFill>
          </w14:textFill>
        </w:rPr>
        <w:t xml:space="preserve">重庆市垫江县桂阳街道桂西大道南段208号  </w:t>
      </w:r>
      <w:r>
        <w:rPr>
          <w:rFonts w:ascii="宋体" w:hAnsi="宋体"/>
          <w:snapToGrid w:val="0"/>
          <w:color w:val="000000" w:themeColor="text1"/>
          <w:kern w:val="0"/>
          <w:szCs w:val="21"/>
          <w14:textFill>
            <w14:solidFill>
              <w14:schemeClr w14:val="tx1"/>
            </w14:solidFill>
          </w14:textFill>
        </w:rPr>
        <w:t>地址：</w:t>
      </w:r>
      <w:bookmarkStart w:id="86" w:name="OLE_LINK16"/>
      <w:r>
        <w:rPr>
          <w:rFonts w:hint="eastAsia" w:ascii="宋体" w:hAnsi="宋体"/>
          <w:snapToGrid w:val="0"/>
          <w:color w:val="000000" w:themeColor="text1"/>
          <w:kern w:val="0"/>
          <w:szCs w:val="21"/>
          <w:u w:val="single"/>
          <w14:textFill>
            <w14:solidFill>
              <w14:schemeClr w14:val="tx1"/>
            </w14:solidFill>
          </w14:textFill>
        </w:rPr>
        <w:t>重庆市垫江县桂西大道财富大厦十四楼</w:t>
      </w:r>
      <w:bookmarkEnd w:id="86"/>
    </w:p>
    <w:p w14:paraId="7E4DAA41">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项目负责人：余老师                             项目负责人：朱老师</w:t>
      </w:r>
    </w:p>
    <w:p w14:paraId="62DB0F61">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电话：</w:t>
      </w:r>
      <w:r>
        <w:rPr>
          <w:rFonts w:hint="eastAsia" w:ascii="宋体" w:hAnsi="宋体"/>
          <w:snapToGrid w:val="0"/>
          <w:color w:val="000000" w:themeColor="text1"/>
          <w:kern w:val="0"/>
          <w:szCs w:val="21"/>
          <w:u w:val="single"/>
          <w14:textFill>
            <w14:solidFill>
              <w14:schemeClr w14:val="tx1"/>
            </w14:solidFill>
          </w14:textFill>
        </w:rPr>
        <w:t xml:space="preserve">023—74521077     </w:t>
      </w:r>
      <w:r>
        <w:rPr>
          <w:rFonts w:ascii="宋体" w:hAnsi="宋体"/>
          <w:snapToGrid w:val="0"/>
          <w:color w:val="000000" w:themeColor="text1"/>
          <w:kern w:val="0"/>
          <w:szCs w:val="21"/>
          <w14:textFill>
            <w14:solidFill>
              <w14:schemeClr w14:val="tx1"/>
            </w14:solidFill>
          </w14:textFill>
        </w:rPr>
        <w:t xml:space="preserve">  </w:t>
      </w:r>
      <w:r>
        <w:rPr>
          <w:rFonts w:hint="eastAsia" w:ascii="宋体" w:hAnsi="宋体"/>
          <w:snapToGrid w:val="0"/>
          <w:color w:val="000000" w:themeColor="text1"/>
          <w:kern w:val="0"/>
          <w:szCs w:val="21"/>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电话：</w:t>
      </w:r>
      <w:r>
        <w:rPr>
          <w:rFonts w:ascii="宋体" w:hAnsi="宋体"/>
          <w:snapToGrid w:val="0"/>
          <w:color w:val="000000" w:themeColor="text1"/>
          <w:kern w:val="0"/>
          <w:szCs w:val="21"/>
          <w:u w:val="single"/>
          <w14:textFill>
            <w14:solidFill>
              <w14:schemeClr w14:val="tx1"/>
            </w14:solidFill>
          </w14:textFill>
        </w:rPr>
        <w:t>023-74686886</w:t>
      </w:r>
    </w:p>
    <w:p w14:paraId="49BB99DA">
      <w:pPr>
        <w:tabs>
          <w:tab w:val="left" w:pos="5140"/>
          <w:tab w:val="left" w:pos="8520"/>
        </w:tabs>
        <w:autoSpaceDE w:val="0"/>
        <w:autoSpaceDN w:val="0"/>
        <w:adjustRightInd w:val="0"/>
        <w:snapToGrid w:val="0"/>
        <w:spacing w:line="360" w:lineRule="auto"/>
        <w:ind w:firstLine="420" w:firstLineChars="200"/>
        <w:jc w:val="left"/>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 xml:space="preserve"> </w:t>
      </w:r>
    </w:p>
    <w:p w14:paraId="0B47B8D6">
      <w:pPr>
        <w:tabs>
          <w:tab w:val="left" w:pos="5140"/>
          <w:tab w:val="left" w:pos="8420"/>
        </w:tabs>
        <w:autoSpaceDE w:val="0"/>
        <w:autoSpaceDN w:val="0"/>
        <w:adjustRightInd w:val="0"/>
        <w:snapToGrid w:val="0"/>
        <w:spacing w:line="360" w:lineRule="auto"/>
        <w:ind w:firstLine="420" w:firstLineChars="200"/>
        <w:jc w:val="left"/>
        <w:rPr>
          <w:rFonts w:hint="eastAsia" w:ascii="宋体" w:hAnsi="宋体"/>
          <w:snapToGrid w:val="0"/>
          <w:color w:val="000000" w:themeColor="text1"/>
          <w:kern w:val="0"/>
          <w:szCs w:val="21"/>
          <w:u w:val="single"/>
          <w14:textFill>
            <w14:solidFill>
              <w14:schemeClr w14:val="tx1"/>
            </w14:solidFill>
          </w14:textFill>
        </w:rPr>
      </w:pPr>
    </w:p>
    <w:p w14:paraId="430D3A10">
      <w:pPr>
        <w:tabs>
          <w:tab w:val="left" w:pos="5140"/>
          <w:tab w:val="left" w:pos="8420"/>
        </w:tabs>
        <w:autoSpaceDE w:val="0"/>
        <w:autoSpaceDN w:val="0"/>
        <w:adjustRightInd w:val="0"/>
        <w:snapToGrid w:val="0"/>
        <w:spacing w:line="360" w:lineRule="auto"/>
        <w:jc w:val="left"/>
        <w:rPr>
          <w:rFonts w:hint="eastAsia" w:ascii="宋体" w:hAnsi="宋体"/>
          <w:snapToGrid w:val="0"/>
          <w:color w:val="000000" w:themeColor="text1"/>
          <w:kern w:val="0"/>
          <w:szCs w:val="21"/>
          <w:u w:val="single"/>
          <w14:textFill>
            <w14:solidFill>
              <w14:schemeClr w14:val="tx1"/>
            </w14:solidFill>
          </w14:textFill>
        </w:rPr>
      </w:pPr>
    </w:p>
    <w:p w14:paraId="25CB1A09">
      <w:pPr>
        <w:autoSpaceDE w:val="0"/>
        <w:autoSpaceDN w:val="0"/>
        <w:adjustRightInd w:val="0"/>
        <w:snapToGrid w:val="0"/>
        <w:spacing w:line="360" w:lineRule="auto"/>
        <w:ind w:firstLine="3906" w:firstLineChars="1860"/>
        <w:jc w:val="right"/>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u w:val="single"/>
          <w14:textFill>
            <w14:solidFill>
              <w14:schemeClr w14:val="tx1"/>
            </w14:solidFill>
          </w14:textFill>
        </w:rPr>
        <w:t>2026</w:t>
      </w:r>
      <w:r>
        <w:rPr>
          <w:rFonts w:ascii="宋体" w:hAnsi="宋体"/>
          <w:snapToGrid w:val="0"/>
          <w:color w:val="000000" w:themeColor="text1"/>
          <w:kern w:val="0"/>
          <w:szCs w:val="21"/>
          <w14:textFill>
            <w14:solidFill>
              <w14:schemeClr w14:val="tx1"/>
            </w14:solidFill>
          </w14:textFill>
        </w:rPr>
        <w:t>年</w:t>
      </w:r>
      <w:r>
        <w:rPr>
          <w:rFonts w:hint="eastAsia" w:ascii="宋体" w:hAnsi="宋体"/>
          <w:snapToGrid w:val="0"/>
          <w:color w:val="000000" w:themeColor="text1"/>
          <w:kern w:val="0"/>
          <w:szCs w:val="21"/>
          <w:u w:val="single"/>
          <w14:textFill>
            <w14:solidFill>
              <w14:schemeClr w14:val="tx1"/>
            </w14:solidFill>
          </w14:textFill>
        </w:rPr>
        <w:t>6</w:t>
      </w:r>
      <w:r>
        <w:rPr>
          <w:rFonts w:ascii="宋体" w:hAnsi="宋体"/>
          <w:snapToGrid w:val="0"/>
          <w:color w:val="000000" w:themeColor="text1"/>
          <w:kern w:val="0"/>
          <w:szCs w:val="21"/>
          <w14:textFill>
            <w14:solidFill>
              <w14:schemeClr w14:val="tx1"/>
            </w14:solidFill>
          </w14:textFill>
        </w:rPr>
        <w:t>月</w:t>
      </w:r>
      <w:r>
        <w:rPr>
          <w:rFonts w:hint="eastAsia" w:ascii="宋体" w:hAnsi="宋体"/>
          <w:snapToGrid w:val="0"/>
          <w:color w:val="000000" w:themeColor="text1"/>
          <w:kern w:val="0"/>
          <w:szCs w:val="21"/>
          <w:u w:val="single"/>
          <w14:textFill>
            <w14:solidFill>
              <w14:schemeClr w14:val="tx1"/>
            </w14:solidFill>
          </w14:textFill>
        </w:rPr>
        <w:t>2</w:t>
      </w:r>
      <w:r>
        <w:rPr>
          <w:rFonts w:hint="eastAsia" w:ascii="宋体" w:hAnsi="宋体"/>
          <w:snapToGrid w:val="0"/>
          <w:color w:val="000000" w:themeColor="text1"/>
          <w:kern w:val="0"/>
          <w:szCs w:val="21"/>
          <w:u w:val="single"/>
          <w:lang w:val="en-US" w:eastAsia="zh-CN"/>
          <w14:textFill>
            <w14:solidFill>
              <w14:schemeClr w14:val="tx1"/>
            </w14:solidFill>
          </w14:textFill>
        </w:rPr>
        <w:t>4</w:t>
      </w:r>
      <w:r>
        <w:rPr>
          <w:rFonts w:ascii="宋体" w:hAnsi="宋体"/>
          <w:snapToGrid w:val="0"/>
          <w:color w:val="000000" w:themeColor="text1"/>
          <w:kern w:val="0"/>
          <w:szCs w:val="21"/>
          <w14:textFill>
            <w14:solidFill>
              <w14:schemeClr w14:val="tx1"/>
            </w14:solidFill>
          </w14:textFill>
        </w:rPr>
        <w:t>日</w:t>
      </w:r>
    </w:p>
    <w:p w14:paraId="1B285369">
      <w:pPr>
        <w:pStyle w:val="3"/>
        <w:spacing w:before="0" w:after="0" w:line="360" w:lineRule="auto"/>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br w:type="page"/>
      </w:r>
      <w:bookmarkStart w:id="87" w:name="_Toc224103306"/>
      <w:bookmarkStart w:id="88" w:name="_Toc287607735"/>
      <w:bookmarkStart w:id="89" w:name="_Toc287620674"/>
      <w:bookmarkStart w:id="90" w:name="_Toc430530423"/>
    </w:p>
    <w:bookmarkEnd w:id="87"/>
    <w:bookmarkEnd w:id="88"/>
    <w:bookmarkEnd w:id="89"/>
    <w:bookmarkEnd w:id="90"/>
    <w:p w14:paraId="0E5900F4">
      <w:pPr>
        <w:pStyle w:val="3"/>
        <w:spacing w:before="0" w:line="360" w:lineRule="auto"/>
        <w:jc w:val="center"/>
        <w:rPr>
          <w:rFonts w:hint="eastAsia" w:ascii="宋体" w:hAnsi="宋体"/>
          <w:bCs w:val="0"/>
          <w:snapToGrid w:val="0"/>
          <w:color w:val="000000" w:themeColor="text1"/>
          <w:kern w:val="0"/>
          <w14:textFill>
            <w14:solidFill>
              <w14:schemeClr w14:val="tx1"/>
            </w14:solidFill>
          </w14:textFill>
        </w:rPr>
      </w:pPr>
      <w:bookmarkStart w:id="91" w:name="_Toc287620683"/>
      <w:bookmarkStart w:id="92" w:name="_Toc226115523"/>
      <w:bookmarkStart w:id="93" w:name="_Toc224103315"/>
      <w:bookmarkStart w:id="94" w:name="_Toc287607744"/>
      <w:bookmarkStart w:id="95" w:name="_Toc430530432"/>
      <w:bookmarkStart w:id="96" w:name="_Toc23562"/>
      <w:r>
        <w:rPr>
          <w:rFonts w:ascii="宋体" w:hAnsi="宋体"/>
          <w:snapToGrid w:val="0"/>
          <w:color w:val="000000" w:themeColor="text1"/>
          <w:kern w:val="0"/>
          <w14:textFill>
            <w14:solidFill>
              <w14:schemeClr w14:val="tx1"/>
            </w14:solidFill>
          </w14:textFill>
        </w:rPr>
        <w:t>第二章  投标人须知</w:t>
      </w:r>
      <w:bookmarkEnd w:id="91"/>
      <w:bookmarkEnd w:id="92"/>
      <w:bookmarkEnd w:id="93"/>
      <w:bookmarkEnd w:id="94"/>
      <w:bookmarkEnd w:id="95"/>
      <w:bookmarkEnd w:id="96"/>
      <w:bookmarkStart w:id="97" w:name="_Toc224103316"/>
      <w:bookmarkStart w:id="98" w:name="_Toc430530433"/>
      <w:bookmarkStart w:id="99" w:name="_Toc287620684"/>
      <w:bookmarkStart w:id="100" w:name="_Toc287607745"/>
      <w:bookmarkStart w:id="101" w:name="_Toc277082551"/>
    </w:p>
    <w:p w14:paraId="0AFF98DD">
      <w:pPr>
        <w:pStyle w:val="4"/>
        <w:spacing w:before="0" w:after="100" w:line="360" w:lineRule="auto"/>
        <w:rPr>
          <w:rFonts w:hint="eastAsia" w:ascii="宋体" w:hAnsi="宋体"/>
          <w:color w:val="000000" w:themeColor="text1"/>
          <w14:textFill>
            <w14:solidFill>
              <w14:schemeClr w14:val="tx1"/>
            </w14:solidFill>
          </w14:textFill>
        </w:rPr>
      </w:pPr>
      <w:bookmarkStart w:id="102" w:name="_Toc14054"/>
      <w:bookmarkStart w:id="103" w:name="_Toc509218708"/>
      <w:bookmarkStart w:id="104" w:name="_Toc226115524"/>
      <w:r>
        <w:rPr>
          <w:rFonts w:hint="eastAsia" w:ascii="宋体" w:hAnsi="宋体"/>
          <w:color w:val="000000" w:themeColor="text1"/>
          <w14:textFill>
            <w14:solidFill>
              <w14:schemeClr w14:val="tx1"/>
            </w14:solidFill>
          </w14:textFill>
        </w:rPr>
        <w:t>投标人须知前附表</w:t>
      </w:r>
      <w:bookmarkEnd w:id="97"/>
      <w:bookmarkEnd w:id="98"/>
      <w:bookmarkEnd w:id="99"/>
      <w:bookmarkEnd w:id="100"/>
      <w:bookmarkEnd w:id="101"/>
      <w:bookmarkEnd w:id="102"/>
      <w:bookmarkEnd w:id="103"/>
      <w:bookmarkEnd w:id="104"/>
    </w:p>
    <w:p w14:paraId="23395B9C">
      <w:pPr>
        <w:spacing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正文内容不允许修改。若投标人须知前附表与正文不一致的地方，以投标人须知前附表为准。</w:t>
      </w:r>
    </w:p>
    <w:tbl>
      <w:tblPr>
        <w:tblStyle w:val="45"/>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37086C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A79F71F">
            <w:pPr>
              <w:snapToGrid w:val="0"/>
              <w:spacing w:line="400" w:lineRule="exact"/>
              <w:jc w:val="center"/>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条 款 号</w:t>
            </w:r>
          </w:p>
        </w:tc>
        <w:tc>
          <w:tcPr>
            <w:tcW w:w="1644" w:type="dxa"/>
            <w:vAlign w:val="center"/>
          </w:tcPr>
          <w:p w14:paraId="51EEE669">
            <w:pPr>
              <w:snapToGrid w:val="0"/>
              <w:spacing w:line="400" w:lineRule="exact"/>
              <w:jc w:val="center"/>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条款名称</w:t>
            </w:r>
          </w:p>
        </w:tc>
        <w:tc>
          <w:tcPr>
            <w:tcW w:w="6490" w:type="dxa"/>
            <w:vAlign w:val="center"/>
          </w:tcPr>
          <w:p w14:paraId="660CC1FC">
            <w:pPr>
              <w:snapToGrid w:val="0"/>
              <w:spacing w:line="400" w:lineRule="exact"/>
              <w:jc w:val="center"/>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编  列  内  容</w:t>
            </w:r>
          </w:p>
        </w:tc>
      </w:tr>
      <w:tr w14:paraId="56F89D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23FD74">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1.1.2</w:t>
            </w:r>
          </w:p>
        </w:tc>
        <w:tc>
          <w:tcPr>
            <w:tcW w:w="1644" w:type="dxa"/>
            <w:vAlign w:val="center"/>
          </w:tcPr>
          <w:p w14:paraId="4444C875">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招标人</w:t>
            </w:r>
          </w:p>
        </w:tc>
        <w:tc>
          <w:tcPr>
            <w:tcW w:w="6490" w:type="dxa"/>
            <w:vAlign w:val="center"/>
          </w:tcPr>
          <w:p w14:paraId="32BCD222">
            <w:pPr>
              <w:snapToGrid w:val="0"/>
              <w:spacing w:line="400" w:lineRule="exac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名称：</w:t>
            </w:r>
            <w:r>
              <w:rPr>
                <w:rFonts w:hint="eastAsia" w:ascii="宋体" w:hAnsi="宋体"/>
                <w:snapToGrid w:val="0"/>
                <w:color w:val="000000" w:themeColor="text1"/>
                <w:kern w:val="0"/>
                <w:szCs w:val="21"/>
                <w14:textFill>
                  <w14:solidFill>
                    <w14:schemeClr w14:val="tx1"/>
                  </w14:solidFill>
                </w14:textFill>
              </w:rPr>
              <w:t>垫江县人民代表大会常务委员会办公室</w:t>
            </w:r>
          </w:p>
          <w:p w14:paraId="72F3637B">
            <w:pPr>
              <w:snapToGrid w:val="0"/>
              <w:spacing w:line="400" w:lineRule="exact"/>
              <w:rPr>
                <w:rFonts w:hint="eastAsia" w:ascii="宋体" w:hAnsi="宋体"/>
                <w:snapToGrid w:val="0"/>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地址：</w:t>
            </w:r>
            <w:r>
              <w:rPr>
                <w:rFonts w:hint="eastAsia" w:ascii="宋体" w:hAnsi="宋体"/>
                <w:snapToGrid w:val="0"/>
                <w:color w:val="000000" w:themeColor="text1"/>
                <w:kern w:val="0"/>
                <w:szCs w:val="21"/>
                <w:u w:val="single"/>
                <w14:textFill>
                  <w14:solidFill>
                    <w14:schemeClr w14:val="tx1"/>
                  </w14:solidFill>
                </w14:textFill>
              </w:rPr>
              <w:t>重庆市垫江县桂阳街道桂西大道南段208号</w:t>
            </w:r>
            <w:r>
              <w:rPr>
                <w:rFonts w:hint="eastAsia" w:ascii="宋体" w:hAnsi="宋体"/>
                <w:snapToGrid w:val="0"/>
                <w:color w:val="000000" w:themeColor="text1"/>
                <w:kern w:val="0"/>
                <w:szCs w:val="21"/>
                <w14:textFill>
                  <w14:solidFill>
                    <w14:schemeClr w14:val="tx1"/>
                  </w14:solidFill>
                </w14:textFill>
              </w:rPr>
              <w:t xml:space="preserve"> </w:t>
            </w:r>
          </w:p>
          <w:p w14:paraId="2A0C85E0">
            <w:pPr>
              <w:snapToGrid w:val="0"/>
              <w:spacing w:line="400" w:lineRule="exact"/>
              <w:rPr>
                <w:rFonts w:hint="eastAsia" w:ascii="宋体" w:hAnsi="宋体"/>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项目负责人</w:t>
            </w:r>
            <w:r>
              <w:rPr>
                <w:rFonts w:ascii="宋体" w:hAnsi="宋体"/>
                <w:color w:val="000000" w:themeColor="text1"/>
                <w:kern w:val="0"/>
                <w:szCs w:val="21"/>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 </w:t>
            </w:r>
            <w:r>
              <w:rPr>
                <w:rFonts w:hint="eastAsia" w:ascii="宋体" w:hAnsi="宋体"/>
                <w:snapToGrid w:val="0"/>
                <w:color w:val="000000" w:themeColor="text1"/>
                <w:kern w:val="0"/>
                <w:szCs w:val="21"/>
                <w14:textFill>
                  <w14:solidFill>
                    <w14:schemeClr w14:val="tx1"/>
                  </w14:solidFill>
                </w14:textFill>
              </w:rPr>
              <w:t>余老师</w:t>
            </w:r>
          </w:p>
          <w:p w14:paraId="4186F95C">
            <w:pPr>
              <w:snapToGrid w:val="0"/>
              <w:spacing w:line="400" w:lineRule="exac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电话：</w:t>
            </w:r>
            <w:r>
              <w:rPr>
                <w:rFonts w:hint="eastAsia" w:ascii="宋体" w:hAnsi="宋体"/>
                <w:snapToGrid w:val="0"/>
                <w:color w:val="000000" w:themeColor="text1"/>
                <w:kern w:val="0"/>
                <w:szCs w:val="21"/>
                <w:u w:val="single"/>
                <w14:textFill>
                  <w14:solidFill>
                    <w14:schemeClr w14:val="tx1"/>
                  </w14:solidFill>
                </w14:textFill>
              </w:rPr>
              <w:t>023—74521077</w:t>
            </w:r>
            <w:r>
              <w:rPr>
                <w:rFonts w:hint="eastAsia" w:ascii="宋体" w:hAnsi="宋体"/>
                <w:snapToGrid w:val="0"/>
                <w:color w:val="000000" w:themeColor="text1"/>
                <w:kern w:val="0"/>
                <w:szCs w:val="21"/>
                <w14:textFill>
                  <w14:solidFill>
                    <w14:schemeClr w14:val="tx1"/>
                  </w14:solidFill>
                </w14:textFill>
              </w:rPr>
              <w:t xml:space="preserve"> </w:t>
            </w:r>
          </w:p>
        </w:tc>
      </w:tr>
      <w:tr w14:paraId="6CF7A2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7BB53D9">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1.1.3</w:t>
            </w:r>
          </w:p>
        </w:tc>
        <w:tc>
          <w:tcPr>
            <w:tcW w:w="1644" w:type="dxa"/>
            <w:vAlign w:val="center"/>
          </w:tcPr>
          <w:p w14:paraId="69ADAFBF">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招标代理机构</w:t>
            </w:r>
          </w:p>
        </w:tc>
        <w:tc>
          <w:tcPr>
            <w:tcW w:w="6490" w:type="dxa"/>
            <w:vAlign w:val="center"/>
          </w:tcPr>
          <w:p w14:paraId="638AC955">
            <w:pPr>
              <w:snapToGrid w:val="0"/>
              <w:spacing w:line="400" w:lineRule="exac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名称：重庆立生实业有限公司</w:t>
            </w:r>
          </w:p>
          <w:p w14:paraId="4FEB22CA">
            <w:pPr>
              <w:snapToGrid w:val="0"/>
              <w:spacing w:line="400" w:lineRule="exac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地址：重庆市垫江县桂西大道财富大厦十四楼</w:t>
            </w:r>
          </w:p>
          <w:p w14:paraId="07435689">
            <w:pPr>
              <w:snapToGrid w:val="0"/>
              <w:spacing w:line="400" w:lineRule="exact"/>
              <w:rPr>
                <w:rFonts w:hint="eastAsia" w:ascii="宋体" w:hAnsi="宋体"/>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项目负责人</w:t>
            </w:r>
            <w:r>
              <w:rPr>
                <w:rFonts w:hint="eastAsia" w:ascii="宋体" w:hAnsi="宋体"/>
                <w:color w:val="000000" w:themeColor="text1"/>
                <w:kern w:val="0"/>
                <w:szCs w:val="21"/>
                <w14:textFill>
                  <w14:solidFill>
                    <w14:schemeClr w14:val="tx1"/>
                  </w14:solidFill>
                </w14:textFill>
              </w:rPr>
              <w:t>：朱老师</w:t>
            </w:r>
          </w:p>
          <w:p w14:paraId="5BD1D045">
            <w:pPr>
              <w:snapToGrid w:val="0"/>
              <w:spacing w:line="400" w:lineRule="exac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电话：023-74686886</w:t>
            </w:r>
          </w:p>
        </w:tc>
      </w:tr>
      <w:tr w14:paraId="035D43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963F313">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1.1.4</w:t>
            </w:r>
          </w:p>
        </w:tc>
        <w:tc>
          <w:tcPr>
            <w:tcW w:w="1644" w:type="dxa"/>
            <w:vAlign w:val="center"/>
          </w:tcPr>
          <w:p w14:paraId="4CFFA519">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项目名称</w:t>
            </w:r>
          </w:p>
        </w:tc>
        <w:tc>
          <w:tcPr>
            <w:tcW w:w="6490" w:type="dxa"/>
            <w:vAlign w:val="center"/>
          </w:tcPr>
          <w:p w14:paraId="0CC77D6F">
            <w:pPr>
              <w:snapToGrid w:val="0"/>
              <w:spacing w:line="40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u w:val="single"/>
                <w14:textFill>
                  <w14:solidFill>
                    <w14:schemeClr w14:val="tx1"/>
                  </w14:solidFill>
                </w14:textFill>
              </w:rPr>
              <w:t>垫江县全过程人民民主实践中心装修项目</w:t>
            </w:r>
          </w:p>
        </w:tc>
      </w:tr>
      <w:tr w14:paraId="3FEBF5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59CA780">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1.1.5</w:t>
            </w:r>
          </w:p>
        </w:tc>
        <w:tc>
          <w:tcPr>
            <w:tcW w:w="1644" w:type="dxa"/>
            <w:vAlign w:val="center"/>
          </w:tcPr>
          <w:p w14:paraId="220D1A6A">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建设地点</w:t>
            </w:r>
          </w:p>
        </w:tc>
        <w:tc>
          <w:tcPr>
            <w:tcW w:w="6490" w:type="dxa"/>
            <w:vAlign w:val="center"/>
          </w:tcPr>
          <w:p w14:paraId="239AF678">
            <w:pPr>
              <w:snapToGrid w:val="0"/>
              <w:spacing w:line="40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snapToGrid w:val="0"/>
                <w:color w:val="000000" w:themeColor="text1"/>
                <w:kern w:val="0"/>
                <w:szCs w:val="21"/>
                <w:u w:val="single"/>
                <w14:textFill>
                  <w14:solidFill>
                    <w14:schemeClr w14:val="tx1"/>
                  </w14:solidFill>
                </w14:textFill>
              </w:rPr>
              <w:t>垫江县人大常委会机关二会议室</w:t>
            </w:r>
          </w:p>
        </w:tc>
      </w:tr>
      <w:tr w14:paraId="180D15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9999397">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1.1.6</w:t>
            </w:r>
          </w:p>
        </w:tc>
        <w:tc>
          <w:tcPr>
            <w:tcW w:w="1644" w:type="dxa"/>
            <w:vAlign w:val="center"/>
          </w:tcPr>
          <w:p w14:paraId="6FFF91B3">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建设规模</w:t>
            </w:r>
          </w:p>
        </w:tc>
        <w:tc>
          <w:tcPr>
            <w:tcW w:w="6490" w:type="dxa"/>
            <w:vAlign w:val="center"/>
          </w:tcPr>
          <w:p w14:paraId="2865FC9F">
            <w:pPr>
              <w:tabs>
                <w:tab w:val="left" w:pos="3840"/>
                <w:tab w:val="left" w:pos="5300"/>
              </w:tabs>
              <w:autoSpaceDE w:val="0"/>
              <w:autoSpaceDN w:val="0"/>
              <w:adjustRightInd w:val="0"/>
              <w:snapToGrid w:val="0"/>
              <w:spacing w:line="400" w:lineRule="exact"/>
              <w:ind w:firstLine="420" w:firstLineChars="200"/>
              <w:rPr>
                <w:rFonts w:hint="eastAsia" w:ascii="宋体" w:hAnsi="宋体"/>
                <w:i/>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u w:val="single"/>
                <w14:textFill>
                  <w14:solidFill>
                    <w14:schemeClr w14:val="tx1"/>
                  </w14:solidFill>
                </w14:textFill>
              </w:rPr>
              <w:t>本次项目建设内容主要为</w:t>
            </w:r>
            <w:r>
              <w:rPr>
                <w:rFonts w:ascii="宋体" w:hAnsi="宋体"/>
                <w:snapToGrid w:val="0"/>
                <w:color w:val="000000" w:themeColor="text1"/>
                <w:kern w:val="0"/>
                <w:szCs w:val="21"/>
                <w:u w:val="single"/>
                <w14:textFill>
                  <w14:solidFill>
                    <w14:schemeClr w14:val="tx1"/>
                  </w14:solidFill>
                </w14:textFill>
              </w:rPr>
              <w:t>垫江县全过程人民民主实践中心装修项目,</w:t>
            </w:r>
            <w:r>
              <w:rPr>
                <w:rFonts w:hint="eastAsia" w:ascii="宋体" w:hAnsi="宋体"/>
                <w:snapToGrid w:val="0"/>
                <w:color w:val="000000" w:themeColor="text1"/>
                <w:kern w:val="0"/>
                <w:szCs w:val="21"/>
                <w:u w:val="single"/>
                <w14:textFill>
                  <w14:solidFill>
                    <w14:schemeClr w14:val="tx1"/>
                  </w14:solidFill>
                </w14:textFill>
              </w:rPr>
              <w:t>主要包括拆除工程、墙、柱面装饰与隔断、幕墙工程、楼地面装饰工程、天棚工程、安装工程等</w:t>
            </w:r>
            <w:r>
              <w:rPr>
                <w:rFonts w:hint="eastAsia" w:ascii="宋体" w:hAnsi="宋体"/>
                <w:snapToGrid w:val="0"/>
                <w:color w:val="000000" w:themeColor="text1"/>
                <w:kern w:val="0"/>
                <w:szCs w:val="21"/>
                <w14:textFill>
                  <w14:solidFill>
                    <w14:schemeClr w14:val="tx1"/>
                  </w14:solidFill>
                </w14:textFill>
              </w:rPr>
              <w:t>。</w:t>
            </w:r>
          </w:p>
        </w:tc>
      </w:tr>
      <w:tr w14:paraId="3E20D4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E8C3CDB">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1.2.1</w:t>
            </w:r>
          </w:p>
        </w:tc>
        <w:tc>
          <w:tcPr>
            <w:tcW w:w="1644" w:type="dxa"/>
            <w:vAlign w:val="center"/>
          </w:tcPr>
          <w:p w14:paraId="63600761">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资金来源</w:t>
            </w:r>
          </w:p>
        </w:tc>
        <w:tc>
          <w:tcPr>
            <w:tcW w:w="6490" w:type="dxa"/>
            <w:vAlign w:val="center"/>
          </w:tcPr>
          <w:p w14:paraId="60341E26">
            <w:pPr>
              <w:tabs>
                <w:tab w:val="left" w:pos="3840"/>
                <w:tab w:val="left" w:pos="5300"/>
              </w:tabs>
              <w:autoSpaceDE w:val="0"/>
              <w:autoSpaceDN w:val="0"/>
              <w:adjustRightInd w:val="0"/>
              <w:snapToGrid w:val="0"/>
              <w:spacing w:line="400" w:lineRule="exact"/>
              <w:ind w:firstLine="420" w:firstLineChars="200"/>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u w:val="single"/>
                <w14:textFill>
                  <w14:solidFill>
                    <w14:schemeClr w14:val="tx1"/>
                  </w14:solidFill>
                </w14:textFill>
              </w:rPr>
              <w:t>财政拨款</w:t>
            </w:r>
          </w:p>
        </w:tc>
      </w:tr>
      <w:tr w14:paraId="4FF21B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4537438">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1.2.2</w:t>
            </w:r>
          </w:p>
        </w:tc>
        <w:tc>
          <w:tcPr>
            <w:tcW w:w="1644" w:type="dxa"/>
            <w:vAlign w:val="center"/>
          </w:tcPr>
          <w:p w14:paraId="0C681E5B">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出资比例</w:t>
            </w:r>
          </w:p>
        </w:tc>
        <w:tc>
          <w:tcPr>
            <w:tcW w:w="6490" w:type="dxa"/>
            <w:vAlign w:val="center"/>
          </w:tcPr>
          <w:p w14:paraId="58510C7A">
            <w:pPr>
              <w:snapToGrid w:val="0"/>
              <w:spacing w:line="400" w:lineRule="exact"/>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100%</w:t>
            </w:r>
          </w:p>
        </w:tc>
      </w:tr>
      <w:tr w14:paraId="1A13EC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047DA44">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1.2.3</w:t>
            </w:r>
          </w:p>
        </w:tc>
        <w:tc>
          <w:tcPr>
            <w:tcW w:w="1644" w:type="dxa"/>
            <w:vAlign w:val="center"/>
          </w:tcPr>
          <w:p w14:paraId="402E6C62">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资金落实情况</w:t>
            </w:r>
          </w:p>
        </w:tc>
        <w:tc>
          <w:tcPr>
            <w:tcW w:w="6490" w:type="dxa"/>
            <w:vAlign w:val="center"/>
          </w:tcPr>
          <w:p w14:paraId="6CFDC09B">
            <w:pPr>
              <w:snapToGrid w:val="0"/>
              <w:spacing w:line="400" w:lineRule="exact"/>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已落实</w:t>
            </w:r>
          </w:p>
        </w:tc>
      </w:tr>
      <w:tr w14:paraId="374911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72121C3">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1.3.1</w:t>
            </w:r>
          </w:p>
        </w:tc>
        <w:tc>
          <w:tcPr>
            <w:tcW w:w="1644" w:type="dxa"/>
            <w:vAlign w:val="center"/>
          </w:tcPr>
          <w:p w14:paraId="657D370D">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招标范围</w:t>
            </w:r>
          </w:p>
        </w:tc>
        <w:tc>
          <w:tcPr>
            <w:tcW w:w="6490" w:type="dxa"/>
            <w:vAlign w:val="center"/>
          </w:tcPr>
          <w:p w14:paraId="08CE328D">
            <w:pPr>
              <w:snapToGrid w:val="0"/>
              <w:spacing w:line="400" w:lineRule="exact"/>
              <w:ind w:firstLine="420" w:firstLineChars="200"/>
              <w:rPr>
                <w:rFonts w:hint="eastAsia" w:ascii="宋体" w:hAnsi="宋体"/>
                <w:i/>
                <w:color w:val="000000" w:themeColor="text1"/>
                <w:szCs w:val="21"/>
                <w14:textFill>
                  <w14:solidFill>
                    <w14:schemeClr w14:val="tx1"/>
                  </w14:solidFill>
                </w14:textFill>
              </w:rPr>
            </w:pPr>
            <w:r>
              <w:rPr>
                <w:rFonts w:hint="eastAsia" w:ascii="宋体" w:hAnsi="宋体"/>
                <w:snapToGrid w:val="0"/>
                <w:color w:val="000000" w:themeColor="text1"/>
                <w:kern w:val="0"/>
                <w:szCs w:val="21"/>
                <w:u w:val="single"/>
                <w14:textFill>
                  <w14:solidFill>
                    <w14:schemeClr w14:val="tx1"/>
                  </w14:solidFill>
                </w14:textFill>
              </w:rPr>
              <w:t>本项目施工图和工程量清单所示的全部工程内容，具体内容详见招标人提供的施工图纸、工程量清单、答疑资料、澄清资料及补遗资料等相关内容。</w:t>
            </w:r>
          </w:p>
        </w:tc>
      </w:tr>
      <w:tr w14:paraId="6D3215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AD05204">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1.3.2</w:t>
            </w:r>
          </w:p>
        </w:tc>
        <w:tc>
          <w:tcPr>
            <w:tcW w:w="1644" w:type="dxa"/>
            <w:vAlign w:val="center"/>
          </w:tcPr>
          <w:p w14:paraId="0A5A64C5">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计划工期</w:t>
            </w:r>
          </w:p>
          <w:p w14:paraId="25F62C25">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缺陷责任期</w:t>
            </w:r>
          </w:p>
        </w:tc>
        <w:tc>
          <w:tcPr>
            <w:tcW w:w="6490" w:type="dxa"/>
            <w:vAlign w:val="center"/>
          </w:tcPr>
          <w:p w14:paraId="605B2981">
            <w:pPr>
              <w:snapToGrid w:val="0"/>
              <w:spacing w:line="400" w:lineRule="exact"/>
              <w:ind w:firstLine="420" w:firstLineChars="200"/>
              <w:rPr>
                <w:rFonts w:hint="eastAsia" w:ascii="宋体" w:hAnsi="宋体"/>
                <w:snapToGrid w:val="0"/>
                <w:color w:val="000000" w:themeColor="text1"/>
                <w:kern w:val="0"/>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工期：</w:t>
            </w:r>
            <w:r>
              <w:rPr>
                <w:rFonts w:hint="eastAsia" w:ascii="宋体" w:hAnsi="宋体"/>
                <w:snapToGrid w:val="0"/>
                <w:color w:val="000000" w:themeColor="text1"/>
                <w:kern w:val="0"/>
                <w:szCs w:val="21"/>
                <w:u w:val="single"/>
                <w14:textFill>
                  <w14:solidFill>
                    <w14:schemeClr w14:val="tx1"/>
                  </w14:solidFill>
                </w14:textFill>
              </w:rPr>
              <w:t>30日历天</w:t>
            </w:r>
          </w:p>
          <w:p w14:paraId="2F6367AC">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缺陷责任期：</w:t>
            </w:r>
            <w:r>
              <w:rPr>
                <w:rFonts w:hint="eastAsia" w:ascii="宋体" w:hAnsi="宋体"/>
                <w:snapToGrid w:val="0"/>
                <w:color w:val="000000" w:themeColor="text1"/>
                <w:kern w:val="0"/>
                <w:szCs w:val="21"/>
                <w:u w:val="single"/>
                <w14:textFill>
                  <w14:solidFill>
                    <w14:schemeClr w14:val="tx1"/>
                  </w14:solidFill>
                </w14:textFill>
              </w:rPr>
              <w:t>24个月</w:t>
            </w:r>
          </w:p>
        </w:tc>
      </w:tr>
      <w:tr w14:paraId="2916AD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5DB45CE">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1.3.3</w:t>
            </w:r>
          </w:p>
        </w:tc>
        <w:tc>
          <w:tcPr>
            <w:tcW w:w="1644" w:type="dxa"/>
            <w:vAlign w:val="center"/>
          </w:tcPr>
          <w:p w14:paraId="1D059E37">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质量要求</w:t>
            </w:r>
          </w:p>
        </w:tc>
        <w:tc>
          <w:tcPr>
            <w:tcW w:w="6490" w:type="dxa"/>
            <w:vAlign w:val="center"/>
          </w:tcPr>
          <w:p w14:paraId="18040AE7">
            <w:pPr>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符合强制性质量标准，</w:t>
            </w:r>
            <w:r>
              <w:rPr>
                <w:rFonts w:hint="eastAsia" w:ascii="宋体" w:hAnsi="宋体"/>
                <w:color w:val="000000" w:themeColor="text1"/>
                <w:szCs w:val="21"/>
                <w:u w:val="single"/>
                <w14:textFill>
                  <w14:solidFill>
                    <w14:schemeClr w14:val="tx1"/>
                  </w14:solidFill>
                </w14:textFill>
              </w:rPr>
              <w:t>符合</w:t>
            </w:r>
            <w:r>
              <w:rPr>
                <w:rFonts w:ascii="宋体" w:hAnsi="宋体"/>
                <w:color w:val="000000" w:themeColor="text1"/>
                <w:szCs w:val="21"/>
                <w:u w:val="single"/>
                <w14:textFill>
                  <w14:solidFill>
                    <w14:schemeClr w14:val="tx1"/>
                  </w14:solidFill>
                </w14:textFill>
              </w:rPr>
              <w:t>国家和重庆市现行有关施工质量验收规范要求，并达到合格标准</w:t>
            </w:r>
            <w:r>
              <w:rPr>
                <w:rFonts w:ascii="宋体" w:hAnsi="宋体"/>
                <w:color w:val="000000" w:themeColor="text1"/>
                <w:szCs w:val="21"/>
                <w14:textFill>
                  <w14:solidFill>
                    <w14:schemeClr w14:val="tx1"/>
                  </w14:solidFill>
                </w14:textFill>
              </w:rPr>
              <w:t>。</w:t>
            </w:r>
          </w:p>
        </w:tc>
      </w:tr>
      <w:tr w14:paraId="391B4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AB2B68A">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DE37814">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9BF164E">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AC1AC0B">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C46286B">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0426A51">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02C64E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B500E92">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63B2429">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8E006A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29ED4B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D107A4A">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4E5A35B">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2B7BDD7">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22D342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801FB9B">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B8015B2">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63CF035">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1.4.1</w:t>
            </w:r>
          </w:p>
          <w:p w14:paraId="6E2E1867">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470369E">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D1793EB">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4A7816A">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6D18FFA">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1E536FE">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26D3455">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DE171A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E10744F">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49F9681">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F23DDB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A43E23E">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531A0A5">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777BA56">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78664B3">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5D23992">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C60588C">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8208B9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BBF7A2D">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F761EC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9F5FDD1">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F9D665D">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B9C8FC7">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2335224">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CC289AD">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A144E6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0B6C6E4">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D6F534A">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AB035FF">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7901CA1">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8E282BC">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E3F994E">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1.4.1</w:t>
            </w:r>
          </w:p>
          <w:p w14:paraId="5452079E">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387B9E3">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09C5C93">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9C73AD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F238459">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F3BEFF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783AA8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2332531">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2A2618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6251C8F">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66E1DC3">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3817D63">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2467121">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4932537">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5B0ADCF">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DAA0BFA">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1B3EF2F">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6F010DD">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6D1A48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A2D8457">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EE68506">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93B9847">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A1DFF4C">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31454B6">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539D55B">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519A596">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1B8B51F">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CD1A552">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EA17E57">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FFC8F3F">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EE79A3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1F7A742">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8609731">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1.4.1</w:t>
            </w:r>
          </w:p>
          <w:p w14:paraId="4031928F">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E62CE5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88279B6">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4B5BE79">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45FF1CE">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6D5440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D393F4B">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A442253">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D43B47E">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2DCBCED">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DAD3A6F">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F8C2623">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60D2D4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588E9A4">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35A079D">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2329B02">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D09EDB3">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907CB8C">
            <w:pPr>
              <w:snapToGrid w:val="0"/>
              <w:spacing w:line="400" w:lineRule="exact"/>
              <w:jc w:val="center"/>
              <w:rPr>
                <w:rFonts w:hint="eastAsia" w:ascii="宋体" w:hAnsi="宋体"/>
                <w:color w:val="000000" w:themeColor="text1"/>
                <w:kern w:val="0"/>
                <w:szCs w:val="21"/>
                <w14:textFill>
                  <w14:solidFill>
                    <w14:schemeClr w14:val="tx1"/>
                  </w14:solidFill>
                </w14:textFill>
              </w:rPr>
            </w:pPr>
          </w:p>
        </w:tc>
        <w:tc>
          <w:tcPr>
            <w:tcW w:w="1644" w:type="dxa"/>
            <w:vAlign w:val="center"/>
          </w:tcPr>
          <w:p w14:paraId="7007DAF3">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3802C07">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9A57FEA">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EF0BD77">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E105115">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6C4DC96">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D79C631">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4CAAAD2">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2FAF1A4">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281A084">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7D1396A">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6DDB9A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181AD64">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E0B2E1E">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CBECCAD">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77A44CE">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6AD707B">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1A59631">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投标人资质条件、能力和信誉</w:t>
            </w:r>
          </w:p>
          <w:p w14:paraId="4F273AE3">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8938B3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013BFA3">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118EC52">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C58924A">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140A6E7">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DED6036">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6536CF9">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EC682B2">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504C70B">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37AE24A">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3674BA7">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6DA4399">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F45FA9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C7EF417">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13CAF52">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C1E6607">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6743AFA">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FE87701">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2787AB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9C03ADA">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BC95F37">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B29E84A">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A1C3597">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DE146E3">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F71B603">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E48091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3BAE96D">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82197B9">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494B599">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E872721">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投标人资质条件、能力和信誉</w:t>
            </w:r>
          </w:p>
          <w:p w14:paraId="6037C007">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1263C8C">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19634CC">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8F967D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DCE1A6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F91E531">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5F870DA">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4323E8B">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6460393">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318207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7285873">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E7BDDA3">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4DA2C65">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9FB4502">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416DF24">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C68EA4A">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F92B1D4">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2A8B084">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7740973">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9D4245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3415224">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0A64F2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60E6D25">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FDD1C79">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75E5FE5">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B49FE93">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D629B61">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6656605">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164BF0A">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BED3C2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46F6A41">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AD8CD6C">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投标人资质条件、能力和信誉</w:t>
            </w:r>
          </w:p>
          <w:p w14:paraId="6A27739F">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9C5AE4F">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1E0AF9D6">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4B0178C7">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E413B23">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0C75D7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8FAF7E1">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9C6D029">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7F8C7DFE">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5F9905F">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112E0A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5938380F">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4503DF8">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293A43CB">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3EA37AE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638D4990">
            <w:pPr>
              <w:snapToGrid w:val="0"/>
              <w:spacing w:line="400" w:lineRule="exact"/>
              <w:jc w:val="center"/>
              <w:rPr>
                <w:rFonts w:hint="eastAsia" w:ascii="宋体" w:hAnsi="宋体"/>
                <w:color w:val="000000" w:themeColor="text1"/>
                <w:kern w:val="0"/>
                <w:szCs w:val="21"/>
                <w14:textFill>
                  <w14:solidFill>
                    <w14:schemeClr w14:val="tx1"/>
                  </w14:solidFill>
                </w14:textFill>
              </w:rPr>
            </w:pPr>
          </w:p>
          <w:p w14:paraId="052B1DA5">
            <w:pPr>
              <w:snapToGrid w:val="0"/>
              <w:spacing w:line="400" w:lineRule="exact"/>
              <w:jc w:val="center"/>
              <w:rPr>
                <w:rFonts w:hint="eastAsia" w:ascii="宋体" w:hAnsi="宋体"/>
                <w:color w:val="000000" w:themeColor="text1"/>
                <w:kern w:val="0"/>
                <w:szCs w:val="21"/>
                <w14:textFill>
                  <w14:solidFill>
                    <w14:schemeClr w14:val="tx1"/>
                  </w14:solidFill>
                </w14:textFill>
              </w:rPr>
            </w:pPr>
          </w:p>
        </w:tc>
        <w:tc>
          <w:tcPr>
            <w:tcW w:w="6490" w:type="dxa"/>
            <w:vAlign w:val="center"/>
          </w:tcPr>
          <w:p w14:paraId="2939AA7A">
            <w:pPr>
              <w:autoSpaceDE w:val="0"/>
              <w:autoSpaceDN w:val="0"/>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bookmarkStart w:id="105" w:name="OLE_LINK1"/>
            <w:r>
              <w:rPr>
                <w:rFonts w:ascii="宋体" w:hAnsi="宋体"/>
                <w:color w:val="000000" w:themeColor="text1"/>
                <w:szCs w:val="21"/>
                <w14:textFill>
                  <w14:solidFill>
                    <w14:schemeClr w14:val="tx1"/>
                  </w14:solidFill>
                </w14:textFill>
              </w:rPr>
              <w:t>本工程施工招标实行资格后审，投标人应</w:t>
            </w:r>
            <w:bookmarkStart w:id="106" w:name="一是"/>
            <w:bookmarkEnd w:id="106"/>
            <w:r>
              <w:rPr>
                <w:rFonts w:ascii="宋体" w:hAnsi="宋体"/>
                <w:color w:val="000000" w:themeColor="text1"/>
                <w:szCs w:val="21"/>
                <w14:textFill>
                  <w14:solidFill>
                    <w14:schemeClr w14:val="tx1"/>
                  </w14:solidFill>
                </w14:textFill>
              </w:rPr>
              <w:t>具备以下资格条件：</w:t>
            </w:r>
          </w:p>
          <w:bookmarkEnd w:id="105"/>
          <w:p w14:paraId="5124A8ED">
            <w:pPr>
              <w:autoSpaceDE w:val="0"/>
              <w:autoSpaceDN w:val="0"/>
              <w:adjustRightInd w:val="0"/>
              <w:snapToGrid w:val="0"/>
              <w:spacing w:line="400" w:lineRule="exact"/>
              <w:ind w:firstLine="422" w:firstLineChars="200"/>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1.资质条件、</w:t>
            </w:r>
            <w:r>
              <w:rPr>
                <w:rFonts w:hint="eastAsia" w:ascii="宋体" w:hAnsi="宋体"/>
                <w:b/>
                <w:color w:val="000000" w:themeColor="text1"/>
                <w:szCs w:val="21"/>
                <w14:textFill>
                  <w14:solidFill>
                    <w14:schemeClr w14:val="tx1"/>
                  </w14:solidFill>
                </w14:textFill>
              </w:rPr>
              <w:t>独立法人资格</w:t>
            </w:r>
            <w:r>
              <w:rPr>
                <w:rFonts w:ascii="宋体" w:hAnsi="宋体"/>
                <w:b/>
                <w:color w:val="000000" w:themeColor="text1"/>
                <w:szCs w:val="21"/>
                <w14:textFill>
                  <w14:solidFill>
                    <w14:schemeClr w14:val="tx1"/>
                  </w14:solidFill>
                </w14:textFill>
              </w:rPr>
              <w:t>及安全生产条件</w:t>
            </w:r>
          </w:p>
          <w:p w14:paraId="6F848B08">
            <w:pPr>
              <w:autoSpaceDE w:val="0"/>
              <w:autoSpaceDN w:val="0"/>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（1）具备建设行政主管部门颁发的有效的</w:t>
            </w:r>
            <w:r>
              <w:rPr>
                <w:rFonts w:hint="eastAsia" w:ascii="宋体" w:hAnsi="宋体"/>
                <w:snapToGrid w:val="0"/>
                <w:color w:val="000000" w:themeColor="text1"/>
                <w:kern w:val="0"/>
                <w:szCs w:val="21"/>
                <w:u w:val="single"/>
                <w14:textFill>
                  <w14:solidFill>
                    <w14:schemeClr w14:val="tx1"/>
                  </w14:solidFill>
                </w14:textFill>
              </w:rPr>
              <w:t>建筑装修装饰工程专业承包二级及以上资质或建筑工程施工总承包三级及以上资质</w:t>
            </w:r>
            <w:r>
              <w:rPr>
                <w:rFonts w:ascii="宋体" w:hAnsi="宋体"/>
                <w:color w:val="000000" w:themeColor="text1"/>
                <w:szCs w:val="21"/>
                <w14:textFill>
                  <w14:solidFill>
                    <w14:schemeClr w14:val="tx1"/>
                  </w14:solidFill>
                </w14:textFill>
              </w:rPr>
              <w:t>。</w:t>
            </w:r>
          </w:p>
          <w:p w14:paraId="59EB7C85">
            <w:pPr>
              <w:autoSpaceDE w:val="0"/>
              <w:autoSpaceDN w:val="0"/>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提供</w:t>
            </w:r>
            <w:r>
              <w:rPr>
                <w:rFonts w:hint="eastAsia" w:ascii="宋体" w:hAnsi="宋体"/>
                <w:color w:val="000000" w:themeColor="text1"/>
                <w:szCs w:val="21"/>
                <w14:textFill>
                  <w14:solidFill>
                    <w14:schemeClr w14:val="tx1"/>
                  </w14:solidFill>
                </w14:textFill>
              </w:rPr>
              <w:t>：有效的资质证书</w:t>
            </w:r>
            <w:r>
              <w:rPr>
                <w:rFonts w:ascii="宋体" w:hAnsi="宋体"/>
                <w:color w:val="000000" w:themeColor="text1"/>
                <w:szCs w:val="21"/>
                <w14:textFill>
                  <w14:solidFill>
                    <w14:schemeClr w14:val="tx1"/>
                  </w14:solidFill>
                </w14:textFill>
              </w:rPr>
              <w:t>。</w:t>
            </w:r>
          </w:p>
          <w:p w14:paraId="0520F4EE">
            <w:pPr>
              <w:autoSpaceDE w:val="0"/>
              <w:autoSpaceDN w:val="0"/>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（2）具备</w:t>
            </w:r>
            <w:r>
              <w:rPr>
                <w:rFonts w:hint="eastAsia" w:ascii="宋体" w:hAnsi="宋体"/>
                <w:color w:val="000000" w:themeColor="text1"/>
                <w:szCs w:val="21"/>
                <w14:textFill>
                  <w14:solidFill>
                    <w14:schemeClr w14:val="tx1"/>
                  </w14:solidFill>
                </w14:textFill>
              </w:rPr>
              <w:t>独立法人资格</w:t>
            </w:r>
            <w:r>
              <w:rPr>
                <w:rFonts w:ascii="宋体" w:hAnsi="宋体"/>
                <w:color w:val="000000" w:themeColor="text1"/>
                <w:szCs w:val="21"/>
                <w14:textFill>
                  <w14:solidFill>
                    <w14:schemeClr w14:val="tx1"/>
                  </w14:solidFill>
                </w14:textFill>
              </w:rPr>
              <w:t>。</w:t>
            </w:r>
          </w:p>
          <w:p w14:paraId="3D440D68">
            <w:pPr>
              <w:autoSpaceDE w:val="0"/>
              <w:autoSpaceDN w:val="0"/>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提供</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有效的营业执照。</w:t>
            </w:r>
          </w:p>
          <w:p w14:paraId="661887BE">
            <w:pPr>
              <w:autoSpaceDE w:val="0"/>
              <w:autoSpaceDN w:val="0"/>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注：不得将投标人营业执照记载的经营范围作为评审因素。</w:t>
            </w:r>
          </w:p>
          <w:p w14:paraId="4087E558">
            <w:pPr>
              <w:autoSpaceDE w:val="0"/>
              <w:autoSpaceDN w:val="0"/>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（3）具备建设行政主管部门颁发的有效的安全生产许可证，企业</w:t>
            </w:r>
            <w:r>
              <w:rPr>
                <w:rFonts w:hint="eastAsia" w:ascii="宋体" w:hAnsi="宋体"/>
                <w:color w:val="000000" w:themeColor="text1"/>
                <w:szCs w:val="21"/>
                <w14:textFill>
                  <w14:solidFill>
                    <w14:schemeClr w14:val="tx1"/>
                  </w14:solidFill>
                </w14:textFill>
              </w:rPr>
              <w:t>主要</w:t>
            </w:r>
            <w:r>
              <w:rPr>
                <w:rFonts w:ascii="宋体" w:hAnsi="宋体"/>
                <w:color w:val="000000" w:themeColor="text1"/>
                <w:szCs w:val="21"/>
                <w14:textFill>
                  <w14:solidFill>
                    <w14:schemeClr w14:val="tx1"/>
                  </w14:solidFill>
                </w14:textFill>
              </w:rPr>
              <w:t>负责人、</w:t>
            </w:r>
            <w:r>
              <w:rPr>
                <w:rFonts w:hint="eastAsia" w:ascii="宋体" w:hAnsi="宋体"/>
                <w:color w:val="000000" w:themeColor="text1"/>
                <w:szCs w:val="21"/>
                <w14:textFill>
                  <w14:solidFill>
                    <w14:schemeClr w14:val="tx1"/>
                  </w14:solidFill>
                </w14:textFill>
              </w:rPr>
              <w:t>拟派</w:t>
            </w:r>
            <w:r>
              <w:rPr>
                <w:rFonts w:ascii="宋体" w:hAnsi="宋体"/>
                <w:color w:val="000000" w:themeColor="text1"/>
                <w:szCs w:val="21"/>
                <w14:textFill>
                  <w14:solidFill>
                    <w14:schemeClr w14:val="tx1"/>
                  </w14:solidFill>
                </w14:textFill>
              </w:rPr>
              <w:t>项目经理具备相应的由建设行政主管部门颁发的有效的安全生产考核合格证书</w:t>
            </w:r>
            <w:r>
              <w:rPr>
                <w:rFonts w:hint="eastAsia" w:ascii="宋体" w:hAnsi="宋体"/>
                <w:color w:val="000000" w:themeColor="text1"/>
                <w:szCs w:val="21"/>
                <w14:textFill>
                  <w14:solidFill>
                    <w14:schemeClr w14:val="tx1"/>
                  </w14:solidFill>
                </w14:textFill>
              </w:rPr>
              <w:t>。</w:t>
            </w:r>
          </w:p>
          <w:p w14:paraId="5A71B972">
            <w:pPr>
              <w:autoSpaceDE w:val="0"/>
              <w:autoSpaceDN w:val="0"/>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提供：有效的安全生产许可证</w:t>
            </w:r>
            <w:r>
              <w:rPr>
                <w:rFonts w:ascii="宋体" w:hAnsi="宋体"/>
                <w:color w:val="000000" w:themeColor="text1"/>
                <w:szCs w:val="21"/>
                <w14:textFill>
                  <w14:solidFill>
                    <w14:schemeClr w14:val="tx1"/>
                  </w14:solidFill>
                </w14:textFill>
              </w:rPr>
              <w:t>及安全生产考核合格证书。</w:t>
            </w:r>
          </w:p>
          <w:p w14:paraId="29C78E29">
            <w:pPr>
              <w:autoSpaceDE w:val="0"/>
              <w:autoSpaceDN w:val="0"/>
              <w:adjustRightInd w:val="0"/>
              <w:snapToGrid w:val="0"/>
              <w:spacing w:line="400" w:lineRule="exact"/>
              <w:ind w:firstLine="422" w:firstLineChars="200"/>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2.财务要求</w:t>
            </w:r>
          </w:p>
          <w:p w14:paraId="656BB8CA">
            <w:pPr>
              <w:autoSpaceDE w:val="0"/>
              <w:autoSpaceDN w:val="0"/>
              <w:adjustRightInd w:val="0"/>
              <w:snapToGrid w:val="0"/>
              <w:spacing w:line="400" w:lineRule="exact"/>
              <w:ind w:firstLine="420" w:firstLineChars="200"/>
              <w:rPr>
                <w:rFonts w:hint="eastAsia" w:ascii="宋体" w:hAnsi="宋体"/>
                <w:b/>
                <w:iCs/>
                <w:color w:val="000000" w:themeColor="text1"/>
                <w:szCs w:val="21"/>
                <w14:textFill>
                  <w14:solidFill>
                    <w14:schemeClr w14:val="tx1"/>
                  </w14:solidFill>
                </w14:textFill>
              </w:rPr>
            </w:pPr>
            <w:r>
              <w:rPr>
                <w:rFonts w:hint="eastAsia" w:ascii="宋体" w:hAnsi="宋体"/>
                <w:iCs/>
                <w:color w:val="000000" w:themeColor="text1"/>
                <w:kern w:val="0"/>
                <w:szCs w:val="21"/>
                <w14:textFill>
                  <w14:solidFill>
                    <w14:schemeClr w14:val="tx1"/>
                  </w14:solidFill>
                </w14:textFill>
              </w:rPr>
              <w:t>无</w:t>
            </w:r>
          </w:p>
          <w:p w14:paraId="49AE87F7">
            <w:pPr>
              <w:autoSpaceDE w:val="0"/>
              <w:autoSpaceDN w:val="0"/>
              <w:adjustRightInd w:val="0"/>
              <w:snapToGrid w:val="0"/>
              <w:spacing w:line="400" w:lineRule="exact"/>
              <w:ind w:firstLine="422" w:firstLineChars="200"/>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3.业绩要求</w:t>
            </w:r>
          </w:p>
          <w:p w14:paraId="7E864EC5">
            <w:pPr>
              <w:autoSpaceDE w:val="0"/>
              <w:autoSpaceDN w:val="0"/>
              <w:adjustRightInd w:val="0"/>
              <w:snapToGrid w:val="0"/>
              <w:spacing w:line="400" w:lineRule="exact"/>
              <w:ind w:firstLine="420" w:firstLineChars="200"/>
              <w:rPr>
                <w:rFonts w:hint="eastAsia" w:ascii="宋体" w:hAnsi="宋体"/>
                <w:b/>
                <w:iCs/>
                <w:color w:val="000000" w:themeColor="text1"/>
                <w:szCs w:val="21"/>
                <w14:textFill>
                  <w14:solidFill>
                    <w14:schemeClr w14:val="tx1"/>
                  </w14:solidFill>
                </w14:textFill>
              </w:rPr>
            </w:pPr>
            <w:r>
              <w:rPr>
                <w:rFonts w:hint="eastAsia" w:ascii="宋体" w:hAnsi="宋体"/>
                <w:iCs/>
                <w:color w:val="000000" w:themeColor="text1"/>
                <w:kern w:val="0"/>
                <w:szCs w:val="21"/>
                <w14:textFill>
                  <w14:solidFill>
                    <w14:schemeClr w14:val="tx1"/>
                  </w14:solidFill>
                </w14:textFill>
              </w:rPr>
              <w:t>无</w:t>
            </w:r>
          </w:p>
          <w:p w14:paraId="2A3E858C">
            <w:pPr>
              <w:adjustRightInd w:val="0"/>
              <w:snapToGrid w:val="0"/>
              <w:spacing w:line="400" w:lineRule="exact"/>
              <w:ind w:firstLine="422" w:firstLineChars="200"/>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4.投标截止日投标资格情况</w:t>
            </w:r>
          </w:p>
          <w:p w14:paraId="42CA7477">
            <w:pPr>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投标人不得存在下列情形之一：</w:t>
            </w:r>
          </w:p>
          <w:p w14:paraId="27E33CF9">
            <w:pPr>
              <w:snapToGrid w:val="0"/>
              <w:spacing w:line="40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（1）被人民法院列入失信被执行人名单且在被执行期内；</w:t>
            </w:r>
          </w:p>
          <w:p w14:paraId="006D04E9">
            <w:pPr>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（2）被国家、重庆市（含市或任意区县）有关行政部门处以暂停投标资格行政处罚或暂停在渝承揽新业务，且在暂停期限内；</w:t>
            </w:r>
          </w:p>
          <w:p w14:paraId="22FF8BE6">
            <w:pPr>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第二章“投标人须知”第1.4.3项规定的情形之一；第二章“投标人须知”第9.2款规定的情形之一。</w:t>
            </w:r>
          </w:p>
          <w:p w14:paraId="65C78551">
            <w:pPr>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提供：承诺（</w:t>
            </w:r>
            <w:r>
              <w:rPr>
                <w:rFonts w:hint="eastAsia" w:asciiTheme="minorEastAsia" w:hAnsiTheme="minorEastAsia" w:eastAsiaTheme="minorEastAsia" w:cstheme="minorEastAsia"/>
                <w:color w:val="000000" w:themeColor="text1"/>
                <w:szCs w:val="21"/>
                <w14:textFill>
                  <w14:solidFill>
                    <w14:schemeClr w14:val="tx1"/>
                  </w14:solidFill>
                </w14:textFill>
              </w:rPr>
              <w:t>格式见第八章投标文件格式</w:t>
            </w:r>
            <w:r>
              <w:rPr>
                <w:rFonts w:hint="eastAsia"/>
                <w:color w:val="000000" w:themeColor="text1"/>
                <w14:textFill>
                  <w14:solidFill>
                    <w14:schemeClr w14:val="tx1"/>
                  </w14:solidFill>
                </w14:textFill>
              </w:rPr>
              <w:t>）。</w:t>
            </w:r>
          </w:p>
          <w:p w14:paraId="2E6AE1C0">
            <w:pPr>
              <w:snapToGrid w:val="0"/>
              <w:spacing w:line="400" w:lineRule="exact"/>
              <w:ind w:firstLine="422" w:firstLineChars="200"/>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5.项目经理资格要求</w:t>
            </w:r>
          </w:p>
          <w:p w14:paraId="3C1407FC">
            <w:pPr>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5.1</w:t>
            </w:r>
            <w:r>
              <w:rPr>
                <w:rFonts w:hint="eastAsia"/>
                <w:color w:val="000000" w:themeColor="text1"/>
                <w:szCs w:val="21"/>
                <w14:textFill>
                  <w14:solidFill>
                    <w14:schemeClr w14:val="tx1"/>
                  </w14:solidFill>
                </w14:textFill>
              </w:rPr>
              <w:t>投标人拟派的</w:t>
            </w:r>
            <w:r>
              <w:rPr>
                <w:color w:val="000000" w:themeColor="text1"/>
                <w:szCs w:val="21"/>
                <w14:textFill>
                  <w14:solidFill>
                    <w14:schemeClr w14:val="tx1"/>
                  </w14:solidFill>
                </w14:textFill>
              </w:rPr>
              <w:t>项目经理须</w:t>
            </w:r>
            <w:r>
              <w:rPr>
                <w:rFonts w:hint="eastAsia"/>
                <w:color w:val="000000" w:themeColor="text1"/>
                <w:szCs w:val="21"/>
                <w14:textFill>
                  <w14:solidFill>
                    <w14:schemeClr w14:val="tx1"/>
                  </w14:solidFill>
                </w14:textFill>
              </w:rPr>
              <w:t>是投标单位人员，</w:t>
            </w:r>
            <w:r>
              <w:rPr>
                <w:color w:val="000000" w:themeColor="text1"/>
                <w:szCs w:val="21"/>
                <w14:textFill>
                  <w14:solidFill>
                    <w14:schemeClr w14:val="tx1"/>
                  </w14:solidFill>
                </w14:textFill>
              </w:rPr>
              <w:t>应</w:t>
            </w:r>
            <w:r>
              <w:rPr>
                <w:rFonts w:hint="eastAsia"/>
                <w:color w:val="000000" w:themeColor="text1"/>
                <w:szCs w:val="21"/>
                <w14:textFill>
                  <w14:solidFill>
                    <w14:schemeClr w14:val="tx1"/>
                  </w14:solidFill>
                </w14:textFill>
              </w:rPr>
              <w:t>具备</w:t>
            </w:r>
            <w:r>
              <w:rPr>
                <w:rFonts w:hint="eastAsia"/>
                <w:color w:val="000000" w:themeColor="text1"/>
                <w:szCs w:val="21"/>
                <w:u w:val="single"/>
                <w14:textFill>
                  <w14:solidFill>
                    <w14:schemeClr w14:val="tx1"/>
                  </w14:solidFill>
                </w14:textFill>
              </w:rPr>
              <w:t>建筑工程专业二</w:t>
            </w:r>
            <w:r>
              <w:rPr>
                <w:color w:val="000000" w:themeColor="text1"/>
                <w:szCs w:val="21"/>
                <w:u w:val="single"/>
                <w14:textFill>
                  <w14:solidFill>
                    <w14:schemeClr w14:val="tx1"/>
                  </w14:solidFill>
                </w14:textFill>
              </w:rPr>
              <w:t>级及以上</w:t>
            </w:r>
            <w:r>
              <w:rPr>
                <w:color w:val="000000" w:themeColor="text1"/>
                <w:szCs w:val="21"/>
                <w14:textFill>
                  <w14:solidFill>
                    <w14:schemeClr w14:val="tx1"/>
                  </w14:solidFill>
                </w14:textFill>
              </w:rPr>
              <w:t>注册建造师执业</w:t>
            </w:r>
            <w:r>
              <w:rPr>
                <w:rFonts w:ascii="宋体" w:hAnsi="宋体"/>
                <w:color w:val="000000" w:themeColor="text1"/>
                <w:szCs w:val="21"/>
                <w14:textFill>
                  <w14:solidFill>
                    <w14:schemeClr w14:val="tx1"/>
                  </w14:solidFill>
                </w14:textFill>
              </w:rPr>
              <w:t>资格</w:t>
            </w:r>
            <w:r>
              <w:rPr>
                <w:rFonts w:hint="eastAsia" w:ascii="宋体" w:hAnsi="宋体"/>
                <w:color w:val="000000" w:themeColor="text1"/>
                <w:szCs w:val="21"/>
                <w14:textFill>
                  <w14:solidFill>
                    <w14:schemeClr w14:val="tx1"/>
                  </w14:solidFill>
                </w14:textFill>
              </w:rPr>
              <w:t>并在投标单位注册。</w:t>
            </w:r>
          </w:p>
          <w:p w14:paraId="35813C8B">
            <w:pPr>
              <w:snapToGrid w:val="0"/>
              <w:spacing w:line="40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5.2项目经理要求：投标人须承诺拟派项目经理按注册建造师的相关规定到岗履职和未被禁止参与投标。</w:t>
            </w:r>
          </w:p>
          <w:p w14:paraId="43BB8AA4">
            <w:pPr>
              <w:snapToGrid w:val="0"/>
              <w:spacing w:line="400" w:lineRule="exac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5.2.1到岗履职要求：承诺拟派项目经理中标后在本项目任职，签订合同时拟派的项目经理必须与投标文件中的项目经理一致，并满足办理施工许可手续的相关要求。不能按承诺到岗</w:t>
            </w:r>
            <w:r>
              <w:rPr>
                <w:rFonts w:hint="eastAsia" w:ascii="宋体" w:hAnsi="宋体"/>
                <w:color w:val="000000" w:themeColor="text1"/>
                <w14:textFill>
                  <w14:solidFill>
                    <w14:schemeClr w14:val="tx1"/>
                  </w14:solidFill>
                </w14:textFill>
              </w:rPr>
              <w:t>履职</w:t>
            </w:r>
            <w:r>
              <w:rPr>
                <w:rFonts w:ascii="宋体" w:hAnsi="宋体"/>
                <w:color w:val="000000" w:themeColor="text1"/>
                <w14:textFill>
                  <w14:solidFill>
                    <w14:schemeClr w14:val="tx1"/>
                  </w14:solidFill>
                </w14:textFill>
              </w:rPr>
              <w:t>的，</w:t>
            </w:r>
            <w:r>
              <w:rPr>
                <w:rFonts w:hint="eastAsia" w:ascii="宋体" w:hAnsi="宋体"/>
                <w:color w:val="000000" w:themeColor="text1"/>
                <w14:textFill>
                  <w14:solidFill>
                    <w14:schemeClr w14:val="tx1"/>
                  </w14:solidFill>
                </w14:textFill>
              </w:rPr>
              <w:t>招标人</w:t>
            </w:r>
            <w:r>
              <w:rPr>
                <w:rFonts w:ascii="宋体" w:hAnsi="宋体"/>
                <w:color w:val="000000" w:themeColor="text1"/>
                <w14:textFill>
                  <w14:solidFill>
                    <w14:schemeClr w14:val="tx1"/>
                  </w14:solidFill>
                </w14:textFill>
              </w:rPr>
              <w:t>按合同相关条款</w:t>
            </w:r>
            <w:r>
              <w:rPr>
                <w:rFonts w:hint="eastAsia" w:ascii="宋体" w:hAnsi="宋体"/>
                <w:color w:val="000000" w:themeColor="text1"/>
                <w14:textFill>
                  <w14:solidFill>
                    <w14:schemeClr w14:val="tx1"/>
                  </w14:solidFill>
                </w14:textFill>
              </w:rPr>
              <w:t>要求投标人承担责任</w:t>
            </w:r>
            <w:r>
              <w:rPr>
                <w:rFonts w:ascii="宋体" w:hAnsi="宋体"/>
                <w:color w:val="000000" w:themeColor="text1"/>
                <w14:textFill>
                  <w14:solidFill>
                    <w14:schemeClr w14:val="tx1"/>
                  </w14:solidFill>
                </w14:textFill>
              </w:rPr>
              <w:t>并上报行政主管部门，给招标人造成损失的，投标人依法承担赔偿责任</w:t>
            </w:r>
            <w:r>
              <w:rPr>
                <w:rFonts w:hint="eastAsia" w:ascii="宋体" w:hAnsi="宋体"/>
                <w:color w:val="000000" w:themeColor="text1"/>
                <w14:textFill>
                  <w14:solidFill>
                    <w14:schemeClr w14:val="tx1"/>
                  </w14:solidFill>
                </w14:textFill>
              </w:rPr>
              <w:t>或违约责任</w:t>
            </w:r>
            <w:r>
              <w:rPr>
                <w:rFonts w:ascii="宋体" w:hAnsi="宋体"/>
                <w:color w:val="000000" w:themeColor="text1"/>
                <w14:textFill>
                  <w14:solidFill>
                    <w14:schemeClr w14:val="tx1"/>
                  </w14:solidFill>
                </w14:textFill>
              </w:rPr>
              <w:t>。拟派项目经理中标后不得随意更换。</w:t>
            </w:r>
          </w:p>
          <w:p w14:paraId="4EFB6043">
            <w:pPr>
              <w:snapToGrid w:val="0"/>
              <w:spacing w:line="400" w:lineRule="exac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5.2.2未被禁止参与投标要求：承诺拟派项目经理未被</w:t>
            </w:r>
            <w:r>
              <w:rPr>
                <w:rFonts w:hint="eastAsia" w:ascii="宋体" w:hAnsi="宋体"/>
                <w:color w:val="000000" w:themeColor="text1"/>
                <w14:textFill>
                  <w14:solidFill>
                    <w14:schemeClr w14:val="tx1"/>
                  </w14:solidFill>
                </w14:textFill>
              </w:rPr>
              <w:t>有关</w:t>
            </w:r>
            <w:r>
              <w:rPr>
                <w:rFonts w:ascii="宋体" w:hAnsi="宋体"/>
                <w:color w:val="000000" w:themeColor="text1"/>
                <w14:textFill>
                  <w14:solidFill>
                    <w14:schemeClr w14:val="tx1"/>
                  </w14:solidFill>
                </w14:textFill>
              </w:rPr>
              <w:t>部门暂停</w:t>
            </w:r>
            <w:r>
              <w:rPr>
                <w:rFonts w:hint="eastAsia" w:ascii="宋体" w:hAnsi="宋体"/>
                <w:color w:val="000000" w:themeColor="text1"/>
                <w14:textFill>
                  <w14:solidFill>
                    <w14:schemeClr w14:val="tx1"/>
                  </w14:solidFill>
                </w14:textFill>
              </w:rPr>
              <w:t>其</w:t>
            </w:r>
            <w:r>
              <w:rPr>
                <w:rFonts w:ascii="宋体" w:hAnsi="宋体"/>
                <w:color w:val="000000" w:themeColor="text1"/>
                <w14:textFill>
                  <w14:solidFill>
                    <w14:schemeClr w14:val="tx1"/>
                  </w14:solidFill>
                </w14:textFill>
              </w:rPr>
              <w:t>在渝承揽</w:t>
            </w:r>
            <w:r>
              <w:rPr>
                <w:rFonts w:hint="eastAsia" w:ascii="宋体" w:hAnsi="宋体"/>
                <w:color w:val="000000" w:themeColor="text1"/>
                <w14:textFill>
                  <w14:solidFill>
                    <w14:schemeClr w14:val="tx1"/>
                  </w14:solidFill>
                </w14:textFill>
              </w:rPr>
              <w:t>的</w:t>
            </w:r>
            <w:r>
              <w:rPr>
                <w:rFonts w:ascii="宋体" w:hAnsi="宋体"/>
                <w:color w:val="000000" w:themeColor="text1"/>
                <w14:textFill>
                  <w14:solidFill>
                    <w14:schemeClr w14:val="tx1"/>
                  </w14:solidFill>
                </w14:textFill>
              </w:rPr>
              <w:t>新业务</w:t>
            </w:r>
            <w:r>
              <w:rPr>
                <w:rFonts w:hint="eastAsia" w:ascii="宋体" w:hAnsi="宋体"/>
                <w:color w:val="000000" w:themeColor="text1"/>
                <w14:textFill>
                  <w14:solidFill>
                    <w14:schemeClr w14:val="tx1"/>
                  </w14:solidFill>
                </w14:textFill>
              </w:rPr>
              <w:t>中任职</w:t>
            </w:r>
            <w:r>
              <w:rPr>
                <w:rFonts w:ascii="宋体" w:hAnsi="宋体"/>
                <w:color w:val="000000" w:themeColor="text1"/>
                <w14:textFill>
                  <w14:solidFill>
                    <w14:schemeClr w14:val="tx1"/>
                  </w14:solidFill>
                </w14:textFill>
              </w:rPr>
              <w:t>。若</w:t>
            </w:r>
            <w:r>
              <w:rPr>
                <w:rFonts w:hint="eastAsia" w:ascii="宋体" w:hAnsi="宋体"/>
                <w:color w:val="000000" w:themeColor="text1"/>
                <w14:textFill>
                  <w14:solidFill>
                    <w14:schemeClr w14:val="tx1"/>
                  </w14:solidFill>
                </w14:textFill>
              </w:rPr>
              <w:t>其</w:t>
            </w:r>
            <w:r>
              <w:rPr>
                <w:rFonts w:ascii="宋体" w:hAnsi="宋体"/>
                <w:color w:val="000000" w:themeColor="text1"/>
                <w14:textFill>
                  <w14:solidFill>
                    <w14:schemeClr w14:val="tx1"/>
                  </w14:solidFill>
                </w14:textFill>
              </w:rPr>
              <w:t>被暂停在渝承揽</w:t>
            </w:r>
            <w:r>
              <w:rPr>
                <w:rFonts w:hint="eastAsia" w:ascii="宋体" w:hAnsi="宋体"/>
                <w:color w:val="000000" w:themeColor="text1"/>
                <w14:textFill>
                  <w14:solidFill>
                    <w14:schemeClr w14:val="tx1"/>
                  </w14:solidFill>
                </w14:textFill>
              </w:rPr>
              <w:t>的</w:t>
            </w:r>
            <w:r>
              <w:rPr>
                <w:rFonts w:ascii="宋体" w:hAnsi="宋体"/>
                <w:color w:val="000000" w:themeColor="text1"/>
                <w14:textFill>
                  <w14:solidFill>
                    <w14:schemeClr w14:val="tx1"/>
                  </w14:solidFill>
                </w14:textFill>
              </w:rPr>
              <w:t>新业务</w:t>
            </w:r>
            <w:r>
              <w:rPr>
                <w:rFonts w:hint="eastAsia" w:ascii="宋体" w:hAnsi="宋体"/>
                <w:color w:val="000000" w:themeColor="text1"/>
                <w14:textFill>
                  <w14:solidFill>
                    <w14:schemeClr w14:val="tx1"/>
                  </w14:solidFill>
                </w14:textFill>
              </w:rPr>
              <w:t>中任职</w:t>
            </w:r>
            <w:r>
              <w:rPr>
                <w:rFonts w:ascii="宋体" w:hAnsi="宋体"/>
                <w:color w:val="000000" w:themeColor="text1"/>
                <w14:textFill>
                  <w14:solidFill>
                    <w14:schemeClr w14:val="tx1"/>
                  </w14:solidFill>
                </w14:textFill>
              </w:rPr>
              <w:t>但仍参加投标，将被否决投标；已取得中标候选人资格或中标资格的，招标人有权取消</w:t>
            </w:r>
            <w:r>
              <w:rPr>
                <w:rFonts w:hint="eastAsia" w:ascii="宋体" w:hAnsi="宋体"/>
                <w:color w:val="000000" w:themeColor="text1"/>
                <w14:textFill>
                  <w14:solidFill>
                    <w14:schemeClr w14:val="tx1"/>
                  </w14:solidFill>
                </w14:textFill>
              </w:rPr>
              <w:t>投标人的</w:t>
            </w:r>
            <w:r>
              <w:rPr>
                <w:rFonts w:ascii="宋体" w:hAnsi="宋体"/>
                <w:color w:val="000000" w:themeColor="text1"/>
                <w14:textFill>
                  <w14:solidFill>
                    <w14:schemeClr w14:val="tx1"/>
                  </w14:solidFill>
                </w14:textFill>
              </w:rPr>
              <w:t>中标候选人资格或中标资格；给招标人造成损失的，投标人依法承担赔偿责任</w:t>
            </w:r>
            <w:r>
              <w:rPr>
                <w:rFonts w:hint="eastAsia" w:ascii="宋体" w:hAnsi="宋体"/>
                <w:color w:val="000000" w:themeColor="text1"/>
                <w14:textFill>
                  <w14:solidFill>
                    <w14:schemeClr w14:val="tx1"/>
                  </w14:solidFill>
                </w14:textFill>
              </w:rPr>
              <w:t>或违约责任</w:t>
            </w:r>
            <w:r>
              <w:rPr>
                <w:rFonts w:ascii="宋体" w:hAnsi="宋体"/>
                <w:color w:val="000000" w:themeColor="text1"/>
                <w14:textFill>
                  <w14:solidFill>
                    <w14:schemeClr w14:val="tx1"/>
                  </w14:solidFill>
                </w14:textFill>
              </w:rPr>
              <w:t>。</w:t>
            </w:r>
          </w:p>
          <w:p w14:paraId="78C9BB18">
            <w:pPr>
              <w:snapToGrid w:val="0"/>
              <w:spacing w:line="400" w:lineRule="exac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5.2.3为保证</w:t>
            </w:r>
            <w:r>
              <w:rPr>
                <w:rFonts w:hint="eastAsia" w:ascii="宋体" w:hAnsi="宋体"/>
                <w:color w:val="000000" w:themeColor="text1"/>
                <w14:textFill>
                  <w14:solidFill>
                    <w14:schemeClr w14:val="tx1"/>
                  </w14:solidFill>
                </w14:textFill>
              </w:rPr>
              <w:t>投标人</w:t>
            </w:r>
            <w:r>
              <w:rPr>
                <w:rFonts w:ascii="宋体" w:hAnsi="宋体"/>
                <w:color w:val="000000" w:themeColor="text1"/>
                <w14:textFill>
                  <w14:solidFill>
                    <w14:schemeClr w14:val="tx1"/>
                  </w14:solidFill>
                </w14:textFill>
              </w:rPr>
              <w:t>拟派的项目经理到本项目到岗履职，</w:t>
            </w:r>
            <w:r>
              <w:rPr>
                <w:rFonts w:hint="eastAsia" w:ascii="宋体" w:hAnsi="宋体"/>
                <w:color w:val="000000" w:themeColor="text1"/>
                <w14:textFill>
                  <w14:solidFill>
                    <w14:schemeClr w14:val="tx1"/>
                  </w14:solidFill>
                </w14:textFill>
              </w:rPr>
              <w:t>投标人</w:t>
            </w:r>
            <w:r>
              <w:rPr>
                <w:rFonts w:ascii="宋体" w:hAnsi="宋体"/>
                <w:color w:val="000000" w:themeColor="text1"/>
                <w14:textFill>
                  <w14:solidFill>
                    <w14:schemeClr w14:val="tx1"/>
                  </w14:solidFill>
                </w14:textFill>
              </w:rPr>
              <w:t>还需承诺：</w:t>
            </w:r>
          </w:p>
          <w:p w14:paraId="32CCBCC9">
            <w:pPr>
              <w:snapToGrid w:val="0"/>
              <w:spacing w:line="400" w:lineRule="exac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若</w:t>
            </w:r>
            <w:r>
              <w:rPr>
                <w:rFonts w:hint="eastAsia" w:ascii="宋体" w:hAnsi="宋体"/>
                <w:color w:val="000000" w:themeColor="text1"/>
                <w14:textFill>
                  <w14:solidFill>
                    <w14:schemeClr w14:val="tx1"/>
                  </w14:solidFill>
                </w14:textFill>
              </w:rPr>
              <w:t>投标人</w:t>
            </w:r>
            <w:r>
              <w:rPr>
                <w:rFonts w:ascii="宋体" w:hAnsi="宋体"/>
                <w:color w:val="000000" w:themeColor="text1"/>
                <w14:textFill>
                  <w14:solidFill>
                    <w14:schemeClr w14:val="tx1"/>
                  </w14:solidFill>
                </w14:textFill>
              </w:rPr>
              <w:t>拟派本项目的项目经理有在其他项目任职的情形的（或有在其他项目中标或拟中标的情形的），应在收到中标通知书后</w:t>
            </w:r>
            <w:r>
              <w:rPr>
                <w:rFonts w:ascii="宋体" w:hAnsi="宋体"/>
                <w:color w:val="000000" w:themeColor="text1"/>
                <w:u w:val="single"/>
                <w14:textFill>
                  <w14:solidFill>
                    <w14:schemeClr w14:val="tx1"/>
                  </w14:solidFill>
                </w14:textFill>
              </w:rPr>
              <w:t xml:space="preserve"> 14 </w:t>
            </w:r>
            <w:r>
              <w:rPr>
                <w:rFonts w:ascii="宋体" w:hAnsi="宋体"/>
                <w:color w:val="000000" w:themeColor="text1"/>
                <w14:textFill>
                  <w14:solidFill>
                    <w14:schemeClr w14:val="tx1"/>
                  </w14:solidFill>
                </w14:textFill>
              </w:rPr>
              <w:t>日内，办理完成放弃在其他项目任职的手续（或办理完成放弃在其他项目中标</w:t>
            </w:r>
            <w:r>
              <w:rPr>
                <w:rFonts w:hint="eastAsia" w:ascii="宋体" w:hAnsi="宋体"/>
                <w:color w:val="000000" w:themeColor="text1"/>
                <w14:textFill>
                  <w14:solidFill>
                    <w14:schemeClr w14:val="tx1"/>
                  </w14:solidFill>
                </w14:textFill>
              </w:rPr>
              <w:t>或拟中标</w:t>
            </w:r>
            <w:r>
              <w:rPr>
                <w:rFonts w:ascii="宋体" w:hAnsi="宋体"/>
                <w:color w:val="000000" w:themeColor="text1"/>
                <w14:textFill>
                  <w14:solidFill>
                    <w14:schemeClr w14:val="tx1"/>
                  </w14:solidFill>
                </w14:textFill>
              </w:rPr>
              <w:t>的手续），招标人在合同签订前有权对</w:t>
            </w:r>
            <w:r>
              <w:rPr>
                <w:rFonts w:hint="eastAsia" w:ascii="宋体" w:hAnsi="宋体"/>
                <w:color w:val="000000" w:themeColor="text1"/>
                <w14:textFill>
                  <w14:solidFill>
                    <w14:schemeClr w14:val="tx1"/>
                  </w14:solidFill>
                </w14:textFill>
              </w:rPr>
              <w:t>投标人</w:t>
            </w:r>
            <w:r>
              <w:rPr>
                <w:rFonts w:ascii="宋体" w:hAnsi="宋体"/>
                <w:color w:val="000000" w:themeColor="text1"/>
                <w14:textFill>
                  <w14:solidFill>
                    <w14:schemeClr w14:val="tx1"/>
                  </w14:solidFill>
                </w14:textFill>
              </w:rPr>
              <w:t>拟派项目经理在其他项目的任职情形（或在其他项目的中标或拟中标情形）进行核查，若与</w:t>
            </w:r>
            <w:r>
              <w:rPr>
                <w:rFonts w:hint="eastAsia" w:ascii="宋体" w:hAnsi="宋体"/>
                <w:color w:val="000000" w:themeColor="text1"/>
                <w14:textFill>
                  <w14:solidFill>
                    <w14:schemeClr w14:val="tx1"/>
                  </w14:solidFill>
                </w14:textFill>
              </w:rPr>
              <w:t>投标人</w:t>
            </w:r>
            <w:r>
              <w:rPr>
                <w:rFonts w:ascii="宋体" w:hAnsi="宋体"/>
                <w:color w:val="000000" w:themeColor="text1"/>
                <w14:textFill>
                  <w14:solidFill>
                    <w14:schemeClr w14:val="tx1"/>
                  </w14:solidFill>
                </w14:textFill>
              </w:rPr>
              <w:t>承诺内容不符或</w:t>
            </w:r>
            <w:r>
              <w:rPr>
                <w:rFonts w:hint="eastAsia" w:ascii="宋体" w:hAnsi="宋体"/>
                <w:color w:val="000000" w:themeColor="text1"/>
                <w14:textFill>
                  <w14:solidFill>
                    <w14:schemeClr w14:val="tx1"/>
                  </w14:solidFill>
                </w14:textFill>
              </w:rPr>
              <w:t>投标人</w:t>
            </w:r>
            <w:r>
              <w:rPr>
                <w:rFonts w:ascii="宋体" w:hAnsi="宋体"/>
                <w:color w:val="000000" w:themeColor="text1"/>
                <w14:textFill>
                  <w14:solidFill>
                    <w14:schemeClr w14:val="tx1"/>
                  </w14:solidFill>
                </w14:textFill>
              </w:rPr>
              <w:t>未在上述时间内按照竞争性比选文件规定递交放弃在其他项目任职、中标或拟中标的相关资料，视为</w:t>
            </w:r>
            <w:r>
              <w:rPr>
                <w:rFonts w:hint="eastAsia" w:ascii="宋体" w:hAnsi="宋体"/>
                <w:color w:val="000000" w:themeColor="text1"/>
                <w14:textFill>
                  <w14:solidFill>
                    <w14:schemeClr w14:val="tx1"/>
                  </w14:solidFill>
                </w14:textFill>
              </w:rPr>
              <w:t>投标人</w:t>
            </w:r>
            <w:r>
              <w:rPr>
                <w:rFonts w:ascii="宋体" w:hAnsi="宋体"/>
                <w:color w:val="000000" w:themeColor="text1"/>
                <w14:textFill>
                  <w14:solidFill>
                    <w14:schemeClr w14:val="tx1"/>
                  </w14:solidFill>
                </w14:textFill>
              </w:rPr>
              <w:t>放弃中标资格，招标人不退还其投标保证金。在合同签订时，</w:t>
            </w:r>
            <w:r>
              <w:rPr>
                <w:rFonts w:hint="eastAsia" w:ascii="宋体" w:hAnsi="宋体"/>
                <w:color w:val="000000" w:themeColor="text1"/>
                <w14:textFill>
                  <w14:solidFill>
                    <w14:schemeClr w14:val="tx1"/>
                  </w14:solidFill>
                </w14:textFill>
              </w:rPr>
              <w:t>投标人</w:t>
            </w:r>
            <w:r>
              <w:rPr>
                <w:rFonts w:ascii="宋体" w:hAnsi="宋体"/>
                <w:color w:val="000000" w:themeColor="text1"/>
                <w14:textFill>
                  <w14:solidFill>
                    <w14:schemeClr w14:val="tx1"/>
                  </w14:solidFill>
                </w14:textFill>
              </w:rPr>
              <w:t>需确保拟派项目经理符合《建筑施工企业项目经理资质管理办法》规定的项目经理任职条件，否则视为</w:t>
            </w:r>
            <w:r>
              <w:rPr>
                <w:rFonts w:hint="eastAsia" w:ascii="宋体" w:hAnsi="宋体"/>
                <w:color w:val="000000" w:themeColor="text1"/>
                <w14:textFill>
                  <w14:solidFill>
                    <w14:schemeClr w14:val="tx1"/>
                  </w14:solidFill>
                </w14:textFill>
              </w:rPr>
              <w:t>投标人</w:t>
            </w:r>
            <w:r>
              <w:rPr>
                <w:rFonts w:ascii="宋体" w:hAnsi="宋体"/>
                <w:color w:val="000000" w:themeColor="text1"/>
                <w14:textFill>
                  <w14:solidFill>
                    <w14:schemeClr w14:val="tx1"/>
                  </w14:solidFill>
                </w14:textFill>
              </w:rPr>
              <w:t>放弃中标资格，招标人不退还其投标保证金。</w:t>
            </w:r>
          </w:p>
          <w:p w14:paraId="4B69D823">
            <w:pPr>
              <w:snapToGrid w:val="0"/>
              <w:spacing w:line="400" w:lineRule="exac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放弃在其他项目任职的需提供</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①</w:t>
            </w:r>
            <w:r>
              <w:rPr>
                <w:rFonts w:hint="eastAsia" w:ascii="宋体" w:hAnsi="宋体"/>
                <w:color w:val="000000" w:themeColor="text1"/>
                <w14:textFill>
                  <w14:solidFill>
                    <w14:schemeClr w14:val="tx1"/>
                  </w14:solidFill>
                </w14:textFill>
              </w:rPr>
              <w:t>经</w:t>
            </w:r>
            <w:r>
              <w:rPr>
                <w:rFonts w:ascii="宋体" w:hAnsi="宋体"/>
                <w:color w:val="000000" w:themeColor="text1"/>
                <w14:textFill>
                  <w14:solidFill>
                    <w14:schemeClr w14:val="tx1"/>
                  </w14:solidFill>
                </w14:textFill>
              </w:rPr>
              <w:t>业主或建设单位同意任职变更的文件；②负责项目监管的行业行政主管部门出具同意任职变更的证明材料。</w:t>
            </w:r>
          </w:p>
          <w:p w14:paraId="288A9DA5">
            <w:pPr>
              <w:snapToGrid w:val="0"/>
              <w:spacing w:line="400" w:lineRule="exac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放弃在其他项目中标或拟中标的需提供</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①经中标或拟中标的其他项目建设单位同意的放弃中标函</w:t>
            </w:r>
            <w:r>
              <w:rPr>
                <w:rFonts w:hint="eastAsia" w:ascii="宋体" w:hAnsi="宋体"/>
                <w:color w:val="000000" w:themeColor="text1"/>
                <w14:textFill>
                  <w14:solidFill>
                    <w14:schemeClr w14:val="tx1"/>
                  </w14:solidFill>
                </w14:textFill>
              </w:rPr>
              <w:t>。</w:t>
            </w:r>
          </w:p>
          <w:p w14:paraId="0BECBCBA">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提供：拟派项目经理有效的身份证、建造师注册证、投标人为其缴纳的养老保险证明材料、承诺（格式见第八章投标文件格式）。</w:t>
            </w:r>
          </w:p>
          <w:p w14:paraId="492EF0D5">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注：（1）提供拟派的项目经理为一级建造师或重庆市二级建造师注册人员的，必须提供建造师电子注册证书，且该建造师电子注册证书须由建造师本人在个人签名处手写本人签名。</w:t>
            </w:r>
          </w:p>
          <w:p w14:paraId="09461BC1">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（2）重庆市以外的省级住房城乡建设主管部门对二级建造师电子注册证书使用有明确规定的，从其规定。未规定使用电子注册证书的，可提供纸质证书扫描件。</w:t>
            </w:r>
          </w:p>
          <w:p w14:paraId="764814E6">
            <w:pPr>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（3）建造师电子注册证书本人手写签名与签名图像笔迹是否一致不作为否决投标的情形。</w:t>
            </w:r>
          </w:p>
          <w:p w14:paraId="178E1944">
            <w:pPr>
              <w:autoSpaceDE w:val="0"/>
              <w:autoSpaceDN w:val="0"/>
              <w:adjustRightInd w:val="0"/>
              <w:snapToGrid w:val="0"/>
              <w:spacing w:line="400" w:lineRule="exact"/>
              <w:ind w:firstLine="422" w:firstLineChars="200"/>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6.其他要求</w:t>
            </w:r>
          </w:p>
          <w:p w14:paraId="7FCD9166">
            <w:pPr>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w:t>
            </w:r>
            <w:r>
              <w:rPr>
                <w:rFonts w:ascii="宋体" w:hAnsi="宋体"/>
                <w:color w:val="000000" w:themeColor="text1"/>
                <w:szCs w:val="21"/>
                <w14:textFill>
                  <w14:solidFill>
                    <w14:schemeClr w14:val="tx1"/>
                  </w14:solidFill>
                </w14:textFill>
              </w:rPr>
              <w:t>项目技术负责人：</w:t>
            </w:r>
          </w:p>
          <w:p w14:paraId="497AE3A9">
            <w:pPr>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投标人拟派的技术负责人须是投标单位人员，具备</w:t>
            </w:r>
            <w:r>
              <w:rPr>
                <w:rFonts w:hint="eastAsia" w:ascii="宋体" w:hAnsi="宋体"/>
                <w:color w:val="000000" w:themeColor="text1"/>
                <w:szCs w:val="21"/>
                <w:u w:val="single"/>
                <w14:textFill>
                  <w14:solidFill>
                    <w14:schemeClr w14:val="tx1"/>
                  </w14:solidFill>
                </w14:textFill>
              </w:rPr>
              <w:t>工程类中</w:t>
            </w:r>
            <w:r>
              <w:rPr>
                <w:rFonts w:ascii="宋体" w:hAnsi="宋体"/>
                <w:color w:val="000000" w:themeColor="text1"/>
                <w:szCs w:val="21"/>
                <w:u w:val="single"/>
                <w14:textFill>
                  <w14:solidFill>
                    <w14:schemeClr w14:val="tx1"/>
                  </w14:solidFill>
                </w14:textFill>
              </w:rPr>
              <w:t>级及以上</w:t>
            </w:r>
            <w:r>
              <w:rPr>
                <w:rFonts w:ascii="宋体" w:hAnsi="宋体"/>
                <w:color w:val="000000" w:themeColor="text1"/>
                <w:szCs w:val="21"/>
                <w14:textFill>
                  <w14:solidFill>
                    <w14:schemeClr w14:val="tx1"/>
                  </w14:solidFill>
                </w14:textFill>
              </w:rPr>
              <w:t>职称</w:t>
            </w:r>
            <w:r>
              <w:rPr>
                <w:rFonts w:hint="eastAsia" w:ascii="宋体" w:hAnsi="宋体"/>
                <w:color w:val="000000" w:themeColor="text1"/>
                <w:szCs w:val="21"/>
                <w14:textFill>
                  <w14:solidFill>
                    <w14:schemeClr w14:val="tx1"/>
                  </w14:solidFill>
                </w14:textFill>
              </w:rPr>
              <w:t>。</w:t>
            </w:r>
          </w:p>
          <w:p w14:paraId="42009D09">
            <w:pPr>
              <w:autoSpaceDE w:val="0"/>
              <w:autoSpaceDN w:val="0"/>
              <w:adjustRightInd w:val="0"/>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提供：拟派技术负责人有效的身份证、职称证及投标人本单位为其缴纳的养老保险证明材料。</w:t>
            </w:r>
          </w:p>
          <w:p w14:paraId="12248AC7">
            <w:pPr>
              <w:autoSpaceDE w:val="0"/>
              <w:autoSpaceDN w:val="0"/>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w:t>
            </w:r>
            <w:r>
              <w:rPr>
                <w:rFonts w:ascii="宋体" w:hAnsi="宋体"/>
                <w:color w:val="000000" w:themeColor="text1"/>
                <w:szCs w:val="21"/>
                <w14:textFill>
                  <w14:solidFill>
                    <w14:schemeClr w14:val="tx1"/>
                  </w14:solidFill>
                </w14:textFill>
              </w:rPr>
              <w:t>主要管理人员：</w:t>
            </w:r>
          </w:p>
          <w:p w14:paraId="5B5E6043">
            <w:pPr>
              <w:autoSpaceDE w:val="0"/>
              <w:autoSpaceDN w:val="0"/>
              <w:adjustRightIn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在中标后签订合同之前，须按照建设行政主管部门的要求组建施工项目部，配置项目管理班子，出具任命文件。任命文件应当明确施工项目部的职责、岗位设置、人员配备，并书面通知招标人。相关岗位管理人员应持有建设行政主管部门要求的岗位证书，并提供投标人为其缴纳的养老保险证明材料。中标后不能满足该要求的，招标人可取消投标人中标资格</w:t>
            </w:r>
            <w:r>
              <w:rPr>
                <w:rFonts w:hint="eastAsia" w:asciiTheme="minorEastAsia" w:hAnsiTheme="minorEastAsia" w:eastAsiaTheme="minorEastAsia" w:cstheme="minorEastAsia"/>
                <w:color w:val="000000" w:themeColor="text1"/>
                <w:szCs w:val="21"/>
                <w14:textFill>
                  <w14:solidFill>
                    <w14:schemeClr w14:val="tx1"/>
                  </w14:solidFill>
                </w14:textFill>
              </w:rPr>
              <w:t>；签订合同后不满足该要求的，招标人按合同相关条款要求投标人承担责任并上报行政主管部门；</w:t>
            </w:r>
            <w:r>
              <w:rPr>
                <w:rFonts w:hint="eastAsia" w:ascii="宋体" w:hAnsi="宋体"/>
                <w:color w:val="000000" w:themeColor="text1"/>
                <w:szCs w:val="21"/>
                <w14:textFill>
                  <w14:solidFill>
                    <w14:schemeClr w14:val="tx1"/>
                  </w14:solidFill>
                </w14:textFill>
              </w:rPr>
              <w:t>给招标人造成损失的，投标人依法承担赔偿责任或违约责任。</w:t>
            </w:r>
          </w:p>
          <w:p w14:paraId="7E05DFFA">
            <w:pPr>
              <w:autoSpaceDE w:val="0"/>
              <w:autoSpaceDN w:val="0"/>
              <w:adjustRightIn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提供：承诺（格式见第八章投标文件格式）。</w:t>
            </w:r>
          </w:p>
          <w:p w14:paraId="57DE8F95">
            <w:pPr>
              <w:autoSpaceDE w:val="0"/>
              <w:autoSpaceDN w:val="0"/>
              <w:adjustRightInd w:val="0"/>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3</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法定代表人或</w:t>
            </w:r>
            <w:r>
              <w:rPr>
                <w:rFonts w:ascii="宋体" w:hAnsi="宋体"/>
                <w:color w:val="000000" w:themeColor="text1"/>
                <w:kern w:val="0"/>
                <w:szCs w:val="21"/>
                <w14:textFill>
                  <w14:solidFill>
                    <w14:schemeClr w14:val="tx1"/>
                  </w14:solidFill>
                </w14:textFill>
              </w:rPr>
              <w:t>委托代理人</w:t>
            </w:r>
            <w:r>
              <w:rPr>
                <w:rFonts w:hint="eastAsia" w:ascii="宋体" w:hAnsi="宋体"/>
                <w:color w:val="000000" w:themeColor="text1"/>
                <w:kern w:val="0"/>
                <w:szCs w:val="21"/>
                <w14:textFill>
                  <w14:solidFill>
                    <w14:schemeClr w14:val="tx1"/>
                  </w14:solidFill>
                </w14:textFill>
              </w:rPr>
              <w:t>：</w:t>
            </w:r>
          </w:p>
          <w:p w14:paraId="761B4AE5">
            <w:pPr>
              <w:autoSpaceDE w:val="0"/>
              <w:autoSpaceDN w:val="0"/>
              <w:adjustRightInd w:val="0"/>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法定代表人或</w:t>
            </w:r>
            <w:r>
              <w:rPr>
                <w:rFonts w:hint="eastAsia" w:ascii="宋体" w:hAnsi="宋体"/>
                <w:iCs/>
                <w:color w:val="000000" w:themeColor="text1"/>
                <w:kern w:val="0"/>
                <w:szCs w:val="21"/>
                <w14:textFill>
                  <w14:solidFill>
                    <w14:schemeClr w14:val="tx1"/>
                  </w14:solidFill>
                </w14:textFill>
              </w:rPr>
              <w:t>委托代理人代表投标人签署、澄清、说明、补正、递交、撤回、修改本项目投标文件、签订合同和处理有关事宜，其法律后果由投标人承担。</w:t>
            </w:r>
            <w:r>
              <w:rPr>
                <w:rFonts w:ascii="宋体" w:hAnsi="宋体"/>
                <w:color w:val="000000" w:themeColor="text1"/>
                <w:kern w:val="0"/>
                <w:szCs w:val="21"/>
                <w14:textFill>
                  <w14:solidFill>
                    <w14:schemeClr w14:val="tx1"/>
                  </w14:solidFill>
                </w14:textFill>
              </w:rPr>
              <w:t>委托代理人</w:t>
            </w:r>
            <w:r>
              <w:rPr>
                <w:rFonts w:hint="eastAsia" w:ascii="宋体" w:hAnsi="宋体"/>
                <w:color w:val="000000" w:themeColor="text1"/>
                <w:kern w:val="0"/>
                <w:szCs w:val="21"/>
                <w14:textFill>
                  <w14:solidFill>
                    <w14:schemeClr w14:val="tx1"/>
                  </w14:solidFill>
                </w14:textFill>
              </w:rPr>
              <w:t>须是</w:t>
            </w:r>
            <w:r>
              <w:rPr>
                <w:rFonts w:ascii="宋体" w:hAnsi="宋体"/>
                <w:color w:val="000000" w:themeColor="text1"/>
                <w:kern w:val="0"/>
                <w:szCs w:val="21"/>
                <w14:textFill>
                  <w14:solidFill>
                    <w14:schemeClr w14:val="tx1"/>
                  </w14:solidFill>
                </w14:textFill>
              </w:rPr>
              <w:t>投标单位</w:t>
            </w:r>
            <w:r>
              <w:rPr>
                <w:rFonts w:hint="eastAsia" w:ascii="宋体" w:hAnsi="宋体"/>
                <w:color w:val="000000" w:themeColor="text1"/>
                <w:kern w:val="0"/>
                <w:szCs w:val="21"/>
                <w14:textFill>
                  <w14:solidFill>
                    <w14:schemeClr w14:val="tx1"/>
                  </w14:solidFill>
                </w14:textFill>
              </w:rPr>
              <w:t>人员。</w:t>
            </w:r>
          </w:p>
          <w:p w14:paraId="5A77C99C">
            <w:pPr>
              <w:autoSpaceDE w:val="0"/>
              <w:autoSpaceDN w:val="0"/>
              <w:adjustRightInd w:val="0"/>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提供：法定代表人身份证明</w:t>
            </w:r>
            <w:r>
              <w:rPr>
                <w:rFonts w:hint="eastAsia" w:ascii="宋体" w:hAnsi="宋体"/>
                <w:color w:val="000000" w:themeColor="text1"/>
                <w:szCs w:val="21"/>
                <w14:textFill>
                  <w14:solidFill>
                    <w14:schemeClr w14:val="tx1"/>
                  </w14:solidFill>
                </w14:textFill>
              </w:rPr>
              <w:t>（格式见第八章投标文件格式）</w:t>
            </w:r>
            <w:r>
              <w:rPr>
                <w:rFonts w:hint="eastAsia" w:ascii="宋体" w:hAnsi="宋体"/>
                <w:color w:val="000000" w:themeColor="text1"/>
                <w:kern w:val="0"/>
                <w:szCs w:val="21"/>
                <w14:textFill>
                  <w14:solidFill>
                    <w14:schemeClr w14:val="tx1"/>
                  </w14:solidFill>
                </w14:textFill>
              </w:rPr>
              <w:t>。法定代表人委托代理人投标的，还须提供授权委托书</w:t>
            </w:r>
            <w:r>
              <w:rPr>
                <w:rFonts w:hint="eastAsia" w:ascii="宋体" w:hAnsi="宋体"/>
                <w:color w:val="000000" w:themeColor="text1"/>
                <w:szCs w:val="21"/>
                <w14:textFill>
                  <w14:solidFill>
                    <w14:schemeClr w14:val="tx1"/>
                  </w14:solidFill>
                </w14:textFill>
              </w:rPr>
              <w:t>（格式见第八章投标文件格式）</w:t>
            </w:r>
            <w:r>
              <w:rPr>
                <w:rFonts w:hint="eastAsia" w:ascii="宋体" w:hAnsi="宋体"/>
                <w:color w:val="000000" w:themeColor="text1"/>
                <w:kern w:val="0"/>
                <w:szCs w:val="21"/>
                <w14:textFill>
                  <w14:solidFill>
                    <w14:schemeClr w14:val="tx1"/>
                  </w14:solidFill>
                </w14:textFill>
              </w:rPr>
              <w:t>、投标人为该</w:t>
            </w:r>
            <w:r>
              <w:rPr>
                <w:rFonts w:ascii="宋体" w:hAnsi="宋体"/>
                <w:color w:val="000000" w:themeColor="text1"/>
                <w:kern w:val="0"/>
                <w:szCs w:val="21"/>
                <w14:textFill>
                  <w14:solidFill>
                    <w14:schemeClr w14:val="tx1"/>
                  </w14:solidFill>
                </w14:textFill>
              </w:rPr>
              <w:t>委托代理人</w:t>
            </w:r>
            <w:r>
              <w:rPr>
                <w:rFonts w:hint="eastAsia" w:ascii="宋体" w:hAnsi="宋体"/>
                <w:color w:val="000000" w:themeColor="text1"/>
                <w:kern w:val="0"/>
                <w:szCs w:val="21"/>
                <w14:textFill>
                  <w14:solidFill>
                    <w14:schemeClr w14:val="tx1"/>
                  </w14:solidFill>
                </w14:textFill>
              </w:rPr>
              <w:t>缴纳的养老保险证明。</w:t>
            </w:r>
          </w:p>
          <w:p w14:paraId="1611574A">
            <w:pPr>
              <w:tabs>
                <w:tab w:val="left" w:pos="3840"/>
                <w:tab w:val="left" w:pos="5300"/>
              </w:tabs>
              <w:autoSpaceDE w:val="0"/>
              <w:autoSpaceDN w:val="0"/>
              <w:adjustRightInd w:val="0"/>
              <w:snapToGrid w:val="0"/>
              <w:spacing w:line="400" w:lineRule="exact"/>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（4）</w:t>
            </w:r>
            <w:r>
              <w:rPr>
                <w:rFonts w:hint="eastAsia" w:ascii="宋体" w:hAnsi="宋体"/>
                <w:color w:val="000000" w:themeColor="text1"/>
                <w:kern w:val="0"/>
                <w:szCs w:val="21"/>
                <w14:textFill>
                  <w14:solidFill>
                    <w14:schemeClr w14:val="tx1"/>
                  </w14:solidFill>
                </w14:textFill>
              </w:rPr>
              <w:t>投标文件真实性：</w:t>
            </w:r>
          </w:p>
          <w:p w14:paraId="5C3FC6C4">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投标文件中的所有内容须真实有效，不存在弄虚作假情形。</w:t>
            </w:r>
          </w:p>
          <w:p w14:paraId="4E4628E9">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提供：承诺（</w:t>
            </w:r>
            <w:r>
              <w:rPr>
                <w:rFonts w:hint="eastAsia" w:asciiTheme="minorEastAsia" w:hAnsiTheme="minorEastAsia" w:eastAsiaTheme="minorEastAsia" w:cstheme="minorEastAsia"/>
                <w:color w:val="000000" w:themeColor="text1"/>
                <w:szCs w:val="21"/>
                <w14:textFill>
                  <w14:solidFill>
                    <w14:schemeClr w14:val="tx1"/>
                  </w14:solidFill>
                </w14:textFill>
              </w:rPr>
              <w:t>格式见第八章投标文件格式</w:t>
            </w:r>
            <w:r>
              <w:rPr>
                <w:rFonts w:hint="eastAsia" w:asciiTheme="minorEastAsia" w:hAnsiTheme="minorEastAsia" w:eastAsiaTheme="minorEastAsia" w:cstheme="minorEastAsia"/>
                <w:color w:val="000000" w:themeColor="text1"/>
                <w:kern w:val="0"/>
                <w:szCs w:val="21"/>
                <w14:textFill>
                  <w14:solidFill>
                    <w14:schemeClr w14:val="tx1"/>
                  </w14:solidFill>
                </w14:textFill>
              </w:rPr>
              <w:t>）。</w:t>
            </w:r>
          </w:p>
          <w:p w14:paraId="05065300">
            <w:pPr>
              <w:autoSpaceDE w:val="0"/>
              <w:autoSpaceDN w:val="0"/>
              <w:adjustRightInd w:val="0"/>
              <w:snapToGrid w:val="0"/>
              <w:spacing w:line="400" w:lineRule="exact"/>
              <w:ind w:firstLine="417" w:firstLineChars="198"/>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特别说明：</w:t>
            </w:r>
          </w:p>
          <w:p w14:paraId="72122868">
            <w:pPr>
              <w:autoSpaceDE w:val="0"/>
              <w:autoSpaceDN w:val="0"/>
              <w:adjustRightInd w:val="0"/>
              <w:snapToGrid w:val="0"/>
              <w:spacing w:line="400" w:lineRule="exact"/>
              <w:ind w:firstLine="415" w:firstLineChars="198"/>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上述要求须提供的相关证明材料均为扫描件（原件或复印件的扫描件均可），扫描件须清晰可辨，</w:t>
            </w:r>
            <w:r>
              <w:rPr>
                <w:rFonts w:hint="eastAsia" w:ascii="宋体" w:hAnsi="宋体" w:cs="宋体"/>
                <w:color w:val="000000" w:themeColor="text1"/>
                <w:kern w:val="0"/>
                <w:szCs w:val="21"/>
                <w14:textFill>
                  <w14:solidFill>
                    <w14:schemeClr w14:val="tx1"/>
                  </w14:solidFill>
                </w14:textFill>
              </w:rPr>
              <w:t>有一条不满足，则投标文件由评标委员会</w:t>
            </w:r>
            <w:r>
              <w:rPr>
                <w:rFonts w:hint="eastAsia" w:ascii="宋体" w:hAnsi="宋体" w:cs="宋体"/>
                <w:color w:val="000000" w:themeColor="text1"/>
                <w:szCs w:val="21"/>
                <w14:textFill>
                  <w14:solidFill>
                    <w14:schemeClr w14:val="tx1"/>
                  </w14:solidFill>
                </w14:textFill>
              </w:rPr>
              <w:t>作否决投标处理</w:t>
            </w:r>
            <w:r>
              <w:rPr>
                <w:rFonts w:hint="eastAsia" w:ascii="宋体" w:hAnsi="宋体" w:cs="宋体"/>
                <w:color w:val="000000" w:themeColor="text1"/>
                <w:kern w:val="0"/>
                <w:szCs w:val="21"/>
                <w14:textFill>
                  <w14:solidFill>
                    <w14:schemeClr w14:val="tx1"/>
                  </w14:solidFill>
                </w14:textFill>
              </w:rPr>
              <w:t>。</w:t>
            </w:r>
          </w:p>
          <w:p w14:paraId="07BC329B">
            <w:pPr>
              <w:autoSpaceDE w:val="0"/>
              <w:autoSpaceDN w:val="0"/>
              <w:adjustRightInd w:val="0"/>
              <w:snapToGrid w:val="0"/>
              <w:spacing w:line="400" w:lineRule="exact"/>
              <w:ind w:firstLine="415" w:firstLineChars="19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（2）招标人有权对投标人提供的资料进行核实，若发现弄虚作假，</w:t>
            </w:r>
            <w:r>
              <w:rPr>
                <w:rFonts w:hint="eastAsia" w:asciiTheme="minorEastAsia" w:hAnsiTheme="minorEastAsia" w:eastAsiaTheme="minorEastAsia" w:cstheme="minorEastAsia"/>
                <w:color w:val="000000" w:themeColor="text1"/>
                <w:szCs w:val="21"/>
                <w14:textFill>
                  <w14:solidFill>
                    <w14:schemeClr w14:val="tx1"/>
                  </w14:solidFill>
                </w14:textFill>
              </w:rPr>
              <w:t>按相关规定</w:t>
            </w:r>
            <w:r>
              <w:rPr>
                <w:rFonts w:hint="eastAsia" w:ascii="宋体" w:hAnsi="宋体" w:cs="宋体"/>
                <w:color w:val="000000" w:themeColor="text1"/>
                <w:szCs w:val="21"/>
                <w14:textFill>
                  <w14:solidFill>
                    <w14:schemeClr w14:val="tx1"/>
                  </w14:solidFill>
                </w14:textFill>
              </w:rPr>
              <w:t>取消其中标资格，并按相关法律法规报招标投标监督部门，其投标保证金</w:t>
            </w:r>
            <w:r>
              <w:rPr>
                <w:rFonts w:hint="eastAsia" w:asciiTheme="minorEastAsia" w:hAnsiTheme="minorEastAsia" w:eastAsiaTheme="minorEastAsia" w:cstheme="minorEastAsia"/>
                <w:color w:val="000000" w:themeColor="text1"/>
                <w:szCs w:val="21"/>
                <w14:textFill>
                  <w14:solidFill>
                    <w14:schemeClr w14:val="tx1"/>
                  </w14:solidFill>
                </w14:textFill>
              </w:rPr>
              <w:t>以现金形式交纳的</w:t>
            </w:r>
            <w:r>
              <w:rPr>
                <w:rFonts w:hint="eastAsia" w:ascii="宋体" w:hAnsi="宋体" w:cs="宋体"/>
                <w:color w:val="000000" w:themeColor="text1"/>
                <w:szCs w:val="21"/>
                <w14:textFill>
                  <w14:solidFill>
                    <w14:schemeClr w14:val="tx1"/>
                  </w14:solidFill>
                </w14:textFill>
              </w:rPr>
              <w:t>不予退还</w:t>
            </w:r>
            <w:r>
              <w:rPr>
                <w:rFonts w:hint="eastAsia" w:asciiTheme="minorEastAsia" w:hAnsiTheme="minorEastAsia" w:eastAsiaTheme="minorEastAsia" w:cstheme="minorEastAsia"/>
                <w:color w:val="000000" w:themeColor="text1"/>
                <w:szCs w:val="21"/>
                <w14:textFill>
                  <w14:solidFill>
                    <w14:schemeClr w14:val="tx1"/>
                  </w14:solidFill>
                </w14:textFill>
              </w:rPr>
              <w:t>，以保函形式交纳的由保函开立人支付保函担保的与投标保证金等额的款项</w:t>
            </w:r>
            <w:r>
              <w:rPr>
                <w:rFonts w:hint="eastAsia" w:ascii="宋体" w:hAnsi="宋体" w:cs="宋体"/>
                <w:color w:val="000000" w:themeColor="text1"/>
                <w:szCs w:val="21"/>
                <w14:textFill>
                  <w14:solidFill>
                    <w14:schemeClr w14:val="tx1"/>
                  </w14:solidFill>
                </w14:textFill>
              </w:rPr>
              <w:t>，投标人承担因此造成的相关责任并赔偿相应损失。</w:t>
            </w:r>
          </w:p>
          <w:p w14:paraId="5BA08F90">
            <w:pPr>
              <w:spacing w:line="400" w:lineRule="exact"/>
              <w:ind w:firstLine="420" w:firstLineChars="200"/>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（3）</w:t>
            </w:r>
            <w:r>
              <w:rPr>
                <w:rFonts w:ascii="宋体" w:hAnsi="宋体"/>
                <w:bCs/>
                <w:color w:val="000000" w:themeColor="text1"/>
                <w:kern w:val="0"/>
                <w:szCs w:val="21"/>
                <w14:textFill>
                  <w14:solidFill>
                    <w14:schemeClr w14:val="tx1"/>
                  </w14:solidFill>
                </w14:textFill>
              </w:rPr>
              <w:t>本竞争性比选文件中所要求的人员</w:t>
            </w:r>
            <w:r>
              <w:rPr>
                <w:rFonts w:hint="eastAsia" w:ascii="宋体" w:hAnsi="宋体"/>
                <w:bCs/>
                <w:color w:val="000000" w:themeColor="text1"/>
                <w:kern w:val="0"/>
                <w:szCs w:val="21"/>
                <w14:textFill>
                  <w14:solidFill>
                    <w14:schemeClr w14:val="tx1"/>
                  </w14:solidFill>
                </w14:textFill>
              </w:rPr>
              <w:t>养老保险</w:t>
            </w:r>
            <w:r>
              <w:rPr>
                <w:rFonts w:ascii="宋体" w:hAnsi="宋体"/>
                <w:bCs/>
                <w:color w:val="000000" w:themeColor="text1"/>
                <w:kern w:val="0"/>
                <w:szCs w:val="21"/>
                <w14:textFill>
                  <w14:solidFill>
                    <w14:schemeClr w14:val="tx1"/>
                  </w14:solidFill>
                </w14:textFill>
              </w:rPr>
              <w:t>证明要求如下：</w:t>
            </w:r>
          </w:p>
          <w:p w14:paraId="1A645D68">
            <w:pPr>
              <w:spacing w:line="400" w:lineRule="exact"/>
              <w:ind w:firstLine="420" w:firstLineChars="200"/>
              <w:rPr>
                <w:rFonts w:hint="eastAsia" w:ascii="宋体" w:hAns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①</w:t>
            </w:r>
            <w:r>
              <w:rPr>
                <w:rFonts w:hint="eastAsia" w:ascii="宋体" w:hAnsi="宋体"/>
                <w:bCs/>
                <w:color w:val="000000" w:themeColor="text1"/>
                <w:kern w:val="0"/>
                <w:szCs w:val="21"/>
                <w14:textFill>
                  <w14:solidFill>
                    <w14:schemeClr w14:val="tx1"/>
                  </w14:solidFill>
                </w14:textFill>
              </w:rPr>
              <w:t>企业</w:t>
            </w:r>
            <w:r>
              <w:rPr>
                <w:rFonts w:ascii="宋体" w:hAnsi="宋体"/>
                <w:bCs/>
                <w:color w:val="000000" w:themeColor="text1"/>
                <w:kern w:val="0"/>
                <w:szCs w:val="21"/>
                <w14:textFill>
                  <w14:solidFill>
                    <w14:schemeClr w14:val="tx1"/>
                  </w14:solidFill>
                </w14:textFill>
              </w:rPr>
              <w:t>提供</w:t>
            </w:r>
            <w:r>
              <w:rPr>
                <w:rFonts w:hint="eastAsia" w:ascii="宋体" w:hAnsi="宋体"/>
                <w:bCs/>
                <w:color w:val="000000" w:themeColor="text1"/>
                <w:kern w:val="0"/>
                <w:szCs w:val="21"/>
                <w14:textFill>
                  <w14:solidFill>
                    <w14:schemeClr w14:val="tx1"/>
                  </w14:solidFill>
                </w14:textFill>
              </w:rPr>
              <w:t>养老保险</w:t>
            </w:r>
            <w:r>
              <w:rPr>
                <w:rFonts w:ascii="宋体" w:hAnsi="宋体"/>
                <w:bCs/>
                <w:color w:val="000000" w:themeColor="text1"/>
                <w:kern w:val="0"/>
                <w:szCs w:val="21"/>
                <w14:textFill>
                  <w14:solidFill>
                    <w14:schemeClr w14:val="tx1"/>
                  </w14:solidFill>
                </w14:textFill>
              </w:rPr>
              <w:t>证明，事业单位提供</w:t>
            </w:r>
            <w:r>
              <w:rPr>
                <w:rFonts w:hint="eastAsia" w:ascii="宋体" w:hAnsi="宋体"/>
                <w:bCs/>
                <w:color w:val="000000" w:themeColor="text1"/>
                <w:kern w:val="0"/>
                <w:szCs w:val="21"/>
                <w14:textFill>
                  <w14:solidFill>
                    <w14:schemeClr w14:val="tx1"/>
                  </w14:solidFill>
                </w14:textFill>
              </w:rPr>
              <w:t>养老保险</w:t>
            </w:r>
            <w:r>
              <w:rPr>
                <w:rFonts w:ascii="宋体" w:hAnsi="宋体"/>
                <w:bCs/>
                <w:color w:val="000000" w:themeColor="text1"/>
                <w:kern w:val="0"/>
                <w:szCs w:val="21"/>
                <w14:textFill>
                  <w14:solidFill>
                    <w14:schemeClr w14:val="tx1"/>
                  </w14:solidFill>
                </w14:textFill>
              </w:rPr>
              <w:t>证明或行政主管部门在编证明。</w:t>
            </w:r>
          </w:p>
          <w:p w14:paraId="6F9E5944">
            <w:pPr>
              <w:spacing w:line="400" w:lineRule="exact"/>
              <w:ind w:firstLine="420" w:firstLineChars="200"/>
              <w:rPr>
                <w:rFonts w:hint="eastAsia" w:ascii="宋体" w:hAnsi="宋体"/>
                <w:bCs/>
                <w:color w:val="000000" w:themeColor="text1"/>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②</w:t>
            </w:r>
            <w:r>
              <w:rPr>
                <w:rFonts w:hint="eastAsia" w:ascii="宋体" w:hAnsi="宋体"/>
                <w:bCs/>
                <w:snapToGrid w:val="0"/>
                <w:color w:val="000000" w:themeColor="text1"/>
                <w:kern w:val="0"/>
                <w:szCs w:val="21"/>
                <w14:textFill>
                  <w14:solidFill>
                    <w14:schemeClr w14:val="tx1"/>
                  </w14:solidFill>
                </w14:textFill>
              </w:rPr>
              <w:t>拟派人员在投标单位</w:t>
            </w:r>
            <w:r>
              <w:rPr>
                <w:rFonts w:ascii="宋体" w:hAnsi="宋体"/>
                <w:bCs/>
                <w:snapToGrid w:val="0"/>
                <w:color w:val="000000" w:themeColor="text1"/>
                <w:kern w:val="0"/>
                <w:szCs w:val="21"/>
                <w14:textFill>
                  <w14:solidFill>
                    <w14:schemeClr w14:val="tx1"/>
                  </w14:solidFill>
                </w14:textFill>
              </w:rPr>
              <w:t>的</w:t>
            </w:r>
            <w:r>
              <w:rPr>
                <w:rFonts w:hint="eastAsia" w:ascii="宋体" w:hAnsi="宋体"/>
                <w:bCs/>
                <w:snapToGrid w:val="0"/>
                <w:color w:val="000000" w:themeColor="text1"/>
                <w:kern w:val="0"/>
                <w:szCs w:val="21"/>
                <w14:textFill>
                  <w14:solidFill>
                    <w14:schemeClr w14:val="tx1"/>
                  </w14:solidFill>
                </w14:textFill>
              </w:rPr>
              <w:t>连续养老保险</w:t>
            </w:r>
            <w:r>
              <w:rPr>
                <w:rFonts w:ascii="宋体" w:hAnsi="宋体"/>
                <w:bCs/>
                <w:snapToGrid w:val="0"/>
                <w:color w:val="000000" w:themeColor="text1"/>
                <w:kern w:val="0"/>
                <w:szCs w:val="21"/>
                <w14:textFill>
                  <w14:solidFill>
                    <w14:schemeClr w14:val="tx1"/>
                  </w14:solidFill>
                </w14:textFill>
              </w:rPr>
              <w:t>证明期限</w:t>
            </w:r>
            <w:r>
              <w:rPr>
                <w:rFonts w:hint="eastAsia" w:ascii="宋体" w:hAnsi="宋体"/>
                <w:bCs/>
                <w:snapToGrid w:val="0"/>
                <w:color w:val="000000" w:themeColor="text1"/>
                <w:kern w:val="0"/>
                <w:szCs w:val="21"/>
                <w14:textFill>
                  <w14:solidFill>
                    <w14:schemeClr w14:val="tx1"/>
                  </w14:solidFill>
                </w14:textFill>
              </w:rPr>
              <w:t>须包含</w:t>
            </w:r>
            <w:r>
              <w:rPr>
                <w:rFonts w:hint="eastAsia" w:ascii="宋体" w:hAnsi="宋体"/>
                <w:bCs/>
                <w:snapToGrid w:val="0"/>
                <w:color w:val="000000" w:themeColor="text1"/>
                <w:kern w:val="0"/>
                <w:szCs w:val="21"/>
                <w:u w:val="single"/>
                <w14:textFill>
                  <w14:solidFill>
                    <w14:schemeClr w14:val="tx1"/>
                  </w14:solidFill>
                </w14:textFill>
              </w:rPr>
              <w:t>2025</w:t>
            </w:r>
            <w:r>
              <w:rPr>
                <w:rFonts w:ascii="宋体" w:hAnsi="宋体"/>
                <w:bCs/>
                <w:snapToGrid w:val="0"/>
                <w:color w:val="000000" w:themeColor="text1"/>
                <w:kern w:val="0"/>
                <w:szCs w:val="21"/>
                <w14:textFill>
                  <w14:solidFill>
                    <w14:schemeClr w14:val="tx1"/>
                  </w14:solidFill>
                </w14:textFill>
              </w:rPr>
              <w:t>年</w:t>
            </w:r>
            <w:r>
              <w:rPr>
                <w:rFonts w:hint="eastAsia" w:ascii="宋体" w:hAnsi="宋体"/>
                <w:bCs/>
                <w:snapToGrid w:val="0"/>
                <w:color w:val="000000" w:themeColor="text1"/>
                <w:kern w:val="0"/>
                <w:szCs w:val="21"/>
                <w:u w:val="single"/>
                <w14:textFill>
                  <w14:solidFill>
                    <w14:schemeClr w14:val="tx1"/>
                  </w14:solidFill>
                </w14:textFill>
              </w:rPr>
              <w:t>12</w:t>
            </w:r>
            <w:r>
              <w:rPr>
                <w:rFonts w:ascii="宋体" w:hAnsi="宋体"/>
                <w:bCs/>
                <w:snapToGrid w:val="0"/>
                <w:color w:val="000000" w:themeColor="text1"/>
                <w:kern w:val="0"/>
                <w:szCs w:val="21"/>
                <w14:textFill>
                  <w14:solidFill>
                    <w14:schemeClr w14:val="tx1"/>
                  </w14:solidFill>
                </w14:textFill>
              </w:rPr>
              <w:t>月至</w:t>
            </w:r>
            <w:r>
              <w:rPr>
                <w:rFonts w:hint="eastAsia" w:ascii="宋体" w:hAnsi="宋体"/>
                <w:bCs/>
                <w:snapToGrid w:val="0"/>
                <w:color w:val="000000" w:themeColor="text1"/>
                <w:kern w:val="0"/>
                <w:szCs w:val="21"/>
                <w:u w:val="single"/>
                <w14:textFill>
                  <w14:solidFill>
                    <w14:schemeClr w14:val="tx1"/>
                  </w14:solidFill>
                </w14:textFill>
              </w:rPr>
              <w:t>2026</w:t>
            </w:r>
            <w:r>
              <w:rPr>
                <w:rFonts w:ascii="宋体" w:hAnsi="宋体"/>
                <w:bCs/>
                <w:snapToGrid w:val="0"/>
                <w:color w:val="000000" w:themeColor="text1"/>
                <w:kern w:val="0"/>
                <w:szCs w:val="21"/>
                <w14:textFill>
                  <w14:solidFill>
                    <w14:schemeClr w14:val="tx1"/>
                  </w14:solidFill>
                </w14:textFill>
              </w:rPr>
              <w:t>年</w:t>
            </w:r>
            <w:r>
              <w:rPr>
                <w:rFonts w:hint="eastAsia" w:ascii="宋体" w:hAnsi="宋体"/>
                <w:bCs/>
                <w:snapToGrid w:val="0"/>
                <w:color w:val="000000" w:themeColor="text1"/>
                <w:kern w:val="0"/>
                <w:szCs w:val="21"/>
                <w:u w:val="single"/>
                <w14:textFill>
                  <w14:solidFill>
                    <w14:schemeClr w14:val="tx1"/>
                  </w14:solidFill>
                </w14:textFill>
              </w:rPr>
              <w:t>5</w:t>
            </w:r>
            <w:r>
              <w:rPr>
                <w:rFonts w:ascii="宋体" w:hAnsi="宋体"/>
                <w:bCs/>
                <w:snapToGrid w:val="0"/>
                <w:color w:val="000000" w:themeColor="text1"/>
                <w:kern w:val="0"/>
                <w:szCs w:val="21"/>
                <w14:textFill>
                  <w14:solidFill>
                    <w14:schemeClr w14:val="tx1"/>
                  </w14:solidFill>
                </w14:textFill>
              </w:rPr>
              <w:t>月</w:t>
            </w:r>
            <w:r>
              <w:rPr>
                <w:rFonts w:hint="eastAsia" w:ascii="宋体" w:hAnsi="宋体"/>
                <w:bCs/>
                <w:color w:val="000000" w:themeColor="text1"/>
                <w:szCs w:val="21"/>
                <w14:textFill>
                  <w14:solidFill>
                    <w14:schemeClr w14:val="tx1"/>
                  </w14:solidFill>
                </w14:textFill>
              </w:rPr>
              <w:t>。提供的养老保险参保证明须体现拟派人员的姓名、身份证号（或社保号）、单位名称、在投标单位参保时间（或起始参保时间），并带有社保部门公章或社保部门的有效电子印章。</w:t>
            </w:r>
          </w:p>
        </w:tc>
      </w:tr>
      <w:tr w14:paraId="3A23A5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26EE5A">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1.4.2</w:t>
            </w:r>
          </w:p>
        </w:tc>
        <w:tc>
          <w:tcPr>
            <w:tcW w:w="1644" w:type="dxa"/>
            <w:vAlign w:val="center"/>
          </w:tcPr>
          <w:p w14:paraId="7061AA93">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是否接受联合体投标</w:t>
            </w:r>
          </w:p>
        </w:tc>
        <w:tc>
          <w:tcPr>
            <w:tcW w:w="6490" w:type="dxa"/>
            <w:vAlign w:val="center"/>
          </w:tcPr>
          <w:p w14:paraId="529DCA2F">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不接受</w:t>
            </w:r>
          </w:p>
        </w:tc>
      </w:tr>
      <w:tr w14:paraId="3B1A07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26216A5">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1.9.1</w:t>
            </w:r>
          </w:p>
        </w:tc>
        <w:tc>
          <w:tcPr>
            <w:tcW w:w="1644" w:type="dxa"/>
            <w:vAlign w:val="center"/>
          </w:tcPr>
          <w:p w14:paraId="31BEF7A0">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踏勘现场</w:t>
            </w:r>
          </w:p>
        </w:tc>
        <w:tc>
          <w:tcPr>
            <w:tcW w:w="6490" w:type="dxa"/>
            <w:vAlign w:val="center"/>
          </w:tcPr>
          <w:p w14:paraId="5204C5F8">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不组织</w:t>
            </w:r>
          </w:p>
        </w:tc>
      </w:tr>
      <w:tr w14:paraId="5E0720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02523D7">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1.10.1</w:t>
            </w:r>
          </w:p>
        </w:tc>
        <w:tc>
          <w:tcPr>
            <w:tcW w:w="1644" w:type="dxa"/>
            <w:vAlign w:val="center"/>
          </w:tcPr>
          <w:p w14:paraId="3D397DDC">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投标预备会</w:t>
            </w:r>
          </w:p>
        </w:tc>
        <w:tc>
          <w:tcPr>
            <w:tcW w:w="6490" w:type="dxa"/>
            <w:vAlign w:val="center"/>
          </w:tcPr>
          <w:p w14:paraId="231BF7CF">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不召开</w:t>
            </w:r>
          </w:p>
        </w:tc>
      </w:tr>
      <w:tr w14:paraId="74A622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6556508">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1.11</w:t>
            </w:r>
          </w:p>
        </w:tc>
        <w:tc>
          <w:tcPr>
            <w:tcW w:w="1644" w:type="dxa"/>
            <w:vAlign w:val="center"/>
          </w:tcPr>
          <w:p w14:paraId="054367F7">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分包</w:t>
            </w:r>
          </w:p>
        </w:tc>
        <w:tc>
          <w:tcPr>
            <w:tcW w:w="6490" w:type="dxa"/>
            <w:vAlign w:val="center"/>
          </w:tcPr>
          <w:p w14:paraId="20254379">
            <w:pPr>
              <w:snapToGrid w:val="0"/>
              <w:spacing w:line="4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允许，</w:t>
            </w:r>
            <w:r>
              <w:rPr>
                <w:rFonts w:hint="eastAsia"/>
                <w:color w:val="000000" w:themeColor="text1"/>
                <w14:textFill>
                  <w14:solidFill>
                    <w14:schemeClr w14:val="tx1"/>
                  </w14:solidFill>
                </w14:textFill>
              </w:rPr>
              <w:t>分包应按照相关法律法规及规范性文件执行，不得违法分包。</w:t>
            </w:r>
          </w:p>
        </w:tc>
      </w:tr>
      <w:tr w14:paraId="541B5F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79521C2">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2.1</w:t>
            </w:r>
          </w:p>
        </w:tc>
        <w:tc>
          <w:tcPr>
            <w:tcW w:w="1644" w:type="dxa"/>
            <w:vAlign w:val="center"/>
          </w:tcPr>
          <w:p w14:paraId="2F2E66F8">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构成竞争性比选文件的其他材料</w:t>
            </w:r>
          </w:p>
        </w:tc>
        <w:tc>
          <w:tcPr>
            <w:tcW w:w="6490" w:type="dxa"/>
            <w:vAlign w:val="center"/>
          </w:tcPr>
          <w:p w14:paraId="4ADA43F8">
            <w:pPr>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招标人发出的</w:t>
            </w:r>
            <w:r>
              <w:rPr>
                <w:rFonts w:hint="eastAsia" w:ascii="宋体" w:hAnsi="宋体"/>
                <w:color w:val="000000" w:themeColor="text1"/>
                <w:szCs w:val="21"/>
                <w14:textFill>
                  <w14:solidFill>
                    <w14:schemeClr w14:val="tx1"/>
                  </w14:solidFill>
                </w14:textFill>
              </w:rPr>
              <w:t>澄清</w:t>
            </w:r>
            <w:r>
              <w:rPr>
                <w:rFonts w:ascii="宋体" w:hAnsi="宋体"/>
                <w:color w:val="000000" w:themeColor="text1"/>
                <w:szCs w:val="21"/>
                <w14:textFill>
                  <w14:solidFill>
                    <w14:schemeClr w14:val="tx1"/>
                  </w14:solidFill>
                </w14:textFill>
              </w:rPr>
              <w:t>及</w:t>
            </w:r>
            <w:r>
              <w:rPr>
                <w:rFonts w:hint="eastAsia" w:ascii="宋体" w:hAnsi="宋体"/>
                <w:color w:val="000000" w:themeColor="text1"/>
                <w:szCs w:val="21"/>
                <w14:textFill>
                  <w14:solidFill>
                    <w14:schemeClr w14:val="tx1"/>
                  </w14:solidFill>
                </w14:textFill>
              </w:rPr>
              <w:t>修改</w:t>
            </w:r>
          </w:p>
        </w:tc>
      </w:tr>
      <w:tr w14:paraId="62C2C1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24F8429">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2</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1</w:t>
            </w:r>
          </w:p>
        </w:tc>
        <w:tc>
          <w:tcPr>
            <w:tcW w:w="1644" w:type="dxa"/>
            <w:tcBorders>
              <w:bottom w:val="single" w:color="auto" w:sz="4" w:space="0"/>
            </w:tcBorders>
            <w:vAlign w:val="center"/>
          </w:tcPr>
          <w:p w14:paraId="0F50FD71">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投标人对竞争性比选文件提出</w:t>
            </w:r>
            <w:r>
              <w:rPr>
                <w:rFonts w:hint="eastAsia" w:ascii="宋体" w:hAnsi="宋体"/>
                <w:color w:val="000000" w:themeColor="text1"/>
                <w:kern w:val="0"/>
                <w:szCs w:val="21"/>
                <w14:textFill>
                  <w14:solidFill>
                    <w14:schemeClr w14:val="tx1"/>
                  </w14:solidFill>
                </w14:textFill>
              </w:rPr>
              <w:t>疑问</w:t>
            </w:r>
            <w:r>
              <w:rPr>
                <w:rFonts w:ascii="宋体" w:hAnsi="宋体"/>
                <w:color w:val="000000" w:themeColor="text1"/>
                <w:kern w:val="0"/>
                <w:szCs w:val="21"/>
                <w14:textFill>
                  <w14:solidFill>
                    <w14:schemeClr w14:val="tx1"/>
                  </w14:solidFill>
                </w14:textFill>
              </w:rPr>
              <w:t>的截止时间</w:t>
            </w:r>
          </w:p>
        </w:tc>
        <w:tc>
          <w:tcPr>
            <w:tcW w:w="6490" w:type="dxa"/>
            <w:vAlign w:val="center"/>
          </w:tcPr>
          <w:p w14:paraId="688480E6">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投标人应仔细</w:t>
            </w:r>
            <w:r>
              <w:rPr>
                <w:rFonts w:hint="eastAsia" w:ascii="宋体" w:hAnsi="宋体"/>
                <w:color w:val="000000" w:themeColor="text1"/>
                <w:kern w:val="0"/>
                <w:szCs w:val="21"/>
                <w14:textFill>
                  <w14:solidFill>
                    <w14:schemeClr w14:val="tx1"/>
                  </w14:solidFill>
                </w14:textFill>
              </w:rPr>
              <w:t>阅读</w:t>
            </w:r>
            <w:r>
              <w:rPr>
                <w:rFonts w:ascii="宋体" w:hAnsi="宋体"/>
                <w:color w:val="000000" w:themeColor="text1"/>
                <w:kern w:val="0"/>
                <w:szCs w:val="21"/>
                <w14:textFill>
                  <w14:solidFill>
                    <w14:schemeClr w14:val="tx1"/>
                  </w14:solidFill>
                </w14:textFill>
              </w:rPr>
              <w:t>竞争性比选文件</w:t>
            </w:r>
            <w:r>
              <w:rPr>
                <w:rFonts w:hint="eastAsia" w:ascii="宋体" w:hAnsi="宋体"/>
                <w:color w:val="000000" w:themeColor="text1"/>
                <w:kern w:val="0"/>
                <w:szCs w:val="21"/>
                <w14:textFill>
                  <w14:solidFill>
                    <w14:schemeClr w14:val="tx1"/>
                  </w14:solidFill>
                </w14:textFill>
              </w:rPr>
              <w:t>及附件</w:t>
            </w:r>
            <w:r>
              <w:rPr>
                <w:rFonts w:ascii="宋体" w:hAnsi="宋体"/>
                <w:color w:val="000000" w:themeColor="text1"/>
                <w:kern w:val="0"/>
                <w:szCs w:val="21"/>
                <w14:textFill>
                  <w14:solidFill>
                    <w14:schemeClr w14:val="tx1"/>
                  </w14:solidFill>
                </w14:textFill>
              </w:rPr>
              <w:t>的所有内容，如有文字表述不清，图纸尺寸标注不明以及存在错、漏、缺、概念模糊和有可能出现歧义或理解上的偏差的内容等应</w:t>
            </w:r>
            <w:r>
              <w:rPr>
                <w:rFonts w:hint="eastAsia" w:ascii="宋体" w:hAnsi="宋体" w:cs="宋体"/>
                <w:color w:val="000000" w:themeColor="text1"/>
                <w:kern w:val="0"/>
                <w:szCs w:val="21"/>
                <w14:textFill>
                  <w14:solidFill>
                    <w14:schemeClr w14:val="tx1"/>
                  </w14:solidFill>
                </w14:textFill>
              </w:rPr>
              <w:t>在竞争性比选公告规定的时间</w:t>
            </w:r>
            <w:r>
              <w:rPr>
                <w:rFonts w:ascii="宋体" w:hAnsi="宋体"/>
                <w:color w:val="000000" w:themeColor="text1"/>
                <w:kern w:val="0"/>
                <w:szCs w:val="21"/>
                <w14:textFill>
                  <w14:solidFill>
                    <w14:schemeClr w14:val="tx1"/>
                  </w14:solidFill>
                </w14:textFill>
              </w:rPr>
              <w:t>前</w:t>
            </w:r>
            <w:r>
              <w:rPr>
                <w:rFonts w:hint="eastAsia" w:ascii="宋体" w:hAnsi="宋体" w:cs="宋体"/>
                <w:color w:val="000000" w:themeColor="text1"/>
                <w:szCs w:val="21"/>
                <w14:textFill>
                  <w14:solidFill>
                    <w14:schemeClr w14:val="tx1"/>
                  </w14:solidFill>
                </w14:textFill>
              </w:rPr>
              <w:t>以书面形式送达招标人的方式提出</w:t>
            </w:r>
            <w:r>
              <w:rPr>
                <w:rFonts w:hint="eastAsia" w:ascii="宋体" w:hAnsi="宋体" w:cs="宋体"/>
                <w:snapToGrid w:val="0"/>
                <w:color w:val="000000" w:themeColor="text1"/>
                <w:kern w:val="0"/>
                <w:szCs w:val="21"/>
                <w14:textFill>
                  <w14:solidFill>
                    <w14:schemeClr w14:val="tx1"/>
                  </w14:solidFill>
                </w14:textFill>
              </w:rPr>
              <w:t>。</w:t>
            </w:r>
          </w:p>
        </w:tc>
      </w:tr>
      <w:tr w14:paraId="64BE2E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restart"/>
            <w:vAlign w:val="center"/>
          </w:tcPr>
          <w:p w14:paraId="6BCE6FCC">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2.2.2</w:t>
            </w:r>
          </w:p>
        </w:tc>
        <w:tc>
          <w:tcPr>
            <w:tcW w:w="1644" w:type="dxa"/>
            <w:tcBorders>
              <w:top w:val="single" w:color="auto" w:sz="4" w:space="0"/>
            </w:tcBorders>
            <w:vAlign w:val="center"/>
          </w:tcPr>
          <w:p w14:paraId="311D9753">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招标人对竞争性比选文件澄清的截止时间</w:t>
            </w:r>
          </w:p>
        </w:tc>
        <w:tc>
          <w:tcPr>
            <w:tcW w:w="6490" w:type="dxa"/>
            <w:vAlign w:val="center"/>
          </w:tcPr>
          <w:p w14:paraId="372F971B">
            <w:pPr>
              <w:snapToGrid w:val="0"/>
              <w:spacing w:line="400" w:lineRule="exact"/>
              <w:ind w:firstLine="420" w:firstLineChars="200"/>
              <w:rPr>
                <w:rFonts w:hint="eastAsia" w:ascii="宋体" w:hAnsi="宋体"/>
                <w:snapToGrid w:val="0"/>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招标人应在竞争性比选公告规定的时间前</w:t>
            </w:r>
            <w:r>
              <w:rPr>
                <w:rFonts w:ascii="宋体" w:hAnsi="宋体"/>
                <w:color w:val="000000" w:themeColor="text1"/>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在</w:t>
            </w:r>
            <w:r>
              <w:rPr>
                <w:rFonts w:hint="eastAsia" w:ascii="宋体" w:hAnsi="宋体" w:cs="宋体"/>
                <w:snapToGrid w:val="0"/>
                <w:color w:val="000000" w:themeColor="text1"/>
                <w:kern w:val="0"/>
                <w:szCs w:val="21"/>
                <w14:textFill>
                  <w14:solidFill>
                    <w14:schemeClr w14:val="tx1"/>
                  </w14:solidFill>
                </w14:textFill>
              </w:rPr>
              <w:t>垫江县人民政府官网</w:t>
            </w:r>
            <w:r>
              <w:rPr>
                <w:rFonts w:ascii="宋体" w:hAnsi="宋体"/>
                <w:color w:val="000000" w:themeColor="text1"/>
                <w:kern w:val="0"/>
                <w:szCs w:val="21"/>
                <w14:textFill>
                  <w14:solidFill>
                    <w14:schemeClr w14:val="tx1"/>
                  </w14:solidFill>
                </w14:textFill>
              </w:rPr>
              <w:t>发布</w:t>
            </w:r>
            <w:r>
              <w:rPr>
                <w:rFonts w:hint="eastAsia" w:ascii="宋体" w:hAnsi="宋体"/>
                <w:color w:val="000000" w:themeColor="text1"/>
                <w:kern w:val="0"/>
                <w:szCs w:val="21"/>
                <w14:textFill>
                  <w14:solidFill>
                    <w14:schemeClr w14:val="tx1"/>
                  </w14:solidFill>
                </w14:textFill>
              </w:rPr>
              <w:t>澄清</w:t>
            </w:r>
            <w:r>
              <w:rPr>
                <w:rFonts w:ascii="宋体" w:hAnsi="宋体"/>
                <w:color w:val="000000" w:themeColor="text1"/>
                <w:kern w:val="0"/>
                <w:szCs w:val="21"/>
                <w14:textFill>
                  <w14:solidFill>
                    <w14:schemeClr w14:val="tx1"/>
                  </w14:solidFill>
                </w14:textFill>
              </w:rPr>
              <w:t>。</w:t>
            </w:r>
          </w:p>
        </w:tc>
      </w:tr>
      <w:tr w14:paraId="5B7D71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continue"/>
            <w:vAlign w:val="center"/>
          </w:tcPr>
          <w:p w14:paraId="5D9AC2D9">
            <w:pPr>
              <w:snapToGrid w:val="0"/>
              <w:spacing w:line="400" w:lineRule="exact"/>
              <w:jc w:val="center"/>
              <w:rPr>
                <w:rFonts w:hint="eastAsia" w:ascii="宋体" w:hAnsi="宋体"/>
                <w:color w:val="000000" w:themeColor="text1"/>
                <w:kern w:val="0"/>
                <w:szCs w:val="21"/>
                <w14:textFill>
                  <w14:solidFill>
                    <w14:schemeClr w14:val="tx1"/>
                  </w14:solidFill>
                </w14:textFill>
              </w:rPr>
            </w:pPr>
          </w:p>
        </w:tc>
        <w:tc>
          <w:tcPr>
            <w:tcW w:w="1644" w:type="dxa"/>
            <w:vAlign w:val="center"/>
          </w:tcPr>
          <w:p w14:paraId="119CCA8B">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投标截止时间</w:t>
            </w:r>
          </w:p>
        </w:tc>
        <w:tc>
          <w:tcPr>
            <w:tcW w:w="6490" w:type="dxa"/>
            <w:vAlign w:val="center"/>
          </w:tcPr>
          <w:p w14:paraId="7CBF0063">
            <w:pPr>
              <w:snapToGrid w:val="0"/>
              <w:spacing w:line="40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详见竞争性比选公告规定的投标截止时间。</w:t>
            </w:r>
          </w:p>
        </w:tc>
      </w:tr>
      <w:tr w14:paraId="70A593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8F70360">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2.2.3</w:t>
            </w:r>
          </w:p>
        </w:tc>
        <w:tc>
          <w:tcPr>
            <w:tcW w:w="1644" w:type="dxa"/>
            <w:vAlign w:val="center"/>
          </w:tcPr>
          <w:p w14:paraId="128F6112">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招标人对竞争性比选文件进行</w:t>
            </w:r>
            <w:r>
              <w:rPr>
                <w:rFonts w:hint="eastAsia" w:ascii="宋体" w:hAnsi="宋体"/>
                <w:color w:val="000000" w:themeColor="text1"/>
                <w:kern w:val="0"/>
                <w:szCs w:val="21"/>
                <w14:textFill>
                  <w14:solidFill>
                    <w14:schemeClr w14:val="tx1"/>
                  </w14:solidFill>
                </w14:textFill>
              </w:rPr>
              <w:t>修改</w:t>
            </w:r>
            <w:r>
              <w:rPr>
                <w:rFonts w:ascii="宋体" w:hAnsi="宋体"/>
                <w:color w:val="000000" w:themeColor="text1"/>
                <w:kern w:val="0"/>
                <w:szCs w:val="21"/>
                <w14:textFill>
                  <w14:solidFill>
                    <w14:schemeClr w14:val="tx1"/>
                  </w14:solidFill>
                </w14:textFill>
              </w:rPr>
              <w:t>的时间</w:t>
            </w:r>
          </w:p>
        </w:tc>
        <w:tc>
          <w:tcPr>
            <w:tcW w:w="6490" w:type="dxa"/>
            <w:vAlign w:val="center"/>
          </w:tcPr>
          <w:p w14:paraId="648579E7">
            <w:pPr>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修改</w:t>
            </w:r>
            <w:r>
              <w:rPr>
                <w:rFonts w:ascii="宋体" w:hAnsi="宋体"/>
                <w:snapToGrid w:val="0"/>
                <w:color w:val="000000" w:themeColor="text1"/>
                <w:kern w:val="0"/>
                <w:szCs w:val="21"/>
                <w14:textFill>
                  <w14:solidFill>
                    <w14:schemeClr w14:val="tx1"/>
                  </w14:solidFill>
                </w14:textFill>
              </w:rPr>
              <w:t>内容可能影响投标文件编制的，须在投标截止时间</w:t>
            </w:r>
            <w:r>
              <w:rPr>
                <w:rFonts w:hint="eastAsia" w:ascii="宋体" w:hAnsi="宋体"/>
                <w:snapToGrid w:val="0"/>
                <w:color w:val="000000" w:themeColor="text1"/>
                <w:kern w:val="0"/>
                <w:szCs w:val="21"/>
                <w14:textFill>
                  <w14:solidFill>
                    <w14:schemeClr w14:val="tx1"/>
                  </w14:solidFill>
                </w14:textFill>
              </w:rPr>
              <w:t>3</w:t>
            </w:r>
            <w:r>
              <w:rPr>
                <w:rFonts w:ascii="宋体" w:hAnsi="宋体"/>
                <w:snapToGrid w:val="0"/>
                <w:color w:val="000000" w:themeColor="text1"/>
                <w:kern w:val="0"/>
                <w:szCs w:val="21"/>
                <w14:textFill>
                  <w14:solidFill>
                    <w14:schemeClr w14:val="tx1"/>
                  </w14:solidFill>
                </w14:textFill>
              </w:rPr>
              <w:t>日前发布，发布时间至投标截止时间不足</w:t>
            </w:r>
            <w:r>
              <w:rPr>
                <w:rFonts w:hint="eastAsia" w:ascii="宋体" w:hAnsi="宋体"/>
                <w:snapToGrid w:val="0"/>
                <w:color w:val="000000" w:themeColor="text1"/>
                <w:kern w:val="0"/>
                <w:szCs w:val="21"/>
                <w14:textFill>
                  <w14:solidFill>
                    <w14:schemeClr w14:val="tx1"/>
                  </w14:solidFill>
                </w14:textFill>
              </w:rPr>
              <w:t>3</w:t>
            </w:r>
            <w:r>
              <w:rPr>
                <w:rFonts w:ascii="宋体" w:hAnsi="宋体"/>
                <w:snapToGrid w:val="0"/>
                <w:color w:val="000000" w:themeColor="text1"/>
                <w:kern w:val="0"/>
                <w:szCs w:val="21"/>
                <w14:textFill>
                  <w14:solidFill>
                    <w14:schemeClr w14:val="tx1"/>
                  </w14:solidFill>
                </w14:textFill>
              </w:rPr>
              <w:t>日的，须相应延后投标截止时间。</w:t>
            </w:r>
          </w:p>
        </w:tc>
      </w:tr>
      <w:tr w14:paraId="38B469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9EE1D59">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2.2.4</w:t>
            </w:r>
          </w:p>
        </w:tc>
        <w:tc>
          <w:tcPr>
            <w:tcW w:w="1644" w:type="dxa"/>
            <w:vAlign w:val="center"/>
          </w:tcPr>
          <w:p w14:paraId="32F90588">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投标人对竞争性比选文件及澄清修改提出异议的截止时间</w:t>
            </w:r>
          </w:p>
        </w:tc>
        <w:tc>
          <w:tcPr>
            <w:tcW w:w="6490" w:type="dxa"/>
            <w:vAlign w:val="center"/>
          </w:tcPr>
          <w:p w14:paraId="7F5F7E48">
            <w:pPr>
              <w:snapToGrid w:val="0"/>
              <w:spacing w:line="400" w:lineRule="exact"/>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投标人对竞争性比选文件和</w:t>
            </w:r>
            <w:r>
              <w:rPr>
                <w:rFonts w:hint="eastAsia" w:ascii="宋体" w:hAnsi="宋体"/>
                <w:snapToGrid w:val="0"/>
                <w:color w:val="000000" w:themeColor="text1"/>
                <w:kern w:val="0"/>
                <w:szCs w:val="21"/>
                <w14:textFill>
                  <w14:solidFill>
                    <w14:schemeClr w14:val="tx1"/>
                  </w14:solidFill>
                </w14:textFill>
              </w:rPr>
              <w:t>澄清修改</w:t>
            </w:r>
            <w:r>
              <w:rPr>
                <w:rFonts w:ascii="宋体" w:hAnsi="宋体"/>
                <w:snapToGrid w:val="0"/>
                <w:color w:val="000000" w:themeColor="text1"/>
                <w:kern w:val="0"/>
                <w:szCs w:val="21"/>
                <w14:textFill>
                  <w14:solidFill>
                    <w14:schemeClr w14:val="tx1"/>
                  </w14:solidFill>
                </w14:textFill>
              </w:rPr>
              <w:t>有异议的，应当在投标截止时间</w:t>
            </w:r>
            <w:r>
              <w:rPr>
                <w:rFonts w:hint="eastAsia" w:ascii="宋体" w:hAnsi="宋体"/>
                <w:snapToGrid w:val="0"/>
                <w:color w:val="000000" w:themeColor="text1"/>
                <w:kern w:val="0"/>
                <w:szCs w:val="21"/>
                <w14:textFill>
                  <w14:solidFill>
                    <w14:schemeClr w14:val="tx1"/>
                  </w14:solidFill>
                </w14:textFill>
              </w:rPr>
              <w:t>3</w:t>
            </w:r>
            <w:r>
              <w:rPr>
                <w:rFonts w:ascii="宋体" w:hAnsi="宋体"/>
                <w:snapToGrid w:val="0"/>
                <w:color w:val="000000" w:themeColor="text1"/>
                <w:kern w:val="0"/>
                <w:szCs w:val="21"/>
                <w14:textFill>
                  <w14:solidFill>
                    <w14:schemeClr w14:val="tx1"/>
                  </w14:solidFill>
                </w14:textFill>
              </w:rPr>
              <w:t>日前，</w:t>
            </w:r>
            <w:bookmarkStart w:id="107" w:name="OLE_LINK7"/>
            <w:r>
              <w:rPr>
                <w:rFonts w:hint="eastAsia" w:ascii="宋体" w:hAnsi="宋体"/>
                <w:snapToGrid w:val="0"/>
                <w:color w:val="000000" w:themeColor="text1"/>
                <w:kern w:val="0"/>
                <w:szCs w:val="21"/>
                <w14:textFill>
                  <w14:solidFill>
                    <w14:schemeClr w14:val="tx1"/>
                  </w14:solidFill>
                </w14:textFill>
              </w:rPr>
              <w:t>以书面形式向招标人提出</w:t>
            </w:r>
            <w:bookmarkEnd w:id="107"/>
            <w:r>
              <w:rPr>
                <w:rFonts w:ascii="宋体" w:hAnsi="宋体"/>
                <w:snapToGrid w:val="0"/>
                <w:color w:val="000000" w:themeColor="text1"/>
                <w:kern w:val="0"/>
                <w:szCs w:val="21"/>
                <w14:textFill>
                  <w14:solidFill>
                    <w14:schemeClr w14:val="tx1"/>
                  </w14:solidFill>
                </w14:textFill>
              </w:rPr>
              <w:t>。招标人应当自收到异议之日起</w:t>
            </w:r>
            <w:r>
              <w:rPr>
                <w:rFonts w:hint="eastAsia" w:ascii="宋体" w:hAnsi="宋体"/>
                <w:snapToGrid w:val="0"/>
                <w:color w:val="000000" w:themeColor="text1"/>
                <w:kern w:val="0"/>
                <w:szCs w:val="21"/>
                <w14:textFill>
                  <w14:solidFill>
                    <w14:schemeClr w14:val="tx1"/>
                  </w14:solidFill>
                </w14:textFill>
              </w:rPr>
              <w:t>1</w:t>
            </w:r>
            <w:r>
              <w:rPr>
                <w:rFonts w:ascii="宋体" w:hAnsi="宋体"/>
                <w:snapToGrid w:val="0"/>
                <w:color w:val="000000" w:themeColor="text1"/>
                <w:kern w:val="0"/>
                <w:szCs w:val="21"/>
                <w14:textFill>
                  <w14:solidFill>
                    <w14:schemeClr w14:val="tx1"/>
                  </w14:solidFill>
                </w14:textFill>
              </w:rPr>
              <w:t>日内做出答复，</w:t>
            </w:r>
            <w:r>
              <w:rPr>
                <w:rFonts w:hint="eastAsia" w:ascii="宋体" w:hAnsi="宋体"/>
                <w:snapToGrid w:val="0"/>
                <w:color w:val="000000" w:themeColor="text1"/>
                <w:kern w:val="0"/>
                <w:szCs w:val="21"/>
                <w14:textFill>
                  <w14:solidFill>
                    <w14:schemeClr w14:val="tx1"/>
                  </w14:solidFill>
                </w14:textFill>
              </w:rPr>
              <w:t>答复内容可能影响投标文件编制的，将以修改的形式于投标截止时间3日前在</w:t>
            </w:r>
            <w:r>
              <w:rPr>
                <w:rFonts w:hint="eastAsia" w:ascii="宋体" w:hAnsi="宋体" w:cs="宋体"/>
                <w:snapToGrid w:val="0"/>
                <w:color w:val="000000" w:themeColor="text1"/>
                <w:kern w:val="0"/>
                <w:szCs w:val="21"/>
                <w14:textFill>
                  <w14:solidFill>
                    <w14:schemeClr w14:val="tx1"/>
                  </w14:solidFill>
                </w14:textFill>
              </w:rPr>
              <w:t>垫江县人民政府官网</w:t>
            </w:r>
            <w:r>
              <w:rPr>
                <w:rFonts w:hint="eastAsia" w:ascii="宋体" w:hAnsi="宋体"/>
                <w:snapToGrid w:val="0"/>
                <w:color w:val="000000" w:themeColor="text1"/>
                <w:kern w:val="0"/>
                <w:szCs w:val="21"/>
                <w14:textFill>
                  <w14:solidFill>
                    <w14:schemeClr w14:val="tx1"/>
                  </w14:solidFill>
                </w14:textFill>
              </w:rPr>
              <w:t>发布，发布时间至投标截止时间不足3日的，须相应延后投标截止时间。</w:t>
            </w:r>
          </w:p>
        </w:tc>
      </w:tr>
      <w:tr w14:paraId="05AB11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7ECCC6D">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3.1.1</w:t>
            </w:r>
          </w:p>
        </w:tc>
        <w:tc>
          <w:tcPr>
            <w:tcW w:w="1644" w:type="dxa"/>
            <w:vAlign w:val="center"/>
          </w:tcPr>
          <w:p w14:paraId="42B31886">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构成投标文件的其他材料</w:t>
            </w:r>
          </w:p>
        </w:tc>
        <w:tc>
          <w:tcPr>
            <w:tcW w:w="6490" w:type="dxa"/>
            <w:vAlign w:val="center"/>
          </w:tcPr>
          <w:p w14:paraId="7B5D8FC3">
            <w:pPr>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投标人的书面澄清、说明和补正（但不得改变投标文件的实质性内容）</w:t>
            </w:r>
          </w:p>
        </w:tc>
      </w:tr>
      <w:tr w14:paraId="2DC44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1EC626A">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3.2</w:t>
            </w:r>
          </w:p>
        </w:tc>
        <w:tc>
          <w:tcPr>
            <w:tcW w:w="1644" w:type="dxa"/>
            <w:vAlign w:val="center"/>
          </w:tcPr>
          <w:p w14:paraId="27F11694">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投标报价</w:t>
            </w:r>
          </w:p>
        </w:tc>
        <w:tc>
          <w:tcPr>
            <w:tcW w:w="6490" w:type="dxa"/>
            <w:vAlign w:val="center"/>
          </w:tcPr>
          <w:p w14:paraId="59568BE7">
            <w:pPr>
              <w:pStyle w:val="2"/>
              <w:tabs>
                <w:tab w:val="left" w:pos="546"/>
                <w:tab w:val="left" w:pos="711"/>
              </w:tabs>
              <w:snapToGrid w:val="0"/>
              <w:spacing w:after="0" w:line="400" w:lineRule="exact"/>
              <w:ind w:firstLine="420" w:firstLineChars="200"/>
              <w:rPr>
                <w:rFonts w:hint="eastAsia" w:ascii="宋体" w:hAns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使用财政资金或国有资金投资的建设工程，应按国家及行业工程量计算标准编制工程量清单，采用工程量清单计价。</w:t>
            </w:r>
          </w:p>
          <w:p w14:paraId="302DB60D">
            <w:pPr>
              <w:pStyle w:val="2"/>
              <w:tabs>
                <w:tab w:val="left" w:pos="546"/>
                <w:tab w:val="left" w:pos="711"/>
              </w:tabs>
              <w:snapToGrid w:val="0"/>
              <w:spacing w:after="0" w:line="400" w:lineRule="exact"/>
              <w:ind w:left="6" w:leftChars="3"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投标人应按照住房城乡建设行业主管部门相关规定和第五章“工程量清单”的要求填写相应清单表格。投标人的投标报价应是本章投标人须知前附表第1.3.1项中所述的本工程合同段招标范围内的全部工程的投标报价，并以投标人在工程量清单中提出的单价或总价为依据。</w:t>
            </w:r>
          </w:p>
          <w:p w14:paraId="1ED524FE">
            <w:pPr>
              <w:tabs>
                <w:tab w:val="left" w:pos="546"/>
                <w:tab w:val="left" w:pos="711"/>
              </w:tabs>
              <w:snapToGrid w:val="0"/>
              <w:spacing w:line="400" w:lineRule="exact"/>
              <w:ind w:left="6" w:leftChars="3" w:firstLine="420" w:firstLineChars="200"/>
              <w:rPr>
                <w:rFonts w:hint="eastAsia"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项目编码、项目名称、项目特征、计量单位、工程量必须与招标工程量清单一致。否则由评标委员会作</w:t>
            </w:r>
            <w:r>
              <w:rPr>
                <w:rFonts w:hint="eastAsia" w:ascii="宋体" w:hAnsi="宋体"/>
                <w:color w:val="000000" w:themeColor="text1"/>
                <w:szCs w:val="21"/>
                <w14:textFill>
                  <w14:solidFill>
                    <w14:schemeClr w14:val="tx1"/>
                  </w14:solidFill>
                </w14:textFill>
              </w:rPr>
              <w:t>否决投标处理。</w:t>
            </w:r>
          </w:p>
          <w:p w14:paraId="7B3FD483">
            <w:pPr>
              <w:tabs>
                <w:tab w:val="left" w:pos="546"/>
                <w:tab w:val="left" w:pos="711"/>
              </w:tabs>
              <w:snapToGrid w:val="0"/>
              <w:spacing w:line="400" w:lineRule="exact"/>
              <w:ind w:left="6" w:leftChars="3"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评标过程中，评标委员会可以运用评标系统辅助工具对投标人投标工程量清单进行清标。当清标结果显红时，评标委员会应深入了解显红的原因后，对照竞争性比选文件否决投标情况一览表的规定，对确实不满足竞争性比选文件相关要求的，方可作否决投标处理。</w:t>
            </w:r>
          </w:p>
          <w:p w14:paraId="1BE6A734">
            <w:pPr>
              <w:tabs>
                <w:tab w:val="left" w:pos="546"/>
                <w:tab w:val="left" w:pos="711"/>
              </w:tabs>
              <w:snapToGrid w:val="0"/>
              <w:spacing w:line="400" w:lineRule="exact"/>
              <w:ind w:left="6" w:leftChars="3"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投标函中的总报价与已标价工程量清单总报价不一致，或工程量清单总报价与依据单价、工程数量、分部分项工程合价计算出的结果不一致，由评标委员会作否决投标处理（如有）。</w:t>
            </w:r>
          </w:p>
          <w:p w14:paraId="0AFFB710">
            <w:pPr>
              <w:pStyle w:val="2"/>
              <w:tabs>
                <w:tab w:val="left" w:pos="546"/>
                <w:tab w:val="left" w:pos="711"/>
              </w:tabs>
              <w:snapToGrid w:val="0"/>
              <w:spacing w:after="0" w:line="400" w:lineRule="exact"/>
              <w:ind w:left="6" w:leftChars="3"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u w:val="single"/>
                <w14:textFill>
                  <w14:solidFill>
                    <w14:schemeClr w14:val="tx1"/>
                  </w14:solidFill>
                </w14:textFill>
              </w:rPr>
              <w:t>（1）在合同实施期间，单价和总价按专用合同条款第11条的规定可调整。</w:t>
            </w:r>
          </w:p>
          <w:p w14:paraId="768A1A7D">
            <w:pPr>
              <w:pStyle w:val="2"/>
              <w:tabs>
                <w:tab w:val="left" w:pos="546"/>
                <w:tab w:val="left" w:pos="711"/>
              </w:tabs>
              <w:snapToGrid w:val="0"/>
              <w:spacing w:after="0" w:line="400" w:lineRule="exact"/>
              <w:ind w:left="6" w:leftChars="3" w:firstLine="420" w:firstLineChars="200"/>
              <w:rPr>
                <w:rFonts w:hint="eastAsia" w:ascii="宋体" w:hAnsi="宋体" w:cs="宋体"/>
                <w:i/>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（2）增值税计税方法由招标人依据国家税法规定选择：一般计税法</w:t>
            </w:r>
          </w:p>
          <w:p w14:paraId="2B487DE3">
            <w:pPr>
              <w:pStyle w:val="2"/>
              <w:tabs>
                <w:tab w:val="left" w:pos="546"/>
                <w:tab w:val="left" w:pos="711"/>
              </w:tabs>
              <w:snapToGrid w:val="0"/>
              <w:spacing w:after="0" w:line="400" w:lineRule="exact"/>
              <w:ind w:left="6" w:leftChars="3"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如发现工程量清单中的数量与图纸中数量不一致，应于本须知第2.2.1项中规定的时间前书面通知招标人核查，除非招标人以修改的形式予以更正，否则，应以工程量清单中列出的数量为准。</w:t>
            </w:r>
          </w:p>
          <w:p w14:paraId="19E0BD17">
            <w:pPr>
              <w:tabs>
                <w:tab w:val="left" w:pos="546"/>
                <w:tab w:val="left" w:pos="711"/>
              </w:tabs>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招标人在工程量清单中所列出的暂列金额、暂估价等暂定金额，投标人不得修改</w:t>
            </w:r>
            <w:r>
              <w:rPr>
                <w:rFonts w:hint="eastAsia" w:ascii="宋体" w:hAnsi="宋体"/>
                <w:color w:val="000000" w:themeColor="text1"/>
                <w:szCs w:val="21"/>
                <w14:textFill>
                  <w14:solidFill>
                    <w14:schemeClr w14:val="tx1"/>
                  </w14:solidFill>
                </w14:textFill>
              </w:rPr>
              <w:t>，否则由评标委员会作否决投标处理。</w:t>
            </w:r>
          </w:p>
          <w:p w14:paraId="44B03E5D">
            <w:pPr>
              <w:tabs>
                <w:tab w:val="left" w:pos="546"/>
                <w:tab w:val="left" w:pos="711"/>
              </w:tabs>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本工程招标将设置投标总报价最高限价，投标总报价最高限价为</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226176.77</w:t>
            </w:r>
            <w:r>
              <w:rPr>
                <w:rFonts w:hint="eastAsia" w:ascii="宋体" w:hAnsi="宋体" w:cs="宋体"/>
                <w:color w:val="000000" w:themeColor="text1"/>
                <w:szCs w:val="21"/>
                <w14:textFill>
                  <w14:solidFill>
                    <w14:schemeClr w14:val="tx1"/>
                  </w14:solidFill>
                </w14:textFill>
              </w:rPr>
              <w:t>元（其中含安全文明施工费</w:t>
            </w:r>
            <w:r>
              <w:rPr>
                <w:rFonts w:hint="eastAsia" w:ascii="宋体" w:hAnsi="宋体" w:cs="宋体"/>
                <w:color w:val="000000" w:themeColor="text1"/>
                <w:szCs w:val="21"/>
                <w:u w:val="single"/>
                <w14:textFill>
                  <w14:solidFill>
                    <w14:schemeClr w14:val="tx1"/>
                  </w14:solidFill>
                </w14:textFill>
              </w:rPr>
              <w:t>2212.68</w:t>
            </w:r>
            <w:r>
              <w:rPr>
                <w:rFonts w:hint="eastAsia" w:ascii="宋体" w:hAnsi="宋体" w:cs="宋体"/>
                <w:color w:val="000000" w:themeColor="text1"/>
                <w:szCs w:val="21"/>
                <w14:textFill>
                  <w14:solidFill>
                    <w14:schemeClr w14:val="tx1"/>
                  </w14:solidFill>
                </w14:textFill>
              </w:rPr>
              <w:t>元），投标人的投标总报价不得超过投标总报价最高限价，否则由评标委员会作</w:t>
            </w:r>
            <w:r>
              <w:rPr>
                <w:rFonts w:hint="eastAsia" w:ascii="宋体" w:hAnsi="宋体"/>
                <w:color w:val="000000" w:themeColor="text1"/>
                <w:szCs w:val="21"/>
                <w14:textFill>
                  <w14:solidFill>
                    <w14:schemeClr w14:val="tx1"/>
                  </w14:solidFill>
                </w14:textFill>
              </w:rPr>
              <w:t>否决投标处理。</w:t>
            </w:r>
          </w:p>
          <w:p w14:paraId="27299CF6">
            <w:pPr>
              <w:tabs>
                <w:tab w:val="left" w:pos="546"/>
                <w:tab w:val="left" w:pos="711"/>
              </w:tabs>
              <w:snapToGrid w:val="0"/>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本工程招标将设置全部清单综合单价最高限价，全部清单综合单价最高限价随工程量清单一起发布，投标人的每项清单综合单价报价不得超过每项清单综合单价最高限价，否则由评标委员会作否决投标处理。</w:t>
            </w:r>
          </w:p>
          <w:p w14:paraId="12C14B09">
            <w:pPr>
              <w:pStyle w:val="2"/>
              <w:spacing w:after="0" w:line="400" w:lineRule="exact"/>
              <w:ind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9.安全文明施工费：</w:t>
            </w:r>
          </w:p>
          <w:p w14:paraId="343E7207">
            <w:pPr>
              <w:pStyle w:val="2"/>
              <w:tabs>
                <w:tab w:val="left" w:pos="546"/>
                <w:tab w:val="left" w:pos="711"/>
              </w:tabs>
              <w:snapToGrid w:val="0"/>
              <w:spacing w:after="0" w:line="400" w:lineRule="exact"/>
              <w:ind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9.1</w:t>
            </w:r>
            <w:r>
              <w:rPr>
                <w:rFonts w:hint="eastAsia" w:ascii="宋体" w:hAnsi="宋体" w:cs="宋体"/>
                <w:color w:val="000000" w:themeColor="text1"/>
                <w:szCs w:val="21"/>
                <w14:textFill>
                  <w14:solidFill>
                    <w14:schemeClr w14:val="tx1"/>
                  </w14:solidFill>
                </w14:textFill>
              </w:rPr>
              <w:t>根据住房城乡建设行业主管部门相关规定，安全文明施工费由安全施工费、文明施工费、环境保护费及临时设施费组成。</w:t>
            </w:r>
          </w:p>
          <w:p w14:paraId="42E8AE53">
            <w:pPr>
              <w:pStyle w:val="84"/>
              <w:spacing w:line="400" w:lineRule="exact"/>
              <w:ind w:firstLineChars="200"/>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9.2本工程安全文明施工费由招标人根据</w:t>
            </w:r>
            <w:r>
              <w:rPr>
                <w:rFonts w:hint="eastAsia"/>
                <w:color w:val="000000" w:themeColor="text1"/>
                <w:sz w:val="21"/>
                <w:szCs w:val="21"/>
                <w14:textFill>
                  <w14:solidFill>
                    <w14:schemeClr w14:val="tx1"/>
                  </w14:solidFill>
                </w14:textFill>
              </w:rPr>
              <w:t>住房城乡建设行业主管部门</w:t>
            </w:r>
            <w:r>
              <w:rPr>
                <w:color w:val="000000" w:themeColor="text1"/>
                <w:sz w:val="21"/>
                <w:szCs w:val="21"/>
                <w14:textFill>
                  <w14:solidFill>
                    <w14:schemeClr w14:val="tx1"/>
                  </w14:solidFill>
                </w14:textFill>
              </w:rPr>
              <w:t>相关规定和费用标准单列计算，安全文明施工费为暂定金额，与最高限价一起公布。《投标函》中的安全文明施工费</w:t>
            </w:r>
            <w:r>
              <w:rPr>
                <w:rFonts w:hint="eastAsia"/>
                <w:color w:val="000000" w:themeColor="text1"/>
                <w:sz w:val="21"/>
                <w:szCs w:val="21"/>
                <w14:textFill>
                  <w14:solidFill>
                    <w14:schemeClr w14:val="tx1"/>
                  </w14:solidFill>
                </w14:textFill>
              </w:rPr>
              <w:t>金额或工程量清单中安全文明施工费的汇总金额未</w:t>
            </w:r>
            <w:r>
              <w:rPr>
                <w:color w:val="000000" w:themeColor="text1"/>
                <w:sz w:val="21"/>
                <w:szCs w:val="21"/>
                <w14:textFill>
                  <w14:solidFill>
                    <w14:schemeClr w14:val="tx1"/>
                  </w14:solidFill>
                </w14:textFill>
              </w:rPr>
              <w:t>按照招标人给出的暂定金额填报</w:t>
            </w:r>
            <w:r>
              <w:rPr>
                <w:rFonts w:hint="eastAsia"/>
                <w:color w:val="000000" w:themeColor="text1"/>
                <w:sz w:val="21"/>
                <w:szCs w:val="21"/>
                <w14:textFill>
                  <w14:solidFill>
                    <w14:schemeClr w14:val="tx1"/>
                  </w14:solidFill>
                </w14:textFill>
              </w:rPr>
              <w:t>的</w:t>
            </w:r>
            <w:r>
              <w:rPr>
                <w:color w:val="000000" w:themeColor="text1"/>
                <w:sz w:val="21"/>
                <w:szCs w:val="21"/>
                <w14:textFill>
                  <w14:solidFill>
                    <w14:schemeClr w14:val="tx1"/>
                  </w14:solidFill>
                </w14:textFill>
              </w:rPr>
              <w:t>，视为对竞争性比选文件不作实质性响应，其投标文件</w:t>
            </w:r>
            <w:r>
              <w:rPr>
                <w:rFonts w:hint="eastAsia"/>
                <w:color w:val="000000" w:themeColor="text1"/>
                <w:sz w:val="21"/>
                <w:szCs w:val="21"/>
                <w14:textFill>
                  <w14:solidFill>
                    <w14:schemeClr w14:val="tx1"/>
                  </w14:solidFill>
                </w14:textFill>
              </w:rPr>
              <w:t>由评标委员会</w:t>
            </w:r>
            <w:r>
              <w:rPr>
                <w:color w:val="000000" w:themeColor="text1"/>
                <w:sz w:val="21"/>
                <w:szCs w:val="21"/>
                <w14:textFill>
                  <w14:solidFill>
                    <w14:schemeClr w14:val="tx1"/>
                  </w14:solidFill>
                </w14:textFill>
              </w:rPr>
              <w:t>作否决投标处理。</w:t>
            </w:r>
            <w:r>
              <w:rPr>
                <w:rFonts w:hint="eastAsia"/>
                <w:color w:val="000000" w:themeColor="text1"/>
                <w:sz w:val="21"/>
                <w:szCs w:val="21"/>
                <w14:textFill>
                  <w14:solidFill>
                    <w14:schemeClr w14:val="tx1"/>
                  </w14:solidFill>
                </w14:textFill>
              </w:rPr>
              <w:t>注：采用全费用清单计价的项目，安全文明施工费仅针对《投标函》中的安全文明施工费进行评审。</w:t>
            </w:r>
          </w:p>
          <w:p w14:paraId="034E3EFF">
            <w:pPr>
              <w:tabs>
                <w:tab w:val="left" w:pos="546"/>
                <w:tab w:val="left" w:pos="711"/>
              </w:tabs>
              <w:snapToGrid w:val="0"/>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本工程所需材料（含设备）价格由投标人参照</w:t>
            </w:r>
            <w:r>
              <w:rPr>
                <w:rFonts w:hint="eastAsia" w:ascii="宋体" w:hAnsi="宋体" w:cs="宋体"/>
                <w:color w:val="000000" w:themeColor="text1"/>
                <w:szCs w:val="21"/>
                <w14:textFill>
                  <w14:solidFill>
                    <w14:schemeClr w14:val="tx1"/>
                  </w14:solidFill>
                </w14:textFill>
              </w:rPr>
              <w:t>工程造价管理机构发布的工程造价信息（造价信息引用时限为竞争性比选公告发布日期前一期），并结合市场行情及自身实力进行自主报价。</w:t>
            </w:r>
          </w:p>
          <w:p w14:paraId="66E98FF7">
            <w:pPr>
              <w:pStyle w:val="2"/>
              <w:tabs>
                <w:tab w:val="left" w:pos="546"/>
                <w:tab w:val="left" w:pos="711"/>
              </w:tabs>
              <w:snapToGrid w:val="0"/>
              <w:spacing w:after="0" w:line="400" w:lineRule="exact"/>
              <w:ind w:firstLine="420" w:firstLineChars="200"/>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11.本项目建筑安装材料价格风险按照住房城乡建设行业主管部门相关规定执行。本项目主要材料及设备价格风险内容、范围及调整方法为：</w:t>
            </w:r>
            <w:r>
              <w:rPr>
                <w:rFonts w:hint="eastAsia" w:ascii="宋体" w:hAnsi="宋体" w:cs="宋体"/>
                <w:color w:val="000000" w:themeColor="text1"/>
                <w:szCs w:val="21"/>
                <w:u w:val="single"/>
                <w14:textFill>
                  <w14:solidFill>
                    <w14:schemeClr w14:val="tx1"/>
                  </w14:solidFill>
                </w14:textFill>
              </w:rPr>
              <w:t>不调整</w:t>
            </w:r>
            <w:r>
              <w:rPr>
                <w:rFonts w:hint="eastAsia" w:ascii="宋体" w:hAnsi="宋体" w:cs="宋体"/>
                <w:color w:val="000000" w:themeColor="text1"/>
                <w:szCs w:val="21"/>
                <w14:textFill>
                  <w14:solidFill>
                    <w14:schemeClr w14:val="tx1"/>
                  </w14:solidFill>
                </w14:textFill>
              </w:rPr>
              <w:t>。</w:t>
            </w:r>
          </w:p>
          <w:p w14:paraId="4E9202E9">
            <w:pPr>
              <w:pStyle w:val="2"/>
              <w:tabs>
                <w:tab w:val="left" w:pos="546"/>
                <w:tab w:val="left" w:pos="711"/>
              </w:tabs>
              <w:snapToGrid w:val="0"/>
              <w:spacing w:after="0" w:line="400" w:lineRule="exact"/>
              <w:ind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本项目所采用技术、工艺和产品等按照住房城乡建设行业主管部门相关规定执行。</w:t>
            </w:r>
          </w:p>
          <w:p w14:paraId="05B11610">
            <w:pPr>
              <w:pStyle w:val="2"/>
              <w:tabs>
                <w:tab w:val="left" w:pos="546"/>
                <w:tab w:val="left" w:pos="711"/>
              </w:tabs>
              <w:snapToGrid w:val="0"/>
              <w:spacing w:after="0" w:line="400" w:lineRule="exact"/>
              <w:ind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本工程主体结构若需混凝土，则必须使用商品混凝土，不得自建搅拌站。</w:t>
            </w:r>
          </w:p>
          <w:p w14:paraId="349DF84A">
            <w:pPr>
              <w:pStyle w:val="2"/>
              <w:tabs>
                <w:tab w:val="left" w:pos="546"/>
                <w:tab w:val="left" w:pos="711"/>
              </w:tabs>
              <w:snapToGrid w:val="0"/>
              <w:spacing w:after="0"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14.异常低价警戒线要求</w:t>
            </w:r>
          </w:p>
          <w:p w14:paraId="33819E2B">
            <w:pPr>
              <w:pStyle w:val="2"/>
              <w:tabs>
                <w:tab w:val="left" w:pos="546"/>
                <w:tab w:val="left" w:pos="711"/>
              </w:tabs>
              <w:snapToGrid w:val="0"/>
              <w:spacing w:after="0"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投标总报价异常低价警戒线：</w:t>
            </w:r>
            <w:r>
              <w:rPr>
                <w:rFonts w:hint="eastAsia" w:ascii="宋体" w:hAnsi="宋体" w:cs="宋体"/>
                <w:color w:val="000000" w:themeColor="text1"/>
                <w:szCs w:val="21"/>
                <w:highlight w:val="none"/>
                <w:u w:val="single"/>
                <w:lang w:val="en-US" w:eastAsia="zh-CN"/>
                <w14:textFill>
                  <w14:solidFill>
                    <w14:schemeClr w14:val="tx1"/>
                  </w14:solidFill>
                </w14:textFill>
              </w:rPr>
              <w:t>192250.25</w:t>
            </w:r>
            <w:r>
              <w:rPr>
                <w:rFonts w:hint="eastAsia" w:ascii="宋体" w:hAnsi="宋体" w:cs="宋体"/>
                <w:color w:val="000000" w:themeColor="text1"/>
                <w:szCs w:val="21"/>
                <w:u w:val="single"/>
                <w14:textFill>
                  <w14:solidFill>
                    <w14:schemeClr w14:val="tx1"/>
                  </w14:solidFill>
                </w14:textFill>
              </w:rPr>
              <w:t>元（最高限价的85%）</w:t>
            </w:r>
            <w:r>
              <w:rPr>
                <w:rFonts w:hint="eastAsia" w:ascii="宋体" w:hAnsi="宋体" w:cs="宋体"/>
                <w:color w:val="000000" w:themeColor="text1"/>
                <w:szCs w:val="21"/>
                <w14:textFill>
                  <w14:solidFill>
                    <w14:schemeClr w14:val="tx1"/>
                  </w14:solidFill>
                </w14:textFill>
              </w:rPr>
              <w:t>。</w:t>
            </w:r>
          </w:p>
          <w:p w14:paraId="39D81E87">
            <w:pPr>
              <w:pStyle w:val="2"/>
              <w:tabs>
                <w:tab w:val="left" w:pos="546"/>
                <w:tab w:val="left" w:pos="711"/>
              </w:tabs>
              <w:snapToGrid w:val="0"/>
              <w:spacing w:after="0"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投标总报价低于竞争性比选文件规定的对应的异常低价警戒线的，应提供报价合理性说明，并提供必要的证明材料。投标人提供的说明不得降低或者改变原设计方案、技术工艺、施工标准，不得影响项目的质量、安全、工期、结算等正常履约。</w:t>
            </w:r>
          </w:p>
          <w:p w14:paraId="1FBF9183">
            <w:pPr>
              <w:pStyle w:val="2"/>
              <w:tabs>
                <w:tab w:val="left" w:pos="546"/>
                <w:tab w:val="left" w:pos="711"/>
              </w:tabs>
              <w:snapToGrid w:val="0"/>
              <w:spacing w:after="0"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投标人投标总报价低于竞争性比选文件规定的对应的异常低价警戒线的，投标人未提供报价合理性说明或者提供的说明不能证明其报价合理性的，</w:t>
            </w:r>
            <w:r>
              <w:rPr>
                <w:rFonts w:hint="eastAsia"/>
                <w:color w:val="000000" w:themeColor="text1"/>
                <w14:textFill>
                  <w14:solidFill>
                    <w14:schemeClr w14:val="tx1"/>
                  </w14:solidFill>
                </w14:textFill>
              </w:rPr>
              <w:t>由评标委员会作否决投标处理</w:t>
            </w:r>
            <w:r>
              <w:rPr>
                <w:rFonts w:hint="eastAsia" w:ascii="宋体" w:hAnsi="宋体" w:cs="宋体"/>
                <w:color w:val="000000" w:themeColor="text1"/>
                <w:szCs w:val="21"/>
                <w14:textFill>
                  <w14:solidFill>
                    <w14:schemeClr w14:val="tx1"/>
                  </w14:solidFill>
                </w14:textFill>
              </w:rPr>
              <w:t>。</w:t>
            </w:r>
          </w:p>
          <w:p w14:paraId="4E084D56">
            <w:pPr>
              <w:pStyle w:val="2"/>
              <w:tabs>
                <w:tab w:val="left" w:pos="546"/>
                <w:tab w:val="left" w:pos="711"/>
              </w:tabs>
              <w:snapToGrid w:val="0"/>
              <w:spacing w:after="0" w:line="400" w:lineRule="exact"/>
              <w:ind w:firstLine="420" w:firstLineChars="200"/>
              <w:rPr>
                <w:color w:val="000000" w:themeColor="text1"/>
                <w14:textFill>
                  <w14:solidFill>
                    <w14:schemeClr w14:val="tx1"/>
                  </w14:solidFill>
                </w14:textFill>
              </w:rPr>
            </w:pPr>
            <w:bookmarkStart w:id="108" w:name="OLE_LINK6"/>
            <w:r>
              <w:rPr>
                <w:rFonts w:hint="eastAsia" w:ascii="宋体" w:hAnsi="宋体" w:cs="宋体"/>
                <w:color w:val="000000" w:themeColor="text1"/>
                <w:szCs w:val="21"/>
                <w14:textFill>
                  <w14:solidFill>
                    <w14:schemeClr w14:val="tx1"/>
                  </w14:solidFill>
                </w14:textFill>
              </w:rPr>
              <w:t>15.</w:t>
            </w:r>
            <w:r>
              <w:rPr>
                <w:rFonts w:ascii="宋体" w:hAnsi="宋体"/>
                <w:color w:val="000000" w:themeColor="text1"/>
                <w:kern w:val="0"/>
                <w:szCs w:val="21"/>
                <w14:textFill>
                  <w14:solidFill>
                    <w14:schemeClr w14:val="tx1"/>
                  </w14:solidFill>
                </w14:textFill>
              </w:rPr>
              <w:t>投标人的</w:t>
            </w:r>
            <w:r>
              <w:rPr>
                <w:rFonts w:hint="eastAsia" w:ascii="宋体" w:hAnsi="宋体"/>
                <w:color w:val="000000" w:themeColor="text1"/>
                <w:kern w:val="0"/>
                <w:szCs w:val="21"/>
                <w14:textFill>
                  <w14:solidFill>
                    <w14:schemeClr w14:val="tx1"/>
                  </w14:solidFill>
                </w14:textFill>
              </w:rPr>
              <w:t>工程量清单单项报价</w:t>
            </w:r>
            <w:r>
              <w:rPr>
                <w:rFonts w:ascii="宋体" w:hAnsi="宋体"/>
                <w:color w:val="000000" w:themeColor="text1"/>
                <w:kern w:val="0"/>
                <w:szCs w:val="21"/>
                <w14:textFill>
                  <w14:solidFill>
                    <w14:schemeClr w14:val="tx1"/>
                  </w14:solidFill>
                </w14:textFill>
              </w:rPr>
              <w:t>不得</w:t>
            </w:r>
            <w:r>
              <w:rPr>
                <w:rFonts w:hint="eastAsia" w:ascii="宋体" w:hAnsi="宋体"/>
                <w:color w:val="000000" w:themeColor="text1"/>
                <w:kern w:val="0"/>
                <w:szCs w:val="21"/>
                <w14:textFill>
                  <w14:solidFill>
                    <w14:schemeClr w14:val="tx1"/>
                  </w14:solidFill>
                </w14:textFill>
              </w:rPr>
              <w:t>为零报价（招标人提供的工程量清单单项最高限价中金额为零的除外）或者负数报价，否则</w:t>
            </w:r>
            <w:r>
              <w:rPr>
                <w:rFonts w:hint="eastAsia"/>
                <w:color w:val="000000" w:themeColor="text1"/>
                <w14:textFill>
                  <w14:solidFill>
                    <w14:schemeClr w14:val="tx1"/>
                  </w14:solidFill>
                </w14:textFill>
              </w:rPr>
              <w:t>由评标委员会作否决投标处理。</w:t>
            </w:r>
            <w:bookmarkEnd w:id="108"/>
          </w:p>
          <w:p w14:paraId="723E0E1C">
            <w:pPr>
              <w:pStyle w:val="2"/>
              <w:tabs>
                <w:tab w:val="left" w:pos="546"/>
                <w:tab w:val="left" w:pos="711"/>
              </w:tabs>
              <w:snapToGrid w:val="0"/>
              <w:spacing w:after="0" w:line="400" w:lineRule="exact"/>
              <w:ind w:firstLine="420" w:firstLineChars="200"/>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招标人在发出中标通知书前将对中标人的各项报价进行复核，若发现中标人各项报价中存在零报价或负数报价的情形，招标人按相关规定取消其中标资格，其投标保证金不予退还，中标人承担因此造成的相关责任并赔偿相应损失。</w:t>
            </w:r>
          </w:p>
        </w:tc>
      </w:tr>
      <w:tr w14:paraId="562CE5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E6A1855">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3.3.1</w:t>
            </w:r>
          </w:p>
        </w:tc>
        <w:tc>
          <w:tcPr>
            <w:tcW w:w="1644" w:type="dxa"/>
            <w:vAlign w:val="center"/>
          </w:tcPr>
          <w:p w14:paraId="6C065BE6">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投标有效期</w:t>
            </w:r>
          </w:p>
        </w:tc>
        <w:tc>
          <w:tcPr>
            <w:tcW w:w="6490" w:type="dxa"/>
            <w:vAlign w:val="center"/>
          </w:tcPr>
          <w:p w14:paraId="09B02626">
            <w:pPr>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90</w:t>
            </w:r>
            <w:r>
              <w:rPr>
                <w:rFonts w:ascii="宋体" w:hAnsi="宋体"/>
                <w:color w:val="000000" w:themeColor="text1"/>
                <w:szCs w:val="21"/>
                <w14:textFill>
                  <w14:solidFill>
                    <w14:schemeClr w14:val="tx1"/>
                  </w14:solidFill>
                </w14:textFill>
              </w:rPr>
              <w:t>日历天（从提交投标文件截止日起计算）</w:t>
            </w:r>
          </w:p>
        </w:tc>
      </w:tr>
      <w:tr w14:paraId="63CC33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5447F95">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3.4</w:t>
            </w:r>
          </w:p>
        </w:tc>
        <w:tc>
          <w:tcPr>
            <w:tcW w:w="1644" w:type="dxa"/>
            <w:vAlign w:val="center"/>
          </w:tcPr>
          <w:p w14:paraId="4D76BCAA">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投标保证金</w:t>
            </w:r>
          </w:p>
        </w:tc>
        <w:tc>
          <w:tcPr>
            <w:tcW w:w="6490" w:type="dxa"/>
            <w:vAlign w:val="center"/>
          </w:tcPr>
          <w:p w14:paraId="48E403A9">
            <w:pPr>
              <w:snapToGrid w:val="0"/>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一、以转账支票或电汇形式交纳投标保证金</w:t>
            </w:r>
          </w:p>
          <w:p w14:paraId="2F09C273">
            <w:pPr>
              <w:snapToGrid w:val="0"/>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 投标保证金交款形式及要求：投标人从企业的基本账户（开户行）在投标文件递交截止时间前通过转账支票直接划付或以电汇方式直接划付至下面指定的投标保证金账户。若投标文件递交截止时间延期，则投标保证金提交的截止时间和投标文件递交截止时间应当保持一致。</w:t>
            </w:r>
            <w:r>
              <w:rPr>
                <w:rFonts w:hint="eastAsia" w:ascii="宋体" w:hAnsi="宋体" w:cs="宋体"/>
                <w:color w:val="000000" w:themeColor="text1"/>
                <w:kern w:val="0"/>
                <w:szCs w:val="21"/>
                <w14:textFill>
                  <w14:solidFill>
                    <w14:schemeClr w14:val="tx1"/>
                  </w14:solidFill>
                </w14:textFill>
              </w:rPr>
              <w:t>不满足上述要求的投标保证金无效。</w:t>
            </w:r>
          </w:p>
          <w:p w14:paraId="00F0472A">
            <w:pPr>
              <w:snapToGrid w:val="0"/>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投标人自行考虑汇入时间风险，如同城汇入、异地汇入、跨行汇入的时间要求。</w:t>
            </w:r>
          </w:p>
          <w:p w14:paraId="1637CF36">
            <w:pPr>
              <w:snapToGrid w:val="0"/>
              <w:spacing w:line="400" w:lineRule="exact"/>
              <w:ind w:firstLine="420" w:firstLineChars="200"/>
              <w:rPr>
                <w:rFonts w:hint="eastAsia" w:ascii="宋体" w:hAnsi="宋体" w:cs="宋体"/>
                <w:i/>
                <w:i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 以转账支票或电汇形式提交投标保证金的金额：</w:t>
            </w:r>
            <w:r>
              <w:rPr>
                <w:rFonts w:hint="eastAsia" w:ascii="宋体" w:hAnsi="宋体" w:cs="宋体"/>
                <w:color w:val="000000" w:themeColor="text1"/>
                <w:u w:val="single"/>
                <w14:textFill>
                  <w14:solidFill>
                    <w14:schemeClr w14:val="tx1"/>
                  </w14:solidFill>
                </w14:textFill>
              </w:rPr>
              <w:t>4000</w:t>
            </w:r>
            <w:r>
              <w:rPr>
                <w:rFonts w:hint="eastAsia" w:ascii="宋体" w:hAnsi="宋体" w:cs="宋体"/>
                <w:color w:val="000000" w:themeColor="text1"/>
                <w14:textFill>
                  <w14:solidFill>
                    <w14:schemeClr w14:val="tx1"/>
                  </w14:solidFill>
                </w14:textFill>
              </w:rPr>
              <w:t>元整（人民币）。</w:t>
            </w:r>
          </w:p>
          <w:p w14:paraId="3D02E1AE">
            <w:pPr>
              <w:snapToGrid w:val="0"/>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 账户信息：</w:t>
            </w:r>
          </w:p>
          <w:p w14:paraId="3A6E726B">
            <w:pPr>
              <w:snapToGrid w:val="0"/>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户名：垫江县财政局-人大办公室</w:t>
            </w:r>
          </w:p>
          <w:p w14:paraId="403182FA">
            <w:pPr>
              <w:snapToGrid w:val="0"/>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账号：2501010120010007754-102001</w:t>
            </w:r>
          </w:p>
          <w:p w14:paraId="28888BE5">
            <w:pPr>
              <w:snapToGrid w:val="0"/>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开户行：重庆农商行垫江支行 </w:t>
            </w:r>
          </w:p>
          <w:p w14:paraId="1218F9DD">
            <w:pPr>
              <w:snapToGrid w:val="0"/>
              <w:spacing w:line="400" w:lineRule="exact"/>
              <w:ind w:firstLine="420" w:firstLineChars="2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4. 投标人必须在付款凭证备注栏中注明是“</w:t>
            </w:r>
            <w:r>
              <w:rPr>
                <w:rFonts w:ascii="宋体" w:hAnsi="宋体" w:cs="宋体"/>
                <w:color w:val="000000" w:themeColor="text1"/>
                <w:szCs w:val="21"/>
                <w14:textFill>
                  <w14:solidFill>
                    <w14:schemeClr w14:val="tx1"/>
                  </w14:solidFill>
                </w14:textFill>
              </w:rPr>
              <w:t>垫江县全过程人民民主实践中心装修项目</w:t>
            </w:r>
            <w:r>
              <w:rPr>
                <w:rFonts w:hint="eastAsia" w:ascii="宋体" w:hAnsi="宋体" w:cs="宋体"/>
                <w:color w:val="000000" w:themeColor="text1"/>
                <w14:textFill>
                  <w14:solidFill>
                    <w14:schemeClr w14:val="tx1"/>
                  </w14:solidFill>
                </w14:textFill>
              </w:rPr>
              <w:t>投标保证金”。项目名称可简写成：鼎发</w:t>
            </w:r>
            <w:r>
              <w:rPr>
                <w:rFonts w:hint="eastAsia" w:ascii="宋体" w:hAnsi="宋体" w:cs="宋体"/>
                <w:color w:val="000000" w:themeColor="text1"/>
                <w:szCs w:val="21"/>
                <w14:textFill>
                  <w14:solidFill>
                    <w14:schemeClr w14:val="tx1"/>
                  </w14:solidFill>
                </w14:textFill>
              </w:rPr>
              <w:t>消防工程</w:t>
            </w:r>
            <w:r>
              <w:rPr>
                <w:rFonts w:hint="eastAsia" w:ascii="宋体" w:hAnsi="宋体" w:cs="宋体"/>
                <w:color w:val="000000" w:themeColor="text1"/>
                <w14:textFill>
                  <w14:solidFill>
                    <w14:schemeClr w14:val="tx1"/>
                  </w14:solidFill>
                </w14:textFill>
              </w:rPr>
              <w:t>投标保证金。</w:t>
            </w:r>
          </w:p>
          <w:p w14:paraId="290E819E">
            <w:pPr>
              <w:snapToGrid w:val="0"/>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 投标保证金有效期与投标有效期一致。</w:t>
            </w:r>
          </w:p>
          <w:p w14:paraId="35547718">
            <w:pPr>
              <w:snapToGrid w:val="0"/>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二、投标保证金的退还</w:t>
            </w:r>
          </w:p>
          <w:p w14:paraId="24350C85">
            <w:pPr>
              <w:snapToGrid w:val="0"/>
              <w:spacing w:line="400" w:lineRule="exact"/>
              <w:ind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14:textFill>
                  <w14:solidFill>
                    <w14:schemeClr w14:val="tx1"/>
                  </w14:solidFill>
                </w14:textFill>
              </w:rPr>
              <w:t>招标人应当在中标通知书发出后退还非中标人的投标保证金，中标人的投标保证金在签订合同后退还。</w:t>
            </w:r>
          </w:p>
        </w:tc>
      </w:tr>
      <w:tr w14:paraId="29764A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F7FC7F4">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3.6</w:t>
            </w:r>
          </w:p>
        </w:tc>
        <w:tc>
          <w:tcPr>
            <w:tcW w:w="1644" w:type="dxa"/>
            <w:vAlign w:val="center"/>
          </w:tcPr>
          <w:p w14:paraId="7DCE2195">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是否允许递交</w:t>
            </w:r>
          </w:p>
          <w:p w14:paraId="6E8C3843">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备选投标方案</w:t>
            </w:r>
          </w:p>
        </w:tc>
        <w:tc>
          <w:tcPr>
            <w:tcW w:w="6490" w:type="dxa"/>
            <w:vAlign w:val="center"/>
          </w:tcPr>
          <w:p w14:paraId="327A6C08">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不允许</w:t>
            </w:r>
            <w:r>
              <w:rPr>
                <w:rFonts w:hint="eastAsia" w:ascii="宋体" w:hAnsi="宋体"/>
                <w:color w:val="000000" w:themeColor="text1"/>
                <w:kern w:val="0"/>
                <w:szCs w:val="21"/>
                <w14:textFill>
                  <w14:solidFill>
                    <w14:schemeClr w14:val="tx1"/>
                  </w14:solidFill>
                </w14:textFill>
              </w:rPr>
              <w:t>。</w:t>
            </w:r>
          </w:p>
        </w:tc>
      </w:tr>
      <w:tr w14:paraId="5A585D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1837098">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3.7.1</w:t>
            </w:r>
          </w:p>
        </w:tc>
        <w:tc>
          <w:tcPr>
            <w:tcW w:w="1644" w:type="dxa"/>
            <w:vAlign w:val="center"/>
          </w:tcPr>
          <w:p w14:paraId="2F04B9F2">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投标文件格式要求</w:t>
            </w:r>
          </w:p>
        </w:tc>
        <w:tc>
          <w:tcPr>
            <w:tcW w:w="6490" w:type="dxa"/>
            <w:vAlign w:val="center"/>
          </w:tcPr>
          <w:p w14:paraId="605071E3">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编制投标文件时不得对第八章“投标文件格式”的相应要素作实质性修改，否则视为重大偏差，由评标委员会作否决投标处理。</w:t>
            </w:r>
          </w:p>
        </w:tc>
      </w:tr>
      <w:tr w14:paraId="6DBAEE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A998333">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3.7.3</w:t>
            </w:r>
          </w:p>
        </w:tc>
        <w:tc>
          <w:tcPr>
            <w:tcW w:w="1644" w:type="dxa"/>
            <w:vAlign w:val="center"/>
          </w:tcPr>
          <w:p w14:paraId="3909A546">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签名</w:t>
            </w:r>
            <w:r>
              <w:rPr>
                <w:rFonts w:ascii="宋体" w:hAnsi="宋体"/>
                <w:color w:val="000000" w:themeColor="text1"/>
                <w:kern w:val="0"/>
                <w:szCs w:val="21"/>
                <w14:textFill>
                  <w14:solidFill>
                    <w14:schemeClr w14:val="tx1"/>
                  </w14:solidFill>
                </w14:textFill>
              </w:rPr>
              <w:t>盖章要求</w:t>
            </w:r>
          </w:p>
        </w:tc>
        <w:tc>
          <w:tcPr>
            <w:tcW w:w="6490" w:type="dxa"/>
            <w:vAlign w:val="center"/>
          </w:tcPr>
          <w:p w14:paraId="05F3B8CF">
            <w:pPr>
              <w:snapToGrid w:val="0"/>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应用不褪色的材料书写或打印，并由投标人的法定代表人或其委托代理人在竞争性比选文件规定的位置按竞争性比选文件要求签名或盖章、盖单位法人章。委托代理人签名的，投标文件应附法定代表人签署的授权委托书。投标文件应尽量避免涂改、行间插字或删除。如果出现上述情况，改动之处应加盖单位法人章或由单位的法定代表人或其授权的代理人签名确认。</w:t>
            </w:r>
          </w:p>
          <w:p w14:paraId="73DAF973">
            <w:pPr>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未按上述规定执行的，交由评标委员会作否决投标处理。</w:t>
            </w:r>
          </w:p>
        </w:tc>
      </w:tr>
      <w:tr w14:paraId="3EEA0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EF4B353">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3.7.4</w:t>
            </w:r>
          </w:p>
        </w:tc>
        <w:tc>
          <w:tcPr>
            <w:tcW w:w="1644" w:type="dxa"/>
            <w:vAlign w:val="center"/>
          </w:tcPr>
          <w:p w14:paraId="0A48BB70">
            <w:pPr>
              <w:snapToGrid w:val="0"/>
              <w:spacing w:line="400" w:lineRule="exact"/>
              <w:rPr>
                <w:rFonts w:hint="eastAsia" w:ascii="宋体" w:hAnsi="宋体"/>
                <w:color w:val="000000" w:themeColor="text1"/>
                <w:spacing w:val="-6"/>
                <w:kern w:val="0"/>
                <w:szCs w:val="21"/>
                <w14:textFill>
                  <w14:solidFill>
                    <w14:schemeClr w14:val="tx1"/>
                  </w14:solidFill>
                </w14:textFill>
              </w:rPr>
            </w:pPr>
            <w:r>
              <w:rPr>
                <w:rFonts w:ascii="宋体" w:hAnsi="宋体"/>
                <w:color w:val="000000" w:themeColor="text1"/>
                <w:spacing w:val="-6"/>
                <w:kern w:val="0"/>
                <w:szCs w:val="21"/>
                <w14:textFill>
                  <w14:solidFill>
                    <w14:schemeClr w14:val="tx1"/>
                  </w14:solidFill>
                </w14:textFill>
              </w:rPr>
              <w:t>投标文件的份数</w:t>
            </w:r>
          </w:p>
        </w:tc>
        <w:tc>
          <w:tcPr>
            <w:tcW w:w="6490" w:type="dxa"/>
            <w:vAlign w:val="center"/>
          </w:tcPr>
          <w:p w14:paraId="693152AD">
            <w:pPr>
              <w:autoSpaceDE w:val="0"/>
              <w:autoSpaceDN w:val="0"/>
              <w:adjustRightInd w:val="0"/>
              <w:snapToGrid w:val="0"/>
              <w:spacing w:line="400" w:lineRule="exact"/>
              <w:ind w:firstLine="420" w:firstLineChars="200"/>
              <w:rPr>
                <w:rFonts w:hint="eastAsia" w:ascii="宋体" w:hAnsi="宋体"/>
                <w:i/>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投标文件正本1份、副本1份。当副本和正本不一致时，以正本为准。否则由评标委员会作否决投标处理。</w:t>
            </w:r>
          </w:p>
        </w:tc>
      </w:tr>
      <w:tr w14:paraId="0A3D8F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1E45629">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3.7.5</w:t>
            </w:r>
          </w:p>
        </w:tc>
        <w:tc>
          <w:tcPr>
            <w:tcW w:w="1644" w:type="dxa"/>
            <w:vAlign w:val="center"/>
          </w:tcPr>
          <w:p w14:paraId="5B9CE382">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编制</w:t>
            </w:r>
            <w:r>
              <w:rPr>
                <w:rFonts w:ascii="宋体" w:hAnsi="宋体"/>
                <w:color w:val="000000" w:themeColor="text1"/>
                <w:kern w:val="0"/>
                <w:szCs w:val="21"/>
                <w14:textFill>
                  <w14:solidFill>
                    <w14:schemeClr w14:val="tx1"/>
                  </w14:solidFill>
                </w14:textFill>
              </w:rPr>
              <w:t>要求</w:t>
            </w:r>
          </w:p>
        </w:tc>
        <w:tc>
          <w:tcPr>
            <w:tcW w:w="6490" w:type="dxa"/>
            <w:vAlign w:val="center"/>
          </w:tcPr>
          <w:p w14:paraId="0F1C7C65">
            <w:pPr>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具体要求：</w:t>
            </w:r>
          </w:p>
          <w:p w14:paraId="599430E1">
            <w:pPr>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（1）投标函部分</w:t>
            </w:r>
          </w:p>
          <w:p w14:paraId="41CCB2B1">
            <w:pPr>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应按照第八章规定格式排版，</w:t>
            </w:r>
            <w:r>
              <w:rPr>
                <w:rFonts w:hint="eastAsia" w:asciiTheme="minorEastAsia" w:hAnsiTheme="minorEastAsia" w:eastAsiaTheme="minorEastAsia" w:cstheme="minorEastAsia"/>
                <w:color w:val="000000" w:themeColor="text1"/>
                <w:szCs w:val="21"/>
                <w14:textFill>
                  <w14:solidFill>
                    <w14:schemeClr w14:val="tx1"/>
                  </w14:solidFill>
                </w14:textFill>
              </w:rPr>
              <w:t>原则上</w:t>
            </w:r>
            <w:r>
              <w:rPr>
                <w:rFonts w:hint="eastAsia" w:ascii="宋体" w:hAnsi="宋体"/>
                <w:color w:val="000000" w:themeColor="text1"/>
                <w:szCs w:val="21"/>
                <w14:textFill>
                  <w14:solidFill>
                    <w14:schemeClr w14:val="tx1"/>
                  </w14:solidFill>
                </w14:textFill>
              </w:rPr>
              <w:t>应编制目录</w:t>
            </w:r>
            <w:r>
              <w:rPr>
                <w:rFonts w:hint="eastAsia" w:asciiTheme="minorEastAsia" w:hAnsiTheme="minorEastAsia" w:eastAsiaTheme="minorEastAsia" w:cstheme="minorEastAsia"/>
                <w:color w:val="000000" w:themeColor="text1"/>
                <w:szCs w:val="21"/>
                <w14:textFill>
                  <w14:solidFill>
                    <w14:schemeClr w14:val="tx1"/>
                  </w14:solidFill>
                </w14:textFill>
              </w:rPr>
              <w:t>，但不得将目录编制作为评审因素</w:t>
            </w:r>
            <w:r>
              <w:rPr>
                <w:rFonts w:hint="eastAsia" w:ascii="宋体" w:hAnsi="宋体"/>
                <w:color w:val="000000" w:themeColor="text1"/>
                <w:szCs w:val="21"/>
                <w14:textFill>
                  <w14:solidFill>
                    <w14:schemeClr w14:val="tx1"/>
                  </w14:solidFill>
                </w14:textFill>
              </w:rPr>
              <w:t>。</w:t>
            </w:r>
          </w:p>
          <w:p w14:paraId="098035F7">
            <w:pPr>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（2）报价部分</w:t>
            </w:r>
          </w:p>
          <w:p w14:paraId="0F795D30">
            <w:pPr>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应按照第八章规定格式排版，</w:t>
            </w:r>
            <w:r>
              <w:rPr>
                <w:rFonts w:hint="eastAsia" w:asciiTheme="minorEastAsia" w:hAnsiTheme="minorEastAsia" w:eastAsiaTheme="minorEastAsia" w:cstheme="minorEastAsia"/>
                <w:color w:val="000000" w:themeColor="text1"/>
                <w:szCs w:val="21"/>
                <w14:textFill>
                  <w14:solidFill>
                    <w14:schemeClr w14:val="tx1"/>
                  </w14:solidFill>
                </w14:textFill>
              </w:rPr>
              <w:t>原则上</w:t>
            </w:r>
            <w:r>
              <w:rPr>
                <w:rFonts w:hint="eastAsia" w:ascii="宋体" w:hAnsi="宋体"/>
                <w:color w:val="000000" w:themeColor="text1"/>
                <w:szCs w:val="21"/>
                <w14:textFill>
                  <w14:solidFill>
                    <w14:schemeClr w14:val="tx1"/>
                  </w14:solidFill>
                </w14:textFill>
              </w:rPr>
              <w:t>应编制目录</w:t>
            </w:r>
            <w:r>
              <w:rPr>
                <w:rFonts w:hint="eastAsia" w:asciiTheme="minorEastAsia" w:hAnsiTheme="minorEastAsia" w:eastAsiaTheme="minorEastAsia" w:cstheme="minorEastAsia"/>
                <w:color w:val="000000" w:themeColor="text1"/>
                <w:szCs w:val="21"/>
                <w14:textFill>
                  <w14:solidFill>
                    <w14:schemeClr w14:val="tx1"/>
                  </w14:solidFill>
                </w14:textFill>
              </w:rPr>
              <w:t>，但不得将目录编制作为评审因素</w:t>
            </w:r>
            <w:r>
              <w:rPr>
                <w:rFonts w:hint="eastAsia" w:ascii="宋体" w:hAnsi="宋体"/>
                <w:color w:val="000000" w:themeColor="text1"/>
                <w:szCs w:val="21"/>
                <w14:textFill>
                  <w14:solidFill>
                    <w14:schemeClr w14:val="tx1"/>
                  </w14:solidFill>
                </w14:textFill>
              </w:rPr>
              <w:t>。</w:t>
            </w:r>
          </w:p>
          <w:p w14:paraId="2421E8C7">
            <w:pPr>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（3）资格审查部分</w:t>
            </w:r>
          </w:p>
          <w:p w14:paraId="364CF2F8">
            <w:pPr>
              <w:adjustRightInd w:val="0"/>
              <w:snapToGrid w:val="0"/>
              <w:spacing w:line="400" w:lineRule="exact"/>
              <w:ind w:firstLine="420" w:firstLineChars="200"/>
              <w:rPr>
                <w:rStyle w:val="54"/>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应按照第八章规定格式排版，</w:t>
            </w:r>
            <w:r>
              <w:rPr>
                <w:rFonts w:hint="eastAsia" w:asciiTheme="minorEastAsia" w:hAnsiTheme="minorEastAsia" w:eastAsiaTheme="minorEastAsia" w:cstheme="minorEastAsia"/>
                <w:color w:val="000000" w:themeColor="text1"/>
                <w:szCs w:val="21"/>
                <w14:textFill>
                  <w14:solidFill>
                    <w14:schemeClr w14:val="tx1"/>
                  </w14:solidFill>
                </w14:textFill>
              </w:rPr>
              <w:t>原则上</w:t>
            </w:r>
            <w:r>
              <w:rPr>
                <w:rFonts w:hint="eastAsia" w:ascii="宋体" w:hAnsi="宋体"/>
                <w:color w:val="000000" w:themeColor="text1"/>
                <w:szCs w:val="21"/>
                <w14:textFill>
                  <w14:solidFill>
                    <w14:schemeClr w14:val="tx1"/>
                  </w14:solidFill>
                </w14:textFill>
              </w:rPr>
              <w:t>应编制目录</w:t>
            </w:r>
            <w:r>
              <w:rPr>
                <w:rFonts w:hint="eastAsia" w:asciiTheme="minorEastAsia" w:hAnsiTheme="minorEastAsia" w:eastAsiaTheme="minorEastAsia" w:cstheme="minorEastAsia"/>
                <w:color w:val="000000" w:themeColor="text1"/>
                <w:szCs w:val="21"/>
                <w14:textFill>
                  <w14:solidFill>
                    <w14:schemeClr w14:val="tx1"/>
                  </w14:solidFill>
                </w14:textFill>
              </w:rPr>
              <w:t>，但不得将目录编制作为评审因素</w:t>
            </w:r>
            <w:r>
              <w:rPr>
                <w:rFonts w:hint="eastAsia" w:ascii="宋体" w:hAnsi="宋体"/>
                <w:color w:val="000000" w:themeColor="text1"/>
                <w:szCs w:val="21"/>
                <w14:textFill>
                  <w14:solidFill>
                    <w14:schemeClr w14:val="tx1"/>
                  </w14:solidFill>
                </w14:textFill>
              </w:rPr>
              <w:t>。</w:t>
            </w:r>
          </w:p>
        </w:tc>
      </w:tr>
      <w:tr w14:paraId="5E8673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AA3B4DF">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4.1.1</w:t>
            </w:r>
          </w:p>
        </w:tc>
        <w:tc>
          <w:tcPr>
            <w:tcW w:w="1644" w:type="dxa"/>
            <w:vAlign w:val="center"/>
          </w:tcPr>
          <w:p w14:paraId="4E5CB945">
            <w:pPr>
              <w:snapToGrid w:val="0"/>
              <w:spacing w:line="400" w:lineRule="exact"/>
              <w:jc w:val="center"/>
              <w:rPr>
                <w:rFonts w:hint="eastAsia" w:ascii="宋体" w:hAnsi="宋体"/>
                <w:color w:val="000000" w:themeColor="text1"/>
                <w:spacing w:val="-6"/>
                <w:kern w:val="0"/>
                <w:szCs w:val="21"/>
                <w14:textFill>
                  <w14:solidFill>
                    <w14:schemeClr w14:val="tx1"/>
                  </w14:solidFill>
                </w14:textFill>
              </w:rPr>
            </w:pPr>
            <w:r>
              <w:rPr>
                <w:rFonts w:ascii="宋体" w:hAnsi="宋体"/>
                <w:color w:val="000000" w:themeColor="text1"/>
                <w:spacing w:val="-6"/>
                <w:kern w:val="0"/>
                <w:szCs w:val="21"/>
                <w14:textFill>
                  <w14:solidFill>
                    <w14:schemeClr w14:val="tx1"/>
                  </w14:solidFill>
                </w14:textFill>
              </w:rPr>
              <w:t>投标文件的密封</w:t>
            </w:r>
          </w:p>
        </w:tc>
        <w:tc>
          <w:tcPr>
            <w:tcW w:w="6490" w:type="dxa"/>
            <w:vAlign w:val="center"/>
          </w:tcPr>
          <w:p w14:paraId="0D7F7304">
            <w:pPr>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投标文件装入自选适宜大小的信封或者牛皮纸袋内，密封完好并在密封处加盖单位公章；并贴上</w:t>
            </w:r>
            <w:r>
              <w:rPr>
                <w:rFonts w:hint="eastAsia" w:ascii="宋体" w:hAnsi="宋体" w:cs="宋体"/>
                <w:color w:val="000000" w:themeColor="text1"/>
                <w:kern w:val="0"/>
                <w:szCs w:val="21"/>
                <w14:textFill>
                  <w14:solidFill>
                    <w14:schemeClr w14:val="tx1"/>
                  </w14:solidFill>
                </w14:textFill>
              </w:rPr>
              <w:t>“投标文件”袋封套。</w:t>
            </w:r>
          </w:p>
        </w:tc>
      </w:tr>
      <w:tr w14:paraId="056C16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D8D404">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4.1.2</w:t>
            </w:r>
          </w:p>
        </w:tc>
        <w:tc>
          <w:tcPr>
            <w:tcW w:w="1644" w:type="dxa"/>
            <w:vAlign w:val="center"/>
          </w:tcPr>
          <w:p w14:paraId="249A60FA">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封套上写明</w:t>
            </w:r>
          </w:p>
        </w:tc>
        <w:tc>
          <w:tcPr>
            <w:tcW w:w="6490" w:type="dxa"/>
            <w:vAlign w:val="center"/>
          </w:tcPr>
          <w:p w14:paraId="68377216">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应在</w:t>
            </w:r>
            <w:r>
              <w:rPr>
                <w:rFonts w:ascii="宋体" w:hAnsi="宋体"/>
                <w:color w:val="000000" w:themeColor="text1"/>
                <w:szCs w:val="21"/>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“投标文件”袋封套上写明如下内容：</w:t>
            </w:r>
          </w:p>
          <w:p w14:paraId="3C769336">
            <w:pPr>
              <w:snapToGrid w:val="0"/>
              <w:spacing w:line="400" w:lineRule="exact"/>
              <w:ind w:firstLine="420" w:firstLineChars="200"/>
              <w:rPr>
                <w:rFonts w:hint="eastAsia" w:ascii="宋体" w:hAnsi="宋体"/>
                <w:color w:val="000000" w:themeColor="text1"/>
                <w:kern w:val="0"/>
                <w:szCs w:val="21"/>
                <w:u w:val="single"/>
                <w14:textFill>
                  <w14:solidFill>
                    <w14:schemeClr w14:val="tx1"/>
                  </w14:solidFill>
                </w14:textFill>
              </w:rPr>
            </w:pPr>
            <w:r>
              <w:rPr>
                <w:rFonts w:ascii="宋体" w:hAnsi="宋体"/>
                <w:color w:val="000000" w:themeColor="text1"/>
                <w:kern w:val="0"/>
                <w:szCs w:val="21"/>
                <w14:textFill>
                  <w14:solidFill>
                    <w14:schemeClr w14:val="tx1"/>
                  </w14:solidFill>
                </w14:textFill>
              </w:rPr>
              <w:t>招标人名称：</w:t>
            </w:r>
            <w:r>
              <w:rPr>
                <w:rFonts w:hint="eastAsia" w:ascii="宋体" w:hAnsi="宋体"/>
                <w:color w:val="000000" w:themeColor="text1"/>
                <w:kern w:val="0"/>
                <w:szCs w:val="21"/>
                <w:u w:val="single"/>
                <w14:textFill>
                  <w14:solidFill>
                    <w14:schemeClr w14:val="tx1"/>
                  </w14:solidFill>
                </w14:textFill>
              </w:rPr>
              <w:t xml:space="preserve">            </w:t>
            </w:r>
          </w:p>
          <w:p w14:paraId="763077B7">
            <w:pPr>
              <w:snapToGrid w:val="0"/>
              <w:spacing w:line="400" w:lineRule="exact"/>
              <w:ind w:firstLine="420" w:firstLineChars="200"/>
              <w:rPr>
                <w:rFonts w:hint="eastAsia" w:ascii="宋体" w:hAnsi="宋体"/>
                <w:color w:val="000000" w:themeColor="text1"/>
                <w:kern w:val="0"/>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投标人名称：</w:t>
            </w:r>
            <w:r>
              <w:rPr>
                <w:rFonts w:hint="eastAsia" w:ascii="宋体" w:hAnsi="宋体"/>
                <w:color w:val="000000" w:themeColor="text1"/>
                <w:kern w:val="0"/>
                <w:szCs w:val="21"/>
                <w:u w:val="single"/>
                <w14:textFill>
                  <w14:solidFill>
                    <w14:schemeClr w14:val="tx1"/>
                  </w14:solidFill>
                </w14:textFill>
              </w:rPr>
              <w:t xml:space="preserve">            </w:t>
            </w:r>
          </w:p>
          <w:p w14:paraId="20A48402">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u w:val="single"/>
                <w14:textFill>
                  <w14:solidFill>
                    <w14:schemeClr w14:val="tx1"/>
                  </w14:solidFill>
                </w14:textFill>
              </w:rPr>
              <w:t xml:space="preserve">                （项目名称）</w:t>
            </w:r>
            <w:r>
              <w:rPr>
                <w:rFonts w:ascii="宋体" w:hAnsi="宋体"/>
                <w:color w:val="000000" w:themeColor="text1"/>
                <w:kern w:val="0"/>
                <w:szCs w:val="21"/>
                <w14:textFill>
                  <w14:solidFill>
                    <w14:schemeClr w14:val="tx1"/>
                  </w14:solidFill>
                </w14:textFill>
              </w:rPr>
              <w:t>投标文件</w:t>
            </w:r>
          </w:p>
          <w:p w14:paraId="387AF266">
            <w:pPr>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在</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年</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月</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日</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时</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分前不得开启</w:t>
            </w:r>
          </w:p>
        </w:tc>
      </w:tr>
      <w:tr w14:paraId="2905C0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9A71DA0">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4.2.2</w:t>
            </w:r>
          </w:p>
        </w:tc>
        <w:tc>
          <w:tcPr>
            <w:tcW w:w="1644" w:type="dxa"/>
            <w:vAlign w:val="center"/>
          </w:tcPr>
          <w:p w14:paraId="28215EB5">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递交投标文件地点</w:t>
            </w:r>
          </w:p>
        </w:tc>
        <w:tc>
          <w:tcPr>
            <w:tcW w:w="6490" w:type="dxa"/>
            <w:vAlign w:val="center"/>
          </w:tcPr>
          <w:p w14:paraId="4B7BFF4D">
            <w:pPr>
              <w:snapToGrid w:val="0"/>
              <w:spacing w:line="400" w:lineRule="exact"/>
              <w:ind w:firstLine="420" w:firstLineChars="200"/>
              <w:rPr>
                <w:rFonts w:hint="eastAsia" w:ascii="宋体" w:hAnsi="宋体"/>
                <w:bCs/>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垫江县桂阳街道桂西大道南段208号县级机关综合楼（一）801室</w:t>
            </w:r>
          </w:p>
        </w:tc>
      </w:tr>
      <w:tr w14:paraId="58CFA4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677C963">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4.2.3</w:t>
            </w:r>
          </w:p>
        </w:tc>
        <w:tc>
          <w:tcPr>
            <w:tcW w:w="1644" w:type="dxa"/>
            <w:vAlign w:val="center"/>
          </w:tcPr>
          <w:p w14:paraId="0244FEC7">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是否退还投标文件</w:t>
            </w:r>
          </w:p>
        </w:tc>
        <w:tc>
          <w:tcPr>
            <w:tcW w:w="6490" w:type="dxa"/>
            <w:vAlign w:val="center"/>
          </w:tcPr>
          <w:p w14:paraId="711560E0">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否</w:t>
            </w:r>
            <w:r>
              <w:rPr>
                <w:rFonts w:hint="eastAsia" w:ascii="宋体" w:hAnsi="宋体"/>
                <w:color w:val="000000" w:themeColor="text1"/>
                <w:kern w:val="0"/>
                <w:szCs w:val="21"/>
                <w14:textFill>
                  <w14:solidFill>
                    <w14:schemeClr w14:val="tx1"/>
                  </w14:solidFill>
                </w14:textFill>
              </w:rPr>
              <w:t>。</w:t>
            </w:r>
          </w:p>
        </w:tc>
      </w:tr>
      <w:tr w14:paraId="62B60C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47786BC">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5.1</w:t>
            </w:r>
            <w:r>
              <w:rPr>
                <w:rFonts w:hint="eastAsia" w:ascii="宋体" w:hAnsi="宋体"/>
                <w:color w:val="000000" w:themeColor="text1"/>
                <w:kern w:val="0"/>
                <w:szCs w:val="21"/>
                <w14:textFill>
                  <w14:solidFill>
                    <w14:schemeClr w14:val="tx1"/>
                  </w14:solidFill>
                </w14:textFill>
              </w:rPr>
              <w:t>.1</w:t>
            </w:r>
          </w:p>
        </w:tc>
        <w:tc>
          <w:tcPr>
            <w:tcW w:w="1644" w:type="dxa"/>
            <w:vAlign w:val="center"/>
          </w:tcPr>
          <w:p w14:paraId="609E5E46">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开标时间和</w:t>
            </w:r>
          </w:p>
          <w:p w14:paraId="1AFD7680">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地点</w:t>
            </w:r>
          </w:p>
        </w:tc>
        <w:tc>
          <w:tcPr>
            <w:tcW w:w="6490" w:type="dxa"/>
            <w:vAlign w:val="center"/>
          </w:tcPr>
          <w:p w14:paraId="299C5B0A">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开标时间：同投标截止时间</w:t>
            </w:r>
          </w:p>
          <w:p w14:paraId="0EB66D9D">
            <w:pPr>
              <w:snapToGrid w:val="0"/>
              <w:spacing w:line="400" w:lineRule="exact"/>
              <w:ind w:firstLine="420" w:firstLineChars="200"/>
              <w:rPr>
                <w:rFonts w:hint="eastAsia" w:ascii="宋体" w:hAnsi="宋体"/>
                <w:bCs/>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开标地点：</w:t>
            </w:r>
            <w:r>
              <w:rPr>
                <w:rFonts w:ascii="宋体" w:hAnsi="宋体" w:cs="宋体"/>
                <w:color w:val="000000" w:themeColor="text1"/>
                <w14:textFill>
                  <w14:solidFill>
                    <w14:schemeClr w14:val="tx1"/>
                  </w14:solidFill>
                </w14:textFill>
              </w:rPr>
              <w:t>垫江县桂阳街道桂西大道南段208号县级机关综合楼（一）801室</w:t>
            </w:r>
          </w:p>
        </w:tc>
      </w:tr>
      <w:tr w14:paraId="5169E3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E075B44">
            <w:pPr>
              <w:snapToGrid w:val="0"/>
              <w:spacing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w:t>
            </w:r>
          </w:p>
        </w:tc>
        <w:tc>
          <w:tcPr>
            <w:tcW w:w="1644" w:type="dxa"/>
            <w:vAlign w:val="center"/>
          </w:tcPr>
          <w:p w14:paraId="0F66ECF1">
            <w:pPr>
              <w:snapToGrid w:val="0"/>
              <w:spacing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开标程序</w:t>
            </w:r>
          </w:p>
        </w:tc>
        <w:tc>
          <w:tcPr>
            <w:tcW w:w="6490" w:type="dxa"/>
            <w:vAlign w:val="center"/>
          </w:tcPr>
          <w:p w14:paraId="1415813D">
            <w:pPr>
              <w:autoSpaceDE w:val="0"/>
              <w:autoSpaceDN w:val="0"/>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主持人按下列程序进行开标：</w:t>
            </w:r>
          </w:p>
          <w:p w14:paraId="4919F2CE">
            <w:pPr>
              <w:autoSpaceDE w:val="0"/>
              <w:autoSpaceDN w:val="0"/>
              <w:adjustRightInd w:val="0"/>
              <w:snapToGrid w:val="0"/>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核验参加开标会议的供应商的法定代表人或委托代理人本人身份证（原件），核验委托代理人的授权委托书、养老保险证明材料复印件，以确认其身份合法有效；若经核实委托代理人提供资料与实际不符的，不得参加开标会。核验合格的法定代表人或委托代理人可自行选择是否参加开标会，不参加开标会的视为默认开标结果。</w:t>
            </w:r>
          </w:p>
          <w:p w14:paraId="36DCC04A">
            <w:pPr>
              <w:autoSpaceDE w:val="0"/>
              <w:autoSpaceDN w:val="0"/>
              <w:adjustRightInd w:val="0"/>
              <w:snapToGrid w:val="0"/>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宣布开标纪律。</w:t>
            </w:r>
          </w:p>
          <w:p w14:paraId="2788962A">
            <w:pPr>
              <w:autoSpaceDE w:val="0"/>
              <w:autoSpaceDN w:val="0"/>
              <w:adjustRightInd w:val="0"/>
              <w:snapToGrid w:val="0"/>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宣布开标人、唱标人、记录人、监标人等有关人员姓名。</w:t>
            </w:r>
          </w:p>
          <w:p w14:paraId="7997B850">
            <w:pPr>
              <w:autoSpaceDE w:val="0"/>
              <w:autoSpaceDN w:val="0"/>
              <w:adjustRightInd w:val="0"/>
              <w:snapToGrid w:val="0"/>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 公布在投标截止时间前递交投标文件的供应商名称。</w:t>
            </w:r>
          </w:p>
          <w:p w14:paraId="7DCB4EED">
            <w:pPr>
              <w:autoSpaceDE w:val="0"/>
              <w:autoSpaceDN w:val="0"/>
              <w:adjustRightInd w:val="0"/>
              <w:snapToGrid w:val="0"/>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 投标文件的密封检查：供应商可对自己的投标文件封装情况</w:t>
            </w:r>
          </w:p>
          <w:p w14:paraId="5C50E4EA">
            <w:pPr>
              <w:autoSpaceDE w:val="0"/>
              <w:autoSpaceDN w:val="0"/>
              <w:adjustRightInd w:val="0"/>
              <w:snapToGrid w:val="0"/>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进行检查，以确认其投标文件密封完好。</w:t>
            </w:r>
          </w:p>
          <w:p w14:paraId="3078B912">
            <w:pPr>
              <w:autoSpaceDE w:val="0"/>
              <w:autoSpaceDN w:val="0"/>
              <w:adjustRightInd w:val="0"/>
              <w:snapToGrid w:val="0"/>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 现场展示投标保证金交纳情况。</w:t>
            </w:r>
          </w:p>
          <w:p w14:paraId="58EFED20">
            <w:pPr>
              <w:autoSpaceDE w:val="0"/>
              <w:autoSpaceDN w:val="0"/>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 逐单位随机开启投标文件；公布供应商名称、投标报价、质量要求、交货期及其他内容并记录在案。</w:t>
            </w:r>
          </w:p>
        </w:tc>
      </w:tr>
      <w:tr w14:paraId="73C9D2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C184DB5">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6.1.1</w:t>
            </w:r>
          </w:p>
        </w:tc>
        <w:tc>
          <w:tcPr>
            <w:tcW w:w="1644" w:type="dxa"/>
            <w:vAlign w:val="center"/>
          </w:tcPr>
          <w:p w14:paraId="3CE7E373">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评标委员会的组建</w:t>
            </w:r>
          </w:p>
        </w:tc>
        <w:tc>
          <w:tcPr>
            <w:tcW w:w="6490" w:type="dxa"/>
            <w:vAlign w:val="center"/>
          </w:tcPr>
          <w:p w14:paraId="52A363F8">
            <w:pPr>
              <w:autoSpaceDE w:val="0"/>
              <w:autoSpaceDN w:val="0"/>
              <w:adjustRightInd w:val="0"/>
              <w:snapToGrid w:val="0"/>
              <w:spacing w:line="400" w:lineRule="exact"/>
              <w:ind w:firstLine="436" w:firstLineChars="200"/>
              <w:rPr>
                <w:rFonts w:hint="eastAsia" w:ascii="宋体" w:hAnsi="宋体"/>
                <w:color w:val="000000" w:themeColor="text1"/>
                <w:kern w:val="0"/>
                <w:szCs w:val="21"/>
                <w14:textFill>
                  <w14:solidFill>
                    <w14:schemeClr w14:val="tx1"/>
                  </w14:solidFill>
                </w14:textFill>
              </w:rPr>
            </w:pPr>
            <w:r>
              <w:rPr>
                <w:rFonts w:hint="eastAsia" w:ascii="宋体" w:hAnsi="宋体" w:cs="宋体"/>
                <w:color w:val="000000" w:themeColor="text1"/>
                <w:spacing w:val="4"/>
                <w:kern w:val="0"/>
                <w:szCs w:val="21"/>
                <w14:textFill>
                  <w14:solidFill>
                    <w14:schemeClr w14:val="tx1"/>
                  </w14:solidFill>
                </w14:textFill>
              </w:rPr>
              <w:t>由招标人按法律法规及相关规定依法组建评标委员会</w:t>
            </w:r>
            <w:r>
              <w:rPr>
                <w:rFonts w:hint="eastAsia" w:ascii="宋体" w:hAnsi="宋体" w:cs="宋体"/>
                <w:color w:val="000000" w:themeColor="text1"/>
                <w:kern w:val="0"/>
                <w:szCs w:val="21"/>
                <w14:textFill>
                  <w14:solidFill>
                    <w14:schemeClr w14:val="tx1"/>
                  </w14:solidFill>
                </w14:textFill>
              </w:rPr>
              <w:t>。</w:t>
            </w:r>
          </w:p>
        </w:tc>
      </w:tr>
      <w:tr w14:paraId="6E5154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71E9215">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7.1</w:t>
            </w:r>
          </w:p>
        </w:tc>
        <w:tc>
          <w:tcPr>
            <w:tcW w:w="1644" w:type="dxa"/>
            <w:vAlign w:val="center"/>
          </w:tcPr>
          <w:p w14:paraId="4A794509">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是否授权评标委员会确定中标人</w:t>
            </w:r>
          </w:p>
        </w:tc>
        <w:tc>
          <w:tcPr>
            <w:tcW w:w="6490" w:type="dxa"/>
            <w:vAlign w:val="center"/>
          </w:tcPr>
          <w:p w14:paraId="133B7188">
            <w:pPr>
              <w:snapToGrid w:val="0"/>
              <w:spacing w:line="400" w:lineRule="exact"/>
              <w:ind w:firstLine="420" w:firstLineChars="200"/>
              <w:rPr>
                <w:rFonts w:hint="eastAsia" w:ascii="宋体" w:hAnsi="宋体"/>
                <w:i/>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否，推荐经评审合格的</w:t>
            </w:r>
            <w:r>
              <w:rPr>
                <w:rFonts w:hint="eastAsia" w:ascii="宋体" w:hAnsi="宋体"/>
                <w:color w:val="000000" w:themeColor="text1"/>
                <w:kern w:val="0"/>
                <w:szCs w:val="21"/>
                <w14:textFill>
                  <w14:solidFill>
                    <w14:schemeClr w14:val="tx1"/>
                  </w14:solidFill>
                </w14:textFill>
              </w:rPr>
              <w:t>报价</w:t>
            </w:r>
            <w:r>
              <w:rPr>
                <w:rFonts w:ascii="宋体" w:hAnsi="宋体"/>
                <w:color w:val="000000" w:themeColor="text1"/>
                <w:kern w:val="0"/>
                <w:szCs w:val="21"/>
                <w14:textFill>
                  <w14:solidFill>
                    <w14:schemeClr w14:val="tx1"/>
                  </w14:solidFill>
                </w14:textFill>
              </w:rPr>
              <w:t>由低到高排名前</w:t>
            </w:r>
            <w:r>
              <w:rPr>
                <w:rFonts w:hint="eastAsia" w:ascii="宋体" w:hAnsi="宋体"/>
                <w:color w:val="000000" w:themeColor="text1"/>
                <w:kern w:val="0"/>
                <w:szCs w:val="21"/>
                <w:u w:val="single"/>
                <w14:textFill>
                  <w14:solidFill>
                    <w14:schemeClr w14:val="tx1"/>
                  </w14:solidFill>
                </w14:textFill>
              </w:rPr>
              <w:t>3</w:t>
            </w:r>
            <w:r>
              <w:rPr>
                <w:rFonts w:ascii="宋体" w:hAnsi="宋体"/>
                <w:color w:val="000000" w:themeColor="text1"/>
                <w:kern w:val="0"/>
                <w:szCs w:val="21"/>
                <w14:textFill>
                  <w14:solidFill>
                    <w14:schemeClr w14:val="tx1"/>
                  </w14:solidFill>
                </w14:textFill>
              </w:rPr>
              <w:t>名为中标候选人</w:t>
            </w:r>
            <w:r>
              <w:rPr>
                <w:rFonts w:hint="eastAsia" w:ascii="宋体" w:hAnsi="宋体"/>
                <w:color w:val="000000" w:themeColor="text1"/>
                <w:kern w:val="0"/>
                <w:szCs w:val="21"/>
                <w14:textFill>
                  <w14:solidFill>
                    <w14:schemeClr w14:val="tx1"/>
                  </w14:solidFill>
                </w14:textFill>
              </w:rPr>
              <w:t>，若有效投标人少于</w:t>
            </w:r>
            <w:r>
              <w:rPr>
                <w:rFonts w:hint="eastAsia" w:ascii="宋体" w:hAnsi="宋体"/>
                <w:color w:val="000000" w:themeColor="text1"/>
                <w:kern w:val="0"/>
                <w:szCs w:val="21"/>
                <w:u w:val="single"/>
                <w14:textFill>
                  <w14:solidFill>
                    <w14:schemeClr w14:val="tx1"/>
                  </w14:solidFill>
                </w14:textFill>
              </w:rPr>
              <w:t>3</w:t>
            </w:r>
            <w:r>
              <w:rPr>
                <w:rFonts w:hint="eastAsia" w:ascii="宋体" w:hAnsi="宋体"/>
                <w:color w:val="000000" w:themeColor="text1"/>
                <w:kern w:val="0"/>
                <w:szCs w:val="21"/>
                <w14:textFill>
                  <w14:solidFill>
                    <w14:schemeClr w14:val="tx1"/>
                  </w14:solidFill>
                </w14:textFill>
              </w:rPr>
              <w:t>个的则按实际数量推荐</w:t>
            </w:r>
            <w:r>
              <w:rPr>
                <w:rFonts w:ascii="宋体" w:hAnsi="宋体"/>
                <w:color w:val="000000" w:themeColor="text1"/>
                <w:kern w:val="0"/>
                <w:szCs w:val="21"/>
                <w14:textFill>
                  <w14:solidFill>
                    <w14:schemeClr w14:val="tx1"/>
                  </w14:solidFill>
                </w14:textFill>
              </w:rPr>
              <w:t>。</w:t>
            </w:r>
            <w:r>
              <w:rPr>
                <w:rFonts w:ascii="宋体" w:hAnsi="宋体"/>
                <w:i/>
                <w:color w:val="000000" w:themeColor="text1"/>
                <w:kern w:val="0"/>
                <w:szCs w:val="21"/>
                <w14:textFill>
                  <w14:solidFill>
                    <w14:schemeClr w14:val="tx1"/>
                  </w14:solidFill>
                </w14:textFill>
              </w:rPr>
              <w:t xml:space="preserve"> </w:t>
            </w:r>
          </w:p>
        </w:tc>
      </w:tr>
      <w:tr w14:paraId="7E5010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539029A">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7.2</w:t>
            </w:r>
          </w:p>
        </w:tc>
        <w:tc>
          <w:tcPr>
            <w:tcW w:w="1644" w:type="dxa"/>
            <w:vAlign w:val="center"/>
          </w:tcPr>
          <w:p w14:paraId="7AFA4BDD">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中标</w:t>
            </w:r>
            <w:r>
              <w:rPr>
                <w:rFonts w:hint="eastAsia" w:ascii="宋体" w:hAnsi="宋体"/>
                <w:color w:val="000000" w:themeColor="text1"/>
                <w:kern w:val="0"/>
                <w:szCs w:val="21"/>
                <w14:textFill>
                  <w14:solidFill>
                    <w14:schemeClr w14:val="tx1"/>
                  </w14:solidFill>
                </w14:textFill>
              </w:rPr>
              <w:t>候选人</w:t>
            </w:r>
            <w:r>
              <w:rPr>
                <w:rFonts w:ascii="宋体" w:hAnsi="宋体"/>
                <w:color w:val="000000" w:themeColor="text1"/>
                <w:kern w:val="0"/>
                <w:szCs w:val="21"/>
                <w14:textFill>
                  <w14:solidFill>
                    <w14:schemeClr w14:val="tx1"/>
                  </w14:solidFill>
                </w14:textFill>
              </w:rPr>
              <w:t>公示</w:t>
            </w:r>
          </w:p>
        </w:tc>
        <w:tc>
          <w:tcPr>
            <w:tcW w:w="6490" w:type="dxa"/>
            <w:vAlign w:val="center"/>
          </w:tcPr>
          <w:p w14:paraId="3C0BE2BA">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招标人在收到评标报告后3日内将评标结果在</w:t>
            </w:r>
            <w:r>
              <w:rPr>
                <w:rFonts w:hint="eastAsia" w:ascii="宋体" w:hAnsi="宋体" w:cs="宋体"/>
                <w:color w:val="000000" w:themeColor="text1"/>
                <w:szCs w:val="21"/>
                <w:u w:val="single"/>
                <w14:textFill>
                  <w14:solidFill>
                    <w14:schemeClr w14:val="tx1"/>
                  </w14:solidFill>
                </w14:textFill>
              </w:rPr>
              <w:t>垫江县人民政府</w:t>
            </w:r>
            <w:r>
              <w:rPr>
                <w:rFonts w:hint="eastAsia" w:ascii="宋体" w:hAnsi="宋体" w:cs="宋体"/>
                <w:color w:val="000000" w:themeColor="text1"/>
                <w:szCs w:val="21"/>
                <w14:textFill>
                  <w14:solidFill>
                    <w14:schemeClr w14:val="tx1"/>
                  </w14:solidFill>
                </w14:textFill>
              </w:rPr>
              <w:t>上进行公示，公示期不少于3日。</w:t>
            </w:r>
          </w:p>
        </w:tc>
      </w:tr>
      <w:tr w14:paraId="5CA798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602097A">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7.3.1</w:t>
            </w:r>
          </w:p>
        </w:tc>
        <w:tc>
          <w:tcPr>
            <w:tcW w:w="1644" w:type="dxa"/>
            <w:vAlign w:val="center"/>
          </w:tcPr>
          <w:p w14:paraId="14BCC7C9">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履约担保</w:t>
            </w:r>
          </w:p>
        </w:tc>
        <w:tc>
          <w:tcPr>
            <w:tcW w:w="6490" w:type="dxa"/>
            <w:vAlign w:val="center"/>
          </w:tcPr>
          <w:p w14:paraId="79FD2363">
            <w:pPr>
              <w:snapToGrid w:val="0"/>
              <w:spacing w:after="62" w:afterLines="20" w:line="400" w:lineRule="exact"/>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1.中标人是否提供履约担保：提供。 </w:t>
            </w:r>
          </w:p>
          <w:p w14:paraId="0483AA65">
            <w:pPr>
              <w:snapToGrid w:val="0"/>
              <w:spacing w:after="62" w:afterLines="20" w:line="400" w:lineRule="exact"/>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2.中标人提供履约担保的形式、金额及期限： </w:t>
            </w:r>
          </w:p>
          <w:p w14:paraId="35BA3E60">
            <w:pPr>
              <w:snapToGrid w:val="0"/>
              <w:spacing w:after="62" w:afterLines="20" w:line="400" w:lineRule="exact"/>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（1）履约担保的形式：现金。</w:t>
            </w:r>
          </w:p>
          <w:p w14:paraId="40063010">
            <w:pPr>
              <w:snapToGrid w:val="0"/>
              <w:spacing w:after="62" w:afterLines="20" w:line="400" w:lineRule="exact"/>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（2）履约担保的金额：中标合同金额的10%。</w:t>
            </w:r>
          </w:p>
          <w:p w14:paraId="76D2C36C">
            <w:pPr>
              <w:snapToGrid w:val="0"/>
              <w:spacing w:after="62" w:afterLines="20" w:line="400" w:lineRule="exact"/>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（3）履约担保的提交时间：从招标人中标通知书送达中标人之日起5个工作日内。</w:t>
            </w:r>
          </w:p>
          <w:p w14:paraId="2937A2E6">
            <w:pPr>
              <w:snapToGrid w:val="0"/>
              <w:spacing w:after="62" w:afterLines="20" w:line="400" w:lineRule="exact"/>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（4）履约担保的期限：履约担保递交之日起至完工验收合格之日止。</w:t>
            </w:r>
          </w:p>
          <w:p w14:paraId="62FB9C4C">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（5）履约担保的退还时间：完工验收合格后一次性无息退还。</w:t>
            </w:r>
          </w:p>
        </w:tc>
      </w:tr>
      <w:tr w14:paraId="565C9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85D9FB2">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8.1</w:t>
            </w:r>
          </w:p>
        </w:tc>
        <w:tc>
          <w:tcPr>
            <w:tcW w:w="1644" w:type="dxa"/>
            <w:vAlign w:val="center"/>
          </w:tcPr>
          <w:p w14:paraId="10A1266A">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重新招标</w:t>
            </w:r>
            <w:r>
              <w:rPr>
                <w:rFonts w:hint="eastAsia" w:ascii="宋体" w:hAnsi="宋体"/>
                <w:color w:val="000000" w:themeColor="text1"/>
                <w:kern w:val="0"/>
                <w:szCs w:val="21"/>
                <w14:textFill>
                  <w14:solidFill>
                    <w14:schemeClr w14:val="tx1"/>
                  </w14:solidFill>
                </w14:textFill>
              </w:rPr>
              <w:t>的情形</w:t>
            </w:r>
          </w:p>
        </w:tc>
        <w:tc>
          <w:tcPr>
            <w:tcW w:w="6490" w:type="dxa"/>
            <w:vAlign w:val="center"/>
          </w:tcPr>
          <w:p w14:paraId="63F09C68">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（1）投标截止时间止，投标人少于 3 个的（本款只适用于首次招标）；</w:t>
            </w:r>
          </w:p>
          <w:p w14:paraId="22572483">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（2）经评标委员会评审后否决所有投标的；</w:t>
            </w:r>
          </w:p>
          <w:p w14:paraId="51075A5D">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（3）经评标委员会评审后部分投标被否决，因有效投标人不足3个使得投标明显缺乏竞争的（本款只适用于首次招标）；</w:t>
            </w:r>
          </w:p>
          <w:p w14:paraId="661D6563">
            <w:pPr>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（4）法律法规规定的其他情形。</w:t>
            </w:r>
          </w:p>
        </w:tc>
      </w:tr>
      <w:tr w14:paraId="28B610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041438C">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8.2</w:t>
            </w:r>
          </w:p>
        </w:tc>
        <w:tc>
          <w:tcPr>
            <w:tcW w:w="1644" w:type="dxa"/>
            <w:vAlign w:val="center"/>
          </w:tcPr>
          <w:p w14:paraId="536DBE51">
            <w:pPr>
              <w:snapToGrid w:val="0"/>
              <w:spacing w:line="400" w:lineRule="exact"/>
              <w:jc w:val="center"/>
              <w:rPr>
                <w:color w:val="000000" w:themeColor="text1"/>
                <w14:textFill>
                  <w14:solidFill>
                    <w14:schemeClr w14:val="tx1"/>
                  </w14:solidFill>
                </w14:textFill>
              </w:rPr>
            </w:pPr>
            <w:bookmarkStart w:id="109" w:name="_Toc16930431"/>
            <w:bookmarkStart w:id="110" w:name="_Toc13210670"/>
            <w:bookmarkStart w:id="111" w:name="_Toc536628250"/>
            <w:bookmarkStart w:id="112" w:name="_Toc430530434"/>
            <w:bookmarkStart w:id="113" w:name="_Toc509218709"/>
            <w:r>
              <w:rPr>
                <w:rFonts w:hint="eastAsia" w:ascii="宋体" w:hAnsi="宋体"/>
                <w:color w:val="000000" w:themeColor="text1"/>
                <w:kern w:val="0"/>
                <w:szCs w:val="21"/>
                <w14:textFill>
                  <w14:solidFill>
                    <w14:schemeClr w14:val="tx1"/>
                  </w14:solidFill>
                </w14:textFill>
              </w:rPr>
              <w:t>重新</w:t>
            </w:r>
            <w:r>
              <w:rPr>
                <w:rFonts w:ascii="宋体" w:hAnsi="宋体"/>
                <w:color w:val="000000" w:themeColor="text1"/>
                <w:kern w:val="0"/>
                <w:szCs w:val="21"/>
                <w14:textFill>
                  <w14:solidFill>
                    <w14:schemeClr w14:val="tx1"/>
                  </w14:solidFill>
                </w14:textFill>
              </w:rPr>
              <w:t>招标和不再招标</w:t>
            </w:r>
            <w:bookmarkEnd w:id="109"/>
            <w:bookmarkEnd w:id="110"/>
            <w:bookmarkEnd w:id="111"/>
            <w:bookmarkEnd w:id="112"/>
            <w:bookmarkEnd w:id="113"/>
          </w:p>
        </w:tc>
        <w:tc>
          <w:tcPr>
            <w:tcW w:w="6490" w:type="dxa"/>
            <w:vAlign w:val="center"/>
          </w:tcPr>
          <w:p w14:paraId="305ACCCF">
            <w:pPr>
              <w:autoSpaceDE w:val="0"/>
              <w:autoSpaceDN w:val="0"/>
              <w:adjustRightInd w:val="0"/>
              <w:snapToGrid w:val="0"/>
              <w:spacing w:line="400" w:lineRule="exact"/>
              <w:ind w:firstLine="420" w:firstLineChars="200"/>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重新招标的投标人仍然少于3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r>
              <w:rPr>
                <w:rFonts w:ascii="宋体" w:hAnsi="宋体"/>
                <w:snapToGrid w:val="0"/>
                <w:color w:val="000000" w:themeColor="text1"/>
                <w:kern w:val="0"/>
                <w:szCs w:val="21"/>
                <w14:textFill>
                  <w14:solidFill>
                    <w14:schemeClr w14:val="tx1"/>
                  </w14:solidFill>
                </w14:textFill>
              </w:rPr>
              <w:t>。</w:t>
            </w:r>
          </w:p>
        </w:tc>
      </w:tr>
      <w:tr w14:paraId="3C6778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8C21D81">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10</w:t>
            </w:r>
          </w:p>
        </w:tc>
        <w:tc>
          <w:tcPr>
            <w:tcW w:w="8134" w:type="dxa"/>
            <w:gridSpan w:val="2"/>
            <w:vAlign w:val="center"/>
          </w:tcPr>
          <w:p w14:paraId="5970D159">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需要补充的其他内容</w:t>
            </w:r>
          </w:p>
        </w:tc>
      </w:tr>
      <w:tr w14:paraId="580073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846923F">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10.1</w:t>
            </w:r>
          </w:p>
        </w:tc>
        <w:tc>
          <w:tcPr>
            <w:tcW w:w="1644" w:type="dxa"/>
            <w:vAlign w:val="center"/>
          </w:tcPr>
          <w:p w14:paraId="645B3834">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建筑</w:t>
            </w:r>
            <w:r>
              <w:rPr>
                <w:rFonts w:ascii="宋体" w:hAnsi="宋体"/>
                <w:color w:val="000000" w:themeColor="text1"/>
                <w:kern w:val="0"/>
                <w:szCs w:val="21"/>
                <w14:textFill>
                  <w14:solidFill>
                    <w14:schemeClr w14:val="tx1"/>
                  </w14:solidFill>
                </w14:textFill>
              </w:rPr>
              <w:t>领域实施农民工工资专用账户相关</w:t>
            </w:r>
            <w:r>
              <w:rPr>
                <w:rFonts w:hint="eastAsia" w:ascii="宋体" w:hAnsi="宋体"/>
                <w:color w:val="000000" w:themeColor="text1"/>
                <w:kern w:val="0"/>
                <w:szCs w:val="21"/>
                <w14:textFill>
                  <w14:solidFill>
                    <w14:schemeClr w14:val="tx1"/>
                  </w14:solidFill>
                </w14:textFill>
              </w:rPr>
              <w:t>要求</w:t>
            </w:r>
          </w:p>
        </w:tc>
        <w:tc>
          <w:tcPr>
            <w:tcW w:w="6490" w:type="dxa"/>
            <w:vAlign w:val="center"/>
          </w:tcPr>
          <w:p w14:paraId="2C08D45C">
            <w:pPr>
              <w:widowControl/>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本项目在</w:t>
            </w:r>
            <w:r>
              <w:rPr>
                <w:rFonts w:ascii="宋体" w:hAnsi="宋体"/>
                <w:color w:val="000000" w:themeColor="text1"/>
                <w:kern w:val="0"/>
                <w:szCs w:val="21"/>
                <w14:textFill>
                  <w14:solidFill>
                    <w14:schemeClr w14:val="tx1"/>
                  </w14:solidFill>
                </w14:textFill>
              </w:rPr>
              <w:t>实施过程中</w:t>
            </w:r>
            <w:r>
              <w:rPr>
                <w:rFonts w:hint="eastAsia" w:ascii="宋体" w:hAnsi="宋体"/>
                <w:color w:val="000000" w:themeColor="text1"/>
                <w:kern w:val="0"/>
                <w:szCs w:val="21"/>
                <w14:textFill>
                  <w14:solidFill>
                    <w14:schemeClr w14:val="tx1"/>
                  </w14:solidFill>
                </w14:textFill>
              </w:rPr>
              <w:t>，中标人</w:t>
            </w:r>
            <w:r>
              <w:rPr>
                <w:rFonts w:ascii="宋体" w:hAnsi="宋体"/>
                <w:color w:val="000000" w:themeColor="text1"/>
                <w:kern w:val="0"/>
                <w:szCs w:val="21"/>
                <w14:textFill>
                  <w14:solidFill>
                    <w14:schemeClr w14:val="tx1"/>
                  </w14:solidFill>
                </w14:textFill>
              </w:rPr>
              <w:t>必须执行</w:t>
            </w:r>
            <w:r>
              <w:rPr>
                <w:rFonts w:hint="eastAsia" w:ascii="宋体" w:hAnsi="宋体"/>
                <w:color w:val="000000" w:themeColor="text1"/>
                <w:kern w:val="0"/>
                <w:szCs w:val="21"/>
                <w:u w:val="single"/>
                <w14:textFill>
                  <w14:solidFill>
                    <w14:schemeClr w14:val="tx1"/>
                  </w14:solidFill>
                </w14:textFill>
              </w:rPr>
              <w:t>《保障农民工工资支付条例》（中华人民共和国国务院令第724号）及国家</w:t>
            </w:r>
            <w:r>
              <w:rPr>
                <w:rFonts w:ascii="宋体" w:hAnsi="宋体"/>
                <w:color w:val="000000" w:themeColor="text1"/>
                <w:szCs w:val="21"/>
                <w:u w:val="single"/>
                <w14:textFill>
                  <w14:solidFill>
                    <w14:schemeClr w14:val="tx1"/>
                  </w14:solidFill>
                </w14:textFill>
              </w:rPr>
              <w:t>和重庆市现行有关</w:t>
            </w:r>
            <w:r>
              <w:rPr>
                <w:rFonts w:ascii="宋体" w:hAnsi="宋体"/>
                <w:color w:val="000000" w:themeColor="text1"/>
                <w:kern w:val="0"/>
                <w:szCs w:val="21"/>
                <w14:textFill>
                  <w14:solidFill>
                    <w14:schemeClr w14:val="tx1"/>
                  </w14:solidFill>
                </w14:textFill>
              </w:rPr>
              <w:t>农民工工资</w:t>
            </w:r>
            <w:r>
              <w:rPr>
                <w:rFonts w:hint="eastAsia" w:ascii="宋体" w:hAnsi="宋体"/>
                <w:color w:val="000000" w:themeColor="text1"/>
                <w:kern w:val="0"/>
                <w:szCs w:val="21"/>
                <w14:textFill>
                  <w14:solidFill>
                    <w14:schemeClr w14:val="tx1"/>
                  </w14:solidFill>
                </w14:textFill>
              </w:rPr>
              <w:t>支付规定，明确农民工工资保证金、实名制、专用账户、银行代发等保障农民工工资支付内容以及违约责任，填报相应的网络管理系统。</w:t>
            </w:r>
          </w:p>
          <w:p w14:paraId="25F08ADE">
            <w:pPr>
              <w:widowControl/>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投标人中标后，在与发包人签订的合同中，必须明确在重庆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r>
              <w:rPr>
                <w:rFonts w:ascii="宋体" w:hAnsi="宋体"/>
                <w:color w:val="000000" w:themeColor="text1"/>
                <w:kern w:val="0"/>
                <w:szCs w:val="21"/>
                <w14:textFill>
                  <w14:solidFill>
                    <w14:schemeClr w14:val="tx1"/>
                  </w14:solidFill>
                </w14:textFill>
              </w:rPr>
              <w:t>。</w:t>
            </w:r>
          </w:p>
        </w:tc>
      </w:tr>
      <w:tr w14:paraId="0F10FF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FFD61A">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10.2</w:t>
            </w:r>
          </w:p>
        </w:tc>
        <w:tc>
          <w:tcPr>
            <w:tcW w:w="1644" w:type="dxa"/>
            <w:vAlign w:val="center"/>
          </w:tcPr>
          <w:p w14:paraId="26145481">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关于对竞争性比选文件及投标争议的解释</w:t>
            </w:r>
          </w:p>
        </w:tc>
        <w:tc>
          <w:tcPr>
            <w:tcW w:w="6490" w:type="dxa"/>
            <w:vAlign w:val="center"/>
          </w:tcPr>
          <w:p w14:paraId="177CF738">
            <w:pPr>
              <w:autoSpaceDE w:val="0"/>
              <w:autoSpaceDN w:val="0"/>
              <w:adjustRightInd w:val="0"/>
              <w:snapToGrid w:val="0"/>
              <w:spacing w:line="400" w:lineRule="exact"/>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对资格预审文件或者竞争性比选文件中的条款理解有争议的，应当作出不利于招标人的解释；对投标文件理解有争议的，应当作出不利于投标人的解释。但是，违背国家利益、社会公共利益的除外。</w:t>
            </w:r>
          </w:p>
        </w:tc>
      </w:tr>
      <w:tr w14:paraId="7FB6A9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50A980D">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10.3</w:t>
            </w:r>
          </w:p>
        </w:tc>
        <w:tc>
          <w:tcPr>
            <w:tcW w:w="1644" w:type="dxa"/>
            <w:vAlign w:val="center"/>
          </w:tcPr>
          <w:p w14:paraId="01242471">
            <w:pPr>
              <w:snapToGrid w:val="0"/>
              <w:spacing w:line="40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其他</w:t>
            </w:r>
          </w:p>
        </w:tc>
        <w:tc>
          <w:tcPr>
            <w:tcW w:w="6490" w:type="dxa"/>
            <w:vAlign w:val="center"/>
          </w:tcPr>
          <w:p w14:paraId="37ADA9B3">
            <w:pPr>
              <w:autoSpaceDE w:val="0"/>
              <w:autoSpaceDN w:val="0"/>
              <w:adjustRightInd w:val="0"/>
              <w:snapToGrid w:val="0"/>
              <w:spacing w:line="400" w:lineRule="exact"/>
              <w:ind w:firstLine="420"/>
              <w:rPr>
                <w:rFonts w:hint="eastAsia" w:ascii="宋体" w:hAnsi="宋体"/>
                <w:i/>
                <w:color w:val="000000" w:themeColor="text1"/>
                <w:kern w:val="0"/>
                <w:szCs w:val="21"/>
                <w14:textFill>
                  <w14:solidFill>
                    <w14:schemeClr w14:val="tx1"/>
                  </w14:solidFill>
                </w14:textFill>
              </w:rPr>
            </w:pPr>
            <w:r>
              <w:rPr>
                <w:rFonts w:hint="eastAsia" w:ascii="宋体" w:hAnsi="宋体"/>
                <w:iCs/>
                <w:color w:val="000000" w:themeColor="text1"/>
                <w:kern w:val="0"/>
                <w:szCs w:val="21"/>
                <w14:textFill>
                  <w14:solidFill>
                    <w14:schemeClr w14:val="tx1"/>
                  </w14:solidFill>
                </w14:textFill>
              </w:rPr>
              <w:t>招标代理服务费:本工程招标代理费为7000.00元整，由中标人缴纳。中标人领取中标通知书时，一次性足额向招标代理机构缴纳。该费用由投标人自行考虑进项目成本，但不单列。中标后招标人不再另行支付。</w:t>
            </w:r>
          </w:p>
        </w:tc>
      </w:tr>
    </w:tbl>
    <w:p w14:paraId="080E9C50">
      <w:pPr>
        <w:pStyle w:val="4"/>
        <w:spacing w:before="0" w:after="0" w:line="20" w:lineRule="exact"/>
        <w:rPr>
          <w:rFonts w:hint="eastAsia" w:ascii="宋体" w:hAnsi="宋体"/>
          <w:b w:val="0"/>
          <w:snapToGrid w:val="0"/>
          <w:color w:val="000000" w:themeColor="text1"/>
          <w14:textFill>
            <w14:solidFill>
              <w14:schemeClr w14:val="tx1"/>
            </w14:solidFill>
          </w14:textFill>
        </w:rPr>
      </w:pPr>
      <w:bookmarkStart w:id="114" w:name="_Toc287620685"/>
      <w:bookmarkStart w:id="115" w:name="_Toc277082552"/>
      <w:bookmarkStart w:id="116" w:name="_Toc224103317"/>
      <w:bookmarkStart w:id="117" w:name="_Toc430530435"/>
      <w:bookmarkStart w:id="118" w:name="_Toc287607746"/>
      <w:bookmarkStart w:id="119" w:name="_Toc200513126"/>
    </w:p>
    <w:p w14:paraId="5D8D0CCF">
      <w:pPr>
        <w:pStyle w:val="4"/>
        <w:spacing w:before="0" w:after="0" w:line="200" w:lineRule="exact"/>
        <w:rPr>
          <w:rFonts w:hint="eastAsia" w:ascii="宋体" w:hAnsi="宋体"/>
          <w:b w:val="0"/>
          <w:snapToGrid w:val="0"/>
          <w:color w:val="000000" w:themeColor="text1"/>
          <w14:textFill>
            <w14:solidFill>
              <w14:schemeClr w14:val="tx1"/>
            </w14:solidFill>
          </w14:textFill>
        </w:rPr>
      </w:pPr>
      <w:r>
        <w:rPr>
          <w:rFonts w:ascii="宋体" w:hAnsi="宋体"/>
          <w:b w:val="0"/>
          <w:snapToGrid w:val="0"/>
          <w:color w:val="000000" w:themeColor="text1"/>
          <w14:textFill>
            <w14:solidFill>
              <w14:schemeClr w14:val="tx1"/>
            </w14:solidFill>
          </w14:textFill>
        </w:rPr>
        <w:br w:type="page"/>
      </w:r>
    </w:p>
    <w:p w14:paraId="0AAD7808">
      <w:pPr>
        <w:pStyle w:val="4"/>
        <w:spacing w:before="0" w:after="0" w:line="360" w:lineRule="auto"/>
        <w:rPr>
          <w:rFonts w:hint="eastAsia" w:ascii="宋体" w:hAnsi="宋体"/>
          <w:b w:val="0"/>
          <w:snapToGrid w:val="0"/>
          <w:color w:val="000000" w:themeColor="text1"/>
          <w14:textFill>
            <w14:solidFill>
              <w14:schemeClr w14:val="tx1"/>
            </w14:solidFill>
          </w14:textFill>
        </w:rPr>
      </w:pPr>
      <w:bookmarkStart w:id="120" w:name="_Toc7788"/>
      <w:bookmarkStart w:id="121" w:name="_Toc509218710"/>
      <w:bookmarkStart w:id="122" w:name="_Toc226115525"/>
      <w:r>
        <w:rPr>
          <w:rFonts w:ascii="宋体" w:hAnsi="宋体"/>
          <w:b w:val="0"/>
          <w:snapToGrid w:val="0"/>
          <w:color w:val="000000" w:themeColor="text1"/>
          <w14:textFill>
            <w14:solidFill>
              <w14:schemeClr w14:val="tx1"/>
            </w14:solidFill>
          </w14:textFill>
        </w:rPr>
        <w:t>1.  总则</w:t>
      </w:r>
      <w:bookmarkEnd w:id="114"/>
      <w:bookmarkEnd w:id="115"/>
      <w:bookmarkEnd w:id="116"/>
      <w:bookmarkEnd w:id="117"/>
      <w:bookmarkEnd w:id="118"/>
      <w:bookmarkEnd w:id="119"/>
      <w:bookmarkEnd w:id="120"/>
      <w:bookmarkEnd w:id="121"/>
      <w:bookmarkEnd w:id="122"/>
    </w:p>
    <w:p w14:paraId="55416AA9">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123" w:name="_Toc21822"/>
      <w:bookmarkStart w:id="124" w:name="_Toc287620686"/>
      <w:bookmarkStart w:id="125" w:name="_Toc200513127"/>
      <w:bookmarkStart w:id="126" w:name="_Toc509218711"/>
      <w:bookmarkStart w:id="127" w:name="_Toc224103318"/>
      <w:bookmarkStart w:id="128" w:name="_Toc430530436"/>
      <w:bookmarkStart w:id="129" w:name="_Toc226115526"/>
      <w:bookmarkStart w:id="130" w:name="_Toc287607747"/>
      <w:bookmarkStart w:id="131" w:name="_Toc277082553"/>
      <w:r>
        <w:rPr>
          <w:rFonts w:ascii="宋体" w:hAnsi="宋体"/>
          <w:b w:val="0"/>
          <w:snapToGrid w:val="0"/>
          <w:color w:val="000000" w:themeColor="text1"/>
          <w:sz w:val="24"/>
          <w:szCs w:val="24"/>
          <w14:textFill>
            <w14:solidFill>
              <w14:schemeClr w14:val="tx1"/>
            </w14:solidFill>
          </w14:textFill>
        </w:rPr>
        <w:t>1.1  项目概况</w:t>
      </w:r>
      <w:bookmarkEnd w:id="123"/>
      <w:bookmarkEnd w:id="124"/>
      <w:bookmarkEnd w:id="125"/>
      <w:bookmarkEnd w:id="126"/>
      <w:bookmarkEnd w:id="127"/>
      <w:bookmarkEnd w:id="128"/>
      <w:bookmarkEnd w:id="129"/>
      <w:bookmarkEnd w:id="130"/>
      <w:bookmarkEnd w:id="131"/>
    </w:p>
    <w:p w14:paraId="2A422C77">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1.1.1  根据《中华人民共和国招标投标法》等有关法律、法规和规章的规定，本招标项目已具备招标条件，现对本</w:t>
      </w:r>
      <w:r>
        <w:rPr>
          <w:rFonts w:hint="eastAsia" w:ascii="宋体" w:hAnsi="宋体"/>
          <w:snapToGrid w:val="0"/>
          <w:color w:val="000000" w:themeColor="text1"/>
          <w:kern w:val="0"/>
          <w:szCs w:val="21"/>
          <w14:textFill>
            <w14:solidFill>
              <w14:schemeClr w14:val="tx1"/>
            </w14:solidFill>
          </w14:textFill>
        </w:rPr>
        <w:t>项目</w:t>
      </w:r>
      <w:r>
        <w:rPr>
          <w:rFonts w:ascii="宋体" w:hAnsi="宋体"/>
          <w:snapToGrid w:val="0"/>
          <w:color w:val="000000" w:themeColor="text1"/>
          <w:kern w:val="0"/>
          <w:szCs w:val="21"/>
          <w14:textFill>
            <w14:solidFill>
              <w14:schemeClr w14:val="tx1"/>
            </w14:solidFill>
          </w14:textFill>
        </w:rPr>
        <w:t>施工进行招标。</w:t>
      </w:r>
    </w:p>
    <w:p w14:paraId="174F22F1">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1.1.2  本招标项目招标人：见投标人须知前附表。</w:t>
      </w:r>
    </w:p>
    <w:p w14:paraId="7E7A5CED">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1.1.3  本招标项目招标代理机构：见投标人须知前附表。</w:t>
      </w:r>
    </w:p>
    <w:p w14:paraId="66C21E39">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1.1.</w:t>
      </w:r>
      <w:r>
        <w:rPr>
          <w:rFonts w:hint="eastAsia" w:ascii="宋体" w:hAnsi="宋体"/>
          <w:snapToGrid w:val="0"/>
          <w:color w:val="000000" w:themeColor="text1"/>
          <w:kern w:val="0"/>
          <w:szCs w:val="21"/>
          <w14:textFill>
            <w14:solidFill>
              <w14:schemeClr w14:val="tx1"/>
            </w14:solidFill>
          </w14:textFill>
        </w:rPr>
        <w:t>4</w:t>
      </w:r>
      <w:r>
        <w:rPr>
          <w:rFonts w:ascii="宋体" w:hAnsi="宋体"/>
          <w:snapToGrid w:val="0"/>
          <w:color w:val="000000" w:themeColor="text1"/>
          <w:kern w:val="0"/>
          <w:szCs w:val="21"/>
          <w14:textFill>
            <w14:solidFill>
              <w14:schemeClr w14:val="tx1"/>
            </w14:solidFill>
          </w14:textFill>
        </w:rPr>
        <w:t xml:space="preserve">  本招标项目名称：见投标人须知前附表。</w:t>
      </w:r>
    </w:p>
    <w:p w14:paraId="240776F5">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1.1.5  本招标项目建设地点：见投标人须知前附表。</w:t>
      </w:r>
    </w:p>
    <w:p w14:paraId="38281F01">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1.1.6  本招标项目建设规模：见投标人须知前附表。</w:t>
      </w:r>
    </w:p>
    <w:p w14:paraId="10823DCD">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132" w:name="_Toc226115527"/>
      <w:bookmarkStart w:id="133" w:name="_Toc287607748"/>
      <w:bookmarkStart w:id="134" w:name="_Toc224103319"/>
      <w:bookmarkStart w:id="135" w:name="_Toc10126"/>
      <w:bookmarkStart w:id="136" w:name="_Toc277082554"/>
      <w:bookmarkStart w:id="137" w:name="_Toc430530437"/>
      <w:bookmarkStart w:id="138" w:name="_Toc287620687"/>
      <w:bookmarkStart w:id="139" w:name="_Toc509218712"/>
      <w:bookmarkStart w:id="140" w:name="_Toc200513128"/>
      <w:r>
        <w:rPr>
          <w:rFonts w:ascii="宋体" w:hAnsi="宋体"/>
          <w:b w:val="0"/>
          <w:snapToGrid w:val="0"/>
          <w:color w:val="000000" w:themeColor="text1"/>
          <w:sz w:val="24"/>
          <w:szCs w:val="24"/>
          <w14:textFill>
            <w14:solidFill>
              <w14:schemeClr w14:val="tx1"/>
            </w14:solidFill>
          </w14:textFill>
        </w:rPr>
        <w:t>1.2  资金来源和落实情况</w:t>
      </w:r>
      <w:bookmarkEnd w:id="132"/>
      <w:bookmarkEnd w:id="133"/>
      <w:bookmarkEnd w:id="134"/>
      <w:bookmarkEnd w:id="135"/>
      <w:bookmarkEnd w:id="136"/>
      <w:bookmarkEnd w:id="137"/>
      <w:bookmarkEnd w:id="138"/>
      <w:bookmarkEnd w:id="139"/>
      <w:bookmarkEnd w:id="140"/>
    </w:p>
    <w:p w14:paraId="1EE8CE0F">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1.2.1  本招标项目的资金来源：见投标人须知前附表。</w:t>
      </w:r>
    </w:p>
    <w:p w14:paraId="38B593A6">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1.2.2  本招标项目的出资比例：见投标人须知前附表。</w:t>
      </w:r>
    </w:p>
    <w:p w14:paraId="37B0A70E">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1.2.3  本招标项目的资金落实情况：见投标人须知前附表。</w:t>
      </w:r>
    </w:p>
    <w:p w14:paraId="11053057">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141" w:name="_Toc20343"/>
      <w:bookmarkStart w:id="142" w:name="_Toc509218713"/>
      <w:bookmarkStart w:id="143" w:name="_Toc287607749"/>
      <w:bookmarkStart w:id="144" w:name="_Toc224103320"/>
      <w:bookmarkStart w:id="145" w:name="_Toc287620688"/>
      <w:bookmarkStart w:id="146" w:name="_Toc200513129"/>
      <w:bookmarkStart w:id="147" w:name="_Toc277082555"/>
      <w:bookmarkStart w:id="148" w:name="_Toc430530438"/>
      <w:bookmarkStart w:id="149" w:name="_Toc226115528"/>
      <w:r>
        <w:rPr>
          <w:rFonts w:ascii="宋体" w:hAnsi="宋体"/>
          <w:b w:val="0"/>
          <w:snapToGrid w:val="0"/>
          <w:color w:val="000000" w:themeColor="text1"/>
          <w:sz w:val="24"/>
          <w:szCs w:val="24"/>
          <w14:textFill>
            <w14:solidFill>
              <w14:schemeClr w14:val="tx1"/>
            </w14:solidFill>
          </w14:textFill>
        </w:rPr>
        <w:t>1.3  招标范围、计划工期和质量要求</w:t>
      </w:r>
      <w:bookmarkEnd w:id="141"/>
      <w:bookmarkEnd w:id="142"/>
      <w:bookmarkEnd w:id="143"/>
      <w:bookmarkEnd w:id="144"/>
      <w:bookmarkEnd w:id="145"/>
      <w:bookmarkEnd w:id="146"/>
      <w:bookmarkEnd w:id="147"/>
      <w:bookmarkEnd w:id="148"/>
      <w:bookmarkEnd w:id="149"/>
    </w:p>
    <w:p w14:paraId="5BDAA083">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1.3.1  招标范围：见投标人须知前附表。</w:t>
      </w:r>
    </w:p>
    <w:p w14:paraId="6EF3B9D4">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1.3.2  计划工期：见投标人须知前附表。</w:t>
      </w:r>
    </w:p>
    <w:p w14:paraId="538DE081">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1.3.3  质量要求：见投标人须知前附表。</w:t>
      </w:r>
    </w:p>
    <w:p w14:paraId="43DEBBDC">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150" w:name="_Toc287607750"/>
      <w:bookmarkStart w:id="151" w:name="_Toc12701"/>
      <w:bookmarkStart w:id="152" w:name="_Toc200513130"/>
      <w:bookmarkStart w:id="153" w:name="_Toc509218714"/>
      <w:bookmarkStart w:id="154" w:name="_Toc277082556"/>
      <w:bookmarkStart w:id="155" w:name="_Toc287620689"/>
      <w:bookmarkStart w:id="156" w:name="_Toc430530439"/>
      <w:bookmarkStart w:id="157" w:name="_Toc224103321"/>
      <w:bookmarkStart w:id="158" w:name="_Toc226115529"/>
      <w:r>
        <w:rPr>
          <w:rFonts w:ascii="宋体" w:hAnsi="宋体"/>
          <w:b w:val="0"/>
          <w:snapToGrid w:val="0"/>
          <w:color w:val="000000" w:themeColor="text1"/>
          <w:sz w:val="24"/>
          <w:szCs w:val="24"/>
          <w14:textFill>
            <w14:solidFill>
              <w14:schemeClr w14:val="tx1"/>
            </w14:solidFill>
          </w14:textFill>
        </w:rPr>
        <w:t>1.4</w:t>
      </w:r>
      <w:bookmarkEnd w:id="150"/>
      <w:bookmarkEnd w:id="151"/>
      <w:bookmarkEnd w:id="152"/>
      <w:bookmarkEnd w:id="153"/>
      <w:bookmarkEnd w:id="154"/>
      <w:bookmarkEnd w:id="155"/>
      <w:bookmarkEnd w:id="156"/>
      <w:bookmarkEnd w:id="157"/>
      <w:bookmarkStart w:id="159" w:name="_Toc224103322"/>
      <w:bookmarkStart w:id="160" w:name="_Toc277082557"/>
      <w:bookmarkStart w:id="161" w:name="_Toc287607751"/>
      <w:bookmarkStart w:id="162" w:name="_Toc6715"/>
      <w:bookmarkStart w:id="163" w:name="_Toc509218715"/>
      <w:bookmarkStart w:id="164" w:name="_Toc430530440"/>
      <w:bookmarkStart w:id="165" w:name="_Toc287620690"/>
      <w:bookmarkStart w:id="166" w:name="_Toc200513131"/>
      <w:r>
        <w:rPr>
          <w:rFonts w:ascii="宋体" w:hAnsi="宋体"/>
          <w:b w:val="0"/>
          <w:snapToGrid w:val="0"/>
          <w:color w:val="000000" w:themeColor="text1"/>
          <w:sz w:val="24"/>
          <w:szCs w:val="24"/>
          <w14:textFill>
            <w14:solidFill>
              <w14:schemeClr w14:val="tx1"/>
            </w14:solidFill>
          </w14:textFill>
        </w:rPr>
        <w:t xml:space="preserve">  投标人资格要求</w:t>
      </w:r>
      <w:bookmarkEnd w:id="158"/>
      <w:bookmarkEnd w:id="159"/>
      <w:bookmarkEnd w:id="160"/>
      <w:bookmarkEnd w:id="161"/>
      <w:bookmarkEnd w:id="162"/>
      <w:bookmarkEnd w:id="163"/>
      <w:bookmarkEnd w:id="164"/>
      <w:bookmarkEnd w:id="165"/>
      <w:bookmarkEnd w:id="166"/>
    </w:p>
    <w:p w14:paraId="558CB88D">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1.4.1 投标人应具备承担本标段施工的资质条件、能力和信誉。</w:t>
      </w:r>
    </w:p>
    <w:p w14:paraId="699FC5DB">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w:t>
      </w:r>
      <w:r>
        <w:rPr>
          <w:rFonts w:ascii="宋体" w:hAnsi="宋体"/>
          <w:color w:val="000000" w:themeColor="text1"/>
          <w:szCs w:val="21"/>
          <w14:textFill>
            <w14:solidFill>
              <w14:schemeClr w14:val="tx1"/>
            </w14:solidFill>
          </w14:textFill>
        </w:rPr>
        <w:t>资质条件、</w:t>
      </w:r>
      <w:r>
        <w:rPr>
          <w:rFonts w:hint="eastAsia" w:ascii="宋体" w:hAnsi="宋体"/>
          <w:color w:val="000000" w:themeColor="text1"/>
          <w:szCs w:val="21"/>
          <w14:textFill>
            <w14:solidFill>
              <w14:schemeClr w14:val="tx1"/>
            </w14:solidFill>
          </w14:textFill>
        </w:rPr>
        <w:t>独立法人资格</w:t>
      </w:r>
      <w:r>
        <w:rPr>
          <w:rFonts w:ascii="宋体" w:hAnsi="宋体"/>
          <w:color w:val="000000" w:themeColor="text1"/>
          <w:szCs w:val="21"/>
          <w14:textFill>
            <w14:solidFill>
              <w14:schemeClr w14:val="tx1"/>
            </w14:solidFill>
          </w14:textFill>
        </w:rPr>
        <w:t>及安全生产条件</w:t>
      </w:r>
      <w:r>
        <w:rPr>
          <w:rFonts w:ascii="宋体" w:hAnsi="宋体"/>
          <w:snapToGrid w:val="0"/>
          <w:color w:val="000000" w:themeColor="text1"/>
          <w:kern w:val="0"/>
          <w:szCs w:val="21"/>
          <w14:textFill>
            <w14:solidFill>
              <w14:schemeClr w14:val="tx1"/>
            </w14:solidFill>
          </w14:textFill>
        </w:rPr>
        <w:t>：见投标人须知前附表；</w:t>
      </w:r>
    </w:p>
    <w:p w14:paraId="2784C4C6">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（2）财务要求：见投标人须知前附表；</w:t>
      </w:r>
    </w:p>
    <w:p w14:paraId="5FFBA3E1">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（3）业绩要求：见投标人须知前附表；</w:t>
      </w:r>
    </w:p>
    <w:p w14:paraId="553D1599">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（4）</w:t>
      </w:r>
      <w:r>
        <w:rPr>
          <w:rFonts w:hint="eastAsia" w:ascii="宋体" w:hAnsi="宋体"/>
          <w:snapToGrid w:val="0"/>
          <w:color w:val="000000" w:themeColor="text1"/>
          <w:kern w:val="0"/>
          <w:szCs w:val="21"/>
          <w14:textFill>
            <w14:solidFill>
              <w14:schemeClr w14:val="tx1"/>
            </w14:solidFill>
          </w14:textFill>
        </w:rPr>
        <w:t>投标截止日投标资格情况</w:t>
      </w:r>
      <w:r>
        <w:rPr>
          <w:rFonts w:ascii="宋体" w:hAnsi="宋体"/>
          <w:snapToGrid w:val="0"/>
          <w:color w:val="000000" w:themeColor="text1"/>
          <w:kern w:val="0"/>
          <w:szCs w:val="21"/>
          <w14:textFill>
            <w14:solidFill>
              <w14:schemeClr w14:val="tx1"/>
            </w14:solidFill>
          </w14:textFill>
        </w:rPr>
        <w:t>：见投标人须知前附表；</w:t>
      </w:r>
    </w:p>
    <w:p w14:paraId="1AB8B8BC">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（5）项目经理资格</w:t>
      </w:r>
      <w:r>
        <w:rPr>
          <w:rFonts w:hint="eastAsia" w:ascii="宋体" w:hAnsi="宋体"/>
          <w:snapToGrid w:val="0"/>
          <w:color w:val="000000" w:themeColor="text1"/>
          <w:kern w:val="0"/>
          <w:szCs w:val="21"/>
          <w14:textFill>
            <w14:solidFill>
              <w14:schemeClr w14:val="tx1"/>
            </w14:solidFill>
          </w14:textFill>
        </w:rPr>
        <w:t>要求</w:t>
      </w:r>
      <w:r>
        <w:rPr>
          <w:rFonts w:ascii="宋体" w:hAnsi="宋体"/>
          <w:snapToGrid w:val="0"/>
          <w:color w:val="000000" w:themeColor="text1"/>
          <w:kern w:val="0"/>
          <w:szCs w:val="21"/>
          <w14:textFill>
            <w14:solidFill>
              <w14:schemeClr w14:val="tx1"/>
            </w14:solidFill>
          </w14:textFill>
        </w:rPr>
        <w:t>：见投标人须知前附表；</w:t>
      </w:r>
    </w:p>
    <w:p w14:paraId="5D93A6A9">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（6）其他要求：见投标人须知前附表。</w:t>
      </w:r>
    </w:p>
    <w:p w14:paraId="1AA245BF">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 xml:space="preserve">1.4.2  </w:t>
      </w:r>
      <w:r>
        <w:rPr>
          <w:rFonts w:hint="eastAsia" w:ascii="宋体" w:hAnsi="宋体"/>
          <w:snapToGrid w:val="0"/>
          <w:color w:val="000000" w:themeColor="text1"/>
          <w:kern w:val="0"/>
          <w:szCs w:val="21"/>
          <w14:textFill>
            <w14:solidFill>
              <w14:schemeClr w14:val="tx1"/>
            </w14:solidFill>
          </w14:textFill>
        </w:rPr>
        <w:t>本项目不</w:t>
      </w:r>
      <w:r>
        <w:rPr>
          <w:rFonts w:ascii="宋体" w:hAnsi="宋体"/>
          <w:snapToGrid w:val="0"/>
          <w:color w:val="000000" w:themeColor="text1"/>
          <w:kern w:val="0"/>
          <w:szCs w:val="21"/>
          <w14:textFill>
            <w14:solidFill>
              <w14:schemeClr w14:val="tx1"/>
            </w14:solidFill>
          </w14:textFill>
        </w:rPr>
        <w:t>接受联合体投标。</w:t>
      </w:r>
    </w:p>
    <w:p w14:paraId="4D118100">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 xml:space="preserve">1.4.3  </w:t>
      </w:r>
      <w:bookmarkStart w:id="167" w:name="OLE_LINK9"/>
      <w:r>
        <w:rPr>
          <w:rFonts w:ascii="宋体" w:hAnsi="宋体"/>
          <w:snapToGrid w:val="0"/>
          <w:color w:val="000000" w:themeColor="text1"/>
          <w:kern w:val="0"/>
          <w:szCs w:val="21"/>
          <w14:textFill>
            <w14:solidFill>
              <w14:schemeClr w14:val="tx1"/>
            </w14:solidFill>
          </w14:textFill>
        </w:rPr>
        <w:t>投标人不得存在下列情形之一</w:t>
      </w:r>
      <w:bookmarkEnd w:id="167"/>
      <w:r>
        <w:rPr>
          <w:rFonts w:ascii="宋体" w:hAnsi="宋体"/>
          <w:snapToGrid w:val="0"/>
          <w:color w:val="000000" w:themeColor="text1"/>
          <w:kern w:val="0"/>
          <w:szCs w:val="21"/>
          <w14:textFill>
            <w14:solidFill>
              <w14:schemeClr w14:val="tx1"/>
            </w14:solidFill>
          </w14:textFill>
        </w:rPr>
        <w:t>：</w:t>
      </w:r>
    </w:p>
    <w:p w14:paraId="7418BDB1">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position w:val="-2"/>
          <w:szCs w:val="21"/>
          <w14:textFill>
            <w14:solidFill>
              <w14:schemeClr w14:val="tx1"/>
            </w14:solidFill>
          </w14:textFill>
        </w:rPr>
        <w:t>（1）与招标人存在利害关系可能影响招标公正性的法人、其他组织或者个人；</w:t>
      </w:r>
    </w:p>
    <w:p w14:paraId="7E5A412B">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（2）为本标段前期准备提供设计或咨询服务的，但设计施工总承包的除外；</w:t>
      </w:r>
    </w:p>
    <w:p w14:paraId="28674F24">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（3）为本标段的监理人；</w:t>
      </w:r>
    </w:p>
    <w:p w14:paraId="2B2839E5">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（4）为本标段的代建人；</w:t>
      </w:r>
    </w:p>
    <w:p w14:paraId="70908A76">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（5）为本标段提供招标代理服务的；</w:t>
      </w:r>
    </w:p>
    <w:p w14:paraId="69871418">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（6）与本标段的监理人或代建人或招标代理机构同为一个法定代表人的；</w:t>
      </w:r>
    </w:p>
    <w:p w14:paraId="5D4AF490">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（7）与本标段的监理人或代建人或招标代理机构</w:t>
      </w:r>
      <w:r>
        <w:rPr>
          <w:rFonts w:hint="eastAsia" w:ascii="宋体" w:hAnsi="宋体"/>
          <w:snapToGrid w:val="0"/>
          <w:color w:val="000000" w:themeColor="text1"/>
          <w:kern w:val="0"/>
          <w:szCs w:val="21"/>
          <w14:textFill>
            <w14:solidFill>
              <w14:schemeClr w14:val="tx1"/>
            </w14:solidFill>
          </w14:textFill>
        </w:rPr>
        <w:t>存在</w:t>
      </w:r>
      <w:r>
        <w:rPr>
          <w:rFonts w:ascii="宋体" w:hAnsi="宋体"/>
          <w:snapToGrid w:val="0"/>
          <w:color w:val="000000" w:themeColor="text1"/>
          <w:kern w:val="0"/>
          <w:szCs w:val="21"/>
          <w14:textFill>
            <w14:solidFill>
              <w14:schemeClr w14:val="tx1"/>
            </w14:solidFill>
          </w14:textFill>
        </w:rPr>
        <w:t>控股或参股的；</w:t>
      </w:r>
    </w:p>
    <w:p w14:paraId="3605257A">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（8）与本标段的监理人或代建人或招标代理机构相互任职或工作的；</w:t>
      </w:r>
    </w:p>
    <w:p w14:paraId="7A797957">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（9）</w:t>
      </w:r>
      <w:r>
        <w:rPr>
          <w:rFonts w:asciiTheme="minorEastAsia" w:hAnsiTheme="minorEastAsia" w:eastAsiaTheme="minorEastAsia"/>
          <w:color w:val="000000" w:themeColor="text1"/>
          <w:szCs w:val="21"/>
          <w14:textFill>
            <w14:solidFill>
              <w14:schemeClr w14:val="tx1"/>
            </w14:solidFill>
          </w14:textFill>
        </w:rPr>
        <w:t>被责令停产停业、暂扣或者吊销许可证、暂扣或者吊销执照</w:t>
      </w:r>
      <w:r>
        <w:rPr>
          <w:rFonts w:ascii="宋体" w:hAnsi="宋体"/>
          <w:snapToGrid w:val="0"/>
          <w:color w:val="000000" w:themeColor="text1"/>
          <w:kern w:val="0"/>
          <w:szCs w:val="21"/>
          <w14:textFill>
            <w14:solidFill>
              <w14:schemeClr w14:val="tx1"/>
            </w14:solidFill>
          </w14:textFill>
        </w:rPr>
        <w:t>；</w:t>
      </w:r>
    </w:p>
    <w:p w14:paraId="61B3055A">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（10）</w:t>
      </w:r>
      <w:r>
        <w:rPr>
          <w:rFonts w:hint="eastAsia" w:ascii="宋体" w:hAnsi="宋体"/>
          <w:snapToGrid w:val="0"/>
          <w:color w:val="000000" w:themeColor="text1"/>
          <w:kern w:val="0"/>
          <w:szCs w:val="21"/>
          <w14:textFill>
            <w14:solidFill>
              <w14:schemeClr w14:val="tx1"/>
            </w14:solidFill>
          </w14:textFill>
        </w:rPr>
        <w:t>被国家、重庆市（含市或任意区县）有关行政部门处以暂停投标资格行政处罚，且在处罚期限内的</w:t>
      </w:r>
      <w:r>
        <w:rPr>
          <w:rFonts w:ascii="宋体" w:hAnsi="宋体"/>
          <w:snapToGrid w:val="0"/>
          <w:color w:val="000000" w:themeColor="text1"/>
          <w:kern w:val="0"/>
          <w:szCs w:val="21"/>
          <w14:textFill>
            <w14:solidFill>
              <w14:schemeClr w14:val="tx1"/>
            </w14:solidFill>
          </w14:textFill>
        </w:rPr>
        <w:t>；</w:t>
      </w:r>
    </w:p>
    <w:p w14:paraId="1F75FAD5">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（11）</w:t>
      </w:r>
      <w:r>
        <w:rPr>
          <w:rFonts w:asciiTheme="minorEastAsia" w:hAnsiTheme="minorEastAsia" w:eastAsiaTheme="minorEastAsia"/>
          <w:color w:val="000000" w:themeColor="text1"/>
          <w:szCs w:val="21"/>
          <w14:textFill>
            <w14:solidFill>
              <w14:schemeClr w14:val="tx1"/>
            </w14:solidFill>
          </w14:textFill>
        </w:rPr>
        <w:t>进入清算程序，或被宣告破产，或其他丧失履约能力的情形</w:t>
      </w:r>
      <w:r>
        <w:rPr>
          <w:rFonts w:ascii="宋体" w:hAnsi="宋体"/>
          <w:snapToGrid w:val="0"/>
          <w:color w:val="000000" w:themeColor="text1"/>
          <w:kern w:val="0"/>
          <w:szCs w:val="21"/>
          <w14:textFill>
            <w14:solidFill>
              <w14:schemeClr w14:val="tx1"/>
            </w14:solidFill>
          </w14:textFill>
        </w:rPr>
        <w:t>；</w:t>
      </w:r>
    </w:p>
    <w:p w14:paraId="35FEE0EE">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（12）被市场监督管理机关在全国企业信用信息公示系统中列入严重违法失信企业名单；</w:t>
      </w:r>
    </w:p>
    <w:p w14:paraId="2681CFC1">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w:t>
      </w:r>
      <w:r>
        <w:rPr>
          <w:rFonts w:hint="eastAsia" w:ascii="宋体" w:hAnsi="宋体"/>
          <w:snapToGrid w:val="0"/>
          <w:color w:val="000000" w:themeColor="text1"/>
          <w:kern w:val="0"/>
          <w:szCs w:val="21"/>
          <w14:textFill>
            <w14:solidFill>
              <w14:schemeClr w14:val="tx1"/>
            </w14:solidFill>
          </w14:textFill>
        </w:rPr>
        <w:t>13</w:t>
      </w:r>
      <w:r>
        <w:rPr>
          <w:rFonts w:ascii="宋体" w:hAnsi="宋体"/>
          <w:snapToGrid w:val="0"/>
          <w:color w:val="000000" w:themeColor="text1"/>
          <w:kern w:val="0"/>
          <w:szCs w:val="21"/>
          <w14:textFill>
            <w14:solidFill>
              <w14:schemeClr w14:val="tx1"/>
            </w14:solidFill>
          </w14:textFill>
        </w:rPr>
        <w:t>）</w:t>
      </w:r>
      <w:r>
        <w:rPr>
          <w:rFonts w:ascii="宋体" w:hAnsi="宋体"/>
          <w:color w:val="000000" w:themeColor="text1"/>
          <w:szCs w:val="21"/>
          <w14:textFill>
            <w14:solidFill>
              <w14:schemeClr w14:val="tx1"/>
            </w14:solidFill>
          </w14:textFill>
        </w:rPr>
        <w:t>单位负责人为同一人或者存在控股、管理关系的不同单位，不得在同一标段中同时投标</w:t>
      </w:r>
      <w:r>
        <w:rPr>
          <w:rFonts w:hint="eastAsia" w:ascii="宋体" w:hAnsi="宋体"/>
          <w:snapToGrid w:val="0"/>
          <w:color w:val="000000" w:themeColor="text1"/>
          <w:kern w:val="0"/>
          <w:szCs w:val="21"/>
          <w14:textFill>
            <w14:solidFill>
              <w14:schemeClr w14:val="tx1"/>
            </w14:solidFill>
          </w14:textFill>
        </w:rPr>
        <w:t>；</w:t>
      </w:r>
    </w:p>
    <w:p w14:paraId="5B6DD5F2">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（14）法律法规或投标人须知前附表规定的其他情形。</w:t>
      </w:r>
    </w:p>
    <w:p w14:paraId="7DFB3AE4">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168" w:name="_Toc226115530"/>
      <w:bookmarkStart w:id="169" w:name="_Toc287620691"/>
      <w:bookmarkStart w:id="170" w:name="_Toc277082558"/>
      <w:bookmarkStart w:id="171" w:name="_Toc200513132"/>
      <w:bookmarkStart w:id="172" w:name="_Toc224103323"/>
      <w:bookmarkStart w:id="173" w:name="_Toc509218716"/>
      <w:bookmarkStart w:id="174" w:name="_Toc287607752"/>
      <w:bookmarkStart w:id="175" w:name="_Toc7453"/>
      <w:bookmarkStart w:id="176" w:name="_Toc430530441"/>
      <w:r>
        <w:rPr>
          <w:rFonts w:ascii="宋体" w:hAnsi="宋体"/>
          <w:b w:val="0"/>
          <w:snapToGrid w:val="0"/>
          <w:color w:val="000000" w:themeColor="text1"/>
          <w:sz w:val="24"/>
          <w:szCs w:val="24"/>
          <w14:textFill>
            <w14:solidFill>
              <w14:schemeClr w14:val="tx1"/>
            </w14:solidFill>
          </w14:textFill>
        </w:rPr>
        <w:t>1.5  费用承担</w:t>
      </w:r>
      <w:bookmarkEnd w:id="168"/>
      <w:bookmarkEnd w:id="169"/>
      <w:bookmarkEnd w:id="170"/>
      <w:bookmarkEnd w:id="171"/>
      <w:bookmarkEnd w:id="172"/>
      <w:bookmarkEnd w:id="173"/>
      <w:bookmarkEnd w:id="174"/>
      <w:bookmarkEnd w:id="175"/>
      <w:bookmarkEnd w:id="176"/>
    </w:p>
    <w:p w14:paraId="61BCCB17">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投标人准备和参加投标活动发生的费用自理。</w:t>
      </w:r>
    </w:p>
    <w:p w14:paraId="67B2D6A3">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177" w:name="_Toc287620692"/>
      <w:bookmarkStart w:id="178" w:name="_Toc226115531"/>
      <w:bookmarkStart w:id="179" w:name="_Toc224103324"/>
      <w:bookmarkStart w:id="180" w:name="_Toc277082559"/>
      <w:bookmarkStart w:id="181" w:name="_Toc200513133"/>
      <w:bookmarkStart w:id="182" w:name="_Toc24694"/>
      <w:bookmarkStart w:id="183" w:name="_Toc509218717"/>
      <w:bookmarkStart w:id="184" w:name="_Toc430530442"/>
      <w:bookmarkStart w:id="185" w:name="_Toc287607753"/>
      <w:r>
        <w:rPr>
          <w:rFonts w:ascii="宋体" w:hAnsi="宋体"/>
          <w:b w:val="0"/>
          <w:snapToGrid w:val="0"/>
          <w:color w:val="000000" w:themeColor="text1"/>
          <w:sz w:val="24"/>
          <w:szCs w:val="24"/>
          <w14:textFill>
            <w14:solidFill>
              <w14:schemeClr w14:val="tx1"/>
            </w14:solidFill>
          </w14:textFill>
        </w:rPr>
        <w:t>1.6  保密</w:t>
      </w:r>
      <w:bookmarkEnd w:id="177"/>
      <w:bookmarkEnd w:id="178"/>
      <w:bookmarkEnd w:id="179"/>
      <w:bookmarkEnd w:id="180"/>
      <w:bookmarkEnd w:id="181"/>
      <w:bookmarkEnd w:id="182"/>
      <w:bookmarkEnd w:id="183"/>
      <w:bookmarkEnd w:id="184"/>
      <w:bookmarkEnd w:id="185"/>
    </w:p>
    <w:p w14:paraId="5AA02BEB">
      <w:pPr>
        <w:autoSpaceDE w:val="0"/>
        <w:autoSpaceDN w:val="0"/>
        <w:adjustRightInd w:val="0"/>
        <w:snapToGrid w:val="0"/>
        <w:spacing w:line="360" w:lineRule="auto"/>
        <w:ind w:firstLine="42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参与招标投标活动的各方应对竞争性比选文件和投标文件中的商业和技术等秘密保密，违者应对由此造成的后果承担法律责任。</w:t>
      </w:r>
    </w:p>
    <w:p w14:paraId="6A1ACD3A">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186" w:name="_Toc287607754"/>
      <w:bookmarkStart w:id="187" w:name="_Toc226115532"/>
      <w:bookmarkStart w:id="188" w:name="_Toc200513134"/>
      <w:bookmarkStart w:id="189" w:name="_Toc287620693"/>
      <w:bookmarkStart w:id="190" w:name="_Toc224103325"/>
      <w:bookmarkStart w:id="191" w:name="_Toc430530443"/>
      <w:bookmarkStart w:id="192" w:name="_Toc277082560"/>
      <w:bookmarkStart w:id="193" w:name="_Toc509218718"/>
      <w:bookmarkStart w:id="194" w:name="_Toc27614"/>
      <w:r>
        <w:rPr>
          <w:rFonts w:ascii="宋体" w:hAnsi="宋体"/>
          <w:b w:val="0"/>
          <w:snapToGrid w:val="0"/>
          <w:color w:val="000000" w:themeColor="text1"/>
          <w:sz w:val="24"/>
          <w:szCs w:val="24"/>
          <w14:textFill>
            <w14:solidFill>
              <w14:schemeClr w14:val="tx1"/>
            </w14:solidFill>
          </w14:textFill>
        </w:rPr>
        <w:t>1.7  语言文字</w:t>
      </w:r>
      <w:bookmarkEnd w:id="186"/>
      <w:bookmarkEnd w:id="187"/>
      <w:bookmarkEnd w:id="188"/>
      <w:bookmarkEnd w:id="189"/>
      <w:bookmarkEnd w:id="190"/>
      <w:bookmarkEnd w:id="191"/>
      <w:bookmarkEnd w:id="192"/>
      <w:bookmarkEnd w:id="193"/>
      <w:bookmarkEnd w:id="194"/>
    </w:p>
    <w:p w14:paraId="2AD00F9C">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除专用术语外，与招标投标有关的语言均使用中文。必要时专用术语应附有中文注释。</w:t>
      </w:r>
    </w:p>
    <w:p w14:paraId="678BDCFF">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195" w:name="_Toc277082561"/>
      <w:bookmarkStart w:id="196" w:name="_Toc287620694"/>
      <w:bookmarkStart w:id="197" w:name="_Toc226115533"/>
      <w:bookmarkStart w:id="198" w:name="_Toc200513135"/>
      <w:bookmarkStart w:id="199" w:name="_Toc224103326"/>
      <w:bookmarkStart w:id="200" w:name="_Toc509218719"/>
      <w:bookmarkStart w:id="201" w:name="_Toc23811"/>
      <w:bookmarkStart w:id="202" w:name="_Toc287607755"/>
      <w:bookmarkStart w:id="203" w:name="_Toc430530444"/>
      <w:r>
        <w:rPr>
          <w:rFonts w:ascii="宋体" w:hAnsi="宋体"/>
          <w:b w:val="0"/>
          <w:snapToGrid w:val="0"/>
          <w:color w:val="000000" w:themeColor="text1"/>
          <w:sz w:val="24"/>
          <w:szCs w:val="24"/>
          <w14:textFill>
            <w14:solidFill>
              <w14:schemeClr w14:val="tx1"/>
            </w14:solidFill>
          </w14:textFill>
        </w:rPr>
        <w:t>1.8  计量单位</w:t>
      </w:r>
      <w:bookmarkEnd w:id="195"/>
      <w:bookmarkEnd w:id="196"/>
      <w:bookmarkEnd w:id="197"/>
      <w:bookmarkEnd w:id="198"/>
      <w:bookmarkEnd w:id="199"/>
      <w:bookmarkEnd w:id="200"/>
      <w:bookmarkEnd w:id="201"/>
      <w:bookmarkEnd w:id="202"/>
      <w:bookmarkEnd w:id="203"/>
    </w:p>
    <w:p w14:paraId="15A9563A">
      <w:pPr>
        <w:autoSpaceDE w:val="0"/>
        <w:autoSpaceDN w:val="0"/>
        <w:adjustRightInd w:val="0"/>
        <w:snapToGrid w:val="0"/>
        <w:spacing w:line="360" w:lineRule="auto"/>
        <w:ind w:firstLine="424" w:firstLineChars="202"/>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所有计量均采用中华人民共和国法定计量单位。</w:t>
      </w:r>
    </w:p>
    <w:p w14:paraId="1EFC8101">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204" w:name="_Toc200513136"/>
      <w:bookmarkStart w:id="205" w:name="_Toc21614"/>
      <w:bookmarkStart w:id="206" w:name="_Toc430530445"/>
      <w:bookmarkStart w:id="207" w:name="_Toc277082562"/>
      <w:bookmarkStart w:id="208" w:name="_Toc226115534"/>
      <w:bookmarkStart w:id="209" w:name="_Toc287620695"/>
      <w:bookmarkStart w:id="210" w:name="_Toc287607756"/>
      <w:bookmarkStart w:id="211" w:name="_Toc224103327"/>
      <w:bookmarkStart w:id="212" w:name="_Toc509218720"/>
      <w:r>
        <w:rPr>
          <w:rFonts w:ascii="宋体" w:hAnsi="宋体"/>
          <w:b w:val="0"/>
          <w:snapToGrid w:val="0"/>
          <w:color w:val="000000" w:themeColor="text1"/>
          <w:sz w:val="24"/>
          <w:szCs w:val="24"/>
          <w14:textFill>
            <w14:solidFill>
              <w14:schemeClr w14:val="tx1"/>
            </w14:solidFill>
          </w14:textFill>
        </w:rPr>
        <w:t>1.9  踏勘现场</w:t>
      </w:r>
      <w:bookmarkEnd w:id="204"/>
      <w:bookmarkEnd w:id="205"/>
      <w:bookmarkEnd w:id="206"/>
      <w:bookmarkEnd w:id="207"/>
      <w:bookmarkEnd w:id="208"/>
      <w:bookmarkEnd w:id="209"/>
      <w:bookmarkEnd w:id="210"/>
      <w:bookmarkEnd w:id="211"/>
      <w:bookmarkEnd w:id="212"/>
    </w:p>
    <w:p w14:paraId="3D93DD38">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1.9.1  投标人须知前附表规定组织踏勘现场的，招标人按投标人须知前附表规定的时间、 地点组织投标人踏勘项目现场。</w:t>
      </w:r>
    </w:p>
    <w:p w14:paraId="3D343A98">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1.9.2  投标人踏勘现场发生的费用自理。</w:t>
      </w:r>
    </w:p>
    <w:p w14:paraId="2F8AF4FF">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1.9.3  除招标人的原因外，投标人自行负责在踏勘现场中所发生的人员伤亡和财产损失。</w:t>
      </w:r>
    </w:p>
    <w:p w14:paraId="7E61A59B">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1.9.4  招标人在踏勘现场中介绍的工程场地和相关的周边环境情况，供投标人在编制投标文件时参考，招标人不对投标人据此做出的判断和决策负责。</w:t>
      </w:r>
    </w:p>
    <w:p w14:paraId="6B63F814">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213" w:name="_Toc287620696"/>
      <w:bookmarkStart w:id="214" w:name="_Toc16076"/>
      <w:bookmarkStart w:id="215" w:name="_Toc224103328"/>
      <w:bookmarkStart w:id="216" w:name="_Toc226115535"/>
      <w:bookmarkStart w:id="217" w:name="_Toc277082563"/>
      <w:bookmarkStart w:id="218" w:name="_Toc287607757"/>
      <w:bookmarkStart w:id="219" w:name="_Toc200513137"/>
      <w:bookmarkStart w:id="220" w:name="_Toc509218721"/>
      <w:bookmarkStart w:id="221" w:name="_Toc430530446"/>
      <w:r>
        <w:rPr>
          <w:rFonts w:ascii="宋体" w:hAnsi="宋体"/>
          <w:b w:val="0"/>
          <w:snapToGrid w:val="0"/>
          <w:color w:val="000000" w:themeColor="text1"/>
          <w:sz w:val="24"/>
          <w:szCs w:val="24"/>
          <w14:textFill>
            <w14:solidFill>
              <w14:schemeClr w14:val="tx1"/>
            </w14:solidFill>
          </w14:textFill>
        </w:rPr>
        <w:t>1.10  投标预备会</w:t>
      </w:r>
      <w:bookmarkEnd w:id="213"/>
      <w:bookmarkEnd w:id="214"/>
      <w:bookmarkEnd w:id="215"/>
      <w:bookmarkEnd w:id="216"/>
      <w:bookmarkEnd w:id="217"/>
      <w:bookmarkEnd w:id="218"/>
      <w:bookmarkEnd w:id="219"/>
      <w:bookmarkEnd w:id="220"/>
      <w:bookmarkEnd w:id="221"/>
    </w:p>
    <w:p w14:paraId="4795A1E8">
      <w:pPr>
        <w:autoSpaceDE w:val="0"/>
        <w:autoSpaceDN w:val="0"/>
        <w:adjustRightInd w:val="0"/>
        <w:snapToGrid w:val="0"/>
        <w:spacing w:line="360" w:lineRule="auto"/>
        <w:ind w:firstLine="42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1.10.1  投标人须知前附表规定召开投标预备会的，招标人按投标人须知前附表规定的时间和地点召开投标预备会，澄清投标人提出的问题。</w:t>
      </w:r>
    </w:p>
    <w:p w14:paraId="267C228B">
      <w:pPr>
        <w:autoSpaceDE w:val="0"/>
        <w:autoSpaceDN w:val="0"/>
        <w:adjustRightInd w:val="0"/>
        <w:snapToGrid w:val="0"/>
        <w:spacing w:line="360" w:lineRule="auto"/>
        <w:ind w:firstLine="42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1.10.2  投标人应在投标人须知前附表第</w:t>
      </w:r>
      <w:r>
        <w:rPr>
          <w:rFonts w:ascii="宋体" w:hAnsi="宋体"/>
          <w:color w:val="000000" w:themeColor="text1"/>
          <w:kern w:val="0"/>
          <w:szCs w:val="21"/>
          <w14:textFill>
            <w14:solidFill>
              <w14:schemeClr w14:val="tx1"/>
            </w14:solidFill>
          </w14:textFill>
        </w:rPr>
        <w:t>2.2.4项</w:t>
      </w:r>
      <w:r>
        <w:rPr>
          <w:rFonts w:ascii="宋体" w:hAnsi="宋体"/>
          <w:snapToGrid w:val="0"/>
          <w:color w:val="000000" w:themeColor="text1"/>
          <w:kern w:val="0"/>
          <w:szCs w:val="21"/>
          <w14:textFill>
            <w14:solidFill>
              <w14:schemeClr w14:val="tx1"/>
            </w14:solidFill>
          </w14:textFill>
        </w:rPr>
        <w:t>规定的时间前，以书面形式将提出的问题送达招标人，以便招标人澄清。</w:t>
      </w:r>
    </w:p>
    <w:p w14:paraId="2B1C77C2">
      <w:pPr>
        <w:autoSpaceDE w:val="0"/>
        <w:autoSpaceDN w:val="0"/>
        <w:adjustRightInd w:val="0"/>
        <w:snapToGrid w:val="0"/>
        <w:spacing w:line="360" w:lineRule="auto"/>
        <w:ind w:firstLine="424" w:firstLineChars="202"/>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1.10.3  招标人在投标人须知前附表规定的时间内，将对投标人所提</w:t>
      </w:r>
      <w:r>
        <w:rPr>
          <w:rFonts w:ascii="宋体" w:hAnsi="宋体"/>
          <w:snapToGrid w:val="0"/>
          <w:color w:val="000000" w:themeColor="text1"/>
          <w:kern w:val="0"/>
          <w:position w:val="-2"/>
          <w:szCs w:val="21"/>
          <w14:textFill>
            <w14:solidFill>
              <w14:schemeClr w14:val="tx1"/>
            </w14:solidFill>
          </w14:textFill>
        </w:rPr>
        <w:t>的</w:t>
      </w:r>
      <w:r>
        <w:rPr>
          <w:rFonts w:ascii="宋体" w:hAnsi="宋体"/>
          <w:snapToGrid w:val="0"/>
          <w:color w:val="000000" w:themeColor="text1"/>
          <w:kern w:val="0"/>
          <w:szCs w:val="21"/>
          <w14:textFill>
            <w14:solidFill>
              <w14:schemeClr w14:val="tx1"/>
            </w14:solidFill>
          </w14:textFill>
        </w:rPr>
        <w:t>问题</w:t>
      </w:r>
      <w:r>
        <w:rPr>
          <w:rFonts w:ascii="宋体" w:hAnsi="宋体"/>
          <w:snapToGrid w:val="0"/>
          <w:color w:val="000000" w:themeColor="text1"/>
          <w:kern w:val="0"/>
          <w:position w:val="-2"/>
          <w:szCs w:val="21"/>
          <w14:textFill>
            <w14:solidFill>
              <w14:schemeClr w14:val="tx1"/>
            </w14:solidFill>
          </w14:textFill>
        </w:rPr>
        <w:t>进行澄清。该澄清内容为竞争性比选文件的组成部分。</w:t>
      </w:r>
    </w:p>
    <w:p w14:paraId="2E2F848B">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222" w:name="_Toc277082564"/>
      <w:bookmarkStart w:id="223" w:name="_Toc200513138"/>
      <w:bookmarkStart w:id="224" w:name="_Toc14914"/>
      <w:bookmarkStart w:id="225" w:name="_Toc224103329"/>
      <w:bookmarkStart w:id="226" w:name="_Toc287620697"/>
      <w:bookmarkStart w:id="227" w:name="_Toc226115536"/>
      <w:bookmarkStart w:id="228" w:name="_Toc509218722"/>
      <w:bookmarkStart w:id="229" w:name="_Toc430530447"/>
      <w:bookmarkStart w:id="230" w:name="_Toc287607758"/>
      <w:r>
        <w:rPr>
          <w:rFonts w:ascii="宋体" w:hAnsi="宋体"/>
          <w:b w:val="0"/>
          <w:snapToGrid w:val="0"/>
          <w:color w:val="000000" w:themeColor="text1"/>
          <w:sz w:val="24"/>
          <w:szCs w:val="24"/>
          <w14:textFill>
            <w14:solidFill>
              <w14:schemeClr w14:val="tx1"/>
            </w14:solidFill>
          </w14:textFill>
        </w:rPr>
        <w:t>1.11  分包</w:t>
      </w:r>
      <w:bookmarkEnd w:id="222"/>
      <w:bookmarkEnd w:id="223"/>
      <w:bookmarkEnd w:id="224"/>
      <w:bookmarkEnd w:id="225"/>
      <w:bookmarkEnd w:id="226"/>
      <w:bookmarkEnd w:id="227"/>
      <w:bookmarkEnd w:id="228"/>
      <w:bookmarkEnd w:id="229"/>
      <w:bookmarkEnd w:id="230"/>
    </w:p>
    <w:p w14:paraId="092E1310">
      <w:pPr>
        <w:autoSpaceDE w:val="0"/>
        <w:autoSpaceDN w:val="0"/>
        <w:adjustRightInd w:val="0"/>
        <w:snapToGrid w:val="0"/>
        <w:spacing w:line="360" w:lineRule="auto"/>
        <w:ind w:firstLine="426"/>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本项目不允许分包.</w:t>
      </w:r>
    </w:p>
    <w:p w14:paraId="11243DB8">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231" w:name="_Toc21219"/>
      <w:bookmarkStart w:id="232" w:name="_Toc509218723"/>
      <w:bookmarkStart w:id="233" w:name="_Toc287607759"/>
      <w:bookmarkStart w:id="234" w:name="_Toc430530448"/>
      <w:bookmarkStart w:id="235" w:name="_Toc226115537"/>
      <w:bookmarkStart w:id="236" w:name="_Toc277082565"/>
      <w:bookmarkStart w:id="237" w:name="_Toc224103330"/>
      <w:bookmarkStart w:id="238" w:name="_Toc287620698"/>
      <w:bookmarkStart w:id="239" w:name="_Toc200513139"/>
      <w:r>
        <w:rPr>
          <w:rFonts w:ascii="宋体" w:hAnsi="宋体"/>
          <w:b w:val="0"/>
          <w:snapToGrid w:val="0"/>
          <w:color w:val="000000" w:themeColor="text1"/>
          <w:sz w:val="24"/>
          <w:szCs w:val="24"/>
          <w14:textFill>
            <w14:solidFill>
              <w14:schemeClr w14:val="tx1"/>
            </w14:solidFill>
          </w14:textFill>
        </w:rPr>
        <w:t>1.12  偏离</w:t>
      </w:r>
      <w:bookmarkEnd w:id="231"/>
      <w:bookmarkEnd w:id="232"/>
      <w:bookmarkEnd w:id="233"/>
      <w:bookmarkEnd w:id="234"/>
      <w:bookmarkEnd w:id="235"/>
      <w:bookmarkEnd w:id="236"/>
      <w:bookmarkEnd w:id="237"/>
      <w:bookmarkEnd w:id="238"/>
      <w:bookmarkEnd w:id="239"/>
    </w:p>
    <w:p w14:paraId="0BC48FB2">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投标人须知前附表允许投标文件偏离竞争性比选文件某些要求的，偏离应当符合竞争性比选文件规定 的偏离范围和幅度。</w:t>
      </w:r>
    </w:p>
    <w:p w14:paraId="5ADDBD33">
      <w:pPr>
        <w:pStyle w:val="4"/>
        <w:spacing w:before="0" w:after="0" w:line="360" w:lineRule="auto"/>
        <w:rPr>
          <w:rFonts w:hint="eastAsia" w:ascii="宋体" w:hAnsi="宋体"/>
          <w:b w:val="0"/>
          <w:snapToGrid w:val="0"/>
          <w:color w:val="000000" w:themeColor="text1"/>
          <w14:textFill>
            <w14:solidFill>
              <w14:schemeClr w14:val="tx1"/>
            </w14:solidFill>
          </w14:textFill>
        </w:rPr>
      </w:pPr>
      <w:bookmarkStart w:id="240" w:name="_Toc430530449"/>
      <w:bookmarkStart w:id="241" w:name="_Toc224103331"/>
      <w:bookmarkStart w:id="242" w:name="_Toc200513140"/>
      <w:bookmarkStart w:id="243" w:name="_Toc287607760"/>
      <w:bookmarkStart w:id="244" w:name="_Toc30694"/>
      <w:bookmarkStart w:id="245" w:name="_Toc509218724"/>
      <w:bookmarkStart w:id="246" w:name="_Toc287620699"/>
      <w:bookmarkStart w:id="247" w:name="_Toc277082566"/>
      <w:bookmarkStart w:id="248" w:name="_Toc226115538"/>
      <w:r>
        <w:rPr>
          <w:rFonts w:ascii="宋体" w:hAnsi="宋体"/>
          <w:b w:val="0"/>
          <w:snapToGrid w:val="0"/>
          <w:color w:val="000000" w:themeColor="text1"/>
          <w14:textFill>
            <w14:solidFill>
              <w14:schemeClr w14:val="tx1"/>
            </w14:solidFill>
          </w14:textFill>
        </w:rPr>
        <w:t>2.  竞争性比选文件</w:t>
      </w:r>
      <w:bookmarkEnd w:id="240"/>
      <w:bookmarkEnd w:id="241"/>
      <w:bookmarkEnd w:id="242"/>
      <w:bookmarkEnd w:id="243"/>
      <w:bookmarkEnd w:id="244"/>
      <w:bookmarkEnd w:id="245"/>
      <w:bookmarkEnd w:id="246"/>
      <w:bookmarkEnd w:id="247"/>
      <w:bookmarkEnd w:id="248"/>
    </w:p>
    <w:p w14:paraId="0D13C9B1">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249" w:name="_Toc287607761"/>
      <w:bookmarkStart w:id="250" w:name="_Toc509218725"/>
      <w:bookmarkStart w:id="251" w:name="_Toc226115539"/>
      <w:bookmarkStart w:id="252" w:name="_Toc287620700"/>
      <w:bookmarkStart w:id="253" w:name="_Toc224103332"/>
      <w:bookmarkStart w:id="254" w:name="_Toc277082567"/>
      <w:bookmarkStart w:id="255" w:name="_Toc200513141"/>
      <w:bookmarkStart w:id="256" w:name="_Toc430530450"/>
      <w:bookmarkStart w:id="257" w:name="_Toc19546"/>
      <w:r>
        <w:rPr>
          <w:rFonts w:ascii="宋体" w:hAnsi="宋体"/>
          <w:b w:val="0"/>
          <w:snapToGrid w:val="0"/>
          <w:color w:val="000000" w:themeColor="text1"/>
          <w:sz w:val="24"/>
          <w:szCs w:val="24"/>
          <w14:textFill>
            <w14:solidFill>
              <w14:schemeClr w14:val="tx1"/>
            </w14:solidFill>
          </w14:textFill>
        </w:rPr>
        <w:t>2.1  竞争性比选文件的组成</w:t>
      </w:r>
      <w:bookmarkEnd w:id="249"/>
      <w:bookmarkEnd w:id="250"/>
      <w:bookmarkEnd w:id="251"/>
      <w:bookmarkEnd w:id="252"/>
      <w:bookmarkEnd w:id="253"/>
      <w:bookmarkEnd w:id="254"/>
      <w:bookmarkEnd w:id="255"/>
      <w:bookmarkEnd w:id="256"/>
      <w:bookmarkEnd w:id="257"/>
    </w:p>
    <w:p w14:paraId="5568B851">
      <w:pPr>
        <w:autoSpaceDE w:val="0"/>
        <w:autoSpaceDN w:val="0"/>
        <w:adjustRightInd w:val="0"/>
        <w:snapToGrid w:val="0"/>
        <w:spacing w:line="360" w:lineRule="auto"/>
        <w:ind w:left="359" w:leftChars="171"/>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本竞争性比选文件包括：</w:t>
      </w:r>
    </w:p>
    <w:p w14:paraId="19F8A7D0">
      <w:pPr>
        <w:autoSpaceDE w:val="0"/>
        <w:autoSpaceDN w:val="0"/>
        <w:adjustRightInd w:val="0"/>
        <w:snapToGrid w:val="0"/>
        <w:spacing w:line="360" w:lineRule="auto"/>
        <w:ind w:left="359" w:leftChars="171"/>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（1）竞争性比选公告；</w:t>
      </w:r>
    </w:p>
    <w:p w14:paraId="4CAAC4B8">
      <w:pPr>
        <w:autoSpaceDE w:val="0"/>
        <w:autoSpaceDN w:val="0"/>
        <w:adjustRightInd w:val="0"/>
        <w:snapToGrid w:val="0"/>
        <w:spacing w:line="360" w:lineRule="auto"/>
        <w:ind w:left="359" w:leftChars="171"/>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（2）投标人须知；</w:t>
      </w:r>
    </w:p>
    <w:p w14:paraId="260D8A1F">
      <w:pPr>
        <w:autoSpaceDE w:val="0"/>
        <w:autoSpaceDN w:val="0"/>
        <w:adjustRightInd w:val="0"/>
        <w:snapToGrid w:val="0"/>
        <w:spacing w:line="360" w:lineRule="auto"/>
        <w:ind w:left="359" w:leftChars="171"/>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（3）评标办法；</w:t>
      </w:r>
    </w:p>
    <w:p w14:paraId="081D7025">
      <w:pPr>
        <w:autoSpaceDE w:val="0"/>
        <w:autoSpaceDN w:val="0"/>
        <w:adjustRightInd w:val="0"/>
        <w:snapToGrid w:val="0"/>
        <w:spacing w:line="360" w:lineRule="auto"/>
        <w:ind w:left="359" w:leftChars="171"/>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（4）合同条款及格式；</w:t>
      </w:r>
    </w:p>
    <w:p w14:paraId="1DE077F7">
      <w:pPr>
        <w:autoSpaceDE w:val="0"/>
        <w:autoSpaceDN w:val="0"/>
        <w:adjustRightInd w:val="0"/>
        <w:snapToGrid w:val="0"/>
        <w:spacing w:line="360" w:lineRule="auto"/>
        <w:ind w:left="359" w:leftChars="171"/>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（5）工程量清单；</w:t>
      </w:r>
    </w:p>
    <w:p w14:paraId="6E669880">
      <w:pPr>
        <w:autoSpaceDE w:val="0"/>
        <w:autoSpaceDN w:val="0"/>
        <w:adjustRightInd w:val="0"/>
        <w:snapToGrid w:val="0"/>
        <w:spacing w:line="360" w:lineRule="auto"/>
        <w:ind w:left="359" w:leftChars="171"/>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（6）图纸；</w:t>
      </w:r>
    </w:p>
    <w:p w14:paraId="7628710B">
      <w:pPr>
        <w:autoSpaceDE w:val="0"/>
        <w:autoSpaceDN w:val="0"/>
        <w:adjustRightInd w:val="0"/>
        <w:snapToGrid w:val="0"/>
        <w:spacing w:line="360" w:lineRule="auto"/>
        <w:ind w:left="359" w:leftChars="171"/>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（7）技术标准和要求；</w:t>
      </w:r>
    </w:p>
    <w:p w14:paraId="4BF836B2">
      <w:pPr>
        <w:autoSpaceDE w:val="0"/>
        <w:autoSpaceDN w:val="0"/>
        <w:adjustRightInd w:val="0"/>
        <w:snapToGrid w:val="0"/>
        <w:spacing w:line="360" w:lineRule="auto"/>
        <w:ind w:left="359" w:leftChars="171"/>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（8）投标文件格式；</w:t>
      </w:r>
    </w:p>
    <w:p w14:paraId="3C91FA89">
      <w:pPr>
        <w:autoSpaceDE w:val="0"/>
        <w:autoSpaceDN w:val="0"/>
        <w:adjustRightInd w:val="0"/>
        <w:snapToGrid w:val="0"/>
        <w:spacing w:line="360" w:lineRule="auto"/>
        <w:ind w:left="359" w:leftChars="171"/>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（9）投标人须知前附表规定的其他材料。</w:t>
      </w:r>
    </w:p>
    <w:p w14:paraId="5D0B1BEF">
      <w:pPr>
        <w:autoSpaceDE w:val="0"/>
        <w:autoSpaceDN w:val="0"/>
        <w:adjustRightInd w:val="0"/>
        <w:snapToGrid w:val="0"/>
        <w:spacing w:line="360" w:lineRule="auto"/>
        <w:ind w:firstLine="42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根据本章第1.10款、第2.2款和第2.3款对竞争性比选文件所作的澄清、修改，构成竞争性比选文件的组成部分。</w:t>
      </w:r>
    </w:p>
    <w:p w14:paraId="493A6364">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258" w:name="_Toc226115540"/>
      <w:bookmarkStart w:id="259" w:name="_Toc5111"/>
      <w:bookmarkStart w:id="260" w:name="_Toc430530451"/>
      <w:bookmarkStart w:id="261" w:name="_Toc509218726"/>
      <w:r>
        <w:rPr>
          <w:rFonts w:ascii="宋体" w:hAnsi="宋体"/>
          <w:b w:val="0"/>
          <w:snapToGrid w:val="0"/>
          <w:color w:val="000000" w:themeColor="text1"/>
          <w:sz w:val="24"/>
          <w:szCs w:val="24"/>
          <w14:textFill>
            <w14:solidFill>
              <w14:schemeClr w14:val="tx1"/>
            </w14:solidFill>
          </w14:textFill>
        </w:rPr>
        <w:t>2.2  竞争性比选文件的澄清</w:t>
      </w:r>
      <w:bookmarkEnd w:id="258"/>
      <w:bookmarkEnd w:id="259"/>
      <w:bookmarkEnd w:id="260"/>
      <w:bookmarkEnd w:id="261"/>
    </w:p>
    <w:p w14:paraId="7A66199E">
      <w:pPr>
        <w:autoSpaceDE w:val="0"/>
        <w:autoSpaceDN w:val="0"/>
        <w:adjustRightInd w:val="0"/>
        <w:snapToGrid w:val="0"/>
        <w:spacing w:line="360" w:lineRule="auto"/>
        <w:ind w:firstLine="42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2.2.1  投标人应仔细阅读和检查竞争性比选文件的全部内容。如发现缺页或附件不全，应及时向招标人提出，以便补齐。如有疑问，应在投标人须知前附表规定的时间前</w:t>
      </w:r>
      <w:r>
        <w:rPr>
          <w:rFonts w:ascii="宋体" w:hAnsi="宋体"/>
          <w:color w:val="000000" w:themeColor="text1"/>
          <w:kern w:val="0"/>
          <w:szCs w:val="21"/>
          <w14:textFill>
            <w14:solidFill>
              <w14:schemeClr w14:val="tx1"/>
            </w14:solidFill>
          </w14:textFill>
        </w:rPr>
        <w:t>在</w:t>
      </w:r>
      <w:r>
        <w:rPr>
          <w:rFonts w:hint="eastAsia" w:ascii="宋体" w:hAnsi="宋体"/>
          <w:color w:val="000000" w:themeColor="text1"/>
          <w:kern w:val="0"/>
          <w:szCs w:val="21"/>
          <w14:textFill>
            <w14:solidFill>
              <w14:schemeClr w14:val="tx1"/>
            </w14:solidFill>
          </w14:textFill>
        </w:rPr>
        <w:t>相应法定网站提问</w:t>
      </w:r>
      <w:r>
        <w:rPr>
          <w:rFonts w:ascii="宋体" w:hAnsi="宋体"/>
          <w:snapToGrid w:val="0"/>
          <w:color w:val="000000" w:themeColor="text1"/>
          <w:kern w:val="0"/>
          <w:szCs w:val="21"/>
          <w14:textFill>
            <w14:solidFill>
              <w14:schemeClr w14:val="tx1"/>
            </w14:solidFill>
          </w14:textFill>
        </w:rPr>
        <w:t>，要求招标人对竞争性比选文件予以澄清。</w:t>
      </w:r>
    </w:p>
    <w:p w14:paraId="167F4BD5">
      <w:pPr>
        <w:autoSpaceDE w:val="0"/>
        <w:autoSpaceDN w:val="0"/>
        <w:adjustRightInd w:val="0"/>
        <w:snapToGrid w:val="0"/>
        <w:spacing w:line="360" w:lineRule="auto"/>
        <w:ind w:firstLine="42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2.2.2  竞争性比选文件的澄清将在投标人须知前附表规定的投标截止时间</w:t>
      </w:r>
      <w:r>
        <w:rPr>
          <w:rFonts w:hint="eastAsia" w:ascii="宋体" w:hAnsi="宋体"/>
          <w:snapToGrid w:val="0"/>
          <w:color w:val="000000" w:themeColor="text1"/>
          <w:kern w:val="0"/>
          <w:szCs w:val="21"/>
          <w14:textFill>
            <w14:solidFill>
              <w14:schemeClr w14:val="tx1"/>
            </w14:solidFill>
          </w14:textFill>
        </w:rPr>
        <w:t>3</w:t>
      </w:r>
      <w:r>
        <w:rPr>
          <w:rFonts w:ascii="宋体" w:hAnsi="宋体"/>
          <w:snapToGrid w:val="0"/>
          <w:color w:val="000000" w:themeColor="text1"/>
          <w:kern w:val="0"/>
          <w:szCs w:val="21"/>
          <w14:textFill>
            <w14:solidFill>
              <w14:schemeClr w14:val="tx1"/>
            </w14:solidFill>
          </w14:textFill>
        </w:rPr>
        <w:t>天前</w:t>
      </w:r>
      <w:r>
        <w:rPr>
          <w:rFonts w:ascii="宋体" w:hAnsi="宋体"/>
          <w:color w:val="000000" w:themeColor="text1"/>
          <w:kern w:val="0"/>
          <w:szCs w:val="21"/>
          <w14:textFill>
            <w14:solidFill>
              <w14:schemeClr w14:val="tx1"/>
            </w14:solidFill>
          </w14:textFill>
        </w:rPr>
        <w:t>在</w:t>
      </w:r>
      <w:r>
        <w:rPr>
          <w:rFonts w:hint="eastAsia" w:ascii="宋体" w:hAnsi="宋体"/>
          <w:color w:val="000000" w:themeColor="text1"/>
          <w:kern w:val="0"/>
          <w:szCs w:val="21"/>
          <w14:textFill>
            <w14:solidFill>
              <w14:schemeClr w14:val="tx1"/>
            </w14:solidFill>
          </w14:textFill>
        </w:rPr>
        <w:t>相应法定网站</w:t>
      </w:r>
      <w:r>
        <w:rPr>
          <w:rFonts w:ascii="宋体" w:hAnsi="宋体"/>
          <w:color w:val="000000" w:themeColor="text1"/>
          <w:kern w:val="0"/>
          <w:szCs w:val="21"/>
          <w14:textFill>
            <w14:solidFill>
              <w14:schemeClr w14:val="tx1"/>
            </w14:solidFill>
          </w14:textFill>
        </w:rPr>
        <w:t>发布，</w:t>
      </w:r>
      <w:r>
        <w:rPr>
          <w:rFonts w:ascii="宋体" w:hAnsi="宋体"/>
          <w:snapToGrid w:val="0"/>
          <w:color w:val="000000" w:themeColor="text1"/>
          <w:kern w:val="0"/>
          <w:szCs w:val="21"/>
          <w14:textFill>
            <w14:solidFill>
              <w14:schemeClr w14:val="tx1"/>
            </w14:solidFill>
          </w14:textFill>
        </w:rPr>
        <w:t>但不指明澄清问题的来源。如果澄清发出的时间距投标截止时间不足</w:t>
      </w:r>
      <w:r>
        <w:rPr>
          <w:rFonts w:hint="eastAsia" w:ascii="宋体" w:hAnsi="宋体"/>
          <w:snapToGrid w:val="0"/>
          <w:color w:val="000000" w:themeColor="text1"/>
          <w:kern w:val="0"/>
          <w:szCs w:val="21"/>
          <w14:textFill>
            <w14:solidFill>
              <w14:schemeClr w14:val="tx1"/>
            </w14:solidFill>
          </w14:textFill>
        </w:rPr>
        <w:t>3</w:t>
      </w:r>
      <w:r>
        <w:rPr>
          <w:rFonts w:ascii="宋体" w:hAnsi="宋体"/>
          <w:snapToGrid w:val="0"/>
          <w:color w:val="000000" w:themeColor="text1"/>
          <w:kern w:val="0"/>
          <w:szCs w:val="21"/>
          <w14:textFill>
            <w14:solidFill>
              <w14:schemeClr w14:val="tx1"/>
            </w14:solidFill>
          </w14:textFill>
        </w:rPr>
        <w:t>天，相应延长投标截止时间。</w:t>
      </w:r>
    </w:p>
    <w:p w14:paraId="57B3B088">
      <w:pPr>
        <w:autoSpaceDE w:val="0"/>
        <w:autoSpaceDN w:val="0"/>
        <w:adjustRightInd w:val="0"/>
        <w:snapToGrid w:val="0"/>
        <w:spacing w:line="360" w:lineRule="auto"/>
        <w:ind w:firstLine="42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 xml:space="preserve">2.2.3  </w:t>
      </w:r>
      <w:r>
        <w:rPr>
          <w:rFonts w:ascii="宋体" w:hAnsi="宋体"/>
          <w:color w:val="000000" w:themeColor="text1"/>
          <w:kern w:val="0"/>
          <w:szCs w:val="21"/>
          <w14:textFill>
            <w14:solidFill>
              <w14:schemeClr w14:val="tx1"/>
            </w14:solidFill>
          </w14:textFill>
        </w:rPr>
        <w:t>招标人对竞争性比选文件的</w:t>
      </w:r>
      <w:r>
        <w:rPr>
          <w:rFonts w:hint="eastAsia" w:ascii="宋体" w:hAnsi="宋体"/>
          <w:snapToGrid w:val="0"/>
          <w:color w:val="000000" w:themeColor="text1"/>
          <w:kern w:val="0"/>
          <w:szCs w:val="21"/>
          <w14:textFill>
            <w14:solidFill>
              <w14:schemeClr w14:val="tx1"/>
            </w14:solidFill>
          </w14:textFill>
        </w:rPr>
        <w:t>修改</w:t>
      </w:r>
      <w:r>
        <w:rPr>
          <w:rFonts w:ascii="宋体" w:hAnsi="宋体"/>
          <w:snapToGrid w:val="0"/>
          <w:color w:val="000000" w:themeColor="text1"/>
          <w:kern w:val="0"/>
          <w:szCs w:val="21"/>
          <w14:textFill>
            <w14:solidFill>
              <w14:schemeClr w14:val="tx1"/>
            </w14:solidFill>
          </w14:textFill>
        </w:rPr>
        <w:t>内容可能影响投标文件编制的，须在投标截止时间</w:t>
      </w:r>
      <w:r>
        <w:rPr>
          <w:rFonts w:hint="eastAsia" w:ascii="宋体" w:hAnsi="宋体"/>
          <w:snapToGrid w:val="0"/>
          <w:color w:val="000000" w:themeColor="text1"/>
          <w:kern w:val="0"/>
          <w:szCs w:val="21"/>
          <w14:textFill>
            <w14:solidFill>
              <w14:schemeClr w14:val="tx1"/>
            </w14:solidFill>
          </w14:textFill>
        </w:rPr>
        <w:t>3</w:t>
      </w:r>
      <w:r>
        <w:rPr>
          <w:rFonts w:ascii="宋体" w:hAnsi="宋体"/>
          <w:snapToGrid w:val="0"/>
          <w:color w:val="000000" w:themeColor="text1"/>
          <w:kern w:val="0"/>
          <w:szCs w:val="21"/>
          <w14:textFill>
            <w14:solidFill>
              <w14:schemeClr w14:val="tx1"/>
            </w14:solidFill>
          </w14:textFill>
        </w:rPr>
        <w:t>日前发布，发布时间至投标截止时间不足</w:t>
      </w:r>
      <w:r>
        <w:rPr>
          <w:rFonts w:hint="eastAsia" w:ascii="宋体" w:hAnsi="宋体"/>
          <w:snapToGrid w:val="0"/>
          <w:color w:val="000000" w:themeColor="text1"/>
          <w:kern w:val="0"/>
          <w:szCs w:val="21"/>
          <w14:textFill>
            <w14:solidFill>
              <w14:schemeClr w14:val="tx1"/>
            </w14:solidFill>
          </w14:textFill>
        </w:rPr>
        <w:t>3</w:t>
      </w:r>
      <w:r>
        <w:rPr>
          <w:rFonts w:ascii="宋体" w:hAnsi="宋体"/>
          <w:snapToGrid w:val="0"/>
          <w:color w:val="000000" w:themeColor="text1"/>
          <w:kern w:val="0"/>
          <w:szCs w:val="21"/>
          <w14:textFill>
            <w14:solidFill>
              <w14:schemeClr w14:val="tx1"/>
            </w14:solidFill>
          </w14:textFill>
        </w:rPr>
        <w:t>日的，须相应延后投标截止时间。</w:t>
      </w:r>
    </w:p>
    <w:p w14:paraId="7199EE26">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position w:val="-2"/>
          <w:szCs w:val="21"/>
          <w14:textFill>
            <w14:solidFill>
              <w14:schemeClr w14:val="tx1"/>
            </w14:solidFill>
          </w14:textFill>
        </w:rPr>
        <w:t>2.2.4  投标人对竞争性比选文件和</w:t>
      </w:r>
      <w:r>
        <w:rPr>
          <w:rFonts w:hint="eastAsia" w:ascii="宋体" w:hAnsi="宋体"/>
          <w:snapToGrid w:val="0"/>
          <w:color w:val="000000" w:themeColor="text1"/>
          <w:kern w:val="0"/>
          <w:position w:val="-2"/>
          <w:szCs w:val="21"/>
          <w14:textFill>
            <w14:solidFill>
              <w14:schemeClr w14:val="tx1"/>
            </w14:solidFill>
          </w14:textFill>
        </w:rPr>
        <w:t>澄清</w:t>
      </w:r>
      <w:r>
        <w:rPr>
          <w:rFonts w:ascii="宋体" w:hAnsi="宋体"/>
          <w:snapToGrid w:val="0"/>
          <w:color w:val="000000" w:themeColor="text1"/>
          <w:kern w:val="0"/>
          <w:position w:val="-2"/>
          <w:szCs w:val="21"/>
          <w14:textFill>
            <w14:solidFill>
              <w14:schemeClr w14:val="tx1"/>
            </w14:solidFill>
          </w14:textFill>
        </w:rPr>
        <w:t>修改仍有</w:t>
      </w:r>
      <w:r>
        <w:rPr>
          <w:rFonts w:hint="eastAsia" w:ascii="宋体" w:hAnsi="宋体"/>
          <w:snapToGrid w:val="0"/>
          <w:color w:val="000000" w:themeColor="text1"/>
          <w:kern w:val="0"/>
          <w:position w:val="-2"/>
          <w:szCs w:val="21"/>
          <w14:textFill>
            <w14:solidFill>
              <w14:schemeClr w14:val="tx1"/>
            </w14:solidFill>
          </w14:textFill>
        </w:rPr>
        <w:t>异议</w:t>
      </w:r>
      <w:r>
        <w:rPr>
          <w:rFonts w:ascii="宋体" w:hAnsi="宋体"/>
          <w:snapToGrid w:val="0"/>
          <w:color w:val="000000" w:themeColor="text1"/>
          <w:kern w:val="0"/>
          <w:position w:val="-2"/>
          <w:szCs w:val="21"/>
          <w14:textFill>
            <w14:solidFill>
              <w14:schemeClr w14:val="tx1"/>
            </w14:solidFill>
          </w14:textFill>
        </w:rPr>
        <w:t>的，可于投标截止时间</w:t>
      </w:r>
      <w:r>
        <w:rPr>
          <w:rFonts w:hint="eastAsia" w:ascii="宋体" w:hAnsi="宋体"/>
          <w:snapToGrid w:val="0"/>
          <w:color w:val="000000" w:themeColor="text1"/>
          <w:kern w:val="0"/>
          <w:position w:val="-2"/>
          <w:szCs w:val="21"/>
          <w14:textFill>
            <w14:solidFill>
              <w14:schemeClr w14:val="tx1"/>
            </w14:solidFill>
          </w14:textFill>
        </w:rPr>
        <w:t>3</w:t>
      </w:r>
      <w:r>
        <w:rPr>
          <w:rFonts w:ascii="宋体" w:hAnsi="宋体"/>
          <w:snapToGrid w:val="0"/>
          <w:color w:val="000000" w:themeColor="text1"/>
          <w:kern w:val="0"/>
          <w:position w:val="-2"/>
          <w:szCs w:val="21"/>
          <w14:textFill>
            <w14:solidFill>
              <w14:schemeClr w14:val="tx1"/>
            </w14:solidFill>
          </w14:textFill>
        </w:rPr>
        <w:t>日前，</w:t>
      </w:r>
      <w:bookmarkStart w:id="262" w:name="OLE_LINK8"/>
      <w:r>
        <w:rPr>
          <w:rFonts w:hint="eastAsia" w:ascii="宋体" w:hAnsi="宋体"/>
          <w:snapToGrid w:val="0"/>
          <w:color w:val="000000" w:themeColor="text1"/>
          <w:kern w:val="0"/>
          <w:szCs w:val="21"/>
          <w14:textFill>
            <w14:solidFill>
              <w14:schemeClr w14:val="tx1"/>
            </w14:solidFill>
          </w14:textFill>
        </w:rPr>
        <w:t>以书面形式向招标人提出</w:t>
      </w:r>
      <w:bookmarkEnd w:id="262"/>
      <w:r>
        <w:rPr>
          <w:rFonts w:ascii="宋体" w:hAnsi="宋体"/>
          <w:snapToGrid w:val="0"/>
          <w:color w:val="000000" w:themeColor="text1"/>
          <w:kern w:val="0"/>
          <w:szCs w:val="21"/>
          <w14:textFill>
            <w14:solidFill>
              <w14:schemeClr w14:val="tx1"/>
            </w14:solidFill>
          </w14:textFill>
        </w:rPr>
        <w:t>。招标人应将答复以</w:t>
      </w:r>
      <w:r>
        <w:rPr>
          <w:rFonts w:hint="eastAsia" w:ascii="宋体" w:hAnsi="宋体"/>
          <w:snapToGrid w:val="0"/>
          <w:color w:val="000000" w:themeColor="text1"/>
          <w:kern w:val="0"/>
          <w:szCs w:val="21"/>
          <w14:textFill>
            <w14:solidFill>
              <w14:schemeClr w14:val="tx1"/>
            </w14:solidFill>
          </w14:textFill>
        </w:rPr>
        <w:t>修改</w:t>
      </w:r>
      <w:r>
        <w:rPr>
          <w:rFonts w:ascii="宋体" w:hAnsi="宋体"/>
          <w:snapToGrid w:val="0"/>
          <w:color w:val="000000" w:themeColor="text1"/>
          <w:kern w:val="0"/>
          <w:szCs w:val="21"/>
          <w14:textFill>
            <w14:solidFill>
              <w14:schemeClr w14:val="tx1"/>
            </w14:solidFill>
          </w14:textFill>
        </w:rPr>
        <w:t>的形式在</w:t>
      </w:r>
      <w:r>
        <w:rPr>
          <w:rFonts w:hint="eastAsia" w:ascii="宋体" w:hAnsi="宋体"/>
          <w:color w:val="000000" w:themeColor="text1"/>
          <w:kern w:val="0"/>
          <w:szCs w:val="21"/>
          <w14:textFill>
            <w14:solidFill>
              <w14:schemeClr w14:val="tx1"/>
            </w14:solidFill>
          </w14:textFill>
        </w:rPr>
        <w:t>相应法定网站</w:t>
      </w:r>
      <w:r>
        <w:rPr>
          <w:rFonts w:ascii="宋体" w:hAnsi="宋体"/>
          <w:color w:val="000000" w:themeColor="text1"/>
          <w:kern w:val="0"/>
          <w:szCs w:val="21"/>
          <w14:textFill>
            <w14:solidFill>
              <w14:schemeClr w14:val="tx1"/>
            </w14:solidFill>
          </w14:textFill>
        </w:rPr>
        <w:t>发布</w:t>
      </w:r>
      <w:r>
        <w:rPr>
          <w:rFonts w:ascii="宋体" w:hAnsi="宋体"/>
          <w:snapToGrid w:val="0"/>
          <w:color w:val="000000" w:themeColor="text1"/>
          <w:kern w:val="0"/>
          <w:szCs w:val="21"/>
          <w14:textFill>
            <w14:solidFill>
              <w14:schemeClr w14:val="tx1"/>
            </w14:solidFill>
          </w14:textFill>
        </w:rPr>
        <w:t>。</w:t>
      </w:r>
      <w:r>
        <w:rPr>
          <w:rFonts w:hint="eastAsia" w:ascii="宋体" w:hAnsi="宋体"/>
          <w:snapToGrid w:val="0"/>
          <w:color w:val="000000" w:themeColor="text1"/>
          <w:kern w:val="0"/>
          <w:szCs w:val="21"/>
          <w14:textFill>
            <w14:solidFill>
              <w14:schemeClr w14:val="tx1"/>
            </w14:solidFill>
          </w14:textFill>
        </w:rPr>
        <w:t>修改</w:t>
      </w:r>
      <w:r>
        <w:rPr>
          <w:rFonts w:ascii="宋体" w:hAnsi="宋体"/>
          <w:snapToGrid w:val="0"/>
          <w:color w:val="000000" w:themeColor="text1"/>
          <w:kern w:val="0"/>
          <w:szCs w:val="21"/>
          <w14:textFill>
            <w14:solidFill>
              <w14:schemeClr w14:val="tx1"/>
            </w14:solidFill>
          </w14:textFill>
        </w:rPr>
        <w:t>内容可能影响投标文件编制的，须在投标截止时间15日前发布，发布时间至投标截止时间不足</w:t>
      </w:r>
      <w:r>
        <w:rPr>
          <w:rFonts w:hint="eastAsia" w:ascii="宋体" w:hAnsi="宋体"/>
          <w:snapToGrid w:val="0"/>
          <w:color w:val="000000" w:themeColor="text1"/>
          <w:kern w:val="0"/>
          <w:szCs w:val="21"/>
          <w14:textFill>
            <w14:solidFill>
              <w14:schemeClr w14:val="tx1"/>
            </w14:solidFill>
          </w14:textFill>
        </w:rPr>
        <w:t>3</w:t>
      </w:r>
      <w:r>
        <w:rPr>
          <w:rFonts w:ascii="宋体" w:hAnsi="宋体"/>
          <w:snapToGrid w:val="0"/>
          <w:color w:val="000000" w:themeColor="text1"/>
          <w:kern w:val="0"/>
          <w:szCs w:val="21"/>
          <w14:textFill>
            <w14:solidFill>
              <w14:schemeClr w14:val="tx1"/>
            </w14:solidFill>
          </w14:textFill>
        </w:rPr>
        <w:t>日的，须相应延后投标截止时间。</w:t>
      </w:r>
    </w:p>
    <w:p w14:paraId="67C1342B">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263" w:name="_Toc287620702"/>
      <w:bookmarkStart w:id="264" w:name="_Toc430530452"/>
      <w:bookmarkStart w:id="265" w:name="_Toc32740"/>
      <w:bookmarkStart w:id="266" w:name="_Toc509218727"/>
      <w:bookmarkStart w:id="267" w:name="_Toc200513143"/>
      <w:bookmarkStart w:id="268" w:name="_Toc226115541"/>
      <w:bookmarkStart w:id="269" w:name="_Toc224103334"/>
      <w:bookmarkStart w:id="270" w:name="_Toc277082569"/>
      <w:bookmarkStart w:id="271" w:name="_Toc287607763"/>
      <w:r>
        <w:rPr>
          <w:rFonts w:ascii="宋体" w:hAnsi="宋体"/>
          <w:b w:val="0"/>
          <w:snapToGrid w:val="0"/>
          <w:color w:val="000000" w:themeColor="text1"/>
          <w:sz w:val="24"/>
          <w:szCs w:val="24"/>
          <w14:textFill>
            <w14:solidFill>
              <w14:schemeClr w14:val="tx1"/>
            </w14:solidFill>
          </w14:textFill>
        </w:rPr>
        <w:t>2.3  竞争性比选文件的修改</w:t>
      </w:r>
      <w:bookmarkEnd w:id="263"/>
      <w:bookmarkEnd w:id="264"/>
      <w:bookmarkEnd w:id="265"/>
      <w:bookmarkEnd w:id="266"/>
      <w:bookmarkEnd w:id="267"/>
      <w:bookmarkEnd w:id="268"/>
      <w:bookmarkEnd w:id="269"/>
      <w:bookmarkEnd w:id="270"/>
      <w:bookmarkEnd w:id="271"/>
    </w:p>
    <w:p w14:paraId="1F360FD0">
      <w:pPr>
        <w:autoSpaceDE w:val="0"/>
        <w:autoSpaceDN w:val="0"/>
        <w:adjustRightInd w:val="0"/>
        <w:snapToGrid w:val="0"/>
        <w:spacing w:line="360" w:lineRule="auto"/>
        <w:ind w:firstLine="420"/>
        <w:rPr>
          <w:rFonts w:hint="eastAsia" w:ascii="宋体" w:hAnsi="宋体"/>
          <w:snapToGrid w:val="0"/>
          <w:color w:val="000000" w:themeColor="text1"/>
          <w14:textFill>
            <w14:solidFill>
              <w14:schemeClr w14:val="tx1"/>
            </w14:solidFill>
          </w14:textFill>
        </w:rPr>
      </w:pPr>
      <w:bookmarkStart w:id="272" w:name="_Toc287607764"/>
      <w:bookmarkStart w:id="273" w:name="_Toc277082570"/>
      <w:bookmarkStart w:id="274" w:name="_Toc287620703"/>
      <w:bookmarkStart w:id="275" w:name="_Toc200513144"/>
      <w:bookmarkStart w:id="276" w:name="_Toc224103335"/>
      <w:r>
        <w:rPr>
          <w:rFonts w:ascii="宋体" w:hAnsi="宋体"/>
          <w:snapToGrid w:val="0"/>
          <w:color w:val="000000" w:themeColor="text1"/>
          <w14:textFill>
            <w14:solidFill>
              <w14:schemeClr w14:val="tx1"/>
            </w14:solidFill>
          </w14:textFill>
        </w:rPr>
        <w:t>按照本章第2.2款竞争性比选文件的澄清相关内容及方式执行。</w:t>
      </w:r>
    </w:p>
    <w:p w14:paraId="57DA9BE3">
      <w:pPr>
        <w:pStyle w:val="4"/>
        <w:spacing w:before="0" w:after="0" w:line="360" w:lineRule="auto"/>
        <w:rPr>
          <w:rFonts w:hint="eastAsia" w:ascii="宋体" w:hAnsi="宋体"/>
          <w:b w:val="0"/>
          <w:snapToGrid w:val="0"/>
          <w:color w:val="000000" w:themeColor="text1"/>
          <w14:textFill>
            <w14:solidFill>
              <w14:schemeClr w14:val="tx1"/>
            </w14:solidFill>
          </w14:textFill>
        </w:rPr>
      </w:pPr>
      <w:bookmarkStart w:id="277" w:name="_Toc226115542"/>
      <w:bookmarkStart w:id="278" w:name="_Toc32443"/>
      <w:bookmarkStart w:id="279" w:name="_Toc430530453"/>
      <w:bookmarkStart w:id="280" w:name="_Toc509218728"/>
      <w:r>
        <w:rPr>
          <w:rFonts w:ascii="宋体" w:hAnsi="宋体"/>
          <w:b w:val="0"/>
          <w:snapToGrid w:val="0"/>
          <w:color w:val="000000" w:themeColor="text1"/>
          <w14:textFill>
            <w14:solidFill>
              <w14:schemeClr w14:val="tx1"/>
            </w14:solidFill>
          </w14:textFill>
        </w:rPr>
        <w:t>3.  投标文件</w:t>
      </w:r>
      <w:bookmarkEnd w:id="272"/>
      <w:bookmarkEnd w:id="273"/>
      <w:bookmarkEnd w:id="274"/>
      <w:bookmarkEnd w:id="275"/>
      <w:bookmarkEnd w:id="276"/>
      <w:bookmarkEnd w:id="277"/>
      <w:bookmarkEnd w:id="278"/>
      <w:bookmarkEnd w:id="279"/>
      <w:bookmarkEnd w:id="280"/>
    </w:p>
    <w:p w14:paraId="459B0439">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281" w:name="_Toc287620704"/>
      <w:bookmarkStart w:id="282" w:name="_Toc200513145"/>
      <w:bookmarkStart w:id="283" w:name="_Toc430530454"/>
      <w:bookmarkStart w:id="284" w:name="_Toc277082571"/>
      <w:bookmarkStart w:id="285" w:name="_Toc224103336"/>
      <w:bookmarkStart w:id="286" w:name="_Toc226115543"/>
      <w:bookmarkStart w:id="287" w:name="_Toc22925"/>
      <w:bookmarkStart w:id="288" w:name="_Toc509218729"/>
      <w:bookmarkStart w:id="289" w:name="_Toc287607765"/>
      <w:r>
        <w:rPr>
          <w:rFonts w:ascii="宋体" w:hAnsi="宋体"/>
          <w:b w:val="0"/>
          <w:snapToGrid w:val="0"/>
          <w:color w:val="000000" w:themeColor="text1"/>
          <w:sz w:val="24"/>
          <w:szCs w:val="24"/>
          <w14:textFill>
            <w14:solidFill>
              <w14:schemeClr w14:val="tx1"/>
            </w14:solidFill>
          </w14:textFill>
        </w:rPr>
        <w:t>3.1  投标文件的组成</w:t>
      </w:r>
      <w:bookmarkEnd w:id="281"/>
      <w:bookmarkEnd w:id="282"/>
      <w:bookmarkEnd w:id="283"/>
      <w:bookmarkEnd w:id="284"/>
      <w:bookmarkEnd w:id="285"/>
      <w:bookmarkEnd w:id="286"/>
      <w:bookmarkEnd w:id="287"/>
      <w:bookmarkEnd w:id="288"/>
      <w:bookmarkEnd w:id="289"/>
    </w:p>
    <w:p w14:paraId="673FC208">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3.1.1 投标文件应包括下列内容：</w:t>
      </w:r>
    </w:p>
    <w:p w14:paraId="0FB5C798">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3.1.1.1投标函部分</w:t>
      </w:r>
    </w:p>
    <w:p w14:paraId="7D0A228D">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（1）投标函。</w:t>
      </w:r>
    </w:p>
    <w:p w14:paraId="2EA07589">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（2）投标函附录。</w:t>
      </w:r>
    </w:p>
    <w:p w14:paraId="5ACEC550">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（3）投标报价合理性说明（如有）。</w:t>
      </w:r>
    </w:p>
    <w:p w14:paraId="173D0FB6">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（4）法定代表人身份证明或授权委托书。</w:t>
      </w:r>
    </w:p>
    <w:p w14:paraId="328ADD04">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3.1.1.2报价部分</w:t>
      </w:r>
    </w:p>
    <w:p w14:paraId="3706D924">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（1）已标价工程量清单。</w:t>
      </w:r>
    </w:p>
    <w:p w14:paraId="314EA8EC">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3.1.1.3商务部分（如有）</w:t>
      </w:r>
    </w:p>
    <w:p w14:paraId="6EFBE36C">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3.1.1.4技术部分（如有）</w:t>
      </w:r>
    </w:p>
    <w:p w14:paraId="0EC21506">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3.1.1.5资格审查部分</w:t>
      </w:r>
    </w:p>
    <w:p w14:paraId="6BD4A5D6">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（1）法定代表人身份证明或授权委托书。</w:t>
      </w:r>
    </w:p>
    <w:p w14:paraId="1F099728">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（2）承诺。</w:t>
      </w:r>
    </w:p>
    <w:p w14:paraId="52F843D4">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（3）其他资料。</w:t>
      </w:r>
    </w:p>
    <w:p w14:paraId="6AE5CE20">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3.1.2  投标人须知前附表规定不接受联合体投标的，或投标人没有组成联合体的，投标文件不包括</w:t>
      </w:r>
      <w:r>
        <w:rPr>
          <w:rFonts w:hint="eastAsia" w:ascii="宋体" w:hAnsi="宋体"/>
          <w:color w:val="000000" w:themeColor="text1"/>
          <w14:textFill>
            <w14:solidFill>
              <w14:schemeClr w14:val="tx1"/>
            </w14:solidFill>
          </w14:textFill>
        </w:rPr>
        <w:t>共同投标协议</w:t>
      </w:r>
      <w:r>
        <w:rPr>
          <w:rFonts w:ascii="宋体" w:hAnsi="宋体"/>
          <w:snapToGrid w:val="0"/>
          <w:color w:val="000000" w:themeColor="text1"/>
          <w:kern w:val="0"/>
          <w:szCs w:val="21"/>
          <w14:textFill>
            <w14:solidFill>
              <w14:schemeClr w14:val="tx1"/>
            </w14:solidFill>
          </w14:textFill>
        </w:rPr>
        <w:t>。</w:t>
      </w:r>
    </w:p>
    <w:p w14:paraId="29D0D55A">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290" w:name="_Toc200513146"/>
      <w:bookmarkStart w:id="291" w:name="_Toc226115544"/>
      <w:bookmarkStart w:id="292" w:name="_Toc9606"/>
      <w:bookmarkStart w:id="293" w:name="_Toc287607766"/>
      <w:bookmarkStart w:id="294" w:name="_Toc277082572"/>
      <w:bookmarkStart w:id="295" w:name="_Toc224103337"/>
      <w:bookmarkStart w:id="296" w:name="_Toc430530455"/>
      <w:bookmarkStart w:id="297" w:name="_Toc287620705"/>
      <w:bookmarkStart w:id="298" w:name="_Toc509218730"/>
      <w:r>
        <w:rPr>
          <w:rFonts w:ascii="宋体" w:hAnsi="宋体"/>
          <w:b w:val="0"/>
          <w:snapToGrid w:val="0"/>
          <w:color w:val="000000" w:themeColor="text1"/>
          <w:sz w:val="24"/>
          <w:szCs w:val="24"/>
          <w14:textFill>
            <w14:solidFill>
              <w14:schemeClr w14:val="tx1"/>
            </w14:solidFill>
          </w14:textFill>
        </w:rPr>
        <w:t>3.2  投标报价</w:t>
      </w:r>
      <w:bookmarkEnd w:id="290"/>
      <w:bookmarkEnd w:id="291"/>
      <w:bookmarkEnd w:id="292"/>
      <w:bookmarkEnd w:id="293"/>
      <w:bookmarkEnd w:id="294"/>
      <w:bookmarkEnd w:id="295"/>
      <w:bookmarkEnd w:id="296"/>
      <w:bookmarkEnd w:id="297"/>
      <w:bookmarkEnd w:id="298"/>
    </w:p>
    <w:p w14:paraId="522648F1">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3.2.1  投标人应按第五章“工程量清单”的要求填写相应表格。</w:t>
      </w:r>
    </w:p>
    <w:p w14:paraId="66C26D7A">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3.2.2</w:t>
      </w:r>
      <w:r>
        <w:rPr>
          <w:rFonts w:hint="eastAsia" w:ascii="宋体" w:hAnsi="宋体"/>
          <w:snapToGrid w:val="0"/>
          <w:color w:val="000000" w:themeColor="text1"/>
          <w:kern w:val="0"/>
          <w:szCs w:val="21"/>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投标人在投标截止时间前修改投标函中的投标总报价，应同时修改第五章“工程量清单”中的相应报价。此修改须符合本章第 4.3 款的有关要求。</w:t>
      </w:r>
    </w:p>
    <w:p w14:paraId="0CD7BF55">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299" w:name="_Toc287607767"/>
      <w:bookmarkStart w:id="300" w:name="_Toc17662"/>
      <w:bookmarkStart w:id="301" w:name="_Toc200513147"/>
      <w:bookmarkStart w:id="302" w:name="_Toc224103338"/>
      <w:bookmarkStart w:id="303" w:name="_Toc277082573"/>
      <w:bookmarkStart w:id="304" w:name="_Toc226115545"/>
      <w:bookmarkStart w:id="305" w:name="_Toc430530456"/>
      <w:bookmarkStart w:id="306" w:name="_Toc509218731"/>
      <w:bookmarkStart w:id="307" w:name="_Toc287620706"/>
      <w:r>
        <w:rPr>
          <w:rFonts w:ascii="宋体" w:hAnsi="宋体"/>
          <w:b w:val="0"/>
          <w:snapToGrid w:val="0"/>
          <w:color w:val="000000" w:themeColor="text1"/>
          <w:sz w:val="24"/>
          <w:szCs w:val="24"/>
          <w14:textFill>
            <w14:solidFill>
              <w14:schemeClr w14:val="tx1"/>
            </w14:solidFill>
          </w14:textFill>
        </w:rPr>
        <w:t>3.3  投标有效期</w:t>
      </w:r>
      <w:bookmarkEnd w:id="299"/>
      <w:bookmarkEnd w:id="300"/>
      <w:bookmarkEnd w:id="301"/>
      <w:bookmarkEnd w:id="302"/>
      <w:bookmarkEnd w:id="303"/>
      <w:bookmarkEnd w:id="304"/>
      <w:bookmarkEnd w:id="305"/>
      <w:bookmarkEnd w:id="306"/>
      <w:bookmarkEnd w:id="307"/>
    </w:p>
    <w:p w14:paraId="33BF872A">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3.3.1  在投标人须知前附表规定的投标有效期内，投标人不得要求撤销或修改其投标文件。</w:t>
      </w:r>
    </w:p>
    <w:p w14:paraId="738C9D3A">
      <w:pPr>
        <w:autoSpaceDE w:val="0"/>
        <w:autoSpaceDN w:val="0"/>
        <w:adjustRightInd w:val="0"/>
        <w:snapToGrid w:val="0"/>
        <w:spacing w:line="360" w:lineRule="auto"/>
        <w:ind w:firstLine="420" w:firstLineChars="200"/>
        <w:rPr>
          <w:rFonts w:hint="eastAsia" w:ascii="宋体" w:hAnsi="宋体" w:cs="MingLiU"/>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 xml:space="preserve">3.3.2  </w:t>
      </w:r>
      <w:r>
        <w:rPr>
          <w:rFonts w:hint="eastAsia" w:ascii="宋体" w:hAnsi="宋体" w:cs="MingLiU"/>
          <w:snapToGrid w:val="0"/>
          <w:color w:val="000000" w:themeColor="text1"/>
          <w:kern w:val="0"/>
          <w:szCs w:val="21"/>
          <w14:textFill>
            <w14:solidFill>
              <w14:schemeClr w14:val="tx1"/>
            </w14:solidFill>
          </w14:textFill>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C1AE30D">
      <w:pPr>
        <w:pStyle w:val="5"/>
        <w:keepNext w:val="0"/>
        <w:keepLines w:val="0"/>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308" w:name="_Toc509218732"/>
      <w:bookmarkStart w:id="309" w:name="_Toc430530457"/>
      <w:bookmarkStart w:id="310" w:name="_Toc287620707"/>
      <w:bookmarkStart w:id="311" w:name="_Toc224103339"/>
      <w:bookmarkStart w:id="312" w:name="_Toc277082574"/>
      <w:bookmarkStart w:id="313" w:name="_Toc287607768"/>
      <w:bookmarkStart w:id="314" w:name="_Toc200513148"/>
      <w:bookmarkStart w:id="315" w:name="_Toc226115546"/>
      <w:bookmarkStart w:id="316" w:name="_Toc21081"/>
      <w:r>
        <w:rPr>
          <w:rFonts w:ascii="宋体" w:hAnsi="宋体"/>
          <w:b w:val="0"/>
          <w:snapToGrid w:val="0"/>
          <w:color w:val="000000" w:themeColor="text1"/>
          <w:sz w:val="24"/>
          <w:szCs w:val="24"/>
          <w14:textFill>
            <w14:solidFill>
              <w14:schemeClr w14:val="tx1"/>
            </w14:solidFill>
          </w14:textFill>
        </w:rPr>
        <w:t>3.4  投标</w:t>
      </w:r>
      <w:bookmarkEnd w:id="308"/>
      <w:bookmarkEnd w:id="309"/>
      <w:bookmarkEnd w:id="310"/>
      <w:bookmarkEnd w:id="311"/>
      <w:bookmarkEnd w:id="312"/>
      <w:bookmarkEnd w:id="313"/>
      <w:bookmarkEnd w:id="314"/>
      <w:r>
        <w:rPr>
          <w:rFonts w:hint="eastAsia" w:ascii="宋体" w:hAnsi="宋体"/>
          <w:b w:val="0"/>
          <w:snapToGrid w:val="0"/>
          <w:color w:val="000000" w:themeColor="text1"/>
          <w:sz w:val="24"/>
          <w:szCs w:val="24"/>
          <w14:textFill>
            <w14:solidFill>
              <w14:schemeClr w14:val="tx1"/>
            </w14:solidFill>
          </w14:textFill>
        </w:rPr>
        <w:t>保证金</w:t>
      </w:r>
      <w:bookmarkEnd w:id="315"/>
      <w:bookmarkEnd w:id="316"/>
    </w:p>
    <w:p w14:paraId="3A972330">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3.4.1  投标人在递交投标文件的同时，应按投标人须知前附表的规定递交投标保证金，并作为其投标文件的组成部分。联合体投标的，其投标保证金由牵头人递交，并应符合投标人须知前附表的规定。</w:t>
      </w:r>
    </w:p>
    <w:p w14:paraId="29566D43">
      <w:pPr>
        <w:autoSpaceDE w:val="0"/>
        <w:autoSpaceDN w:val="0"/>
        <w:adjustRightInd w:val="0"/>
        <w:snapToGrid w:val="0"/>
        <w:spacing w:line="360" w:lineRule="auto"/>
        <w:ind w:left="13" w:leftChars="6" w:firstLine="405" w:firstLineChars="193"/>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3.4.2  投标人不按本章第 3.4.1 项要求提交投标保证金的，其投标文件作否决投标处理。</w:t>
      </w:r>
    </w:p>
    <w:p w14:paraId="3A281617">
      <w:pPr>
        <w:autoSpaceDE w:val="0"/>
        <w:autoSpaceDN w:val="0"/>
        <w:adjustRightInd w:val="0"/>
        <w:snapToGrid w:val="0"/>
        <w:spacing w:line="360" w:lineRule="auto"/>
        <w:ind w:left="13" w:leftChars="6" w:firstLine="405" w:firstLineChars="193"/>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3.4.3  投标</w:t>
      </w:r>
      <w:r>
        <w:rPr>
          <w:rFonts w:ascii="宋体" w:hAnsi="宋体"/>
          <w:snapToGrid w:val="0"/>
          <w:color w:val="000000" w:themeColor="text1"/>
          <w:kern w:val="0"/>
          <w:position w:val="-2"/>
          <w:szCs w:val="21"/>
          <w14:textFill>
            <w14:solidFill>
              <w14:schemeClr w14:val="tx1"/>
            </w14:solidFill>
          </w14:textFill>
        </w:rPr>
        <w:t>保证金</w:t>
      </w:r>
      <w:r>
        <w:rPr>
          <w:rFonts w:ascii="宋体" w:hAnsi="宋体"/>
          <w:snapToGrid w:val="0"/>
          <w:color w:val="000000" w:themeColor="text1"/>
          <w:kern w:val="0"/>
          <w:szCs w:val="21"/>
          <w14:textFill>
            <w14:solidFill>
              <w14:schemeClr w14:val="tx1"/>
            </w14:solidFill>
          </w14:textFill>
        </w:rPr>
        <w:t>退还：见投标人须知前附表</w:t>
      </w:r>
      <w:r>
        <w:rPr>
          <w:rFonts w:ascii="宋体" w:hAnsi="宋体"/>
          <w:snapToGrid w:val="0"/>
          <w:color w:val="000000" w:themeColor="text1"/>
          <w:kern w:val="0"/>
          <w:position w:val="-2"/>
          <w:szCs w:val="21"/>
          <w14:textFill>
            <w14:solidFill>
              <w14:schemeClr w14:val="tx1"/>
            </w14:solidFill>
          </w14:textFill>
        </w:rPr>
        <w:t>。</w:t>
      </w:r>
    </w:p>
    <w:p w14:paraId="12CD0C17">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3.4.4  有下列情形之一的，投标保证金不予退还：</w:t>
      </w:r>
    </w:p>
    <w:p w14:paraId="6BC16617">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（1）投标人在规定的投标有效期内撤销或修改其投标文件；</w:t>
      </w:r>
    </w:p>
    <w:p w14:paraId="3971220E">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中标人在收到中标通知书后，无正当理由不与招标人订立合同，在签订合同时向招标人提出附加条件，或者不按照竞争性比选文件要求提交履约保证金</w:t>
      </w:r>
      <w:r>
        <w:rPr>
          <w:rFonts w:ascii="宋体" w:hAnsi="宋体"/>
          <w:snapToGrid w:val="0"/>
          <w:color w:val="000000" w:themeColor="text1"/>
          <w:kern w:val="0"/>
          <w:szCs w:val="21"/>
          <w14:textFill>
            <w14:solidFill>
              <w14:schemeClr w14:val="tx1"/>
            </w14:solidFill>
          </w14:textFill>
        </w:rPr>
        <w:t>；</w:t>
      </w:r>
    </w:p>
    <w:p w14:paraId="6BEABC28">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w:t>
      </w:r>
      <w:r>
        <w:rPr>
          <w:rFonts w:hint="eastAsia" w:ascii="宋体" w:hAnsi="宋体"/>
          <w:snapToGrid w:val="0"/>
          <w:color w:val="000000" w:themeColor="text1"/>
          <w:kern w:val="0"/>
          <w:szCs w:val="21"/>
          <w14:textFill>
            <w14:solidFill>
              <w14:schemeClr w14:val="tx1"/>
            </w14:solidFill>
          </w14:textFill>
        </w:rPr>
        <w:t>3</w:t>
      </w:r>
      <w:r>
        <w:rPr>
          <w:rFonts w:ascii="宋体" w:hAnsi="宋体"/>
          <w:snapToGrid w:val="0"/>
          <w:color w:val="000000" w:themeColor="text1"/>
          <w:kern w:val="0"/>
          <w:szCs w:val="21"/>
          <w14:textFill>
            <w14:solidFill>
              <w14:schemeClr w14:val="tx1"/>
            </w14:solidFill>
          </w14:textFill>
        </w:rPr>
        <w:t>）违反本章第9.2</w:t>
      </w:r>
      <w:r>
        <w:rPr>
          <w:rFonts w:hint="eastAsia" w:ascii="宋体" w:hAnsi="宋体"/>
          <w:snapToGrid w:val="0"/>
          <w:color w:val="000000" w:themeColor="text1"/>
          <w:kern w:val="0"/>
          <w:szCs w:val="21"/>
          <w14:textFill>
            <w14:solidFill>
              <w14:schemeClr w14:val="tx1"/>
            </w14:solidFill>
          </w14:textFill>
        </w:rPr>
        <w:t>款</w:t>
      </w:r>
      <w:r>
        <w:rPr>
          <w:rFonts w:ascii="宋体" w:hAnsi="宋体"/>
          <w:snapToGrid w:val="0"/>
          <w:color w:val="000000" w:themeColor="text1"/>
          <w:kern w:val="0"/>
          <w:szCs w:val="21"/>
          <w14:textFill>
            <w14:solidFill>
              <w14:schemeClr w14:val="tx1"/>
            </w14:solidFill>
          </w14:textFill>
        </w:rPr>
        <w:t>对投标人的纪律要求的；</w:t>
      </w:r>
    </w:p>
    <w:p w14:paraId="0EBB04E3">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w:t>
      </w:r>
      <w:r>
        <w:rPr>
          <w:rFonts w:hint="eastAsia" w:ascii="宋体" w:hAnsi="宋体"/>
          <w:snapToGrid w:val="0"/>
          <w:color w:val="000000" w:themeColor="text1"/>
          <w:kern w:val="0"/>
          <w:szCs w:val="21"/>
          <w14:textFill>
            <w14:solidFill>
              <w14:schemeClr w14:val="tx1"/>
            </w14:solidFill>
          </w14:textFill>
        </w:rPr>
        <w:t>4</w:t>
      </w:r>
      <w:r>
        <w:rPr>
          <w:rFonts w:ascii="宋体" w:hAnsi="宋体"/>
          <w:snapToGrid w:val="0"/>
          <w:color w:val="000000" w:themeColor="text1"/>
          <w:kern w:val="0"/>
          <w:szCs w:val="21"/>
          <w14:textFill>
            <w14:solidFill>
              <w14:schemeClr w14:val="tx1"/>
            </w14:solidFill>
          </w14:textFill>
        </w:rPr>
        <w:t>）法律法规规定的其他情形。</w:t>
      </w:r>
    </w:p>
    <w:p w14:paraId="091CAFA3">
      <w:pPr>
        <w:tabs>
          <w:tab w:val="left" w:pos="611"/>
          <w:tab w:val="left" w:pos="669"/>
        </w:tabs>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3.4.5</w:t>
      </w:r>
      <w:r>
        <w:rPr>
          <w:rFonts w:hint="eastAsia" w:ascii="宋体" w:hAnsi="宋体"/>
          <w:snapToGrid w:val="0"/>
          <w:color w:val="000000" w:themeColor="text1"/>
          <w:kern w:val="0"/>
          <w:szCs w:val="2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投标保证金的其他要求：</w:t>
      </w:r>
    </w:p>
    <w:p w14:paraId="0EC35D0D">
      <w:pPr>
        <w:tabs>
          <w:tab w:val="left" w:pos="611"/>
          <w:tab w:val="left" w:pos="669"/>
        </w:tabs>
        <w:snapToGrid w:val="0"/>
        <w:spacing w:line="360" w:lineRule="auto"/>
        <w:ind w:firstLine="420" w:firstLineChars="200"/>
        <w:rPr>
          <w:rFonts w:hint="eastAsia"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（1）投标保证金为无条件担保；</w:t>
      </w:r>
    </w:p>
    <w:p w14:paraId="761479F1">
      <w:pPr>
        <w:tabs>
          <w:tab w:val="left" w:pos="611"/>
          <w:tab w:val="left" w:pos="669"/>
        </w:tabs>
        <w:snapToGrid w:val="0"/>
        <w:spacing w:line="360" w:lineRule="auto"/>
        <w:ind w:firstLine="420" w:firstLineChars="200"/>
        <w:rPr>
          <w:rFonts w:hint="eastAsia"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（2）投标保证金的受益人为招标人</w:t>
      </w:r>
      <w:r>
        <w:rPr>
          <w:rFonts w:hint="eastAsia" w:ascii="宋体" w:hAnsi="宋体"/>
          <w:color w:val="000000" w:themeColor="text1"/>
          <w:kern w:val="0"/>
          <w14:textFill>
            <w14:solidFill>
              <w14:schemeClr w14:val="tx1"/>
            </w14:solidFill>
          </w14:textFill>
        </w:rPr>
        <w:t>。</w:t>
      </w:r>
    </w:p>
    <w:p w14:paraId="70CC5E56">
      <w:pPr>
        <w:pStyle w:val="5"/>
        <w:keepNext w:val="0"/>
        <w:keepLines w:val="0"/>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317" w:name="_Toc17714"/>
      <w:bookmarkStart w:id="318" w:name="_Toc277082575"/>
      <w:bookmarkStart w:id="319" w:name="_Toc287607769"/>
      <w:bookmarkStart w:id="320" w:name="_Toc509218733"/>
      <w:bookmarkStart w:id="321" w:name="_Toc287620708"/>
      <w:bookmarkStart w:id="322" w:name="_Toc430530458"/>
      <w:bookmarkStart w:id="323" w:name="_Toc224103340"/>
      <w:bookmarkStart w:id="324" w:name="_Toc200513149"/>
      <w:bookmarkStart w:id="325" w:name="_Toc226115547"/>
      <w:r>
        <w:rPr>
          <w:rFonts w:ascii="宋体" w:hAnsi="宋体"/>
          <w:b w:val="0"/>
          <w:snapToGrid w:val="0"/>
          <w:color w:val="000000" w:themeColor="text1"/>
          <w:sz w:val="24"/>
          <w:szCs w:val="24"/>
          <w14:textFill>
            <w14:solidFill>
              <w14:schemeClr w14:val="tx1"/>
            </w14:solidFill>
          </w14:textFill>
        </w:rPr>
        <w:t>3.5</w:t>
      </w:r>
      <w:bookmarkEnd w:id="317"/>
      <w:bookmarkEnd w:id="318"/>
      <w:bookmarkEnd w:id="319"/>
      <w:bookmarkEnd w:id="320"/>
      <w:bookmarkEnd w:id="321"/>
      <w:bookmarkEnd w:id="322"/>
      <w:bookmarkEnd w:id="323"/>
      <w:bookmarkEnd w:id="324"/>
      <w:bookmarkStart w:id="326" w:name="_Toc16727"/>
      <w:bookmarkStart w:id="327" w:name="_Toc277082576"/>
      <w:bookmarkStart w:id="328" w:name="_Toc224103341"/>
      <w:bookmarkStart w:id="329" w:name="_Toc287607770"/>
      <w:bookmarkStart w:id="330" w:name="_Toc509218734"/>
      <w:bookmarkStart w:id="331" w:name="_Toc430530459"/>
      <w:bookmarkStart w:id="332" w:name="_Toc200513150"/>
      <w:bookmarkStart w:id="333" w:name="_Toc287620709"/>
      <w:r>
        <w:rPr>
          <w:rFonts w:ascii="宋体" w:hAnsi="宋体"/>
          <w:b w:val="0"/>
          <w:snapToGrid w:val="0"/>
          <w:color w:val="000000" w:themeColor="text1"/>
          <w:sz w:val="24"/>
          <w:szCs w:val="24"/>
          <w14:textFill>
            <w14:solidFill>
              <w14:schemeClr w14:val="tx1"/>
            </w14:solidFill>
          </w14:textFill>
        </w:rPr>
        <w:t xml:space="preserve">  资格审查资料</w:t>
      </w:r>
      <w:bookmarkEnd w:id="325"/>
      <w:bookmarkEnd w:id="326"/>
      <w:bookmarkEnd w:id="327"/>
      <w:bookmarkEnd w:id="328"/>
      <w:bookmarkEnd w:id="329"/>
      <w:bookmarkEnd w:id="330"/>
      <w:bookmarkEnd w:id="331"/>
      <w:bookmarkEnd w:id="332"/>
      <w:bookmarkEnd w:id="333"/>
    </w:p>
    <w:p w14:paraId="56F199C3">
      <w:pPr>
        <w:autoSpaceDE w:val="0"/>
        <w:autoSpaceDN w:val="0"/>
        <w:adjustRightInd w:val="0"/>
        <w:snapToGrid w:val="0"/>
        <w:spacing w:line="360" w:lineRule="auto"/>
        <w:ind w:left="103" w:leftChars="49" w:right="37"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应附</w:t>
      </w:r>
      <w:r>
        <w:rPr>
          <w:rFonts w:hint="eastAsia" w:ascii="宋体" w:hAnsi="宋体"/>
          <w:color w:val="000000" w:themeColor="text1"/>
          <w:kern w:val="0"/>
          <w:szCs w:val="21"/>
          <w14:textFill>
            <w14:solidFill>
              <w14:schemeClr w14:val="tx1"/>
            </w14:solidFill>
          </w14:textFill>
        </w:rPr>
        <w:t>投标人须知前附表第1</w:t>
      </w:r>
      <w:r>
        <w:rPr>
          <w:rFonts w:ascii="宋体" w:hAnsi="宋体"/>
          <w:color w:val="000000" w:themeColor="text1"/>
          <w:kern w:val="0"/>
          <w:szCs w:val="21"/>
          <w14:textFill>
            <w14:solidFill>
              <w14:schemeClr w14:val="tx1"/>
            </w14:solidFill>
          </w14:textFill>
        </w:rPr>
        <w:t>.4.1项</w:t>
      </w:r>
      <w:r>
        <w:rPr>
          <w:rFonts w:hint="eastAsia" w:ascii="宋体" w:hAnsi="宋体"/>
          <w:color w:val="000000" w:themeColor="text1"/>
          <w:kern w:val="0"/>
          <w:szCs w:val="21"/>
          <w14:textFill>
            <w14:solidFill>
              <w14:schemeClr w14:val="tx1"/>
            </w14:solidFill>
          </w14:textFill>
        </w:rPr>
        <w:t>中要求的相关证明材料</w:t>
      </w:r>
      <w:r>
        <w:rPr>
          <w:rFonts w:ascii="宋体" w:hAnsi="宋体"/>
          <w:color w:val="000000" w:themeColor="text1"/>
          <w:szCs w:val="21"/>
          <w14:textFill>
            <w14:solidFill>
              <w14:schemeClr w14:val="tx1"/>
            </w14:solidFill>
          </w14:textFill>
        </w:rPr>
        <w:t>。</w:t>
      </w:r>
    </w:p>
    <w:p w14:paraId="211B70FD">
      <w:pPr>
        <w:autoSpaceDE w:val="0"/>
        <w:autoSpaceDN w:val="0"/>
        <w:adjustRightInd w:val="0"/>
        <w:snapToGrid w:val="0"/>
        <w:spacing w:line="360" w:lineRule="auto"/>
        <w:ind w:left="103" w:leftChars="49" w:right="37" w:firstLine="420" w:firstLineChars="200"/>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投标人须知前附表规定接受联合体投标的，详见投标人须知前附表联合体投标相关内容。</w:t>
      </w:r>
    </w:p>
    <w:p w14:paraId="45C1574A">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334" w:name="_Toc200513151"/>
      <w:bookmarkStart w:id="335" w:name="_Toc287620710"/>
      <w:bookmarkStart w:id="336" w:name="_Toc287607771"/>
      <w:bookmarkStart w:id="337" w:name="_Toc224103342"/>
      <w:bookmarkStart w:id="338" w:name="_Toc226115548"/>
      <w:bookmarkStart w:id="339" w:name="_Toc430530460"/>
      <w:bookmarkStart w:id="340" w:name="_Toc509218735"/>
      <w:bookmarkStart w:id="341" w:name="_Toc7817"/>
      <w:bookmarkStart w:id="342" w:name="_Toc277082577"/>
      <w:r>
        <w:rPr>
          <w:rFonts w:ascii="宋体" w:hAnsi="宋体"/>
          <w:b w:val="0"/>
          <w:snapToGrid w:val="0"/>
          <w:color w:val="000000" w:themeColor="text1"/>
          <w:sz w:val="24"/>
          <w:szCs w:val="24"/>
          <w14:textFill>
            <w14:solidFill>
              <w14:schemeClr w14:val="tx1"/>
            </w14:solidFill>
          </w14:textFill>
        </w:rPr>
        <w:t>3.6  备选投标方案</w:t>
      </w:r>
      <w:bookmarkEnd w:id="334"/>
      <w:bookmarkEnd w:id="335"/>
      <w:bookmarkEnd w:id="336"/>
      <w:bookmarkEnd w:id="337"/>
      <w:bookmarkEnd w:id="338"/>
      <w:bookmarkEnd w:id="339"/>
      <w:bookmarkEnd w:id="340"/>
      <w:bookmarkEnd w:id="341"/>
      <w:bookmarkEnd w:id="342"/>
    </w:p>
    <w:p w14:paraId="3EDFE713">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除投标人须知前附表另有规定外，投标人不得递交备选投标方案。允许投标人递交备选投标方案的，只有中标人所递交的备选投标方案方可予以考虑。评标委员会认为中标人的备 选投标方案优于其按照竞争性比选文件要求编制的投标方案的，招标人可以接受该备选投标方案。</w:t>
      </w:r>
    </w:p>
    <w:p w14:paraId="3D7AEB33">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343" w:name="_Toc277082578"/>
      <w:bookmarkStart w:id="344" w:name="_Toc509218736"/>
      <w:bookmarkStart w:id="345" w:name="_Toc200513152"/>
      <w:bookmarkStart w:id="346" w:name="_Toc226115549"/>
      <w:bookmarkStart w:id="347" w:name="_Toc224103343"/>
      <w:bookmarkStart w:id="348" w:name="_Toc287607772"/>
      <w:bookmarkStart w:id="349" w:name="_Toc25349"/>
      <w:bookmarkStart w:id="350" w:name="_Toc430530461"/>
      <w:bookmarkStart w:id="351" w:name="_Toc287620711"/>
      <w:r>
        <w:rPr>
          <w:rFonts w:ascii="宋体" w:hAnsi="宋体"/>
          <w:b w:val="0"/>
          <w:snapToGrid w:val="0"/>
          <w:color w:val="000000" w:themeColor="text1"/>
          <w:sz w:val="24"/>
          <w:szCs w:val="24"/>
          <w14:textFill>
            <w14:solidFill>
              <w14:schemeClr w14:val="tx1"/>
            </w14:solidFill>
          </w14:textFill>
        </w:rPr>
        <w:t>3.7  投标文件的编制</w:t>
      </w:r>
      <w:bookmarkEnd w:id="343"/>
      <w:bookmarkEnd w:id="344"/>
      <w:bookmarkEnd w:id="345"/>
      <w:bookmarkEnd w:id="346"/>
      <w:bookmarkEnd w:id="347"/>
      <w:bookmarkEnd w:id="348"/>
      <w:bookmarkEnd w:id="349"/>
      <w:bookmarkEnd w:id="350"/>
      <w:bookmarkEnd w:id="351"/>
    </w:p>
    <w:p w14:paraId="09A65CE3">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3.7.1  投标文件应按第八章“投标文件格式”进行编写，如有必要，可以增加附页，作为投标文件的组成部分。其中，投标函附录在满足竞争性比选文件实质性要求的基础上，可以提出比竞争性比选文件要求更有利于招标人的承诺。</w:t>
      </w:r>
    </w:p>
    <w:p w14:paraId="3247AF28">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3.7.2  投标文件应当对竞争性比选文件有关工期、投标有效期、质量要求、技术标准和要求、招标范围等实质性内容做出响应。</w:t>
      </w:r>
    </w:p>
    <w:p w14:paraId="187B5C85">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position w:val="-2"/>
          <w:szCs w:val="21"/>
          <w14:textFill>
            <w14:solidFill>
              <w14:schemeClr w14:val="tx1"/>
            </w14:solidFill>
          </w14:textFill>
        </w:rPr>
        <w:t xml:space="preserve">3.7.3  </w:t>
      </w:r>
      <w:r>
        <w:rPr>
          <w:rFonts w:hint="eastAsia" w:ascii="宋体" w:hAnsi="宋体"/>
          <w:snapToGrid w:val="0"/>
          <w:color w:val="000000" w:themeColor="text1"/>
          <w:kern w:val="0"/>
          <w:position w:val="-2"/>
          <w:szCs w:val="21"/>
          <w14:textFill>
            <w14:solidFill>
              <w14:schemeClr w14:val="tx1"/>
            </w14:solidFill>
          </w14:textFill>
        </w:rPr>
        <w:t>投标文件的签名盖章要求：按本章投标人须知前附表第3.7.3项执行。</w:t>
      </w:r>
    </w:p>
    <w:p w14:paraId="0E08CEA7">
      <w:pPr>
        <w:autoSpaceDE w:val="0"/>
        <w:autoSpaceDN w:val="0"/>
        <w:adjustRightInd w:val="0"/>
        <w:snapToGrid w:val="0"/>
        <w:spacing w:line="360" w:lineRule="auto"/>
        <w:ind w:right="-164"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 xml:space="preserve">3.7.4  </w:t>
      </w:r>
      <w:r>
        <w:rPr>
          <w:rFonts w:hint="eastAsia" w:ascii="宋体" w:hAnsi="宋体"/>
          <w:snapToGrid w:val="0"/>
          <w:color w:val="000000" w:themeColor="text1"/>
          <w:kern w:val="0"/>
          <w:szCs w:val="21"/>
          <w14:textFill>
            <w14:solidFill>
              <w14:schemeClr w14:val="tx1"/>
            </w14:solidFill>
          </w14:textFill>
        </w:rPr>
        <w:t>投标文件份数：</w:t>
      </w:r>
      <w:r>
        <w:rPr>
          <w:rFonts w:hint="eastAsia" w:ascii="宋体" w:hAnsi="宋体"/>
          <w:color w:val="000000" w:themeColor="text1"/>
          <w:kern w:val="0"/>
          <w:szCs w:val="21"/>
          <w14:textFill>
            <w14:solidFill>
              <w14:schemeClr w14:val="tx1"/>
            </w14:solidFill>
          </w14:textFill>
        </w:rPr>
        <w:t>投标人网上提交加密投标文件一份</w:t>
      </w:r>
      <w:r>
        <w:rPr>
          <w:rFonts w:ascii="宋体" w:hAnsi="宋体"/>
          <w:color w:val="000000" w:themeColor="text1"/>
          <w:kern w:val="0"/>
          <w:szCs w:val="21"/>
          <w14:textFill>
            <w14:solidFill>
              <w14:schemeClr w14:val="tx1"/>
            </w14:solidFill>
          </w14:textFill>
        </w:rPr>
        <w:t>。</w:t>
      </w:r>
    </w:p>
    <w:p w14:paraId="36F7536E">
      <w:pPr>
        <w:autoSpaceDE w:val="0"/>
        <w:autoSpaceDN w:val="0"/>
        <w:adjustRightInd w:val="0"/>
        <w:snapToGrid w:val="0"/>
        <w:spacing w:line="360" w:lineRule="auto"/>
        <w:ind w:right="-109"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3.7.5  投标文件</w:t>
      </w:r>
      <w:r>
        <w:rPr>
          <w:rFonts w:hint="eastAsia" w:ascii="宋体" w:hAnsi="宋体"/>
          <w:snapToGrid w:val="0"/>
          <w:color w:val="000000" w:themeColor="text1"/>
          <w:kern w:val="0"/>
          <w:szCs w:val="21"/>
          <w14:textFill>
            <w14:solidFill>
              <w14:schemeClr w14:val="tx1"/>
            </w14:solidFill>
          </w14:textFill>
        </w:rPr>
        <w:t>应按规定格式排版</w:t>
      </w:r>
      <w:r>
        <w:rPr>
          <w:rFonts w:ascii="宋体" w:hAnsi="宋体"/>
          <w:snapToGrid w:val="0"/>
          <w:color w:val="000000" w:themeColor="text1"/>
          <w:kern w:val="0"/>
          <w:szCs w:val="21"/>
          <w14:textFill>
            <w14:solidFill>
              <w14:schemeClr w14:val="tx1"/>
            </w14:solidFill>
          </w14:textFill>
        </w:rPr>
        <w:t>，并编制目录，具体</w:t>
      </w:r>
      <w:r>
        <w:rPr>
          <w:rFonts w:hint="eastAsia" w:ascii="宋体" w:hAnsi="宋体"/>
          <w:snapToGrid w:val="0"/>
          <w:color w:val="000000" w:themeColor="text1"/>
          <w:kern w:val="0"/>
          <w:szCs w:val="21"/>
          <w14:textFill>
            <w14:solidFill>
              <w14:schemeClr w14:val="tx1"/>
            </w14:solidFill>
          </w14:textFill>
        </w:rPr>
        <w:t>编制</w:t>
      </w:r>
      <w:r>
        <w:rPr>
          <w:rFonts w:ascii="宋体" w:hAnsi="宋体"/>
          <w:snapToGrid w:val="0"/>
          <w:color w:val="000000" w:themeColor="text1"/>
          <w:kern w:val="0"/>
          <w:szCs w:val="21"/>
          <w14:textFill>
            <w14:solidFill>
              <w14:schemeClr w14:val="tx1"/>
            </w14:solidFill>
          </w14:textFill>
        </w:rPr>
        <w:t>要求见投标人须知前附表规定。</w:t>
      </w:r>
    </w:p>
    <w:p w14:paraId="61CEFC01">
      <w:pPr>
        <w:pStyle w:val="4"/>
        <w:keepNext w:val="0"/>
        <w:keepLines w:val="0"/>
        <w:spacing w:before="0" w:after="0" w:line="360" w:lineRule="auto"/>
        <w:rPr>
          <w:rFonts w:hint="eastAsia" w:ascii="宋体" w:hAnsi="宋体"/>
          <w:b w:val="0"/>
          <w:snapToGrid w:val="0"/>
          <w:color w:val="000000" w:themeColor="text1"/>
          <w14:textFill>
            <w14:solidFill>
              <w14:schemeClr w14:val="tx1"/>
            </w14:solidFill>
          </w14:textFill>
        </w:rPr>
      </w:pPr>
      <w:bookmarkStart w:id="352" w:name="_Toc226115550"/>
      <w:bookmarkStart w:id="353" w:name="_Toc224103344"/>
      <w:bookmarkStart w:id="354" w:name="_Toc20108"/>
      <w:bookmarkStart w:id="355" w:name="_Toc287607773"/>
      <w:bookmarkStart w:id="356" w:name="_Toc509218737"/>
      <w:bookmarkStart w:id="357" w:name="_Toc287620712"/>
      <w:bookmarkStart w:id="358" w:name="_Toc200513153"/>
      <w:bookmarkStart w:id="359" w:name="_Toc277082579"/>
      <w:bookmarkStart w:id="360" w:name="_Toc430530462"/>
      <w:r>
        <w:rPr>
          <w:rFonts w:ascii="宋体" w:hAnsi="宋体"/>
          <w:b w:val="0"/>
          <w:snapToGrid w:val="0"/>
          <w:color w:val="000000" w:themeColor="text1"/>
          <w14:textFill>
            <w14:solidFill>
              <w14:schemeClr w14:val="tx1"/>
            </w14:solidFill>
          </w14:textFill>
        </w:rPr>
        <w:t>4.  投标</w:t>
      </w:r>
      <w:bookmarkEnd w:id="352"/>
      <w:bookmarkEnd w:id="353"/>
      <w:bookmarkEnd w:id="354"/>
      <w:bookmarkEnd w:id="355"/>
      <w:bookmarkEnd w:id="356"/>
      <w:bookmarkEnd w:id="357"/>
      <w:bookmarkEnd w:id="358"/>
      <w:bookmarkEnd w:id="359"/>
      <w:bookmarkEnd w:id="360"/>
    </w:p>
    <w:p w14:paraId="5795C9FB">
      <w:pPr>
        <w:pStyle w:val="5"/>
        <w:keepNext w:val="0"/>
        <w:keepLines w:val="0"/>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361" w:name="_Toc200513154"/>
      <w:bookmarkStart w:id="362" w:name="_Toc277082580"/>
      <w:bookmarkStart w:id="363" w:name="_Toc287607774"/>
      <w:bookmarkStart w:id="364" w:name="_Toc430530463"/>
      <w:bookmarkStart w:id="365" w:name="_Toc226115551"/>
      <w:bookmarkStart w:id="366" w:name="_Toc509218738"/>
      <w:bookmarkStart w:id="367" w:name="_Toc287620713"/>
      <w:bookmarkStart w:id="368" w:name="_Toc224103345"/>
      <w:bookmarkStart w:id="369" w:name="_Toc14708"/>
      <w:r>
        <w:rPr>
          <w:rFonts w:ascii="宋体" w:hAnsi="宋体"/>
          <w:b w:val="0"/>
          <w:snapToGrid w:val="0"/>
          <w:color w:val="000000" w:themeColor="text1"/>
          <w:sz w:val="24"/>
          <w:szCs w:val="24"/>
          <w14:textFill>
            <w14:solidFill>
              <w14:schemeClr w14:val="tx1"/>
            </w14:solidFill>
          </w14:textFill>
        </w:rPr>
        <w:t>4.1  投标文件的密封和标记</w:t>
      </w:r>
      <w:bookmarkEnd w:id="361"/>
      <w:bookmarkEnd w:id="362"/>
      <w:bookmarkEnd w:id="363"/>
      <w:bookmarkEnd w:id="364"/>
      <w:bookmarkEnd w:id="365"/>
      <w:bookmarkEnd w:id="366"/>
      <w:bookmarkEnd w:id="367"/>
      <w:bookmarkEnd w:id="368"/>
      <w:bookmarkEnd w:id="369"/>
    </w:p>
    <w:p w14:paraId="2D099D3C">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bookmarkStart w:id="370" w:name="_Toc200513155"/>
      <w:r>
        <w:rPr>
          <w:rFonts w:ascii="宋体" w:hAnsi="宋体"/>
          <w:snapToGrid w:val="0"/>
          <w:color w:val="000000" w:themeColor="text1"/>
          <w:kern w:val="0"/>
          <w:szCs w:val="21"/>
          <w14:textFill>
            <w14:solidFill>
              <w14:schemeClr w14:val="tx1"/>
            </w14:solidFill>
          </w14:textFill>
        </w:rPr>
        <w:t>4.1.1  投标文件的密封</w:t>
      </w:r>
      <w:r>
        <w:rPr>
          <w:rFonts w:hint="eastAsia" w:ascii="宋体" w:hAnsi="宋体"/>
          <w:snapToGrid w:val="0"/>
          <w:color w:val="000000" w:themeColor="text1"/>
          <w:kern w:val="0"/>
          <w:szCs w:val="21"/>
          <w14:textFill>
            <w14:solidFill>
              <w14:schemeClr w14:val="tx1"/>
            </w14:solidFill>
          </w14:textFill>
        </w:rPr>
        <w:t>：</w:t>
      </w:r>
      <w:r>
        <w:rPr>
          <w:rFonts w:ascii="宋体" w:hAnsi="宋体"/>
          <w:snapToGrid w:val="0"/>
          <w:color w:val="000000" w:themeColor="text1"/>
          <w:kern w:val="0"/>
          <w:szCs w:val="21"/>
          <w14:textFill>
            <w14:solidFill>
              <w14:schemeClr w14:val="tx1"/>
            </w14:solidFill>
          </w14:textFill>
        </w:rPr>
        <w:t>见投标人须知前附表。</w:t>
      </w:r>
    </w:p>
    <w:p w14:paraId="2C09C7F9">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4.1.2  投标文件的封套上应写明的内容</w:t>
      </w:r>
      <w:r>
        <w:rPr>
          <w:rFonts w:hint="eastAsia" w:ascii="宋体" w:hAnsi="宋体"/>
          <w:snapToGrid w:val="0"/>
          <w:color w:val="000000" w:themeColor="text1"/>
          <w:kern w:val="0"/>
          <w:szCs w:val="21"/>
          <w14:textFill>
            <w14:solidFill>
              <w14:schemeClr w14:val="tx1"/>
            </w14:solidFill>
          </w14:textFill>
        </w:rPr>
        <w:t>：</w:t>
      </w:r>
      <w:r>
        <w:rPr>
          <w:rFonts w:ascii="宋体" w:hAnsi="宋体"/>
          <w:snapToGrid w:val="0"/>
          <w:color w:val="000000" w:themeColor="text1"/>
          <w:kern w:val="0"/>
          <w:szCs w:val="21"/>
          <w14:textFill>
            <w14:solidFill>
              <w14:schemeClr w14:val="tx1"/>
            </w14:solidFill>
          </w14:textFill>
        </w:rPr>
        <w:t>见投标人须知前附表。</w:t>
      </w:r>
    </w:p>
    <w:p w14:paraId="23AAE951">
      <w:pPr>
        <w:pStyle w:val="5"/>
        <w:keepNext w:val="0"/>
        <w:keepLines w:val="0"/>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371" w:name="_Toc277082581"/>
      <w:bookmarkStart w:id="372" w:name="_Toc226115552"/>
      <w:bookmarkStart w:id="373" w:name="_Toc509218739"/>
      <w:bookmarkStart w:id="374" w:name="_Toc9972"/>
      <w:bookmarkStart w:id="375" w:name="_Toc287620714"/>
      <w:bookmarkStart w:id="376" w:name="_Toc430530464"/>
      <w:bookmarkStart w:id="377" w:name="_Toc287607775"/>
      <w:bookmarkStart w:id="378" w:name="_Toc224103346"/>
      <w:r>
        <w:rPr>
          <w:rFonts w:ascii="宋体" w:hAnsi="宋体"/>
          <w:b w:val="0"/>
          <w:snapToGrid w:val="0"/>
          <w:color w:val="000000" w:themeColor="text1"/>
          <w:sz w:val="24"/>
          <w:szCs w:val="24"/>
          <w14:textFill>
            <w14:solidFill>
              <w14:schemeClr w14:val="tx1"/>
            </w14:solidFill>
          </w14:textFill>
        </w:rPr>
        <w:t>4.2  投标文件的递交</w:t>
      </w:r>
      <w:bookmarkEnd w:id="370"/>
      <w:bookmarkEnd w:id="371"/>
      <w:bookmarkEnd w:id="372"/>
      <w:bookmarkEnd w:id="373"/>
      <w:bookmarkEnd w:id="374"/>
      <w:bookmarkEnd w:id="375"/>
      <w:bookmarkEnd w:id="376"/>
      <w:bookmarkEnd w:id="377"/>
      <w:bookmarkEnd w:id="378"/>
    </w:p>
    <w:p w14:paraId="269A3B11">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4.2.1  投标人应在投标人须知前附表第 2.2.2 项规定的投标截止时间前递交投标文件。</w:t>
      </w:r>
    </w:p>
    <w:p w14:paraId="752E7F65">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4.2.2  投标人递交投标文件的地点：见投标人须知前附表。</w:t>
      </w:r>
    </w:p>
    <w:p w14:paraId="1EE6B8F0">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4.2.3  除投标人须知前附表另有规定外，投标人所递交的投标文件不予退还。</w:t>
      </w:r>
    </w:p>
    <w:p w14:paraId="35276D0A">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4.2.</w:t>
      </w:r>
      <w:r>
        <w:rPr>
          <w:rFonts w:hint="eastAsia" w:ascii="宋体" w:hAnsi="宋体"/>
          <w:snapToGrid w:val="0"/>
          <w:color w:val="000000" w:themeColor="text1"/>
          <w:kern w:val="0"/>
          <w:szCs w:val="21"/>
          <w14:textFill>
            <w14:solidFill>
              <w14:schemeClr w14:val="tx1"/>
            </w14:solidFill>
          </w14:textFill>
        </w:rPr>
        <w:t>4</w:t>
      </w:r>
      <w:r>
        <w:rPr>
          <w:rFonts w:ascii="宋体" w:hAnsi="宋体"/>
          <w:snapToGrid w:val="0"/>
          <w:color w:val="000000" w:themeColor="text1"/>
          <w:kern w:val="0"/>
          <w:szCs w:val="21"/>
          <w14:textFill>
            <w14:solidFill>
              <w14:schemeClr w14:val="tx1"/>
            </w14:solidFill>
          </w14:textFill>
        </w:rPr>
        <w:t xml:space="preserve">  逾期送达的或者未送达指定地点的投标文件，招标人不予受理。</w:t>
      </w:r>
    </w:p>
    <w:p w14:paraId="6080271C">
      <w:pPr>
        <w:pStyle w:val="5"/>
        <w:keepNext w:val="0"/>
        <w:keepLines w:val="0"/>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379" w:name="_Toc224103347"/>
      <w:bookmarkStart w:id="380" w:name="_Toc287607776"/>
      <w:bookmarkStart w:id="381" w:name="_Toc430530465"/>
      <w:bookmarkStart w:id="382" w:name="_Toc200513156"/>
      <w:bookmarkStart w:id="383" w:name="_Toc287620715"/>
      <w:bookmarkStart w:id="384" w:name="_Toc277082582"/>
      <w:bookmarkStart w:id="385" w:name="_Toc226115553"/>
      <w:bookmarkStart w:id="386" w:name="_Toc509218740"/>
      <w:bookmarkStart w:id="387" w:name="_Toc28608"/>
      <w:r>
        <w:rPr>
          <w:rFonts w:ascii="宋体" w:hAnsi="宋体"/>
          <w:b w:val="0"/>
          <w:snapToGrid w:val="0"/>
          <w:color w:val="000000" w:themeColor="text1"/>
          <w:sz w:val="24"/>
          <w:szCs w:val="24"/>
          <w14:textFill>
            <w14:solidFill>
              <w14:schemeClr w14:val="tx1"/>
            </w14:solidFill>
          </w14:textFill>
        </w:rPr>
        <w:t>4.3  投标文件的修改与撤回</w:t>
      </w:r>
      <w:bookmarkEnd w:id="379"/>
      <w:bookmarkEnd w:id="380"/>
      <w:bookmarkEnd w:id="381"/>
      <w:bookmarkEnd w:id="382"/>
      <w:bookmarkEnd w:id="383"/>
      <w:bookmarkEnd w:id="384"/>
      <w:bookmarkEnd w:id="385"/>
      <w:bookmarkEnd w:id="386"/>
      <w:bookmarkEnd w:id="387"/>
    </w:p>
    <w:p w14:paraId="519F174A">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4.3.1  在投标人须知前附表第2.2.2项规定的投标截止时间前，投标人可以修改或撤回已递交的投标文件。</w:t>
      </w:r>
      <w:r>
        <w:rPr>
          <w:rFonts w:hint="eastAsia" w:ascii="宋体" w:hAnsi="宋体" w:cs="宋体"/>
          <w:color w:val="000000" w:themeColor="text1"/>
          <w:szCs w:val="21"/>
          <w14:textFill>
            <w14:solidFill>
              <w14:schemeClr w14:val="tx1"/>
            </w14:solidFill>
          </w14:textFill>
        </w:rPr>
        <w:t>投标人修改投标文件的，应按照本章第 3.7.3 项的要求重新对投标文件进行签章，再按照本章第 4.2 款的要求提交。</w:t>
      </w:r>
    </w:p>
    <w:p w14:paraId="299525F0">
      <w:pPr>
        <w:pStyle w:val="4"/>
        <w:keepNext w:val="0"/>
        <w:keepLines w:val="0"/>
        <w:spacing w:before="0" w:after="0" w:line="360" w:lineRule="auto"/>
        <w:rPr>
          <w:rFonts w:hint="eastAsia" w:ascii="宋体" w:hAnsi="宋体"/>
          <w:b w:val="0"/>
          <w:snapToGrid w:val="0"/>
          <w:color w:val="000000" w:themeColor="text1"/>
          <w14:textFill>
            <w14:solidFill>
              <w14:schemeClr w14:val="tx1"/>
            </w14:solidFill>
          </w14:textFill>
        </w:rPr>
      </w:pPr>
      <w:bookmarkStart w:id="388" w:name="_Toc509218741"/>
      <w:bookmarkStart w:id="389" w:name="_Toc277082583"/>
      <w:bookmarkStart w:id="390" w:name="_Toc200513157"/>
      <w:bookmarkStart w:id="391" w:name="_Toc287620716"/>
      <w:bookmarkStart w:id="392" w:name="_Toc430530466"/>
      <w:bookmarkStart w:id="393" w:name="_Toc287607777"/>
      <w:bookmarkStart w:id="394" w:name="_Toc224103348"/>
      <w:bookmarkStart w:id="395" w:name="_Toc19876"/>
      <w:bookmarkStart w:id="396" w:name="_Toc226115554"/>
      <w:r>
        <w:rPr>
          <w:rFonts w:ascii="宋体" w:hAnsi="宋体"/>
          <w:b w:val="0"/>
          <w:snapToGrid w:val="0"/>
          <w:color w:val="000000" w:themeColor="text1"/>
          <w14:textFill>
            <w14:solidFill>
              <w14:schemeClr w14:val="tx1"/>
            </w14:solidFill>
          </w14:textFill>
        </w:rPr>
        <w:t>5.  开标</w:t>
      </w:r>
      <w:bookmarkEnd w:id="388"/>
      <w:bookmarkEnd w:id="389"/>
      <w:bookmarkEnd w:id="390"/>
      <w:bookmarkEnd w:id="391"/>
      <w:bookmarkEnd w:id="392"/>
      <w:bookmarkEnd w:id="393"/>
      <w:bookmarkEnd w:id="394"/>
      <w:bookmarkEnd w:id="395"/>
      <w:bookmarkEnd w:id="396"/>
    </w:p>
    <w:p w14:paraId="788B5F64">
      <w:pPr>
        <w:pStyle w:val="5"/>
        <w:keepNext w:val="0"/>
        <w:keepLines w:val="0"/>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397" w:name="_Toc224103349"/>
      <w:bookmarkStart w:id="398" w:name="_Toc200513158"/>
      <w:bookmarkStart w:id="399" w:name="_Toc287607778"/>
      <w:bookmarkStart w:id="400" w:name="_Toc430530467"/>
      <w:bookmarkStart w:id="401" w:name="_Toc1678"/>
      <w:bookmarkStart w:id="402" w:name="_Toc277082584"/>
      <w:bookmarkStart w:id="403" w:name="_Toc287620717"/>
      <w:bookmarkStart w:id="404" w:name="_Toc226115555"/>
      <w:bookmarkStart w:id="405" w:name="_Toc509218742"/>
      <w:r>
        <w:rPr>
          <w:rFonts w:ascii="宋体" w:hAnsi="宋体"/>
          <w:b w:val="0"/>
          <w:snapToGrid w:val="0"/>
          <w:color w:val="000000" w:themeColor="text1"/>
          <w:sz w:val="24"/>
          <w:szCs w:val="24"/>
          <w14:textFill>
            <w14:solidFill>
              <w14:schemeClr w14:val="tx1"/>
            </w14:solidFill>
          </w14:textFill>
        </w:rPr>
        <w:t>5.1  开标时间和地点</w:t>
      </w:r>
      <w:bookmarkEnd w:id="397"/>
      <w:bookmarkEnd w:id="398"/>
      <w:bookmarkEnd w:id="399"/>
      <w:bookmarkEnd w:id="400"/>
      <w:bookmarkEnd w:id="401"/>
      <w:bookmarkEnd w:id="402"/>
      <w:bookmarkEnd w:id="403"/>
      <w:bookmarkEnd w:id="404"/>
      <w:bookmarkEnd w:id="405"/>
    </w:p>
    <w:p w14:paraId="4E7A5946">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 xml:space="preserve">5.1.1  </w:t>
      </w:r>
      <w:r>
        <w:rPr>
          <w:rFonts w:ascii="宋体" w:hAnsi="宋体"/>
          <w:snapToGrid w:val="0"/>
          <w:color w:val="000000" w:themeColor="text1"/>
          <w:kern w:val="0"/>
          <w:szCs w:val="21"/>
          <w14:textFill>
            <w14:solidFill>
              <w14:schemeClr w14:val="tx1"/>
            </w14:solidFill>
          </w14:textFill>
        </w:rPr>
        <w:t>招标人在投标人须知前附表第 2.2.2 项规定的投标截止时间（开标时间）和投标人须知前附表规定的地点公开开标，并邀请所有投标人的法定代表人或其委托代理人准时参加。</w:t>
      </w:r>
    </w:p>
    <w:p w14:paraId="0B75E95B">
      <w:pPr>
        <w:pStyle w:val="5"/>
        <w:keepNext w:val="0"/>
        <w:keepLines w:val="0"/>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406" w:name="_Toc277082585"/>
      <w:bookmarkStart w:id="407" w:name="_Toc12729"/>
      <w:bookmarkStart w:id="408" w:name="_Toc287607779"/>
      <w:bookmarkStart w:id="409" w:name="_Toc200513159"/>
      <w:bookmarkStart w:id="410" w:name="_Toc224103350"/>
      <w:bookmarkStart w:id="411" w:name="_Toc287620718"/>
      <w:bookmarkStart w:id="412" w:name="_Toc430530468"/>
      <w:bookmarkStart w:id="413" w:name="_Toc509218743"/>
      <w:bookmarkStart w:id="414" w:name="_Toc226115556"/>
      <w:r>
        <w:rPr>
          <w:rFonts w:ascii="宋体" w:hAnsi="宋体"/>
          <w:b w:val="0"/>
          <w:snapToGrid w:val="0"/>
          <w:color w:val="000000" w:themeColor="text1"/>
          <w:sz w:val="24"/>
          <w:szCs w:val="24"/>
          <w14:textFill>
            <w14:solidFill>
              <w14:schemeClr w14:val="tx1"/>
            </w14:solidFill>
          </w14:textFill>
        </w:rPr>
        <w:t>5.2  开标程序</w:t>
      </w:r>
      <w:bookmarkEnd w:id="406"/>
      <w:bookmarkEnd w:id="407"/>
      <w:bookmarkEnd w:id="408"/>
      <w:bookmarkEnd w:id="409"/>
      <w:bookmarkEnd w:id="410"/>
      <w:bookmarkEnd w:id="411"/>
      <w:bookmarkEnd w:id="412"/>
      <w:bookmarkEnd w:id="413"/>
      <w:bookmarkEnd w:id="414"/>
    </w:p>
    <w:p w14:paraId="79EFD889">
      <w:pPr>
        <w:autoSpaceDE w:val="0"/>
        <w:autoSpaceDN w:val="0"/>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bookmarkStart w:id="415" w:name="_Toc277082586"/>
      <w:bookmarkStart w:id="416" w:name="_Toc287607780"/>
      <w:bookmarkStart w:id="417" w:name="_Toc287620719"/>
      <w:bookmarkStart w:id="418" w:name="_Toc200513160"/>
      <w:bookmarkStart w:id="419" w:name="_Toc224103351"/>
      <w:r>
        <w:rPr>
          <w:rFonts w:ascii="宋体" w:hAnsi="宋体"/>
          <w:color w:val="000000" w:themeColor="text1"/>
          <w:szCs w:val="21"/>
          <w14:textFill>
            <w14:solidFill>
              <w14:schemeClr w14:val="tx1"/>
            </w14:solidFill>
          </w14:textFill>
        </w:rPr>
        <w:t>详见投标人须知前附表第5.2款开标程序。</w:t>
      </w:r>
    </w:p>
    <w:p w14:paraId="664B29E2">
      <w:pPr>
        <w:pStyle w:val="5"/>
        <w:keepNext w:val="0"/>
        <w:keepLines w:val="0"/>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420" w:name="_Toc226115557"/>
      <w:bookmarkStart w:id="421" w:name="_Toc1390"/>
      <w:r>
        <w:rPr>
          <w:rFonts w:ascii="宋体" w:hAnsi="宋体"/>
          <w:b w:val="0"/>
          <w:snapToGrid w:val="0"/>
          <w:color w:val="000000" w:themeColor="text1"/>
          <w:sz w:val="24"/>
          <w:szCs w:val="24"/>
          <w14:textFill>
            <w14:solidFill>
              <w14:schemeClr w14:val="tx1"/>
            </w14:solidFill>
          </w14:textFill>
        </w:rPr>
        <w:t>5.</w:t>
      </w:r>
      <w:r>
        <w:rPr>
          <w:rFonts w:hint="eastAsia" w:ascii="宋体" w:hAnsi="宋体"/>
          <w:b w:val="0"/>
          <w:snapToGrid w:val="0"/>
          <w:color w:val="000000" w:themeColor="text1"/>
          <w:sz w:val="24"/>
          <w:szCs w:val="24"/>
          <w14:textFill>
            <w14:solidFill>
              <w14:schemeClr w14:val="tx1"/>
            </w14:solidFill>
          </w14:textFill>
        </w:rPr>
        <w:t>3</w:t>
      </w:r>
      <w:r>
        <w:rPr>
          <w:rFonts w:ascii="宋体" w:hAnsi="宋体"/>
          <w:b w:val="0"/>
          <w:snapToGrid w:val="0"/>
          <w:color w:val="000000" w:themeColor="text1"/>
          <w:sz w:val="24"/>
          <w:szCs w:val="24"/>
          <w14:textFill>
            <w14:solidFill>
              <w14:schemeClr w14:val="tx1"/>
            </w14:solidFill>
          </w14:textFill>
        </w:rPr>
        <w:t xml:space="preserve">  </w:t>
      </w:r>
      <w:r>
        <w:rPr>
          <w:rFonts w:hint="eastAsia" w:ascii="宋体" w:hAnsi="宋体"/>
          <w:b w:val="0"/>
          <w:snapToGrid w:val="0"/>
          <w:color w:val="000000" w:themeColor="text1"/>
          <w:sz w:val="24"/>
          <w:szCs w:val="24"/>
          <w14:textFill>
            <w14:solidFill>
              <w14:schemeClr w14:val="tx1"/>
            </w14:solidFill>
          </w14:textFill>
        </w:rPr>
        <w:t>开标异议</w:t>
      </w:r>
      <w:bookmarkEnd w:id="420"/>
      <w:bookmarkEnd w:id="421"/>
    </w:p>
    <w:p w14:paraId="7BCBAB3A">
      <w:pPr>
        <w:autoSpaceDE w:val="0"/>
        <w:autoSpaceDN w:val="0"/>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对开标有异议的，应在开标现场提出，开标现场提出异议的，应出示法定代表人身份证明或附有法定代表人身份证明的授权委托书。招标人当场作出答复，并制作记录，有异议的投标人代表、招标人代表、主持人、记录人等有关人员在记录上签名确认</w:t>
      </w:r>
      <w:r>
        <w:rPr>
          <w:rFonts w:ascii="宋体" w:hAnsi="宋体"/>
          <w:color w:val="000000" w:themeColor="text1"/>
          <w:szCs w:val="21"/>
          <w14:textFill>
            <w14:solidFill>
              <w14:schemeClr w14:val="tx1"/>
            </w14:solidFill>
          </w14:textFill>
        </w:rPr>
        <w:t>。</w:t>
      </w:r>
    </w:p>
    <w:p w14:paraId="64C98B74">
      <w:pPr>
        <w:pStyle w:val="4"/>
        <w:keepNext w:val="0"/>
        <w:keepLines w:val="0"/>
        <w:spacing w:before="0" w:after="0" w:line="360" w:lineRule="auto"/>
        <w:rPr>
          <w:rFonts w:hint="eastAsia" w:ascii="宋体" w:hAnsi="宋体"/>
          <w:b w:val="0"/>
          <w:snapToGrid w:val="0"/>
          <w:color w:val="000000" w:themeColor="text1"/>
          <w14:textFill>
            <w14:solidFill>
              <w14:schemeClr w14:val="tx1"/>
            </w14:solidFill>
          </w14:textFill>
        </w:rPr>
      </w:pPr>
      <w:bookmarkStart w:id="422" w:name="_Toc17889"/>
      <w:bookmarkStart w:id="423" w:name="_Toc430530469"/>
      <w:bookmarkStart w:id="424" w:name="_Toc509218744"/>
      <w:bookmarkStart w:id="425" w:name="_Toc226115558"/>
      <w:r>
        <w:rPr>
          <w:rFonts w:ascii="宋体" w:hAnsi="宋体"/>
          <w:b w:val="0"/>
          <w:snapToGrid w:val="0"/>
          <w:color w:val="000000" w:themeColor="text1"/>
          <w14:textFill>
            <w14:solidFill>
              <w14:schemeClr w14:val="tx1"/>
            </w14:solidFill>
          </w14:textFill>
        </w:rPr>
        <w:t>6.  评标</w:t>
      </w:r>
      <w:bookmarkEnd w:id="415"/>
      <w:bookmarkEnd w:id="416"/>
      <w:bookmarkEnd w:id="417"/>
      <w:bookmarkEnd w:id="418"/>
      <w:bookmarkEnd w:id="419"/>
      <w:bookmarkEnd w:id="422"/>
      <w:bookmarkEnd w:id="423"/>
      <w:bookmarkEnd w:id="424"/>
      <w:bookmarkEnd w:id="425"/>
    </w:p>
    <w:p w14:paraId="434E7364">
      <w:pPr>
        <w:pStyle w:val="5"/>
        <w:keepNext w:val="0"/>
        <w:keepLines w:val="0"/>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426" w:name="_Toc509218745"/>
      <w:bookmarkStart w:id="427" w:name="_Toc277082587"/>
      <w:bookmarkStart w:id="428" w:name="_Toc24645"/>
      <w:bookmarkStart w:id="429" w:name="_Toc200513161"/>
      <w:bookmarkStart w:id="430" w:name="_Toc224103352"/>
      <w:bookmarkStart w:id="431" w:name="_Toc430530470"/>
      <w:bookmarkStart w:id="432" w:name="_Toc287607781"/>
      <w:bookmarkStart w:id="433" w:name="_Toc287620720"/>
      <w:bookmarkStart w:id="434" w:name="_Toc226115559"/>
      <w:r>
        <w:rPr>
          <w:rFonts w:ascii="宋体" w:hAnsi="宋体"/>
          <w:b w:val="0"/>
          <w:snapToGrid w:val="0"/>
          <w:color w:val="000000" w:themeColor="text1"/>
          <w:sz w:val="24"/>
          <w:szCs w:val="24"/>
          <w14:textFill>
            <w14:solidFill>
              <w14:schemeClr w14:val="tx1"/>
            </w14:solidFill>
          </w14:textFill>
        </w:rPr>
        <w:t>6.1  评标委员会</w:t>
      </w:r>
      <w:bookmarkEnd w:id="426"/>
      <w:bookmarkEnd w:id="427"/>
      <w:bookmarkEnd w:id="428"/>
      <w:bookmarkEnd w:id="429"/>
      <w:bookmarkEnd w:id="430"/>
      <w:bookmarkEnd w:id="431"/>
      <w:bookmarkEnd w:id="432"/>
      <w:bookmarkEnd w:id="433"/>
      <w:bookmarkEnd w:id="434"/>
    </w:p>
    <w:p w14:paraId="736425EA">
      <w:pPr>
        <w:autoSpaceDE w:val="0"/>
        <w:autoSpaceDN w:val="0"/>
        <w:adjustRightInd w:val="0"/>
        <w:snapToGrid w:val="0"/>
        <w:spacing w:line="360" w:lineRule="auto"/>
        <w:ind w:firstLine="420" w:firstLineChars="200"/>
        <w:rPr>
          <w:rFonts w:hint="eastAsia" w:ascii="宋体" w:hAnsi="宋体"/>
          <w:b/>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6.1.1  评标由招标人依据法律法规和相关规范性文件组建的评标委员会负责。</w:t>
      </w:r>
    </w:p>
    <w:p w14:paraId="7BF155B0">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6.1.2  评标委员会成员有下列情形之一的，应当回避：</w:t>
      </w:r>
    </w:p>
    <w:p w14:paraId="2F71BC53">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（1）投标人或投标人的主要负责人的近亲属；</w:t>
      </w:r>
    </w:p>
    <w:p w14:paraId="321D63A7">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（2）项目主管部门或者</w:t>
      </w:r>
      <w:r>
        <w:rPr>
          <w:rFonts w:hint="eastAsia" w:ascii="宋体" w:hAnsi="宋体"/>
          <w:snapToGrid w:val="0"/>
          <w:color w:val="000000" w:themeColor="text1"/>
          <w:kern w:val="0"/>
          <w:szCs w:val="21"/>
          <w14:textFill>
            <w14:solidFill>
              <w14:schemeClr w14:val="tx1"/>
            </w14:solidFill>
          </w14:textFill>
        </w:rPr>
        <w:t>项目</w:t>
      </w:r>
      <w:r>
        <w:rPr>
          <w:rFonts w:ascii="宋体" w:hAnsi="宋体"/>
          <w:snapToGrid w:val="0"/>
          <w:color w:val="000000" w:themeColor="text1"/>
          <w:kern w:val="0"/>
          <w:szCs w:val="21"/>
          <w14:textFill>
            <w14:solidFill>
              <w14:schemeClr w14:val="tx1"/>
            </w14:solidFill>
          </w14:textFill>
        </w:rPr>
        <w:t>行政监督部门的人员；</w:t>
      </w:r>
    </w:p>
    <w:p w14:paraId="3C33E713">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（3）与投标人有利害关系，可能影响对投标公正评审的；</w:t>
      </w:r>
    </w:p>
    <w:p w14:paraId="3E181DD5">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（4）曾因在招标、评标以及其他与招标投标有关活动中从事违法行为而受过行政处罚或刑事处罚的</w:t>
      </w:r>
      <w:r>
        <w:rPr>
          <w:rFonts w:hint="eastAsia" w:ascii="宋体" w:hAnsi="宋体"/>
          <w:snapToGrid w:val="0"/>
          <w:color w:val="000000" w:themeColor="text1"/>
          <w:kern w:val="0"/>
          <w:szCs w:val="21"/>
          <w14:textFill>
            <w14:solidFill>
              <w14:schemeClr w14:val="tx1"/>
            </w14:solidFill>
          </w14:textFill>
        </w:rPr>
        <w:t>；</w:t>
      </w:r>
    </w:p>
    <w:p w14:paraId="24FA5004">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（5）法律法规规定的其他情形。</w:t>
      </w:r>
    </w:p>
    <w:p w14:paraId="70853D5F">
      <w:pPr>
        <w:pStyle w:val="98"/>
        <w:spacing w:before="0" w:after="0" w:line="360" w:lineRule="auto"/>
        <w:ind w:firstLine="420" w:firstLineChars="20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6.1.3  评标过程中，评标委员会成员有回避事由、擅离职守或者因健康等原因不能继续评标的，应当及时更换。被更换的评标委员会成员作出的评审结论无效，由更换后的评标委员会成员重新进行评审。</w:t>
      </w:r>
    </w:p>
    <w:p w14:paraId="18CF4255">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435" w:name="_Toc224103353"/>
      <w:bookmarkStart w:id="436" w:name="_Toc200513162"/>
      <w:bookmarkStart w:id="437" w:name="_Toc277082588"/>
      <w:bookmarkStart w:id="438" w:name="_Toc287620721"/>
      <w:bookmarkStart w:id="439" w:name="_Toc509218746"/>
      <w:bookmarkStart w:id="440" w:name="_Toc287607782"/>
      <w:bookmarkStart w:id="441" w:name="_Toc430530471"/>
      <w:bookmarkStart w:id="442" w:name="_Toc226115560"/>
      <w:bookmarkStart w:id="443" w:name="_Toc4752"/>
      <w:r>
        <w:rPr>
          <w:rFonts w:ascii="宋体" w:hAnsi="宋体"/>
          <w:b w:val="0"/>
          <w:snapToGrid w:val="0"/>
          <w:color w:val="000000" w:themeColor="text1"/>
          <w:sz w:val="24"/>
          <w:szCs w:val="24"/>
          <w14:textFill>
            <w14:solidFill>
              <w14:schemeClr w14:val="tx1"/>
            </w14:solidFill>
          </w14:textFill>
        </w:rPr>
        <w:t>6.2  评标原则</w:t>
      </w:r>
      <w:bookmarkEnd w:id="435"/>
      <w:bookmarkEnd w:id="436"/>
      <w:bookmarkEnd w:id="437"/>
      <w:bookmarkEnd w:id="438"/>
      <w:bookmarkEnd w:id="439"/>
      <w:bookmarkEnd w:id="440"/>
      <w:bookmarkEnd w:id="441"/>
      <w:bookmarkEnd w:id="442"/>
      <w:bookmarkEnd w:id="443"/>
    </w:p>
    <w:p w14:paraId="079FEB76">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评标活动遵循公平、公正、科学和择优的原则。</w:t>
      </w:r>
    </w:p>
    <w:p w14:paraId="4C8BB30B">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444" w:name="_Toc226115561"/>
      <w:bookmarkStart w:id="445" w:name="_Toc277082589"/>
      <w:bookmarkStart w:id="446" w:name="_Toc430530472"/>
      <w:bookmarkStart w:id="447" w:name="_Toc509218747"/>
      <w:bookmarkStart w:id="448" w:name="_Toc31031"/>
      <w:bookmarkStart w:id="449" w:name="_Toc200513163"/>
      <w:bookmarkStart w:id="450" w:name="_Toc287607783"/>
      <w:bookmarkStart w:id="451" w:name="_Toc224103354"/>
      <w:bookmarkStart w:id="452" w:name="_Toc287620722"/>
      <w:r>
        <w:rPr>
          <w:rFonts w:ascii="宋体" w:hAnsi="宋体"/>
          <w:b w:val="0"/>
          <w:snapToGrid w:val="0"/>
          <w:color w:val="000000" w:themeColor="text1"/>
          <w:sz w:val="24"/>
          <w:szCs w:val="24"/>
          <w14:textFill>
            <w14:solidFill>
              <w14:schemeClr w14:val="tx1"/>
            </w14:solidFill>
          </w14:textFill>
        </w:rPr>
        <w:t>6.3  评标</w:t>
      </w:r>
      <w:bookmarkEnd w:id="444"/>
      <w:bookmarkEnd w:id="445"/>
      <w:bookmarkEnd w:id="446"/>
      <w:bookmarkEnd w:id="447"/>
      <w:bookmarkEnd w:id="448"/>
      <w:bookmarkEnd w:id="449"/>
      <w:bookmarkEnd w:id="450"/>
      <w:bookmarkEnd w:id="451"/>
      <w:bookmarkEnd w:id="452"/>
    </w:p>
    <w:p w14:paraId="670C04CB">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评标委员会按照第三章“评标办法”规定的方法、评审因素、标准和程序对投标文件进行评审。第三章“评标办法”没有规定的方法、评审因素和标准，不得作为评标依据。</w:t>
      </w:r>
    </w:p>
    <w:p w14:paraId="31AF161A">
      <w:pPr>
        <w:pStyle w:val="4"/>
        <w:spacing w:before="0" w:after="0" w:line="360" w:lineRule="auto"/>
        <w:rPr>
          <w:rFonts w:hint="eastAsia" w:ascii="宋体" w:hAnsi="宋体"/>
          <w:b w:val="0"/>
          <w:snapToGrid w:val="0"/>
          <w:color w:val="000000" w:themeColor="text1"/>
          <w14:textFill>
            <w14:solidFill>
              <w14:schemeClr w14:val="tx1"/>
            </w14:solidFill>
          </w14:textFill>
        </w:rPr>
      </w:pPr>
      <w:bookmarkStart w:id="453" w:name="_Toc1752"/>
      <w:bookmarkStart w:id="454" w:name="_Toc509218748"/>
      <w:bookmarkStart w:id="455" w:name="_Toc200513164"/>
      <w:bookmarkStart w:id="456" w:name="_Toc430530473"/>
      <w:bookmarkStart w:id="457" w:name="_Toc224103355"/>
      <w:bookmarkStart w:id="458" w:name="_Toc277082590"/>
      <w:bookmarkStart w:id="459" w:name="_Toc226115562"/>
      <w:bookmarkStart w:id="460" w:name="_Toc287620723"/>
      <w:bookmarkStart w:id="461" w:name="_Toc287607784"/>
      <w:r>
        <w:rPr>
          <w:rFonts w:ascii="宋体" w:hAnsi="宋体"/>
          <w:b w:val="0"/>
          <w:snapToGrid w:val="0"/>
          <w:color w:val="000000" w:themeColor="text1"/>
          <w14:textFill>
            <w14:solidFill>
              <w14:schemeClr w14:val="tx1"/>
            </w14:solidFill>
          </w14:textFill>
        </w:rPr>
        <w:t>7.  合同授予</w:t>
      </w:r>
      <w:bookmarkEnd w:id="453"/>
      <w:bookmarkEnd w:id="454"/>
      <w:bookmarkEnd w:id="455"/>
      <w:bookmarkEnd w:id="456"/>
      <w:bookmarkEnd w:id="457"/>
      <w:bookmarkEnd w:id="458"/>
      <w:bookmarkEnd w:id="459"/>
      <w:bookmarkEnd w:id="460"/>
      <w:bookmarkEnd w:id="461"/>
    </w:p>
    <w:p w14:paraId="1EAA6A27">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462" w:name="_Toc287620724"/>
      <w:bookmarkStart w:id="463" w:name="_Toc430530474"/>
      <w:bookmarkStart w:id="464" w:name="_Toc287607785"/>
      <w:bookmarkStart w:id="465" w:name="_Toc226115563"/>
      <w:bookmarkStart w:id="466" w:name="_Toc509218749"/>
      <w:bookmarkStart w:id="467" w:name="_Toc277082591"/>
      <w:bookmarkStart w:id="468" w:name="_Toc200513165"/>
      <w:bookmarkStart w:id="469" w:name="_Toc10916"/>
      <w:bookmarkStart w:id="470" w:name="_Toc224103356"/>
      <w:r>
        <w:rPr>
          <w:rFonts w:ascii="宋体" w:hAnsi="宋体"/>
          <w:b w:val="0"/>
          <w:snapToGrid w:val="0"/>
          <w:color w:val="000000" w:themeColor="text1"/>
          <w:sz w:val="24"/>
          <w:szCs w:val="24"/>
          <w14:textFill>
            <w14:solidFill>
              <w14:schemeClr w14:val="tx1"/>
            </w14:solidFill>
          </w14:textFill>
        </w:rPr>
        <w:t>7.1  定标方式</w:t>
      </w:r>
      <w:bookmarkEnd w:id="462"/>
      <w:bookmarkEnd w:id="463"/>
      <w:bookmarkEnd w:id="464"/>
      <w:bookmarkEnd w:id="465"/>
      <w:bookmarkEnd w:id="466"/>
      <w:bookmarkEnd w:id="467"/>
      <w:bookmarkEnd w:id="468"/>
      <w:bookmarkEnd w:id="469"/>
      <w:bookmarkEnd w:id="470"/>
    </w:p>
    <w:p w14:paraId="45AEFF78">
      <w:pPr>
        <w:spacing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国有资金占控股或者主导地位的依法必须进行招标的项目，招标人应当确定排名第一的中标候选人为中标人。排名第一的中标候选人放弃中标、因不可抗力不能履行合同、不按照竞争性比选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738AEFF">
      <w:pPr>
        <w:spacing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评标委员会推荐中标候选人的人数</w:t>
      </w:r>
      <w:r>
        <w:rPr>
          <w:rFonts w:hint="eastAsia" w:ascii="宋体" w:hAnsi="宋体"/>
          <w:snapToGrid w:val="0"/>
          <w:color w:val="000000" w:themeColor="text1"/>
          <w:kern w:val="0"/>
          <w:szCs w:val="21"/>
          <w14:textFill>
            <w14:solidFill>
              <w14:schemeClr w14:val="tx1"/>
            </w14:solidFill>
          </w14:textFill>
        </w:rPr>
        <w:t>：</w:t>
      </w:r>
      <w:r>
        <w:rPr>
          <w:rFonts w:ascii="宋体" w:hAnsi="宋体"/>
          <w:snapToGrid w:val="0"/>
          <w:color w:val="000000" w:themeColor="text1"/>
          <w:kern w:val="0"/>
          <w:szCs w:val="21"/>
          <w14:textFill>
            <w14:solidFill>
              <w14:schemeClr w14:val="tx1"/>
            </w14:solidFill>
          </w14:textFill>
        </w:rPr>
        <w:t>见投标人须知前附表。</w:t>
      </w:r>
    </w:p>
    <w:p w14:paraId="54AD58BF">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471" w:name="_Toc25828"/>
      <w:bookmarkStart w:id="472" w:name="_Toc509218750"/>
      <w:bookmarkStart w:id="473" w:name="_Toc430530475"/>
      <w:bookmarkStart w:id="474" w:name="_Toc226115564"/>
      <w:r>
        <w:rPr>
          <w:rFonts w:ascii="宋体" w:hAnsi="宋体"/>
          <w:b w:val="0"/>
          <w:snapToGrid w:val="0"/>
          <w:color w:val="000000" w:themeColor="text1"/>
          <w:sz w:val="24"/>
          <w:szCs w:val="24"/>
          <w14:textFill>
            <w14:solidFill>
              <w14:schemeClr w14:val="tx1"/>
            </w14:solidFill>
          </w14:textFill>
        </w:rPr>
        <w:t>7.2  中标公示及中标通知</w:t>
      </w:r>
      <w:bookmarkEnd w:id="471"/>
      <w:bookmarkEnd w:id="472"/>
      <w:bookmarkEnd w:id="473"/>
      <w:bookmarkEnd w:id="474"/>
    </w:p>
    <w:p w14:paraId="4C80391B">
      <w:pPr>
        <w:autoSpaceDE w:val="0"/>
        <w:autoSpaceDN w:val="0"/>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招标人在收到评标报告之日起3日内公示中标候选人，公示期不得少于3日</w:t>
      </w:r>
      <w:r>
        <w:rPr>
          <w:rFonts w:hint="eastAsia" w:ascii="宋体" w:hAnsi="宋体"/>
          <w:color w:val="000000" w:themeColor="text1"/>
          <w:szCs w:val="21"/>
          <w14:textFill>
            <w14:solidFill>
              <w14:schemeClr w14:val="tx1"/>
            </w14:solidFill>
          </w14:textFill>
        </w:rPr>
        <w:t>。</w:t>
      </w:r>
    </w:p>
    <w:p w14:paraId="16489702">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在本章第 3.3 款规定的投标有效期内，且未有投标人的异议与投诉，招标人以书面形式向中标人发出中标通知书。</w:t>
      </w:r>
    </w:p>
    <w:p w14:paraId="1E123B24">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475" w:name="_Toc200513167"/>
      <w:bookmarkStart w:id="476" w:name="_Toc25134"/>
      <w:bookmarkStart w:id="477" w:name="_Toc509218751"/>
      <w:bookmarkStart w:id="478" w:name="_Toc224103358"/>
      <w:bookmarkStart w:id="479" w:name="_Toc277082593"/>
      <w:bookmarkStart w:id="480" w:name="_Toc430530476"/>
      <w:bookmarkStart w:id="481" w:name="_Toc287620726"/>
      <w:bookmarkStart w:id="482" w:name="_Toc226115565"/>
      <w:bookmarkStart w:id="483" w:name="_Toc287607787"/>
      <w:r>
        <w:rPr>
          <w:rFonts w:ascii="宋体" w:hAnsi="宋体"/>
          <w:b w:val="0"/>
          <w:snapToGrid w:val="0"/>
          <w:color w:val="000000" w:themeColor="text1"/>
          <w:sz w:val="24"/>
          <w:szCs w:val="24"/>
          <w14:textFill>
            <w14:solidFill>
              <w14:schemeClr w14:val="tx1"/>
            </w14:solidFill>
          </w14:textFill>
        </w:rPr>
        <w:t>7.3  履约担保</w:t>
      </w:r>
      <w:bookmarkEnd w:id="475"/>
      <w:bookmarkEnd w:id="476"/>
      <w:bookmarkEnd w:id="477"/>
      <w:bookmarkEnd w:id="478"/>
      <w:bookmarkEnd w:id="479"/>
      <w:bookmarkEnd w:id="480"/>
      <w:bookmarkEnd w:id="481"/>
      <w:bookmarkEnd w:id="482"/>
      <w:bookmarkEnd w:id="483"/>
    </w:p>
    <w:p w14:paraId="59B25510">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7.3.1  在签订合同前，中标人应按投标人须知前附表规定的金额、担保形式和竞争性比选文件第四章“合同条款及格式”规定的履约担保格式向招标人提交履约担保。联合体中标的，其履约担保由牵头人递交，并应符合投标人须知前附表规定的金额、担保形式和竞争性比选文件第四章“合同条款及格式”规定的履约担保格式要求。</w:t>
      </w:r>
    </w:p>
    <w:p w14:paraId="376324E1">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7.3.2  中标人不能按本章第 7.3.1 项要求提交履约担保的，视为放弃中标，其投标保证金</w:t>
      </w:r>
      <w:r>
        <w:rPr>
          <w:rFonts w:hint="eastAsia" w:asciiTheme="minorEastAsia" w:hAnsiTheme="minorEastAsia" w:eastAsiaTheme="minorEastAsia"/>
          <w:color w:val="000000" w:themeColor="text1"/>
          <w14:textFill>
            <w14:solidFill>
              <w14:schemeClr w14:val="tx1"/>
            </w14:solidFill>
          </w14:textFill>
        </w:rPr>
        <w:t>以现金形式交纳的</w:t>
      </w:r>
      <w:r>
        <w:rPr>
          <w:rFonts w:ascii="宋体" w:hAnsi="宋体"/>
          <w:snapToGrid w:val="0"/>
          <w:color w:val="000000" w:themeColor="text1"/>
          <w:kern w:val="0"/>
          <w:szCs w:val="21"/>
          <w14:textFill>
            <w14:solidFill>
              <w14:schemeClr w14:val="tx1"/>
            </w14:solidFill>
          </w14:textFill>
        </w:rPr>
        <w:t>不予退还</w:t>
      </w:r>
      <w:r>
        <w:rPr>
          <w:rFonts w:hint="eastAsia" w:asciiTheme="minorEastAsia" w:hAnsiTheme="minorEastAsia" w:eastAsiaTheme="minorEastAsia"/>
          <w:color w:val="000000" w:themeColor="text1"/>
          <w14:textFill>
            <w14:solidFill>
              <w14:schemeClr w14:val="tx1"/>
            </w14:solidFill>
          </w14:textFill>
        </w:rPr>
        <w:t>，以保函形式交纳的由保函开立人支付保函担保的与投标保证金等额的款项</w:t>
      </w:r>
      <w:r>
        <w:rPr>
          <w:rFonts w:ascii="宋体" w:hAnsi="宋体"/>
          <w:snapToGrid w:val="0"/>
          <w:color w:val="000000" w:themeColor="text1"/>
          <w:kern w:val="0"/>
          <w:szCs w:val="21"/>
          <w14:textFill>
            <w14:solidFill>
              <w14:schemeClr w14:val="tx1"/>
            </w14:solidFill>
          </w14:textFill>
        </w:rPr>
        <w:t>，给招标人造成的损失超过投标保证金数额的，中标人还应当对超过部分予以赔偿。</w:t>
      </w:r>
    </w:p>
    <w:p w14:paraId="55FC8E1C">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484" w:name="_Toc287620727"/>
      <w:bookmarkStart w:id="485" w:name="_Toc224103359"/>
      <w:bookmarkStart w:id="486" w:name="_Toc287607788"/>
      <w:bookmarkStart w:id="487" w:name="_Toc277082594"/>
      <w:bookmarkStart w:id="488" w:name="_Toc200513168"/>
      <w:bookmarkStart w:id="489" w:name="_Toc509218752"/>
      <w:bookmarkStart w:id="490" w:name="_Toc20325"/>
      <w:bookmarkStart w:id="491" w:name="_Toc226115566"/>
      <w:bookmarkStart w:id="492" w:name="_Toc430530477"/>
      <w:r>
        <w:rPr>
          <w:rFonts w:ascii="宋体" w:hAnsi="宋体"/>
          <w:b w:val="0"/>
          <w:snapToGrid w:val="0"/>
          <w:color w:val="000000" w:themeColor="text1"/>
          <w:sz w:val="24"/>
          <w:szCs w:val="24"/>
          <w14:textFill>
            <w14:solidFill>
              <w14:schemeClr w14:val="tx1"/>
            </w14:solidFill>
          </w14:textFill>
        </w:rPr>
        <w:t>7.4  签订合同</w:t>
      </w:r>
      <w:bookmarkEnd w:id="484"/>
      <w:bookmarkEnd w:id="485"/>
      <w:bookmarkEnd w:id="486"/>
      <w:bookmarkEnd w:id="487"/>
      <w:bookmarkEnd w:id="488"/>
      <w:bookmarkEnd w:id="489"/>
      <w:bookmarkEnd w:id="490"/>
      <w:bookmarkEnd w:id="491"/>
      <w:bookmarkEnd w:id="492"/>
    </w:p>
    <w:p w14:paraId="0031EDB2">
      <w:pPr>
        <w:autoSpaceDE w:val="0"/>
        <w:autoSpaceDN w:val="0"/>
        <w:adjustRightInd w:val="0"/>
        <w:snapToGrid w:val="0"/>
        <w:spacing w:line="360" w:lineRule="auto"/>
        <w:ind w:firstLine="42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 xml:space="preserve">7.4.1 </w:t>
      </w:r>
      <w:r>
        <w:rPr>
          <w:rFonts w:hint="eastAsia" w:ascii="宋体" w:hAnsi="宋体"/>
          <w:snapToGrid w:val="0"/>
          <w:color w:val="000000" w:themeColor="text1"/>
          <w:kern w:val="0"/>
          <w:szCs w:val="21"/>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招标人和中标人应当自中标通知书发出之日起</w:t>
      </w:r>
      <w:r>
        <w:rPr>
          <w:rFonts w:hint="eastAsia" w:ascii="宋体" w:hAnsi="宋体"/>
          <w:snapToGrid w:val="0"/>
          <w:color w:val="000000" w:themeColor="text1"/>
          <w:kern w:val="0"/>
          <w:szCs w:val="21"/>
          <w14:textFill>
            <w14:solidFill>
              <w14:schemeClr w14:val="tx1"/>
            </w14:solidFill>
          </w14:textFill>
        </w:rPr>
        <w:t>5个工作日</w:t>
      </w:r>
      <w:r>
        <w:rPr>
          <w:rFonts w:ascii="宋体" w:hAnsi="宋体"/>
          <w:snapToGrid w:val="0"/>
          <w:color w:val="000000" w:themeColor="text1"/>
          <w:kern w:val="0"/>
          <w:szCs w:val="21"/>
          <w14:textFill>
            <w14:solidFill>
              <w14:schemeClr w14:val="tx1"/>
            </w14:solidFill>
          </w14:textFill>
        </w:rPr>
        <w:t>内，根据竞争性比选文件和中标人的投标文件订立书面合同。中标人</w:t>
      </w:r>
      <w:r>
        <w:rPr>
          <w:rFonts w:hint="eastAsia" w:ascii="宋体" w:hAnsi="宋体"/>
          <w:snapToGrid w:val="0"/>
          <w:color w:val="000000" w:themeColor="text1"/>
          <w:kern w:val="0"/>
          <w:szCs w:val="21"/>
          <w14:textFill>
            <w14:solidFill>
              <w14:schemeClr w14:val="tx1"/>
            </w14:solidFill>
          </w14:textFill>
        </w:rPr>
        <w:t>放弃中标项目，</w:t>
      </w:r>
      <w:r>
        <w:rPr>
          <w:rFonts w:ascii="宋体" w:hAnsi="宋体"/>
          <w:snapToGrid w:val="0"/>
          <w:color w:val="000000" w:themeColor="text1"/>
          <w:kern w:val="0"/>
          <w:szCs w:val="21"/>
          <w14:textFill>
            <w14:solidFill>
              <w14:schemeClr w14:val="tx1"/>
            </w14:solidFill>
          </w14:textFill>
        </w:rPr>
        <w:t>无正当理由</w:t>
      </w:r>
      <w:r>
        <w:rPr>
          <w:rFonts w:hint="eastAsia" w:ascii="宋体" w:hAnsi="宋体"/>
          <w:snapToGrid w:val="0"/>
          <w:color w:val="000000" w:themeColor="text1"/>
          <w:kern w:val="0"/>
          <w:szCs w:val="21"/>
          <w14:textFill>
            <w14:solidFill>
              <w14:schemeClr w14:val="tx1"/>
            </w14:solidFill>
          </w14:textFill>
        </w:rPr>
        <w:t>不与招标人签订合同，在签订合同时向招标人提出附加条件或者更改合同实质性内容</w:t>
      </w:r>
      <w:r>
        <w:rPr>
          <w:rFonts w:ascii="宋体" w:hAnsi="宋体"/>
          <w:snapToGrid w:val="0"/>
          <w:color w:val="000000" w:themeColor="text1"/>
          <w:kern w:val="0"/>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或不按照竞争性比选文件要求提交履约保证金的，</w:t>
      </w:r>
      <w:r>
        <w:rPr>
          <w:rFonts w:ascii="宋体" w:hAnsi="宋体"/>
          <w:snapToGrid w:val="0"/>
          <w:color w:val="000000" w:themeColor="text1"/>
          <w:kern w:val="0"/>
          <w:szCs w:val="21"/>
          <w14:textFill>
            <w14:solidFill>
              <w14:schemeClr w14:val="tx1"/>
            </w14:solidFill>
          </w14:textFill>
        </w:rPr>
        <w:t>招标人取消其中标资格，其投标保证金</w:t>
      </w:r>
      <w:r>
        <w:rPr>
          <w:rFonts w:hint="eastAsia" w:ascii="宋体" w:hAnsi="宋体"/>
          <w:snapToGrid w:val="0"/>
          <w:color w:val="000000" w:themeColor="text1"/>
          <w:kern w:val="0"/>
          <w:szCs w:val="21"/>
          <w14:textFill>
            <w14:solidFill>
              <w14:schemeClr w14:val="tx1"/>
            </w14:solidFill>
          </w14:textFill>
        </w:rPr>
        <w:t>以现金形式交纳的</w:t>
      </w:r>
      <w:r>
        <w:rPr>
          <w:rFonts w:ascii="宋体" w:hAnsi="宋体"/>
          <w:snapToGrid w:val="0"/>
          <w:color w:val="000000" w:themeColor="text1"/>
          <w:kern w:val="0"/>
          <w:szCs w:val="21"/>
          <w14:textFill>
            <w14:solidFill>
              <w14:schemeClr w14:val="tx1"/>
            </w14:solidFill>
          </w14:textFill>
        </w:rPr>
        <w:t>不予退还；给招标人造成的损失超过投标保证金数额的，中标人还应当对超过部分予以赔偿。</w:t>
      </w:r>
    </w:p>
    <w:p w14:paraId="4826CA61">
      <w:pPr>
        <w:autoSpaceDE w:val="0"/>
        <w:autoSpaceDN w:val="0"/>
        <w:adjustRightInd w:val="0"/>
        <w:snapToGrid w:val="0"/>
        <w:spacing w:line="360" w:lineRule="auto"/>
        <w:ind w:firstLine="42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7.4.2  发出中标通知书后，招标人无正当理由拒签合同的，招标人向中标人退还投标保证金；给中标人造成损失的，还应当赔偿损失。</w:t>
      </w:r>
    </w:p>
    <w:p w14:paraId="31276931">
      <w:pPr>
        <w:pStyle w:val="4"/>
        <w:spacing w:before="0" w:after="0" w:line="360" w:lineRule="auto"/>
        <w:rPr>
          <w:rFonts w:hint="eastAsia" w:ascii="宋体" w:hAnsi="宋体"/>
          <w:b w:val="0"/>
          <w:snapToGrid w:val="0"/>
          <w:color w:val="000000" w:themeColor="text1"/>
          <w14:textFill>
            <w14:solidFill>
              <w14:schemeClr w14:val="tx1"/>
            </w14:solidFill>
          </w14:textFill>
        </w:rPr>
      </w:pPr>
      <w:bookmarkStart w:id="493" w:name="_Toc277082595"/>
      <w:bookmarkStart w:id="494" w:name="_Toc509218753"/>
      <w:bookmarkStart w:id="495" w:name="_Toc287607789"/>
      <w:bookmarkStart w:id="496" w:name="_Toc287620728"/>
      <w:bookmarkStart w:id="497" w:name="_Toc224103360"/>
      <w:bookmarkStart w:id="498" w:name="_Toc23787"/>
      <w:bookmarkStart w:id="499" w:name="_Toc200513169"/>
      <w:bookmarkStart w:id="500" w:name="_Toc226115567"/>
      <w:bookmarkStart w:id="501" w:name="_Toc430530478"/>
      <w:r>
        <w:rPr>
          <w:rFonts w:ascii="宋体" w:hAnsi="宋体"/>
          <w:b w:val="0"/>
          <w:snapToGrid w:val="0"/>
          <w:color w:val="000000" w:themeColor="text1"/>
          <w14:textFill>
            <w14:solidFill>
              <w14:schemeClr w14:val="tx1"/>
            </w14:solidFill>
          </w14:textFill>
        </w:rPr>
        <w:t>8.  重新招标和不再招标</w:t>
      </w:r>
      <w:bookmarkEnd w:id="493"/>
      <w:bookmarkEnd w:id="494"/>
      <w:bookmarkEnd w:id="495"/>
      <w:bookmarkEnd w:id="496"/>
      <w:bookmarkEnd w:id="497"/>
      <w:bookmarkEnd w:id="498"/>
      <w:bookmarkEnd w:id="499"/>
      <w:bookmarkEnd w:id="500"/>
      <w:bookmarkEnd w:id="501"/>
    </w:p>
    <w:p w14:paraId="5F154F34">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502" w:name="_Toc287607790"/>
      <w:bookmarkStart w:id="503" w:name="_Toc224103361"/>
      <w:bookmarkStart w:id="504" w:name="_Toc509218754"/>
      <w:bookmarkStart w:id="505" w:name="_Toc287620729"/>
      <w:bookmarkStart w:id="506" w:name="_Toc200513170"/>
      <w:bookmarkStart w:id="507" w:name="_Toc430530479"/>
      <w:bookmarkStart w:id="508" w:name="_Toc277082596"/>
      <w:bookmarkStart w:id="509" w:name="_Toc226115568"/>
      <w:bookmarkStart w:id="510" w:name="_Toc26499"/>
      <w:r>
        <w:rPr>
          <w:rFonts w:ascii="宋体" w:hAnsi="宋体"/>
          <w:b w:val="0"/>
          <w:snapToGrid w:val="0"/>
          <w:color w:val="000000" w:themeColor="text1"/>
          <w:sz w:val="24"/>
          <w:szCs w:val="24"/>
          <w14:textFill>
            <w14:solidFill>
              <w14:schemeClr w14:val="tx1"/>
            </w14:solidFill>
          </w14:textFill>
        </w:rPr>
        <w:t>8.1  重新招标</w:t>
      </w:r>
      <w:bookmarkEnd w:id="502"/>
      <w:bookmarkEnd w:id="503"/>
      <w:bookmarkEnd w:id="504"/>
      <w:bookmarkEnd w:id="505"/>
      <w:bookmarkEnd w:id="506"/>
      <w:bookmarkEnd w:id="507"/>
      <w:bookmarkEnd w:id="508"/>
      <w:r>
        <w:rPr>
          <w:rFonts w:hint="eastAsia" w:ascii="宋体" w:hAnsi="宋体"/>
          <w:b w:val="0"/>
          <w:snapToGrid w:val="0"/>
          <w:color w:val="000000" w:themeColor="text1"/>
          <w:sz w:val="24"/>
          <w:szCs w:val="24"/>
          <w14:textFill>
            <w14:solidFill>
              <w14:schemeClr w14:val="tx1"/>
            </w14:solidFill>
          </w14:textFill>
        </w:rPr>
        <w:t>的情形</w:t>
      </w:r>
      <w:bookmarkEnd w:id="509"/>
      <w:bookmarkEnd w:id="510"/>
    </w:p>
    <w:p w14:paraId="55A9B28B">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bookmarkStart w:id="511" w:name="OLE_LINK5"/>
      <w:r>
        <w:rPr>
          <w:rFonts w:hint="eastAsia" w:ascii="宋体" w:hAnsi="宋体"/>
          <w:snapToGrid w:val="0"/>
          <w:color w:val="000000" w:themeColor="text1"/>
          <w:kern w:val="0"/>
          <w:szCs w:val="21"/>
          <w14:textFill>
            <w14:solidFill>
              <w14:schemeClr w14:val="tx1"/>
            </w14:solidFill>
          </w14:textFill>
        </w:rPr>
        <w:t>重新招标的情形：</w:t>
      </w:r>
      <w:r>
        <w:rPr>
          <w:rFonts w:ascii="宋体" w:hAnsi="宋体"/>
          <w:snapToGrid w:val="0"/>
          <w:color w:val="000000" w:themeColor="text1"/>
          <w:kern w:val="0"/>
          <w:szCs w:val="21"/>
          <w14:textFill>
            <w14:solidFill>
              <w14:schemeClr w14:val="tx1"/>
            </w14:solidFill>
          </w14:textFill>
        </w:rPr>
        <w:t>见投标人须知前附表</w:t>
      </w:r>
      <w:r>
        <w:rPr>
          <w:rFonts w:hint="eastAsia" w:ascii="宋体" w:hAnsi="宋体"/>
          <w:snapToGrid w:val="0"/>
          <w:color w:val="000000" w:themeColor="text1"/>
          <w:kern w:val="0"/>
          <w:szCs w:val="21"/>
          <w14:textFill>
            <w14:solidFill>
              <w14:schemeClr w14:val="tx1"/>
            </w14:solidFill>
          </w14:textFill>
        </w:rPr>
        <w:t>。</w:t>
      </w:r>
      <w:bookmarkEnd w:id="511"/>
    </w:p>
    <w:p w14:paraId="40E4F762">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512" w:name="_Toc22064"/>
      <w:bookmarkStart w:id="513" w:name="_Toc226115569"/>
      <w:bookmarkStart w:id="514" w:name="_Toc200513171"/>
      <w:bookmarkStart w:id="515" w:name="_Toc287607791"/>
      <w:bookmarkStart w:id="516" w:name="_Toc224103362"/>
      <w:bookmarkStart w:id="517" w:name="_Toc287620730"/>
      <w:bookmarkStart w:id="518" w:name="_Toc277082597"/>
      <w:bookmarkStart w:id="519" w:name="_Toc430530480"/>
      <w:bookmarkStart w:id="520" w:name="_Toc509218755"/>
      <w:r>
        <w:rPr>
          <w:rFonts w:ascii="宋体" w:hAnsi="宋体"/>
          <w:b w:val="0"/>
          <w:snapToGrid w:val="0"/>
          <w:color w:val="000000" w:themeColor="text1"/>
          <w:sz w:val="24"/>
          <w:szCs w:val="24"/>
          <w14:textFill>
            <w14:solidFill>
              <w14:schemeClr w14:val="tx1"/>
            </w14:solidFill>
          </w14:textFill>
        </w:rPr>
        <w:t xml:space="preserve">8.2  </w:t>
      </w:r>
      <w:r>
        <w:rPr>
          <w:rFonts w:hint="eastAsia" w:ascii="宋体" w:hAnsi="宋体"/>
          <w:b w:val="0"/>
          <w:snapToGrid w:val="0"/>
          <w:color w:val="000000" w:themeColor="text1"/>
          <w:sz w:val="24"/>
          <w:szCs w:val="24"/>
          <w14:textFill>
            <w14:solidFill>
              <w14:schemeClr w14:val="tx1"/>
            </w14:solidFill>
          </w14:textFill>
        </w:rPr>
        <w:t>重新</w:t>
      </w:r>
      <w:r>
        <w:rPr>
          <w:rFonts w:ascii="宋体" w:hAnsi="宋体"/>
          <w:b w:val="0"/>
          <w:snapToGrid w:val="0"/>
          <w:color w:val="000000" w:themeColor="text1"/>
          <w:sz w:val="24"/>
          <w:szCs w:val="24"/>
          <w14:textFill>
            <w14:solidFill>
              <w14:schemeClr w14:val="tx1"/>
            </w14:solidFill>
          </w14:textFill>
        </w:rPr>
        <w:t>招标和不再招标</w:t>
      </w:r>
      <w:bookmarkEnd w:id="512"/>
      <w:bookmarkEnd w:id="513"/>
      <w:bookmarkEnd w:id="514"/>
      <w:bookmarkEnd w:id="515"/>
      <w:bookmarkEnd w:id="516"/>
      <w:bookmarkEnd w:id="517"/>
      <w:bookmarkEnd w:id="518"/>
      <w:bookmarkEnd w:id="519"/>
      <w:bookmarkEnd w:id="520"/>
    </w:p>
    <w:p w14:paraId="58BA893C">
      <w:pPr>
        <w:autoSpaceDE w:val="0"/>
        <w:autoSpaceDN w:val="0"/>
        <w:adjustRightInd w:val="0"/>
        <w:snapToGrid w:val="0"/>
        <w:spacing w:line="360" w:lineRule="auto"/>
        <w:ind w:firstLine="420"/>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r>
        <w:rPr>
          <w:rFonts w:ascii="宋体" w:hAnsi="宋体"/>
          <w:snapToGrid w:val="0"/>
          <w:color w:val="000000" w:themeColor="text1"/>
          <w:kern w:val="0"/>
          <w:szCs w:val="21"/>
          <w14:textFill>
            <w14:solidFill>
              <w14:schemeClr w14:val="tx1"/>
            </w14:solidFill>
          </w14:textFill>
        </w:rPr>
        <w:t>。</w:t>
      </w:r>
    </w:p>
    <w:p w14:paraId="1F041495">
      <w:pPr>
        <w:pStyle w:val="4"/>
        <w:spacing w:before="0" w:after="0" w:line="360" w:lineRule="auto"/>
        <w:rPr>
          <w:rFonts w:hint="eastAsia" w:ascii="宋体" w:hAnsi="宋体"/>
          <w:b w:val="0"/>
          <w:snapToGrid w:val="0"/>
          <w:color w:val="000000" w:themeColor="text1"/>
          <w14:textFill>
            <w14:solidFill>
              <w14:schemeClr w14:val="tx1"/>
            </w14:solidFill>
          </w14:textFill>
        </w:rPr>
      </w:pPr>
      <w:bookmarkStart w:id="521" w:name="_Toc277082598"/>
      <w:bookmarkStart w:id="522" w:name="_Toc9979"/>
      <w:bookmarkStart w:id="523" w:name="_Toc509218756"/>
      <w:bookmarkStart w:id="524" w:name="_Toc224103363"/>
      <w:bookmarkStart w:id="525" w:name="_Toc226115570"/>
      <w:bookmarkStart w:id="526" w:name="_Toc287607792"/>
      <w:bookmarkStart w:id="527" w:name="_Toc430530481"/>
      <w:bookmarkStart w:id="528" w:name="_Toc287620731"/>
      <w:bookmarkStart w:id="529" w:name="_Toc200513172"/>
      <w:r>
        <w:rPr>
          <w:rFonts w:ascii="宋体" w:hAnsi="宋体"/>
          <w:b w:val="0"/>
          <w:snapToGrid w:val="0"/>
          <w:color w:val="000000" w:themeColor="text1"/>
          <w14:textFill>
            <w14:solidFill>
              <w14:schemeClr w14:val="tx1"/>
            </w14:solidFill>
          </w14:textFill>
        </w:rPr>
        <w:t>9.  纪律和监督</w:t>
      </w:r>
      <w:bookmarkEnd w:id="521"/>
      <w:bookmarkEnd w:id="522"/>
      <w:bookmarkEnd w:id="523"/>
      <w:bookmarkEnd w:id="524"/>
      <w:bookmarkEnd w:id="525"/>
      <w:bookmarkEnd w:id="526"/>
      <w:bookmarkEnd w:id="527"/>
      <w:bookmarkEnd w:id="528"/>
      <w:bookmarkEnd w:id="529"/>
    </w:p>
    <w:p w14:paraId="7A7EFDE3">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530" w:name="_Toc430530482"/>
      <w:bookmarkStart w:id="531" w:name="_Toc509218757"/>
      <w:bookmarkStart w:id="532" w:name="_Toc224103364"/>
      <w:bookmarkStart w:id="533" w:name="_Toc277082599"/>
      <w:bookmarkStart w:id="534" w:name="_Toc287607793"/>
      <w:bookmarkStart w:id="535" w:name="_Toc17810"/>
      <w:bookmarkStart w:id="536" w:name="_Toc226115571"/>
      <w:bookmarkStart w:id="537" w:name="_Toc200513173"/>
      <w:bookmarkStart w:id="538" w:name="_Toc287620732"/>
      <w:r>
        <w:rPr>
          <w:rFonts w:ascii="宋体" w:hAnsi="宋体"/>
          <w:b w:val="0"/>
          <w:snapToGrid w:val="0"/>
          <w:color w:val="000000" w:themeColor="text1"/>
          <w:sz w:val="24"/>
          <w:szCs w:val="24"/>
          <w14:textFill>
            <w14:solidFill>
              <w14:schemeClr w14:val="tx1"/>
            </w14:solidFill>
          </w14:textFill>
        </w:rPr>
        <w:t>9.1  对招标人的纪律要求</w:t>
      </w:r>
      <w:bookmarkEnd w:id="530"/>
      <w:bookmarkEnd w:id="531"/>
      <w:bookmarkEnd w:id="532"/>
      <w:bookmarkEnd w:id="533"/>
      <w:bookmarkEnd w:id="534"/>
      <w:bookmarkEnd w:id="535"/>
      <w:bookmarkEnd w:id="536"/>
      <w:bookmarkEnd w:id="537"/>
      <w:bookmarkEnd w:id="538"/>
    </w:p>
    <w:p w14:paraId="020F3FFD">
      <w:pPr>
        <w:autoSpaceDE w:val="0"/>
        <w:autoSpaceDN w:val="0"/>
        <w:adjustRightInd w:val="0"/>
        <w:snapToGrid w:val="0"/>
        <w:spacing w:line="360" w:lineRule="auto"/>
        <w:ind w:firstLine="420"/>
        <w:rPr>
          <w:rFonts w:hint="eastAsia" w:ascii="宋体" w:hAnsi="宋体"/>
          <w:color w:val="000000" w:themeColor="text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招标人不得泄漏招标投标活动中应当保密的情况和资料，不得与投标人串通损害国家利益、社会公共利益或者他人合法权益，</w:t>
      </w:r>
      <w:r>
        <w:rPr>
          <w:rFonts w:ascii="宋体" w:hAnsi="宋体"/>
          <w:color w:val="000000" w:themeColor="text1"/>
          <w14:textFill>
            <w14:solidFill>
              <w14:schemeClr w14:val="tx1"/>
            </w14:solidFill>
          </w14:textFill>
        </w:rPr>
        <w:t>禁止招标人与投标人串通投标。</w:t>
      </w:r>
    </w:p>
    <w:p w14:paraId="74B7DC1B">
      <w:pPr>
        <w:autoSpaceDE w:val="0"/>
        <w:autoSpaceDN w:val="0"/>
        <w:adjustRightInd w:val="0"/>
        <w:snapToGrid w:val="0"/>
        <w:spacing w:line="360" w:lineRule="auto"/>
        <w:ind w:firstLine="42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有下列情形之一的，属于招标人与投标人串通投标：</w:t>
      </w:r>
    </w:p>
    <w:p w14:paraId="4FB95C2E">
      <w:pPr>
        <w:autoSpaceDE w:val="0"/>
        <w:autoSpaceDN w:val="0"/>
        <w:adjustRightInd w:val="0"/>
        <w:snapToGrid w:val="0"/>
        <w:spacing w:line="360" w:lineRule="auto"/>
        <w:ind w:firstLine="42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（1）招标人在开标前开启投标文件并将有关信息泄露给其他投标人</w:t>
      </w:r>
      <w:r>
        <w:rPr>
          <w:rFonts w:hint="eastAsia" w:ascii="宋体" w:hAnsi="宋体"/>
          <w:color w:val="000000" w:themeColor="text1"/>
          <w14:textFill>
            <w14:solidFill>
              <w14:schemeClr w14:val="tx1"/>
            </w14:solidFill>
          </w14:textFill>
        </w:rPr>
        <w:t>；</w:t>
      </w:r>
    </w:p>
    <w:p w14:paraId="076C4C86">
      <w:pPr>
        <w:autoSpaceDE w:val="0"/>
        <w:autoSpaceDN w:val="0"/>
        <w:adjustRightInd w:val="0"/>
        <w:snapToGrid w:val="0"/>
        <w:spacing w:line="360" w:lineRule="auto"/>
        <w:ind w:firstLine="42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（2）招标人直接或者间接向投标人泄露标底、评标委员会成员等信息；</w:t>
      </w:r>
    </w:p>
    <w:p w14:paraId="452C2E0C">
      <w:pPr>
        <w:autoSpaceDE w:val="0"/>
        <w:autoSpaceDN w:val="0"/>
        <w:adjustRightInd w:val="0"/>
        <w:snapToGrid w:val="0"/>
        <w:spacing w:line="360" w:lineRule="auto"/>
        <w:ind w:firstLine="42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（3）招标人明示或者暗示投标人压低或者抬高投标报价；</w:t>
      </w:r>
    </w:p>
    <w:p w14:paraId="24F0B8A5">
      <w:pPr>
        <w:autoSpaceDE w:val="0"/>
        <w:autoSpaceDN w:val="0"/>
        <w:adjustRightInd w:val="0"/>
        <w:snapToGrid w:val="0"/>
        <w:spacing w:line="360" w:lineRule="auto"/>
        <w:ind w:firstLine="42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（4）招标人授意投标人撤换、修改投标文件；</w:t>
      </w:r>
    </w:p>
    <w:p w14:paraId="6ACFB39A">
      <w:pPr>
        <w:autoSpaceDE w:val="0"/>
        <w:autoSpaceDN w:val="0"/>
        <w:adjustRightInd w:val="0"/>
        <w:snapToGrid w:val="0"/>
        <w:spacing w:line="360" w:lineRule="auto"/>
        <w:ind w:firstLine="42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（5）招标人明示或者暗示投标人为特定投标人中标提供方便；</w:t>
      </w:r>
    </w:p>
    <w:p w14:paraId="3E3C4AC4">
      <w:pPr>
        <w:autoSpaceDE w:val="0"/>
        <w:autoSpaceDN w:val="0"/>
        <w:adjustRightInd w:val="0"/>
        <w:snapToGrid w:val="0"/>
        <w:spacing w:line="360" w:lineRule="auto"/>
        <w:ind w:firstLine="420"/>
        <w:rPr>
          <w:rFonts w:hint="eastAsia" w:ascii="宋体" w:hAnsi="宋体"/>
          <w:snapToGrid w:val="0"/>
          <w:color w:val="000000" w:themeColor="text1"/>
          <w:kern w:val="0"/>
          <w:szCs w:val="21"/>
          <w14:textFill>
            <w14:solidFill>
              <w14:schemeClr w14:val="tx1"/>
            </w14:solidFill>
          </w14:textFill>
        </w:rPr>
      </w:pPr>
      <w:r>
        <w:rPr>
          <w:rFonts w:ascii="宋体" w:hAnsi="宋体"/>
          <w:color w:val="000000" w:themeColor="text1"/>
          <w14:textFill>
            <w14:solidFill>
              <w14:schemeClr w14:val="tx1"/>
            </w14:solidFill>
          </w14:textFill>
        </w:rPr>
        <w:t>（6）招标人与投标人为谋求特定投标人中标而采取的其他串通行为。</w:t>
      </w:r>
    </w:p>
    <w:p w14:paraId="467E6D08">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539" w:name="_Toc200513174"/>
      <w:bookmarkStart w:id="540" w:name="_Toc287607794"/>
      <w:bookmarkStart w:id="541" w:name="_Toc277082600"/>
      <w:bookmarkStart w:id="542" w:name="_Toc224103365"/>
      <w:bookmarkStart w:id="543" w:name="_Toc430530483"/>
      <w:bookmarkStart w:id="544" w:name="_Toc16537"/>
      <w:bookmarkStart w:id="545" w:name="_Toc509218758"/>
      <w:bookmarkStart w:id="546" w:name="_Toc226115572"/>
      <w:bookmarkStart w:id="547" w:name="_Toc287620733"/>
      <w:r>
        <w:rPr>
          <w:rFonts w:ascii="宋体" w:hAnsi="宋体"/>
          <w:b w:val="0"/>
          <w:snapToGrid w:val="0"/>
          <w:color w:val="000000" w:themeColor="text1"/>
          <w:sz w:val="24"/>
          <w:szCs w:val="24"/>
          <w14:textFill>
            <w14:solidFill>
              <w14:schemeClr w14:val="tx1"/>
            </w14:solidFill>
          </w14:textFill>
        </w:rPr>
        <w:t>9.2  对投标人的纪律要求</w:t>
      </w:r>
      <w:bookmarkEnd w:id="539"/>
      <w:bookmarkEnd w:id="540"/>
      <w:bookmarkEnd w:id="541"/>
      <w:bookmarkEnd w:id="542"/>
      <w:bookmarkEnd w:id="543"/>
      <w:bookmarkEnd w:id="544"/>
      <w:bookmarkEnd w:id="545"/>
      <w:bookmarkEnd w:id="546"/>
      <w:bookmarkEnd w:id="547"/>
    </w:p>
    <w:p w14:paraId="59A78754">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F74CA50">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 xml:space="preserve">9.2.1  </w:t>
      </w:r>
      <w:r>
        <w:rPr>
          <w:rFonts w:ascii="宋体" w:hAnsi="宋体"/>
          <w:color w:val="000000" w:themeColor="text1"/>
          <w14:textFill>
            <w14:solidFill>
              <w14:schemeClr w14:val="tx1"/>
            </w14:solidFill>
          </w14:textFill>
        </w:rPr>
        <w:t>有下列情形之一的，属于投标人相互串通投标：</w:t>
      </w:r>
    </w:p>
    <w:p w14:paraId="3988D73F">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投标人之间协商投标报价等投标文件的实质性内容</w:t>
      </w:r>
      <w:r>
        <w:rPr>
          <w:rFonts w:ascii="宋体" w:hAnsi="宋体"/>
          <w:color w:val="000000" w:themeColor="text1"/>
          <w14:textFill>
            <w14:solidFill>
              <w14:schemeClr w14:val="tx1"/>
            </w14:solidFill>
          </w14:textFill>
        </w:rPr>
        <w:t>；</w:t>
      </w:r>
    </w:p>
    <w:p w14:paraId="6D5ED5B0">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（2）投标人之间约定中标人；</w:t>
      </w:r>
    </w:p>
    <w:p w14:paraId="2C60F18D">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（3）投标人之间约定部分投标人放弃投标或者中标；</w:t>
      </w:r>
    </w:p>
    <w:p w14:paraId="6ECA37B7">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（4）属于同一集团、协会、商会等组织成员的投标人按照该组织要求协同投标；</w:t>
      </w:r>
    </w:p>
    <w:p w14:paraId="2A7D6E19">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（5）投标人之间为谋取中标或者排斥特定投标人而采取的其他联合行动。</w:t>
      </w:r>
    </w:p>
    <w:p w14:paraId="2FDD7B9C">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9.2.2  </w:t>
      </w:r>
      <w:r>
        <w:rPr>
          <w:rFonts w:ascii="宋体" w:hAnsi="宋体"/>
          <w:color w:val="000000" w:themeColor="text1"/>
          <w14:textFill>
            <w14:solidFill>
              <w14:schemeClr w14:val="tx1"/>
            </w14:solidFill>
          </w14:textFill>
        </w:rPr>
        <w:t>有下列情形之一的，视为投标人相互串通投标：</w:t>
      </w:r>
    </w:p>
    <w:p w14:paraId="7ED9885D">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（1）不同投标人的投标文件由同一台电子设备编制；</w:t>
      </w:r>
    </w:p>
    <w:p w14:paraId="505CB585">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（2）不同投标人的投标文件由同一投标人的电子设备打印、复印；</w:t>
      </w:r>
    </w:p>
    <w:p w14:paraId="77032054">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（3）不同投标人的投标报价用同一个预算编制软件密码锁制作或者出自同一投标人的电子文档；</w:t>
      </w:r>
    </w:p>
    <w:p w14:paraId="2340355F">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（4）不同投标人从同一个投标单位或者同一个自然人的互联网协议地址下载竞争性比选文件、上传投标文件；</w:t>
      </w:r>
    </w:p>
    <w:p w14:paraId="04C33F55">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（5）不同投标人的投标保证金虽然经由投标人自己的基本账户转出，但所需资金来自同一单位或者个人的账户；</w:t>
      </w:r>
    </w:p>
    <w:p w14:paraId="1705F39B">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（6）参加投标活动的人员为同一标段或者未划分标段的同一招标项目的其他投标人的在职人员；</w:t>
      </w:r>
    </w:p>
    <w:p w14:paraId="7ED32EE8">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（7）法律、法规规定的其他情形。</w:t>
      </w:r>
    </w:p>
    <w:p w14:paraId="3950DABF">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9.2.3  </w:t>
      </w:r>
      <w:r>
        <w:rPr>
          <w:rFonts w:ascii="宋体" w:hAnsi="宋体"/>
          <w:color w:val="000000" w:themeColor="text1"/>
          <w14:textFill>
            <w14:solidFill>
              <w14:schemeClr w14:val="tx1"/>
            </w14:solidFill>
          </w14:textFill>
        </w:rPr>
        <w:t>使用通过受让或者租借等方式获取的资格、资质证书投标的，属于以他人名义投标。</w:t>
      </w:r>
    </w:p>
    <w:p w14:paraId="6A8EF9DB">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9.2.4  </w:t>
      </w:r>
      <w:r>
        <w:rPr>
          <w:rFonts w:ascii="宋体" w:hAnsi="宋体"/>
          <w:color w:val="000000" w:themeColor="text1"/>
          <w14:textFill>
            <w14:solidFill>
              <w14:schemeClr w14:val="tx1"/>
            </w14:solidFill>
          </w14:textFill>
        </w:rPr>
        <w:t>投标人有下列情形之一的，属于以其他方式弄虚作假的行为：</w:t>
      </w:r>
    </w:p>
    <w:p w14:paraId="7C882DCD">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使用伪造、变造的许可证件；</w:t>
      </w:r>
    </w:p>
    <w:p w14:paraId="21D844D8">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）提供虚假的财务状况或者业绩；</w:t>
      </w:r>
    </w:p>
    <w:p w14:paraId="0ACBC779">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）提供虚假的项目负责人或者主要技术人员简历、劳动关系证明；</w:t>
      </w:r>
    </w:p>
    <w:p w14:paraId="73DE3F38">
      <w:pPr>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4</w:t>
      </w:r>
      <w:r>
        <w:rPr>
          <w:rFonts w:ascii="宋体" w:hAnsi="宋体"/>
          <w:color w:val="000000" w:themeColor="text1"/>
          <w14:textFill>
            <w14:solidFill>
              <w14:schemeClr w14:val="tx1"/>
            </w14:solidFill>
          </w14:textFill>
        </w:rPr>
        <w:t>）提供虚假的信用状况；</w:t>
      </w:r>
    </w:p>
    <w:p w14:paraId="3D3BF04C">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5</w:t>
      </w:r>
      <w:r>
        <w:rPr>
          <w:rFonts w:ascii="宋体" w:hAnsi="宋体"/>
          <w:color w:val="000000" w:themeColor="text1"/>
          <w14:textFill>
            <w14:solidFill>
              <w14:schemeClr w14:val="tx1"/>
            </w14:solidFill>
          </w14:textFill>
        </w:rPr>
        <w:t>）其他弄虚作假的行为。</w:t>
      </w:r>
    </w:p>
    <w:p w14:paraId="23CE36EE">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548" w:name="_Toc287607795"/>
      <w:bookmarkStart w:id="549" w:name="_Toc28175"/>
      <w:bookmarkStart w:id="550" w:name="_Toc226115573"/>
      <w:bookmarkStart w:id="551" w:name="_Toc200513175"/>
      <w:bookmarkStart w:id="552" w:name="_Toc430530484"/>
      <w:bookmarkStart w:id="553" w:name="_Toc509218759"/>
      <w:bookmarkStart w:id="554" w:name="_Toc287620734"/>
      <w:bookmarkStart w:id="555" w:name="_Toc224103366"/>
      <w:bookmarkStart w:id="556" w:name="_Toc277082601"/>
      <w:r>
        <w:rPr>
          <w:rFonts w:ascii="宋体" w:hAnsi="宋体"/>
          <w:b w:val="0"/>
          <w:snapToGrid w:val="0"/>
          <w:color w:val="000000" w:themeColor="text1"/>
          <w:sz w:val="24"/>
          <w:szCs w:val="24"/>
          <w14:textFill>
            <w14:solidFill>
              <w14:schemeClr w14:val="tx1"/>
            </w14:solidFill>
          </w14:textFill>
        </w:rPr>
        <w:t>9.3  对评标委员会成员的纪律要求</w:t>
      </w:r>
      <w:bookmarkEnd w:id="548"/>
      <w:bookmarkEnd w:id="549"/>
      <w:bookmarkEnd w:id="550"/>
      <w:bookmarkEnd w:id="551"/>
      <w:bookmarkEnd w:id="552"/>
      <w:bookmarkEnd w:id="553"/>
      <w:bookmarkEnd w:id="554"/>
      <w:bookmarkEnd w:id="555"/>
      <w:bookmarkEnd w:id="556"/>
    </w:p>
    <w:p w14:paraId="66A93745">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color w:val="000000" w:themeColor="text1"/>
          <w:kern w:val="0"/>
          <w:szCs w:val="21"/>
          <w14:textFill>
            <w14:solidFill>
              <w14:schemeClr w14:val="tx1"/>
            </w14:solidFill>
          </w14:textFill>
        </w:rPr>
        <w:t>，不得对竞争性比选文件中《否决投标情况一览表》以外的内容予以否决投标，否则对评标委员会成员按《重庆市综合评标专家库和评标专家管理暂行办法》进行处理。</w:t>
      </w:r>
    </w:p>
    <w:p w14:paraId="1416F80E">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557" w:name="_Toc24888"/>
      <w:bookmarkStart w:id="558" w:name="_Toc226115574"/>
      <w:bookmarkStart w:id="559" w:name="_Toc287620735"/>
      <w:bookmarkStart w:id="560" w:name="_Toc224103367"/>
      <w:bookmarkStart w:id="561" w:name="_Toc200513176"/>
      <w:bookmarkStart w:id="562" w:name="_Toc509218760"/>
      <w:bookmarkStart w:id="563" w:name="_Toc430530485"/>
      <w:bookmarkStart w:id="564" w:name="_Toc277082602"/>
      <w:bookmarkStart w:id="565" w:name="_Toc287607796"/>
      <w:r>
        <w:rPr>
          <w:rFonts w:ascii="宋体" w:hAnsi="宋体"/>
          <w:b w:val="0"/>
          <w:snapToGrid w:val="0"/>
          <w:color w:val="000000" w:themeColor="text1"/>
          <w:sz w:val="24"/>
          <w:szCs w:val="24"/>
          <w14:textFill>
            <w14:solidFill>
              <w14:schemeClr w14:val="tx1"/>
            </w14:solidFill>
          </w14:textFill>
        </w:rPr>
        <w:t>9.4  对与评标活动有关的工作人员的纪律要求</w:t>
      </w:r>
      <w:bookmarkEnd w:id="557"/>
      <w:bookmarkEnd w:id="558"/>
      <w:bookmarkEnd w:id="559"/>
      <w:bookmarkEnd w:id="560"/>
      <w:bookmarkEnd w:id="561"/>
      <w:bookmarkEnd w:id="562"/>
      <w:bookmarkEnd w:id="563"/>
      <w:bookmarkEnd w:id="564"/>
      <w:bookmarkEnd w:id="565"/>
    </w:p>
    <w:p w14:paraId="1EB86F50">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0E8A5D61">
      <w:pPr>
        <w:pStyle w:val="5"/>
        <w:snapToGrid w:val="0"/>
        <w:spacing w:before="0" w:after="0" w:line="360" w:lineRule="auto"/>
        <w:rPr>
          <w:rFonts w:hint="eastAsia" w:ascii="宋体" w:hAnsi="宋体"/>
          <w:b w:val="0"/>
          <w:snapToGrid w:val="0"/>
          <w:color w:val="000000" w:themeColor="text1"/>
          <w:sz w:val="24"/>
          <w:szCs w:val="24"/>
          <w14:textFill>
            <w14:solidFill>
              <w14:schemeClr w14:val="tx1"/>
            </w14:solidFill>
          </w14:textFill>
        </w:rPr>
      </w:pPr>
      <w:bookmarkStart w:id="566" w:name="_Toc226115575"/>
      <w:bookmarkStart w:id="567" w:name="_Toc430530486"/>
      <w:bookmarkStart w:id="568" w:name="_Toc287607797"/>
      <w:bookmarkStart w:id="569" w:name="_Toc20362"/>
      <w:bookmarkStart w:id="570" w:name="_Toc200513177"/>
      <w:bookmarkStart w:id="571" w:name="_Toc509218761"/>
      <w:bookmarkStart w:id="572" w:name="_Toc287620736"/>
      <w:bookmarkStart w:id="573" w:name="_Toc224103368"/>
      <w:bookmarkStart w:id="574" w:name="_Toc277082603"/>
      <w:r>
        <w:rPr>
          <w:rFonts w:ascii="宋体" w:hAnsi="宋体"/>
          <w:b w:val="0"/>
          <w:snapToGrid w:val="0"/>
          <w:color w:val="000000" w:themeColor="text1"/>
          <w:sz w:val="24"/>
          <w:szCs w:val="24"/>
          <w14:textFill>
            <w14:solidFill>
              <w14:schemeClr w14:val="tx1"/>
            </w14:solidFill>
          </w14:textFill>
        </w:rPr>
        <w:t>9.5  投诉</w:t>
      </w:r>
      <w:bookmarkEnd w:id="566"/>
      <w:bookmarkEnd w:id="567"/>
      <w:bookmarkEnd w:id="568"/>
      <w:bookmarkEnd w:id="569"/>
      <w:bookmarkEnd w:id="570"/>
      <w:bookmarkEnd w:id="571"/>
      <w:bookmarkEnd w:id="572"/>
      <w:bookmarkEnd w:id="573"/>
      <w:bookmarkEnd w:id="574"/>
    </w:p>
    <w:p w14:paraId="75B23C53">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投标人和其他利害关系人认为本次招标活动违反法律、法规和规章规定的，有权向有关行政监督部门投诉。</w:t>
      </w:r>
    </w:p>
    <w:p w14:paraId="2AB83ACF">
      <w:pPr>
        <w:pStyle w:val="4"/>
        <w:spacing w:before="0" w:after="0" w:line="360" w:lineRule="auto"/>
        <w:rPr>
          <w:rFonts w:hint="eastAsia" w:ascii="宋体" w:hAnsi="宋体"/>
          <w:b w:val="0"/>
          <w:snapToGrid w:val="0"/>
          <w:color w:val="000000" w:themeColor="text1"/>
          <w14:textFill>
            <w14:solidFill>
              <w14:schemeClr w14:val="tx1"/>
            </w14:solidFill>
          </w14:textFill>
        </w:rPr>
      </w:pPr>
      <w:bookmarkStart w:id="575" w:name="_Toc509218762"/>
      <w:bookmarkStart w:id="576" w:name="_Toc287620737"/>
      <w:bookmarkStart w:id="577" w:name="_Toc287607798"/>
      <w:bookmarkStart w:id="578" w:name="_Toc226115576"/>
      <w:bookmarkStart w:id="579" w:name="_Toc200513178"/>
      <w:bookmarkStart w:id="580" w:name="_Toc430530487"/>
      <w:bookmarkStart w:id="581" w:name="_Toc15839"/>
      <w:bookmarkStart w:id="582" w:name="_Toc224103369"/>
      <w:bookmarkStart w:id="583" w:name="_Toc277082604"/>
      <w:r>
        <w:rPr>
          <w:rFonts w:ascii="宋体" w:hAnsi="宋体"/>
          <w:b w:val="0"/>
          <w:snapToGrid w:val="0"/>
          <w:color w:val="000000" w:themeColor="text1"/>
          <w14:textFill>
            <w14:solidFill>
              <w14:schemeClr w14:val="tx1"/>
            </w14:solidFill>
          </w14:textFill>
        </w:rPr>
        <w:t>10. 需要补充的其他内容</w:t>
      </w:r>
      <w:bookmarkEnd w:id="575"/>
      <w:bookmarkEnd w:id="576"/>
      <w:bookmarkEnd w:id="577"/>
      <w:bookmarkEnd w:id="578"/>
      <w:bookmarkEnd w:id="579"/>
      <w:bookmarkEnd w:id="580"/>
      <w:bookmarkEnd w:id="581"/>
      <w:bookmarkEnd w:id="582"/>
      <w:bookmarkEnd w:id="583"/>
    </w:p>
    <w:p w14:paraId="5A206CE1">
      <w:pPr>
        <w:autoSpaceDE w:val="0"/>
        <w:autoSpaceDN w:val="0"/>
        <w:adjustRightInd w:val="0"/>
        <w:snapToGrid w:val="0"/>
        <w:spacing w:line="360" w:lineRule="auto"/>
        <w:ind w:firstLine="420" w:firstLineChars="200"/>
        <w:rPr>
          <w:rFonts w:hint="eastAsia" w:ascii="宋体" w:hAnsi="宋体"/>
          <w:snapToGrid w:val="0"/>
          <w:color w:val="000000" w:themeColor="text1"/>
          <w:kern w:val="0"/>
          <w:szCs w:val="21"/>
          <w14:textFill>
            <w14:solidFill>
              <w14:schemeClr w14:val="tx1"/>
            </w14:solidFill>
          </w14:textFill>
        </w:rPr>
        <w:sectPr>
          <w:footerReference r:id="rId4" w:type="default"/>
          <w:footerReference r:id="rId5" w:type="even"/>
          <w:pgSz w:w="11906" w:h="16838"/>
          <w:pgMar w:top="1304" w:right="1134" w:bottom="1304" w:left="1304" w:header="851" w:footer="992" w:gutter="0"/>
          <w:cols w:space="720" w:num="1"/>
          <w:docGrid w:type="lines" w:linePitch="312" w:charSpace="0"/>
        </w:sectPr>
      </w:pPr>
      <w:r>
        <w:rPr>
          <w:rFonts w:ascii="宋体" w:hAnsi="宋体"/>
          <w:snapToGrid w:val="0"/>
          <w:color w:val="000000" w:themeColor="text1"/>
          <w:kern w:val="0"/>
          <w:szCs w:val="21"/>
          <w14:textFill>
            <w14:solidFill>
              <w14:schemeClr w14:val="tx1"/>
            </w14:solidFill>
          </w14:textFill>
        </w:rPr>
        <w:t>需要补充的其他内容：见投标人须知前附表。</w:t>
      </w:r>
    </w:p>
    <w:p w14:paraId="7F631B0F">
      <w:pPr>
        <w:pStyle w:val="3"/>
        <w:spacing w:before="0" w:line="360" w:lineRule="auto"/>
        <w:jc w:val="center"/>
        <w:rPr>
          <w:rFonts w:hint="eastAsia" w:ascii="宋体" w:hAnsi="宋体"/>
          <w:snapToGrid w:val="0"/>
          <w:color w:val="000000" w:themeColor="text1"/>
          <w:kern w:val="0"/>
          <w14:textFill>
            <w14:solidFill>
              <w14:schemeClr w14:val="tx1"/>
            </w14:solidFill>
          </w14:textFill>
        </w:rPr>
      </w:pPr>
      <w:bookmarkStart w:id="584" w:name="_Toc226115577"/>
      <w:bookmarkStart w:id="585" w:name="_Toc21744"/>
      <w:r>
        <w:rPr>
          <w:rFonts w:ascii="宋体" w:hAnsi="宋体"/>
          <w:snapToGrid w:val="0"/>
          <w:color w:val="000000" w:themeColor="text1"/>
          <w:kern w:val="0"/>
          <w14:textFill>
            <w14:solidFill>
              <w14:schemeClr w14:val="tx1"/>
            </w14:solidFill>
          </w14:textFill>
        </w:rPr>
        <w:t xml:space="preserve">第三章 </w:t>
      </w:r>
      <w:r>
        <w:rPr>
          <w:rFonts w:hint="eastAsia" w:ascii="宋体" w:hAnsi="宋体"/>
          <w:snapToGrid w:val="0"/>
          <w:color w:val="000000" w:themeColor="text1"/>
          <w:kern w:val="0"/>
          <w14:textFill>
            <w14:solidFill>
              <w14:schemeClr w14:val="tx1"/>
            </w14:solidFill>
          </w14:textFill>
        </w:rPr>
        <w:t xml:space="preserve"> </w:t>
      </w:r>
      <w:r>
        <w:rPr>
          <w:rFonts w:ascii="宋体" w:hAnsi="宋体"/>
          <w:snapToGrid w:val="0"/>
          <w:color w:val="000000" w:themeColor="text1"/>
          <w:kern w:val="0"/>
          <w14:textFill>
            <w14:solidFill>
              <w14:schemeClr w14:val="tx1"/>
            </w14:solidFill>
          </w14:textFill>
        </w:rPr>
        <w:t>评标办法（</w:t>
      </w:r>
      <w:r>
        <w:rPr>
          <w:rFonts w:hint="eastAsia" w:ascii="宋体" w:hAnsi="宋体"/>
          <w:snapToGrid w:val="0"/>
          <w:color w:val="000000" w:themeColor="text1"/>
          <w:kern w:val="0"/>
          <w14:textFill>
            <w14:solidFill>
              <w14:schemeClr w14:val="tx1"/>
            </w14:solidFill>
          </w14:textFill>
        </w:rPr>
        <w:t>经评审的最低投标价法</w:t>
      </w:r>
      <w:r>
        <w:rPr>
          <w:rFonts w:ascii="宋体" w:hAnsi="宋体"/>
          <w:snapToGrid w:val="0"/>
          <w:color w:val="000000" w:themeColor="text1"/>
          <w:kern w:val="0"/>
          <w14:textFill>
            <w14:solidFill>
              <w14:schemeClr w14:val="tx1"/>
            </w14:solidFill>
          </w14:textFill>
        </w:rPr>
        <w:t>）</w:t>
      </w:r>
      <w:bookmarkEnd w:id="584"/>
      <w:bookmarkEnd w:id="585"/>
    </w:p>
    <w:p w14:paraId="7B5F06EE">
      <w:pPr>
        <w:keepNext/>
        <w:keepLines/>
        <w:spacing w:after="100" w:line="360" w:lineRule="auto"/>
        <w:outlineLvl w:val="1"/>
        <w:rPr>
          <w:rFonts w:hint="eastAsia" w:ascii="宋体" w:hAnsi="宋体"/>
          <w:b/>
          <w:color w:val="000000" w:themeColor="text1"/>
          <w:sz w:val="32"/>
          <w:szCs w:val="32"/>
          <w14:textFill>
            <w14:solidFill>
              <w14:schemeClr w14:val="tx1"/>
            </w14:solidFill>
          </w14:textFill>
        </w:rPr>
      </w:pPr>
      <w:bookmarkStart w:id="586" w:name="_Toc226115578"/>
      <w:bookmarkStart w:id="587" w:name="_Toc32701"/>
      <w:r>
        <w:rPr>
          <w:rFonts w:hint="eastAsia" w:ascii="宋体" w:hAnsi="宋体"/>
          <w:b/>
          <w:color w:val="000000" w:themeColor="text1"/>
          <w:sz w:val="32"/>
          <w:szCs w:val="32"/>
          <w14:textFill>
            <w14:solidFill>
              <w14:schemeClr w14:val="tx1"/>
            </w14:solidFill>
          </w14:textFill>
        </w:rPr>
        <w:t>评标办法前附表</w:t>
      </w:r>
      <w:bookmarkEnd w:id="586"/>
      <w:bookmarkEnd w:id="587"/>
    </w:p>
    <w:p w14:paraId="097C7A22">
      <w:pPr>
        <w:spacing w:line="400" w:lineRule="exact"/>
        <w:ind w:firstLine="427" w:firstLineChars="196"/>
        <w:rPr>
          <w:rFonts w:hint="eastAsia" w:ascii="宋体" w:hAnsi="宋体"/>
          <w:color w:val="000000" w:themeColor="text1"/>
          <w:spacing w:val="4"/>
          <w:kern w:val="0"/>
          <w:szCs w:val="21"/>
          <w14:textFill>
            <w14:solidFill>
              <w14:schemeClr w14:val="tx1"/>
            </w14:solidFill>
          </w14:textFill>
        </w:rPr>
      </w:pPr>
      <w:bookmarkStart w:id="588" w:name="_Toc13210726"/>
      <w:r>
        <w:rPr>
          <w:rFonts w:ascii="宋体" w:hAnsi="宋体"/>
          <w:color w:val="000000" w:themeColor="text1"/>
          <w:spacing w:val="4"/>
          <w:kern w:val="0"/>
          <w:szCs w:val="21"/>
          <w14:textFill>
            <w14:solidFill>
              <w14:schemeClr w14:val="tx1"/>
            </w14:solidFill>
          </w14:textFill>
        </w:rPr>
        <w:t>评标办法中的评审内容必须和投标人须知中的对应内容一致，若投标人须知中未作要求的内容，不得列入评标办法作为评定依据。</w:t>
      </w:r>
      <w:bookmarkEnd w:id="588"/>
    </w:p>
    <w:tbl>
      <w:tblPr>
        <w:tblStyle w:val="45"/>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14:paraId="3A207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14:paraId="7552FCE9">
            <w:pPr>
              <w:spacing w:line="400" w:lineRule="exact"/>
              <w:jc w:val="center"/>
              <w:rPr>
                <w:rFonts w:hint="eastAsia" w:ascii="宋体" w:hAnsi="宋体"/>
                <w:b/>
                <w:color w:val="000000" w:themeColor="text1"/>
                <w:kern w:val="0"/>
                <w14:textFill>
                  <w14:solidFill>
                    <w14:schemeClr w14:val="tx1"/>
                  </w14:solidFill>
                </w14:textFill>
              </w:rPr>
            </w:pPr>
            <w:r>
              <w:rPr>
                <w:rFonts w:ascii="宋体" w:hAnsi="宋体"/>
                <w:b/>
                <w:color w:val="000000" w:themeColor="text1"/>
                <w:kern w:val="0"/>
                <w14:textFill>
                  <w14:solidFill>
                    <w14:schemeClr w14:val="tx1"/>
                  </w14:solidFill>
                </w14:textFill>
              </w:rPr>
              <w:t>条款号</w:t>
            </w:r>
          </w:p>
        </w:tc>
        <w:tc>
          <w:tcPr>
            <w:tcW w:w="1560" w:type="dxa"/>
            <w:tcBorders>
              <w:left w:val="single" w:color="auto" w:sz="4" w:space="0"/>
            </w:tcBorders>
            <w:vAlign w:val="center"/>
          </w:tcPr>
          <w:p w14:paraId="0B81350B">
            <w:pPr>
              <w:spacing w:line="400" w:lineRule="exact"/>
              <w:jc w:val="center"/>
              <w:rPr>
                <w:rFonts w:hint="eastAsia" w:ascii="宋体" w:hAnsi="宋体"/>
                <w:b/>
                <w:color w:val="000000" w:themeColor="text1"/>
                <w:kern w:val="0"/>
                <w14:textFill>
                  <w14:solidFill>
                    <w14:schemeClr w14:val="tx1"/>
                  </w14:solidFill>
                </w14:textFill>
              </w:rPr>
            </w:pPr>
            <w:r>
              <w:rPr>
                <w:rFonts w:ascii="宋体" w:hAnsi="宋体"/>
                <w:b/>
                <w:color w:val="000000" w:themeColor="text1"/>
                <w:kern w:val="0"/>
                <w14:textFill>
                  <w14:solidFill>
                    <w14:schemeClr w14:val="tx1"/>
                  </w14:solidFill>
                </w14:textFill>
              </w:rPr>
              <w:t>评审因素</w:t>
            </w:r>
          </w:p>
        </w:tc>
        <w:tc>
          <w:tcPr>
            <w:tcW w:w="6882" w:type="dxa"/>
            <w:gridSpan w:val="2"/>
            <w:vAlign w:val="center"/>
          </w:tcPr>
          <w:p w14:paraId="7B94F86B">
            <w:pPr>
              <w:spacing w:line="400" w:lineRule="exact"/>
              <w:jc w:val="center"/>
              <w:rPr>
                <w:rFonts w:hint="eastAsia" w:ascii="宋体" w:hAnsi="宋体"/>
                <w:b/>
                <w:color w:val="000000" w:themeColor="text1"/>
                <w:kern w:val="0"/>
                <w14:textFill>
                  <w14:solidFill>
                    <w14:schemeClr w14:val="tx1"/>
                  </w14:solidFill>
                </w14:textFill>
              </w:rPr>
            </w:pPr>
            <w:r>
              <w:rPr>
                <w:rFonts w:ascii="宋体" w:hAnsi="宋体"/>
                <w:b/>
                <w:color w:val="000000" w:themeColor="text1"/>
                <w:kern w:val="0"/>
                <w14:textFill>
                  <w14:solidFill>
                    <w14:schemeClr w14:val="tx1"/>
                  </w14:solidFill>
                </w14:textFill>
              </w:rPr>
              <w:t>评审标准</w:t>
            </w:r>
          </w:p>
        </w:tc>
      </w:tr>
      <w:tr w14:paraId="4EC2A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14:paraId="3EA5919B">
            <w:pP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w:t>
            </w:r>
          </w:p>
        </w:tc>
        <w:tc>
          <w:tcPr>
            <w:tcW w:w="1560" w:type="dxa"/>
            <w:vMerge w:val="restart"/>
            <w:tcBorders>
              <w:left w:val="single" w:color="auto" w:sz="4" w:space="0"/>
              <w:right w:val="single" w:color="auto" w:sz="4" w:space="0"/>
            </w:tcBorders>
            <w:vAlign w:val="center"/>
          </w:tcPr>
          <w:p w14:paraId="3EF914C9">
            <w:pPr>
              <w:spacing w:line="400" w:lineRule="exact"/>
              <w:jc w:val="center"/>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资格评审标准</w:t>
            </w:r>
          </w:p>
        </w:tc>
        <w:tc>
          <w:tcPr>
            <w:tcW w:w="2267" w:type="dxa"/>
            <w:tcBorders>
              <w:top w:val="single" w:color="auto" w:sz="4" w:space="0"/>
              <w:left w:val="single" w:color="auto" w:sz="4" w:space="0"/>
              <w:right w:val="single" w:color="auto" w:sz="4" w:space="0"/>
            </w:tcBorders>
            <w:vAlign w:val="center"/>
          </w:tcPr>
          <w:p w14:paraId="216C0CDE">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资质条件</w:t>
            </w:r>
          </w:p>
        </w:tc>
        <w:tc>
          <w:tcPr>
            <w:tcW w:w="4615" w:type="dxa"/>
            <w:tcBorders>
              <w:top w:val="single" w:color="auto" w:sz="4" w:space="0"/>
              <w:left w:val="single" w:color="auto" w:sz="4" w:space="0"/>
            </w:tcBorders>
            <w:vAlign w:val="center"/>
          </w:tcPr>
          <w:p w14:paraId="4CF6B535">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符合第二章“投标人须知”第1.4.1项规定。</w:t>
            </w:r>
          </w:p>
        </w:tc>
      </w:tr>
      <w:tr w14:paraId="69953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3EB7FC20">
            <w:pPr>
              <w:spacing w:line="400" w:lineRule="exact"/>
              <w:jc w:val="center"/>
              <w:rPr>
                <w:rFonts w:hint="eastAsia" w:ascii="宋体" w:hAnsi="宋体" w:cs="宋体"/>
                <w:color w:val="000000" w:themeColor="text1"/>
                <w:szCs w:val="21"/>
                <w14:textFill>
                  <w14:solidFill>
                    <w14:schemeClr w14:val="tx1"/>
                  </w14:solidFill>
                </w14:textFill>
              </w:rPr>
            </w:pPr>
          </w:p>
        </w:tc>
        <w:tc>
          <w:tcPr>
            <w:tcW w:w="1560" w:type="dxa"/>
            <w:vMerge w:val="continue"/>
            <w:tcBorders>
              <w:left w:val="single" w:color="auto" w:sz="4" w:space="0"/>
              <w:right w:val="single" w:color="auto" w:sz="4" w:space="0"/>
            </w:tcBorders>
            <w:vAlign w:val="center"/>
          </w:tcPr>
          <w:p w14:paraId="6FDF4409">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top w:val="single" w:color="auto" w:sz="4" w:space="0"/>
              <w:left w:val="single" w:color="auto" w:sz="4" w:space="0"/>
              <w:right w:val="single" w:color="auto" w:sz="4" w:space="0"/>
            </w:tcBorders>
            <w:vAlign w:val="center"/>
          </w:tcPr>
          <w:p w14:paraId="451D07ED">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独立法人资格</w:t>
            </w:r>
          </w:p>
        </w:tc>
        <w:tc>
          <w:tcPr>
            <w:tcW w:w="4615" w:type="dxa"/>
            <w:tcBorders>
              <w:top w:val="single" w:color="auto" w:sz="4" w:space="0"/>
              <w:left w:val="single" w:color="auto" w:sz="4" w:space="0"/>
            </w:tcBorders>
            <w:vAlign w:val="center"/>
          </w:tcPr>
          <w:p w14:paraId="01A511B6">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符合第二章“投标人须知”第1.4.1项规定。</w:t>
            </w:r>
          </w:p>
        </w:tc>
      </w:tr>
      <w:tr w14:paraId="0F4C5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46D6E22A">
            <w:pPr>
              <w:spacing w:line="400" w:lineRule="exact"/>
              <w:jc w:val="center"/>
              <w:rPr>
                <w:rFonts w:hint="eastAsia" w:ascii="宋体" w:hAnsi="宋体" w:cs="宋体"/>
                <w:color w:val="000000" w:themeColor="text1"/>
                <w:szCs w:val="21"/>
                <w14:textFill>
                  <w14:solidFill>
                    <w14:schemeClr w14:val="tx1"/>
                  </w14:solidFill>
                </w14:textFill>
              </w:rPr>
            </w:pPr>
          </w:p>
        </w:tc>
        <w:tc>
          <w:tcPr>
            <w:tcW w:w="1560" w:type="dxa"/>
            <w:vMerge w:val="continue"/>
            <w:tcBorders>
              <w:left w:val="single" w:color="auto" w:sz="4" w:space="0"/>
              <w:right w:val="single" w:color="auto" w:sz="4" w:space="0"/>
            </w:tcBorders>
            <w:vAlign w:val="center"/>
          </w:tcPr>
          <w:p w14:paraId="428CF486">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top w:val="single" w:color="auto" w:sz="4" w:space="0"/>
              <w:left w:val="single" w:color="auto" w:sz="4" w:space="0"/>
              <w:right w:val="single" w:color="auto" w:sz="4" w:space="0"/>
            </w:tcBorders>
            <w:vAlign w:val="center"/>
          </w:tcPr>
          <w:p w14:paraId="36D034D0">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安全生产条件</w:t>
            </w:r>
          </w:p>
        </w:tc>
        <w:tc>
          <w:tcPr>
            <w:tcW w:w="4615" w:type="dxa"/>
            <w:tcBorders>
              <w:top w:val="single" w:color="auto" w:sz="4" w:space="0"/>
              <w:left w:val="single" w:color="auto" w:sz="4" w:space="0"/>
            </w:tcBorders>
            <w:vAlign w:val="center"/>
          </w:tcPr>
          <w:p w14:paraId="265DCC89">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符合第二章“投标人须知”第1.4.1项规定。</w:t>
            </w:r>
          </w:p>
        </w:tc>
      </w:tr>
      <w:tr w14:paraId="05F20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6DC2D334">
            <w:pPr>
              <w:spacing w:line="400" w:lineRule="exact"/>
              <w:jc w:val="center"/>
              <w:rPr>
                <w:rFonts w:hint="eastAsia" w:ascii="宋体" w:hAnsi="宋体" w:cs="宋体"/>
                <w:color w:val="000000" w:themeColor="text1"/>
                <w:szCs w:val="21"/>
                <w14:textFill>
                  <w14:solidFill>
                    <w14:schemeClr w14:val="tx1"/>
                  </w14:solidFill>
                </w14:textFill>
              </w:rPr>
            </w:pPr>
          </w:p>
        </w:tc>
        <w:tc>
          <w:tcPr>
            <w:tcW w:w="1560" w:type="dxa"/>
            <w:vMerge w:val="continue"/>
            <w:tcBorders>
              <w:left w:val="single" w:color="auto" w:sz="4" w:space="0"/>
              <w:right w:val="single" w:color="auto" w:sz="4" w:space="0"/>
            </w:tcBorders>
            <w:vAlign w:val="center"/>
          </w:tcPr>
          <w:p w14:paraId="5F46BB2A">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top w:val="single" w:color="auto" w:sz="4" w:space="0"/>
              <w:left w:val="single" w:color="auto" w:sz="4" w:space="0"/>
              <w:right w:val="single" w:color="auto" w:sz="4" w:space="0"/>
            </w:tcBorders>
            <w:vAlign w:val="center"/>
          </w:tcPr>
          <w:p w14:paraId="57A9E7BF">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投标截止日投标资格情况</w:t>
            </w:r>
          </w:p>
        </w:tc>
        <w:tc>
          <w:tcPr>
            <w:tcW w:w="4615" w:type="dxa"/>
            <w:tcBorders>
              <w:top w:val="single" w:color="auto" w:sz="4" w:space="0"/>
              <w:left w:val="single" w:color="auto" w:sz="4" w:space="0"/>
            </w:tcBorders>
            <w:vAlign w:val="center"/>
          </w:tcPr>
          <w:p w14:paraId="57C0C405">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符合第二章“投标人须知”第1.4.1项规定。</w:t>
            </w:r>
          </w:p>
        </w:tc>
      </w:tr>
      <w:tr w14:paraId="0EB3B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5977F02F">
            <w:pPr>
              <w:spacing w:line="400" w:lineRule="exact"/>
              <w:jc w:val="center"/>
              <w:rPr>
                <w:rFonts w:hint="eastAsia" w:ascii="宋体" w:hAnsi="宋体" w:cs="宋体"/>
                <w:color w:val="000000" w:themeColor="text1"/>
                <w:szCs w:val="21"/>
                <w14:textFill>
                  <w14:solidFill>
                    <w14:schemeClr w14:val="tx1"/>
                  </w14:solidFill>
                </w14:textFill>
              </w:rPr>
            </w:pPr>
          </w:p>
        </w:tc>
        <w:tc>
          <w:tcPr>
            <w:tcW w:w="1560" w:type="dxa"/>
            <w:vMerge w:val="continue"/>
            <w:tcBorders>
              <w:left w:val="single" w:color="auto" w:sz="4" w:space="0"/>
              <w:right w:val="single" w:color="auto" w:sz="4" w:space="0"/>
            </w:tcBorders>
            <w:vAlign w:val="center"/>
          </w:tcPr>
          <w:p w14:paraId="7A88C12D">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top w:val="single" w:color="auto" w:sz="4" w:space="0"/>
              <w:left w:val="single" w:color="auto" w:sz="4" w:space="0"/>
              <w:right w:val="single" w:color="auto" w:sz="4" w:space="0"/>
            </w:tcBorders>
            <w:vAlign w:val="center"/>
          </w:tcPr>
          <w:p w14:paraId="3DFBE039">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项目经理资格要求</w:t>
            </w:r>
          </w:p>
        </w:tc>
        <w:tc>
          <w:tcPr>
            <w:tcW w:w="4615" w:type="dxa"/>
            <w:tcBorders>
              <w:top w:val="single" w:color="auto" w:sz="4" w:space="0"/>
              <w:left w:val="single" w:color="auto" w:sz="4" w:space="0"/>
            </w:tcBorders>
            <w:vAlign w:val="center"/>
          </w:tcPr>
          <w:p w14:paraId="16527EF7">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符合第二章“投标人须知”第1.4.1项规定。</w:t>
            </w:r>
          </w:p>
        </w:tc>
      </w:tr>
      <w:tr w14:paraId="3EC8E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44BCD085">
            <w:pPr>
              <w:spacing w:line="400" w:lineRule="exact"/>
              <w:jc w:val="center"/>
              <w:rPr>
                <w:rFonts w:hint="eastAsia" w:ascii="宋体" w:hAnsi="宋体" w:cs="宋体"/>
                <w:color w:val="000000" w:themeColor="text1"/>
                <w:szCs w:val="21"/>
                <w14:textFill>
                  <w14:solidFill>
                    <w14:schemeClr w14:val="tx1"/>
                  </w14:solidFill>
                </w14:textFill>
              </w:rPr>
            </w:pPr>
          </w:p>
        </w:tc>
        <w:tc>
          <w:tcPr>
            <w:tcW w:w="1560" w:type="dxa"/>
            <w:vMerge w:val="continue"/>
            <w:tcBorders>
              <w:left w:val="single" w:color="auto" w:sz="4" w:space="0"/>
              <w:right w:val="single" w:color="auto" w:sz="4" w:space="0"/>
            </w:tcBorders>
            <w:vAlign w:val="center"/>
          </w:tcPr>
          <w:p w14:paraId="2CC1EBD1">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top w:val="single" w:color="auto" w:sz="4" w:space="0"/>
              <w:left w:val="single" w:color="auto" w:sz="4" w:space="0"/>
              <w:right w:val="single" w:color="auto" w:sz="4" w:space="0"/>
            </w:tcBorders>
            <w:vAlign w:val="center"/>
          </w:tcPr>
          <w:p w14:paraId="63C92296">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其他要求</w:t>
            </w:r>
          </w:p>
        </w:tc>
        <w:tc>
          <w:tcPr>
            <w:tcW w:w="4615" w:type="dxa"/>
            <w:tcBorders>
              <w:top w:val="single" w:color="auto" w:sz="4" w:space="0"/>
              <w:left w:val="single" w:color="auto" w:sz="4" w:space="0"/>
            </w:tcBorders>
            <w:vAlign w:val="center"/>
          </w:tcPr>
          <w:p w14:paraId="1DAED56B">
            <w:pPr>
              <w:snapToGrid w:val="0"/>
              <w:spacing w:line="400" w:lineRule="exact"/>
              <w:ind w:firstLine="420" w:firstLineChars="200"/>
              <w:rPr>
                <w:rFonts w:hint="eastAsia" w:ascii="宋体" w:hAnsi="宋体" w:cs="宋体"/>
                <w:color w:val="000000" w:themeColor="text1"/>
                <w:kern w:val="0"/>
                <w:u w:val="single"/>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符合第二章“投标人须知”第1.4.1项规定。</w:t>
            </w:r>
          </w:p>
        </w:tc>
      </w:tr>
      <w:tr w14:paraId="70AB8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2012D209">
            <w:pPr>
              <w:spacing w:line="400" w:lineRule="exact"/>
              <w:jc w:val="center"/>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2.1.2</w:t>
            </w:r>
          </w:p>
        </w:tc>
        <w:tc>
          <w:tcPr>
            <w:tcW w:w="1560" w:type="dxa"/>
            <w:vMerge w:val="restart"/>
            <w:tcBorders>
              <w:left w:val="single" w:color="auto" w:sz="4" w:space="0"/>
            </w:tcBorders>
            <w:vAlign w:val="center"/>
          </w:tcPr>
          <w:p w14:paraId="21BE7E7D">
            <w:pPr>
              <w:spacing w:line="400" w:lineRule="exact"/>
              <w:jc w:val="center"/>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形式评审标准</w:t>
            </w:r>
          </w:p>
        </w:tc>
        <w:tc>
          <w:tcPr>
            <w:tcW w:w="2267" w:type="dxa"/>
            <w:tcBorders>
              <w:right w:val="single" w:color="auto" w:sz="4" w:space="0"/>
            </w:tcBorders>
            <w:vAlign w:val="center"/>
          </w:tcPr>
          <w:p w14:paraId="6872E0B6">
            <w:pPr>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投标人名称</w:t>
            </w:r>
          </w:p>
        </w:tc>
        <w:tc>
          <w:tcPr>
            <w:tcW w:w="4615" w:type="dxa"/>
            <w:tcBorders>
              <w:left w:val="single" w:color="auto" w:sz="4" w:space="0"/>
            </w:tcBorders>
            <w:vAlign w:val="center"/>
          </w:tcPr>
          <w:p w14:paraId="21CC771A">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与营业执照、资质证书、安全生产许可证一致。</w:t>
            </w:r>
          </w:p>
        </w:tc>
      </w:tr>
      <w:tr w14:paraId="4D46E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E6A473F">
            <w:pPr>
              <w:spacing w:line="400" w:lineRule="exact"/>
              <w:jc w:val="center"/>
              <w:rPr>
                <w:rFonts w:hint="eastAsia" w:ascii="宋体" w:hAnsi="宋体"/>
                <w:b/>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14:paraId="3DC826AF">
            <w:pPr>
              <w:spacing w:line="400" w:lineRule="exact"/>
              <w:jc w:val="center"/>
              <w:rPr>
                <w:rFonts w:hint="eastAsia" w:ascii="宋体" w:hAnsi="宋体"/>
                <w:b/>
                <w:color w:val="000000" w:themeColor="text1"/>
                <w:kern w:val="0"/>
                <w14:textFill>
                  <w14:solidFill>
                    <w14:schemeClr w14:val="tx1"/>
                  </w14:solidFill>
                </w14:textFill>
              </w:rPr>
            </w:pPr>
          </w:p>
        </w:tc>
        <w:tc>
          <w:tcPr>
            <w:tcW w:w="2267" w:type="dxa"/>
            <w:tcBorders>
              <w:right w:val="single" w:color="auto" w:sz="4" w:space="0"/>
            </w:tcBorders>
            <w:vAlign w:val="center"/>
          </w:tcPr>
          <w:p w14:paraId="24A4282B">
            <w:pPr>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投标文件格式</w:t>
            </w:r>
          </w:p>
        </w:tc>
        <w:tc>
          <w:tcPr>
            <w:tcW w:w="4615" w:type="dxa"/>
            <w:tcBorders>
              <w:left w:val="single" w:color="auto" w:sz="4" w:space="0"/>
            </w:tcBorders>
            <w:vAlign w:val="center"/>
          </w:tcPr>
          <w:p w14:paraId="4250BF49">
            <w:pPr>
              <w:snapToGrid w:val="0"/>
              <w:spacing w:line="400" w:lineRule="exact"/>
              <w:ind w:firstLine="380" w:firstLineChars="181"/>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符合第二章“投标人须知”第3.7款的要求（不含投标函部分）。</w:t>
            </w:r>
          </w:p>
          <w:p w14:paraId="1CF7938E">
            <w:pPr>
              <w:snapToGrid w:val="0"/>
              <w:spacing w:line="400" w:lineRule="exact"/>
              <w:ind w:firstLine="380" w:firstLineChars="181"/>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szCs w:val="21"/>
                <w14:textFill>
                  <w14:solidFill>
                    <w14:schemeClr w14:val="tx1"/>
                  </w14:solidFill>
                </w14:textFill>
              </w:rPr>
              <w:t>编制投标文件时不得对第八章“投标文件格式”的相应要素作实质性修改。</w:t>
            </w:r>
          </w:p>
        </w:tc>
      </w:tr>
      <w:tr w14:paraId="1CBCD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00741A4">
            <w:pPr>
              <w:spacing w:line="400" w:lineRule="exact"/>
              <w:jc w:val="center"/>
              <w:rPr>
                <w:rFonts w:hint="eastAsia" w:ascii="宋体" w:hAnsi="宋体"/>
                <w:b/>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14:paraId="4ECB2517">
            <w:pPr>
              <w:spacing w:line="400" w:lineRule="exact"/>
              <w:jc w:val="center"/>
              <w:rPr>
                <w:rFonts w:hint="eastAsia" w:ascii="宋体" w:hAnsi="宋体"/>
                <w:b/>
                <w:color w:val="000000" w:themeColor="text1"/>
                <w:kern w:val="0"/>
                <w14:textFill>
                  <w14:solidFill>
                    <w14:schemeClr w14:val="tx1"/>
                  </w14:solidFill>
                </w14:textFill>
              </w:rPr>
            </w:pPr>
          </w:p>
        </w:tc>
        <w:tc>
          <w:tcPr>
            <w:tcW w:w="2267" w:type="dxa"/>
            <w:tcBorders>
              <w:right w:val="single" w:color="auto" w:sz="4" w:space="0"/>
            </w:tcBorders>
            <w:vAlign w:val="center"/>
          </w:tcPr>
          <w:p w14:paraId="2B64D163">
            <w:pPr>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投标文件的签署</w:t>
            </w:r>
          </w:p>
        </w:tc>
        <w:tc>
          <w:tcPr>
            <w:tcW w:w="4615" w:type="dxa"/>
            <w:tcBorders>
              <w:left w:val="single" w:color="auto" w:sz="4" w:space="0"/>
            </w:tcBorders>
            <w:vAlign w:val="center"/>
          </w:tcPr>
          <w:p w14:paraId="70DB11AB">
            <w:pPr>
              <w:autoSpaceDE w:val="0"/>
              <w:autoSpaceDN w:val="0"/>
              <w:adjustRightInd w:val="0"/>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第八章 投标文件格式（不含投标函部分）要求法定代表人（或其委托代理人）签名（或盖章）的须齐全。</w:t>
            </w:r>
          </w:p>
          <w:p w14:paraId="5475D44C">
            <w:pPr>
              <w:autoSpaceDE w:val="0"/>
              <w:autoSpaceDN w:val="0"/>
              <w:adjustRightInd w:val="0"/>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第八章 投标文件格式（不含投标函部分）要求加盖单位法人章的，应加盖投标人的单位法人章。</w:t>
            </w:r>
          </w:p>
        </w:tc>
      </w:tr>
      <w:tr w14:paraId="1A844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0C616A5">
            <w:pPr>
              <w:spacing w:line="400" w:lineRule="exact"/>
              <w:jc w:val="center"/>
              <w:rPr>
                <w:rFonts w:hint="eastAsia" w:ascii="宋体" w:hAnsi="宋体"/>
                <w:b/>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14:paraId="31E90339">
            <w:pPr>
              <w:spacing w:line="400" w:lineRule="exact"/>
              <w:jc w:val="center"/>
              <w:rPr>
                <w:rFonts w:hint="eastAsia" w:ascii="宋体" w:hAnsi="宋体"/>
                <w:b/>
                <w:color w:val="000000" w:themeColor="text1"/>
                <w:kern w:val="0"/>
                <w14:textFill>
                  <w14:solidFill>
                    <w14:schemeClr w14:val="tx1"/>
                  </w14:solidFill>
                </w14:textFill>
              </w:rPr>
            </w:pPr>
          </w:p>
        </w:tc>
        <w:tc>
          <w:tcPr>
            <w:tcW w:w="2267" w:type="dxa"/>
            <w:tcBorders>
              <w:right w:val="single" w:color="auto" w:sz="4" w:space="0"/>
            </w:tcBorders>
            <w:vAlign w:val="center"/>
          </w:tcPr>
          <w:p w14:paraId="1BDF494D">
            <w:pPr>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委托代理人</w:t>
            </w:r>
          </w:p>
        </w:tc>
        <w:tc>
          <w:tcPr>
            <w:tcW w:w="4615" w:type="dxa"/>
            <w:tcBorders>
              <w:left w:val="single" w:color="auto" w:sz="4" w:space="0"/>
            </w:tcBorders>
            <w:vAlign w:val="center"/>
          </w:tcPr>
          <w:p w14:paraId="3C2C44A9">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投标人法定代表人的委托代理人有法定代表人签署的授权委托书和投标人为其缴纳的养老保险证明材料。</w:t>
            </w:r>
          </w:p>
        </w:tc>
      </w:tr>
      <w:tr w14:paraId="2814D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14:paraId="605DF8F8">
            <w:pPr>
              <w:spacing w:line="400" w:lineRule="exact"/>
              <w:jc w:val="center"/>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2.1.3</w:t>
            </w:r>
          </w:p>
        </w:tc>
        <w:tc>
          <w:tcPr>
            <w:tcW w:w="1560" w:type="dxa"/>
            <w:vMerge w:val="restart"/>
            <w:tcBorders>
              <w:top w:val="single" w:color="auto" w:sz="4" w:space="0"/>
              <w:left w:val="single" w:color="auto" w:sz="4" w:space="0"/>
            </w:tcBorders>
            <w:vAlign w:val="center"/>
          </w:tcPr>
          <w:p w14:paraId="7584E6EE">
            <w:pPr>
              <w:spacing w:line="400" w:lineRule="exact"/>
              <w:jc w:val="center"/>
              <w:rPr>
                <w:rFonts w:hint="eastAsia"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响应性评审标准</w:t>
            </w:r>
          </w:p>
        </w:tc>
        <w:tc>
          <w:tcPr>
            <w:tcW w:w="2267" w:type="dxa"/>
            <w:tcBorders>
              <w:right w:val="single" w:color="auto" w:sz="4" w:space="0"/>
            </w:tcBorders>
            <w:vAlign w:val="center"/>
          </w:tcPr>
          <w:p w14:paraId="5DF19F70">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投标内容</w:t>
            </w:r>
          </w:p>
        </w:tc>
        <w:tc>
          <w:tcPr>
            <w:tcW w:w="4615" w:type="dxa"/>
            <w:tcBorders>
              <w:left w:val="single" w:color="auto" w:sz="4" w:space="0"/>
            </w:tcBorders>
            <w:vAlign w:val="center"/>
          </w:tcPr>
          <w:p w14:paraId="154BECCE">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符合第二章“投标人须知”第1.3.1项规定。</w:t>
            </w:r>
          </w:p>
        </w:tc>
      </w:tr>
      <w:tr w14:paraId="1A534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A26FA50">
            <w:pPr>
              <w:spacing w:line="400" w:lineRule="exact"/>
              <w:jc w:val="center"/>
              <w:rPr>
                <w:rFonts w:hint="eastAsia"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14:paraId="1A397919">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14:paraId="33FA00B9">
            <w:pPr>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投标保证金</w:t>
            </w:r>
          </w:p>
        </w:tc>
        <w:tc>
          <w:tcPr>
            <w:tcW w:w="4615" w:type="dxa"/>
            <w:tcBorders>
              <w:left w:val="single" w:color="auto" w:sz="4" w:space="0"/>
            </w:tcBorders>
            <w:vAlign w:val="center"/>
          </w:tcPr>
          <w:p w14:paraId="62C4AB92">
            <w:pPr>
              <w:tabs>
                <w:tab w:val="left" w:pos="611"/>
                <w:tab w:val="left" w:pos="669"/>
              </w:tabs>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符合第二章“投标人须知前附表”第3.4款规定。</w:t>
            </w:r>
          </w:p>
        </w:tc>
      </w:tr>
      <w:tr w14:paraId="3F622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97B454F">
            <w:pPr>
              <w:spacing w:line="400" w:lineRule="exact"/>
              <w:jc w:val="center"/>
              <w:rPr>
                <w:rFonts w:hint="eastAsia"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14:paraId="47C4C72E">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14:paraId="026D1FB9">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权利义务</w:t>
            </w:r>
          </w:p>
        </w:tc>
        <w:tc>
          <w:tcPr>
            <w:tcW w:w="4615" w:type="dxa"/>
            <w:tcBorders>
              <w:left w:val="single" w:color="auto" w:sz="4" w:space="0"/>
            </w:tcBorders>
            <w:vAlign w:val="center"/>
          </w:tcPr>
          <w:p w14:paraId="40FABC81">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符合第四章“合同条款及格式”规定，投标文件不应附有招标人不能接受的条件。（由投标人承诺，承诺书格式详见第八章投标文件格式。）</w:t>
            </w:r>
          </w:p>
        </w:tc>
      </w:tr>
      <w:tr w14:paraId="340CA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F3A48D5">
            <w:pPr>
              <w:spacing w:line="400" w:lineRule="exact"/>
              <w:jc w:val="center"/>
              <w:rPr>
                <w:rFonts w:hint="eastAsia"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14:paraId="5F3CCA83">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14:paraId="06EF1E7E">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技术标准和要求</w:t>
            </w:r>
          </w:p>
        </w:tc>
        <w:tc>
          <w:tcPr>
            <w:tcW w:w="4615" w:type="dxa"/>
            <w:tcBorders>
              <w:left w:val="single" w:color="auto" w:sz="4" w:space="0"/>
            </w:tcBorders>
            <w:vAlign w:val="center"/>
          </w:tcPr>
          <w:p w14:paraId="6E32C4E7">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符合第七章“技术标准和要求”规定。（由投标人承诺，承诺书格式详见第八章投标文件格式。）</w:t>
            </w:r>
          </w:p>
        </w:tc>
      </w:tr>
      <w:tr w14:paraId="57564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bottom w:val="single" w:color="auto" w:sz="4" w:space="0"/>
              <w:right w:val="single" w:color="auto" w:sz="4" w:space="0"/>
            </w:tcBorders>
            <w:vAlign w:val="center"/>
          </w:tcPr>
          <w:p w14:paraId="754D211A">
            <w:pPr>
              <w:spacing w:line="400" w:lineRule="exact"/>
              <w:jc w:val="center"/>
              <w:rPr>
                <w:rFonts w:hint="eastAsia" w:ascii="宋体" w:hAnsi="宋体"/>
                <w:color w:val="000000" w:themeColor="text1"/>
                <w:kern w:val="0"/>
                <w14:textFill>
                  <w14:solidFill>
                    <w14:schemeClr w14:val="tx1"/>
                  </w14:solidFill>
                </w14:textFill>
              </w:rPr>
            </w:pPr>
          </w:p>
        </w:tc>
        <w:tc>
          <w:tcPr>
            <w:tcW w:w="1560" w:type="dxa"/>
            <w:vMerge w:val="continue"/>
            <w:tcBorders>
              <w:left w:val="single" w:color="auto" w:sz="4" w:space="0"/>
              <w:bottom w:val="single" w:color="auto" w:sz="4" w:space="0"/>
            </w:tcBorders>
            <w:vAlign w:val="center"/>
          </w:tcPr>
          <w:p w14:paraId="7CF84187">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14:paraId="08563FB2">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其他实质性要求</w:t>
            </w:r>
          </w:p>
        </w:tc>
        <w:tc>
          <w:tcPr>
            <w:tcW w:w="4615" w:type="dxa"/>
            <w:tcBorders>
              <w:left w:val="single" w:color="auto" w:sz="4" w:space="0"/>
            </w:tcBorders>
            <w:vAlign w:val="center"/>
          </w:tcPr>
          <w:p w14:paraId="4C481035">
            <w:pPr>
              <w:spacing w:line="400" w:lineRule="exact"/>
              <w:ind w:firstLine="420" w:firstLineChars="200"/>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本次投标不得存在弄虚作假等</w:t>
            </w:r>
            <w:r>
              <w:rPr>
                <w:rFonts w:ascii="宋体" w:hAnsi="宋体"/>
                <w:color w:val="000000" w:themeColor="text1"/>
                <w:kern w:val="0"/>
                <w14:textFill>
                  <w14:solidFill>
                    <w14:schemeClr w14:val="tx1"/>
                  </w14:solidFill>
                </w14:textFill>
              </w:rPr>
              <w:t>其他违反招投标相关法律、法规</w:t>
            </w:r>
            <w:r>
              <w:rPr>
                <w:rFonts w:hint="eastAsia" w:ascii="宋体" w:hAnsi="宋体"/>
                <w:color w:val="000000" w:themeColor="text1"/>
                <w:kern w:val="0"/>
                <w14:textFill>
                  <w14:solidFill>
                    <w14:schemeClr w14:val="tx1"/>
                  </w14:solidFill>
                </w14:textFill>
              </w:rPr>
              <w:t>的</w:t>
            </w:r>
            <w:r>
              <w:rPr>
                <w:rFonts w:ascii="宋体" w:hAnsi="宋体"/>
                <w:color w:val="000000" w:themeColor="text1"/>
                <w:kern w:val="0"/>
                <w14:textFill>
                  <w14:solidFill>
                    <w14:schemeClr w14:val="tx1"/>
                  </w14:solidFill>
                </w14:textFill>
              </w:rPr>
              <w:t>行为。</w:t>
            </w:r>
          </w:p>
          <w:p w14:paraId="442CF857">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按评标委员会要求澄清、说明或补正。</w:t>
            </w:r>
          </w:p>
        </w:tc>
      </w:tr>
      <w:tr w14:paraId="58CBD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14:paraId="09D401C4">
            <w:pPr>
              <w:spacing w:line="400" w:lineRule="exact"/>
              <w:jc w:val="center"/>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2.2.3</w:t>
            </w:r>
          </w:p>
        </w:tc>
        <w:tc>
          <w:tcPr>
            <w:tcW w:w="1560" w:type="dxa"/>
            <w:vMerge w:val="restart"/>
            <w:tcBorders>
              <w:top w:val="single" w:color="auto" w:sz="4" w:space="0"/>
              <w:left w:val="single" w:color="auto" w:sz="4" w:space="0"/>
            </w:tcBorders>
            <w:vAlign w:val="center"/>
          </w:tcPr>
          <w:p w14:paraId="5B4F6647">
            <w:pPr>
              <w:spacing w:line="400" w:lineRule="exact"/>
              <w:jc w:val="center"/>
              <w:rPr>
                <w:rFonts w:hint="eastAsia"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投标函部分评审标准</w:t>
            </w:r>
          </w:p>
        </w:tc>
        <w:tc>
          <w:tcPr>
            <w:tcW w:w="2267" w:type="dxa"/>
            <w:tcBorders>
              <w:right w:val="single" w:color="auto" w:sz="4" w:space="0"/>
            </w:tcBorders>
            <w:vAlign w:val="center"/>
          </w:tcPr>
          <w:p w14:paraId="22D5B522">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投标函部分的签名盖章</w:t>
            </w:r>
          </w:p>
        </w:tc>
        <w:tc>
          <w:tcPr>
            <w:tcW w:w="4615" w:type="dxa"/>
            <w:tcBorders>
              <w:left w:val="single" w:color="auto" w:sz="4" w:space="0"/>
            </w:tcBorders>
            <w:vAlign w:val="center"/>
          </w:tcPr>
          <w:p w14:paraId="2CFB2B5B">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投标函部分的格式要求法定代表人（或其委托代理人）签名（或盖章）的须齐全</w:t>
            </w:r>
            <w:r>
              <w:rPr>
                <w:rFonts w:hint="eastAsia" w:asciiTheme="minorEastAsia" w:hAnsiTheme="minorEastAsia" w:eastAsiaTheme="minorEastAsia" w:cstheme="minorEastAsia"/>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要求加盖单位法人章的，应使用 CA 数字证书加盖投标人的单位法人章。</w:t>
            </w:r>
          </w:p>
        </w:tc>
      </w:tr>
      <w:tr w14:paraId="1CF53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B45EF02">
            <w:pPr>
              <w:spacing w:line="400" w:lineRule="exact"/>
              <w:jc w:val="center"/>
              <w:rPr>
                <w:rFonts w:hint="eastAsia"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14:paraId="29224922">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14:paraId="1393E331">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人员</w:t>
            </w:r>
          </w:p>
        </w:tc>
        <w:tc>
          <w:tcPr>
            <w:tcW w:w="4615" w:type="dxa"/>
            <w:tcBorders>
              <w:left w:val="single" w:color="auto" w:sz="4" w:space="0"/>
            </w:tcBorders>
            <w:vAlign w:val="center"/>
          </w:tcPr>
          <w:p w14:paraId="4B18A21B">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《投标函》中填写的项目经理应与拟派项目经理的信息一致。</w:t>
            </w:r>
          </w:p>
        </w:tc>
      </w:tr>
      <w:tr w14:paraId="211D9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81A80A7">
            <w:pPr>
              <w:spacing w:line="400" w:lineRule="exact"/>
              <w:jc w:val="center"/>
              <w:rPr>
                <w:rFonts w:hint="eastAsia"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14:paraId="197E63FB">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14:paraId="5F0B90E5">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工期</w:t>
            </w:r>
          </w:p>
        </w:tc>
        <w:tc>
          <w:tcPr>
            <w:tcW w:w="4615" w:type="dxa"/>
            <w:tcBorders>
              <w:left w:val="single" w:color="auto" w:sz="4" w:space="0"/>
            </w:tcBorders>
            <w:vAlign w:val="center"/>
          </w:tcPr>
          <w:p w14:paraId="243806BD">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符合第二章“投标人须知”第1.3.2项规定。</w:t>
            </w:r>
          </w:p>
        </w:tc>
      </w:tr>
      <w:tr w14:paraId="4ED8E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EF1B2C2">
            <w:pPr>
              <w:spacing w:line="400" w:lineRule="exact"/>
              <w:jc w:val="center"/>
              <w:rPr>
                <w:rFonts w:hint="eastAsia"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14:paraId="4A468BF3">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14:paraId="03686F80">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工程质量</w:t>
            </w:r>
          </w:p>
        </w:tc>
        <w:tc>
          <w:tcPr>
            <w:tcW w:w="4615" w:type="dxa"/>
            <w:tcBorders>
              <w:left w:val="single" w:color="auto" w:sz="4" w:space="0"/>
            </w:tcBorders>
            <w:vAlign w:val="center"/>
          </w:tcPr>
          <w:p w14:paraId="263B792C">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符合第二章“投标人须知”第1.3.3项规定。</w:t>
            </w:r>
          </w:p>
        </w:tc>
      </w:tr>
      <w:tr w14:paraId="181FA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001C1FD2">
            <w:pPr>
              <w:spacing w:line="400" w:lineRule="exact"/>
              <w:jc w:val="center"/>
              <w:rPr>
                <w:rFonts w:hint="eastAsia"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14:paraId="3B190171">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14:paraId="04EC1BB4">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投标有效期</w:t>
            </w:r>
          </w:p>
        </w:tc>
        <w:tc>
          <w:tcPr>
            <w:tcW w:w="4615" w:type="dxa"/>
            <w:tcBorders>
              <w:left w:val="single" w:color="auto" w:sz="4" w:space="0"/>
            </w:tcBorders>
            <w:vAlign w:val="center"/>
          </w:tcPr>
          <w:p w14:paraId="69FE361D">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符合第二章“投标人须知”第3.3.1项规定。</w:t>
            </w:r>
          </w:p>
        </w:tc>
      </w:tr>
      <w:tr w14:paraId="6C304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C67C531">
            <w:pPr>
              <w:spacing w:line="400" w:lineRule="exact"/>
              <w:jc w:val="center"/>
              <w:rPr>
                <w:rFonts w:hint="eastAsia"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14:paraId="0F34C6F8">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14:paraId="06C7D420">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投标总报价</w:t>
            </w:r>
          </w:p>
        </w:tc>
        <w:tc>
          <w:tcPr>
            <w:tcW w:w="4615" w:type="dxa"/>
            <w:tcBorders>
              <w:left w:val="single" w:color="auto" w:sz="4" w:space="0"/>
            </w:tcBorders>
            <w:vAlign w:val="center"/>
          </w:tcPr>
          <w:p w14:paraId="21621815">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1.投标函中的总报价应与已标价工程量清单总报价一致，工程量清单总报价应与依据单价、工程数量、分部分项工程合价计算出的结果一致（如有）。</w:t>
            </w:r>
          </w:p>
          <w:p w14:paraId="30B93B2B">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2.投标总报价不得高于招标人公布的投标总报价最高限价。</w:t>
            </w:r>
          </w:p>
          <w:p w14:paraId="1552E47D">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3.投标人投标总报价低于竞争性比选文件规定的对应的异常低价警戒线的，应提供报价合理性说明，并提供必要的证明材料</w:t>
            </w:r>
            <w:r>
              <w:rPr>
                <w:rFonts w:hint="eastAsia" w:ascii="宋体" w:hAnsi="宋体" w:cs="宋体"/>
                <w:color w:val="000000" w:themeColor="text1"/>
                <w:kern w:val="0"/>
                <w:szCs w:val="21"/>
                <w14:textFill>
                  <w14:solidFill>
                    <w14:schemeClr w14:val="tx1"/>
                  </w14:solidFill>
                </w14:textFill>
              </w:rPr>
              <w:t>，以说明其报价的合理性</w:t>
            </w:r>
            <w:r>
              <w:rPr>
                <w:rFonts w:hint="eastAsia" w:ascii="宋体" w:hAnsi="宋体" w:cs="宋体"/>
                <w:color w:val="000000" w:themeColor="text1"/>
                <w:kern w:val="0"/>
                <w14:textFill>
                  <w14:solidFill>
                    <w14:schemeClr w14:val="tx1"/>
                  </w14:solidFill>
                </w14:textFill>
              </w:rPr>
              <w:t>。</w:t>
            </w:r>
          </w:p>
        </w:tc>
      </w:tr>
      <w:tr w14:paraId="7E91E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AA6ECF6">
            <w:pPr>
              <w:spacing w:line="400" w:lineRule="exact"/>
              <w:jc w:val="center"/>
              <w:rPr>
                <w:rFonts w:hint="eastAsia"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14:paraId="57B720BB">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14:paraId="19E31CC6">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暂定金额</w:t>
            </w:r>
          </w:p>
        </w:tc>
        <w:tc>
          <w:tcPr>
            <w:tcW w:w="4615" w:type="dxa"/>
            <w:tcBorders>
              <w:left w:val="single" w:color="auto" w:sz="4" w:space="0"/>
            </w:tcBorders>
            <w:vAlign w:val="center"/>
          </w:tcPr>
          <w:p w14:paraId="3F44A9DA">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暂列金额、暂估价、安全文明施工费等暂定金额必须按照竞争性比选文件给定的金额填报。</w:t>
            </w:r>
          </w:p>
        </w:tc>
      </w:tr>
      <w:tr w14:paraId="28B17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387A567">
            <w:pPr>
              <w:spacing w:line="400" w:lineRule="exact"/>
              <w:jc w:val="center"/>
              <w:rPr>
                <w:rFonts w:hint="eastAsia"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14:paraId="24854D1D">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14:paraId="621595CA">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报价唯一</w:t>
            </w:r>
          </w:p>
        </w:tc>
        <w:tc>
          <w:tcPr>
            <w:tcW w:w="4615" w:type="dxa"/>
            <w:tcBorders>
              <w:left w:val="single" w:color="auto" w:sz="4" w:space="0"/>
            </w:tcBorders>
            <w:vAlign w:val="center"/>
          </w:tcPr>
          <w:p w14:paraId="71D51D7E">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只能有一个有效报价。在竞争性比选文件没有规定的情况下，不得提交选择性报价。</w:t>
            </w:r>
          </w:p>
        </w:tc>
      </w:tr>
      <w:tr w14:paraId="0508D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77530B2">
            <w:pPr>
              <w:spacing w:line="400" w:lineRule="exact"/>
              <w:jc w:val="center"/>
              <w:rPr>
                <w:rFonts w:hint="eastAsia"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14:paraId="6D0B5195">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14:paraId="68E9D8BF">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已标价工程量清单</w:t>
            </w:r>
          </w:p>
        </w:tc>
        <w:tc>
          <w:tcPr>
            <w:tcW w:w="4615" w:type="dxa"/>
            <w:tcBorders>
              <w:left w:val="single" w:color="auto" w:sz="4" w:space="0"/>
            </w:tcBorders>
            <w:vAlign w:val="center"/>
          </w:tcPr>
          <w:p w14:paraId="47420C38">
            <w:pPr>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1.投标人</w:t>
            </w:r>
            <w:r>
              <w:rPr>
                <w:rFonts w:hint="eastAsia" w:ascii="宋体" w:hAnsi="宋体"/>
                <w:color w:val="000000" w:themeColor="text1"/>
                <w:szCs w:val="21"/>
                <w14:textFill>
                  <w14:solidFill>
                    <w14:schemeClr w14:val="tx1"/>
                  </w14:solidFill>
                </w14:textFill>
              </w:rPr>
              <w:t>应当按招标工程量清单填报价格。项目编码、项目名称、项目特征、计量单位、工程量应当与招标工程量清单一致</w:t>
            </w:r>
            <w:r>
              <w:rPr>
                <w:rFonts w:hint="eastAsia" w:ascii="宋体" w:hAnsi="宋体" w:cs="宋体"/>
                <w:color w:val="000000" w:themeColor="text1"/>
                <w:kern w:val="0"/>
                <w14:textFill>
                  <w14:solidFill>
                    <w14:schemeClr w14:val="tx1"/>
                  </w14:solidFill>
                </w14:textFill>
              </w:rPr>
              <w:t>。</w:t>
            </w:r>
          </w:p>
          <w:p w14:paraId="2FB3673B">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2.每项清单综合单价报价不得高于每项清单综合单价最高限价。</w:t>
            </w:r>
          </w:p>
          <w:p w14:paraId="43018DF7">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w:t>
            </w:r>
            <w:r>
              <w:rPr>
                <w:rFonts w:ascii="宋体" w:hAnsi="宋体"/>
                <w:color w:val="000000" w:themeColor="text1"/>
                <w:kern w:val="0"/>
                <w:szCs w:val="21"/>
                <w14:textFill>
                  <w14:solidFill>
                    <w14:schemeClr w14:val="tx1"/>
                  </w14:solidFill>
                </w14:textFill>
              </w:rPr>
              <w:t>投标人的</w:t>
            </w:r>
            <w:r>
              <w:rPr>
                <w:rFonts w:hint="eastAsia" w:ascii="宋体" w:hAnsi="宋体"/>
                <w:color w:val="000000" w:themeColor="text1"/>
                <w:kern w:val="0"/>
                <w:szCs w:val="21"/>
                <w14:textFill>
                  <w14:solidFill>
                    <w14:schemeClr w14:val="tx1"/>
                  </w14:solidFill>
                </w14:textFill>
              </w:rPr>
              <w:t>工程量清单单项报价</w:t>
            </w:r>
            <w:r>
              <w:rPr>
                <w:rFonts w:ascii="宋体" w:hAnsi="宋体"/>
                <w:color w:val="000000" w:themeColor="text1"/>
                <w:kern w:val="0"/>
                <w:szCs w:val="21"/>
                <w14:textFill>
                  <w14:solidFill>
                    <w14:schemeClr w14:val="tx1"/>
                  </w14:solidFill>
                </w14:textFill>
              </w:rPr>
              <w:t>不得</w:t>
            </w:r>
            <w:r>
              <w:rPr>
                <w:rFonts w:hint="eastAsia" w:ascii="宋体" w:hAnsi="宋体"/>
                <w:color w:val="000000" w:themeColor="text1"/>
                <w:kern w:val="0"/>
                <w:szCs w:val="21"/>
                <w14:textFill>
                  <w14:solidFill>
                    <w14:schemeClr w14:val="tx1"/>
                  </w14:solidFill>
                </w14:textFill>
              </w:rPr>
              <w:t>为零报价（招标人提供的工程量清单单项最高限价中金额为零的除外）或者负数报价（如有）。</w:t>
            </w:r>
          </w:p>
        </w:tc>
      </w:tr>
      <w:tr w14:paraId="7093F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D0A4EED">
            <w:pPr>
              <w:spacing w:line="400" w:lineRule="exact"/>
              <w:jc w:val="center"/>
              <w:rPr>
                <w:rFonts w:hint="eastAsia"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14:paraId="6740781E">
            <w:pPr>
              <w:spacing w:line="400" w:lineRule="exact"/>
              <w:jc w:val="center"/>
              <w:rPr>
                <w:rFonts w:hint="eastAsia"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14:paraId="47DB6079">
            <w:pPr>
              <w:snapToGrid w:val="0"/>
              <w:spacing w:line="400" w:lineRule="exact"/>
              <w:jc w:val="left"/>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投标报价大小写不一致修正</w:t>
            </w:r>
          </w:p>
        </w:tc>
        <w:tc>
          <w:tcPr>
            <w:tcW w:w="4615" w:type="dxa"/>
            <w:tcBorders>
              <w:left w:val="single" w:color="auto" w:sz="4" w:space="0"/>
            </w:tcBorders>
            <w:vAlign w:val="center"/>
          </w:tcPr>
          <w:p w14:paraId="7EF77F3A">
            <w:pPr>
              <w:snapToGrid w:val="0"/>
              <w:spacing w:line="400" w:lineRule="exact"/>
              <w:ind w:firstLine="42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符合第三章“评标办法”第3.2.2项规定。</w:t>
            </w:r>
          </w:p>
        </w:tc>
      </w:tr>
      <w:tr w14:paraId="6CA04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6C5E765E">
            <w:pPr>
              <w:spacing w:line="400" w:lineRule="exact"/>
              <w:jc w:val="center"/>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p>
        </w:tc>
        <w:tc>
          <w:tcPr>
            <w:tcW w:w="1560" w:type="dxa"/>
            <w:tcBorders>
              <w:left w:val="single" w:color="auto" w:sz="4" w:space="0"/>
              <w:right w:val="single" w:color="auto" w:sz="4" w:space="0"/>
            </w:tcBorders>
            <w:vAlign w:val="center"/>
          </w:tcPr>
          <w:p w14:paraId="57D194D8">
            <w:pPr>
              <w:spacing w:line="400" w:lineRule="exact"/>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评标程序</w:t>
            </w:r>
          </w:p>
        </w:tc>
        <w:tc>
          <w:tcPr>
            <w:tcW w:w="6882" w:type="dxa"/>
            <w:gridSpan w:val="2"/>
            <w:tcBorders>
              <w:left w:val="single" w:color="auto" w:sz="4" w:space="0"/>
            </w:tcBorders>
            <w:vAlign w:val="center"/>
          </w:tcPr>
          <w:p w14:paraId="711E57E3">
            <w:pPr>
              <w:spacing w:line="400" w:lineRule="exact"/>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1.对报价不高于最高限价的所有投标人的投标文件，按照报价由低到高的顺序排序。</w:t>
            </w:r>
          </w:p>
          <w:p w14:paraId="70669F52">
            <w:pPr>
              <w:spacing w:line="400" w:lineRule="exact"/>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2.取投标报价排序前</w:t>
            </w:r>
            <w:r>
              <w:rPr>
                <w:rFonts w:hint="eastAsia" w:ascii="宋体" w:hAnsi="宋体"/>
                <w:color w:val="000000" w:themeColor="text1"/>
                <w:kern w:val="0"/>
                <w:szCs w:val="21"/>
                <w:u w:val="single"/>
                <w14:textFill>
                  <w14:solidFill>
                    <w14:schemeClr w14:val="tx1"/>
                  </w14:solidFill>
                </w14:textFill>
              </w:rPr>
              <w:t>5</w:t>
            </w:r>
            <w:r>
              <w:rPr>
                <w:rFonts w:hint="eastAsia" w:ascii="宋体" w:hAnsi="宋体"/>
                <w:color w:val="000000" w:themeColor="text1"/>
                <w:kern w:val="0"/>
                <w:szCs w:val="21"/>
                <w14:textFill>
                  <w14:solidFill>
                    <w14:schemeClr w14:val="tx1"/>
                  </w14:solidFill>
                </w14:textFill>
              </w:rPr>
              <w:t>名（注：</w:t>
            </w:r>
            <w:r>
              <w:rPr>
                <w:rFonts w:hint="eastAsia" w:ascii="宋体" w:hAnsi="宋体" w:cs="宋体"/>
                <w:color w:val="000000" w:themeColor="text1"/>
                <w:szCs w:val="21"/>
                <w14:textFill>
                  <w14:solidFill>
                    <w14:schemeClr w14:val="tx1"/>
                  </w14:solidFill>
                </w14:textFill>
              </w:rPr>
              <w:t>与第</w:t>
            </w:r>
            <w:r>
              <w:rPr>
                <w:rFonts w:hint="eastAsia" w:ascii="宋体" w:hAnsi="宋体" w:cs="宋体"/>
                <w:color w:val="000000" w:themeColor="text1"/>
                <w:szCs w:val="21"/>
                <w:u w:val="single"/>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名投标文件的报价相同的所有投标文件应全部纳入；</w:t>
            </w:r>
            <w:r>
              <w:rPr>
                <w:rFonts w:hint="eastAsia" w:ascii="宋体" w:hAnsi="宋体"/>
                <w:color w:val="000000" w:themeColor="text1"/>
                <w:kern w:val="0"/>
                <w:szCs w:val="21"/>
                <w14:textFill>
                  <w14:solidFill>
                    <w14:schemeClr w14:val="tx1"/>
                  </w14:solidFill>
                </w14:textFill>
              </w:rPr>
              <w:t>若实际投标人数量小于</w:t>
            </w:r>
            <w:r>
              <w:rPr>
                <w:rFonts w:hint="eastAsia" w:ascii="宋体" w:hAnsi="宋体"/>
                <w:color w:val="000000" w:themeColor="text1"/>
                <w:kern w:val="0"/>
                <w:szCs w:val="21"/>
                <w:u w:val="single"/>
                <w14:textFill>
                  <w14:solidFill>
                    <w14:schemeClr w14:val="tx1"/>
                  </w14:solidFill>
                </w14:textFill>
              </w:rPr>
              <w:t>5</w:t>
            </w:r>
            <w:r>
              <w:rPr>
                <w:rFonts w:hint="eastAsia" w:ascii="宋体" w:hAnsi="宋体"/>
                <w:color w:val="000000" w:themeColor="text1"/>
                <w:kern w:val="0"/>
                <w:szCs w:val="21"/>
                <w14:textFill>
                  <w14:solidFill>
                    <w14:schemeClr w14:val="tx1"/>
                  </w14:solidFill>
                </w14:textFill>
              </w:rPr>
              <w:t>名时应全部纳入）的投标文件进行评审。评审顺序为：初步评审（包括资格评审、形式评审、响应性评审）、投标函部分评审。初步评审和投标函部分评审均合格的投标人中，</w:t>
            </w:r>
            <w:r>
              <w:rPr>
                <w:rFonts w:hint="eastAsia" w:ascii="宋体" w:hAnsi="宋体"/>
                <w:color w:val="000000" w:themeColor="text1"/>
                <w:kern w:val="0"/>
                <w14:textFill>
                  <w14:solidFill>
                    <w14:schemeClr w14:val="tx1"/>
                  </w14:solidFill>
                </w14:textFill>
              </w:rPr>
              <w:t>经评审的投标价格最低的投标人</w:t>
            </w:r>
            <w:r>
              <w:rPr>
                <w:rFonts w:hint="eastAsia" w:ascii="宋体" w:hAnsi="宋体"/>
                <w:color w:val="000000" w:themeColor="text1"/>
                <w:kern w:val="0"/>
                <w:szCs w:val="21"/>
                <w14:textFill>
                  <w14:solidFill>
                    <w14:schemeClr w14:val="tx1"/>
                  </w14:solidFill>
                </w14:textFill>
              </w:rPr>
              <w:t>为第一中标候选人，</w:t>
            </w:r>
            <w:r>
              <w:rPr>
                <w:rFonts w:hint="eastAsia" w:ascii="宋体" w:hAnsi="宋体"/>
                <w:color w:val="000000" w:themeColor="text1"/>
                <w:kern w:val="0"/>
                <w14:textFill>
                  <w14:solidFill>
                    <w14:schemeClr w14:val="tx1"/>
                  </w14:solidFill>
                </w14:textFill>
              </w:rPr>
              <w:t>经评审的投标价格</w:t>
            </w:r>
            <w:r>
              <w:rPr>
                <w:rFonts w:hint="eastAsia" w:ascii="宋体" w:hAnsi="宋体"/>
                <w:color w:val="000000" w:themeColor="text1"/>
                <w:kern w:val="0"/>
                <w:szCs w:val="21"/>
                <w14:textFill>
                  <w14:solidFill>
                    <w14:schemeClr w14:val="tx1"/>
                  </w14:solidFill>
                </w14:textFill>
              </w:rPr>
              <w:t>次低的为第二中标候选人，以次类推。</w:t>
            </w:r>
          </w:p>
          <w:p w14:paraId="5C7FD5D8">
            <w:pPr>
              <w:spacing w:line="400" w:lineRule="exact"/>
              <w:ind w:firstLine="420" w:firstLineChars="200"/>
              <w:jc w:val="left"/>
              <w:rPr>
                <w:rFonts w:hint="eastAsia" w:ascii="宋体" w:hAnsi="宋体" w:cs="宋体"/>
                <w:i/>
                <w:color w:val="000000" w:themeColor="text1"/>
                <w:kern w:val="0"/>
                <w:szCs w:val="21"/>
                <w14:textFill>
                  <w14:solidFill>
                    <w14:schemeClr w14:val="tx1"/>
                  </w14:solidFill>
                </w14:textFill>
              </w:rPr>
            </w:pPr>
            <w:r>
              <w:rPr>
                <w:rFonts w:hint="eastAsia" w:ascii="宋体" w:hAnsi="宋体"/>
                <w:color w:val="000000" w:themeColor="text1"/>
                <w:kern w:val="0"/>
                <w14:textFill>
                  <w14:solidFill>
                    <w14:schemeClr w14:val="tx1"/>
                  </w14:solidFill>
                </w14:textFill>
              </w:rPr>
              <w:t>注：经评审的投标价格=投标报价。</w:t>
            </w:r>
          </w:p>
          <w:p w14:paraId="4E4603E4">
            <w:pPr>
              <w:spacing w:line="400" w:lineRule="exact"/>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r>
              <w:rPr>
                <w:rFonts w:hint="eastAsia" w:ascii="宋体" w:hAnsi="宋体"/>
                <w:color w:val="000000" w:themeColor="text1"/>
                <w:kern w:val="0"/>
                <w:szCs w:val="21"/>
                <w14:textFill>
                  <w14:solidFill>
                    <w14:schemeClr w14:val="tx1"/>
                  </w14:solidFill>
                </w14:textFill>
              </w:rPr>
              <w:t>如果初步评审和投标函部分评审均合格的投标人数量少于3名，按</w:t>
            </w:r>
            <w:r>
              <w:rPr>
                <w:rFonts w:hint="eastAsia" w:ascii="宋体" w:hAnsi="宋体"/>
                <w:color w:val="000000" w:themeColor="text1"/>
                <w:spacing w:val="4"/>
                <w:kern w:val="0"/>
                <w:szCs w:val="21"/>
                <w14:textFill>
                  <w14:solidFill>
                    <w14:schemeClr w14:val="tx1"/>
                  </w14:solidFill>
                </w14:textFill>
              </w:rPr>
              <w:t>投标报价顺序每次增补（3</w:t>
            </w:r>
            <w:r>
              <w:rPr>
                <w:rFonts w:hint="eastAsia" w:ascii="宋体" w:hAnsi="宋体"/>
                <w:color w:val="000000" w:themeColor="text1"/>
                <w:kern w:val="0"/>
                <w14:textFill>
                  <w14:solidFill>
                    <w14:schemeClr w14:val="tx1"/>
                  </w14:solidFill>
                </w14:textFill>
              </w:rPr>
              <w:t>﹣</w:t>
            </w:r>
            <w:r>
              <w:rPr>
                <w:rFonts w:hint="eastAsia" w:ascii="宋体" w:hAnsi="宋体"/>
                <w:color w:val="000000" w:themeColor="text1"/>
                <w:spacing w:val="4"/>
                <w:kern w:val="0"/>
                <w:szCs w:val="21"/>
                <w14:textFill>
                  <w14:solidFill>
                    <w14:schemeClr w14:val="tx1"/>
                  </w14:solidFill>
                </w14:textFill>
              </w:rPr>
              <w:t>合格投标人数量）（注：与增补数量末位的投标报价相同的所有投标文件应全部纳入）个</w:t>
            </w:r>
            <w:r>
              <w:rPr>
                <w:rFonts w:hint="eastAsia" w:ascii="宋体" w:hAnsi="宋体"/>
                <w:color w:val="000000" w:themeColor="text1"/>
                <w:kern w:val="0"/>
                <w14:textFill>
                  <w14:solidFill>
                    <w14:schemeClr w14:val="tx1"/>
                  </w14:solidFill>
                </w14:textFill>
              </w:rPr>
              <w:t>投标文件进行</w:t>
            </w:r>
            <w:r>
              <w:rPr>
                <w:rFonts w:hint="eastAsia" w:ascii="宋体" w:hAnsi="宋体"/>
                <w:color w:val="000000" w:themeColor="text1"/>
                <w:spacing w:val="4"/>
                <w:kern w:val="0"/>
                <w:szCs w:val="21"/>
                <w14:textFill>
                  <w14:solidFill>
                    <w14:schemeClr w14:val="tx1"/>
                  </w14:solidFill>
                </w14:textFill>
              </w:rPr>
              <w:t>初步评审</w:t>
            </w:r>
            <w:r>
              <w:rPr>
                <w:rFonts w:hint="eastAsia" w:ascii="宋体" w:hAnsi="宋体"/>
                <w:color w:val="000000" w:themeColor="text1"/>
                <w:kern w:val="0"/>
                <w:szCs w:val="21"/>
                <w14:textFill>
                  <w14:solidFill>
                    <w14:schemeClr w14:val="tx1"/>
                  </w14:solidFill>
                </w14:textFill>
              </w:rPr>
              <w:t>和投标函部分评审</w:t>
            </w:r>
            <w:r>
              <w:rPr>
                <w:rFonts w:hint="eastAsia" w:ascii="宋体" w:hAnsi="宋体"/>
                <w:color w:val="000000" w:themeColor="text1"/>
                <w:kern w:val="0"/>
                <w14:textFill>
                  <w14:solidFill>
                    <w14:schemeClr w14:val="tx1"/>
                  </w14:solidFill>
                </w14:textFill>
              </w:rPr>
              <w:t>，直至评出3名中标候选人</w:t>
            </w:r>
            <w:r>
              <w:rPr>
                <w:rFonts w:hint="eastAsia" w:ascii="宋体" w:hAnsi="宋体"/>
                <w:color w:val="000000" w:themeColor="text1"/>
                <w:kern w:val="0"/>
                <w:szCs w:val="21"/>
                <w14:textFill>
                  <w14:solidFill>
                    <w14:schemeClr w14:val="tx1"/>
                  </w14:solidFill>
                </w14:textFill>
              </w:rPr>
              <w:t>，或者评审完所有投标文件。</w:t>
            </w:r>
          </w:p>
          <w:p w14:paraId="5B1D51A7">
            <w:pPr>
              <w:spacing w:line="400" w:lineRule="exact"/>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s="宋体"/>
                <w:color w:val="000000" w:themeColor="text1"/>
                <w14:textFill>
                  <w14:solidFill>
                    <w14:schemeClr w14:val="tx1"/>
                  </w14:solidFill>
                </w14:textFill>
              </w:rPr>
              <w:t>注：1.</w:t>
            </w:r>
            <w:r>
              <w:rPr>
                <w:rFonts w:hint="eastAsia" w:ascii="宋体" w:hAnsi="宋体"/>
                <w:color w:val="000000" w:themeColor="text1"/>
                <w:kern w:val="0"/>
                <w:szCs w:val="21"/>
                <w14:textFill>
                  <w14:solidFill>
                    <w14:schemeClr w14:val="tx1"/>
                  </w14:solidFill>
                </w14:textFill>
              </w:rPr>
              <w:t>因评标委员会作否决投标处理，导致有效投标人不足3个的，评标委员会应当</w:t>
            </w:r>
            <w:r>
              <w:rPr>
                <w:rFonts w:hint="eastAsia" w:ascii="宋体" w:hAnsi="宋体"/>
                <w:color w:val="000000" w:themeColor="text1"/>
                <w:spacing w:val="4"/>
                <w:kern w:val="0"/>
                <w:szCs w:val="21"/>
                <w14:textFill>
                  <w14:solidFill>
                    <w14:schemeClr w14:val="tx1"/>
                  </w14:solidFill>
                </w14:textFill>
              </w:rPr>
              <w:t>对有效投标人是否仍具有竞争性进行论证。评标委员会认为</w:t>
            </w:r>
            <w:r>
              <w:rPr>
                <w:rFonts w:hint="eastAsia" w:ascii="宋体" w:hAnsi="宋体"/>
                <w:color w:val="000000" w:themeColor="text1"/>
                <w:kern w:val="0"/>
                <w:szCs w:val="21"/>
                <w14:textFill>
                  <w14:solidFill>
                    <w14:schemeClr w14:val="tx1"/>
                  </w14:solidFill>
                </w14:textFill>
              </w:rPr>
              <w:t>有效投标人的经济、技术等指标仍然具有市场竞争力，并满足竞争性比选文件要求的，评标委员会可以继续评标并确定中标候选人。</w:t>
            </w:r>
            <w:r>
              <w:rPr>
                <w:rFonts w:hint="eastAsia" w:asciiTheme="minorEastAsia" w:hAnsiTheme="minorEastAsia" w:eastAsiaTheme="minorEastAsia" w:cstheme="minorEastAsia"/>
                <w:color w:val="000000" w:themeColor="text1"/>
                <w:kern w:val="0"/>
                <w:szCs w:val="21"/>
                <w14:textFill>
                  <w14:solidFill>
                    <w14:schemeClr w14:val="tx1"/>
                  </w14:solidFill>
                </w14:textFill>
              </w:rPr>
              <w:t>（注：本款只适用于首次招标。）</w:t>
            </w:r>
          </w:p>
          <w:p w14:paraId="6F33AADB">
            <w:pPr>
              <w:spacing w:line="400" w:lineRule="exact"/>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2.若出现投标人投标报价相同的，由评标委员会投票排序。</w:t>
            </w:r>
          </w:p>
        </w:tc>
      </w:tr>
      <w:tr w14:paraId="3ADED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1243" w:type="dxa"/>
            <w:tcBorders>
              <w:right w:val="single" w:color="auto" w:sz="4" w:space="0"/>
            </w:tcBorders>
            <w:vAlign w:val="center"/>
          </w:tcPr>
          <w:p w14:paraId="15F81868">
            <w:pPr>
              <w:spacing w:line="400" w:lineRule="exact"/>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w:t>
            </w:r>
          </w:p>
        </w:tc>
        <w:tc>
          <w:tcPr>
            <w:tcW w:w="1560" w:type="dxa"/>
            <w:tcBorders>
              <w:left w:val="single" w:color="auto" w:sz="4" w:space="0"/>
              <w:right w:val="single" w:color="auto" w:sz="4" w:space="0"/>
            </w:tcBorders>
            <w:vAlign w:val="center"/>
          </w:tcPr>
          <w:p w14:paraId="42D156D5">
            <w:pPr>
              <w:spacing w:line="400" w:lineRule="exact"/>
              <w:jc w:val="center"/>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评标结果</w:t>
            </w:r>
          </w:p>
        </w:tc>
        <w:tc>
          <w:tcPr>
            <w:tcW w:w="6882" w:type="dxa"/>
            <w:gridSpan w:val="2"/>
            <w:tcBorders>
              <w:left w:val="single" w:color="auto" w:sz="4" w:space="0"/>
            </w:tcBorders>
            <w:vAlign w:val="center"/>
          </w:tcPr>
          <w:p w14:paraId="76AD98C8">
            <w:pPr>
              <w:autoSpaceDE w:val="0"/>
              <w:autoSpaceDN w:val="0"/>
              <w:adjustRightInd w:val="0"/>
              <w:snapToGrid w:val="0"/>
              <w:spacing w:line="400" w:lineRule="exact"/>
              <w:ind w:firstLine="42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w:t>
            </w:r>
            <w:r>
              <w:rPr>
                <w:rFonts w:ascii="宋体" w:hAnsi="宋体"/>
                <w:color w:val="000000" w:themeColor="text1"/>
                <w:spacing w:val="-1"/>
                <w:kern w:val="0"/>
                <w:szCs w:val="21"/>
                <w14:textFill>
                  <w14:solidFill>
                    <w14:schemeClr w14:val="tx1"/>
                  </w14:solidFill>
                </w14:textFill>
              </w:rPr>
              <w:t>4</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除第二章“投标</w:t>
            </w:r>
            <w:r>
              <w:rPr>
                <w:rFonts w:ascii="宋体" w:hAnsi="宋体"/>
                <w:color w:val="000000" w:themeColor="text1"/>
                <w:spacing w:val="1"/>
                <w:kern w:val="0"/>
                <w:szCs w:val="21"/>
                <w14:textFill>
                  <w14:solidFill>
                    <w14:schemeClr w14:val="tx1"/>
                  </w14:solidFill>
                </w14:textFill>
              </w:rPr>
              <w:t>人</w:t>
            </w:r>
            <w:r>
              <w:rPr>
                <w:rFonts w:ascii="宋体" w:hAnsi="宋体"/>
                <w:color w:val="000000" w:themeColor="text1"/>
                <w:kern w:val="0"/>
                <w:szCs w:val="21"/>
                <w14:textFill>
                  <w14:solidFill>
                    <w14:schemeClr w14:val="tx1"/>
                  </w14:solidFill>
                </w14:textFill>
              </w:rPr>
              <w:t>须知”前</w:t>
            </w:r>
            <w:r>
              <w:rPr>
                <w:rFonts w:ascii="宋体" w:hAnsi="宋体"/>
                <w:color w:val="000000" w:themeColor="text1"/>
                <w:spacing w:val="1"/>
                <w:kern w:val="0"/>
                <w:szCs w:val="21"/>
                <w14:textFill>
                  <w14:solidFill>
                    <w14:schemeClr w14:val="tx1"/>
                  </w14:solidFill>
                </w14:textFill>
              </w:rPr>
              <w:t>附</w:t>
            </w:r>
            <w:r>
              <w:rPr>
                <w:rFonts w:ascii="宋体" w:hAnsi="宋体"/>
                <w:color w:val="000000" w:themeColor="text1"/>
                <w:kern w:val="0"/>
                <w:szCs w:val="21"/>
                <w14:textFill>
                  <w14:solidFill>
                    <w14:schemeClr w14:val="tx1"/>
                  </w14:solidFill>
                </w14:textFill>
              </w:rPr>
              <w:t>表授权直</w:t>
            </w:r>
            <w:r>
              <w:rPr>
                <w:rFonts w:ascii="宋体" w:hAnsi="宋体"/>
                <w:color w:val="000000" w:themeColor="text1"/>
                <w:spacing w:val="1"/>
                <w:kern w:val="0"/>
                <w:szCs w:val="21"/>
                <w14:textFill>
                  <w14:solidFill>
                    <w14:schemeClr w14:val="tx1"/>
                  </w14:solidFill>
                </w14:textFill>
              </w:rPr>
              <w:t>接</w:t>
            </w:r>
            <w:r>
              <w:rPr>
                <w:rFonts w:ascii="宋体" w:hAnsi="宋体"/>
                <w:color w:val="000000" w:themeColor="text1"/>
                <w:kern w:val="0"/>
                <w:szCs w:val="21"/>
                <w14:textFill>
                  <w14:solidFill>
                    <w14:schemeClr w14:val="tx1"/>
                  </w14:solidFill>
                </w14:textFill>
              </w:rPr>
              <w:t>确定中标</w:t>
            </w:r>
            <w:r>
              <w:rPr>
                <w:rFonts w:ascii="宋体" w:hAnsi="宋体"/>
                <w:color w:val="000000" w:themeColor="text1"/>
                <w:spacing w:val="1"/>
                <w:kern w:val="0"/>
                <w:szCs w:val="21"/>
                <w14:textFill>
                  <w14:solidFill>
                    <w14:schemeClr w14:val="tx1"/>
                  </w14:solidFill>
                </w14:textFill>
              </w:rPr>
              <w:t>人</w:t>
            </w:r>
            <w:r>
              <w:rPr>
                <w:rFonts w:ascii="宋体" w:hAnsi="宋体"/>
                <w:color w:val="000000" w:themeColor="text1"/>
                <w:kern w:val="0"/>
                <w:szCs w:val="21"/>
                <w14:textFill>
                  <w14:solidFill>
                    <w14:schemeClr w14:val="tx1"/>
                  </w14:solidFill>
                </w14:textFill>
              </w:rPr>
              <w:t>外，评标</w:t>
            </w:r>
            <w:r>
              <w:rPr>
                <w:rFonts w:ascii="宋体" w:hAnsi="宋体"/>
                <w:color w:val="000000" w:themeColor="text1"/>
                <w:spacing w:val="1"/>
                <w:kern w:val="0"/>
                <w:szCs w:val="21"/>
                <w14:textFill>
                  <w14:solidFill>
                    <w14:schemeClr w14:val="tx1"/>
                  </w14:solidFill>
                </w14:textFill>
              </w:rPr>
              <w:t>委</w:t>
            </w:r>
            <w:r>
              <w:rPr>
                <w:rFonts w:ascii="宋体" w:hAnsi="宋体"/>
                <w:color w:val="000000" w:themeColor="text1"/>
                <w:kern w:val="0"/>
                <w:szCs w:val="21"/>
                <w14:textFill>
                  <w14:solidFill>
                    <w14:schemeClr w14:val="tx1"/>
                  </w14:solidFill>
                </w14:textFill>
              </w:rPr>
              <w:t>员会</w:t>
            </w:r>
            <w:r>
              <w:rPr>
                <w:rFonts w:hint="eastAsia" w:ascii="宋体" w:hAnsi="宋体"/>
                <w:color w:val="000000" w:themeColor="text1"/>
                <w:kern w:val="0"/>
                <w:szCs w:val="21"/>
                <w14:textFill>
                  <w14:solidFill>
                    <w14:schemeClr w14:val="tx1"/>
                  </w14:solidFill>
                </w14:textFill>
              </w:rPr>
              <w:t>按经评审的最低投标价法</w:t>
            </w:r>
            <w:r>
              <w:rPr>
                <w:rFonts w:ascii="宋体" w:hAnsi="宋体"/>
                <w:color w:val="000000" w:themeColor="text1"/>
                <w:kern w:val="0"/>
                <w:szCs w:val="21"/>
                <w14:textFill>
                  <w14:solidFill>
                    <w14:schemeClr w14:val="tx1"/>
                  </w14:solidFill>
                </w14:textFill>
              </w:rPr>
              <w:t>推荐中标候选人。</w:t>
            </w:r>
          </w:p>
          <w:p w14:paraId="03C1DECA">
            <w:pPr>
              <w:spacing w:line="400" w:lineRule="exact"/>
              <w:ind w:firstLine="424" w:firstLineChars="200"/>
              <w:rPr>
                <w:rFonts w:hint="eastAsia" w:ascii="宋体" w:hAnsi="宋体"/>
                <w:color w:val="000000" w:themeColor="text1"/>
                <w14:textFill>
                  <w14:solidFill>
                    <w14:schemeClr w14:val="tx1"/>
                  </w14:solidFill>
                </w14:textFill>
              </w:rPr>
            </w:pPr>
            <w:r>
              <w:rPr>
                <w:rFonts w:ascii="宋体" w:hAnsi="宋体"/>
                <w:color w:val="000000" w:themeColor="text1"/>
                <w:spacing w:val="1"/>
                <w:kern w:val="0"/>
                <w:szCs w:val="21"/>
                <w14:textFill>
                  <w14:solidFill>
                    <w14:schemeClr w14:val="tx1"/>
                  </w14:solidFill>
                </w14:textFill>
              </w:rPr>
              <w:t>3</w:t>
            </w:r>
            <w:r>
              <w:rPr>
                <w:rFonts w:ascii="宋体" w:hAnsi="宋体"/>
                <w:color w:val="000000" w:themeColor="text1"/>
                <w:kern w:val="0"/>
                <w:szCs w:val="21"/>
                <w14:textFill>
                  <w14:solidFill>
                    <w14:schemeClr w14:val="tx1"/>
                  </w14:solidFill>
                </w14:textFill>
              </w:rPr>
              <w:t>.4.2</w:t>
            </w:r>
            <w:r>
              <w:rPr>
                <w:rFonts w:hint="eastAsia" w:ascii="宋体" w:hAnsi="宋体"/>
                <w:color w:val="000000" w:themeColor="text1"/>
                <w:kern w:val="0"/>
                <w:szCs w:val="21"/>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评标</w:t>
            </w:r>
            <w:r>
              <w:rPr>
                <w:rFonts w:ascii="宋体" w:hAnsi="宋体"/>
                <w:color w:val="000000" w:themeColor="text1"/>
                <w:spacing w:val="-1"/>
                <w:kern w:val="0"/>
                <w:szCs w:val="21"/>
                <w14:textFill>
                  <w14:solidFill>
                    <w14:schemeClr w14:val="tx1"/>
                  </w14:solidFill>
                </w14:textFill>
              </w:rPr>
              <w:t>委</w:t>
            </w:r>
            <w:r>
              <w:rPr>
                <w:rFonts w:ascii="宋体" w:hAnsi="宋体"/>
                <w:color w:val="000000" w:themeColor="text1"/>
                <w:kern w:val="0"/>
                <w:szCs w:val="21"/>
                <w14:textFill>
                  <w14:solidFill>
                    <w14:schemeClr w14:val="tx1"/>
                  </w14:solidFill>
                </w14:textFill>
              </w:rPr>
              <w:t>员会完成评标后，应当向招标人提交书面评标报告</w:t>
            </w:r>
            <w:r>
              <w:rPr>
                <w:rFonts w:hint="eastAsia" w:ascii="宋体" w:hAnsi="宋体"/>
                <w:color w:val="000000" w:themeColor="text1"/>
                <w:kern w:val="0"/>
                <w:szCs w:val="21"/>
                <w14:textFill>
                  <w14:solidFill>
                    <w14:schemeClr w14:val="tx1"/>
                  </w14:solidFill>
                </w14:textFill>
              </w:rPr>
              <w:t>和中标候选人名单</w:t>
            </w:r>
            <w:r>
              <w:rPr>
                <w:rFonts w:ascii="宋体" w:hAnsi="宋体"/>
                <w:color w:val="000000" w:themeColor="text1"/>
                <w:kern w:val="0"/>
                <w:szCs w:val="21"/>
                <w14:textFill>
                  <w14:solidFill>
                    <w14:schemeClr w14:val="tx1"/>
                  </w14:solidFill>
                </w14:textFill>
              </w:rPr>
              <w:t>。</w:t>
            </w:r>
          </w:p>
        </w:tc>
      </w:tr>
    </w:tbl>
    <w:p w14:paraId="19CA91E3">
      <w:pPr>
        <w:pStyle w:val="2"/>
        <w:rPr>
          <w:color w:val="000000" w:themeColor="text1"/>
          <w14:textFill>
            <w14:solidFill>
              <w14:schemeClr w14:val="tx1"/>
            </w14:solidFill>
          </w14:textFill>
        </w:rPr>
      </w:pPr>
    </w:p>
    <w:p w14:paraId="018785AB">
      <w:pPr>
        <w:pStyle w:val="2"/>
        <w:rPr>
          <w:color w:val="000000" w:themeColor="text1"/>
          <w14:textFill>
            <w14:solidFill>
              <w14:schemeClr w14:val="tx1"/>
            </w14:solidFill>
          </w14:textFill>
        </w:rPr>
      </w:pPr>
    </w:p>
    <w:p w14:paraId="73A6B840">
      <w:pPr>
        <w:pStyle w:val="4"/>
        <w:spacing w:before="0" w:after="0" w:line="360" w:lineRule="auto"/>
        <w:rPr>
          <w:rFonts w:hint="eastAsia" w:ascii="宋体" w:hAnsi="宋体"/>
          <w:bCs w:val="0"/>
          <w:snapToGrid w:val="0"/>
          <w:color w:val="000000" w:themeColor="text1"/>
          <w14:textFill>
            <w14:solidFill>
              <w14:schemeClr w14:val="tx1"/>
            </w14:solidFill>
          </w14:textFill>
        </w:rPr>
      </w:pPr>
      <w:r>
        <w:rPr>
          <w:rFonts w:ascii="宋体" w:hAnsi="宋体"/>
          <w:bCs w:val="0"/>
          <w:snapToGrid w:val="0"/>
          <w:color w:val="000000" w:themeColor="text1"/>
          <w14:textFill>
            <w14:solidFill>
              <w14:schemeClr w14:val="tx1"/>
            </w14:solidFill>
          </w14:textFill>
        </w:rPr>
        <w:br w:type="page"/>
      </w:r>
      <w:bookmarkStart w:id="589" w:name="_Toc57820616"/>
      <w:bookmarkStart w:id="590" w:name="_Toc226115579"/>
      <w:bookmarkStart w:id="591" w:name="_Toc18528"/>
      <w:bookmarkStart w:id="592" w:name="_Toc11462"/>
      <w:r>
        <w:rPr>
          <w:rFonts w:ascii="宋体" w:hAnsi="宋体"/>
          <w:b w:val="0"/>
          <w:snapToGrid w:val="0"/>
          <w:color w:val="000000" w:themeColor="text1"/>
          <w14:textFill>
            <w14:solidFill>
              <w14:schemeClr w14:val="tx1"/>
            </w14:solidFill>
          </w14:textFill>
        </w:rPr>
        <w:t>1.  评标方法</w:t>
      </w:r>
      <w:bookmarkEnd w:id="589"/>
      <w:bookmarkEnd w:id="590"/>
      <w:bookmarkEnd w:id="591"/>
    </w:p>
    <w:p w14:paraId="760CAE65">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次评标采用经评审的最低投标价法，评标委员会对满足竞争性比选文件实质要求的投标文件，按照评标办法前附表的要求进行评审，按照经评审的投标价格由低到高的顺序推荐中标候选人，或根据招标人授权直接确定中标人。经评审的投标价格相等时，以评标办法前附表约定的原则确定排序。</w:t>
      </w:r>
    </w:p>
    <w:p w14:paraId="70C135DD">
      <w:pPr>
        <w:pStyle w:val="4"/>
        <w:spacing w:before="0" w:after="0" w:line="360" w:lineRule="auto"/>
        <w:rPr>
          <w:rFonts w:hint="eastAsia" w:ascii="宋体" w:hAnsi="宋体"/>
          <w:b w:val="0"/>
          <w:snapToGrid w:val="0"/>
          <w:color w:val="000000" w:themeColor="text1"/>
          <w14:textFill>
            <w14:solidFill>
              <w14:schemeClr w14:val="tx1"/>
            </w14:solidFill>
          </w14:textFill>
        </w:rPr>
      </w:pPr>
      <w:bookmarkStart w:id="593" w:name="_Toc57820617"/>
      <w:bookmarkStart w:id="594" w:name="_Toc226115580"/>
      <w:bookmarkStart w:id="595" w:name="_Toc19580"/>
      <w:r>
        <w:rPr>
          <w:rFonts w:ascii="宋体" w:hAnsi="宋体"/>
          <w:b w:val="0"/>
          <w:snapToGrid w:val="0"/>
          <w:color w:val="000000" w:themeColor="text1"/>
          <w14:textFill>
            <w14:solidFill>
              <w14:schemeClr w14:val="tx1"/>
            </w14:solidFill>
          </w14:textFill>
        </w:rPr>
        <w:t>2.  评审标准</w:t>
      </w:r>
      <w:bookmarkEnd w:id="593"/>
      <w:bookmarkEnd w:id="594"/>
      <w:bookmarkEnd w:id="595"/>
    </w:p>
    <w:p w14:paraId="081F8A33">
      <w:pPr>
        <w:pStyle w:val="5"/>
        <w:spacing w:before="0" w:after="0" w:line="360" w:lineRule="auto"/>
        <w:rPr>
          <w:rFonts w:hint="eastAsia" w:ascii="宋体" w:hAnsi="宋体" w:cs="宋体"/>
          <w:color w:val="000000" w:themeColor="text1"/>
          <w:sz w:val="21"/>
          <w:szCs w:val="21"/>
          <w14:textFill>
            <w14:solidFill>
              <w14:schemeClr w14:val="tx1"/>
            </w14:solidFill>
          </w14:textFill>
        </w:rPr>
      </w:pPr>
      <w:bookmarkStart w:id="596" w:name="_Toc226115581"/>
      <w:bookmarkStart w:id="597" w:name="_Toc57820618"/>
      <w:bookmarkStart w:id="598" w:name="_Toc370"/>
      <w:r>
        <w:rPr>
          <w:rFonts w:ascii="宋体" w:hAnsi="宋体" w:cs="宋体"/>
          <w:color w:val="000000" w:themeColor="text1"/>
          <w:sz w:val="21"/>
          <w:szCs w:val="21"/>
          <w14:textFill>
            <w14:solidFill>
              <w14:schemeClr w14:val="tx1"/>
            </w14:solidFill>
          </w14:textFill>
        </w:rPr>
        <w:t>2.1</w:t>
      </w:r>
      <w:r>
        <w:rPr>
          <w:rFonts w:hint="eastAsia" w:ascii="宋体" w:hAnsi="宋体" w:cs="宋体"/>
          <w:color w:val="000000" w:themeColor="text1"/>
          <w:sz w:val="21"/>
          <w:szCs w:val="21"/>
          <w14:textFill>
            <w14:solidFill>
              <w14:schemeClr w14:val="tx1"/>
            </w14:solidFill>
          </w14:textFill>
        </w:rPr>
        <w:t>初步评审标准</w:t>
      </w:r>
      <w:bookmarkEnd w:id="596"/>
      <w:bookmarkEnd w:id="597"/>
      <w:bookmarkEnd w:id="598"/>
    </w:p>
    <w:p w14:paraId="1381E788">
      <w:pPr>
        <w:autoSpaceDE w:val="0"/>
        <w:autoSpaceDN w:val="0"/>
        <w:adjustRightInd w:val="0"/>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 资格评审标准：见评标办法前附表。</w:t>
      </w:r>
    </w:p>
    <w:p w14:paraId="027DC9AF">
      <w:pPr>
        <w:autoSpaceDE w:val="0"/>
        <w:autoSpaceDN w:val="0"/>
        <w:adjustRightInd w:val="0"/>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2.1.2 形式评审标准：见评标办法前附表。</w:t>
      </w:r>
    </w:p>
    <w:p w14:paraId="76A9AE0D">
      <w:pPr>
        <w:autoSpaceDE w:val="0"/>
        <w:autoSpaceDN w:val="0"/>
        <w:adjustRightInd w:val="0"/>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2.1.3 响应性评审标准：见评标办法前附表。</w:t>
      </w:r>
    </w:p>
    <w:p w14:paraId="152DEC43">
      <w:pPr>
        <w:pStyle w:val="5"/>
        <w:spacing w:before="0" w:after="0" w:line="360" w:lineRule="auto"/>
        <w:rPr>
          <w:rFonts w:hint="eastAsia" w:ascii="宋体" w:hAnsi="宋体" w:cs="宋体"/>
          <w:color w:val="000000" w:themeColor="text1"/>
          <w:sz w:val="21"/>
          <w:szCs w:val="21"/>
          <w14:textFill>
            <w14:solidFill>
              <w14:schemeClr w14:val="tx1"/>
            </w14:solidFill>
          </w14:textFill>
        </w:rPr>
      </w:pPr>
      <w:bookmarkStart w:id="599" w:name="_Toc226115582"/>
      <w:bookmarkStart w:id="600" w:name="_Toc57820619"/>
      <w:bookmarkStart w:id="601" w:name="_Toc26142"/>
      <w:r>
        <w:rPr>
          <w:rFonts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2详细评审标准</w:t>
      </w:r>
      <w:bookmarkEnd w:id="599"/>
      <w:bookmarkEnd w:id="600"/>
      <w:bookmarkEnd w:id="601"/>
    </w:p>
    <w:p w14:paraId="4A8B8176">
      <w:pPr>
        <w:autoSpaceDE w:val="0"/>
        <w:autoSpaceDN w:val="0"/>
        <w:adjustRightInd w:val="0"/>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2.2.3 投标函部分评审标准：见评标办法前附表。</w:t>
      </w:r>
    </w:p>
    <w:p w14:paraId="31351EB6">
      <w:pPr>
        <w:pStyle w:val="4"/>
        <w:spacing w:before="0" w:after="0" w:line="360" w:lineRule="auto"/>
        <w:rPr>
          <w:rFonts w:hint="eastAsia" w:ascii="宋体" w:hAnsi="宋体"/>
          <w:b w:val="0"/>
          <w:snapToGrid w:val="0"/>
          <w:color w:val="000000" w:themeColor="text1"/>
          <w14:textFill>
            <w14:solidFill>
              <w14:schemeClr w14:val="tx1"/>
            </w14:solidFill>
          </w14:textFill>
        </w:rPr>
      </w:pPr>
      <w:bookmarkStart w:id="602" w:name="_Toc226115583"/>
      <w:bookmarkStart w:id="603" w:name="_Toc57820620"/>
      <w:bookmarkStart w:id="604" w:name="_Toc5919"/>
      <w:r>
        <w:rPr>
          <w:rFonts w:ascii="宋体" w:hAnsi="宋体"/>
          <w:b w:val="0"/>
          <w:snapToGrid w:val="0"/>
          <w:color w:val="000000" w:themeColor="text1"/>
          <w14:textFill>
            <w14:solidFill>
              <w14:schemeClr w14:val="tx1"/>
            </w14:solidFill>
          </w14:textFill>
        </w:rPr>
        <w:t>3.  评标程序</w:t>
      </w:r>
      <w:bookmarkEnd w:id="602"/>
      <w:bookmarkEnd w:id="603"/>
      <w:bookmarkEnd w:id="604"/>
    </w:p>
    <w:p w14:paraId="2755AF02">
      <w:pPr>
        <w:pStyle w:val="5"/>
        <w:spacing w:before="0" w:after="0" w:line="360" w:lineRule="auto"/>
        <w:rPr>
          <w:rFonts w:hint="eastAsia" w:ascii="宋体" w:hAnsi="宋体" w:cs="宋体"/>
          <w:color w:val="000000" w:themeColor="text1"/>
          <w:sz w:val="21"/>
          <w:szCs w:val="21"/>
          <w14:textFill>
            <w14:solidFill>
              <w14:schemeClr w14:val="tx1"/>
            </w14:solidFill>
          </w14:textFill>
        </w:rPr>
      </w:pPr>
      <w:bookmarkStart w:id="605" w:name="_Toc226115584"/>
      <w:bookmarkStart w:id="606" w:name="_Toc27136"/>
      <w:bookmarkStart w:id="607" w:name="_Toc57820621"/>
      <w:r>
        <w:rPr>
          <w:rFonts w:ascii="宋体" w:hAnsi="宋体" w:cs="宋体"/>
          <w:color w:val="000000" w:themeColor="text1"/>
          <w:sz w:val="21"/>
          <w:szCs w:val="21"/>
          <w14:textFill>
            <w14:solidFill>
              <w14:schemeClr w14:val="tx1"/>
            </w14:solidFill>
          </w14:textFill>
        </w:rPr>
        <w:t>3.1</w:t>
      </w:r>
      <w:r>
        <w:rPr>
          <w:rFonts w:hint="eastAsia" w:ascii="宋体" w:hAnsi="宋体" w:cs="宋体"/>
          <w:color w:val="000000" w:themeColor="text1"/>
          <w:sz w:val="21"/>
          <w:szCs w:val="21"/>
          <w14:textFill>
            <w14:solidFill>
              <w14:schemeClr w14:val="tx1"/>
            </w14:solidFill>
          </w14:textFill>
        </w:rPr>
        <w:t>投标报价排序</w:t>
      </w:r>
      <w:bookmarkEnd w:id="605"/>
      <w:bookmarkEnd w:id="606"/>
      <w:bookmarkEnd w:id="607"/>
    </w:p>
    <w:p w14:paraId="3AAB8CF7">
      <w:pPr>
        <w:spacing w:line="360" w:lineRule="auto"/>
        <w:ind w:firstLine="413" w:firstLineChars="197"/>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对报价不高于最高限价的所有投标人的投标文件，按照报价由低到高的顺序排序。</w:t>
      </w:r>
    </w:p>
    <w:p w14:paraId="65956D9A">
      <w:pPr>
        <w:pStyle w:val="5"/>
        <w:spacing w:before="0" w:after="0" w:line="360" w:lineRule="auto"/>
        <w:rPr>
          <w:rFonts w:hint="eastAsia" w:ascii="宋体" w:hAnsi="宋体" w:cs="宋体"/>
          <w:color w:val="000000" w:themeColor="text1"/>
          <w:sz w:val="21"/>
          <w:szCs w:val="21"/>
          <w14:textFill>
            <w14:solidFill>
              <w14:schemeClr w14:val="tx1"/>
            </w14:solidFill>
          </w14:textFill>
        </w:rPr>
      </w:pPr>
      <w:bookmarkStart w:id="608" w:name="_Toc30434"/>
      <w:bookmarkStart w:id="609" w:name="_Toc57820622"/>
      <w:bookmarkStart w:id="610" w:name="_Toc226115585"/>
      <w:r>
        <w:rPr>
          <w:rFonts w:ascii="宋体" w:hAnsi="宋体" w:cs="宋体"/>
          <w:color w:val="000000" w:themeColor="text1"/>
          <w:sz w:val="21"/>
          <w:szCs w:val="21"/>
          <w14:textFill>
            <w14:solidFill>
              <w14:schemeClr w14:val="tx1"/>
            </w14:solidFill>
          </w14:textFill>
        </w:rPr>
        <w:t>3.</w:t>
      </w:r>
      <w:r>
        <w:rPr>
          <w:rFonts w:hint="eastAsia" w:ascii="宋体" w:hAnsi="宋体" w:cs="宋体"/>
          <w:color w:val="000000" w:themeColor="text1"/>
          <w:sz w:val="21"/>
          <w:szCs w:val="21"/>
          <w14:textFill>
            <w14:solidFill>
              <w14:schemeClr w14:val="tx1"/>
            </w14:solidFill>
          </w14:textFill>
        </w:rPr>
        <w:t>2初步评审和详细评审</w:t>
      </w:r>
      <w:bookmarkEnd w:id="608"/>
      <w:bookmarkEnd w:id="609"/>
      <w:bookmarkEnd w:id="610"/>
    </w:p>
    <w:p w14:paraId="67E62C34">
      <w:pPr>
        <w:spacing w:line="360" w:lineRule="auto"/>
        <w:ind w:firstLine="413" w:firstLineChars="197"/>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 xml:space="preserve"> 评审</w:t>
      </w:r>
      <w:r>
        <w:rPr>
          <w:rFonts w:hint="eastAsia" w:ascii="宋体" w:hAnsi="宋体" w:cs="宋体"/>
          <w:color w:val="000000" w:themeColor="text1"/>
          <w:szCs w:val="22"/>
          <w14:textFill>
            <w14:solidFill>
              <w14:schemeClr w14:val="tx1"/>
            </w14:solidFill>
          </w14:textFill>
        </w:rPr>
        <w:t>程序：见评标办法前附表</w:t>
      </w:r>
      <w:r>
        <w:rPr>
          <w:rFonts w:hint="eastAsia" w:ascii="宋体" w:hAnsi="宋体" w:cs="宋体"/>
          <w:color w:val="000000" w:themeColor="text1"/>
          <w:szCs w:val="21"/>
          <w14:textFill>
            <w14:solidFill>
              <w14:schemeClr w14:val="tx1"/>
            </w14:solidFill>
          </w14:textFill>
        </w:rPr>
        <w:t>。</w:t>
      </w:r>
    </w:p>
    <w:p w14:paraId="4D810424">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3.2.2 投标文件中的大写金额与小写金额不一致的，评标委员会按照以大写金额为准的原则对投标报价进行修正，修正的价格经投标人书面确认后具有约束力。</w:t>
      </w:r>
    </w:p>
    <w:p w14:paraId="5139A938">
      <w:pPr>
        <w:pStyle w:val="5"/>
        <w:spacing w:before="0" w:after="0" w:line="360" w:lineRule="auto"/>
        <w:rPr>
          <w:rFonts w:hint="eastAsia" w:ascii="宋体" w:hAnsi="宋体" w:cs="宋体"/>
          <w:color w:val="000000" w:themeColor="text1"/>
          <w:sz w:val="21"/>
          <w:szCs w:val="21"/>
          <w14:textFill>
            <w14:solidFill>
              <w14:schemeClr w14:val="tx1"/>
            </w14:solidFill>
          </w14:textFill>
        </w:rPr>
      </w:pPr>
      <w:bookmarkStart w:id="611" w:name="_Toc23071"/>
      <w:bookmarkStart w:id="612" w:name="_Toc226115586"/>
      <w:bookmarkStart w:id="613" w:name="_Toc57820623"/>
      <w:r>
        <w:rPr>
          <w:rFonts w:ascii="宋体" w:hAnsi="宋体" w:cs="宋体"/>
          <w:color w:val="000000" w:themeColor="text1"/>
          <w:sz w:val="21"/>
          <w:szCs w:val="21"/>
          <w14:textFill>
            <w14:solidFill>
              <w14:schemeClr w14:val="tx1"/>
            </w14:solidFill>
          </w14:textFill>
        </w:rPr>
        <w:t>3.</w:t>
      </w:r>
      <w:r>
        <w:rPr>
          <w:rFonts w:hint="eastAsia" w:ascii="宋体" w:hAnsi="宋体" w:cs="宋体"/>
          <w:color w:val="000000" w:themeColor="text1"/>
          <w:sz w:val="21"/>
          <w:szCs w:val="21"/>
          <w14:textFill>
            <w14:solidFill>
              <w14:schemeClr w14:val="tx1"/>
            </w14:solidFill>
          </w14:textFill>
        </w:rPr>
        <w:t>3</w:t>
      </w:r>
      <w:r>
        <w:rPr>
          <w:rFonts w:ascii="宋体" w:hAnsi="宋体" w:cs="宋体"/>
          <w:color w:val="000000" w:themeColor="text1"/>
          <w:sz w:val="21"/>
          <w:szCs w:val="21"/>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投标文件的澄清和补正</w:t>
      </w:r>
      <w:bookmarkEnd w:id="611"/>
      <w:bookmarkEnd w:id="612"/>
      <w:bookmarkEnd w:id="613"/>
    </w:p>
    <w:p w14:paraId="3577109F">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 xml:space="preserve">.1 </w:t>
      </w:r>
      <w:r>
        <w:rPr>
          <w:rFonts w:hint="eastAsia" w:ascii="宋体" w:hAnsi="宋体" w:cs="宋体"/>
          <w:color w:val="000000" w:themeColor="text1"/>
          <w:szCs w:val="21"/>
          <w14:textFill>
            <w14:solidFill>
              <w14:schemeClr w14:val="tx1"/>
            </w14:solidFill>
          </w14:textFill>
        </w:rPr>
        <w:t>在评标过程中，评标委员会可以书面形式要求投标人对所提交投标文件中不明确的内容进行书面澄清或说明，或者对细微偏差进行补正。评标委员会不接受投标人主动提出的澄清、说明或补正。</w:t>
      </w:r>
    </w:p>
    <w:p w14:paraId="210C7093">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 xml:space="preserve">.2 </w:t>
      </w:r>
      <w:r>
        <w:rPr>
          <w:rFonts w:hint="eastAsia" w:ascii="宋体" w:hAnsi="宋体" w:cs="宋体"/>
          <w:color w:val="000000" w:themeColor="text1"/>
          <w:szCs w:val="21"/>
          <w14:textFill>
            <w14:solidFill>
              <w14:schemeClr w14:val="tx1"/>
            </w14:solidFill>
          </w14:textFill>
        </w:rPr>
        <w:t>澄清、说明和补正不得改变投标文件的实质性内容。投标人的书面澄清、说明和补正属于投标文件的组成部分。</w:t>
      </w:r>
    </w:p>
    <w:p w14:paraId="31755635">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 xml:space="preserve">.3 </w:t>
      </w:r>
      <w:r>
        <w:rPr>
          <w:rFonts w:hint="eastAsia" w:ascii="宋体" w:hAnsi="宋体" w:cs="宋体"/>
          <w:color w:val="000000" w:themeColor="text1"/>
          <w:szCs w:val="21"/>
          <w14:textFill>
            <w14:solidFill>
              <w14:schemeClr w14:val="tx1"/>
            </w14:solidFill>
          </w14:textFill>
        </w:rPr>
        <w:t>评标委员会对投标人提交的澄清、说明或补正有疑问的，可以要求投标人进一步澄清、说明或补正，直至满足评标委员会的要求。</w:t>
      </w:r>
    </w:p>
    <w:p w14:paraId="0704B51F">
      <w:pPr>
        <w:pStyle w:val="5"/>
        <w:spacing w:before="0" w:after="0" w:line="360" w:lineRule="auto"/>
        <w:rPr>
          <w:rFonts w:hint="eastAsia" w:ascii="宋体" w:hAnsi="宋体" w:cs="宋体"/>
          <w:color w:val="000000" w:themeColor="text1"/>
          <w:sz w:val="21"/>
          <w:szCs w:val="21"/>
          <w14:textFill>
            <w14:solidFill>
              <w14:schemeClr w14:val="tx1"/>
            </w14:solidFill>
          </w14:textFill>
        </w:rPr>
      </w:pPr>
      <w:bookmarkStart w:id="614" w:name="_Toc57820624"/>
      <w:bookmarkStart w:id="615" w:name="_Toc875"/>
      <w:bookmarkStart w:id="616" w:name="_Toc226115587"/>
      <w:r>
        <w:rPr>
          <w:rFonts w:ascii="宋体" w:hAnsi="宋体" w:cs="宋体"/>
          <w:color w:val="000000" w:themeColor="text1"/>
          <w:sz w:val="21"/>
          <w:szCs w:val="21"/>
          <w14:textFill>
            <w14:solidFill>
              <w14:schemeClr w14:val="tx1"/>
            </w14:solidFill>
          </w14:textFill>
        </w:rPr>
        <w:t>3.</w:t>
      </w:r>
      <w:r>
        <w:rPr>
          <w:rFonts w:hint="eastAsia" w:ascii="宋体" w:hAnsi="宋体" w:cs="宋体"/>
          <w:color w:val="000000" w:themeColor="text1"/>
          <w:sz w:val="21"/>
          <w:szCs w:val="21"/>
          <w14:textFill>
            <w14:solidFill>
              <w14:schemeClr w14:val="tx1"/>
            </w14:solidFill>
          </w14:textFill>
        </w:rPr>
        <w:t>4</w:t>
      </w:r>
      <w:r>
        <w:rPr>
          <w:rFonts w:ascii="宋体" w:hAnsi="宋体" w:cs="宋体"/>
          <w:color w:val="000000" w:themeColor="text1"/>
          <w:sz w:val="21"/>
          <w:szCs w:val="21"/>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评标结果</w:t>
      </w:r>
      <w:bookmarkEnd w:id="614"/>
      <w:bookmarkEnd w:id="615"/>
      <w:bookmarkEnd w:id="616"/>
    </w:p>
    <w:p w14:paraId="0FAC6C2E">
      <w:pPr>
        <w:autoSpaceDE w:val="0"/>
        <w:autoSpaceDN w:val="0"/>
        <w:adjustRightInd w:val="0"/>
        <w:spacing w:line="360" w:lineRule="auto"/>
        <w:ind w:firstLine="420" w:firstLineChars="200"/>
        <w:jc w:val="left"/>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4</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 xml:space="preserve"> 除第二章“投标人须知”前附表授权直接确定中标人外，评标委员会按经评审的最低投标价法推荐中标候选人。</w:t>
      </w:r>
    </w:p>
    <w:p w14:paraId="7EF5C5F8">
      <w:pPr>
        <w:pStyle w:val="4"/>
        <w:spacing w:before="0" w:after="0" w:line="360" w:lineRule="auto"/>
        <w:ind w:firstLine="420" w:firstLineChars="200"/>
        <w:rPr>
          <w:rFonts w:hint="eastAsia" w:ascii="宋体" w:hAnsi="宋体" w:cs="宋体"/>
          <w:b w:val="0"/>
          <w:bCs w:val="0"/>
          <w:color w:val="000000" w:themeColor="text1"/>
          <w:sz w:val="21"/>
          <w:szCs w:val="21"/>
          <w14:textFill>
            <w14:solidFill>
              <w14:schemeClr w14:val="tx1"/>
            </w14:solidFill>
          </w14:textFill>
        </w:rPr>
      </w:pPr>
      <w:bookmarkStart w:id="617" w:name="_Toc21770"/>
      <w:bookmarkStart w:id="618" w:name="_Toc226115588"/>
      <w:r>
        <w:rPr>
          <w:rFonts w:ascii="宋体" w:hAnsi="宋体" w:cs="宋体"/>
          <w:b w:val="0"/>
          <w:bCs w:val="0"/>
          <w:color w:val="000000" w:themeColor="text1"/>
          <w:sz w:val="21"/>
          <w:szCs w:val="21"/>
          <w14:textFill>
            <w14:solidFill>
              <w14:schemeClr w14:val="tx1"/>
            </w14:solidFill>
          </w14:textFill>
        </w:rPr>
        <w:t>3.</w:t>
      </w:r>
      <w:r>
        <w:rPr>
          <w:rFonts w:hint="eastAsia" w:ascii="宋体" w:hAnsi="宋体" w:cs="宋体"/>
          <w:b w:val="0"/>
          <w:bCs w:val="0"/>
          <w:color w:val="000000" w:themeColor="text1"/>
          <w:sz w:val="21"/>
          <w:szCs w:val="21"/>
          <w14:textFill>
            <w14:solidFill>
              <w14:schemeClr w14:val="tx1"/>
            </w14:solidFill>
          </w14:textFill>
        </w:rPr>
        <w:t>4</w:t>
      </w:r>
      <w:r>
        <w:rPr>
          <w:rFonts w:ascii="宋体" w:hAnsi="宋体" w:cs="宋体"/>
          <w:b w:val="0"/>
          <w:bCs w:val="0"/>
          <w:color w:val="000000" w:themeColor="text1"/>
          <w:sz w:val="21"/>
          <w:szCs w:val="21"/>
          <w14:textFill>
            <w14:solidFill>
              <w14:schemeClr w14:val="tx1"/>
            </w14:solidFill>
          </w14:textFill>
        </w:rPr>
        <w:t>.2</w:t>
      </w:r>
      <w:r>
        <w:rPr>
          <w:rFonts w:hint="eastAsia" w:ascii="宋体" w:hAnsi="宋体" w:cs="宋体"/>
          <w:b w:val="0"/>
          <w:bCs w:val="0"/>
          <w:color w:val="000000" w:themeColor="text1"/>
          <w:sz w:val="21"/>
          <w:szCs w:val="21"/>
          <w14:textFill>
            <w14:solidFill>
              <w14:schemeClr w14:val="tx1"/>
            </w14:solidFill>
          </w14:textFill>
        </w:rPr>
        <w:t xml:space="preserve"> 评标委员会完成评标后，应当向招标人提交书面评标报告和中标候选人名单。</w:t>
      </w:r>
      <w:bookmarkEnd w:id="617"/>
      <w:bookmarkEnd w:id="618"/>
    </w:p>
    <w:p w14:paraId="4AB616F3">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3.4.3 有效投标人不足三个的，评标委员会应当对有效投标人是否仍具有竞争性进行论证，并在评标报告中记载论证过程和结果。</w:t>
      </w:r>
      <w:bookmarkEnd w:id="592"/>
    </w:p>
    <w:p w14:paraId="4224780E">
      <w:pPr>
        <w:pStyle w:val="33"/>
        <w:spacing w:line="360" w:lineRule="auto"/>
        <w:rPr>
          <w:rFonts w:hint="eastAsia" w:ascii="宋体" w:hAnsi="宋体"/>
          <w:b/>
          <w:color w:val="000000" w:themeColor="text1"/>
          <w:sz w:val="28"/>
          <w:szCs w:val="28"/>
          <w:u w:val="none"/>
          <w:lang w:eastAsia="zh-CN"/>
          <w14:textFill>
            <w14:solidFill>
              <w14:schemeClr w14:val="tx1"/>
            </w14:solidFill>
          </w14:textFill>
        </w:rPr>
      </w:pPr>
      <w:r>
        <w:rPr>
          <w:rFonts w:ascii="宋体" w:hAnsi="宋体" w:cs="宋体"/>
          <w:color w:val="000000" w:themeColor="text1"/>
          <w:szCs w:val="21"/>
          <w:lang w:eastAsia="zh-CN"/>
          <w14:textFill>
            <w14:solidFill>
              <w14:schemeClr w14:val="tx1"/>
            </w14:solidFill>
          </w14:textFill>
        </w:rPr>
        <w:br w:type="page"/>
      </w:r>
      <w:r>
        <w:rPr>
          <w:rFonts w:ascii="宋体" w:hAnsi="宋体"/>
          <w:b/>
          <w:color w:val="000000" w:themeColor="text1"/>
          <w:sz w:val="28"/>
          <w:szCs w:val="28"/>
          <w:u w:val="none"/>
          <w:lang w:eastAsia="zh-CN"/>
          <w14:textFill>
            <w14:solidFill>
              <w14:schemeClr w14:val="tx1"/>
            </w14:solidFill>
          </w14:textFill>
        </w:rPr>
        <w:t>附件A：</w:t>
      </w:r>
      <w:r>
        <w:rPr>
          <w:rFonts w:hint="eastAsia" w:ascii="宋体" w:hAnsi="宋体"/>
          <w:b/>
          <w:color w:val="000000" w:themeColor="text1"/>
          <w:sz w:val="28"/>
          <w:szCs w:val="28"/>
          <w:u w:val="none"/>
          <w:lang w:eastAsia="zh-CN"/>
          <w14:textFill>
            <w14:solidFill>
              <w14:schemeClr w14:val="tx1"/>
            </w14:solidFill>
          </w14:textFill>
        </w:rPr>
        <w:t>经评审的最低投标价法</w:t>
      </w:r>
      <w:r>
        <w:rPr>
          <w:rFonts w:ascii="宋体" w:hAnsi="宋体"/>
          <w:b/>
          <w:color w:val="000000" w:themeColor="text1"/>
          <w:sz w:val="28"/>
          <w:szCs w:val="28"/>
          <w:u w:val="none"/>
          <w:lang w:eastAsia="zh-CN"/>
          <w14:textFill>
            <w14:solidFill>
              <w14:schemeClr w14:val="tx1"/>
            </w14:solidFill>
          </w14:textFill>
        </w:rPr>
        <w:t>否决投标情况一览表</w:t>
      </w:r>
    </w:p>
    <w:p w14:paraId="7DE36355">
      <w:pPr>
        <w:pStyle w:val="33"/>
        <w:spacing w:line="360" w:lineRule="auto"/>
        <w:ind w:firstLine="420" w:firstLineChars="200"/>
        <w:jc w:val="both"/>
        <w:rPr>
          <w:rFonts w:hint="eastAsia" w:ascii="宋体" w:hAnsi="宋体"/>
          <w:color w:val="000000" w:themeColor="text1"/>
          <w:sz w:val="21"/>
          <w:szCs w:val="21"/>
          <w:u w:val="none"/>
          <w:lang w:eastAsia="zh-CN"/>
          <w14:textFill>
            <w14:solidFill>
              <w14:schemeClr w14:val="tx1"/>
            </w14:solidFill>
          </w14:textFill>
        </w:rPr>
      </w:pPr>
      <w:r>
        <w:rPr>
          <w:rFonts w:hint="eastAsia" w:ascii="宋体" w:hAnsi="宋体"/>
          <w:color w:val="000000" w:themeColor="text1"/>
          <w:sz w:val="21"/>
          <w:szCs w:val="21"/>
          <w:u w:val="none"/>
          <w:lang w:eastAsia="zh-CN"/>
          <w14:textFill>
            <w14:solidFill>
              <w14:schemeClr w14:val="tx1"/>
            </w14:solidFill>
          </w14:textFill>
        </w:rPr>
        <w:t>投标文件存在本一览表下列情形之一的，投标文件视为重大偏差并作否决投标处理，否则，评标委员会不得视为重大偏差而否决投标人的投标文件</w:t>
      </w:r>
      <w:r>
        <w:rPr>
          <w:rFonts w:ascii="宋体" w:hAnsi="宋体"/>
          <w:color w:val="000000" w:themeColor="text1"/>
          <w:sz w:val="21"/>
          <w:szCs w:val="21"/>
          <w:u w:val="none"/>
          <w:lang w:eastAsia="zh-CN"/>
          <w14:textFill>
            <w14:solidFill>
              <w14:schemeClr w14:val="tx1"/>
            </w14:solidFill>
          </w14:textFill>
        </w:rPr>
        <w:t>。</w:t>
      </w:r>
    </w:p>
    <w:tbl>
      <w:tblPr>
        <w:tblStyle w:val="45"/>
        <w:tblW w:w="956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365"/>
        <w:gridCol w:w="1943"/>
        <w:gridCol w:w="6257"/>
      </w:tblGrid>
      <w:tr w14:paraId="28A45D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Align w:val="center"/>
          </w:tcPr>
          <w:p w14:paraId="49C46BCC">
            <w:pPr>
              <w:spacing w:line="4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章节号</w:t>
            </w:r>
          </w:p>
        </w:tc>
        <w:tc>
          <w:tcPr>
            <w:tcW w:w="1943" w:type="dxa"/>
            <w:vAlign w:val="center"/>
          </w:tcPr>
          <w:p w14:paraId="67285CAD">
            <w:pPr>
              <w:spacing w:line="4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条款名称</w:t>
            </w:r>
          </w:p>
        </w:tc>
        <w:tc>
          <w:tcPr>
            <w:tcW w:w="6257" w:type="dxa"/>
            <w:vAlign w:val="center"/>
          </w:tcPr>
          <w:p w14:paraId="626EFA4A">
            <w:pPr>
              <w:spacing w:line="4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否决投标条件</w:t>
            </w:r>
          </w:p>
        </w:tc>
      </w:tr>
      <w:tr w14:paraId="2D16FE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65" w:type="dxa"/>
            <w:vMerge w:val="restart"/>
            <w:vAlign w:val="center"/>
          </w:tcPr>
          <w:p w14:paraId="2D880641">
            <w:pPr>
              <w:spacing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第三章</w:t>
            </w:r>
          </w:p>
        </w:tc>
        <w:tc>
          <w:tcPr>
            <w:tcW w:w="1943" w:type="dxa"/>
            <w:vMerge w:val="restart"/>
            <w:vAlign w:val="center"/>
          </w:tcPr>
          <w:p w14:paraId="4AB22213">
            <w:pPr>
              <w:spacing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资格评审</w:t>
            </w:r>
          </w:p>
        </w:tc>
        <w:tc>
          <w:tcPr>
            <w:tcW w:w="6257" w:type="dxa"/>
            <w:vAlign w:val="center"/>
          </w:tcPr>
          <w:p w14:paraId="532F7354">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A-1投标人的资质条件、独立法人资格及安全生产条件不满足投标人须知前附表第1.4.1项的要求。</w:t>
            </w:r>
          </w:p>
        </w:tc>
      </w:tr>
      <w:tr w14:paraId="013F07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65" w:type="dxa"/>
            <w:vMerge w:val="continue"/>
            <w:vAlign w:val="center"/>
          </w:tcPr>
          <w:p w14:paraId="4EB6C87B">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24D76948">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5BC5FF61">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A-2投标人的投标截止日投标资格情况不满足投标人须知前附表第1.4.1项的要求。</w:t>
            </w:r>
          </w:p>
        </w:tc>
      </w:tr>
      <w:tr w14:paraId="1999DD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65" w:type="dxa"/>
            <w:vMerge w:val="continue"/>
            <w:vAlign w:val="center"/>
          </w:tcPr>
          <w:p w14:paraId="095D3BF7">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40FA2D38">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0902DB62">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A-3投标人的项目经理资格不满足投标人须知前附表第1.4.1项的要求。</w:t>
            </w:r>
          </w:p>
        </w:tc>
      </w:tr>
      <w:tr w14:paraId="2B9556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65" w:type="dxa"/>
            <w:vMerge w:val="continue"/>
            <w:vAlign w:val="center"/>
          </w:tcPr>
          <w:p w14:paraId="4836CB1F">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096EA3E1">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4ABA04EA">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A-4投标人的其他要求不满足投标人须知前附表第1.4.1项的要求。</w:t>
            </w:r>
          </w:p>
        </w:tc>
      </w:tr>
      <w:tr w14:paraId="5F0762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7DBAF45D">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restart"/>
            <w:vAlign w:val="center"/>
          </w:tcPr>
          <w:p w14:paraId="24AEAD2A">
            <w:pPr>
              <w:spacing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形式评审</w:t>
            </w:r>
          </w:p>
        </w:tc>
        <w:tc>
          <w:tcPr>
            <w:tcW w:w="6257" w:type="dxa"/>
          </w:tcPr>
          <w:p w14:paraId="0A5D46F4">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A-5投标人名称与营业执照、资质证书、安全生产许可证不一致</w:t>
            </w:r>
            <w:r>
              <w:rPr>
                <w:rFonts w:ascii="宋体" w:hAnsi="宋体"/>
                <w:color w:val="000000" w:themeColor="text1"/>
                <w:szCs w:val="21"/>
                <w14:textFill>
                  <w14:solidFill>
                    <w14:schemeClr w14:val="tx1"/>
                  </w14:solidFill>
                </w14:textFill>
              </w:rPr>
              <w:t>。</w:t>
            </w:r>
          </w:p>
        </w:tc>
      </w:tr>
      <w:tr w14:paraId="4808E0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5F9AB4C1">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1BAA2FA5">
            <w:pPr>
              <w:spacing w:line="400" w:lineRule="exact"/>
              <w:jc w:val="center"/>
              <w:rPr>
                <w:rFonts w:hint="eastAsia" w:ascii="宋体" w:hAnsi="宋体"/>
                <w:color w:val="000000" w:themeColor="text1"/>
                <w:szCs w:val="21"/>
                <w14:textFill>
                  <w14:solidFill>
                    <w14:schemeClr w14:val="tx1"/>
                  </w14:solidFill>
                </w14:textFill>
              </w:rPr>
            </w:pPr>
          </w:p>
        </w:tc>
        <w:tc>
          <w:tcPr>
            <w:tcW w:w="6257" w:type="dxa"/>
          </w:tcPr>
          <w:p w14:paraId="173B1500">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A-6投标文件格式（不含投标函部分）不符合第二章“投标人须知”第3.7款的要求。</w:t>
            </w:r>
          </w:p>
          <w:p w14:paraId="04EA3F7E">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编制投标文件时对第八章“投标文件格式”的相应要素作实质性修改。</w:t>
            </w:r>
          </w:p>
        </w:tc>
      </w:tr>
      <w:tr w14:paraId="2F744A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5490AC95">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2F9A21E1">
            <w:pPr>
              <w:spacing w:line="400" w:lineRule="exact"/>
              <w:jc w:val="center"/>
              <w:rPr>
                <w:rFonts w:hint="eastAsia" w:ascii="宋体" w:hAnsi="宋体"/>
                <w:color w:val="000000" w:themeColor="text1"/>
                <w:szCs w:val="21"/>
                <w14:textFill>
                  <w14:solidFill>
                    <w14:schemeClr w14:val="tx1"/>
                  </w14:solidFill>
                </w14:textFill>
              </w:rPr>
            </w:pPr>
          </w:p>
        </w:tc>
        <w:tc>
          <w:tcPr>
            <w:tcW w:w="6257" w:type="dxa"/>
          </w:tcPr>
          <w:p w14:paraId="7C5E86C2">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A-7第八章 投标文件格式（不含投标函部分）要求法定代表人（或其委托代理人）签名（或盖章）的不齐全。</w:t>
            </w:r>
          </w:p>
          <w:p w14:paraId="6848B1A0">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第八章 投标文件格式（不含投标函部分）要求加盖单位法人章的，未加盖投标人的单位法人章。</w:t>
            </w:r>
          </w:p>
        </w:tc>
      </w:tr>
      <w:tr w14:paraId="651503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3962B768">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7165DE58">
            <w:pPr>
              <w:spacing w:line="400" w:lineRule="exact"/>
              <w:jc w:val="center"/>
              <w:rPr>
                <w:rFonts w:hint="eastAsia" w:ascii="宋体" w:hAnsi="宋体"/>
                <w:color w:val="000000" w:themeColor="text1"/>
                <w:szCs w:val="21"/>
                <w14:textFill>
                  <w14:solidFill>
                    <w14:schemeClr w14:val="tx1"/>
                  </w14:solidFill>
                </w14:textFill>
              </w:rPr>
            </w:pPr>
          </w:p>
        </w:tc>
        <w:tc>
          <w:tcPr>
            <w:tcW w:w="6257" w:type="dxa"/>
          </w:tcPr>
          <w:p w14:paraId="10BCE091">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A-8投标人法定代表人的委托代理人无法定代表人签署的授权委托书，或无投标人为其缴纳的养老保险证明材料。</w:t>
            </w:r>
          </w:p>
        </w:tc>
      </w:tr>
      <w:tr w14:paraId="67A388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3FBC9D98">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restart"/>
            <w:vAlign w:val="center"/>
          </w:tcPr>
          <w:p w14:paraId="73289F2A">
            <w:pPr>
              <w:spacing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响应性评审</w:t>
            </w:r>
          </w:p>
        </w:tc>
        <w:tc>
          <w:tcPr>
            <w:tcW w:w="6257" w:type="dxa"/>
            <w:vAlign w:val="center"/>
          </w:tcPr>
          <w:p w14:paraId="249EF72D">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A-9投标内容不符合第二章“投标人须知”第1.3.1项规定。</w:t>
            </w:r>
          </w:p>
        </w:tc>
      </w:tr>
      <w:tr w14:paraId="2E29F9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66600BE8">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7CBB0E22">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44790FC4">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A-10</w:t>
            </w:r>
            <w:r>
              <w:rPr>
                <w:rFonts w:hint="eastAsia" w:ascii="宋体" w:hAnsi="宋体" w:cs="宋体"/>
                <w:color w:val="000000" w:themeColor="text1"/>
                <w:szCs w:val="21"/>
                <w14:textFill>
                  <w14:solidFill>
                    <w14:schemeClr w14:val="tx1"/>
                  </w14:solidFill>
                </w14:textFill>
              </w:rPr>
              <w:t>投标保证金不</w:t>
            </w:r>
            <w:r>
              <w:rPr>
                <w:rFonts w:hint="eastAsia" w:ascii="宋体" w:hAnsi="宋体" w:cs="宋体"/>
                <w:color w:val="000000" w:themeColor="text1"/>
                <w:kern w:val="0"/>
                <w14:textFill>
                  <w14:solidFill>
                    <w14:schemeClr w14:val="tx1"/>
                  </w14:solidFill>
                </w14:textFill>
              </w:rPr>
              <w:t>符合第二章“投标人须知前附表”第3.4款规定</w:t>
            </w:r>
            <w:r>
              <w:rPr>
                <w:rFonts w:hint="eastAsia" w:ascii="宋体" w:hAnsi="宋体"/>
                <w:color w:val="000000" w:themeColor="text1"/>
                <w:szCs w:val="21"/>
                <w14:textFill>
                  <w14:solidFill>
                    <w14:schemeClr w14:val="tx1"/>
                  </w14:solidFill>
                </w14:textFill>
              </w:rPr>
              <w:t>。</w:t>
            </w:r>
          </w:p>
        </w:tc>
      </w:tr>
      <w:tr w14:paraId="6C025A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0281A8F6">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4E686CE5">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7BB19E20">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A-11不符合第四章“合同条款及格式”规定，投标文件附有招标人不能接受的条件。（由投标人承诺，承诺书格式详见第八章投标文件格式。）</w:t>
            </w:r>
          </w:p>
        </w:tc>
      </w:tr>
      <w:tr w14:paraId="56DD66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65" w:type="dxa"/>
            <w:vMerge w:val="continue"/>
            <w:vAlign w:val="center"/>
          </w:tcPr>
          <w:p w14:paraId="5C23D263">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546EF93E">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38CCCEE0">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A-12不符合第七章“技术标准和要求”规定（如有）。（由投标人承诺，承诺书格式详见第八章投标文件格式。）</w:t>
            </w:r>
          </w:p>
        </w:tc>
      </w:tr>
      <w:tr w14:paraId="0712F7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467CD902">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66327259">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6D25C7BB">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A-13投标人有以下情形之一的：</w:t>
            </w:r>
          </w:p>
          <w:p w14:paraId="267A86C5">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1.本次投标</w:t>
            </w:r>
            <w:r>
              <w:rPr>
                <w:rFonts w:hint="eastAsia" w:ascii="宋体" w:hAnsi="宋体"/>
                <w:color w:val="000000" w:themeColor="text1"/>
                <w:kern w:val="0"/>
                <w14:textFill>
                  <w14:solidFill>
                    <w14:schemeClr w14:val="tx1"/>
                  </w14:solidFill>
                </w14:textFill>
              </w:rPr>
              <w:t>存在弄虚作假等其他</w:t>
            </w:r>
            <w:r>
              <w:rPr>
                <w:rFonts w:hint="eastAsia" w:ascii="宋体" w:hAnsi="宋体"/>
                <w:color w:val="000000" w:themeColor="text1"/>
                <w:szCs w:val="21"/>
                <w14:textFill>
                  <w14:solidFill>
                    <w14:schemeClr w14:val="tx1"/>
                  </w14:solidFill>
                </w14:textFill>
              </w:rPr>
              <w:t>违反招投标相关法律、法规的行为的；</w:t>
            </w:r>
          </w:p>
          <w:p w14:paraId="6B137885">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2.拒绝按评标委员会要求澄清、说明或补正的。</w:t>
            </w:r>
          </w:p>
        </w:tc>
      </w:tr>
      <w:tr w14:paraId="7F26CB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6A4A4ABD">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restart"/>
            <w:vAlign w:val="center"/>
          </w:tcPr>
          <w:p w14:paraId="6CA996BC">
            <w:pPr>
              <w:spacing w:line="4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投标函</w:t>
            </w:r>
            <w:r>
              <w:rPr>
                <w:rFonts w:hint="eastAsia" w:ascii="宋体" w:hAnsi="宋体"/>
                <w:color w:val="000000" w:themeColor="text1"/>
                <w:szCs w:val="21"/>
                <w14:textFill>
                  <w14:solidFill>
                    <w14:schemeClr w14:val="tx1"/>
                  </w14:solidFill>
                </w14:textFill>
              </w:rPr>
              <w:t>部分</w:t>
            </w:r>
            <w:r>
              <w:rPr>
                <w:rFonts w:ascii="宋体" w:hAnsi="宋体"/>
                <w:color w:val="000000" w:themeColor="text1"/>
                <w:szCs w:val="21"/>
                <w14:textFill>
                  <w14:solidFill>
                    <w14:schemeClr w14:val="tx1"/>
                  </w14:solidFill>
                </w14:textFill>
              </w:rPr>
              <w:t>评审</w:t>
            </w:r>
          </w:p>
        </w:tc>
        <w:tc>
          <w:tcPr>
            <w:tcW w:w="6257" w:type="dxa"/>
            <w:vAlign w:val="center"/>
          </w:tcPr>
          <w:p w14:paraId="7B6E2738">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A-14</w:t>
            </w:r>
            <w:r>
              <w:rPr>
                <w:rFonts w:hint="eastAsia" w:ascii="宋体" w:hAnsi="宋体" w:cs="宋体"/>
                <w:color w:val="000000" w:themeColor="text1"/>
                <w:kern w:val="0"/>
                <w14:textFill>
                  <w14:solidFill>
                    <w14:schemeClr w14:val="tx1"/>
                  </w14:solidFill>
                </w14:textFill>
              </w:rPr>
              <w:t>投标函部分的格式要求法定代表人（或其委托代理人）签名（或盖章）的不齐全</w:t>
            </w:r>
            <w:r>
              <w:rPr>
                <w:rFonts w:hint="eastAsia" w:ascii="宋体" w:hAnsi="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要求加盖单位法人章的，未加盖投标人的</w:t>
            </w:r>
            <w:r>
              <w:rPr>
                <w:rFonts w:hint="eastAsia" w:ascii="宋体" w:hAnsi="宋体"/>
                <w:color w:val="000000" w:themeColor="text1"/>
                <w:szCs w:val="21"/>
                <w14:textFill>
                  <w14:solidFill>
                    <w14:schemeClr w14:val="tx1"/>
                  </w14:solidFill>
                </w14:textFill>
              </w:rPr>
              <w:t>单位法人章。</w:t>
            </w:r>
          </w:p>
        </w:tc>
      </w:tr>
      <w:tr w14:paraId="01A2FC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65B30057">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33E79F7E">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075328AC">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A-15《投标函》中填写的项目经理与拟派项目经理的信息不一致。</w:t>
            </w:r>
          </w:p>
        </w:tc>
      </w:tr>
      <w:tr w14:paraId="21AF09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278A3617">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72460F79">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58DDD3E0">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A-16工期不符合第二章“投标人须知”第1.3.2项规定。</w:t>
            </w:r>
          </w:p>
        </w:tc>
      </w:tr>
      <w:tr w14:paraId="68329D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55012C70">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6F3C2A70">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1F3DFFEA">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A-17工程质量不符合第二章“投标人须知”第1.3.3项规定。</w:t>
            </w:r>
          </w:p>
        </w:tc>
      </w:tr>
      <w:tr w14:paraId="5229E0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15338D52">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33DC59D1">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695C7AC2">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A-18投标有效期不符合第二章“投标人须知”第3.3.1项规定。</w:t>
            </w:r>
          </w:p>
        </w:tc>
      </w:tr>
      <w:tr w14:paraId="59646A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74570C83">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12982284">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0DC2FFAF">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A-19投标函中的总报价与已标价工程量清单总报价不一致，或工程量清单总报价与依据单价、工程数量、分部分项工程合价计算出的结果不一致（如有）。</w:t>
            </w:r>
          </w:p>
        </w:tc>
      </w:tr>
      <w:tr w14:paraId="607EA8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03EBA0ED">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2114C2EE">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5A4D74DA">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A-20 投标函中的投标总报价高于招标人公布的投标总报价最高限价。</w:t>
            </w:r>
          </w:p>
        </w:tc>
      </w:tr>
      <w:tr w14:paraId="071D21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2193831B">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5F96019F">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0497740B">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A-21投标人投标总报价低于竞争性比选文件规定的对应的异常低价警戒线的，</w:t>
            </w:r>
            <w:r>
              <w:rPr>
                <w:rFonts w:hint="eastAsia" w:ascii="宋体" w:hAnsi="宋体" w:cs="宋体"/>
                <w:color w:val="000000" w:themeColor="text1"/>
                <w:kern w:val="0"/>
                <w:szCs w:val="21"/>
                <w14:textFill>
                  <w14:solidFill>
                    <w14:schemeClr w14:val="tx1"/>
                  </w14:solidFill>
                </w14:textFill>
              </w:rPr>
              <w:t>未提供报价合理性说明，或未提供必要的证明材料，或提供的证明材料不能说明其报价的合理性</w:t>
            </w:r>
            <w:r>
              <w:rPr>
                <w:rFonts w:hint="eastAsia" w:ascii="宋体" w:hAnsi="宋体"/>
                <w:color w:val="000000" w:themeColor="text1"/>
                <w:szCs w:val="21"/>
                <w14:textFill>
                  <w14:solidFill>
                    <w14:schemeClr w14:val="tx1"/>
                  </w14:solidFill>
                </w14:textFill>
              </w:rPr>
              <w:t>。</w:t>
            </w:r>
          </w:p>
        </w:tc>
      </w:tr>
      <w:tr w14:paraId="46F708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42182DE7">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4D5B45F5">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3887FC58">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A-22投标函中的安全文明施工费金额或</w:t>
            </w:r>
            <w:r>
              <w:rPr>
                <w:rFonts w:hint="eastAsia" w:ascii="宋体" w:hAnsi="宋体" w:cs="宋体"/>
                <w:color w:val="000000" w:themeColor="text1"/>
                <w:kern w:val="0"/>
                <w14:textFill>
                  <w14:solidFill>
                    <w14:schemeClr w14:val="tx1"/>
                  </w14:solidFill>
                </w14:textFill>
              </w:rPr>
              <w:t>已标价工程量清单中</w:t>
            </w:r>
            <w:r>
              <w:rPr>
                <w:rFonts w:hint="eastAsia" w:ascii="宋体" w:hAnsi="宋体"/>
                <w:color w:val="000000" w:themeColor="text1"/>
                <w:szCs w:val="21"/>
                <w14:textFill>
                  <w14:solidFill>
                    <w14:schemeClr w14:val="tx1"/>
                  </w14:solidFill>
                </w14:textFill>
              </w:rPr>
              <w:t>安全文明施工费的汇总金额未按照招标人给出的暂定金额填报。暂列金额、暂估价等暂定金额未按照招标人给出的暂定金额填报。</w:t>
            </w:r>
          </w:p>
        </w:tc>
      </w:tr>
      <w:tr w14:paraId="70F9AB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2B439433">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40327487">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74F975E8">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A-23有多个有效报价。在竞争性比选文件没有规定的情况下，提交选择性报价。</w:t>
            </w:r>
          </w:p>
        </w:tc>
      </w:tr>
      <w:tr w14:paraId="5D09A5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22" w:hRule="atLeast"/>
          <w:jc w:val="center"/>
        </w:trPr>
        <w:tc>
          <w:tcPr>
            <w:tcW w:w="1365" w:type="dxa"/>
            <w:vMerge w:val="continue"/>
            <w:vAlign w:val="center"/>
          </w:tcPr>
          <w:p w14:paraId="50C9FF9D">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56FA5003">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14E8BEA1">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A-24投标人未按招标工程量清单填报价格。项目编码、项目名称、项目特征、计量单位、工程量与招标工程量清单不一致。</w:t>
            </w:r>
          </w:p>
        </w:tc>
      </w:tr>
      <w:tr w14:paraId="721066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62" w:hRule="atLeast"/>
          <w:jc w:val="center"/>
        </w:trPr>
        <w:tc>
          <w:tcPr>
            <w:tcW w:w="1365" w:type="dxa"/>
            <w:vMerge w:val="continue"/>
            <w:vAlign w:val="center"/>
          </w:tcPr>
          <w:p w14:paraId="753A5C6C">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12B4D6C8">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4225ECF1">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A-25投标人的一项或多项清单综合单价报价超过对应的清单综合单价最高限价。</w:t>
            </w:r>
          </w:p>
        </w:tc>
      </w:tr>
      <w:tr w14:paraId="5EBD78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1733F3D3">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54686254">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2591C89D">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A-26</w:t>
            </w:r>
            <w:r>
              <w:rPr>
                <w:rFonts w:ascii="宋体" w:hAnsi="宋体"/>
                <w:color w:val="000000" w:themeColor="text1"/>
                <w:kern w:val="0"/>
                <w:szCs w:val="21"/>
                <w14:textFill>
                  <w14:solidFill>
                    <w14:schemeClr w14:val="tx1"/>
                  </w14:solidFill>
                </w14:textFill>
              </w:rPr>
              <w:t>投标人的</w:t>
            </w:r>
            <w:r>
              <w:rPr>
                <w:rFonts w:hint="eastAsia" w:ascii="宋体" w:hAnsi="宋体"/>
                <w:color w:val="000000" w:themeColor="text1"/>
                <w:kern w:val="0"/>
                <w:szCs w:val="21"/>
                <w14:textFill>
                  <w14:solidFill>
                    <w14:schemeClr w14:val="tx1"/>
                  </w14:solidFill>
                </w14:textFill>
              </w:rPr>
              <w:t>工程量清单单项报价为零报价（招标人提供的工程量清单单项最高限价中金额为零的除外）或者负数报价（如有）。</w:t>
            </w:r>
          </w:p>
        </w:tc>
      </w:tr>
      <w:tr w14:paraId="6E5DC5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65" w:type="dxa"/>
            <w:vMerge w:val="continue"/>
            <w:vAlign w:val="center"/>
          </w:tcPr>
          <w:p w14:paraId="12AF003D">
            <w:pPr>
              <w:spacing w:line="400" w:lineRule="exact"/>
              <w:jc w:val="center"/>
              <w:rPr>
                <w:rFonts w:hint="eastAsia" w:ascii="宋体" w:hAnsi="宋体"/>
                <w:color w:val="000000" w:themeColor="text1"/>
                <w:szCs w:val="21"/>
                <w14:textFill>
                  <w14:solidFill>
                    <w14:schemeClr w14:val="tx1"/>
                  </w14:solidFill>
                </w14:textFill>
              </w:rPr>
            </w:pPr>
          </w:p>
        </w:tc>
        <w:tc>
          <w:tcPr>
            <w:tcW w:w="1943" w:type="dxa"/>
            <w:vMerge w:val="continue"/>
            <w:vAlign w:val="center"/>
          </w:tcPr>
          <w:p w14:paraId="79ECF1E1">
            <w:pPr>
              <w:spacing w:line="400" w:lineRule="exact"/>
              <w:jc w:val="center"/>
              <w:rPr>
                <w:rFonts w:hint="eastAsia" w:ascii="宋体" w:hAnsi="宋体"/>
                <w:color w:val="000000" w:themeColor="text1"/>
                <w:szCs w:val="21"/>
                <w14:textFill>
                  <w14:solidFill>
                    <w14:schemeClr w14:val="tx1"/>
                  </w14:solidFill>
                </w14:textFill>
              </w:rPr>
            </w:pPr>
          </w:p>
        </w:tc>
        <w:tc>
          <w:tcPr>
            <w:tcW w:w="6257" w:type="dxa"/>
            <w:vAlign w:val="center"/>
          </w:tcPr>
          <w:p w14:paraId="272F6ABE">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A-27投标报价有大小写不一致的，未按照第三章“评标办法”第3.2.2项规定执行。</w:t>
            </w:r>
          </w:p>
        </w:tc>
      </w:tr>
      <w:tr w14:paraId="4339D9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09" w:hRule="atLeast"/>
          <w:jc w:val="center"/>
        </w:trPr>
        <w:tc>
          <w:tcPr>
            <w:tcW w:w="1365" w:type="dxa"/>
            <w:vAlign w:val="center"/>
          </w:tcPr>
          <w:p w14:paraId="6F4D0422">
            <w:pPr>
              <w:spacing w:line="4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其他</w:t>
            </w:r>
          </w:p>
        </w:tc>
        <w:tc>
          <w:tcPr>
            <w:tcW w:w="1943" w:type="dxa"/>
            <w:vAlign w:val="center"/>
          </w:tcPr>
          <w:p w14:paraId="05DC26A7">
            <w:pPr>
              <w:spacing w:line="400" w:lineRule="exact"/>
              <w:jc w:val="center"/>
              <w:rPr>
                <w:rFonts w:hint="eastAsia" w:ascii="宋体" w:hAnsi="宋体"/>
                <w:color w:val="000000" w:themeColor="text1"/>
                <w:szCs w:val="21"/>
                <w14:textFill>
                  <w14:solidFill>
                    <w14:schemeClr w14:val="tx1"/>
                  </w14:solidFill>
                </w14:textFill>
              </w:rPr>
            </w:pPr>
          </w:p>
        </w:tc>
        <w:tc>
          <w:tcPr>
            <w:tcW w:w="6257" w:type="dxa"/>
          </w:tcPr>
          <w:p w14:paraId="67AAC009">
            <w:pPr>
              <w:spacing w:line="400" w:lineRule="exact"/>
              <w:ind w:firstLine="420" w:firstLineChars="200"/>
              <w:rPr>
                <w:rFonts w:hint="eastAsia" w:ascii="宋体" w:hAnsi="宋体"/>
                <w:iCs/>
                <w:color w:val="000000" w:themeColor="text1"/>
                <w:szCs w:val="21"/>
                <w14:textFill>
                  <w14:solidFill>
                    <w14:schemeClr w14:val="tx1"/>
                  </w14:solidFill>
                </w14:textFill>
              </w:rPr>
            </w:pPr>
            <w:r>
              <w:rPr>
                <w:rFonts w:hint="eastAsia" w:ascii="宋体" w:hAnsi="宋体"/>
                <w:iCs/>
                <w:color w:val="000000" w:themeColor="text1"/>
                <w:szCs w:val="21"/>
                <w14:textFill>
                  <w14:solidFill>
                    <w14:schemeClr w14:val="tx1"/>
                  </w14:solidFill>
                </w14:textFill>
              </w:rPr>
              <w:t>无</w:t>
            </w:r>
          </w:p>
        </w:tc>
      </w:tr>
    </w:tbl>
    <w:p w14:paraId="32CE4C0D">
      <w:pPr>
        <w:pStyle w:val="33"/>
        <w:spacing w:line="360" w:lineRule="auto"/>
        <w:ind w:firstLine="420" w:firstLineChars="200"/>
        <w:jc w:val="both"/>
        <w:rPr>
          <w:rFonts w:hint="eastAsia" w:ascii="宋体" w:hAnsi="宋体"/>
          <w:color w:val="000000" w:themeColor="text1"/>
          <w:sz w:val="21"/>
          <w:szCs w:val="21"/>
          <w:u w:val="none"/>
          <w:lang w:eastAsia="zh-CN"/>
          <w14:textFill>
            <w14:solidFill>
              <w14:schemeClr w14:val="tx1"/>
            </w14:solidFill>
          </w14:textFill>
        </w:rPr>
      </w:pPr>
    </w:p>
    <w:p w14:paraId="69CABC43">
      <w:pPr>
        <w:pStyle w:val="33"/>
        <w:spacing w:line="360" w:lineRule="auto"/>
        <w:ind w:firstLine="420" w:firstLineChars="200"/>
        <w:jc w:val="both"/>
        <w:rPr>
          <w:rFonts w:hint="eastAsia" w:ascii="宋体" w:hAnsi="宋体"/>
          <w:color w:val="000000" w:themeColor="text1"/>
          <w:sz w:val="21"/>
          <w:szCs w:val="21"/>
          <w:u w:val="none"/>
          <w:lang w:eastAsia="zh-CN"/>
          <w14:textFill>
            <w14:solidFill>
              <w14:schemeClr w14:val="tx1"/>
            </w14:solidFill>
          </w14:textFill>
        </w:rPr>
      </w:pPr>
    </w:p>
    <w:p w14:paraId="51323CAD">
      <w:pPr>
        <w:pStyle w:val="33"/>
        <w:spacing w:line="360" w:lineRule="auto"/>
        <w:jc w:val="both"/>
        <w:rPr>
          <w:rFonts w:hint="eastAsia" w:ascii="宋体" w:hAnsi="宋体"/>
          <w:color w:val="000000" w:themeColor="text1"/>
          <w:sz w:val="21"/>
          <w:szCs w:val="21"/>
          <w:u w:val="none"/>
          <w:lang w:eastAsia="zh-CN"/>
          <w14:textFill>
            <w14:solidFill>
              <w14:schemeClr w14:val="tx1"/>
            </w14:solidFill>
          </w14:textFill>
        </w:rPr>
      </w:pPr>
    </w:p>
    <w:p w14:paraId="09054626">
      <w:pPr>
        <w:spacing w:line="200" w:lineRule="exact"/>
        <w:rPr>
          <w:rFonts w:hint="eastAsia" w:ascii="宋体" w:hAnsi="宋体"/>
          <w:color w:val="000000" w:themeColor="text1"/>
          <w:kern w:val="0"/>
          <w14:textFill>
            <w14:solidFill>
              <w14:schemeClr w14:val="tx1"/>
            </w14:solidFill>
          </w14:textFill>
        </w:rPr>
      </w:pPr>
      <w:r>
        <w:rPr>
          <w:rFonts w:ascii="宋体" w:hAnsi="宋体"/>
          <w:snapToGrid w:val="0"/>
          <w:color w:val="000000" w:themeColor="text1"/>
          <w:kern w:val="0"/>
          <w14:textFill>
            <w14:solidFill>
              <w14:schemeClr w14:val="tx1"/>
            </w14:solidFill>
          </w14:textFill>
        </w:rPr>
        <w:br w:type="page"/>
      </w:r>
      <w:bookmarkStart w:id="619" w:name="招标文件03章02评标办法综合评估法"/>
      <w:bookmarkEnd w:id="619"/>
      <w:bookmarkStart w:id="620" w:name="招标文件03章02评标办法综合评估法00"/>
      <w:bookmarkEnd w:id="620"/>
      <w:bookmarkStart w:id="621" w:name="_Toc200513198"/>
      <w:bookmarkStart w:id="622" w:name="_Toc224103384"/>
      <w:bookmarkStart w:id="623" w:name="_Toc287607812"/>
      <w:bookmarkStart w:id="624" w:name="_Toc277082618"/>
      <w:bookmarkStart w:id="625" w:name="_Toc430530500"/>
      <w:bookmarkStart w:id="626" w:name="_Toc287620751"/>
    </w:p>
    <w:bookmarkEnd w:id="621"/>
    <w:bookmarkEnd w:id="622"/>
    <w:bookmarkEnd w:id="623"/>
    <w:bookmarkEnd w:id="624"/>
    <w:bookmarkEnd w:id="625"/>
    <w:bookmarkEnd w:id="626"/>
    <w:p w14:paraId="3BDB48E2">
      <w:pPr>
        <w:pStyle w:val="3"/>
        <w:spacing w:before="0" w:line="360" w:lineRule="auto"/>
        <w:jc w:val="center"/>
        <w:rPr>
          <w:rFonts w:hint="eastAsia" w:ascii="宋体" w:hAnsi="宋体"/>
          <w:color w:val="000000" w:themeColor="text1"/>
          <w:kern w:val="0"/>
          <w14:textFill>
            <w14:solidFill>
              <w14:schemeClr w14:val="tx1"/>
            </w14:solidFill>
          </w14:textFill>
        </w:rPr>
      </w:pPr>
      <w:bookmarkStart w:id="627" w:name="_Toc509218785"/>
      <w:bookmarkStart w:id="628" w:name="_Toc430530509"/>
      <w:bookmarkStart w:id="629" w:name="_Toc226115589"/>
      <w:bookmarkStart w:id="630" w:name="_Toc16689"/>
      <w:r>
        <w:rPr>
          <w:rFonts w:hint="eastAsia" w:ascii="宋体" w:hAnsi="宋体"/>
          <w:color w:val="000000" w:themeColor="text1"/>
          <w:kern w:val="0"/>
          <w14:textFill>
            <w14:solidFill>
              <w14:schemeClr w14:val="tx1"/>
            </w14:solidFill>
          </w14:textFill>
        </w:rPr>
        <w:t>第四章  合同条款及格式</w:t>
      </w:r>
      <w:bookmarkEnd w:id="627"/>
      <w:bookmarkEnd w:id="628"/>
      <w:bookmarkEnd w:id="629"/>
      <w:bookmarkEnd w:id="630"/>
    </w:p>
    <w:p w14:paraId="3C25024E">
      <w:pPr>
        <w:rPr>
          <w:rFonts w:hint="eastAsia" w:ascii="宋体" w:hAnsi="宋体"/>
          <w:color w:val="000000" w:themeColor="text1"/>
          <w:sz w:val="44"/>
          <w:szCs w:val="44"/>
          <w14:textFill>
            <w14:solidFill>
              <w14:schemeClr w14:val="tx1"/>
            </w14:solidFill>
          </w14:textFill>
        </w:rPr>
      </w:pPr>
      <w:r>
        <w:rPr>
          <w:rFonts w:ascii="宋体" w:hAnsi="宋体"/>
          <w:color w:val="000000" w:themeColor="text1"/>
          <w14:textFill>
            <w14:solidFill>
              <w14:schemeClr w14:val="tx1"/>
            </w14:solidFill>
          </w14:textFill>
        </w:rPr>
        <w:br w:type="page"/>
      </w:r>
      <w:bookmarkStart w:id="631" w:name="_Toc351203480"/>
      <w:bookmarkStart w:id="632" w:name="_Toc296503025"/>
      <w:bookmarkStart w:id="633" w:name="_Toc296890982"/>
    </w:p>
    <w:p w14:paraId="6B224EE1">
      <w:pPr>
        <w:spacing w:line="360" w:lineRule="auto"/>
        <w:jc w:val="center"/>
        <w:rPr>
          <w:rFonts w:hint="eastAsia"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第一部分 合同协议书</w:t>
      </w:r>
    </w:p>
    <w:p w14:paraId="2BBBB0E3">
      <w:pPr>
        <w:pStyle w:val="123"/>
        <w:snapToGrid w:val="0"/>
        <w:spacing w:before="0" w:line="360" w:lineRule="auto"/>
        <w:ind w:firstLine="560" w:firstLineChars="200"/>
        <w:rPr>
          <w:rFonts w:hint="eastAsia" w:ascii="宋体" w:hAnsi="宋体"/>
          <w:color w:val="000000" w:themeColor="text1"/>
          <w14:textFill>
            <w14:solidFill>
              <w14:schemeClr w14:val="tx1"/>
            </w14:solidFill>
          </w14:textFill>
        </w:rPr>
      </w:pPr>
    </w:p>
    <w:p w14:paraId="12929DAD">
      <w:pPr>
        <w:rPr>
          <w:rFonts w:hint="eastAsia" w:ascii="宋体" w:hAnsi="宋体"/>
          <w:b/>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766A0E6B">
      <w:pPr>
        <w:pStyle w:val="5"/>
        <w:spacing w:before="0"/>
        <w:jc w:val="center"/>
        <w:rPr>
          <w:rFonts w:hint="eastAsia" w:ascii="宋体" w:hAnsi="宋体"/>
          <w:b w:val="0"/>
          <w:color w:val="000000" w:themeColor="text1"/>
          <w:sz w:val="44"/>
          <w:szCs w:val="44"/>
          <w14:textFill>
            <w14:solidFill>
              <w14:schemeClr w14:val="tx1"/>
            </w14:solidFill>
          </w14:textFill>
        </w:rPr>
      </w:pPr>
      <w:bookmarkStart w:id="634" w:name="_Toc509218786"/>
      <w:bookmarkStart w:id="635" w:name="_Toc226115590"/>
      <w:bookmarkStart w:id="636" w:name="_Toc11406"/>
      <w:bookmarkStart w:id="637" w:name="_Toc534185765"/>
      <w:bookmarkStart w:id="638" w:name="_Toc351203494"/>
      <w:bookmarkStart w:id="639" w:name="_Toc351203632"/>
      <w:r>
        <w:rPr>
          <w:rFonts w:ascii="宋体" w:hAnsi="宋体"/>
          <w:color w:val="000000" w:themeColor="text1"/>
          <w:sz w:val="44"/>
          <w:szCs w:val="44"/>
          <w14:textFill>
            <w14:solidFill>
              <w14:schemeClr w14:val="tx1"/>
            </w14:solidFill>
          </w14:textFill>
        </w:rPr>
        <w:t>第一部分 合同协议书</w:t>
      </w:r>
      <w:bookmarkEnd w:id="634"/>
      <w:bookmarkEnd w:id="635"/>
      <w:bookmarkEnd w:id="636"/>
      <w:bookmarkEnd w:id="637"/>
    </w:p>
    <w:bookmarkEnd w:id="638"/>
    <w:p w14:paraId="7203A0B0">
      <w:pPr>
        <w:snapToGrid w:val="0"/>
        <w:spacing w:line="360" w:lineRule="auto"/>
        <w:ind w:firstLine="420" w:firstLineChars="200"/>
        <w:rPr>
          <w:rFonts w:hint="eastAsia" w:ascii="宋体" w:hAnsi="宋体"/>
          <w:b/>
          <w:color w:val="000000" w:themeColor="text1"/>
          <w:szCs w:val="21"/>
          <w:u w:val="single"/>
          <w14:textFill>
            <w14:solidFill>
              <w14:schemeClr w14:val="tx1"/>
            </w14:solidFill>
          </w14:textFill>
        </w:rPr>
      </w:pPr>
      <w:r>
        <w:rPr>
          <w:rFonts w:hint="eastAsia" w:ascii="宋体" w:hAnsi="宋体"/>
          <w:b/>
          <w:color w:val="000000" w:themeColor="text1"/>
          <w:szCs w:val="21"/>
          <w14:textFill>
            <w14:solidFill>
              <w14:schemeClr w14:val="tx1"/>
            </w14:solidFill>
          </w14:textFill>
        </w:rPr>
        <w:t>发包人（全称）：</w:t>
      </w:r>
      <w:r>
        <w:rPr>
          <w:rFonts w:hint="eastAsia" w:ascii="宋体" w:hAnsi="宋体"/>
          <w:color w:val="000000" w:themeColor="text1"/>
          <w:szCs w:val="21"/>
          <w:u w:val="single"/>
          <w14:textFill>
            <w14:solidFill>
              <w14:schemeClr w14:val="tx1"/>
            </w14:solidFill>
          </w14:textFill>
        </w:rPr>
        <w:t xml:space="preserve">                                 </w:t>
      </w:r>
    </w:p>
    <w:p w14:paraId="54A89E88">
      <w:pPr>
        <w:snapToGrid w:val="0"/>
        <w:spacing w:line="360" w:lineRule="auto"/>
        <w:ind w:firstLine="420" w:firstLineChars="200"/>
        <w:rPr>
          <w:rFonts w:hint="eastAsia" w:ascii="宋体" w:hAnsi="宋体"/>
          <w:b/>
          <w:color w:val="000000" w:themeColor="text1"/>
          <w:szCs w:val="21"/>
          <w:u w:val="single"/>
          <w14:textFill>
            <w14:solidFill>
              <w14:schemeClr w14:val="tx1"/>
            </w14:solidFill>
          </w14:textFill>
        </w:rPr>
      </w:pPr>
      <w:r>
        <w:rPr>
          <w:rFonts w:hint="eastAsia" w:ascii="宋体" w:hAnsi="宋体"/>
          <w:b/>
          <w:color w:val="000000" w:themeColor="text1"/>
          <w:szCs w:val="21"/>
          <w14:textFill>
            <w14:solidFill>
              <w14:schemeClr w14:val="tx1"/>
            </w14:solidFill>
          </w14:textFill>
        </w:rPr>
        <w:t>承包人（全称）：</w:t>
      </w:r>
      <w:r>
        <w:rPr>
          <w:rFonts w:hint="eastAsia" w:ascii="宋体" w:hAnsi="宋体"/>
          <w:color w:val="000000" w:themeColor="text1"/>
          <w:szCs w:val="21"/>
          <w:u w:val="single"/>
          <w14:textFill>
            <w14:solidFill>
              <w14:schemeClr w14:val="tx1"/>
            </w14:solidFill>
          </w14:textFill>
        </w:rPr>
        <w:t xml:space="preserve">                                 </w:t>
      </w:r>
    </w:p>
    <w:p w14:paraId="077C7BDD">
      <w:pPr>
        <w:spacing w:line="360" w:lineRule="auto"/>
        <w:ind w:firstLine="420" w:firstLineChars="200"/>
        <w:rPr>
          <w:rFonts w:hint="eastAsia" w:ascii="宋体" w:hAnsi="宋体"/>
          <w:b/>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根据《中华人民共和国民法典》、《中华人民共和国建筑法》及有关法律、法规规定，遵循平等、自愿、公平和诚实信用的原则，双方就</w:t>
      </w:r>
      <w:r>
        <w:rPr>
          <w:rFonts w:hint="eastAsia"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工程施工及有关事项协商一致，共同达成如下协议：</w:t>
      </w:r>
    </w:p>
    <w:p w14:paraId="693EB44C">
      <w:pPr>
        <w:pStyle w:val="6"/>
        <w:keepNext/>
        <w:keepLines/>
        <w:spacing w:before="0" w:beforeAutospacing="0" w:after="0" w:afterAutospacing="0" w:line="360" w:lineRule="auto"/>
        <w:ind w:firstLine="420" w:firstLineChars="200"/>
        <w:jc w:val="both"/>
        <w:rPr>
          <w:rFonts w:hint="eastAsia"/>
          <w:color w:val="000000" w:themeColor="text1"/>
          <w:kern w:val="2"/>
          <w:sz w:val="21"/>
          <w:szCs w:val="21"/>
          <w14:textFill>
            <w14:solidFill>
              <w14:schemeClr w14:val="tx1"/>
            </w14:solidFill>
          </w14:textFill>
        </w:rPr>
      </w:pPr>
      <w:bookmarkStart w:id="640" w:name="_Toc532375573"/>
      <w:bookmarkStart w:id="641" w:name="_Toc351203481"/>
      <w:bookmarkStart w:id="642" w:name="_Toc532377166"/>
      <w:r>
        <w:rPr>
          <w:rFonts w:hint="eastAsia"/>
          <w:color w:val="000000" w:themeColor="text1"/>
          <w:kern w:val="2"/>
          <w:sz w:val="21"/>
          <w:szCs w:val="21"/>
          <w14:textFill>
            <w14:solidFill>
              <w14:schemeClr w14:val="tx1"/>
            </w14:solidFill>
          </w14:textFill>
        </w:rPr>
        <w:t>一、工程概况</w:t>
      </w:r>
      <w:bookmarkEnd w:id="640"/>
      <w:bookmarkEnd w:id="641"/>
      <w:bookmarkEnd w:id="642"/>
    </w:p>
    <w:p w14:paraId="0AB3BE41">
      <w:pPr>
        <w:snapToGrid w:val="0"/>
        <w:spacing w:line="360"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1.工程名称</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4C4D856F">
      <w:pPr>
        <w:snapToGrid w:val="0"/>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2.工程地点：</w:t>
      </w:r>
      <w:r>
        <w:rPr>
          <w:rFonts w:hint="eastAsia"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79667B09">
      <w:pPr>
        <w:snapToGrid w:val="0"/>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3.工程立项批准文号：</w:t>
      </w:r>
      <w:r>
        <w:rPr>
          <w:rFonts w:hint="eastAsia" w:ascii="宋体" w:hAnsi="宋体"/>
          <w:color w:val="000000" w:themeColor="text1"/>
          <w:szCs w:val="21"/>
          <w:u w:val="single"/>
          <w14:textFill>
            <w14:solidFill>
              <w14:schemeClr w14:val="tx1"/>
            </w14:solidFill>
          </w14:textFill>
        </w:rPr>
        <w:t xml:space="preserve">                        </w:t>
      </w:r>
      <w:r>
        <w:rPr>
          <w:rFonts w:hint="eastAsia" w:ascii="宋体" w:hAnsi="宋体"/>
          <w:bCs/>
          <w:color w:val="000000" w:themeColor="text1"/>
          <w:szCs w:val="21"/>
          <w14:textFill>
            <w14:solidFill>
              <w14:schemeClr w14:val="tx1"/>
            </w14:solidFill>
          </w14:textFill>
        </w:rPr>
        <w:t>。</w:t>
      </w:r>
    </w:p>
    <w:p w14:paraId="344ABCEC">
      <w:pPr>
        <w:snapToGrid w:val="0"/>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4.资金来源：</w:t>
      </w:r>
      <w:r>
        <w:rPr>
          <w:rFonts w:hint="eastAsia"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771A3F21">
      <w:pPr>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5.工程内容：</w:t>
      </w:r>
      <w:r>
        <w:rPr>
          <w:rFonts w:hint="eastAsia"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065C59AB">
      <w:pPr>
        <w:snapToGrid w:val="0"/>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群体工程应附《承包人承揽工程项目一览表》（附件1）。</w:t>
      </w:r>
    </w:p>
    <w:p w14:paraId="7B295FB5">
      <w:pPr>
        <w:snapToGrid w:val="0"/>
        <w:spacing w:line="360" w:lineRule="auto"/>
        <w:ind w:firstLine="420" w:firstLineChars="200"/>
        <w:jc w:val="lef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6.工程承包范围：</w:t>
      </w:r>
      <w:r>
        <w:rPr>
          <w:rFonts w:hint="eastAsia"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731B01F3">
      <w:pPr>
        <w:pStyle w:val="6"/>
        <w:keepNext/>
        <w:keepLines/>
        <w:spacing w:before="0" w:beforeAutospacing="0" w:after="0" w:afterAutospacing="0" w:line="360" w:lineRule="auto"/>
        <w:ind w:firstLine="420" w:firstLineChars="200"/>
        <w:jc w:val="both"/>
        <w:rPr>
          <w:rFonts w:hint="eastAsia"/>
          <w:color w:val="000000" w:themeColor="text1"/>
          <w:kern w:val="2"/>
          <w:sz w:val="21"/>
          <w:szCs w:val="21"/>
          <w14:textFill>
            <w14:solidFill>
              <w14:schemeClr w14:val="tx1"/>
            </w14:solidFill>
          </w14:textFill>
        </w:rPr>
      </w:pPr>
      <w:bookmarkStart w:id="643" w:name="_Toc351203482"/>
      <w:bookmarkStart w:id="644" w:name="_Toc532375574"/>
      <w:bookmarkStart w:id="645" w:name="_Toc532377167"/>
      <w:r>
        <w:rPr>
          <w:rFonts w:hint="eastAsia"/>
          <w:color w:val="000000" w:themeColor="text1"/>
          <w:kern w:val="2"/>
          <w:sz w:val="21"/>
          <w:szCs w:val="21"/>
          <w14:textFill>
            <w14:solidFill>
              <w14:schemeClr w14:val="tx1"/>
            </w14:solidFill>
          </w14:textFill>
        </w:rPr>
        <w:t>二、合同工期</w:t>
      </w:r>
      <w:bookmarkEnd w:id="643"/>
      <w:bookmarkEnd w:id="644"/>
      <w:bookmarkEnd w:id="645"/>
    </w:p>
    <w:p w14:paraId="4B584E8F">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计划开工日期：</w:t>
      </w:r>
      <w:r>
        <w:rPr>
          <w:rFonts w:hint="eastAsia" w:ascii="宋体" w:hAnsi="宋体"/>
          <w:bCs/>
          <w:color w:val="000000" w:themeColor="text1"/>
          <w:szCs w:val="21"/>
          <w:u w:val="single"/>
          <w14:textFill>
            <w14:solidFill>
              <w14:schemeClr w14:val="tx1"/>
            </w14:solidFill>
          </w14:textFill>
        </w:rPr>
        <w:t></w:t>
      </w:r>
      <w:r>
        <w:rPr>
          <w:rFonts w:hint="eastAsia" w:ascii="宋体" w:hAnsi="宋体"/>
          <w:bCs/>
          <w:color w:val="000000" w:themeColor="text1"/>
          <w:szCs w:val="21"/>
          <w14:textFill>
            <w14:solidFill>
              <w14:schemeClr w14:val="tx1"/>
            </w14:solidFill>
          </w14:textFill>
        </w:rPr>
        <w:t>年</w:t>
      </w:r>
      <w:r>
        <w:rPr>
          <w:rFonts w:hint="eastAsia" w:ascii="宋体" w:hAnsi="宋体"/>
          <w:bCs/>
          <w:color w:val="000000" w:themeColor="text1"/>
          <w:szCs w:val="21"/>
          <w:u w:val="single"/>
          <w14:textFill>
            <w14:solidFill>
              <w14:schemeClr w14:val="tx1"/>
            </w14:solidFill>
          </w14:textFill>
        </w:rPr>
        <w:t></w:t>
      </w:r>
      <w:r>
        <w:rPr>
          <w:rFonts w:hint="eastAsia" w:ascii="宋体" w:hAnsi="宋体"/>
          <w:bCs/>
          <w:color w:val="000000" w:themeColor="text1"/>
          <w:szCs w:val="21"/>
          <w14:textFill>
            <w14:solidFill>
              <w14:schemeClr w14:val="tx1"/>
            </w14:solidFill>
          </w14:textFill>
        </w:rPr>
        <w:t>月</w:t>
      </w:r>
      <w:r>
        <w:rPr>
          <w:rFonts w:hint="eastAsia" w:ascii="宋体" w:hAnsi="宋体"/>
          <w:bCs/>
          <w:color w:val="000000" w:themeColor="text1"/>
          <w:szCs w:val="21"/>
          <w:u w:val="single"/>
          <w14:textFill>
            <w14:solidFill>
              <w14:schemeClr w14:val="tx1"/>
            </w14:solidFill>
          </w14:textFill>
        </w:rPr>
        <w:t></w:t>
      </w:r>
      <w:r>
        <w:rPr>
          <w:rFonts w:hint="eastAsia" w:ascii="宋体" w:hAnsi="宋体"/>
          <w:bCs/>
          <w:color w:val="000000" w:themeColor="text1"/>
          <w:szCs w:val="21"/>
          <w14:textFill>
            <w14:solidFill>
              <w14:schemeClr w14:val="tx1"/>
            </w14:solidFill>
          </w14:textFill>
        </w:rPr>
        <w:t>日。</w:t>
      </w:r>
    </w:p>
    <w:p w14:paraId="227C4FF9">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计划竣工日期：</w:t>
      </w:r>
      <w:r>
        <w:rPr>
          <w:rFonts w:hint="eastAsia" w:ascii="宋体" w:hAnsi="宋体"/>
          <w:bCs/>
          <w:color w:val="000000" w:themeColor="text1"/>
          <w:szCs w:val="21"/>
          <w:u w:val="single"/>
          <w14:textFill>
            <w14:solidFill>
              <w14:schemeClr w14:val="tx1"/>
            </w14:solidFill>
          </w14:textFill>
        </w:rPr>
        <w:t></w:t>
      </w:r>
      <w:r>
        <w:rPr>
          <w:rFonts w:hint="eastAsia" w:ascii="宋体" w:hAnsi="宋体"/>
          <w:bCs/>
          <w:color w:val="000000" w:themeColor="text1"/>
          <w:szCs w:val="21"/>
          <w14:textFill>
            <w14:solidFill>
              <w14:schemeClr w14:val="tx1"/>
            </w14:solidFill>
          </w14:textFill>
        </w:rPr>
        <w:t>年</w:t>
      </w:r>
      <w:r>
        <w:rPr>
          <w:rFonts w:hint="eastAsia" w:ascii="宋体" w:hAnsi="宋体"/>
          <w:bCs/>
          <w:color w:val="000000" w:themeColor="text1"/>
          <w:szCs w:val="21"/>
          <w:u w:val="single"/>
          <w14:textFill>
            <w14:solidFill>
              <w14:schemeClr w14:val="tx1"/>
            </w14:solidFill>
          </w14:textFill>
        </w:rPr>
        <w:t></w:t>
      </w:r>
      <w:r>
        <w:rPr>
          <w:rFonts w:hint="eastAsia" w:ascii="宋体" w:hAnsi="宋体"/>
          <w:bCs/>
          <w:color w:val="000000" w:themeColor="text1"/>
          <w:szCs w:val="21"/>
          <w14:textFill>
            <w14:solidFill>
              <w14:schemeClr w14:val="tx1"/>
            </w14:solidFill>
          </w14:textFill>
        </w:rPr>
        <w:t>月</w:t>
      </w:r>
      <w:r>
        <w:rPr>
          <w:rFonts w:hint="eastAsia" w:ascii="宋体" w:hAnsi="宋体"/>
          <w:bCs/>
          <w:color w:val="000000" w:themeColor="text1"/>
          <w:szCs w:val="21"/>
          <w:u w:val="single"/>
          <w14:textFill>
            <w14:solidFill>
              <w14:schemeClr w14:val="tx1"/>
            </w14:solidFill>
          </w14:textFill>
        </w:rPr>
        <w:t></w:t>
      </w:r>
      <w:r>
        <w:rPr>
          <w:rFonts w:hint="eastAsia" w:ascii="宋体" w:hAnsi="宋体"/>
          <w:bCs/>
          <w:color w:val="000000" w:themeColor="text1"/>
          <w:szCs w:val="21"/>
          <w14:textFill>
            <w14:solidFill>
              <w14:schemeClr w14:val="tx1"/>
            </w14:solidFill>
          </w14:textFill>
        </w:rPr>
        <w:t>日。</w:t>
      </w:r>
    </w:p>
    <w:p w14:paraId="251451D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工期总日历天数</w:t>
      </w:r>
      <w:r>
        <w:rPr>
          <w:rFonts w:hint="eastAsia" w:ascii="宋体" w:hAnsi="宋体"/>
          <w:bCs/>
          <w:color w:val="000000" w:themeColor="text1"/>
          <w:szCs w:val="21"/>
          <w:u w:val="single"/>
          <w14:textFill>
            <w14:solidFill>
              <w14:schemeClr w14:val="tx1"/>
            </w14:solidFill>
          </w14:textFill>
        </w:rPr>
        <w:t></w:t>
      </w:r>
      <w:r>
        <w:rPr>
          <w:rFonts w:hint="eastAsia" w:ascii="宋体" w:hAnsi="宋体"/>
          <w:bCs/>
          <w:color w:val="000000" w:themeColor="text1"/>
          <w:szCs w:val="21"/>
          <w14:textFill>
            <w14:solidFill>
              <w14:schemeClr w14:val="tx1"/>
            </w14:solidFill>
          </w14:textFill>
        </w:rPr>
        <w:t>天。工期总日历天数与根据前述计划开竣工日期计算的工期天数不一</w:t>
      </w:r>
      <w:r>
        <w:rPr>
          <w:rFonts w:hint="eastAsia" w:ascii="宋体" w:hAnsi="宋体"/>
          <w:color w:val="000000" w:themeColor="text1"/>
          <w:szCs w:val="21"/>
          <w14:textFill>
            <w14:solidFill>
              <w14:schemeClr w14:val="tx1"/>
            </w14:solidFill>
          </w14:textFill>
        </w:rPr>
        <w:t>致的，以工期总日历天数为准。</w:t>
      </w:r>
    </w:p>
    <w:p w14:paraId="7597B163">
      <w:pPr>
        <w:pStyle w:val="6"/>
        <w:keepNext/>
        <w:keepLines/>
        <w:spacing w:before="0" w:beforeAutospacing="0" w:after="0" w:afterAutospacing="0" w:line="360" w:lineRule="auto"/>
        <w:ind w:firstLine="420" w:firstLineChars="200"/>
        <w:jc w:val="both"/>
        <w:rPr>
          <w:rFonts w:hint="eastAsia"/>
          <w:color w:val="000000" w:themeColor="text1"/>
          <w:kern w:val="2"/>
          <w:sz w:val="21"/>
          <w:szCs w:val="21"/>
          <w14:textFill>
            <w14:solidFill>
              <w14:schemeClr w14:val="tx1"/>
            </w14:solidFill>
          </w14:textFill>
        </w:rPr>
      </w:pPr>
      <w:bookmarkStart w:id="646" w:name="_Toc532377168"/>
      <w:bookmarkStart w:id="647" w:name="_Toc532375575"/>
      <w:bookmarkStart w:id="648" w:name="_Toc351203483"/>
      <w:r>
        <w:rPr>
          <w:rFonts w:hint="eastAsia"/>
          <w:color w:val="000000" w:themeColor="text1"/>
          <w:kern w:val="2"/>
          <w:sz w:val="21"/>
          <w:szCs w:val="21"/>
          <w14:textFill>
            <w14:solidFill>
              <w14:schemeClr w14:val="tx1"/>
            </w14:solidFill>
          </w14:textFill>
        </w:rPr>
        <w:t>三、质量标准</w:t>
      </w:r>
      <w:bookmarkEnd w:id="646"/>
      <w:bookmarkEnd w:id="647"/>
      <w:bookmarkEnd w:id="648"/>
    </w:p>
    <w:p w14:paraId="0EF85DBA">
      <w:pPr>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工程质量符合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标准。</w:t>
      </w:r>
    </w:p>
    <w:p w14:paraId="1E685F49">
      <w:pPr>
        <w:pStyle w:val="6"/>
        <w:keepNext/>
        <w:keepLines/>
        <w:spacing w:before="0" w:beforeAutospacing="0" w:after="0" w:afterAutospacing="0" w:line="360" w:lineRule="auto"/>
        <w:ind w:firstLine="420" w:firstLineChars="200"/>
        <w:jc w:val="both"/>
        <w:rPr>
          <w:rFonts w:hint="eastAsia"/>
          <w:color w:val="000000" w:themeColor="text1"/>
          <w:kern w:val="2"/>
          <w:sz w:val="21"/>
          <w:szCs w:val="21"/>
          <w14:textFill>
            <w14:solidFill>
              <w14:schemeClr w14:val="tx1"/>
            </w14:solidFill>
          </w14:textFill>
        </w:rPr>
      </w:pPr>
      <w:bookmarkStart w:id="649" w:name="_Toc532377169"/>
      <w:bookmarkStart w:id="650" w:name="_Toc532375576"/>
      <w:bookmarkStart w:id="651" w:name="_Toc351203484"/>
      <w:r>
        <w:rPr>
          <w:rFonts w:hint="eastAsia"/>
          <w:color w:val="000000" w:themeColor="text1"/>
          <w:kern w:val="2"/>
          <w:sz w:val="21"/>
          <w:szCs w:val="21"/>
          <w14:textFill>
            <w14:solidFill>
              <w14:schemeClr w14:val="tx1"/>
            </w14:solidFill>
          </w14:textFill>
        </w:rPr>
        <w:t>四、签约合同价与合同价格形式</w:t>
      </w:r>
      <w:bookmarkEnd w:id="649"/>
      <w:bookmarkEnd w:id="650"/>
      <w:bookmarkEnd w:id="651"/>
      <w:r>
        <w:rPr>
          <w:rFonts w:hint="eastAsia"/>
          <w:color w:val="000000" w:themeColor="text1"/>
          <w:kern w:val="2"/>
          <w:sz w:val="21"/>
          <w:szCs w:val="21"/>
          <w14:textFill>
            <w14:solidFill>
              <w14:schemeClr w14:val="tx1"/>
            </w14:solidFill>
          </w14:textFill>
        </w:rPr>
        <w:tab/>
      </w:r>
    </w:p>
    <w:p w14:paraId="0AD6EC7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1.签约合同价为：</w:t>
      </w:r>
    </w:p>
    <w:p w14:paraId="3C1E30D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人民币（大写）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w:t>
      </w:r>
    </w:p>
    <w:p w14:paraId="52F5521E">
      <w:pPr>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其中：</w:t>
      </w:r>
    </w:p>
    <w:p w14:paraId="0C15B70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（1）安全文明施工费：</w:t>
      </w:r>
    </w:p>
    <w:p w14:paraId="7B2418B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人民币（大写）</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元）</w:t>
      </w:r>
      <w:r>
        <w:rPr>
          <w:rFonts w:hint="eastAsia" w:ascii="宋体" w:hAnsi="宋体"/>
          <w:color w:val="000000" w:themeColor="text1"/>
          <w:szCs w:val="21"/>
          <w14:textFill>
            <w14:solidFill>
              <w14:schemeClr w14:val="tx1"/>
            </w14:solidFill>
          </w14:textFill>
        </w:rPr>
        <w:t>；</w:t>
      </w:r>
    </w:p>
    <w:p w14:paraId="337AFAA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（2）材料和工程设备暂估价金额：</w:t>
      </w:r>
    </w:p>
    <w:p w14:paraId="7A84969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人民币（大写）</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元）</w:t>
      </w:r>
      <w:r>
        <w:rPr>
          <w:rFonts w:hint="eastAsia" w:ascii="宋体" w:hAnsi="宋体"/>
          <w:color w:val="000000" w:themeColor="text1"/>
          <w:szCs w:val="21"/>
          <w14:textFill>
            <w14:solidFill>
              <w14:schemeClr w14:val="tx1"/>
            </w14:solidFill>
          </w14:textFill>
        </w:rPr>
        <w:t>；</w:t>
      </w:r>
    </w:p>
    <w:p w14:paraId="67123E3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（3）专业工程暂估价金额：</w:t>
      </w:r>
    </w:p>
    <w:p w14:paraId="1E0E77F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人民币（大写）</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元）</w:t>
      </w:r>
      <w:r>
        <w:rPr>
          <w:rFonts w:hint="eastAsia" w:ascii="宋体" w:hAnsi="宋体"/>
          <w:color w:val="000000" w:themeColor="text1"/>
          <w:szCs w:val="21"/>
          <w14:textFill>
            <w14:solidFill>
              <w14:schemeClr w14:val="tx1"/>
            </w14:solidFill>
          </w14:textFill>
        </w:rPr>
        <w:t>；</w:t>
      </w:r>
    </w:p>
    <w:p w14:paraId="2BDB22F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（4）暂列金额：</w:t>
      </w:r>
    </w:p>
    <w:p w14:paraId="22BCCBC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人民币（大写）</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元）</w:t>
      </w:r>
      <w:r>
        <w:rPr>
          <w:rFonts w:hint="eastAsia" w:ascii="宋体" w:hAnsi="宋体"/>
          <w:color w:val="000000" w:themeColor="text1"/>
          <w:szCs w:val="21"/>
          <w14:textFill>
            <w14:solidFill>
              <w14:schemeClr w14:val="tx1"/>
            </w14:solidFill>
          </w14:textFill>
        </w:rPr>
        <w:t>。</w:t>
      </w:r>
    </w:p>
    <w:p w14:paraId="312F8FB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2.合同价格形式：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411BFC48">
      <w:pPr>
        <w:pStyle w:val="6"/>
        <w:keepNext/>
        <w:keepLines/>
        <w:spacing w:before="0" w:beforeAutospacing="0" w:after="0" w:afterAutospacing="0" w:line="360" w:lineRule="auto"/>
        <w:ind w:firstLine="420" w:firstLineChars="200"/>
        <w:jc w:val="both"/>
        <w:rPr>
          <w:rFonts w:hint="eastAsia"/>
          <w:color w:val="000000" w:themeColor="text1"/>
          <w:kern w:val="2"/>
          <w:sz w:val="21"/>
          <w:szCs w:val="21"/>
          <w14:textFill>
            <w14:solidFill>
              <w14:schemeClr w14:val="tx1"/>
            </w14:solidFill>
          </w14:textFill>
        </w:rPr>
      </w:pPr>
      <w:bookmarkStart w:id="652" w:name="_Toc351203485"/>
      <w:bookmarkStart w:id="653" w:name="_Toc532375577"/>
      <w:bookmarkStart w:id="654" w:name="_Toc532377170"/>
      <w:r>
        <w:rPr>
          <w:rFonts w:hint="eastAsia"/>
          <w:color w:val="000000" w:themeColor="text1"/>
          <w:kern w:val="2"/>
          <w:sz w:val="21"/>
          <w:szCs w:val="21"/>
          <w14:textFill>
            <w14:solidFill>
              <w14:schemeClr w14:val="tx1"/>
            </w14:solidFill>
          </w14:textFill>
        </w:rPr>
        <w:t>五、</w:t>
      </w:r>
      <w:bookmarkEnd w:id="652"/>
      <w:r>
        <w:rPr>
          <w:rFonts w:hint="eastAsia"/>
          <w:color w:val="000000" w:themeColor="text1"/>
          <w:kern w:val="2"/>
          <w:sz w:val="21"/>
          <w:szCs w:val="21"/>
          <w14:textFill>
            <w14:solidFill>
              <w14:schemeClr w14:val="tx1"/>
            </w14:solidFill>
          </w14:textFill>
        </w:rPr>
        <w:t>项目经理</w:t>
      </w:r>
      <w:bookmarkEnd w:id="653"/>
      <w:bookmarkEnd w:id="654"/>
    </w:p>
    <w:p w14:paraId="2F773C5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承包人项目经理：</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1A2ADC5B">
      <w:pPr>
        <w:pStyle w:val="6"/>
        <w:keepNext/>
        <w:keepLines/>
        <w:spacing w:before="0" w:beforeAutospacing="0" w:after="0" w:afterAutospacing="0" w:line="360" w:lineRule="auto"/>
        <w:ind w:firstLine="420" w:firstLineChars="200"/>
        <w:jc w:val="both"/>
        <w:rPr>
          <w:rFonts w:hint="eastAsia"/>
          <w:color w:val="000000" w:themeColor="text1"/>
          <w:kern w:val="2"/>
          <w:sz w:val="21"/>
          <w:szCs w:val="21"/>
          <w14:textFill>
            <w14:solidFill>
              <w14:schemeClr w14:val="tx1"/>
            </w14:solidFill>
          </w14:textFill>
        </w:rPr>
      </w:pPr>
      <w:bookmarkStart w:id="655" w:name="_Toc532375578"/>
      <w:bookmarkStart w:id="656" w:name="_Toc532377171"/>
      <w:bookmarkStart w:id="657" w:name="_Toc351203486"/>
      <w:r>
        <w:rPr>
          <w:rFonts w:hint="eastAsia"/>
          <w:color w:val="000000" w:themeColor="text1"/>
          <w:kern w:val="2"/>
          <w:sz w:val="21"/>
          <w:szCs w:val="21"/>
          <w14:textFill>
            <w14:solidFill>
              <w14:schemeClr w14:val="tx1"/>
            </w14:solidFill>
          </w14:textFill>
        </w:rPr>
        <w:t>六、合同文件构成</w:t>
      </w:r>
      <w:bookmarkEnd w:id="655"/>
      <w:bookmarkEnd w:id="656"/>
      <w:bookmarkEnd w:id="657"/>
    </w:p>
    <w:p w14:paraId="49911F8D">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本协议书与下列文件一起构成合同文件：</w:t>
      </w:r>
    </w:p>
    <w:p w14:paraId="1DAF9294">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（1）中标通知书（如果有）；</w:t>
      </w:r>
    </w:p>
    <w:p w14:paraId="0DB95FE4">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（2）投标函及其附录（如果有）； </w:t>
      </w:r>
    </w:p>
    <w:p w14:paraId="18CC4CB4">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（3）专用合同条款及其附件；</w:t>
      </w:r>
    </w:p>
    <w:p w14:paraId="64010B46">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（4）通用合同条款；</w:t>
      </w:r>
    </w:p>
    <w:p w14:paraId="46D8B9CD">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（5）技术标准和要求；</w:t>
      </w:r>
    </w:p>
    <w:p w14:paraId="10CDD09B">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（6）图纸；</w:t>
      </w:r>
    </w:p>
    <w:p w14:paraId="6A1A395F">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（7）已标价工程量清单或预算书；</w:t>
      </w:r>
    </w:p>
    <w:p w14:paraId="3366716D">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（8）其他合同文件。</w:t>
      </w:r>
    </w:p>
    <w:p w14:paraId="322473F0">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在合同订立及履行过程中形成的与合同有关的文件均构成合同文件组成部分。</w:t>
      </w:r>
    </w:p>
    <w:p w14:paraId="74425283">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上述各项合同文件包括合同当事人就该项合同文件所作出的补充和修改，属于同一类内容的文件，应以最新签署的为准。专用合同条款及其附件须经合同当事人签名或盖章。</w:t>
      </w:r>
    </w:p>
    <w:p w14:paraId="70892EC6">
      <w:pPr>
        <w:pStyle w:val="6"/>
        <w:keepNext/>
        <w:keepLines/>
        <w:spacing w:before="0" w:beforeAutospacing="0" w:after="0" w:afterAutospacing="0" w:line="360" w:lineRule="auto"/>
        <w:ind w:firstLine="420" w:firstLineChars="200"/>
        <w:jc w:val="both"/>
        <w:rPr>
          <w:rFonts w:hint="eastAsia"/>
          <w:color w:val="000000" w:themeColor="text1"/>
          <w:kern w:val="2"/>
          <w:sz w:val="21"/>
          <w:szCs w:val="21"/>
          <w14:textFill>
            <w14:solidFill>
              <w14:schemeClr w14:val="tx1"/>
            </w14:solidFill>
          </w14:textFill>
        </w:rPr>
      </w:pPr>
      <w:bookmarkStart w:id="658" w:name="_Toc532375579"/>
      <w:bookmarkStart w:id="659" w:name="_Toc532377172"/>
      <w:bookmarkStart w:id="660" w:name="_Toc351203487"/>
      <w:r>
        <w:rPr>
          <w:rFonts w:hint="eastAsia"/>
          <w:color w:val="000000" w:themeColor="text1"/>
          <w:kern w:val="2"/>
          <w:sz w:val="21"/>
          <w:szCs w:val="21"/>
          <w14:textFill>
            <w14:solidFill>
              <w14:schemeClr w14:val="tx1"/>
            </w14:solidFill>
          </w14:textFill>
        </w:rPr>
        <w:t>七、承诺</w:t>
      </w:r>
      <w:bookmarkEnd w:id="658"/>
      <w:bookmarkEnd w:id="659"/>
      <w:bookmarkEnd w:id="660"/>
    </w:p>
    <w:p w14:paraId="275E53D7">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1.发包人承诺按照法律规定履行项目审批手续、筹集工程建设资金并按照合同约定的期限和方式支付合同价款。</w:t>
      </w:r>
    </w:p>
    <w:p w14:paraId="5B475226">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6238B86C">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3.发包人和承包人通过招投标形式签订合同的，双方理解并承诺不再就同一工程另行签订与合同实质性内容相背离的协议。</w:t>
      </w:r>
    </w:p>
    <w:p w14:paraId="7EEA7F7B">
      <w:pPr>
        <w:pStyle w:val="2"/>
        <w:ind w:firstLine="420" w:firstLineChars="200"/>
        <w:rPr>
          <w:color w:val="000000" w:themeColor="text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w:t>
      </w:r>
      <w:r>
        <w:rPr>
          <w:rFonts w:hint="eastAsia" w:ascii="宋体" w:hAnsi="宋体"/>
          <w:bCs/>
          <w:color w:val="000000" w:themeColor="text1"/>
          <w:szCs w:val="21"/>
          <w14:textFill>
            <w14:solidFill>
              <w14:schemeClr w14:val="tx1"/>
            </w14:solidFill>
          </w14:textFill>
        </w:rPr>
        <w:t>承包人承诺在</w:t>
      </w:r>
      <w:r>
        <w:rPr>
          <w:rFonts w:hint="eastAsia" w:ascii="宋体" w:hAnsi="宋体"/>
          <w:color w:val="000000" w:themeColor="text1"/>
          <w:kern w:val="0"/>
          <w:szCs w:val="21"/>
          <w14:textFill>
            <w14:solidFill>
              <w14:schemeClr w14:val="tx1"/>
            </w14:solidFill>
          </w14:textFill>
        </w:rPr>
        <w:t>本项目在实施过程中，严格执行《保障农民工工资支付条例》（中华人民共和国国务院令第724号）及国家和重庆市现行有关农民工工资支付规定。</w:t>
      </w:r>
    </w:p>
    <w:p w14:paraId="0C8E8DC2">
      <w:pPr>
        <w:pStyle w:val="6"/>
        <w:keepNext/>
        <w:keepLines/>
        <w:spacing w:before="0" w:beforeAutospacing="0" w:after="0" w:afterAutospacing="0" w:line="360" w:lineRule="auto"/>
        <w:ind w:firstLine="420" w:firstLineChars="200"/>
        <w:jc w:val="both"/>
        <w:rPr>
          <w:rFonts w:hint="eastAsia"/>
          <w:color w:val="000000" w:themeColor="text1"/>
          <w:kern w:val="2"/>
          <w:sz w:val="21"/>
          <w:szCs w:val="21"/>
          <w14:textFill>
            <w14:solidFill>
              <w14:schemeClr w14:val="tx1"/>
            </w14:solidFill>
          </w14:textFill>
        </w:rPr>
      </w:pPr>
      <w:bookmarkStart w:id="661" w:name="_Toc532377173"/>
      <w:bookmarkStart w:id="662" w:name="_Toc351203488"/>
      <w:bookmarkStart w:id="663" w:name="_Toc532375580"/>
      <w:r>
        <w:rPr>
          <w:rFonts w:hint="eastAsia"/>
          <w:color w:val="000000" w:themeColor="text1"/>
          <w:kern w:val="2"/>
          <w:sz w:val="21"/>
          <w:szCs w:val="21"/>
          <w14:textFill>
            <w14:solidFill>
              <w14:schemeClr w14:val="tx1"/>
            </w14:solidFill>
          </w14:textFill>
        </w:rPr>
        <w:t>八、词语含义</w:t>
      </w:r>
      <w:bookmarkEnd w:id="661"/>
      <w:bookmarkEnd w:id="662"/>
      <w:bookmarkEnd w:id="663"/>
    </w:p>
    <w:p w14:paraId="3226EB08">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本协议书中词语含义与第二部分通用合同条款中赋予的含义相同。</w:t>
      </w:r>
    </w:p>
    <w:p w14:paraId="52F6D249">
      <w:pPr>
        <w:pStyle w:val="6"/>
        <w:keepNext/>
        <w:keepLines/>
        <w:spacing w:before="0" w:beforeAutospacing="0" w:after="0" w:afterAutospacing="0" w:line="360" w:lineRule="auto"/>
        <w:ind w:firstLine="420" w:firstLineChars="200"/>
        <w:jc w:val="both"/>
        <w:rPr>
          <w:rFonts w:hint="eastAsia"/>
          <w:color w:val="000000" w:themeColor="text1"/>
          <w:kern w:val="2"/>
          <w:sz w:val="21"/>
          <w:szCs w:val="21"/>
          <w14:textFill>
            <w14:solidFill>
              <w14:schemeClr w14:val="tx1"/>
            </w14:solidFill>
          </w14:textFill>
        </w:rPr>
      </w:pPr>
      <w:bookmarkStart w:id="664" w:name="_Toc532375581"/>
      <w:bookmarkStart w:id="665" w:name="_Toc532377174"/>
      <w:r>
        <w:rPr>
          <w:rFonts w:hint="eastAsia"/>
          <w:color w:val="000000" w:themeColor="text1"/>
          <w:kern w:val="2"/>
          <w:sz w:val="21"/>
          <w:szCs w:val="21"/>
          <w14:textFill>
            <w14:solidFill>
              <w14:schemeClr w14:val="tx1"/>
            </w14:solidFill>
          </w14:textFill>
        </w:rPr>
        <w:t>九、违约责任</w:t>
      </w:r>
    </w:p>
    <w:p w14:paraId="1E5FB0B5">
      <w:pPr>
        <w:pStyle w:val="6"/>
        <w:keepNext/>
        <w:keepLines/>
        <w:spacing w:before="0" w:beforeAutospacing="0" w:after="0" w:afterAutospacing="0" w:line="360" w:lineRule="auto"/>
        <w:ind w:firstLine="420" w:firstLineChars="200"/>
        <w:jc w:val="both"/>
        <w:rPr>
          <w:rFonts w:hint="eastAsia"/>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十、签订时间</w:t>
      </w:r>
      <w:bookmarkEnd w:id="664"/>
      <w:bookmarkEnd w:id="665"/>
    </w:p>
    <w:p w14:paraId="4569E92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本合同于</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日签订</w:t>
      </w:r>
    </w:p>
    <w:p w14:paraId="44B2C5C5">
      <w:pPr>
        <w:pStyle w:val="6"/>
        <w:keepNext/>
        <w:keepLines/>
        <w:spacing w:before="0" w:beforeAutospacing="0" w:after="0" w:afterAutospacing="0" w:line="360" w:lineRule="auto"/>
        <w:ind w:firstLine="420" w:firstLineChars="200"/>
        <w:jc w:val="both"/>
        <w:rPr>
          <w:rFonts w:hint="eastAsia"/>
          <w:color w:val="000000" w:themeColor="text1"/>
          <w:kern w:val="2"/>
          <w:sz w:val="21"/>
          <w:szCs w:val="21"/>
          <w14:textFill>
            <w14:solidFill>
              <w14:schemeClr w14:val="tx1"/>
            </w14:solidFill>
          </w14:textFill>
        </w:rPr>
      </w:pPr>
      <w:bookmarkStart w:id="666" w:name="_Toc351203489"/>
      <w:bookmarkStart w:id="667" w:name="_Toc532375582"/>
      <w:bookmarkStart w:id="668" w:name="_Toc532377175"/>
      <w:r>
        <w:rPr>
          <w:rFonts w:hint="eastAsia"/>
          <w:color w:val="000000" w:themeColor="text1"/>
          <w:kern w:val="2"/>
          <w:sz w:val="21"/>
          <w:szCs w:val="21"/>
          <w14:textFill>
            <w14:solidFill>
              <w14:schemeClr w14:val="tx1"/>
            </w14:solidFill>
          </w14:textFill>
        </w:rPr>
        <w:t>十一、</w:t>
      </w:r>
      <w:bookmarkEnd w:id="666"/>
      <w:bookmarkStart w:id="669" w:name="_Toc351203490"/>
      <w:r>
        <w:rPr>
          <w:rFonts w:hint="eastAsia"/>
          <w:color w:val="000000" w:themeColor="text1"/>
          <w:kern w:val="2"/>
          <w:sz w:val="21"/>
          <w:szCs w:val="21"/>
          <w14:textFill>
            <w14:solidFill>
              <w14:schemeClr w14:val="tx1"/>
            </w14:solidFill>
          </w14:textFill>
        </w:rPr>
        <w:t>签订地点</w:t>
      </w:r>
      <w:bookmarkEnd w:id="667"/>
      <w:bookmarkEnd w:id="668"/>
      <w:bookmarkEnd w:id="669"/>
    </w:p>
    <w:p w14:paraId="6DBF1B6C">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本合同在</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签订。</w:t>
      </w:r>
    </w:p>
    <w:p w14:paraId="0026E4CD">
      <w:pPr>
        <w:pStyle w:val="6"/>
        <w:keepNext/>
        <w:keepLines/>
        <w:spacing w:before="0" w:beforeAutospacing="0" w:after="0" w:afterAutospacing="0" w:line="360" w:lineRule="auto"/>
        <w:ind w:firstLine="420" w:firstLineChars="200"/>
        <w:jc w:val="both"/>
        <w:rPr>
          <w:rFonts w:hint="eastAsia"/>
          <w:color w:val="000000" w:themeColor="text1"/>
          <w:kern w:val="2"/>
          <w:sz w:val="21"/>
          <w:szCs w:val="21"/>
          <w14:textFill>
            <w14:solidFill>
              <w14:schemeClr w14:val="tx1"/>
            </w14:solidFill>
          </w14:textFill>
        </w:rPr>
      </w:pPr>
      <w:bookmarkStart w:id="670" w:name="_Toc532377176"/>
      <w:bookmarkStart w:id="671" w:name="_Toc532375583"/>
      <w:bookmarkStart w:id="672" w:name="_Toc351203491"/>
      <w:r>
        <w:rPr>
          <w:rFonts w:hint="eastAsia"/>
          <w:color w:val="000000" w:themeColor="text1"/>
          <w:kern w:val="2"/>
          <w:sz w:val="21"/>
          <w:szCs w:val="21"/>
          <w14:textFill>
            <w14:solidFill>
              <w14:schemeClr w14:val="tx1"/>
            </w14:solidFill>
          </w14:textFill>
        </w:rPr>
        <w:t>十二、补充协议</w:t>
      </w:r>
      <w:bookmarkEnd w:id="670"/>
      <w:bookmarkEnd w:id="671"/>
      <w:bookmarkEnd w:id="672"/>
    </w:p>
    <w:p w14:paraId="26F249DC">
      <w:pPr>
        <w:spacing w:line="360" w:lineRule="auto"/>
        <w:ind w:firstLine="420" w:firstLineChars="200"/>
        <w:rPr>
          <w:rFonts w:hint="eastAsia" w:ascii="宋体" w:hAnsi="宋体"/>
          <w:b/>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合同未尽事宜，合同当事人另行签订补充协议，补充协议是合同的组成部分。</w:t>
      </w:r>
    </w:p>
    <w:p w14:paraId="0D8EF16D">
      <w:pPr>
        <w:pStyle w:val="6"/>
        <w:keepNext/>
        <w:keepLines/>
        <w:spacing w:before="0" w:beforeAutospacing="0" w:after="0" w:afterAutospacing="0" w:line="360" w:lineRule="auto"/>
        <w:ind w:firstLine="420" w:firstLineChars="200"/>
        <w:jc w:val="both"/>
        <w:rPr>
          <w:rFonts w:hint="eastAsia"/>
          <w:color w:val="000000" w:themeColor="text1"/>
          <w:kern w:val="2"/>
          <w:sz w:val="21"/>
          <w:szCs w:val="21"/>
          <w14:textFill>
            <w14:solidFill>
              <w14:schemeClr w14:val="tx1"/>
            </w14:solidFill>
          </w14:textFill>
        </w:rPr>
      </w:pPr>
      <w:bookmarkStart w:id="673" w:name="_Toc532375584"/>
      <w:bookmarkStart w:id="674" w:name="_Toc351203492"/>
      <w:bookmarkStart w:id="675" w:name="_Toc532377177"/>
      <w:r>
        <w:rPr>
          <w:rFonts w:hint="eastAsia"/>
          <w:color w:val="000000" w:themeColor="text1"/>
          <w:kern w:val="2"/>
          <w:sz w:val="21"/>
          <w:szCs w:val="21"/>
          <w14:textFill>
            <w14:solidFill>
              <w14:schemeClr w14:val="tx1"/>
            </w14:solidFill>
          </w14:textFill>
        </w:rPr>
        <w:t>十三、合同生效</w:t>
      </w:r>
      <w:bookmarkEnd w:id="673"/>
      <w:bookmarkEnd w:id="674"/>
      <w:bookmarkEnd w:id="675"/>
    </w:p>
    <w:p w14:paraId="7613D4C8">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本合同自</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生效</w:t>
      </w:r>
      <w:r>
        <w:rPr>
          <w:rFonts w:hint="eastAsia" w:ascii="宋体" w:hAnsi="宋体"/>
          <w:color w:val="000000" w:themeColor="text1"/>
          <w:szCs w:val="21"/>
          <w14:textFill>
            <w14:solidFill>
              <w14:schemeClr w14:val="tx1"/>
            </w14:solidFill>
          </w14:textFill>
        </w:rPr>
        <w:t>。</w:t>
      </w:r>
    </w:p>
    <w:p w14:paraId="259E25FD">
      <w:pPr>
        <w:pStyle w:val="6"/>
        <w:keepNext/>
        <w:keepLines/>
        <w:spacing w:before="0" w:beforeAutospacing="0" w:after="0" w:afterAutospacing="0" w:line="360" w:lineRule="auto"/>
        <w:ind w:firstLine="420" w:firstLineChars="200"/>
        <w:jc w:val="both"/>
        <w:rPr>
          <w:rFonts w:hint="eastAsia"/>
          <w:color w:val="000000" w:themeColor="text1"/>
          <w:kern w:val="2"/>
          <w:sz w:val="21"/>
          <w:szCs w:val="21"/>
          <w14:textFill>
            <w14:solidFill>
              <w14:schemeClr w14:val="tx1"/>
            </w14:solidFill>
          </w14:textFill>
        </w:rPr>
      </w:pPr>
      <w:bookmarkStart w:id="676" w:name="_Toc351203493"/>
      <w:bookmarkStart w:id="677" w:name="_Toc532375585"/>
      <w:bookmarkStart w:id="678" w:name="_Toc532377178"/>
      <w:r>
        <w:rPr>
          <w:rFonts w:hint="eastAsia"/>
          <w:color w:val="000000" w:themeColor="text1"/>
          <w:kern w:val="2"/>
          <w:sz w:val="21"/>
          <w:szCs w:val="21"/>
          <w14:textFill>
            <w14:solidFill>
              <w14:schemeClr w14:val="tx1"/>
            </w14:solidFill>
          </w14:textFill>
        </w:rPr>
        <w:t>十四、合同份数</w:t>
      </w:r>
      <w:bookmarkEnd w:id="676"/>
      <w:bookmarkEnd w:id="677"/>
      <w:bookmarkEnd w:id="678"/>
    </w:p>
    <w:p w14:paraId="165A67E6">
      <w:pPr>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s="Microsoft Sans Serif"/>
          <w:bCs/>
          <w:color w:val="000000" w:themeColor="text1"/>
          <w:szCs w:val="21"/>
          <w14:textFill>
            <w14:solidFill>
              <w14:schemeClr w14:val="tx1"/>
            </w14:solidFill>
          </w14:textFill>
        </w:rPr>
        <w:t>本合同一式</w:t>
      </w:r>
      <w:r>
        <w:rPr>
          <w:rFonts w:hint="eastAsia" w:ascii="宋体" w:hAnsi="宋体" w:cs="Microsoft Sans Serif"/>
          <w:bCs/>
          <w:color w:val="000000" w:themeColor="text1"/>
          <w:szCs w:val="21"/>
          <w:u w:val="single"/>
          <w14:textFill>
            <w14:solidFill>
              <w14:schemeClr w14:val="tx1"/>
            </w14:solidFill>
          </w14:textFill>
        </w:rPr>
        <w:t xml:space="preserve">    </w:t>
      </w:r>
      <w:r>
        <w:rPr>
          <w:rFonts w:hint="eastAsia" w:ascii="宋体" w:hAnsi="宋体" w:cs="Microsoft Sans Serif"/>
          <w:bCs/>
          <w:color w:val="000000" w:themeColor="text1"/>
          <w:szCs w:val="21"/>
          <w14:textFill>
            <w14:solidFill>
              <w14:schemeClr w14:val="tx1"/>
            </w14:solidFill>
          </w14:textFill>
        </w:rPr>
        <w:t>份，均具有同等法律效力，发包人执</w:t>
      </w:r>
      <w:r>
        <w:rPr>
          <w:rFonts w:hint="eastAsia" w:ascii="宋体" w:hAnsi="宋体" w:cs="Microsoft Sans Serif"/>
          <w:bCs/>
          <w:color w:val="000000" w:themeColor="text1"/>
          <w:szCs w:val="21"/>
          <w:u w:val="single"/>
          <w14:textFill>
            <w14:solidFill>
              <w14:schemeClr w14:val="tx1"/>
            </w14:solidFill>
          </w14:textFill>
        </w:rPr>
        <w:t xml:space="preserve">    </w:t>
      </w:r>
      <w:r>
        <w:rPr>
          <w:rFonts w:hint="eastAsia" w:ascii="宋体" w:hAnsi="宋体" w:cs="Microsoft Sans Serif"/>
          <w:bCs/>
          <w:color w:val="000000" w:themeColor="text1"/>
          <w:szCs w:val="21"/>
          <w14:textFill>
            <w14:solidFill>
              <w14:schemeClr w14:val="tx1"/>
            </w14:solidFill>
          </w14:textFill>
        </w:rPr>
        <w:t>份，承包人执</w:t>
      </w:r>
      <w:r>
        <w:rPr>
          <w:rFonts w:hint="eastAsia" w:ascii="宋体" w:hAnsi="宋体" w:cs="Microsoft Sans Serif"/>
          <w:bCs/>
          <w:color w:val="000000" w:themeColor="text1"/>
          <w:szCs w:val="21"/>
          <w:u w:val="single"/>
          <w14:textFill>
            <w14:solidFill>
              <w14:schemeClr w14:val="tx1"/>
            </w14:solidFill>
          </w14:textFill>
        </w:rPr>
        <w:t xml:space="preserve">    </w:t>
      </w:r>
      <w:r>
        <w:rPr>
          <w:rFonts w:hint="eastAsia" w:ascii="宋体" w:hAnsi="宋体" w:cs="Microsoft Sans Serif"/>
          <w:bCs/>
          <w:color w:val="000000" w:themeColor="text1"/>
          <w:szCs w:val="21"/>
          <w14:textFill>
            <w14:solidFill>
              <w14:schemeClr w14:val="tx1"/>
            </w14:solidFill>
          </w14:textFill>
        </w:rPr>
        <w:t>份</w:t>
      </w:r>
      <w:r>
        <w:rPr>
          <w:rFonts w:hint="eastAsia" w:ascii="宋体" w:hAnsi="宋体"/>
          <w:bCs/>
          <w:color w:val="000000" w:themeColor="text1"/>
          <w:szCs w:val="21"/>
          <w14:textFill>
            <w14:solidFill>
              <w14:schemeClr w14:val="tx1"/>
            </w14:solidFill>
          </w14:textFill>
        </w:rPr>
        <w:t>。</w:t>
      </w:r>
    </w:p>
    <w:p w14:paraId="6C3DAFA2">
      <w:pPr>
        <w:spacing w:line="360" w:lineRule="auto"/>
        <w:ind w:firstLine="420" w:firstLineChars="200"/>
        <w:rPr>
          <w:rFonts w:hint="eastAsia" w:ascii="宋体" w:hAnsi="宋体"/>
          <w:bCs/>
          <w:color w:val="000000" w:themeColor="text1"/>
          <w:szCs w:val="21"/>
          <w14:textFill>
            <w14:solidFill>
              <w14:schemeClr w14:val="tx1"/>
            </w14:solidFill>
          </w14:textFill>
        </w:rPr>
      </w:pPr>
    </w:p>
    <w:p w14:paraId="13FCBA9E">
      <w:pPr>
        <w:spacing w:line="360" w:lineRule="auto"/>
        <w:ind w:firstLine="420" w:firstLineChars="200"/>
        <w:rPr>
          <w:rFonts w:hint="eastAsia" w:ascii="宋体" w:hAnsi="宋体"/>
          <w:bCs/>
          <w:color w:val="000000" w:themeColor="text1"/>
          <w:szCs w:val="21"/>
          <w14:textFill>
            <w14:solidFill>
              <w14:schemeClr w14:val="tx1"/>
            </w14:solidFill>
          </w14:textFill>
        </w:rPr>
      </w:pPr>
    </w:p>
    <w:p w14:paraId="06AFA5CE">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  (公章)                                    承包人：  (公章)</w:t>
      </w:r>
    </w:p>
    <w:p w14:paraId="236AA7C5">
      <w:pPr>
        <w:spacing w:line="360" w:lineRule="auto"/>
        <w:rPr>
          <w:rFonts w:hint="eastAsia" w:ascii="宋体" w:hAnsi="宋体"/>
          <w:color w:val="000000" w:themeColor="text1"/>
          <w:szCs w:val="21"/>
          <w14:textFill>
            <w14:solidFill>
              <w14:schemeClr w14:val="tx1"/>
            </w14:solidFill>
          </w14:textFill>
        </w:rPr>
      </w:pPr>
    </w:p>
    <w:p w14:paraId="1ECCF88C">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法定代表人或其委托代理人：                         法定代表人或其委托代理人：</w:t>
      </w:r>
    </w:p>
    <w:p w14:paraId="755A33BD">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（签名）                                           （签名）</w:t>
      </w:r>
    </w:p>
    <w:p w14:paraId="6C2EE671">
      <w:pPr>
        <w:spacing w:line="360" w:lineRule="auto"/>
        <w:jc w:val="right"/>
        <w:rPr>
          <w:rFonts w:hint="eastAsia" w:ascii="宋体" w:hAnsi="宋体"/>
          <w:color w:val="000000" w:themeColor="text1"/>
          <w:szCs w:val="21"/>
          <w14:textFill>
            <w14:solidFill>
              <w14:schemeClr w14:val="tx1"/>
            </w14:solidFill>
          </w14:textFill>
        </w:rPr>
      </w:pPr>
    </w:p>
    <w:p w14:paraId="77652082">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组织机构代码：                                组织机构代码：           </w:t>
      </w:r>
    </w:p>
    <w:p w14:paraId="314E0EFB">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地  址：                              地  址：        </w:t>
      </w:r>
    </w:p>
    <w:p w14:paraId="37A6CCAE">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邮政编码：                              邮政编码：   </w:t>
      </w:r>
    </w:p>
    <w:p w14:paraId="5E8E16AF">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法定代表人：                                    法定代表人：             </w:t>
      </w:r>
    </w:p>
    <w:p w14:paraId="44DBCE1A">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委托代理人：                                    委托代理人：             </w:t>
      </w:r>
    </w:p>
    <w:p w14:paraId="5E8317CB">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电  话：                            电  话：     </w:t>
      </w:r>
    </w:p>
    <w:p w14:paraId="0A804B74">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传  真：                            传  真：     </w:t>
      </w:r>
    </w:p>
    <w:p w14:paraId="3602D3E3">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电子信箱：                                          电子信箱：   </w:t>
      </w:r>
    </w:p>
    <w:p w14:paraId="020D28B2">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开户银行：                            开户银行：   </w:t>
      </w:r>
    </w:p>
    <w:p w14:paraId="14F49F3A">
      <w:pPr>
        <w:spacing w:line="360" w:lineRule="auto"/>
        <w:rPr>
          <w:rFonts w:hint="eastAsia" w:ascii="宋体" w:hAnsi="宋体"/>
          <w:snapToGrid w:val="0"/>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账  号：                                账  号：     </w:t>
      </w:r>
    </w:p>
    <w:p w14:paraId="64704111">
      <w:pPr>
        <w:pStyle w:val="5"/>
        <w:spacing w:before="0"/>
        <w:jc w:val="center"/>
        <w:rPr>
          <w:rFonts w:hint="eastAsia" w:ascii="宋体" w:hAnsi="宋体"/>
          <w:bCs w:val="0"/>
          <w:color w:val="000000" w:themeColor="text1"/>
          <w:sz w:val="21"/>
          <w:szCs w:val="21"/>
          <w14:textFill>
            <w14:solidFill>
              <w14:schemeClr w14:val="tx1"/>
            </w14:solidFill>
          </w14:textFill>
        </w:rPr>
      </w:pPr>
      <w:bookmarkStart w:id="679" w:name="_Toc529388289"/>
      <w:bookmarkStart w:id="680" w:name="_Toc17274"/>
      <w:bookmarkStart w:id="681" w:name="_Toc532375586"/>
      <w:bookmarkStart w:id="682" w:name="_Toc226115591"/>
      <w:bookmarkStart w:id="683" w:name="_Toc532377179"/>
      <w:r>
        <w:rPr>
          <w:rFonts w:hint="eastAsia" w:ascii="宋体" w:hAnsi="宋体"/>
          <w:color w:val="000000" w:themeColor="text1"/>
          <w:sz w:val="44"/>
          <w:szCs w:val="44"/>
          <w14:textFill>
            <w14:solidFill>
              <w14:schemeClr w14:val="tx1"/>
            </w14:solidFill>
          </w14:textFill>
        </w:rPr>
        <w:t>第二部分 通用合同条款</w:t>
      </w:r>
      <w:bookmarkEnd w:id="679"/>
      <w:bookmarkEnd w:id="680"/>
      <w:bookmarkEnd w:id="681"/>
      <w:bookmarkEnd w:id="682"/>
      <w:bookmarkEnd w:id="683"/>
    </w:p>
    <w:p w14:paraId="6EBF6EA3">
      <w:pPr>
        <w:pStyle w:val="6"/>
        <w:keepNext/>
        <w:keepLines/>
        <w:spacing w:before="156" w:beforeLines="50" w:beforeAutospacing="0" w:after="156" w:afterLines="50" w:afterAutospacing="0" w:line="360" w:lineRule="auto"/>
        <w:jc w:val="both"/>
        <w:rPr>
          <w:rFonts w:hint="eastAsia"/>
          <w:color w:val="000000" w:themeColor="text1"/>
          <w:kern w:val="2"/>
          <w:sz w:val="21"/>
          <w:szCs w:val="21"/>
          <w14:textFill>
            <w14:solidFill>
              <w14:schemeClr w14:val="tx1"/>
            </w14:solidFill>
          </w14:textFill>
        </w:rPr>
      </w:pPr>
      <w:bookmarkStart w:id="684" w:name="_Toc532375587"/>
      <w:bookmarkStart w:id="685" w:name="_Toc351203495"/>
      <w:bookmarkStart w:id="686" w:name="_Toc532377180"/>
      <w:r>
        <w:rPr>
          <w:rFonts w:hint="eastAsia"/>
          <w:color w:val="000000" w:themeColor="text1"/>
          <w:kern w:val="2"/>
          <w:sz w:val="21"/>
          <w:szCs w:val="21"/>
          <w14:textFill>
            <w14:solidFill>
              <w14:schemeClr w14:val="tx1"/>
            </w14:solidFill>
          </w14:textFill>
        </w:rPr>
        <w:t>1.</w:t>
      </w:r>
      <w:bookmarkStart w:id="687" w:name="_Toc303538973"/>
      <w:bookmarkEnd w:id="687"/>
      <w:bookmarkStart w:id="688" w:name="_Toc303538975"/>
      <w:bookmarkEnd w:id="688"/>
      <w:bookmarkStart w:id="689" w:name="_Toc303538976"/>
      <w:bookmarkEnd w:id="689"/>
      <w:bookmarkStart w:id="690" w:name="_Toc303538974"/>
      <w:bookmarkEnd w:id="690"/>
      <w:bookmarkStart w:id="691" w:name="_Toc303538972"/>
      <w:bookmarkEnd w:id="691"/>
      <w:bookmarkStart w:id="692" w:name="_Toc296503027"/>
      <w:bookmarkStart w:id="693" w:name="_Toc296346528"/>
      <w:r>
        <w:rPr>
          <w:rFonts w:hint="eastAsia"/>
          <w:color w:val="000000" w:themeColor="text1"/>
          <w:kern w:val="2"/>
          <w:sz w:val="21"/>
          <w:szCs w:val="21"/>
          <w14:textFill>
            <w14:solidFill>
              <w14:schemeClr w14:val="tx1"/>
            </w14:solidFill>
          </w14:textFill>
        </w:rPr>
        <w:t>一般约定</w:t>
      </w:r>
      <w:bookmarkEnd w:id="684"/>
      <w:bookmarkEnd w:id="685"/>
      <w:bookmarkEnd w:id="686"/>
      <w:bookmarkEnd w:id="692"/>
      <w:bookmarkEnd w:id="693"/>
    </w:p>
    <w:p w14:paraId="3B1AA572">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694" w:name="_Toc337558728"/>
      <w:bookmarkStart w:id="695" w:name="_Toc296503028"/>
      <w:bookmarkStart w:id="696" w:name="_Toc296346529"/>
      <w:bookmarkStart w:id="697" w:name="_Toc351203496"/>
      <w:bookmarkStart w:id="698" w:name="_Toc532377181"/>
      <w:r>
        <w:rPr>
          <w:rFonts w:hint="eastAsia"/>
          <w:color w:val="000000" w:themeColor="text1"/>
          <w:sz w:val="21"/>
          <w:szCs w:val="21"/>
          <w14:textFill>
            <w14:solidFill>
              <w14:schemeClr w14:val="tx1"/>
            </w14:solidFill>
          </w14:textFill>
        </w:rPr>
        <w:t>1.1词语定义</w:t>
      </w:r>
      <w:bookmarkEnd w:id="694"/>
      <w:bookmarkEnd w:id="695"/>
      <w:bookmarkEnd w:id="696"/>
      <w:r>
        <w:rPr>
          <w:rFonts w:hint="eastAsia"/>
          <w:color w:val="000000" w:themeColor="text1"/>
          <w:sz w:val="21"/>
          <w:szCs w:val="21"/>
          <w14:textFill>
            <w14:solidFill>
              <w14:schemeClr w14:val="tx1"/>
            </w14:solidFill>
          </w14:textFill>
        </w:rPr>
        <w:t>与解释</w:t>
      </w:r>
      <w:bookmarkEnd w:id="697"/>
      <w:bookmarkEnd w:id="698"/>
    </w:p>
    <w:p w14:paraId="5ED11A7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合同协议书、通用合同条款、专用合同条款中的下列词语具有本款所赋予的含义：</w:t>
      </w:r>
    </w:p>
    <w:p w14:paraId="68DDFCDA">
      <w:pPr>
        <w:pStyle w:val="7"/>
        <w:spacing w:before="0" w:beforeAutospacing="0" w:after="0" w:afterAutospacing="0" w:line="360" w:lineRule="auto"/>
        <w:ind w:firstLine="420" w:firstLineChars="200"/>
        <w:rPr>
          <w:rFonts w:hint="eastAsia"/>
          <w:b w:val="0"/>
          <w:bCs w:val="0"/>
          <w:color w:val="000000" w:themeColor="text1"/>
          <w:sz w:val="21"/>
          <w:szCs w:val="21"/>
          <w14:textFill>
            <w14:solidFill>
              <w14:schemeClr w14:val="tx1"/>
            </w14:solidFill>
          </w14:textFill>
        </w:rPr>
      </w:pPr>
      <w:bookmarkStart w:id="699" w:name="_Toc532377182"/>
      <w:r>
        <w:rPr>
          <w:rFonts w:hint="eastAsia"/>
          <w:b w:val="0"/>
          <w:bCs w:val="0"/>
          <w:color w:val="000000" w:themeColor="text1"/>
          <w:sz w:val="21"/>
          <w:szCs w:val="21"/>
          <w14:textFill>
            <w14:solidFill>
              <w14:schemeClr w14:val="tx1"/>
            </w14:solidFill>
          </w14:textFill>
        </w:rPr>
        <w:t>1.1.1 合同</w:t>
      </w:r>
      <w:bookmarkEnd w:id="699"/>
    </w:p>
    <w:p w14:paraId="2DD3526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1.1.1.1 合同：是指根据法律规定和合同当事人约定具有约束力的文件，构成合同的文件包括合同协议书、中标通知书（如有）、投标函及其附录（如有）、专用合同条款</w:t>
      </w:r>
      <w:r>
        <w:rPr>
          <w:rFonts w:hint="eastAsia" w:ascii="宋体" w:hAnsi="宋体"/>
          <w:color w:val="000000" w:themeColor="text1"/>
          <w:szCs w:val="21"/>
          <w14:textFill>
            <w14:solidFill>
              <w14:schemeClr w14:val="tx1"/>
            </w14:solidFill>
          </w14:textFill>
        </w:rPr>
        <w:t>及其附件</w:t>
      </w:r>
      <w:r>
        <w:rPr>
          <w:rFonts w:hint="eastAsia" w:ascii="宋体" w:hAnsi="宋体"/>
          <w:color w:val="000000" w:themeColor="text1"/>
          <w:kern w:val="0"/>
          <w:szCs w:val="21"/>
          <w14:textFill>
            <w14:solidFill>
              <w14:schemeClr w14:val="tx1"/>
            </w14:solidFill>
          </w14:textFill>
        </w:rPr>
        <w:t>、通用合同条款、技术标准和要求、图纸、已标价工程量清单或预算书以及其他合同文件。</w:t>
      </w:r>
    </w:p>
    <w:p w14:paraId="25DFB60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1.1.1.2 合同协议书：是指构成合同的由发包人和承包人共同签署的称为“合同协议书”的书面文件。</w:t>
      </w:r>
    </w:p>
    <w:p w14:paraId="298F143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1.1.1.3 中标通知书：是指构成合同的由发包人通知承包人中标的书面文件。</w:t>
      </w:r>
    </w:p>
    <w:p w14:paraId="230684E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1.1.1.4 投标函：是指构成合同的由承包人填写并签署的用于投标的称为“投标函”的文件。</w:t>
      </w:r>
    </w:p>
    <w:p w14:paraId="7E1979F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1.1.1.5 投标函附录：是指构成合同的附在投标函后的称为“投标函附录”的文件。</w:t>
      </w:r>
    </w:p>
    <w:p w14:paraId="0927F83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1.1.1.6 技术标准和要求：是指构成合同的施工应当遵守的或指导施工的国家、行业或地方的技术标准和要求，以及合同约定的技术标准和要求。</w:t>
      </w:r>
    </w:p>
    <w:p w14:paraId="164B14C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1.1.1.7 图纸：是指构成合同的图纸，包括由发包人按照合同约定提供或经发包人批准的设计文件、施工图、鸟瞰图及模型等，以及在合同履行过程中形成的图纸文件。图纸应当按照法律规定审查合格。</w:t>
      </w:r>
    </w:p>
    <w:p w14:paraId="2C35B69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1.1.1.8 已标价工程量清单：是指构成合同的由承包人按照规定的格式和要求填写并标明价格的工程量清单，包括说明和表格。</w:t>
      </w:r>
    </w:p>
    <w:p w14:paraId="579B064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1.1.1.9 预算书：是指构成合同的由承包人按照发包人规定的格式和要求编制的工程预算文件。</w:t>
      </w:r>
    </w:p>
    <w:p w14:paraId="2E7CC97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1.1.1.10 其他合同文件：是指经合同当事人约定的与工程施工有关的具有合同约束力的文件或书面协议。合同当事人可以在专用合同条款中进行约定。</w:t>
      </w:r>
    </w:p>
    <w:p w14:paraId="3FA17DC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1.1.2 合同当事人及其他相关方</w:t>
      </w:r>
    </w:p>
    <w:p w14:paraId="6E46A3C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1.1.2.1 合同当事人：是指发包人和（或）承包人。</w:t>
      </w:r>
    </w:p>
    <w:p w14:paraId="152E860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1.1.2.2 发包人：是指与承包人签订合同协议书的当事人及取得该当事人资格的合法继承人。</w:t>
      </w:r>
    </w:p>
    <w:p w14:paraId="7ADD668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1.1.2.3 承包人：是指与发包人签订合同协议书的，具有相应工程施工承包资质的当事人及取得该当事人资格的合法继承人。</w:t>
      </w:r>
    </w:p>
    <w:p w14:paraId="6ADAD52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1.1.2.4 监理人：是指在专用合同条款中指明的，受发包人委托按照法律规定进行工程监督管理的法人或其他组织。</w:t>
      </w:r>
    </w:p>
    <w:p w14:paraId="18BF8B6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1.1.2.5 设计人：是指在专用合同条款中指明的，受发包人委托负责工程设计并具备相应工程设计资质的法人或其他组织。</w:t>
      </w:r>
    </w:p>
    <w:p w14:paraId="29EE716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1.1.2.6 分包人：</w:t>
      </w:r>
      <w:bookmarkStart w:id="700" w:name="#go5"/>
      <w:bookmarkEnd w:id="700"/>
      <w:r>
        <w:rPr>
          <w:rFonts w:hint="eastAsia" w:ascii="宋体" w:hAnsi="宋体"/>
          <w:color w:val="000000" w:themeColor="text1"/>
          <w:kern w:val="0"/>
          <w:szCs w:val="21"/>
          <w14:textFill>
            <w14:solidFill>
              <w14:schemeClr w14:val="tx1"/>
            </w14:solidFill>
          </w14:textFill>
        </w:rPr>
        <w:t>是指按照法律规定和合同约定，分包部分工程或工作，并与承包人签订分包合同的具有相应资质的法人。</w:t>
      </w:r>
    </w:p>
    <w:p w14:paraId="0D97148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1.1.2.7 发包人代表：是指由发包人任命并派驻施工现场在发包人授权范围内行使发包人权利的人。</w:t>
      </w:r>
    </w:p>
    <w:p w14:paraId="60728F8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1.1.2.8 项目经理：是指由承包人任命并派驻施工现场，在承包人授权范围内负责合同履行，且按照法律规定具有相应资格的项目负责人。</w:t>
      </w:r>
    </w:p>
    <w:p w14:paraId="743B8C7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1.1.2.9 总监理工程师：是指由监理人任命并派驻施工现场进行工程监理的总负责人。</w:t>
      </w:r>
    </w:p>
    <w:p w14:paraId="17091E4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1.1.3 工程和设备</w:t>
      </w:r>
    </w:p>
    <w:p w14:paraId="0C6FA3A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1.1.3.1 工程：是指与合同协议书中工程承包范围对应的永久工程和（或）临时工程。</w:t>
      </w:r>
    </w:p>
    <w:p w14:paraId="4C72288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1.1.3.2 永久工程：是指按合同约定建造并移交给发包人的工程，包括工程设备。</w:t>
      </w:r>
    </w:p>
    <w:p w14:paraId="42006B3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1.1.3.3 临时工程：是指为完成合同约定的永久工程所修建的各类临时性工程，不包括施工设备。</w:t>
      </w:r>
    </w:p>
    <w:p w14:paraId="5EC020F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1.1.3.4 单位工程：是指在合同协议书中指明的，具备独立施工条件并能形成独立使用功能的永久工程。</w:t>
      </w:r>
    </w:p>
    <w:p w14:paraId="0AE7AF7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1.1.3.5 工程设备：是指构成永久工程的机电设备、金属结构设备、仪器及其他类似的设备和装置。</w:t>
      </w:r>
    </w:p>
    <w:p w14:paraId="0BCC1B2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1.1.3.6 施工设备：是指为完成合同约定的各项工作所需的设备、器具和其他物品，但不包括工程设备、临时工程和材料。</w:t>
      </w:r>
    </w:p>
    <w:p w14:paraId="21DD251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1.1.3.7 施工现场：是指用于工程施工的场所，以及在专用合同条款中指明作为施工场所组成部分的其他场所，包括永久占地和临时占地。</w:t>
      </w:r>
    </w:p>
    <w:p w14:paraId="1F8B360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1.1.3.8临时设施：是指为完成合同约定的各项工作所服务的临时性生产和生活设施。</w:t>
      </w:r>
    </w:p>
    <w:p w14:paraId="0E0FB89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1.1.3.9 永久占地：是指专用合同条款中指明为实施工程需永久占用的土地。</w:t>
      </w:r>
    </w:p>
    <w:p w14:paraId="046093E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1.1.3.10 临时占地：是指专用合同条款中指明为实施工程需要临时占用的土地。</w:t>
      </w:r>
    </w:p>
    <w:p w14:paraId="6A566E7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1.1.4 日期和期限</w:t>
      </w:r>
    </w:p>
    <w:p w14:paraId="74733AF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3261A11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1.1.4.2 竣工日期：包括计划竣工日期和实际竣工日期。计划竣工日期是指合同协议书约定的竣工日期；实际竣工日期按照第13.2.3项〔竣工日期〕的约定确定。 </w:t>
      </w:r>
    </w:p>
    <w:p w14:paraId="5B6703C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1.1.4.3 工期：是指在合同协议书约定的承包人完成工程所需的期限，包括按照合同约定所作的期限变更。</w:t>
      </w:r>
    </w:p>
    <w:p w14:paraId="5CEA38A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1.1.4.4 缺陷责任期：是指承包人按照合同约定承担缺陷修复义务，且发包人预留质量保证金（已缴纳履约保证金的除外）的期限，自工程实际竣工日期起计算。</w:t>
      </w:r>
    </w:p>
    <w:p w14:paraId="213864A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1.1.4.5 保修期：是指承包人按照合同约定对工程承担保修责任的期限，从工程竣工验收合格之日起计算。</w:t>
      </w:r>
    </w:p>
    <w:p w14:paraId="25BBBDD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1.1.4.6 基准日期：招标发包的工程以投标截止日前28天的日期为基准日期，直接发包的工程以合同签订日前28天的日期为基准日期。</w:t>
      </w:r>
    </w:p>
    <w:p w14:paraId="1ABB250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1.1.4.7 天：除特别指明外，均指日历天。合同中按天计算时间的，开始当天不计入，从次日开始计算，期限最后一天的截止时间为当天24：00时。</w:t>
      </w:r>
    </w:p>
    <w:p w14:paraId="0031295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1.1.5 合同价格和费用</w:t>
      </w:r>
    </w:p>
    <w:p w14:paraId="2AD8EC3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1.1.5.1 签约合同价：是指</w:t>
      </w:r>
      <w:r>
        <w:rPr>
          <w:rFonts w:hint="eastAsia" w:ascii="宋体" w:hAnsi="宋体"/>
          <w:color w:val="000000" w:themeColor="text1"/>
          <w:szCs w:val="21"/>
          <w14:textFill>
            <w14:solidFill>
              <w14:schemeClr w14:val="tx1"/>
            </w14:solidFill>
          </w14:textFill>
        </w:rPr>
        <w:t>发包人和承包人在合同协议书中确定的总金额，包括安全文明施工费、暂估价及暂列金额等。</w:t>
      </w:r>
    </w:p>
    <w:p w14:paraId="4A88395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1.1.5.2 合同价格：是指发包人用于支付承包人按照合同约定完成承包范围内全部工作的金额，包括合同履行过程中按合同约定发生的价格变化。</w:t>
      </w:r>
    </w:p>
    <w:p w14:paraId="39A6D40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1.1.5.3 费用：是指为履行合同所发生的或将要发生的所有必需的开支，包括管理费和应分摊的其他费用，但不包括利润。</w:t>
      </w:r>
    </w:p>
    <w:p w14:paraId="28C85E5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1.1.5.4 暂估价：是指发包人在工程量清单或预算书中提供的用于支付必然发生但暂时不能确定价格的材料、工程设备的单价、专业工程以及服务工作的金额。</w:t>
      </w:r>
    </w:p>
    <w:p w14:paraId="0C4B356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345E5BA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1.1.5.6 计日工：是指合同履行过程中，承包人完成发包人提出的零星工作或需要采用计日工计价的变更工作时，按合同中约定的单价计价的一种方式。</w:t>
      </w:r>
    </w:p>
    <w:p w14:paraId="740242A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1.1.5.7 质量保证金</w:t>
      </w:r>
      <w:bookmarkStart w:id="701" w:name="#go2"/>
      <w:bookmarkEnd w:id="701"/>
      <w:r>
        <w:rPr>
          <w:rFonts w:hint="eastAsia" w:ascii="宋体" w:hAnsi="宋体"/>
          <w:color w:val="000000" w:themeColor="text1"/>
          <w:kern w:val="0"/>
          <w:szCs w:val="21"/>
          <w14:textFill>
            <w14:solidFill>
              <w14:schemeClr w14:val="tx1"/>
            </w14:solidFill>
          </w14:textFill>
        </w:rPr>
        <w:t>：是指按照第15.3款〔质量保证金〕约定承包人用于保证其在缺陷责任期内履行缺陷修补义务的担保</w:t>
      </w:r>
      <w:r>
        <w:rPr>
          <w:rFonts w:hint="eastAsia" w:ascii="宋体" w:hAnsi="宋体"/>
          <w:color w:val="000000" w:themeColor="text1"/>
          <w:szCs w:val="21"/>
          <w14:textFill>
            <w14:solidFill>
              <w14:schemeClr w14:val="tx1"/>
            </w14:solidFill>
          </w14:textFill>
        </w:rPr>
        <w:t>。</w:t>
      </w:r>
    </w:p>
    <w:p w14:paraId="35E654A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1.1.5.8 总价项目：是指在现行国家、行业以及地方的计量规则中无工程量计算规则，在已标价工程量清单或预算书中以总价或以费率形式计算的项目。</w:t>
      </w:r>
    </w:p>
    <w:p w14:paraId="004A5E8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1.1.6 其他</w:t>
      </w:r>
    </w:p>
    <w:p w14:paraId="4DA014A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1.1.6.1 书面形式：是指合同文件、信函、电报、传真等可以有形地表现所载内容的形式。</w:t>
      </w:r>
    </w:p>
    <w:p w14:paraId="4625D34B">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02" w:name="_Toc532377183"/>
      <w:r>
        <w:rPr>
          <w:rFonts w:hint="eastAsia"/>
          <w:color w:val="000000" w:themeColor="text1"/>
          <w:sz w:val="21"/>
          <w:szCs w:val="21"/>
          <w14:textFill>
            <w14:solidFill>
              <w14:schemeClr w14:val="tx1"/>
            </w14:solidFill>
          </w14:textFill>
        </w:rPr>
        <w:t>1.2 语言文字</w:t>
      </w:r>
      <w:bookmarkEnd w:id="702"/>
    </w:p>
    <w:p w14:paraId="43E4C61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合同以中国的汉语简体文字编写、解释和说明。合同当事人在专用合同条款中约定使用两种以上语言时，汉语为优先解释和说明合同的语言。</w:t>
      </w:r>
    </w:p>
    <w:p w14:paraId="5E04B517">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03" w:name="_Toc296346531"/>
      <w:bookmarkStart w:id="704" w:name="_Toc351203498"/>
      <w:bookmarkStart w:id="705" w:name="_Toc532377184"/>
      <w:bookmarkStart w:id="706" w:name="_Toc337558730"/>
      <w:bookmarkStart w:id="707" w:name="_Toc296503030"/>
      <w:r>
        <w:rPr>
          <w:rFonts w:hint="eastAsia"/>
          <w:color w:val="000000" w:themeColor="text1"/>
          <w:sz w:val="21"/>
          <w:szCs w:val="21"/>
          <w14:textFill>
            <w14:solidFill>
              <w14:schemeClr w14:val="tx1"/>
            </w14:solidFill>
          </w14:textFill>
        </w:rPr>
        <w:t>1.3法律</w:t>
      </w:r>
      <w:bookmarkEnd w:id="703"/>
      <w:bookmarkEnd w:id="704"/>
      <w:bookmarkEnd w:id="705"/>
      <w:bookmarkEnd w:id="706"/>
      <w:bookmarkEnd w:id="707"/>
    </w:p>
    <w:p w14:paraId="16A0B83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合同所称法律是指中华人民共和国法律、行政法规、部门规章，以及工程所在地的地方性法规、自治条例、单行条例和地方政府规章等。</w:t>
      </w:r>
    </w:p>
    <w:p w14:paraId="158A160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合同当事人可以在专用合同条款中约定合同适用的其他规范性文件。</w:t>
      </w:r>
    </w:p>
    <w:p w14:paraId="23F3BEE8">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08" w:name="_Toc532377185"/>
      <w:bookmarkStart w:id="709" w:name="_Toc351203499"/>
      <w:r>
        <w:rPr>
          <w:rFonts w:hint="eastAsia"/>
          <w:color w:val="000000" w:themeColor="text1"/>
          <w:sz w:val="21"/>
          <w:szCs w:val="21"/>
          <w14:textFill>
            <w14:solidFill>
              <w14:schemeClr w14:val="tx1"/>
            </w14:solidFill>
          </w14:textFill>
        </w:rPr>
        <w:t>1.4 标准和规范</w:t>
      </w:r>
      <w:bookmarkEnd w:id="708"/>
      <w:bookmarkEnd w:id="709"/>
    </w:p>
    <w:p w14:paraId="4390636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1.4.1 适用于工程的国家标准、行业标准、工程所在地的地方性标准，以及相应的规范、规程等，合同当事人有特别要求的，应在专用合同条款中约定。</w:t>
      </w:r>
    </w:p>
    <w:p w14:paraId="524D5F7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1.4.2 发包人要求使用国外标准、规范的，发包人负责提供原文版本和中文译本，并在专用合同条款中约定提供标准规范的名称、份数和时间。</w:t>
      </w:r>
    </w:p>
    <w:p w14:paraId="6D82751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68155B8C">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10" w:name="_Toc532377186"/>
      <w:bookmarkStart w:id="711" w:name="_Toc351203500"/>
      <w:r>
        <w:rPr>
          <w:rFonts w:hint="eastAsia"/>
          <w:color w:val="000000" w:themeColor="text1"/>
          <w:sz w:val="21"/>
          <w:szCs w:val="21"/>
          <w14:textFill>
            <w14:solidFill>
              <w14:schemeClr w14:val="tx1"/>
            </w14:solidFill>
          </w14:textFill>
        </w:rPr>
        <w:t>1</w:t>
      </w:r>
      <w:bookmarkStart w:id="712" w:name="_Toc337558731"/>
      <w:bookmarkStart w:id="713" w:name="_Toc296503031"/>
      <w:bookmarkStart w:id="714" w:name="_Toc296346532"/>
      <w:r>
        <w:rPr>
          <w:rFonts w:hint="eastAsia"/>
          <w:color w:val="000000" w:themeColor="text1"/>
          <w:sz w:val="21"/>
          <w:szCs w:val="21"/>
          <w14:textFill>
            <w14:solidFill>
              <w14:schemeClr w14:val="tx1"/>
            </w14:solidFill>
          </w14:textFill>
        </w:rPr>
        <w:t>.5 合同文件的优先顺序</w:t>
      </w:r>
      <w:bookmarkEnd w:id="710"/>
      <w:bookmarkEnd w:id="711"/>
    </w:p>
    <w:bookmarkEnd w:id="712"/>
    <w:bookmarkEnd w:id="713"/>
    <w:bookmarkEnd w:id="714"/>
    <w:p w14:paraId="3FF74ED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组成合同的各项文件应互相解释，互为说明。除专用合同条款另有约定外，解释合同文件的优先顺序如下：</w:t>
      </w:r>
    </w:p>
    <w:p w14:paraId="7CA9F48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（1）合同协议书；</w:t>
      </w:r>
    </w:p>
    <w:p w14:paraId="71735B2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（2）中标通知书（如有）；</w:t>
      </w:r>
    </w:p>
    <w:p w14:paraId="3C9C17E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（3）投标函及其附录（如有）；</w:t>
      </w:r>
    </w:p>
    <w:p w14:paraId="33A4E8F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（4）专用合同条款及其附件；</w:t>
      </w:r>
    </w:p>
    <w:p w14:paraId="69E4E4C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（5）通用合同条款；</w:t>
      </w:r>
    </w:p>
    <w:p w14:paraId="5E78378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（6）技术标准和要求；</w:t>
      </w:r>
    </w:p>
    <w:p w14:paraId="4A7B457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（7）图纸；</w:t>
      </w:r>
    </w:p>
    <w:p w14:paraId="6825A07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（8）已标价工程量清单或预算书；</w:t>
      </w:r>
    </w:p>
    <w:p w14:paraId="16317CC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（9）其他合同文件。</w:t>
      </w:r>
    </w:p>
    <w:p w14:paraId="3243C21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上述各项合同文件包括合同当事人就该项合同文件所作出的补充和修改，属于同一类内容的文件，应以最新签署的为准。</w:t>
      </w:r>
    </w:p>
    <w:p w14:paraId="3F23F47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在合同订立及履行过程中形成的与合同有关的文件均构成合同文件组成部分，并根据其性质确定优先解释顺序。</w:t>
      </w:r>
    </w:p>
    <w:p w14:paraId="6C090A64">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15" w:name="_Toc351203501"/>
      <w:bookmarkStart w:id="716" w:name="_Toc532377187"/>
      <w:r>
        <w:rPr>
          <w:rFonts w:hint="eastAsia"/>
          <w:color w:val="000000" w:themeColor="text1"/>
          <w:sz w:val="21"/>
          <w:szCs w:val="21"/>
          <w14:textFill>
            <w14:solidFill>
              <w14:schemeClr w14:val="tx1"/>
            </w14:solidFill>
          </w14:textFill>
        </w:rPr>
        <w:t>1</w:t>
      </w:r>
      <w:bookmarkStart w:id="717" w:name="_Toc337558732"/>
      <w:bookmarkStart w:id="718" w:name="_Toc296346533"/>
      <w:bookmarkStart w:id="719" w:name="_Toc296503032"/>
      <w:r>
        <w:rPr>
          <w:rFonts w:hint="eastAsia"/>
          <w:color w:val="000000" w:themeColor="text1"/>
          <w:sz w:val="21"/>
          <w:szCs w:val="21"/>
          <w14:textFill>
            <w14:solidFill>
              <w14:schemeClr w14:val="tx1"/>
            </w14:solidFill>
          </w14:textFill>
        </w:rPr>
        <w:t>.6图纸和承包人文件</w:t>
      </w:r>
      <w:bookmarkEnd w:id="715"/>
      <w:bookmarkEnd w:id="716"/>
    </w:p>
    <w:bookmarkEnd w:id="717"/>
    <w:bookmarkEnd w:id="718"/>
    <w:bookmarkEnd w:id="719"/>
    <w:p w14:paraId="07E06FF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1.6.1 图纸的提供和交底</w:t>
      </w:r>
    </w:p>
    <w:p w14:paraId="1CFC69E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5A97B23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因发包人未按合同约定提供图纸导致承包人费用增加和（或）工期延误的，按照第7.5.1项〔因发包人原因导致工期延误〕约定办理。</w:t>
      </w:r>
    </w:p>
    <w:p w14:paraId="0A910A2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1.6.2 图纸的错误</w:t>
      </w:r>
    </w:p>
    <w:p w14:paraId="44E2C06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238C364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1.6.3 图纸的修改和补充</w:t>
      </w:r>
    </w:p>
    <w:p w14:paraId="46D7F0A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图纸需要修改和补充的，应经图纸原设计人及审批部门同意，并由监理人在工程或工程相应部位施工前将修改后的图纸或补充图纸提交给承包人，承包人应按修改或补充后的图纸施工。</w:t>
      </w:r>
    </w:p>
    <w:p w14:paraId="78B934E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1.6.4 承包人文件</w:t>
      </w:r>
    </w:p>
    <w:p w14:paraId="3EFD99D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承包人应按照专用合同条款的约定提供应当由其编制的与工程施工有关的文件，并按照专用合同条款约定的期限、数量和形式提交监理人，并由监理人报送发包人。</w:t>
      </w:r>
    </w:p>
    <w:p w14:paraId="217A007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1E2366E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1.6.5 图纸和承包人文件的保管</w:t>
      </w:r>
    </w:p>
    <w:p w14:paraId="574B6FA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除专用合同条款另有约定外，承包人应在施工现场另外保存一套完整的图纸和承包人文件，供发包人、监理人及有关人员进行工程检查时使用。</w:t>
      </w:r>
    </w:p>
    <w:p w14:paraId="30B61FF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20" w:name="_Toc532377188"/>
      <w:bookmarkStart w:id="721" w:name="_Toc351203502"/>
      <w:r>
        <w:rPr>
          <w:rFonts w:hint="eastAsia"/>
          <w:color w:val="000000" w:themeColor="text1"/>
          <w:sz w:val="21"/>
          <w:szCs w:val="21"/>
          <w14:textFill>
            <w14:solidFill>
              <w14:schemeClr w14:val="tx1"/>
            </w14:solidFill>
          </w14:textFill>
        </w:rPr>
        <w:t>1</w:t>
      </w:r>
      <w:bookmarkStart w:id="722" w:name="_Toc337558733"/>
      <w:bookmarkStart w:id="723" w:name="_Toc296503033"/>
      <w:bookmarkStart w:id="724" w:name="_Toc296346534"/>
      <w:r>
        <w:rPr>
          <w:rFonts w:hint="eastAsia"/>
          <w:color w:val="000000" w:themeColor="text1"/>
          <w:sz w:val="21"/>
          <w:szCs w:val="21"/>
          <w14:textFill>
            <w14:solidFill>
              <w14:schemeClr w14:val="tx1"/>
            </w14:solidFill>
          </w14:textFill>
        </w:rPr>
        <w:t>.7联络</w:t>
      </w:r>
      <w:bookmarkEnd w:id="720"/>
      <w:bookmarkEnd w:id="721"/>
    </w:p>
    <w:bookmarkEnd w:id="722"/>
    <w:bookmarkEnd w:id="723"/>
    <w:bookmarkEnd w:id="724"/>
    <w:p w14:paraId="5D681E5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1.7.1 与合同有关的通知、批准、证明、证书、指示、指令、要求、请求、同意、意见、确定和决定等，均应采用书面形式，并应在合同约定的期限内送达接收人和送达地点。</w:t>
      </w:r>
    </w:p>
    <w:p w14:paraId="5792566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1.7.2 发包人和承包人应在专用合同条款中约定各自的送达接收人和送达地点。任何一方合同当事人指定的接收人或送达地点发生变动的，应提前3天以书面形式通知对方。</w:t>
      </w:r>
    </w:p>
    <w:p w14:paraId="56E75CE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1.7.3 发包人和承包人应当及时签收另一方送达至送达地点和指定接收人的来往信函。拒不签收的，由此增加的费用和（或）延误的工期由拒绝接收一方承担。</w:t>
      </w:r>
    </w:p>
    <w:p w14:paraId="05AE4D36">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25" w:name="_Toc532377189"/>
      <w:bookmarkStart w:id="726" w:name="_Toc351203503"/>
      <w:r>
        <w:rPr>
          <w:rFonts w:hint="eastAsia"/>
          <w:color w:val="000000" w:themeColor="text1"/>
          <w:sz w:val="21"/>
          <w:szCs w:val="21"/>
          <w14:textFill>
            <w14:solidFill>
              <w14:schemeClr w14:val="tx1"/>
            </w14:solidFill>
          </w14:textFill>
        </w:rPr>
        <w:t>1</w:t>
      </w:r>
      <w:bookmarkStart w:id="727" w:name="_Toc296503035"/>
      <w:bookmarkStart w:id="728" w:name="_Toc296346536"/>
      <w:bookmarkStart w:id="729" w:name="_Toc337558734"/>
      <w:r>
        <w:rPr>
          <w:rFonts w:hint="eastAsia"/>
          <w:color w:val="000000" w:themeColor="text1"/>
          <w:sz w:val="21"/>
          <w:szCs w:val="21"/>
          <w14:textFill>
            <w14:solidFill>
              <w14:schemeClr w14:val="tx1"/>
            </w14:solidFill>
          </w14:textFill>
        </w:rPr>
        <w:t>.8严禁贿赂</w:t>
      </w:r>
      <w:bookmarkEnd w:id="725"/>
      <w:bookmarkEnd w:id="726"/>
    </w:p>
    <w:bookmarkEnd w:id="727"/>
    <w:bookmarkEnd w:id="728"/>
    <w:bookmarkEnd w:id="729"/>
    <w:p w14:paraId="11D060F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合同当事人不得以贿赂或变相贿赂的方式，谋取非法利益或损害对方权益。因一方合同当事人的贿赂造成对方损失的，应赔偿损失，并承担相应的法律责任。</w:t>
      </w:r>
    </w:p>
    <w:p w14:paraId="3114CF3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承包人不得与监理人或发包人聘请的第三方串通损害发包人利益。未经发包人书面同意，承包人不得为监理人提供合同约定以外的通讯设备、交通工具及其他任何形式的利益，不得向监理人支付报酬。</w:t>
      </w:r>
    </w:p>
    <w:p w14:paraId="4F7CD359">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30" w:name="_Toc351203504"/>
      <w:bookmarkStart w:id="731" w:name="_Toc532377190"/>
      <w:r>
        <w:rPr>
          <w:rFonts w:hint="eastAsia"/>
          <w:color w:val="000000" w:themeColor="text1"/>
          <w:sz w:val="21"/>
          <w:szCs w:val="21"/>
          <w14:textFill>
            <w14:solidFill>
              <w14:schemeClr w14:val="tx1"/>
            </w14:solidFill>
          </w14:textFill>
        </w:rPr>
        <w:t>1</w:t>
      </w:r>
      <w:bookmarkStart w:id="732" w:name="_Toc296503036"/>
      <w:bookmarkStart w:id="733" w:name="_Toc337558735"/>
      <w:bookmarkStart w:id="734" w:name="_Toc296346537"/>
      <w:r>
        <w:rPr>
          <w:rFonts w:hint="eastAsia"/>
          <w:color w:val="000000" w:themeColor="text1"/>
          <w:sz w:val="21"/>
          <w:szCs w:val="21"/>
          <w14:textFill>
            <w14:solidFill>
              <w14:schemeClr w14:val="tx1"/>
            </w14:solidFill>
          </w14:textFill>
        </w:rPr>
        <w:t>.9化石、文物</w:t>
      </w:r>
      <w:bookmarkEnd w:id="730"/>
      <w:bookmarkEnd w:id="731"/>
    </w:p>
    <w:bookmarkEnd w:id="732"/>
    <w:bookmarkEnd w:id="733"/>
    <w:bookmarkEnd w:id="734"/>
    <w:p w14:paraId="25A81CE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454D353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发包人、监理人和承包人应按有关政府行政管理部门要求采取妥善的保护措施，由此增加的费用和（或）延误的工期由发包人承担。</w:t>
      </w:r>
    </w:p>
    <w:p w14:paraId="5C2D396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承包人发现文物后不及时报告或隐瞒不报，致使文物丢失或损坏的，应赔偿损失，并承担相应的法律责任。</w:t>
      </w:r>
    </w:p>
    <w:p w14:paraId="04C58C2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35" w:name="_Toc532377191"/>
      <w:bookmarkStart w:id="736" w:name="_Toc351203505"/>
      <w:r>
        <w:rPr>
          <w:rFonts w:hint="eastAsia"/>
          <w:color w:val="000000" w:themeColor="text1"/>
          <w:sz w:val="21"/>
          <w:szCs w:val="21"/>
          <w14:textFill>
            <w14:solidFill>
              <w14:schemeClr w14:val="tx1"/>
            </w14:solidFill>
          </w14:textFill>
        </w:rPr>
        <w:t>1</w:t>
      </w:r>
      <w:bookmarkStart w:id="737" w:name="_Toc337558736"/>
      <w:r>
        <w:rPr>
          <w:rFonts w:hint="eastAsia"/>
          <w:color w:val="000000" w:themeColor="text1"/>
          <w:sz w:val="21"/>
          <w:szCs w:val="21"/>
          <w14:textFill>
            <w14:solidFill>
              <w14:schemeClr w14:val="tx1"/>
            </w14:solidFill>
          </w14:textFill>
        </w:rPr>
        <w:t>.10交通运输</w:t>
      </w:r>
      <w:bookmarkEnd w:id="735"/>
      <w:bookmarkEnd w:id="736"/>
    </w:p>
    <w:bookmarkEnd w:id="737"/>
    <w:p w14:paraId="12C2435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1.10.1 出入现场的权利</w:t>
      </w:r>
    </w:p>
    <w:p w14:paraId="634AD12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752022F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承包人应在订立合同前查勘施工现场，并根据工程规模及技术参数合理预见工程施工所需的进出施工现场的方式、手段、路径等。因承包人未合理预见所增加的费用和（或）延误的工期由承包人承担。</w:t>
      </w:r>
    </w:p>
    <w:p w14:paraId="4991A02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1.10.2 场外交通</w:t>
      </w:r>
    </w:p>
    <w:p w14:paraId="2775653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71E9AEA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1.10.3场内交通</w:t>
      </w:r>
    </w:p>
    <w:p w14:paraId="46E26E3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5FB0B60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634B322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场外交通和场内交通的边界由合同当事人在专用合同条款中约定。</w:t>
      </w:r>
    </w:p>
    <w:p w14:paraId="7FC1E60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1.10.4 超大件和超重件的运输</w:t>
      </w:r>
    </w:p>
    <w:p w14:paraId="11B83BD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50F1C21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1.10.5 道路和桥梁的损坏责任</w:t>
      </w:r>
    </w:p>
    <w:p w14:paraId="71C2FCC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因承包人运输造成施工场地内外公共道路和桥梁损坏的，由承包人承担修复损坏的全部费用和可能引起的赔偿。</w:t>
      </w:r>
    </w:p>
    <w:p w14:paraId="1813235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1.10.6 水路和航空运输</w:t>
      </w:r>
    </w:p>
    <w:p w14:paraId="7C67717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本款前述各项的内容适用于水路运输和航空运输，其中“道路”一词的涵义包括河道、航线、船闸、机场、码头、堤防以及水路或航空运输中其他相似结构物；“车辆”一词的涵义包括船舶和飞机等。</w:t>
      </w:r>
    </w:p>
    <w:p w14:paraId="426C14B7">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38" w:name="_Toc532377192"/>
      <w:bookmarkStart w:id="739" w:name="_Toc351203506"/>
      <w:r>
        <w:rPr>
          <w:rFonts w:hint="eastAsia"/>
          <w:color w:val="000000" w:themeColor="text1"/>
          <w:sz w:val="21"/>
          <w:szCs w:val="21"/>
          <w14:textFill>
            <w14:solidFill>
              <w14:schemeClr w14:val="tx1"/>
            </w14:solidFill>
          </w14:textFill>
        </w:rPr>
        <w:t>1</w:t>
      </w:r>
      <w:bookmarkStart w:id="740" w:name="_Toc337558737"/>
      <w:bookmarkStart w:id="741" w:name="_Toc296346538"/>
      <w:bookmarkStart w:id="742" w:name="_Toc296503037"/>
      <w:r>
        <w:rPr>
          <w:rFonts w:hint="eastAsia"/>
          <w:color w:val="000000" w:themeColor="text1"/>
          <w:sz w:val="21"/>
          <w:szCs w:val="21"/>
          <w14:textFill>
            <w14:solidFill>
              <w14:schemeClr w14:val="tx1"/>
            </w14:solidFill>
          </w14:textFill>
        </w:rPr>
        <w:t>.11知识产权</w:t>
      </w:r>
      <w:bookmarkEnd w:id="738"/>
      <w:bookmarkEnd w:id="739"/>
      <w:bookmarkEnd w:id="740"/>
    </w:p>
    <w:bookmarkEnd w:id="741"/>
    <w:bookmarkEnd w:id="742"/>
    <w:p w14:paraId="72C4D78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3FF1D8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39477D7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088C228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1.11.4 除专用合同条款另有约定外，承包人在合同签订前和签订时已确定采用的专利、专有技术、技术秘密的使用费已包含在签约合同价中。</w:t>
      </w:r>
    </w:p>
    <w:p w14:paraId="198254A9">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43" w:name="_Toc351203507"/>
      <w:bookmarkStart w:id="744" w:name="_Toc532377193"/>
      <w:r>
        <w:rPr>
          <w:rFonts w:hint="eastAsia"/>
          <w:color w:val="000000" w:themeColor="text1"/>
          <w:sz w:val="21"/>
          <w:szCs w:val="21"/>
          <w14:textFill>
            <w14:solidFill>
              <w14:schemeClr w14:val="tx1"/>
            </w14:solidFill>
          </w14:textFill>
        </w:rPr>
        <w:t>1</w:t>
      </w:r>
      <w:bookmarkStart w:id="745" w:name="_Toc337558738"/>
      <w:r>
        <w:rPr>
          <w:rFonts w:hint="eastAsia"/>
          <w:color w:val="000000" w:themeColor="text1"/>
          <w:sz w:val="21"/>
          <w:szCs w:val="21"/>
          <w14:textFill>
            <w14:solidFill>
              <w14:schemeClr w14:val="tx1"/>
            </w14:solidFill>
          </w14:textFill>
        </w:rPr>
        <w:t>.12保密</w:t>
      </w:r>
      <w:bookmarkEnd w:id="743"/>
      <w:bookmarkEnd w:id="744"/>
    </w:p>
    <w:bookmarkEnd w:id="745"/>
    <w:p w14:paraId="59FC0EC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除法律规定或合同另有约定外，未经发包人同意，承包人不得将发包人提供的图纸、文件以及声明需要保密的资料信息等商业秘密泄露给第三方。</w:t>
      </w:r>
    </w:p>
    <w:p w14:paraId="6D3AF3F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除法律规定或合同另有约定外，未经承包人同意，发包人不得将承包人提供的技术秘密及声明需要保密的资料信息等商业秘密泄露给第三方。</w:t>
      </w:r>
    </w:p>
    <w:p w14:paraId="2CF5B31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46" w:name="_Toc351203508"/>
      <w:bookmarkStart w:id="747" w:name="_Toc532377194"/>
      <w:r>
        <w:rPr>
          <w:rFonts w:hint="eastAsia"/>
          <w:color w:val="000000" w:themeColor="text1"/>
          <w:sz w:val="21"/>
          <w:szCs w:val="21"/>
          <w14:textFill>
            <w14:solidFill>
              <w14:schemeClr w14:val="tx1"/>
            </w14:solidFill>
          </w14:textFill>
        </w:rPr>
        <w:t>1.13工程量清单错误的修正</w:t>
      </w:r>
      <w:bookmarkEnd w:id="746"/>
      <w:bookmarkEnd w:id="747"/>
    </w:p>
    <w:p w14:paraId="5573F43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除专用合同条款另有约定外，发包人提供的工程量清单，应被认为是准确的和完整的。出现下列情形之一时，发包人应予以修正，并相应调整合同价格：</w:t>
      </w:r>
    </w:p>
    <w:p w14:paraId="4FD0D54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（1）工程量清单存在缺项、漏项的；</w:t>
      </w:r>
    </w:p>
    <w:p w14:paraId="5AB9920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（2）工程量清单偏差超出专用合同条款约定的工程量偏差范围的；</w:t>
      </w:r>
    </w:p>
    <w:p w14:paraId="2981FDF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（3）未按照国家现行计量规范强制性规定计量的。</w:t>
      </w:r>
    </w:p>
    <w:p w14:paraId="5909FE23">
      <w:pPr>
        <w:pStyle w:val="6"/>
        <w:keepNext/>
        <w:keepLines/>
        <w:spacing w:before="156" w:beforeLines="50" w:beforeAutospacing="0" w:after="156" w:afterLines="50" w:afterAutospacing="0" w:line="360" w:lineRule="auto"/>
        <w:jc w:val="both"/>
        <w:rPr>
          <w:rFonts w:hint="eastAsia"/>
          <w:color w:val="000000" w:themeColor="text1"/>
          <w:kern w:val="2"/>
          <w:sz w:val="21"/>
          <w:szCs w:val="21"/>
          <w14:textFill>
            <w14:solidFill>
              <w14:schemeClr w14:val="tx1"/>
            </w14:solidFill>
          </w14:textFill>
        </w:rPr>
      </w:pPr>
      <w:bookmarkStart w:id="748" w:name="_Toc532375588"/>
      <w:bookmarkStart w:id="749" w:name="_Toc532377195"/>
      <w:bookmarkStart w:id="750" w:name="_Toc351203509"/>
      <w:r>
        <w:rPr>
          <w:rFonts w:hint="eastAsia"/>
          <w:color w:val="000000" w:themeColor="text1"/>
          <w:kern w:val="2"/>
          <w:sz w:val="21"/>
          <w:szCs w:val="21"/>
          <w14:textFill>
            <w14:solidFill>
              <w14:schemeClr w14:val="tx1"/>
            </w14:solidFill>
          </w14:textFill>
        </w:rPr>
        <w:t>2</w:t>
      </w:r>
      <w:bookmarkStart w:id="751" w:name="_Toc296346539"/>
      <w:bookmarkStart w:id="752" w:name="_Toc296503038"/>
      <w:bookmarkStart w:id="753" w:name="_Toc337558739"/>
      <w:bookmarkStart w:id="754" w:name="OLE_LINK2"/>
      <w:r>
        <w:rPr>
          <w:rFonts w:hint="eastAsia"/>
          <w:color w:val="000000" w:themeColor="text1"/>
          <w:kern w:val="2"/>
          <w:sz w:val="21"/>
          <w:szCs w:val="21"/>
          <w14:textFill>
            <w14:solidFill>
              <w14:schemeClr w14:val="tx1"/>
            </w14:solidFill>
          </w14:textFill>
        </w:rPr>
        <w:t>. 发包人</w:t>
      </w:r>
      <w:bookmarkEnd w:id="748"/>
      <w:bookmarkEnd w:id="749"/>
      <w:bookmarkEnd w:id="750"/>
    </w:p>
    <w:bookmarkEnd w:id="751"/>
    <w:bookmarkEnd w:id="752"/>
    <w:bookmarkEnd w:id="753"/>
    <w:p w14:paraId="71A46545">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55" w:name="_Toc532377196"/>
      <w:bookmarkStart w:id="756" w:name="_Toc351203510"/>
      <w:r>
        <w:rPr>
          <w:rFonts w:hint="eastAsia"/>
          <w:color w:val="000000" w:themeColor="text1"/>
          <w:sz w:val="21"/>
          <w:szCs w:val="21"/>
          <w14:textFill>
            <w14:solidFill>
              <w14:schemeClr w14:val="tx1"/>
            </w14:solidFill>
          </w14:textFill>
        </w:rPr>
        <w:t>2</w:t>
      </w:r>
      <w:bookmarkStart w:id="757" w:name="_Toc296346540"/>
      <w:bookmarkStart w:id="758" w:name="_Toc296503039"/>
      <w:bookmarkStart w:id="759" w:name="_Toc337558740"/>
      <w:r>
        <w:rPr>
          <w:rFonts w:hint="eastAsia"/>
          <w:color w:val="000000" w:themeColor="text1"/>
          <w:sz w:val="21"/>
          <w:szCs w:val="21"/>
          <w14:textFill>
            <w14:solidFill>
              <w14:schemeClr w14:val="tx1"/>
            </w14:solidFill>
          </w14:textFill>
        </w:rPr>
        <w:t>.1 许可或批准</w:t>
      </w:r>
      <w:bookmarkEnd w:id="755"/>
      <w:bookmarkEnd w:id="756"/>
    </w:p>
    <w:p w14:paraId="47AD52F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161FC96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因发包人原因未能及时办理完毕前述许可、批准或备案，由发包人承担由此增加的费用和（或）延误的工期，并支付承包人合理的利润。</w:t>
      </w:r>
    </w:p>
    <w:p w14:paraId="05E529AC">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60" w:name="_Toc532377197"/>
      <w:bookmarkStart w:id="761" w:name="_Toc351203511"/>
      <w:r>
        <w:rPr>
          <w:rFonts w:hint="eastAsia"/>
          <w:color w:val="000000" w:themeColor="text1"/>
          <w:sz w:val="21"/>
          <w:szCs w:val="21"/>
          <w14:textFill>
            <w14:solidFill>
              <w14:schemeClr w14:val="tx1"/>
            </w14:solidFill>
          </w14:textFill>
        </w:rPr>
        <w:t>2.2 发包人代表</w:t>
      </w:r>
      <w:bookmarkEnd w:id="760"/>
      <w:bookmarkEnd w:id="761"/>
    </w:p>
    <w:p w14:paraId="01C5AF7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1D5E792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发包人代表不能按照合同约定履行其职责及义务，并导致合同无法继续正常履行的，承包人可以要求发包人撤换发包人代表。</w:t>
      </w:r>
    </w:p>
    <w:p w14:paraId="16A5A9A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不属于法定必须监理的工程，监理人的职权可以由发包人代表或发包人指定的其他人员行使。</w:t>
      </w:r>
    </w:p>
    <w:p w14:paraId="747BA17F">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62" w:name="_Toc532377198"/>
      <w:bookmarkStart w:id="763" w:name="_Toc351203512"/>
      <w:r>
        <w:rPr>
          <w:rFonts w:hint="eastAsia"/>
          <w:color w:val="000000" w:themeColor="text1"/>
          <w:sz w:val="21"/>
          <w:szCs w:val="21"/>
          <w14:textFill>
            <w14:solidFill>
              <w14:schemeClr w14:val="tx1"/>
            </w14:solidFill>
          </w14:textFill>
        </w:rPr>
        <w:t>2.3 发包人人员</w:t>
      </w:r>
      <w:bookmarkEnd w:id="762"/>
      <w:bookmarkEnd w:id="763"/>
    </w:p>
    <w:p w14:paraId="5DD56D6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发包人应要求在施工现场的发包人人员遵守法律及有关安全、质量、环境保护、文明施工等规定，并保障承包人免于承受因发包人人员未遵守上述要求给承包人造成的损失和责任。</w:t>
      </w:r>
    </w:p>
    <w:p w14:paraId="7171DC4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发包人人员包括发包人代表及其他由发包人派驻施工现场的人员。</w:t>
      </w:r>
      <w:bookmarkEnd w:id="757"/>
      <w:bookmarkEnd w:id="758"/>
      <w:bookmarkEnd w:id="759"/>
    </w:p>
    <w:p w14:paraId="5A0046D0">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64" w:name="_Toc532377199"/>
      <w:bookmarkStart w:id="765" w:name="_Toc351203513"/>
      <w:r>
        <w:rPr>
          <w:rFonts w:hint="eastAsia"/>
          <w:color w:val="000000" w:themeColor="text1"/>
          <w:sz w:val="21"/>
          <w:szCs w:val="21"/>
          <w14:textFill>
            <w14:solidFill>
              <w14:schemeClr w14:val="tx1"/>
            </w14:solidFill>
          </w14:textFill>
        </w:rPr>
        <w:t>2</w:t>
      </w:r>
      <w:bookmarkStart w:id="766" w:name="_Toc296346541"/>
      <w:bookmarkStart w:id="767" w:name="_Toc337558741"/>
      <w:bookmarkStart w:id="768" w:name="_Toc296503040"/>
      <w:r>
        <w:rPr>
          <w:rFonts w:hint="eastAsia"/>
          <w:color w:val="000000" w:themeColor="text1"/>
          <w:sz w:val="21"/>
          <w:szCs w:val="21"/>
          <w14:textFill>
            <w14:solidFill>
              <w14:schemeClr w14:val="tx1"/>
            </w14:solidFill>
          </w14:textFill>
        </w:rPr>
        <w:t>.4 施工现场、施工条件和基础资料的提供</w:t>
      </w:r>
      <w:bookmarkEnd w:id="764"/>
      <w:bookmarkEnd w:id="765"/>
      <w:bookmarkEnd w:id="766"/>
      <w:bookmarkEnd w:id="767"/>
      <w:bookmarkEnd w:id="768"/>
    </w:p>
    <w:p w14:paraId="450D5A2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2.4.1 提供施工现场</w:t>
      </w:r>
    </w:p>
    <w:p w14:paraId="7464C07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w:t>
      </w:r>
      <w:bookmarkEnd w:id="754"/>
      <w:r>
        <w:rPr>
          <w:rFonts w:hint="eastAsia" w:ascii="宋体" w:hAnsi="宋体"/>
          <w:color w:val="000000" w:themeColor="text1"/>
          <w:kern w:val="0"/>
          <w:szCs w:val="21"/>
          <w14:textFill>
            <w14:solidFill>
              <w14:schemeClr w14:val="tx1"/>
            </w14:solidFill>
          </w14:textFill>
        </w:rPr>
        <w:t>专用合同条款另有约定外，发包人应最迟于开工日期7天前向承包人移交施工现场。</w:t>
      </w:r>
    </w:p>
    <w:p w14:paraId="1F3149A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2.4.2 提供施工条件</w:t>
      </w:r>
    </w:p>
    <w:p w14:paraId="2A66C68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除专用合同条款另有约定外，发包人应负责提供施工所需要的条件，包括：</w:t>
      </w:r>
    </w:p>
    <w:p w14:paraId="05ECFEE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（1）将施工用水、电力、通讯线路等施工所必需的条件接至施工现场内；</w:t>
      </w:r>
    </w:p>
    <w:p w14:paraId="3E39290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（2）保证向承包人提供正常施工所需要的进入施工现场的交通条件；</w:t>
      </w:r>
    </w:p>
    <w:p w14:paraId="676FF5F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（3）协调处理施工现场周围地下管线和邻近建筑物、构筑物、古树名木的保护工作，并承担相关费用；</w:t>
      </w:r>
    </w:p>
    <w:p w14:paraId="73B9F18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（4）按照专用合同条款约定应提供的其他设施和条件。</w:t>
      </w:r>
    </w:p>
    <w:p w14:paraId="2D859FD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2.4.3 提供基础资料</w:t>
      </w:r>
    </w:p>
    <w:p w14:paraId="0E2B595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7223135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按照法律规定确需在开工后方能提供的基础资料，发包人应尽其努力及时地在相应工程施工前的合理期限内提供，合理期限应以不影响承包人的正常施工为限。</w:t>
      </w:r>
    </w:p>
    <w:p w14:paraId="58750F3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2.4.4 逾期提供的责任</w:t>
      </w:r>
    </w:p>
    <w:p w14:paraId="0F0CBB0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因发包人原因未能按合同约定及时向承包人提供施工现场、施工条件、基础资料的，由发包人承担由此增加的费用和（或）延误的工期。</w:t>
      </w:r>
    </w:p>
    <w:p w14:paraId="6A4AA695">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69" w:name="_Toc532377200"/>
      <w:bookmarkStart w:id="770" w:name="_Toc351203514"/>
      <w:r>
        <w:rPr>
          <w:rFonts w:hint="eastAsia"/>
          <w:color w:val="000000" w:themeColor="text1"/>
          <w:sz w:val="21"/>
          <w:szCs w:val="21"/>
          <w14:textFill>
            <w14:solidFill>
              <w14:schemeClr w14:val="tx1"/>
            </w14:solidFill>
          </w14:textFill>
        </w:rPr>
        <w:t>2</w:t>
      </w:r>
      <w:bookmarkStart w:id="771" w:name="_Toc296503042"/>
      <w:bookmarkStart w:id="772" w:name="_Toc337558745"/>
      <w:bookmarkStart w:id="773" w:name="_Toc296346543"/>
      <w:r>
        <w:rPr>
          <w:rFonts w:hint="eastAsia"/>
          <w:color w:val="000000" w:themeColor="text1"/>
          <w:sz w:val="21"/>
          <w:szCs w:val="21"/>
          <w14:textFill>
            <w14:solidFill>
              <w14:schemeClr w14:val="tx1"/>
            </w14:solidFill>
          </w14:textFill>
        </w:rPr>
        <w:t>.5 资</w:t>
      </w:r>
      <w:bookmarkEnd w:id="771"/>
      <w:bookmarkEnd w:id="772"/>
      <w:bookmarkEnd w:id="773"/>
      <w:r>
        <w:rPr>
          <w:rFonts w:hint="eastAsia"/>
          <w:color w:val="000000" w:themeColor="text1"/>
          <w:sz w:val="21"/>
          <w:szCs w:val="21"/>
          <w14:textFill>
            <w14:solidFill>
              <w14:schemeClr w14:val="tx1"/>
            </w14:solidFill>
          </w14:textFill>
        </w:rPr>
        <w:t>金来源证明及支付担保</w:t>
      </w:r>
      <w:bookmarkEnd w:id="769"/>
      <w:bookmarkEnd w:id="770"/>
    </w:p>
    <w:p w14:paraId="6ADC0EB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除专用合同条款另有约定外，发包人应在收到承包人要求提供资金来源证明的书面通知后28天内，向承包人提供能够按照合同约定支付合同价款的相应资金来源证明。</w:t>
      </w:r>
    </w:p>
    <w:p w14:paraId="2D2BB46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除专用合同条款另有约定外，发包人要求承包人提供履约担保的，发包人应当向承包人提供支付担保。支付担保可以采用银行保函或担保公司担保等形式，具体由合同当事人在专用合同条款中约定。</w:t>
      </w:r>
    </w:p>
    <w:p w14:paraId="3A3CD9DB">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74" w:name="_Toc351203515"/>
      <w:bookmarkStart w:id="775" w:name="_Toc532377201"/>
      <w:r>
        <w:rPr>
          <w:rFonts w:hint="eastAsia"/>
          <w:color w:val="000000" w:themeColor="text1"/>
          <w:sz w:val="21"/>
          <w:szCs w:val="21"/>
          <w14:textFill>
            <w14:solidFill>
              <w14:schemeClr w14:val="tx1"/>
            </w14:solidFill>
          </w14:textFill>
        </w:rPr>
        <w:t>2.6 支付合同价款</w:t>
      </w:r>
      <w:bookmarkEnd w:id="774"/>
      <w:bookmarkEnd w:id="775"/>
    </w:p>
    <w:p w14:paraId="3FBDE62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发包人应按合同约定向承包人及时支付合同价款。</w:t>
      </w:r>
    </w:p>
    <w:p w14:paraId="1AF1B747">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76" w:name="_Toc532377202"/>
      <w:bookmarkStart w:id="777" w:name="_Toc351203516"/>
      <w:r>
        <w:rPr>
          <w:rFonts w:hint="eastAsia"/>
          <w:color w:val="000000" w:themeColor="text1"/>
          <w:sz w:val="21"/>
          <w:szCs w:val="21"/>
          <w14:textFill>
            <w14:solidFill>
              <w14:schemeClr w14:val="tx1"/>
            </w14:solidFill>
          </w14:textFill>
        </w:rPr>
        <w:t>2.7 组织竣工验收</w:t>
      </w:r>
      <w:bookmarkEnd w:id="776"/>
      <w:bookmarkEnd w:id="777"/>
    </w:p>
    <w:p w14:paraId="7979B0A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发包人应按合同约定及时组织竣工验收。</w:t>
      </w:r>
    </w:p>
    <w:p w14:paraId="2E6493AA">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78" w:name="_Toc532377203"/>
      <w:bookmarkStart w:id="779" w:name="_Toc351203517"/>
      <w:r>
        <w:rPr>
          <w:rFonts w:hint="eastAsia"/>
          <w:color w:val="000000" w:themeColor="text1"/>
          <w:sz w:val="21"/>
          <w:szCs w:val="21"/>
          <w14:textFill>
            <w14:solidFill>
              <w14:schemeClr w14:val="tx1"/>
            </w14:solidFill>
          </w14:textFill>
        </w:rPr>
        <w:t>2.8 现场统一管理协议</w:t>
      </w:r>
      <w:bookmarkEnd w:id="778"/>
      <w:bookmarkEnd w:id="779"/>
    </w:p>
    <w:p w14:paraId="41F5BFE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发包人应与承包人、由发包人直接发包的专业工程的承包人签订施工现场统一管理协议，明确各方的权利义务。施工现场统一管理协议作为专用合同条款的附件。</w:t>
      </w:r>
    </w:p>
    <w:p w14:paraId="0318209D">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780" w:name="_Toc351203518"/>
      <w:bookmarkStart w:id="781" w:name="_Toc532375589"/>
      <w:bookmarkStart w:id="782" w:name="_Toc532377204"/>
      <w:r>
        <w:rPr>
          <w:rFonts w:hint="eastAsia"/>
          <w:color w:val="000000" w:themeColor="text1"/>
          <w:kern w:val="2"/>
          <w:sz w:val="21"/>
          <w:szCs w:val="21"/>
          <w14:textFill>
            <w14:solidFill>
              <w14:schemeClr w14:val="tx1"/>
            </w14:solidFill>
          </w14:textFill>
        </w:rPr>
        <w:t>3</w:t>
      </w:r>
      <w:bookmarkStart w:id="783" w:name="_Toc296346546"/>
      <w:bookmarkStart w:id="784" w:name="_Toc296503045"/>
      <w:bookmarkStart w:id="785" w:name="_Toc337558746"/>
      <w:r>
        <w:rPr>
          <w:rFonts w:hint="eastAsia"/>
          <w:color w:val="000000" w:themeColor="text1"/>
          <w:kern w:val="2"/>
          <w:sz w:val="21"/>
          <w:szCs w:val="21"/>
          <w14:textFill>
            <w14:solidFill>
              <w14:schemeClr w14:val="tx1"/>
            </w14:solidFill>
          </w14:textFill>
        </w:rPr>
        <w:t>. 承包人</w:t>
      </w:r>
      <w:bookmarkEnd w:id="780"/>
      <w:bookmarkEnd w:id="781"/>
      <w:bookmarkEnd w:id="782"/>
    </w:p>
    <w:bookmarkEnd w:id="783"/>
    <w:bookmarkEnd w:id="784"/>
    <w:bookmarkEnd w:id="785"/>
    <w:p w14:paraId="0E3E0942">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86" w:name="_Toc351203519"/>
      <w:bookmarkStart w:id="787" w:name="_Toc532377205"/>
      <w:r>
        <w:rPr>
          <w:rFonts w:hint="eastAsia"/>
          <w:color w:val="000000" w:themeColor="text1"/>
          <w:sz w:val="21"/>
          <w:szCs w:val="21"/>
          <w14:textFill>
            <w14:solidFill>
              <w14:schemeClr w14:val="tx1"/>
            </w14:solidFill>
          </w14:textFill>
        </w:rPr>
        <w:t>3</w:t>
      </w:r>
      <w:bookmarkStart w:id="788" w:name="_Toc337558747"/>
      <w:bookmarkStart w:id="789" w:name="_Toc296346547"/>
      <w:bookmarkStart w:id="790" w:name="_Toc296503046"/>
      <w:r>
        <w:rPr>
          <w:rFonts w:hint="eastAsia"/>
          <w:color w:val="000000" w:themeColor="text1"/>
          <w:sz w:val="21"/>
          <w:szCs w:val="21"/>
          <w14:textFill>
            <w14:solidFill>
              <w14:schemeClr w14:val="tx1"/>
            </w14:solidFill>
          </w14:textFill>
        </w:rPr>
        <w:t>.1 承包人的一般义务</w:t>
      </w:r>
      <w:bookmarkEnd w:id="786"/>
      <w:bookmarkEnd w:id="787"/>
    </w:p>
    <w:bookmarkEnd w:id="788"/>
    <w:bookmarkEnd w:id="789"/>
    <w:bookmarkEnd w:id="790"/>
    <w:p w14:paraId="4D31DAB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承包人在履行合同过程中应遵守法律和工程建设标准规范，并履行以下义务：</w:t>
      </w:r>
    </w:p>
    <w:p w14:paraId="2851806F">
      <w:pPr>
        <w:numPr>
          <w:ilvl w:val="0"/>
          <w:numId w:val="1"/>
        </w:num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办理法律规定应由承包人办理的许可和批准，并将办理结果书面报送发包人留存；</w:t>
      </w:r>
    </w:p>
    <w:p w14:paraId="5CB8DA7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（2）按法律规定和合同约定完成工程，并在保修期内承担保修义务；</w:t>
      </w:r>
    </w:p>
    <w:p w14:paraId="47D41DC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（3）按法律规定和合同约定采取施工安全和环境保护措施，办理工伤保险，确保工程及人员、材料、设备和设施的安全；</w:t>
      </w:r>
    </w:p>
    <w:p w14:paraId="565AABA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（4）按合同约定的工作内容和施工进度要求，编制施工组织设计和施工措施计划，并对所有施工作业和施工方法的完备性和安全可靠性负责；</w:t>
      </w:r>
    </w:p>
    <w:p w14:paraId="146641C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D570BE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（6）按照第6.3款〔环境保护〕约定负责施工场地及其周边环境与生态的保护工作；</w:t>
      </w:r>
    </w:p>
    <w:p w14:paraId="6248109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（7）按第6.1款〔安全文明施工〕约定采取施工安全措施，确保工程及其人员、材料、设备和设施的安全，防止因工程施工造成的人身伤害和财产损失；</w:t>
      </w:r>
    </w:p>
    <w:p w14:paraId="34824EC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（8）将发包人按合同约定支付的各项价款专用于合同工程，且应及时支付其雇用人员工资，并及时向分包人支付合同价款；</w:t>
      </w:r>
    </w:p>
    <w:p w14:paraId="2051F27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（9）按照法律规定和合同约定编制竣工资料，完成竣工资料立卷及归档，并按专用合同条款约定的竣工资料的套数、内容、时间等要求移交发包人；</w:t>
      </w:r>
    </w:p>
    <w:p w14:paraId="24D8265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（10）应履行的其他义务。</w:t>
      </w:r>
    </w:p>
    <w:p w14:paraId="38C05D4A">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91" w:name="_Toc351203520"/>
      <w:bookmarkStart w:id="792" w:name="_Toc532377206"/>
      <w:r>
        <w:rPr>
          <w:rFonts w:hint="eastAsia"/>
          <w:color w:val="000000" w:themeColor="text1"/>
          <w:sz w:val="21"/>
          <w:szCs w:val="21"/>
          <w14:textFill>
            <w14:solidFill>
              <w14:schemeClr w14:val="tx1"/>
            </w14:solidFill>
          </w14:textFill>
        </w:rPr>
        <w:t>3</w:t>
      </w:r>
      <w:bookmarkStart w:id="793" w:name="_Toc337558748"/>
      <w:bookmarkStart w:id="794" w:name="_Toc296503047"/>
      <w:bookmarkStart w:id="795" w:name="_Toc296346548"/>
      <w:r>
        <w:rPr>
          <w:rFonts w:hint="eastAsia"/>
          <w:color w:val="000000" w:themeColor="text1"/>
          <w:sz w:val="21"/>
          <w:szCs w:val="21"/>
          <w14:textFill>
            <w14:solidFill>
              <w14:schemeClr w14:val="tx1"/>
            </w14:solidFill>
          </w14:textFill>
        </w:rPr>
        <w:t xml:space="preserve">.2 </w:t>
      </w:r>
      <w:bookmarkEnd w:id="791"/>
      <w:r>
        <w:rPr>
          <w:rFonts w:hint="eastAsia"/>
          <w:color w:val="000000" w:themeColor="text1"/>
          <w:sz w:val="21"/>
          <w:szCs w:val="21"/>
          <w14:textFill>
            <w14:solidFill>
              <w14:schemeClr w14:val="tx1"/>
            </w14:solidFill>
          </w14:textFill>
        </w:rPr>
        <w:t>项目经理</w:t>
      </w:r>
      <w:bookmarkEnd w:id="792"/>
    </w:p>
    <w:bookmarkEnd w:id="793"/>
    <w:bookmarkEnd w:id="794"/>
    <w:bookmarkEnd w:id="795"/>
    <w:p w14:paraId="63984FB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6663A81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2CC9B93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承包人违反上述约定的，应按照专用合同条款的约定，承担违约责任。</w:t>
      </w:r>
    </w:p>
    <w:p w14:paraId="0FEB5AB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37299BC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32FB850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4FDB18C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3.2.5 项目经理因特殊情况授权其下属人员履行其某项工作职责的，该下属人员应具备履行相应职责的能力，并应提前7天将上述人员的姓名和授权范围书面通知监理人，并征得发包人书面同意。</w:t>
      </w:r>
    </w:p>
    <w:p w14:paraId="1FCE1F92">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796" w:name="_Toc532377207"/>
      <w:bookmarkStart w:id="797" w:name="_Toc351203521"/>
      <w:r>
        <w:rPr>
          <w:rFonts w:hint="eastAsia"/>
          <w:color w:val="000000" w:themeColor="text1"/>
          <w:sz w:val="21"/>
          <w:szCs w:val="21"/>
          <w14:textFill>
            <w14:solidFill>
              <w14:schemeClr w14:val="tx1"/>
            </w14:solidFill>
          </w14:textFill>
        </w:rPr>
        <w:t>3</w:t>
      </w:r>
      <w:bookmarkStart w:id="798" w:name="_Toc296503048"/>
      <w:bookmarkStart w:id="799" w:name="_Toc296346549"/>
      <w:bookmarkStart w:id="800" w:name="_Toc337558749"/>
      <w:r>
        <w:rPr>
          <w:rFonts w:hint="eastAsia"/>
          <w:color w:val="000000" w:themeColor="text1"/>
          <w:sz w:val="21"/>
          <w:szCs w:val="21"/>
          <w14:textFill>
            <w14:solidFill>
              <w14:schemeClr w14:val="tx1"/>
            </w14:solidFill>
          </w14:textFill>
        </w:rPr>
        <w:t xml:space="preserve">.3 </w:t>
      </w:r>
      <w:bookmarkEnd w:id="798"/>
      <w:bookmarkEnd w:id="799"/>
      <w:r>
        <w:rPr>
          <w:rFonts w:hint="eastAsia"/>
          <w:color w:val="000000" w:themeColor="text1"/>
          <w:sz w:val="21"/>
          <w:szCs w:val="21"/>
          <w14:textFill>
            <w14:solidFill>
              <w14:schemeClr w14:val="tx1"/>
            </w14:solidFill>
          </w14:textFill>
        </w:rPr>
        <w:t>承包人人员</w:t>
      </w:r>
      <w:bookmarkEnd w:id="796"/>
      <w:bookmarkEnd w:id="797"/>
    </w:p>
    <w:bookmarkEnd w:id="800"/>
    <w:p w14:paraId="7681DD3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F4859D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03E6D1E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特殊工种作业人员均应持有相应的资格证明，监理人可以随时检查。</w:t>
      </w:r>
    </w:p>
    <w:p w14:paraId="102739C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0410D98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7F4D537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3.3.5 承包人擅自更换主要施工管理人员，或前述人员未经监理人或发包人同意擅自离开施工现场的，应按照专用合同条款约定承担违约责任。</w:t>
      </w:r>
    </w:p>
    <w:p w14:paraId="1045DDA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01" w:name="_Toc532377208"/>
      <w:bookmarkStart w:id="802" w:name="_Toc351203522"/>
      <w:r>
        <w:rPr>
          <w:rFonts w:hint="eastAsia"/>
          <w:color w:val="000000" w:themeColor="text1"/>
          <w:sz w:val="21"/>
          <w:szCs w:val="21"/>
          <w14:textFill>
            <w14:solidFill>
              <w14:schemeClr w14:val="tx1"/>
            </w14:solidFill>
          </w14:textFill>
        </w:rPr>
        <w:t>3</w:t>
      </w:r>
      <w:bookmarkStart w:id="803" w:name="_Toc296346551"/>
      <w:bookmarkStart w:id="804" w:name="_Toc337558750"/>
      <w:bookmarkStart w:id="805" w:name="_Toc296503050"/>
      <w:r>
        <w:rPr>
          <w:rFonts w:hint="eastAsia"/>
          <w:color w:val="000000" w:themeColor="text1"/>
          <w:sz w:val="21"/>
          <w:szCs w:val="21"/>
          <w14:textFill>
            <w14:solidFill>
              <w14:schemeClr w14:val="tx1"/>
            </w14:solidFill>
          </w14:textFill>
        </w:rPr>
        <w:t>.4 承包人现场查勘</w:t>
      </w:r>
      <w:bookmarkEnd w:id="801"/>
      <w:bookmarkEnd w:id="802"/>
    </w:p>
    <w:bookmarkEnd w:id="803"/>
    <w:bookmarkEnd w:id="804"/>
    <w:bookmarkEnd w:id="805"/>
    <w:p w14:paraId="50A8A80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承包人应对基于发包人按照第2.4.3项〔提供基础资料〕提交的基础资料所做出的解释和推断负责，但因基础资料存在错误、遗漏导致承包人解释或推断失实的，由发包人承担责任。</w:t>
      </w:r>
    </w:p>
    <w:p w14:paraId="5577C35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4DD467CC">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06" w:name="_Toc351203523"/>
      <w:bookmarkStart w:id="807" w:name="_Toc532377209"/>
      <w:r>
        <w:rPr>
          <w:rFonts w:hint="eastAsia"/>
          <w:color w:val="000000" w:themeColor="text1"/>
          <w:sz w:val="21"/>
          <w:szCs w:val="21"/>
          <w14:textFill>
            <w14:solidFill>
              <w14:schemeClr w14:val="tx1"/>
            </w14:solidFill>
          </w14:textFill>
        </w:rPr>
        <w:t>3</w:t>
      </w:r>
      <w:bookmarkStart w:id="808" w:name="_Toc337558751"/>
      <w:bookmarkStart w:id="809" w:name="_Toc296503051"/>
      <w:bookmarkStart w:id="810" w:name="_Toc296346552"/>
      <w:r>
        <w:rPr>
          <w:rFonts w:hint="eastAsia"/>
          <w:color w:val="000000" w:themeColor="text1"/>
          <w:sz w:val="21"/>
          <w:szCs w:val="21"/>
          <w14:textFill>
            <w14:solidFill>
              <w14:schemeClr w14:val="tx1"/>
            </w14:solidFill>
          </w14:textFill>
        </w:rPr>
        <w:t>.5 分包</w:t>
      </w:r>
      <w:bookmarkEnd w:id="806"/>
      <w:bookmarkEnd w:id="807"/>
    </w:p>
    <w:bookmarkEnd w:id="808"/>
    <w:bookmarkEnd w:id="809"/>
    <w:bookmarkEnd w:id="810"/>
    <w:p w14:paraId="74624BB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3.5.1 分包的一般约定</w:t>
      </w:r>
    </w:p>
    <w:p w14:paraId="3CC88F9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0A6EDC7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承包人不得以劳务分包的名义转包或违法分包工程。</w:t>
      </w:r>
    </w:p>
    <w:p w14:paraId="71CB2FA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3.5.2 分包的确定</w:t>
      </w:r>
    </w:p>
    <w:p w14:paraId="3398805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179E751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3.5.3 分包管理</w:t>
      </w:r>
    </w:p>
    <w:p w14:paraId="37A660E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承包人应向监理人提交分包人的主要施工管理人员表，并对分包人的施工人员进行实名制管理，包括但不限于进出场管理、登记造册以及各种证照的办理。</w:t>
      </w:r>
    </w:p>
    <w:p w14:paraId="44B0293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3.5.4 分包合同价款</w:t>
      </w:r>
    </w:p>
    <w:p w14:paraId="21D7955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（1）除本项第（2）目约定的情况或专用合同条款另有约定外，分包合同价款由承包人与分包人结算，未经承包人同意，发包人不得向分包人支付分包工程价款；</w:t>
      </w:r>
    </w:p>
    <w:p w14:paraId="6C7F0FB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（2）生效法律文书要求发包人向分包人支付分包合同价款的，发包人有权从应付承包人工程款中扣除该部分款项。</w:t>
      </w:r>
    </w:p>
    <w:p w14:paraId="69D02C5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3.5.5 分包合同权益的转让</w:t>
      </w:r>
    </w:p>
    <w:p w14:paraId="72F9161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811" w:name="_Toc351203524"/>
    </w:p>
    <w:p w14:paraId="0D28690E">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12" w:name="_Toc532377210"/>
      <w:r>
        <w:rPr>
          <w:rFonts w:hint="eastAsia"/>
          <w:color w:val="000000" w:themeColor="text1"/>
          <w:sz w:val="21"/>
          <w:szCs w:val="21"/>
          <w14:textFill>
            <w14:solidFill>
              <w14:schemeClr w14:val="tx1"/>
            </w14:solidFill>
          </w14:textFill>
        </w:rPr>
        <w:t>3.6 工程照管与成品、半成品保护</w:t>
      </w:r>
      <w:bookmarkEnd w:id="811"/>
      <w:bookmarkEnd w:id="812"/>
    </w:p>
    <w:p w14:paraId="2D53B86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（1）除专用合同条款另有约定外，自发包人向承包人移交施工现场之日起，承包人应负责照管工程及工程相关的材料、工程设备，直到颁发工程接收证书之日止。</w:t>
      </w:r>
    </w:p>
    <w:p w14:paraId="766C74E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（2）在承包人负责照管期间，因承包人原因造成工程、材料、工程设备损坏的，由承包人负责修复或更换，并承担由此增加的费用和（或）延误的工期。</w:t>
      </w:r>
    </w:p>
    <w:p w14:paraId="3F0B02D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（3）对合同内分期完成的成品和半成品，在工程接收证书颁发前，由承包人承担保护责任。因承包人原因造成成品或半成品损坏的，由承包人负责修复或更换，并承担由此增加的费用和（或）延误的工期。</w:t>
      </w:r>
    </w:p>
    <w:p w14:paraId="3F459A3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13" w:name="_Toc532377211"/>
      <w:bookmarkStart w:id="814" w:name="_Toc351203525"/>
      <w:r>
        <w:rPr>
          <w:rFonts w:hint="eastAsia"/>
          <w:color w:val="000000" w:themeColor="text1"/>
          <w:sz w:val="21"/>
          <w:szCs w:val="21"/>
          <w14:textFill>
            <w14:solidFill>
              <w14:schemeClr w14:val="tx1"/>
            </w14:solidFill>
          </w14:textFill>
        </w:rPr>
        <w:t>3</w:t>
      </w:r>
      <w:bookmarkStart w:id="815" w:name="_Toc337558752"/>
      <w:bookmarkStart w:id="816" w:name="_Toc296346553"/>
      <w:bookmarkStart w:id="817" w:name="_Toc296503052"/>
      <w:r>
        <w:rPr>
          <w:rFonts w:hint="eastAsia"/>
          <w:color w:val="000000" w:themeColor="text1"/>
          <w:sz w:val="21"/>
          <w:szCs w:val="21"/>
          <w14:textFill>
            <w14:solidFill>
              <w14:schemeClr w14:val="tx1"/>
            </w14:solidFill>
          </w14:textFill>
        </w:rPr>
        <w:t>.7 履约担保</w:t>
      </w:r>
      <w:bookmarkEnd w:id="813"/>
      <w:bookmarkEnd w:id="814"/>
    </w:p>
    <w:bookmarkEnd w:id="815"/>
    <w:bookmarkEnd w:id="816"/>
    <w:bookmarkEnd w:id="817"/>
    <w:p w14:paraId="2FDF28D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45DF2AC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因承包人原因导致工期延长的，继续提供履约担保所增加的费用由承包人承担；非因承包人原因导致工期延长的，继续提供履约担保所增加的费用由发包人承担。</w:t>
      </w:r>
    </w:p>
    <w:p w14:paraId="3F1E5DC4">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18" w:name="_Toc532377212"/>
      <w:bookmarkStart w:id="819" w:name="_Toc351203526"/>
      <w:r>
        <w:rPr>
          <w:rFonts w:hint="eastAsia"/>
          <w:color w:val="000000" w:themeColor="text1"/>
          <w:sz w:val="21"/>
          <w:szCs w:val="21"/>
          <w14:textFill>
            <w14:solidFill>
              <w14:schemeClr w14:val="tx1"/>
            </w14:solidFill>
          </w14:textFill>
        </w:rPr>
        <w:t>3.8 联合体</w:t>
      </w:r>
      <w:bookmarkEnd w:id="818"/>
      <w:bookmarkEnd w:id="819"/>
    </w:p>
    <w:p w14:paraId="23F2C1C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3.8.1 联合体各方应共同与发包人签订合同协议书。联合体各方应为履行合同向发包人承担连带责任。</w:t>
      </w:r>
    </w:p>
    <w:p w14:paraId="50C0DCE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3.8.2 </w:t>
      </w:r>
      <w:r>
        <w:rPr>
          <w:rFonts w:hint="eastAsia" w:ascii="宋体" w:hAnsi="宋体"/>
          <w:color w:val="000000" w:themeColor="text1"/>
          <w14:textFill>
            <w14:solidFill>
              <w14:schemeClr w14:val="tx1"/>
            </w14:solidFill>
          </w14:textFill>
        </w:rPr>
        <w:t>共同投标协议</w:t>
      </w:r>
      <w:r>
        <w:rPr>
          <w:rFonts w:hint="eastAsia" w:ascii="宋体" w:hAnsi="宋体"/>
          <w:color w:val="000000" w:themeColor="text1"/>
          <w:kern w:val="0"/>
          <w:szCs w:val="21"/>
          <w14:textFill>
            <w14:solidFill>
              <w14:schemeClr w14:val="tx1"/>
            </w14:solidFill>
          </w14:textFill>
        </w:rPr>
        <w:t>经发包人确认后作为合同附件。在履行合同过程中，未经发包人同意，不得修改</w:t>
      </w:r>
      <w:r>
        <w:rPr>
          <w:rFonts w:hint="eastAsia" w:ascii="宋体" w:hAnsi="宋体"/>
          <w:color w:val="000000" w:themeColor="text1"/>
          <w14:textFill>
            <w14:solidFill>
              <w14:schemeClr w14:val="tx1"/>
            </w14:solidFill>
          </w14:textFill>
        </w:rPr>
        <w:t>共同投标协议</w:t>
      </w:r>
      <w:r>
        <w:rPr>
          <w:rFonts w:hint="eastAsia" w:ascii="宋体" w:hAnsi="宋体"/>
          <w:color w:val="000000" w:themeColor="text1"/>
          <w:kern w:val="0"/>
          <w:szCs w:val="21"/>
          <w14:textFill>
            <w14:solidFill>
              <w14:schemeClr w14:val="tx1"/>
            </w14:solidFill>
          </w14:textFill>
        </w:rPr>
        <w:t>。</w:t>
      </w:r>
    </w:p>
    <w:p w14:paraId="7B010EE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3.8.3 联合体牵头人负责与发包人和监理人联系，并接受指示，负责组织联合体各成员全面履行合同。</w:t>
      </w:r>
    </w:p>
    <w:p w14:paraId="317CF0BC">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820" w:name="_Toc532375590"/>
      <w:bookmarkStart w:id="821" w:name="_Toc532377213"/>
      <w:bookmarkStart w:id="822" w:name="_Toc351203527"/>
      <w:r>
        <w:rPr>
          <w:rFonts w:hint="eastAsia"/>
          <w:color w:val="000000" w:themeColor="text1"/>
          <w:kern w:val="2"/>
          <w:sz w:val="21"/>
          <w:szCs w:val="21"/>
          <w14:textFill>
            <w14:solidFill>
              <w14:schemeClr w14:val="tx1"/>
            </w14:solidFill>
          </w14:textFill>
        </w:rPr>
        <w:t>4</w:t>
      </w:r>
      <w:bookmarkStart w:id="823" w:name="_Toc296346554"/>
      <w:bookmarkStart w:id="824" w:name="_Toc296503053"/>
      <w:bookmarkStart w:id="825" w:name="_Toc337558753"/>
      <w:r>
        <w:rPr>
          <w:rFonts w:hint="eastAsia"/>
          <w:color w:val="000000" w:themeColor="text1"/>
          <w:kern w:val="2"/>
          <w:sz w:val="21"/>
          <w:szCs w:val="21"/>
          <w14:textFill>
            <w14:solidFill>
              <w14:schemeClr w14:val="tx1"/>
            </w14:solidFill>
          </w14:textFill>
        </w:rPr>
        <w:t>. 监</w:t>
      </w:r>
      <w:bookmarkEnd w:id="823"/>
      <w:bookmarkEnd w:id="824"/>
      <w:r>
        <w:rPr>
          <w:rFonts w:hint="eastAsia"/>
          <w:color w:val="000000" w:themeColor="text1"/>
          <w:kern w:val="2"/>
          <w:sz w:val="21"/>
          <w:szCs w:val="21"/>
          <w14:textFill>
            <w14:solidFill>
              <w14:schemeClr w14:val="tx1"/>
            </w14:solidFill>
          </w14:textFill>
        </w:rPr>
        <w:t>理人</w:t>
      </w:r>
      <w:bookmarkEnd w:id="820"/>
      <w:bookmarkEnd w:id="821"/>
      <w:bookmarkEnd w:id="822"/>
    </w:p>
    <w:bookmarkEnd w:id="825"/>
    <w:p w14:paraId="0FDC5937">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26" w:name="_Toc351203528"/>
      <w:bookmarkStart w:id="827" w:name="_Toc532377214"/>
      <w:r>
        <w:rPr>
          <w:rFonts w:hint="eastAsia"/>
          <w:color w:val="000000" w:themeColor="text1"/>
          <w:sz w:val="21"/>
          <w:szCs w:val="21"/>
          <w14:textFill>
            <w14:solidFill>
              <w14:schemeClr w14:val="tx1"/>
            </w14:solidFill>
          </w14:textFill>
        </w:rPr>
        <w:t>4</w:t>
      </w:r>
      <w:bookmarkStart w:id="828" w:name="_Toc296503054"/>
      <w:bookmarkStart w:id="829" w:name="_Toc337558754"/>
      <w:bookmarkStart w:id="830" w:name="_Toc296346555"/>
      <w:r>
        <w:rPr>
          <w:rFonts w:hint="eastAsia"/>
          <w:color w:val="000000" w:themeColor="text1"/>
          <w:sz w:val="21"/>
          <w:szCs w:val="21"/>
          <w14:textFill>
            <w14:solidFill>
              <w14:schemeClr w14:val="tx1"/>
            </w14:solidFill>
          </w14:textFill>
        </w:rPr>
        <w:t>.1监理人的一般规定</w:t>
      </w:r>
      <w:bookmarkEnd w:id="826"/>
      <w:bookmarkEnd w:id="827"/>
    </w:p>
    <w:bookmarkEnd w:id="828"/>
    <w:bookmarkEnd w:id="829"/>
    <w:bookmarkEnd w:id="830"/>
    <w:p w14:paraId="5B5E1D4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74FB414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除专用合同条款另有约定外，监理人在施工现场的办公场所、生活场所由承包人提供，所发生的费用由发包人承担。</w:t>
      </w:r>
    </w:p>
    <w:p w14:paraId="126B7C15">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31" w:name="_Toc532377215"/>
      <w:bookmarkStart w:id="832" w:name="_Toc351203529"/>
      <w:r>
        <w:rPr>
          <w:rFonts w:hint="eastAsia"/>
          <w:color w:val="000000" w:themeColor="text1"/>
          <w:sz w:val="21"/>
          <w:szCs w:val="21"/>
          <w14:textFill>
            <w14:solidFill>
              <w14:schemeClr w14:val="tx1"/>
            </w14:solidFill>
          </w14:textFill>
        </w:rPr>
        <w:t>4</w:t>
      </w:r>
      <w:bookmarkStart w:id="833" w:name="_Toc337558755"/>
      <w:r>
        <w:rPr>
          <w:rFonts w:hint="eastAsia"/>
          <w:color w:val="000000" w:themeColor="text1"/>
          <w:sz w:val="21"/>
          <w:szCs w:val="21"/>
          <w14:textFill>
            <w14:solidFill>
              <w14:schemeClr w14:val="tx1"/>
            </w14:solidFill>
          </w14:textFill>
        </w:rPr>
        <w:t>.2监理人员</w:t>
      </w:r>
      <w:bookmarkEnd w:id="831"/>
      <w:bookmarkEnd w:id="832"/>
    </w:p>
    <w:bookmarkEnd w:id="833"/>
    <w:p w14:paraId="5F01892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5B8DE0CE">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34" w:name="_Toc351203530"/>
      <w:bookmarkStart w:id="835" w:name="_Toc532377216"/>
      <w:r>
        <w:rPr>
          <w:rFonts w:hint="eastAsia"/>
          <w:color w:val="000000" w:themeColor="text1"/>
          <w:sz w:val="21"/>
          <w:szCs w:val="21"/>
          <w14:textFill>
            <w14:solidFill>
              <w14:schemeClr w14:val="tx1"/>
            </w14:solidFill>
          </w14:textFill>
        </w:rPr>
        <w:t>4</w:t>
      </w:r>
      <w:bookmarkStart w:id="836" w:name="_Toc296346556"/>
      <w:bookmarkStart w:id="837" w:name="_Toc296503055"/>
      <w:bookmarkStart w:id="838" w:name="_Toc337558756"/>
      <w:r>
        <w:rPr>
          <w:rFonts w:hint="eastAsia"/>
          <w:color w:val="000000" w:themeColor="text1"/>
          <w:sz w:val="21"/>
          <w:szCs w:val="21"/>
          <w14:textFill>
            <w14:solidFill>
              <w14:schemeClr w14:val="tx1"/>
            </w14:solidFill>
          </w14:textFill>
        </w:rPr>
        <w:t>.3</w:t>
      </w:r>
      <w:bookmarkEnd w:id="836"/>
      <w:bookmarkEnd w:id="837"/>
      <w:r>
        <w:rPr>
          <w:rFonts w:hint="eastAsia"/>
          <w:color w:val="000000" w:themeColor="text1"/>
          <w:sz w:val="21"/>
          <w:szCs w:val="21"/>
          <w14:textFill>
            <w14:solidFill>
              <w14:schemeClr w14:val="tx1"/>
            </w14:solidFill>
          </w14:textFill>
        </w:rPr>
        <w:t>监理人的指</w:t>
      </w:r>
      <w:bookmarkEnd w:id="838"/>
      <w:r>
        <w:rPr>
          <w:rFonts w:hint="eastAsia"/>
          <w:color w:val="000000" w:themeColor="text1"/>
          <w:sz w:val="21"/>
          <w:szCs w:val="21"/>
          <w14:textFill>
            <w14:solidFill>
              <w14:schemeClr w14:val="tx1"/>
            </w14:solidFill>
          </w14:textFill>
        </w:rPr>
        <w:t>示</w:t>
      </w:r>
      <w:bookmarkEnd w:id="834"/>
      <w:bookmarkEnd w:id="835"/>
    </w:p>
    <w:p w14:paraId="1136C3F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2265B28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16A41B4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承包人对监理人发出的指示有疑问的，应向监理人提出书面异议，监理人应在48小时内对该指示予以确认、更改或撤销，监理人逾期未回复的，承包人有权拒绝执行上述指示。</w:t>
      </w:r>
    </w:p>
    <w:p w14:paraId="19E1FA0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监理人对承包人的任何工作、工程或其采用的材料和工程设备未在约定的或合理期限内提出意见的，视为批准，但不免除或减轻承包人对该工作、工程、材料、工程设备等应承担的责任和义务。</w:t>
      </w:r>
    </w:p>
    <w:p w14:paraId="415D9C62">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39" w:name="_Toc351203531"/>
      <w:bookmarkStart w:id="840" w:name="_Toc532377217"/>
      <w:r>
        <w:rPr>
          <w:rFonts w:hint="eastAsia"/>
          <w:color w:val="000000" w:themeColor="text1"/>
          <w:sz w:val="21"/>
          <w:szCs w:val="21"/>
          <w14:textFill>
            <w14:solidFill>
              <w14:schemeClr w14:val="tx1"/>
            </w14:solidFill>
          </w14:textFill>
        </w:rPr>
        <w:t>4</w:t>
      </w:r>
      <w:bookmarkStart w:id="841" w:name="_Toc337558757"/>
      <w:bookmarkStart w:id="842" w:name="_Toc296503057"/>
      <w:bookmarkStart w:id="843" w:name="_Toc296346558"/>
      <w:r>
        <w:rPr>
          <w:rFonts w:hint="eastAsia"/>
          <w:color w:val="000000" w:themeColor="text1"/>
          <w:sz w:val="21"/>
          <w:szCs w:val="21"/>
          <w14:textFill>
            <w14:solidFill>
              <w14:schemeClr w14:val="tx1"/>
            </w14:solidFill>
          </w14:textFill>
        </w:rPr>
        <w:t>.4 商定或确定</w:t>
      </w:r>
      <w:bookmarkEnd w:id="839"/>
      <w:bookmarkEnd w:id="840"/>
    </w:p>
    <w:bookmarkEnd w:id="841"/>
    <w:bookmarkEnd w:id="842"/>
    <w:bookmarkEnd w:id="843"/>
    <w:p w14:paraId="632129F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合同当事人进行商定或确定时，总监理工程师应当会同合同当事人尽量通过协商达成一致，不能达成一致的，由总监理工程师按照合同约定审慎做出公正的确定。</w:t>
      </w:r>
    </w:p>
    <w:p w14:paraId="757DA0F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5CF775EC">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844" w:name="_Toc351203532"/>
      <w:bookmarkStart w:id="845" w:name="_Toc532375591"/>
      <w:bookmarkStart w:id="846" w:name="_Toc532377218"/>
      <w:r>
        <w:rPr>
          <w:rFonts w:hint="eastAsia"/>
          <w:color w:val="000000" w:themeColor="text1"/>
          <w:kern w:val="2"/>
          <w:sz w:val="21"/>
          <w:szCs w:val="21"/>
          <w14:textFill>
            <w14:solidFill>
              <w14:schemeClr w14:val="tx1"/>
            </w14:solidFill>
          </w14:textFill>
        </w:rPr>
        <w:t>5</w:t>
      </w:r>
      <w:bookmarkStart w:id="847" w:name="_Toc337558758"/>
      <w:r>
        <w:rPr>
          <w:rFonts w:hint="eastAsia"/>
          <w:color w:val="000000" w:themeColor="text1"/>
          <w:kern w:val="2"/>
          <w:sz w:val="21"/>
          <w:szCs w:val="21"/>
          <w14:textFill>
            <w14:solidFill>
              <w14:schemeClr w14:val="tx1"/>
            </w14:solidFill>
          </w14:textFill>
        </w:rPr>
        <w:t>. 工程质量</w:t>
      </w:r>
      <w:bookmarkEnd w:id="844"/>
      <w:bookmarkEnd w:id="845"/>
      <w:bookmarkEnd w:id="846"/>
    </w:p>
    <w:bookmarkEnd w:id="847"/>
    <w:p w14:paraId="167A51F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48" w:name="_Toc351203533"/>
      <w:bookmarkStart w:id="849" w:name="_Toc532377219"/>
      <w:r>
        <w:rPr>
          <w:rFonts w:hint="eastAsia"/>
          <w:color w:val="000000" w:themeColor="text1"/>
          <w:sz w:val="21"/>
          <w:szCs w:val="21"/>
          <w14:textFill>
            <w14:solidFill>
              <w14:schemeClr w14:val="tx1"/>
            </w14:solidFill>
          </w14:textFill>
        </w:rPr>
        <w:t>5</w:t>
      </w:r>
      <w:bookmarkStart w:id="850" w:name="_Toc337558759"/>
      <w:r>
        <w:rPr>
          <w:rFonts w:hint="eastAsia"/>
          <w:color w:val="000000" w:themeColor="text1"/>
          <w:sz w:val="21"/>
          <w:szCs w:val="21"/>
          <w14:textFill>
            <w14:solidFill>
              <w14:schemeClr w14:val="tx1"/>
            </w14:solidFill>
          </w14:textFill>
        </w:rPr>
        <w:t>.1质量要求</w:t>
      </w:r>
      <w:bookmarkEnd w:id="848"/>
      <w:bookmarkEnd w:id="849"/>
    </w:p>
    <w:bookmarkEnd w:id="850"/>
    <w:p w14:paraId="1664949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5.1.1 工程质量标准必须符合现行国家有关工程施工质量验收规范和标准的要求。有关工程质量的特殊标准或要求由合同当事人在专用合同条款中约定。</w:t>
      </w:r>
    </w:p>
    <w:p w14:paraId="4577857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5.1.2 因发包人原因造成工程质量未达到合同约定标准的，由发包人承担由此增加的费用和（或）延误的工期，并支付承包人合理的利润。</w:t>
      </w:r>
    </w:p>
    <w:p w14:paraId="6143CB2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5.1.3 因承包人原因造成工程质量未达到合同约定标准的，发包人有权要求承包人返工直至工程质量达到合同约定的标准为止，并由承包人承担由此增加的费用和（或）延误的工期。</w:t>
      </w:r>
    </w:p>
    <w:p w14:paraId="255CF99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51" w:name="_Toc532377220"/>
      <w:bookmarkStart w:id="852" w:name="_Toc351203534"/>
      <w:r>
        <w:rPr>
          <w:rFonts w:hint="eastAsia"/>
          <w:color w:val="000000" w:themeColor="text1"/>
          <w:sz w:val="21"/>
          <w:szCs w:val="21"/>
          <w14:textFill>
            <w14:solidFill>
              <w14:schemeClr w14:val="tx1"/>
            </w14:solidFill>
          </w14:textFill>
        </w:rPr>
        <w:t>5</w:t>
      </w:r>
      <w:bookmarkStart w:id="853" w:name="_Toc337558760"/>
      <w:r>
        <w:rPr>
          <w:rFonts w:hint="eastAsia"/>
          <w:color w:val="000000" w:themeColor="text1"/>
          <w:sz w:val="21"/>
          <w:szCs w:val="21"/>
          <w14:textFill>
            <w14:solidFill>
              <w14:schemeClr w14:val="tx1"/>
            </w14:solidFill>
          </w14:textFill>
        </w:rPr>
        <w:t>.2质量保证措施</w:t>
      </w:r>
      <w:bookmarkEnd w:id="851"/>
      <w:bookmarkEnd w:id="852"/>
    </w:p>
    <w:bookmarkEnd w:id="853"/>
    <w:p w14:paraId="0A2403D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5.2.1 发包人的质量管理</w:t>
      </w:r>
    </w:p>
    <w:p w14:paraId="2C174C4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发包人应按照法律规定及合同约定完成与工程质量有关的各项工作。</w:t>
      </w:r>
    </w:p>
    <w:p w14:paraId="6FA05BE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5.2.2 承包人的质量管理</w:t>
      </w:r>
    </w:p>
    <w:p w14:paraId="53D4FD5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0869512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承包人应对施工人员进行质量教育和技术培训，定期考核施工人员的劳动技能，严格执行施工规范和操作规程。</w:t>
      </w:r>
    </w:p>
    <w:p w14:paraId="1EA8D1F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0E87D90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5.2.3 监理人的质量检查和检验</w:t>
      </w:r>
    </w:p>
    <w:p w14:paraId="7060E19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6DC409A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644E5EBB">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54" w:name="_Toc532377221"/>
      <w:bookmarkStart w:id="855" w:name="_Toc351203535"/>
      <w:r>
        <w:rPr>
          <w:rFonts w:hint="eastAsia"/>
          <w:color w:val="000000" w:themeColor="text1"/>
          <w:sz w:val="21"/>
          <w:szCs w:val="21"/>
          <w14:textFill>
            <w14:solidFill>
              <w14:schemeClr w14:val="tx1"/>
            </w14:solidFill>
          </w14:textFill>
        </w:rPr>
        <w:t>5</w:t>
      </w:r>
      <w:bookmarkStart w:id="856" w:name="_Toc337558761"/>
      <w:r>
        <w:rPr>
          <w:rFonts w:hint="eastAsia"/>
          <w:color w:val="000000" w:themeColor="text1"/>
          <w:sz w:val="21"/>
          <w:szCs w:val="21"/>
          <w14:textFill>
            <w14:solidFill>
              <w14:schemeClr w14:val="tx1"/>
            </w14:solidFill>
          </w14:textFill>
        </w:rPr>
        <w:t>.3 隐蔽工程检查</w:t>
      </w:r>
      <w:bookmarkEnd w:id="854"/>
      <w:bookmarkEnd w:id="855"/>
    </w:p>
    <w:bookmarkEnd w:id="856"/>
    <w:p w14:paraId="7F592C8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5.3.1承包人自检</w:t>
      </w:r>
    </w:p>
    <w:p w14:paraId="1C28BC7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承包人应当对工程隐蔽部位进行自检，并经自检确认是否具备覆盖条件。</w:t>
      </w:r>
    </w:p>
    <w:p w14:paraId="3B03FD6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5.3.2检查程序</w:t>
      </w:r>
    </w:p>
    <w:p w14:paraId="5756708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18C632E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14:paraId="5A0FA12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14:paraId="5E4E620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5.3.3 重新检查</w:t>
      </w:r>
    </w:p>
    <w:p w14:paraId="75474C7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14C1597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5.3.4 承包人私自覆盖</w:t>
      </w:r>
    </w:p>
    <w:p w14:paraId="048465E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承包人未通知监理人到场检查，私自将工程隐蔽部位覆盖的，监理人有权指示承包人钻孔探测或揭开检查，无论工程隐蔽部位质量是否合格，由此增加的费用和（或）延误的工期均由承包人承担。</w:t>
      </w:r>
    </w:p>
    <w:p w14:paraId="2BB22A78">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57" w:name="_Toc532377222"/>
      <w:r>
        <w:rPr>
          <w:rFonts w:hint="eastAsia"/>
          <w:color w:val="000000" w:themeColor="text1"/>
          <w:sz w:val="21"/>
          <w:szCs w:val="21"/>
          <w14:textFill>
            <w14:solidFill>
              <w14:schemeClr w14:val="tx1"/>
            </w14:solidFill>
          </w14:textFill>
        </w:rPr>
        <w:t>5.4不合格工程的处理</w:t>
      </w:r>
      <w:bookmarkEnd w:id="857"/>
    </w:p>
    <w:p w14:paraId="022B837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0D1335D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5.4.2 因发包人原因造成工程不合格的，由此增加的费用和（或）延误的工期由发包人承担，并支付承包人合理的利润。</w:t>
      </w:r>
    </w:p>
    <w:p w14:paraId="32342979">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58" w:name="_Toc532377223"/>
      <w:bookmarkStart w:id="859" w:name="_Toc351203537"/>
      <w:r>
        <w:rPr>
          <w:rFonts w:hint="eastAsia"/>
          <w:color w:val="000000" w:themeColor="text1"/>
          <w:sz w:val="21"/>
          <w:szCs w:val="21"/>
          <w14:textFill>
            <w14:solidFill>
              <w14:schemeClr w14:val="tx1"/>
            </w14:solidFill>
          </w14:textFill>
        </w:rPr>
        <w:t>5.5 质量争议检测</w:t>
      </w:r>
      <w:bookmarkEnd w:id="858"/>
      <w:bookmarkEnd w:id="859"/>
    </w:p>
    <w:p w14:paraId="5BE81FC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合同当事人对工程质量有争议的，由双方协商确定的工程质量检测机构鉴定，由此产生的费用及因此造成的损失，由责任方承担。</w:t>
      </w:r>
    </w:p>
    <w:p w14:paraId="0BEF80E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合同当事人均有责任的，由双方根据其责任分别承担。合同当事人无法达成一致的，按照第4.4款〔商定或确定〕执行。</w:t>
      </w:r>
    </w:p>
    <w:p w14:paraId="4FF11075">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860" w:name="_Toc351203538"/>
      <w:bookmarkStart w:id="861" w:name="_Toc532375592"/>
      <w:bookmarkStart w:id="862" w:name="_Toc532377224"/>
      <w:r>
        <w:rPr>
          <w:rFonts w:hint="eastAsia"/>
          <w:color w:val="000000" w:themeColor="text1"/>
          <w:kern w:val="2"/>
          <w:sz w:val="21"/>
          <w:szCs w:val="21"/>
          <w14:textFill>
            <w14:solidFill>
              <w14:schemeClr w14:val="tx1"/>
            </w14:solidFill>
          </w14:textFill>
        </w:rPr>
        <w:t>6</w:t>
      </w:r>
      <w:bookmarkStart w:id="863" w:name="_Toc337558763"/>
      <w:r>
        <w:rPr>
          <w:rFonts w:hint="eastAsia"/>
          <w:color w:val="000000" w:themeColor="text1"/>
          <w:kern w:val="2"/>
          <w:sz w:val="21"/>
          <w:szCs w:val="21"/>
          <w14:textFill>
            <w14:solidFill>
              <w14:schemeClr w14:val="tx1"/>
            </w14:solidFill>
          </w14:textFill>
        </w:rPr>
        <w:t>. 安全文明施工与环境保护</w:t>
      </w:r>
      <w:bookmarkEnd w:id="860"/>
      <w:bookmarkEnd w:id="861"/>
      <w:bookmarkEnd w:id="862"/>
    </w:p>
    <w:bookmarkEnd w:id="863"/>
    <w:p w14:paraId="66C69C0F">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64" w:name="_Toc532377225"/>
      <w:bookmarkStart w:id="865" w:name="_Toc351203539"/>
      <w:r>
        <w:rPr>
          <w:rFonts w:hint="eastAsia"/>
          <w:color w:val="000000" w:themeColor="text1"/>
          <w:sz w:val="21"/>
          <w:szCs w:val="21"/>
          <w14:textFill>
            <w14:solidFill>
              <w14:schemeClr w14:val="tx1"/>
            </w14:solidFill>
          </w14:textFill>
        </w:rPr>
        <w:t>6</w:t>
      </w:r>
      <w:bookmarkStart w:id="866" w:name="_Toc337558764"/>
      <w:r>
        <w:rPr>
          <w:rFonts w:hint="eastAsia"/>
          <w:color w:val="000000" w:themeColor="text1"/>
          <w:sz w:val="21"/>
          <w:szCs w:val="21"/>
          <w14:textFill>
            <w14:solidFill>
              <w14:schemeClr w14:val="tx1"/>
            </w14:solidFill>
          </w14:textFill>
        </w:rPr>
        <w:t>.1安全文明施工</w:t>
      </w:r>
      <w:bookmarkEnd w:id="864"/>
      <w:bookmarkEnd w:id="865"/>
    </w:p>
    <w:bookmarkEnd w:id="866"/>
    <w:p w14:paraId="26AD4E2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6.1.1安全生产要求</w:t>
      </w:r>
    </w:p>
    <w:p w14:paraId="118469B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1F150BD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在施工过程中，如遇到突发的地质变动、事先未知的地下施工障碍等影响施工安全的紧急情况，承包人应及时报告监理人和发包人，发包人应当及时下令停工并报政府有关行政管理部门采取应急措施。</w:t>
      </w:r>
    </w:p>
    <w:p w14:paraId="386C64C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因安全生产需要暂停施工的，按照第7.8款〔暂停施工〕的约定执行。</w:t>
      </w:r>
    </w:p>
    <w:p w14:paraId="0812724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6.1.2 安全生产保证措施</w:t>
      </w:r>
    </w:p>
    <w:p w14:paraId="3BD1F1D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59BF78E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6.1.3特别安全生产事项</w:t>
      </w:r>
    </w:p>
    <w:p w14:paraId="7CC0445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4CCB823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承包人在动力设备、输电线路、地下管道、密封防震车间、易燃易爆地段以及临街交通要道附近施工时，施工开始前应向发包人和监理人提出安全防护措施，经发包人认可后实施。 </w:t>
      </w:r>
    </w:p>
    <w:p w14:paraId="065B1FF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实施爆破作业，在放射、毒害性环境中施工（含储存、运输、使用）及使用毒害性、腐蚀性物品施工时，承包人应在施工前7天以书面通知发包人和监理人，并报送相应的安全防护措施，经发包人认可后实施。</w:t>
      </w:r>
    </w:p>
    <w:p w14:paraId="7725375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需单独编制危险性较大分部分项专项工程施工方案的，及要求进行专家论证的超过一定规模的危险性较大的分部分项工程，承包人应及时编制和组织论证。</w:t>
      </w:r>
    </w:p>
    <w:p w14:paraId="66B7519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6.1.4 治安保卫</w:t>
      </w:r>
    </w:p>
    <w:p w14:paraId="4F47604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除专用合同条款另有约定外，发包人应与当地公安部门协商，在现场建立治安管理机构或联防组织，统一管理施工场地的治安保卫事项，履行合同工程的治安保卫职责。</w:t>
      </w:r>
    </w:p>
    <w:p w14:paraId="001CA3E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发包人和承包人除应协助现场治安管理机构或联防组织维护施工场地的社会治安外，还应做好包括生活区在内的各自管辖区的治安保卫工作。</w:t>
      </w:r>
    </w:p>
    <w:p w14:paraId="561AA0C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4E190B9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6.1.5 文明施工</w:t>
      </w:r>
    </w:p>
    <w:p w14:paraId="1DECFAA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5255C10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54A6CFA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6.1.6 安全文明施工费</w:t>
      </w:r>
    </w:p>
    <w:p w14:paraId="5FADB16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安全文明施工费由发包人承担，发包人不得以任何形式扣减该部分费用。因基准日期后合同所适用的法律或政府有关规定发生变化，增加的安全文明施工费由发包人承担。</w:t>
      </w:r>
    </w:p>
    <w:p w14:paraId="257F619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45F0190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30B9177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687A39D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6.1.7 紧急情况处理</w:t>
      </w:r>
    </w:p>
    <w:p w14:paraId="44D5BD9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5CA212D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6.1.8 事故处理</w:t>
      </w:r>
    </w:p>
    <w:p w14:paraId="4683597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F7CA6C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6.1.9 安全生产责任</w:t>
      </w:r>
    </w:p>
    <w:p w14:paraId="4566063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6.1.9.1 发包人的安全责任</w:t>
      </w:r>
    </w:p>
    <w:p w14:paraId="220D35E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发包人应负责赔偿以下各种情况造成的损失：</w:t>
      </w:r>
    </w:p>
    <w:p w14:paraId="1EF1C57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（1）工程或工程的任何部分对土地的占用所造成的第三者财产损失；</w:t>
      </w:r>
    </w:p>
    <w:p w14:paraId="3214A79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（2）由于发包人原因在施工场地及其毗邻地带造成的第三者人身伤亡和财产损失；</w:t>
      </w:r>
    </w:p>
    <w:p w14:paraId="693B39E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（3）由于发包人原因对承包人、监理人造成的人员人身伤亡和财产损失；</w:t>
      </w:r>
    </w:p>
    <w:p w14:paraId="259593E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（4）由于发包人原因造成的发包人自身人员的人身伤害以及财产损失。</w:t>
      </w:r>
    </w:p>
    <w:p w14:paraId="3402403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6.1.9.2 承包人的安全责任</w:t>
      </w:r>
    </w:p>
    <w:p w14:paraId="605C336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由于承包人原因在施工场地内及其毗邻地带造成的发包人、监理人以及第三者人员伤亡和财产损失，由承包人负责赔偿。</w:t>
      </w:r>
    </w:p>
    <w:p w14:paraId="5B97A27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67" w:name="_Toc532377226"/>
      <w:bookmarkStart w:id="868" w:name="_Toc351203540"/>
      <w:r>
        <w:rPr>
          <w:rFonts w:hint="eastAsia"/>
          <w:color w:val="000000" w:themeColor="text1"/>
          <w:sz w:val="21"/>
          <w:szCs w:val="21"/>
          <w14:textFill>
            <w14:solidFill>
              <w14:schemeClr w14:val="tx1"/>
            </w14:solidFill>
          </w14:textFill>
        </w:rPr>
        <w:t>6</w:t>
      </w:r>
      <w:bookmarkStart w:id="869" w:name="_Toc337558765"/>
      <w:r>
        <w:rPr>
          <w:rFonts w:hint="eastAsia"/>
          <w:color w:val="000000" w:themeColor="text1"/>
          <w:sz w:val="21"/>
          <w:szCs w:val="21"/>
          <w14:textFill>
            <w14:solidFill>
              <w14:schemeClr w14:val="tx1"/>
            </w14:solidFill>
          </w14:textFill>
        </w:rPr>
        <w:t>.2 职业健康</w:t>
      </w:r>
      <w:bookmarkEnd w:id="867"/>
      <w:bookmarkEnd w:id="868"/>
    </w:p>
    <w:bookmarkEnd w:id="869"/>
    <w:p w14:paraId="65558E4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6.2.1 劳动保护</w:t>
      </w:r>
    </w:p>
    <w:p w14:paraId="7612551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0066184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4BB83B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承包人应按法律规定安排工作时间，保证其雇佣人员享有休息和休假的权利。因工程施工的特殊需要占用休假日或延长工作时间的，应不超过法律规定的限度，并按法律规定给予补休或付酬。</w:t>
      </w:r>
    </w:p>
    <w:p w14:paraId="279584D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6.2.2 生活条件</w:t>
      </w:r>
    </w:p>
    <w:p w14:paraId="7C14A66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5DD5319B">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70" w:name="_Toc351203541"/>
      <w:bookmarkStart w:id="871" w:name="_Toc532377227"/>
      <w:r>
        <w:rPr>
          <w:rFonts w:hint="eastAsia"/>
          <w:color w:val="000000" w:themeColor="text1"/>
          <w:sz w:val="21"/>
          <w:szCs w:val="21"/>
          <w14:textFill>
            <w14:solidFill>
              <w14:schemeClr w14:val="tx1"/>
            </w14:solidFill>
          </w14:textFill>
        </w:rPr>
        <w:t>6</w:t>
      </w:r>
      <w:bookmarkStart w:id="872" w:name="_Toc337558766"/>
      <w:r>
        <w:rPr>
          <w:rFonts w:hint="eastAsia"/>
          <w:color w:val="000000" w:themeColor="text1"/>
          <w:sz w:val="21"/>
          <w:szCs w:val="21"/>
          <w14:textFill>
            <w14:solidFill>
              <w14:schemeClr w14:val="tx1"/>
            </w14:solidFill>
          </w14:textFill>
        </w:rPr>
        <w:t>.3 环境保护</w:t>
      </w:r>
      <w:bookmarkEnd w:id="870"/>
      <w:bookmarkEnd w:id="871"/>
    </w:p>
    <w:bookmarkEnd w:id="872"/>
    <w:p w14:paraId="5E3155C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3D2F4BF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承包人应当承担因其原因引起的环境污染侵权损害赔偿责任，因上述环境污染引起纠纷而导致暂停施工的，由此增加的费用和（或）延误的工期由承包人承担。</w:t>
      </w:r>
    </w:p>
    <w:p w14:paraId="5C036198">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873" w:name="_Toc351203542"/>
      <w:bookmarkStart w:id="874" w:name="_Toc532377228"/>
      <w:bookmarkStart w:id="875" w:name="_Toc532375593"/>
      <w:r>
        <w:rPr>
          <w:rFonts w:hint="eastAsia"/>
          <w:color w:val="000000" w:themeColor="text1"/>
          <w:kern w:val="2"/>
          <w:sz w:val="21"/>
          <w:szCs w:val="21"/>
          <w14:textFill>
            <w14:solidFill>
              <w14:schemeClr w14:val="tx1"/>
            </w14:solidFill>
          </w14:textFill>
        </w:rPr>
        <w:t>7</w:t>
      </w:r>
      <w:bookmarkStart w:id="876" w:name="_Toc337558767"/>
      <w:r>
        <w:rPr>
          <w:rFonts w:hint="eastAsia"/>
          <w:color w:val="000000" w:themeColor="text1"/>
          <w:kern w:val="2"/>
          <w:sz w:val="21"/>
          <w:szCs w:val="21"/>
          <w14:textFill>
            <w14:solidFill>
              <w14:schemeClr w14:val="tx1"/>
            </w14:solidFill>
          </w14:textFill>
        </w:rPr>
        <w:t>. 工期和进度</w:t>
      </w:r>
      <w:bookmarkEnd w:id="873"/>
      <w:bookmarkEnd w:id="874"/>
      <w:bookmarkEnd w:id="875"/>
    </w:p>
    <w:bookmarkEnd w:id="876"/>
    <w:p w14:paraId="15CFB468">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77" w:name="_Toc351203543"/>
      <w:bookmarkStart w:id="878" w:name="_Toc532377229"/>
      <w:r>
        <w:rPr>
          <w:rFonts w:hint="eastAsia"/>
          <w:color w:val="000000" w:themeColor="text1"/>
          <w:sz w:val="21"/>
          <w:szCs w:val="21"/>
          <w14:textFill>
            <w14:solidFill>
              <w14:schemeClr w14:val="tx1"/>
            </w14:solidFill>
          </w14:textFill>
        </w:rPr>
        <w:t>7</w:t>
      </w:r>
      <w:bookmarkStart w:id="879" w:name="_Toc337558768"/>
      <w:bookmarkStart w:id="880" w:name="_Toc296346567"/>
      <w:bookmarkStart w:id="881" w:name="_Toc296503066"/>
      <w:r>
        <w:rPr>
          <w:rFonts w:hint="eastAsia"/>
          <w:color w:val="000000" w:themeColor="text1"/>
          <w:sz w:val="21"/>
          <w:szCs w:val="21"/>
          <w14:textFill>
            <w14:solidFill>
              <w14:schemeClr w14:val="tx1"/>
            </w14:solidFill>
          </w14:textFill>
        </w:rPr>
        <w:t>.1施工组织设计</w:t>
      </w:r>
      <w:bookmarkEnd w:id="877"/>
      <w:bookmarkEnd w:id="878"/>
    </w:p>
    <w:bookmarkEnd w:id="879"/>
    <w:p w14:paraId="2D725D4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7.1.1 施工组织设计的内容</w:t>
      </w:r>
    </w:p>
    <w:p w14:paraId="53490CD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施工组织设计应包含以下内容：</w:t>
      </w:r>
    </w:p>
    <w:p w14:paraId="31DDBCD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（1）施工方案； </w:t>
      </w:r>
    </w:p>
    <w:p w14:paraId="1F73F6D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（2）施工现场平面布置图；</w:t>
      </w:r>
    </w:p>
    <w:p w14:paraId="25A03B9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（3）施工进度计划和保证措施； </w:t>
      </w:r>
    </w:p>
    <w:p w14:paraId="3993178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（4）劳动力及材料供应计划；</w:t>
      </w:r>
    </w:p>
    <w:p w14:paraId="7824F68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（5）施工机械设备的选用；</w:t>
      </w:r>
    </w:p>
    <w:p w14:paraId="1D00E2E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（6）质量保证体系及措施；</w:t>
      </w:r>
    </w:p>
    <w:p w14:paraId="2578D83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（7）安全生产、文明施工措施；</w:t>
      </w:r>
    </w:p>
    <w:p w14:paraId="0AD9F89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（8）环境保护、成本控制措施；</w:t>
      </w:r>
    </w:p>
    <w:p w14:paraId="446E88A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（9）合同当事人约定的其他内容。</w:t>
      </w:r>
    </w:p>
    <w:p w14:paraId="7DE603D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7.1.2 施工组织设计的提交和修改</w:t>
      </w:r>
    </w:p>
    <w:p w14:paraId="28378E9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90E0C5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施工进度计划的编制和修改按照第7.2款〔施工进度计划〕执行。</w:t>
      </w:r>
    </w:p>
    <w:p w14:paraId="70560C85">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82" w:name="_Toc532377230"/>
      <w:bookmarkStart w:id="883" w:name="_Toc351203544"/>
      <w:r>
        <w:rPr>
          <w:rFonts w:hint="eastAsia"/>
          <w:color w:val="000000" w:themeColor="text1"/>
          <w:sz w:val="21"/>
          <w:szCs w:val="21"/>
          <w14:textFill>
            <w14:solidFill>
              <w14:schemeClr w14:val="tx1"/>
            </w14:solidFill>
          </w14:textFill>
        </w:rPr>
        <w:t>7</w:t>
      </w:r>
      <w:bookmarkStart w:id="884" w:name="_Toc337558769"/>
      <w:r>
        <w:rPr>
          <w:rFonts w:hint="eastAsia"/>
          <w:color w:val="000000" w:themeColor="text1"/>
          <w:sz w:val="21"/>
          <w:szCs w:val="21"/>
          <w14:textFill>
            <w14:solidFill>
              <w14:schemeClr w14:val="tx1"/>
            </w14:solidFill>
          </w14:textFill>
        </w:rPr>
        <w:t>.2 施工进度计划</w:t>
      </w:r>
      <w:bookmarkEnd w:id="882"/>
      <w:bookmarkEnd w:id="883"/>
    </w:p>
    <w:bookmarkEnd w:id="884"/>
    <w:p w14:paraId="1FC8EE1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7.2.1 施工进度计划的编制</w:t>
      </w:r>
    </w:p>
    <w:p w14:paraId="5B9F470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7A3E313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7.2.2 施工进度计划的修订</w:t>
      </w:r>
    </w:p>
    <w:p w14:paraId="47C1134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1F0D8D36">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85" w:name="_Toc351203545"/>
      <w:bookmarkStart w:id="886" w:name="_Toc532377231"/>
      <w:r>
        <w:rPr>
          <w:rFonts w:hint="eastAsia"/>
          <w:color w:val="000000" w:themeColor="text1"/>
          <w:sz w:val="21"/>
          <w:szCs w:val="21"/>
          <w14:textFill>
            <w14:solidFill>
              <w14:schemeClr w14:val="tx1"/>
            </w14:solidFill>
          </w14:textFill>
        </w:rPr>
        <w:t>7</w:t>
      </w:r>
      <w:bookmarkStart w:id="887" w:name="_Toc337558770"/>
      <w:r>
        <w:rPr>
          <w:rFonts w:hint="eastAsia"/>
          <w:color w:val="000000" w:themeColor="text1"/>
          <w:sz w:val="21"/>
          <w:szCs w:val="21"/>
          <w14:textFill>
            <w14:solidFill>
              <w14:schemeClr w14:val="tx1"/>
            </w14:solidFill>
          </w14:textFill>
        </w:rPr>
        <w:t>.3 开工</w:t>
      </w:r>
      <w:bookmarkEnd w:id="885"/>
      <w:bookmarkEnd w:id="886"/>
    </w:p>
    <w:p w14:paraId="3BDDC64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7.3.1 开工准备</w:t>
      </w:r>
    </w:p>
    <w:p w14:paraId="3D0C6B3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255AF80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除专用合同条款另有约定外，合同当事人应按约定完成开工准备工作。</w:t>
      </w:r>
    </w:p>
    <w:p w14:paraId="2A55CE5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7.3.2 开工通知</w:t>
      </w:r>
    </w:p>
    <w:bookmarkEnd w:id="887"/>
    <w:p w14:paraId="50C7213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0F77B82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25781D38">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88" w:name="_Toc532377232"/>
      <w:bookmarkStart w:id="889" w:name="_Toc351203546"/>
      <w:r>
        <w:rPr>
          <w:rFonts w:hint="eastAsia"/>
          <w:color w:val="000000" w:themeColor="text1"/>
          <w:sz w:val="21"/>
          <w:szCs w:val="21"/>
          <w14:textFill>
            <w14:solidFill>
              <w14:schemeClr w14:val="tx1"/>
            </w14:solidFill>
          </w14:textFill>
        </w:rPr>
        <w:t>7.4测量放线</w:t>
      </w:r>
      <w:bookmarkEnd w:id="888"/>
      <w:bookmarkEnd w:id="889"/>
    </w:p>
    <w:p w14:paraId="7FC81F7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3025936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3782C0F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172460F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施工过程中对施工现场内水准点等测量标志物的保护工作由承包人负责。</w:t>
      </w:r>
      <w:bookmarkStart w:id="890" w:name="_Toc351203547"/>
    </w:p>
    <w:p w14:paraId="7503EB72">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91" w:name="_Toc532377233"/>
      <w:r>
        <w:rPr>
          <w:rFonts w:hint="eastAsia"/>
          <w:color w:val="000000" w:themeColor="text1"/>
          <w:sz w:val="21"/>
          <w:szCs w:val="21"/>
          <w14:textFill>
            <w14:solidFill>
              <w14:schemeClr w14:val="tx1"/>
            </w14:solidFill>
          </w14:textFill>
        </w:rPr>
        <w:t>7</w:t>
      </w:r>
      <w:bookmarkEnd w:id="880"/>
      <w:bookmarkEnd w:id="881"/>
      <w:bookmarkStart w:id="892" w:name="_Toc296503073"/>
      <w:bookmarkStart w:id="893" w:name="_Toc296346574"/>
      <w:bookmarkStart w:id="894" w:name="_Toc337558772"/>
      <w:r>
        <w:rPr>
          <w:rFonts w:hint="eastAsia"/>
          <w:color w:val="000000" w:themeColor="text1"/>
          <w:sz w:val="21"/>
          <w:szCs w:val="21"/>
          <w14:textFill>
            <w14:solidFill>
              <w14:schemeClr w14:val="tx1"/>
            </w14:solidFill>
          </w14:textFill>
        </w:rPr>
        <w:t>.5 工期延误</w:t>
      </w:r>
      <w:bookmarkEnd w:id="890"/>
      <w:bookmarkEnd w:id="891"/>
    </w:p>
    <w:bookmarkEnd w:id="892"/>
    <w:bookmarkEnd w:id="893"/>
    <w:bookmarkEnd w:id="894"/>
    <w:p w14:paraId="20E4CEA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7.5.1 因发包人原因导致工期延误</w:t>
      </w:r>
    </w:p>
    <w:p w14:paraId="1A33E0F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在合同履行过程中，因下列情况导致工期延误和（或）费用增加的，由发包人承担由此延误的工期和（或）增加的费用，且发包人应支付承包人合理的利润： </w:t>
      </w:r>
    </w:p>
    <w:p w14:paraId="041DCF3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（1）发包人未能按合同约定提供图纸或所提供图纸不符合合同约定的；</w:t>
      </w:r>
    </w:p>
    <w:p w14:paraId="4B73B5A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（2）发包人未能按合同约定提供施工现场、施工条件、基础资料、许可、批准等开工条件的；</w:t>
      </w:r>
    </w:p>
    <w:p w14:paraId="7960DEE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（3）发包人提供的测量基准点、基准线和水准点及其书面资料存在错误或疏漏的；</w:t>
      </w:r>
    </w:p>
    <w:p w14:paraId="2BE74F9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（4）发包人未能在计划开工日期之日起7天内同意下达开工通知的；</w:t>
      </w:r>
    </w:p>
    <w:p w14:paraId="70E67CB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（5）发包人未能按合同约定日期支付工程预付款、进度款或竣工结算款的；</w:t>
      </w:r>
    </w:p>
    <w:p w14:paraId="060915B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（6）监理人未按合同约定发出指示、批准等文件的；</w:t>
      </w:r>
    </w:p>
    <w:p w14:paraId="59B4D6F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（7）专用合同条款中约定的其他情形。</w:t>
      </w:r>
    </w:p>
    <w:p w14:paraId="4649F0B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4259B8E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7.5.2 因承包人原因导致工期延误</w:t>
      </w:r>
    </w:p>
    <w:p w14:paraId="296B9BA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bookmarkStart w:id="895" w:name="_Toc296503076"/>
      <w:bookmarkStart w:id="896" w:name="_Toc296346577"/>
      <w:r>
        <w:rPr>
          <w:rFonts w:hint="eastAsia" w:ascii="宋体" w:hAnsi="宋体"/>
          <w:color w:val="000000" w:themeColor="text1"/>
          <w:kern w:val="0"/>
          <w:szCs w:val="21"/>
          <w14:textFill>
            <w14:solidFill>
              <w14:schemeClr w14:val="tx1"/>
            </w14:solidFill>
          </w14:textFill>
        </w:rPr>
        <w:t>因</w:t>
      </w:r>
      <w:bookmarkEnd w:id="895"/>
      <w:bookmarkEnd w:id="896"/>
      <w:r>
        <w:rPr>
          <w:rFonts w:hint="eastAsia" w:ascii="宋体" w:hAnsi="宋体"/>
          <w:color w:val="000000" w:themeColor="text1"/>
          <w:kern w:val="0"/>
          <w:szCs w:val="21"/>
          <w14:textFill>
            <w14:solidFill>
              <w14:schemeClr w14:val="tx1"/>
            </w14:solidFill>
          </w14:textFill>
        </w:rPr>
        <w:t>承包人原因造成工期延误的，可以在专用合同条款中约定逾期竣工违约金的计算方法和逾期竣工违约金的上限。承包人支付逾期竣工违约金后，不免除承包人继续完成工程及修补缺陷的义务。</w:t>
      </w:r>
    </w:p>
    <w:p w14:paraId="17DED14B">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897" w:name="_Toc351203548"/>
      <w:bookmarkStart w:id="898" w:name="_Toc532377234"/>
      <w:r>
        <w:rPr>
          <w:rFonts w:hint="eastAsia"/>
          <w:color w:val="000000" w:themeColor="text1"/>
          <w:sz w:val="21"/>
          <w:szCs w:val="21"/>
          <w14:textFill>
            <w14:solidFill>
              <w14:schemeClr w14:val="tx1"/>
            </w14:solidFill>
          </w14:textFill>
        </w:rPr>
        <w:t>7</w:t>
      </w:r>
      <w:bookmarkStart w:id="899" w:name="_Toc296503074"/>
      <w:bookmarkStart w:id="900" w:name="_Toc337558773"/>
      <w:bookmarkStart w:id="901" w:name="_Toc296346575"/>
      <w:bookmarkStart w:id="902" w:name="_Toc296503077"/>
      <w:bookmarkStart w:id="903" w:name="_Toc296346578"/>
      <w:r>
        <w:rPr>
          <w:rFonts w:hint="eastAsia"/>
          <w:color w:val="000000" w:themeColor="text1"/>
          <w:sz w:val="21"/>
          <w:szCs w:val="21"/>
          <w14:textFill>
            <w14:solidFill>
              <w14:schemeClr w14:val="tx1"/>
            </w14:solidFill>
          </w14:textFill>
        </w:rPr>
        <w:t>.6 不利物质条件</w:t>
      </w:r>
      <w:bookmarkEnd w:id="897"/>
      <w:bookmarkEnd w:id="898"/>
    </w:p>
    <w:bookmarkEnd w:id="899"/>
    <w:bookmarkEnd w:id="900"/>
    <w:bookmarkEnd w:id="901"/>
    <w:p w14:paraId="557EE8C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38C05C0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1683DC9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04" w:name="_Toc532377235"/>
      <w:bookmarkStart w:id="905" w:name="_Toc351203549"/>
      <w:r>
        <w:rPr>
          <w:rFonts w:hint="eastAsia"/>
          <w:color w:val="000000" w:themeColor="text1"/>
          <w:sz w:val="21"/>
          <w:szCs w:val="21"/>
          <w14:textFill>
            <w14:solidFill>
              <w14:schemeClr w14:val="tx1"/>
            </w14:solidFill>
          </w14:textFill>
        </w:rPr>
        <w:t>7</w:t>
      </w:r>
      <w:bookmarkStart w:id="906" w:name="_Toc337558774"/>
      <w:bookmarkStart w:id="907" w:name="_Toc296503075"/>
      <w:bookmarkStart w:id="908" w:name="_Toc296346576"/>
      <w:r>
        <w:rPr>
          <w:rFonts w:hint="eastAsia"/>
          <w:color w:val="000000" w:themeColor="text1"/>
          <w:sz w:val="21"/>
          <w:szCs w:val="21"/>
          <w14:textFill>
            <w14:solidFill>
              <w14:schemeClr w14:val="tx1"/>
            </w14:solidFill>
          </w14:textFill>
        </w:rPr>
        <w:t>.7 异常恶劣的气候条件</w:t>
      </w:r>
      <w:bookmarkEnd w:id="904"/>
      <w:bookmarkEnd w:id="905"/>
    </w:p>
    <w:bookmarkEnd w:id="906"/>
    <w:bookmarkEnd w:id="907"/>
    <w:bookmarkEnd w:id="908"/>
    <w:p w14:paraId="654A674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265F5DD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909" w:name="_Toc351203550"/>
    </w:p>
    <w:p w14:paraId="7221B546">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10" w:name="_Toc532377236"/>
      <w:r>
        <w:rPr>
          <w:rFonts w:hint="eastAsia"/>
          <w:color w:val="000000" w:themeColor="text1"/>
          <w:sz w:val="21"/>
          <w:szCs w:val="21"/>
          <w14:textFill>
            <w14:solidFill>
              <w14:schemeClr w14:val="tx1"/>
            </w14:solidFill>
          </w14:textFill>
        </w:rPr>
        <w:t>7</w:t>
      </w:r>
      <w:bookmarkStart w:id="911" w:name="_Toc337558775"/>
      <w:r>
        <w:rPr>
          <w:rFonts w:hint="eastAsia"/>
          <w:color w:val="000000" w:themeColor="text1"/>
          <w:sz w:val="21"/>
          <w:szCs w:val="21"/>
          <w14:textFill>
            <w14:solidFill>
              <w14:schemeClr w14:val="tx1"/>
            </w14:solidFill>
          </w14:textFill>
        </w:rPr>
        <w:t>.8 暂停施工</w:t>
      </w:r>
      <w:bookmarkEnd w:id="909"/>
      <w:bookmarkEnd w:id="910"/>
    </w:p>
    <w:bookmarkEnd w:id="902"/>
    <w:bookmarkEnd w:id="903"/>
    <w:bookmarkEnd w:id="911"/>
    <w:p w14:paraId="52E3116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7.8.1发包人原因引起的暂停施工</w:t>
      </w:r>
    </w:p>
    <w:p w14:paraId="468E3AE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因发包人原因引起暂停施工的，监理人经发包人同意后，应及时下达暂停施工指示。情况紧急且监理人未及时下达暂停施工指示的，按照第7.8.4项〔紧急情况下的暂停施工〕执行。</w:t>
      </w:r>
    </w:p>
    <w:p w14:paraId="7124BD6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因发包人原因引起的暂停施工，发包人应承担由此增加的费用和（或）延误的工期，并支付承包人合理的利润。</w:t>
      </w:r>
    </w:p>
    <w:p w14:paraId="4822F48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7.8.2 承包人原因引起的暂停施工</w:t>
      </w:r>
    </w:p>
    <w:p w14:paraId="57E0C7D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1224965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7.8.3 指示暂停施工</w:t>
      </w:r>
    </w:p>
    <w:p w14:paraId="646CD01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监理人认为有必要时，并经发包人批准后，可向承包人作出暂停施工的指示，承包人应按监理人指示暂停施工。</w:t>
      </w:r>
    </w:p>
    <w:p w14:paraId="769FC55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7.8.4 紧急情况下的暂停施工</w:t>
      </w:r>
    </w:p>
    <w:p w14:paraId="775E723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1FC1CA6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7.8.5 暂停施工后的复工</w:t>
      </w:r>
    </w:p>
    <w:p w14:paraId="3F1584C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4D4DF8F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承包人无故拖延和拒绝复工的，承包人承担由此增加的费用和（或）延误的工期；因发包人原因无法按时复工的，按照第7.5.1项〔因发包人原因导致工期延误〕约定办理。</w:t>
      </w:r>
    </w:p>
    <w:p w14:paraId="4F015B0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7.8.6 暂停施工持续56天以上</w:t>
      </w:r>
    </w:p>
    <w:p w14:paraId="13A567F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688A1B9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121F208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7.8.7 暂停施工期间的工程照管</w:t>
      </w:r>
    </w:p>
    <w:p w14:paraId="40E4968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暂停施工期间，承包人应负责妥善照管工程并提供安全保障，由此增加的费用由责任方承担。</w:t>
      </w:r>
    </w:p>
    <w:p w14:paraId="3008DFC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7.8.8 暂停施工的措施</w:t>
      </w:r>
    </w:p>
    <w:p w14:paraId="5A9D9F5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暂停施工期间，发包人和承包人均应采取必要的措施确保工程质量及安全，防止因暂停施工扩大损失。</w:t>
      </w:r>
    </w:p>
    <w:p w14:paraId="746F98D6">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12" w:name="_Toc351203551"/>
      <w:bookmarkStart w:id="913" w:name="_Toc532377237"/>
      <w:r>
        <w:rPr>
          <w:rFonts w:hint="eastAsia"/>
          <w:color w:val="000000" w:themeColor="text1"/>
          <w:sz w:val="21"/>
          <w:szCs w:val="21"/>
          <w14:textFill>
            <w14:solidFill>
              <w14:schemeClr w14:val="tx1"/>
            </w14:solidFill>
          </w14:textFill>
        </w:rPr>
        <w:t>7.9提前竣工</w:t>
      </w:r>
      <w:bookmarkEnd w:id="912"/>
      <w:bookmarkEnd w:id="913"/>
    </w:p>
    <w:p w14:paraId="727FCBC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02FB342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7.9.2 发包人要求承包人提前竣工，或承包人提出提前竣工的建议能够给发包人带来效益的，合同当事人可以在专用合同条款中约定提前竣工的奖励。</w:t>
      </w:r>
    </w:p>
    <w:p w14:paraId="57D48D6B">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914" w:name="_Toc532375594"/>
      <w:bookmarkStart w:id="915" w:name="_Toc351203552"/>
      <w:bookmarkStart w:id="916" w:name="_Toc532377238"/>
      <w:r>
        <w:rPr>
          <w:rFonts w:hint="eastAsia"/>
          <w:color w:val="000000" w:themeColor="text1"/>
          <w:kern w:val="2"/>
          <w:sz w:val="21"/>
          <w:szCs w:val="21"/>
          <w14:textFill>
            <w14:solidFill>
              <w14:schemeClr w14:val="tx1"/>
            </w14:solidFill>
          </w14:textFill>
        </w:rPr>
        <w:t>8</w:t>
      </w:r>
      <w:bookmarkStart w:id="917" w:name="_Toc296503058"/>
      <w:bookmarkStart w:id="918" w:name="_Toc337558776"/>
      <w:bookmarkStart w:id="919" w:name="_Toc296346559"/>
      <w:r>
        <w:rPr>
          <w:rFonts w:hint="eastAsia"/>
          <w:color w:val="000000" w:themeColor="text1"/>
          <w:kern w:val="2"/>
          <w:sz w:val="21"/>
          <w:szCs w:val="21"/>
          <w14:textFill>
            <w14:solidFill>
              <w14:schemeClr w14:val="tx1"/>
            </w14:solidFill>
          </w14:textFill>
        </w:rPr>
        <w:t>. 材料与设备</w:t>
      </w:r>
      <w:bookmarkEnd w:id="914"/>
      <w:bookmarkEnd w:id="915"/>
      <w:bookmarkEnd w:id="916"/>
    </w:p>
    <w:bookmarkEnd w:id="917"/>
    <w:bookmarkEnd w:id="918"/>
    <w:bookmarkEnd w:id="919"/>
    <w:p w14:paraId="7391E2B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20" w:name="_Toc532377239"/>
      <w:bookmarkStart w:id="921" w:name="_Toc351203553"/>
      <w:r>
        <w:rPr>
          <w:rFonts w:hint="eastAsia"/>
          <w:color w:val="000000" w:themeColor="text1"/>
          <w:sz w:val="21"/>
          <w:szCs w:val="21"/>
          <w14:textFill>
            <w14:solidFill>
              <w14:schemeClr w14:val="tx1"/>
            </w14:solidFill>
          </w14:textFill>
        </w:rPr>
        <w:t>8</w:t>
      </w:r>
      <w:bookmarkStart w:id="922" w:name="_Toc296346560"/>
      <w:bookmarkStart w:id="923" w:name="_Toc296503059"/>
      <w:bookmarkStart w:id="924" w:name="_Toc337558777"/>
      <w:bookmarkStart w:id="925" w:name="_Toc468936960"/>
      <w:r>
        <w:rPr>
          <w:rFonts w:hint="eastAsia"/>
          <w:color w:val="000000" w:themeColor="text1"/>
          <w:sz w:val="21"/>
          <w:szCs w:val="21"/>
          <w14:textFill>
            <w14:solidFill>
              <w14:schemeClr w14:val="tx1"/>
            </w14:solidFill>
          </w14:textFill>
        </w:rPr>
        <w:t>.1发包人供应材料与工程设备</w:t>
      </w:r>
      <w:bookmarkEnd w:id="920"/>
      <w:bookmarkEnd w:id="921"/>
    </w:p>
    <w:bookmarkEnd w:id="922"/>
    <w:bookmarkEnd w:id="923"/>
    <w:bookmarkEnd w:id="924"/>
    <w:p w14:paraId="7A4834B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发包人自行供应材料、工程设备的，应在签订合同时在专用合同条款的附件《发包人供应材料设备一览表》中明确材料、工程设备的品种、规格、型号、数量、单价、质量等级和送达地点。</w:t>
      </w:r>
    </w:p>
    <w:p w14:paraId="64A658F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481BB3DA">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26" w:name="_Toc532377240"/>
      <w:r>
        <w:rPr>
          <w:rFonts w:hint="eastAsia"/>
          <w:color w:val="000000" w:themeColor="text1"/>
          <w:sz w:val="21"/>
          <w:szCs w:val="21"/>
          <w14:textFill>
            <w14:solidFill>
              <w14:schemeClr w14:val="tx1"/>
            </w14:solidFill>
          </w14:textFill>
        </w:rPr>
        <w:t>8.2承包人采购材料与工程设备</w:t>
      </w:r>
      <w:bookmarkEnd w:id="926"/>
    </w:p>
    <w:p w14:paraId="2AA1BB8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4F5C5E4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27" w:name="_Toc351203555"/>
      <w:bookmarkStart w:id="928" w:name="_Toc532377241"/>
      <w:r>
        <w:rPr>
          <w:rFonts w:hint="eastAsia"/>
          <w:color w:val="000000" w:themeColor="text1"/>
          <w:sz w:val="21"/>
          <w:szCs w:val="21"/>
          <w14:textFill>
            <w14:solidFill>
              <w14:schemeClr w14:val="tx1"/>
            </w14:solidFill>
          </w14:textFill>
        </w:rPr>
        <w:t>8</w:t>
      </w:r>
      <w:bookmarkStart w:id="929" w:name="_Toc296503061"/>
      <w:bookmarkStart w:id="930" w:name="_Toc296346562"/>
      <w:bookmarkStart w:id="931" w:name="_Toc337558779"/>
      <w:r>
        <w:rPr>
          <w:rFonts w:hint="eastAsia"/>
          <w:color w:val="000000" w:themeColor="text1"/>
          <w:sz w:val="21"/>
          <w:szCs w:val="21"/>
          <w14:textFill>
            <w14:solidFill>
              <w14:schemeClr w14:val="tx1"/>
            </w14:solidFill>
          </w14:textFill>
        </w:rPr>
        <w:t>.3材料与工程设备的接收与拒收</w:t>
      </w:r>
      <w:bookmarkEnd w:id="927"/>
      <w:bookmarkEnd w:id="928"/>
    </w:p>
    <w:bookmarkEnd w:id="929"/>
    <w:bookmarkEnd w:id="930"/>
    <w:bookmarkEnd w:id="931"/>
    <w:p w14:paraId="53E8931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BC6DF8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发包人提供的材料和工程设备的规格、数量或质量不符合合同约定的，或因发包人原因导致交货日期延误或交货地点变更等情况的，按照第16.1款〔发包人违约〕约定办理。</w:t>
      </w:r>
    </w:p>
    <w:p w14:paraId="18C1DFB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8.3.2 承包人采购的材料和工程设备，应保证产品质量合格，承包人应在材料和工程设备到货前24小时通知监理人检验。承</w:t>
      </w:r>
      <w:bookmarkStart w:id="932" w:name="_Toc250655469"/>
      <w:r>
        <w:rPr>
          <w:rFonts w:hint="eastAsia" w:ascii="宋体" w:hAnsi="宋体"/>
          <w:color w:val="000000" w:themeColor="text1"/>
          <w:kern w:val="0"/>
          <w:szCs w:val="21"/>
          <w14:textFill>
            <w14:solidFill>
              <w14:schemeClr w14:val="tx1"/>
            </w14:solidFill>
          </w14:textFill>
        </w:rPr>
        <w:t>包人进行永久设备、材料的制造和生产的，应符合相关质量标准，并向监理人提交材料的样本以及有关资料，并应在使用该材料或工程设备之前获得监理人同意。</w:t>
      </w:r>
    </w:p>
    <w:bookmarkEnd w:id="932"/>
    <w:p w14:paraId="663079D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7824F50C">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33" w:name="_Toc532377242"/>
      <w:bookmarkStart w:id="934" w:name="_Toc351203556"/>
      <w:r>
        <w:rPr>
          <w:rFonts w:hint="eastAsia"/>
          <w:color w:val="000000" w:themeColor="text1"/>
          <w:sz w:val="21"/>
          <w:szCs w:val="21"/>
          <w14:textFill>
            <w14:solidFill>
              <w14:schemeClr w14:val="tx1"/>
            </w14:solidFill>
          </w14:textFill>
        </w:rPr>
        <w:t>8</w:t>
      </w:r>
      <w:bookmarkStart w:id="935" w:name="_Toc337558780"/>
      <w:bookmarkStart w:id="936" w:name="_Toc296346563"/>
      <w:bookmarkStart w:id="937" w:name="_Toc296503062"/>
      <w:r>
        <w:rPr>
          <w:rFonts w:hint="eastAsia"/>
          <w:color w:val="000000" w:themeColor="text1"/>
          <w:sz w:val="21"/>
          <w:szCs w:val="21"/>
          <w14:textFill>
            <w14:solidFill>
              <w14:schemeClr w14:val="tx1"/>
            </w14:solidFill>
          </w14:textFill>
        </w:rPr>
        <w:t>.4材料与工程设备的保管与使用</w:t>
      </w:r>
      <w:bookmarkEnd w:id="933"/>
      <w:bookmarkEnd w:id="934"/>
    </w:p>
    <w:bookmarkEnd w:id="935"/>
    <w:bookmarkEnd w:id="936"/>
    <w:bookmarkEnd w:id="937"/>
    <w:p w14:paraId="41B3403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8.4.1 发包人供应材料与工程设备的保管与使用</w:t>
      </w:r>
    </w:p>
    <w:p w14:paraId="7BDAE07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D234DD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发包人供应的材料和工程设备使用前，由承包人负责检验，检验费用由发包人承担，不合格的不得使用。</w:t>
      </w:r>
    </w:p>
    <w:p w14:paraId="5DA69C6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8.4.2 承包人采购材料与工程设备的保管与使用</w:t>
      </w:r>
    </w:p>
    <w:p w14:paraId="3D6A631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4B854C8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发包人或监理人发现承包人使用不符合设计或有关标准要求的材料和工程设备时，有权要求承包人进行修复、拆除或重新采购，由此增加的费用和（或）延误的工期，由承包人承担。</w:t>
      </w:r>
    </w:p>
    <w:p w14:paraId="35176158">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38" w:name="_Toc532377243"/>
      <w:bookmarkStart w:id="939" w:name="_Toc351203557"/>
      <w:r>
        <w:rPr>
          <w:rFonts w:hint="eastAsia"/>
          <w:color w:val="000000" w:themeColor="text1"/>
          <w:sz w:val="21"/>
          <w:szCs w:val="21"/>
          <w14:textFill>
            <w14:solidFill>
              <w14:schemeClr w14:val="tx1"/>
            </w14:solidFill>
          </w14:textFill>
        </w:rPr>
        <w:t>8.5禁止使用不合格的材料和工程设备</w:t>
      </w:r>
      <w:bookmarkEnd w:id="938"/>
      <w:bookmarkEnd w:id="939"/>
    </w:p>
    <w:p w14:paraId="166AE2F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8.5.1 监理人有权拒绝承包人提供的不合格材料或工程设备，并要求承包人立即进行更换。监理人应在更换后再次进行检查和检验，由此增加的费用和（或）延误的工期由承包人承担。</w:t>
      </w:r>
    </w:p>
    <w:p w14:paraId="3D2B594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8.5.2 监理人发现承包人使用了不合格的材料和工程设备，承包人应按照监理人的指示立即改正，并禁止在工程中继续使用不合格的材料和工程设备。</w:t>
      </w:r>
    </w:p>
    <w:p w14:paraId="7C73277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8.5.3 发包人提供的材料或工程设备不符合合同要求的，承包人有权拒绝，并可要求发包人更换，由此增加的费用和（或）延误的工期由发包人承担，并支付承包人合理的利润。</w:t>
      </w:r>
    </w:p>
    <w:p w14:paraId="0DCBF6E6">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40" w:name="_Toc532377244"/>
      <w:bookmarkStart w:id="941" w:name="_Toc351203558"/>
      <w:r>
        <w:rPr>
          <w:rFonts w:hint="eastAsia"/>
          <w:color w:val="000000" w:themeColor="text1"/>
          <w:sz w:val="21"/>
          <w:szCs w:val="21"/>
          <w14:textFill>
            <w14:solidFill>
              <w14:schemeClr w14:val="tx1"/>
            </w14:solidFill>
          </w14:textFill>
        </w:rPr>
        <w:t>8.6 样品</w:t>
      </w:r>
      <w:bookmarkEnd w:id="940"/>
      <w:bookmarkEnd w:id="941"/>
    </w:p>
    <w:p w14:paraId="1CE2147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8.6.1</w:t>
      </w:r>
      <w:r>
        <w:rPr>
          <w:rFonts w:hint="eastAsia" w:ascii="宋体" w:hAnsi="宋体"/>
          <w:color w:val="000000" w:themeColor="text1"/>
          <w:kern w:val="0"/>
          <w:szCs w:val="21"/>
          <w14:textFill>
            <w14:solidFill>
              <w14:schemeClr w14:val="tx1"/>
            </w14:solidFill>
          </w14:textFill>
        </w:rPr>
        <w:tab/>
      </w:r>
      <w:r>
        <w:rPr>
          <w:rFonts w:hint="eastAsia" w:ascii="宋体" w:hAnsi="宋体"/>
          <w:color w:val="000000" w:themeColor="text1"/>
          <w:kern w:val="0"/>
          <w:szCs w:val="21"/>
          <w14:textFill>
            <w14:solidFill>
              <w14:schemeClr w14:val="tx1"/>
            </w14:solidFill>
          </w14:textFill>
        </w:rPr>
        <w:t>样品的报送与封存</w:t>
      </w:r>
    </w:p>
    <w:p w14:paraId="218EA75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需要承包人报送样品的材料或工程设备，样品的种类、名称、规格、数量等要求均应在专用合同条款中约定。样品的报送程序如下：</w:t>
      </w:r>
    </w:p>
    <w:p w14:paraId="02FF4A7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3636ABA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532A777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（3）经发包人和监理人审批确认的样品应按约定的方法封样，封存的样品作为检验工程相关部分的标准之一。承包人在施工过程中不得使用与样品不符的材料或工程设备。</w:t>
      </w:r>
    </w:p>
    <w:p w14:paraId="5A062D0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1812A41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8.6.2 样品的保管</w:t>
      </w:r>
    </w:p>
    <w:p w14:paraId="6D96F99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经批准的样品应由监理人负责封存于现场，承包人应在现场为保存样品提供适当和固定的场所并保持适当和良好的存储环境条件。</w:t>
      </w:r>
    </w:p>
    <w:p w14:paraId="1459F04C">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42" w:name="_Toc532377245"/>
      <w:bookmarkStart w:id="943" w:name="_Toc351203559"/>
      <w:r>
        <w:rPr>
          <w:rFonts w:hint="eastAsia"/>
          <w:color w:val="000000" w:themeColor="text1"/>
          <w:sz w:val="21"/>
          <w:szCs w:val="21"/>
          <w14:textFill>
            <w14:solidFill>
              <w14:schemeClr w14:val="tx1"/>
            </w14:solidFill>
          </w14:textFill>
        </w:rPr>
        <w:t>8.7材料与工程设备的替代</w:t>
      </w:r>
      <w:bookmarkEnd w:id="942"/>
      <w:bookmarkEnd w:id="943"/>
    </w:p>
    <w:p w14:paraId="45BAE67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8.7.1 出现下列情况需要使用替代材料和工程设备的，承包人应按照第8.7.2项约定的程序执行：</w:t>
      </w:r>
    </w:p>
    <w:p w14:paraId="452E571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（1）基准日期后生效的法律规定禁止使用的；</w:t>
      </w:r>
    </w:p>
    <w:p w14:paraId="7E321A6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（2）发包人要求使用替代品的；</w:t>
      </w:r>
    </w:p>
    <w:p w14:paraId="5F51F5B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（3）因其他原因必须使用替代品的。</w:t>
      </w:r>
    </w:p>
    <w:p w14:paraId="12074E7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8.7.2 承包人应在使用替代材料和工程设备28天前书面通知监理人，并附下列文件：</w:t>
      </w:r>
    </w:p>
    <w:p w14:paraId="34E6149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（1）被替代的材料和工程设备的名称、数量、规格、型号、品牌、性能、价格及其他相关资料；</w:t>
      </w:r>
    </w:p>
    <w:p w14:paraId="3B02940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（2）替代品的名称、数量、规格、型号、品牌、性能、价格及其他相关资料；</w:t>
      </w:r>
    </w:p>
    <w:p w14:paraId="61B7C57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（3）替代品与被替代产品之间的差异以及使用替代品可能对工程产生的影响；</w:t>
      </w:r>
    </w:p>
    <w:p w14:paraId="434175E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（4）替代品与被替代产品的价格差异；</w:t>
      </w:r>
    </w:p>
    <w:p w14:paraId="5DCAE8D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（5）使用替代品的理由和原因说明；</w:t>
      </w:r>
    </w:p>
    <w:p w14:paraId="44B8682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（6）监理人要求的其他文件。</w:t>
      </w:r>
    </w:p>
    <w:p w14:paraId="0B28920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监理人应在收到通知后14天内向承包人发出经发包人签认的书面指示；监理人逾期发出书面指示的，视为发包人和监理人同意使用替代品。</w:t>
      </w:r>
    </w:p>
    <w:p w14:paraId="350393D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12EC0FD0">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44" w:name="_Toc532377246"/>
      <w:bookmarkStart w:id="945" w:name="_Toc351203560"/>
      <w:r>
        <w:rPr>
          <w:rFonts w:hint="eastAsia"/>
          <w:color w:val="000000" w:themeColor="text1"/>
          <w:sz w:val="21"/>
          <w:szCs w:val="21"/>
          <w14:textFill>
            <w14:solidFill>
              <w14:schemeClr w14:val="tx1"/>
            </w14:solidFill>
          </w14:textFill>
        </w:rPr>
        <w:t>8.8施工设备和临时设施</w:t>
      </w:r>
      <w:bookmarkEnd w:id="944"/>
      <w:bookmarkEnd w:id="945"/>
    </w:p>
    <w:p w14:paraId="0C21F99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8.8.1 承包人提供的施工设备和临时设施</w:t>
      </w:r>
    </w:p>
    <w:p w14:paraId="2EC5962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承包人应按合同进度计划的要求，及时配置施工设备和修建临时设施。进入施工场地的承包人设备需经监理人核查后才能投入使用。承包人更换合同约定的承包人设备的，应报监理人批准。</w:t>
      </w:r>
    </w:p>
    <w:p w14:paraId="6CA1097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除专用合同条款另有约定外，承包人应自行承担修建临时设施的费用，需要临时占地的，应由发包人办理申请手续并承担相应费用。</w:t>
      </w:r>
    </w:p>
    <w:p w14:paraId="612AA5B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8.8.2发包人提供的施工设备和临时设施</w:t>
      </w:r>
    </w:p>
    <w:p w14:paraId="57CD7A1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发包人提供的施工设备或临时设施在专用合同条款中约定。</w:t>
      </w:r>
    </w:p>
    <w:p w14:paraId="1D4F8A7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8.8.3要求承包人增加或更换施工设备</w:t>
      </w:r>
    </w:p>
    <w:p w14:paraId="744DB36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承包人使用的施工设备不能满足合同进度计划和（或）质量要求时，监理人有权要求承包人增加或更换施工设备，承包人应及时增加或更换，由此增加的费用和（或）延误的工期由承包人承担。</w:t>
      </w:r>
    </w:p>
    <w:p w14:paraId="2FAE265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46" w:name="_Toc351203561"/>
      <w:bookmarkStart w:id="947" w:name="_Toc532377247"/>
      <w:r>
        <w:rPr>
          <w:rFonts w:hint="eastAsia"/>
          <w:color w:val="000000" w:themeColor="text1"/>
          <w:sz w:val="21"/>
          <w:szCs w:val="21"/>
          <w14:textFill>
            <w14:solidFill>
              <w14:schemeClr w14:val="tx1"/>
            </w14:solidFill>
          </w14:textFill>
        </w:rPr>
        <w:t>8</w:t>
      </w:r>
      <w:bookmarkStart w:id="948" w:name="_Toc337558781"/>
      <w:bookmarkStart w:id="949" w:name="_Toc296503063"/>
      <w:bookmarkStart w:id="950" w:name="_Toc296346564"/>
      <w:r>
        <w:rPr>
          <w:rFonts w:hint="eastAsia"/>
          <w:color w:val="000000" w:themeColor="text1"/>
          <w:sz w:val="21"/>
          <w:szCs w:val="21"/>
          <w14:textFill>
            <w14:solidFill>
              <w14:schemeClr w14:val="tx1"/>
            </w14:solidFill>
          </w14:textFill>
        </w:rPr>
        <w:t>.9材料与设备专用</w:t>
      </w:r>
      <w:bookmarkEnd w:id="946"/>
      <w:r>
        <w:rPr>
          <w:rFonts w:hint="eastAsia"/>
          <w:color w:val="000000" w:themeColor="text1"/>
          <w:sz w:val="21"/>
          <w:szCs w:val="21"/>
          <w14:textFill>
            <w14:solidFill>
              <w14:schemeClr w14:val="tx1"/>
            </w14:solidFill>
          </w14:textFill>
        </w:rPr>
        <w:t>要求</w:t>
      </w:r>
      <w:bookmarkEnd w:id="947"/>
    </w:p>
    <w:bookmarkEnd w:id="948"/>
    <w:bookmarkEnd w:id="949"/>
    <w:bookmarkEnd w:id="950"/>
    <w:p w14:paraId="3DBD7BA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承包人运入施工现场的材料、工程设备、施工设备以及在施工场地建设的临时设施，包括备品备件、安装工具与资料，必须专用于工程。未经发包人批准，承包人不得运出施工现场或挪作他用；</w:t>
      </w:r>
      <w:bookmarkEnd w:id="925"/>
      <w:r>
        <w:rPr>
          <w:rFonts w:hint="eastAsia" w:ascii="宋体" w:hAnsi="宋体"/>
          <w:color w:val="000000" w:themeColor="text1"/>
          <w:kern w:val="0"/>
          <w:szCs w:val="21"/>
          <w14:textFill>
            <w14:solidFill>
              <w14:schemeClr w14:val="tx1"/>
            </w14:solidFill>
          </w14:textFill>
        </w:rPr>
        <w:t>经发包人批准，承包人可以根据施工进度计划撤走闲置的施工设备和其他物品。</w:t>
      </w:r>
    </w:p>
    <w:p w14:paraId="55B1E1D8">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951" w:name="_Toc532377248"/>
      <w:bookmarkStart w:id="952" w:name="_Toc532375595"/>
      <w:bookmarkStart w:id="953" w:name="_Toc351203562"/>
      <w:r>
        <w:rPr>
          <w:rFonts w:hint="eastAsia"/>
          <w:color w:val="000000" w:themeColor="text1"/>
          <w:kern w:val="2"/>
          <w:sz w:val="21"/>
          <w:szCs w:val="21"/>
          <w14:textFill>
            <w14:solidFill>
              <w14:schemeClr w14:val="tx1"/>
            </w14:solidFill>
          </w14:textFill>
        </w:rPr>
        <w:t>9</w:t>
      </w:r>
      <w:bookmarkStart w:id="954" w:name="_Toc337558782"/>
      <w:bookmarkStart w:id="955" w:name="_Toc296503083"/>
      <w:bookmarkStart w:id="956" w:name="_Toc296346584"/>
      <w:r>
        <w:rPr>
          <w:rFonts w:hint="eastAsia"/>
          <w:color w:val="000000" w:themeColor="text1"/>
          <w:kern w:val="2"/>
          <w:sz w:val="21"/>
          <w:szCs w:val="21"/>
          <w14:textFill>
            <w14:solidFill>
              <w14:schemeClr w14:val="tx1"/>
            </w14:solidFill>
          </w14:textFill>
        </w:rPr>
        <w:t>. 试验与检验</w:t>
      </w:r>
      <w:bookmarkEnd w:id="951"/>
      <w:bookmarkEnd w:id="952"/>
      <w:bookmarkEnd w:id="953"/>
    </w:p>
    <w:bookmarkEnd w:id="954"/>
    <w:p w14:paraId="33007116">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57" w:name="_Toc351203563"/>
      <w:bookmarkStart w:id="958" w:name="_Toc532377249"/>
      <w:r>
        <w:rPr>
          <w:rFonts w:hint="eastAsia"/>
          <w:color w:val="000000" w:themeColor="text1"/>
          <w:sz w:val="21"/>
          <w:szCs w:val="21"/>
          <w14:textFill>
            <w14:solidFill>
              <w14:schemeClr w14:val="tx1"/>
            </w14:solidFill>
          </w14:textFill>
        </w:rPr>
        <w:t>9</w:t>
      </w:r>
      <w:bookmarkStart w:id="959" w:name="_Toc337558783"/>
      <w:r>
        <w:rPr>
          <w:rFonts w:hint="eastAsia"/>
          <w:color w:val="000000" w:themeColor="text1"/>
          <w:sz w:val="21"/>
          <w:szCs w:val="21"/>
          <w14:textFill>
            <w14:solidFill>
              <w14:schemeClr w14:val="tx1"/>
            </w14:solidFill>
          </w14:textFill>
        </w:rPr>
        <w:t>.1试验设备与试验人员</w:t>
      </w:r>
      <w:bookmarkEnd w:id="957"/>
      <w:bookmarkEnd w:id="958"/>
    </w:p>
    <w:bookmarkEnd w:id="959"/>
    <w:p w14:paraId="16C4B1E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6E16268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9.1.2 承包人应按专用合同条款的约定提供试验设备、取样装置、试验场所和试验条件，并向监理人提交相应进场计划表。</w:t>
      </w:r>
    </w:p>
    <w:p w14:paraId="630D225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承包人配置的试验设备要符合相应试验规程的要求并经过具有资质的检测单位检测，且在正式使用该试验设备前，需要经过监理人与承包人共同校定。</w:t>
      </w:r>
    </w:p>
    <w:p w14:paraId="5705E7C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9.1.3 承包人应向监理人提交试验人员的名单及其岗位、资格等证明资料，试验人员必须能够熟练进行相应的检测试验，承包人对试验人员的试验程序和试验结果的正确性负责。</w:t>
      </w:r>
    </w:p>
    <w:p w14:paraId="159CFD62">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60" w:name="_Toc532377250"/>
      <w:bookmarkStart w:id="961" w:name="_Toc351203564"/>
      <w:r>
        <w:rPr>
          <w:rFonts w:hint="eastAsia"/>
          <w:color w:val="000000" w:themeColor="text1"/>
          <w:sz w:val="21"/>
          <w:szCs w:val="21"/>
          <w14:textFill>
            <w14:solidFill>
              <w14:schemeClr w14:val="tx1"/>
            </w14:solidFill>
          </w14:textFill>
        </w:rPr>
        <w:t>9</w:t>
      </w:r>
      <w:bookmarkStart w:id="962" w:name="_Toc337558784"/>
      <w:r>
        <w:rPr>
          <w:rFonts w:hint="eastAsia"/>
          <w:color w:val="000000" w:themeColor="text1"/>
          <w:sz w:val="21"/>
          <w:szCs w:val="21"/>
          <w14:textFill>
            <w14:solidFill>
              <w14:schemeClr w14:val="tx1"/>
            </w14:solidFill>
          </w14:textFill>
        </w:rPr>
        <w:t>.2取样</w:t>
      </w:r>
      <w:bookmarkEnd w:id="960"/>
      <w:bookmarkEnd w:id="961"/>
    </w:p>
    <w:bookmarkEnd w:id="962"/>
    <w:p w14:paraId="3754206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试验属于自检性质的，承包人可以单独取样。试验属于监理人抽检性质的，可由监理人取样，也可由承包人的试验人员在监理人的监督下取样。</w:t>
      </w:r>
    </w:p>
    <w:p w14:paraId="434C5157">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63" w:name="_Toc351203565"/>
      <w:bookmarkStart w:id="964" w:name="_Toc532377251"/>
      <w:r>
        <w:rPr>
          <w:rFonts w:hint="eastAsia"/>
          <w:color w:val="000000" w:themeColor="text1"/>
          <w:sz w:val="21"/>
          <w:szCs w:val="21"/>
          <w14:textFill>
            <w14:solidFill>
              <w14:schemeClr w14:val="tx1"/>
            </w14:solidFill>
          </w14:textFill>
        </w:rPr>
        <w:t>9</w:t>
      </w:r>
      <w:bookmarkStart w:id="965" w:name="_Toc337558785"/>
      <w:r>
        <w:rPr>
          <w:rFonts w:hint="eastAsia"/>
          <w:color w:val="000000" w:themeColor="text1"/>
          <w:sz w:val="21"/>
          <w:szCs w:val="21"/>
          <w14:textFill>
            <w14:solidFill>
              <w14:schemeClr w14:val="tx1"/>
            </w14:solidFill>
          </w14:textFill>
        </w:rPr>
        <w:t>.3材料、工程设备和工程的试验和检验</w:t>
      </w:r>
      <w:bookmarkEnd w:id="963"/>
      <w:bookmarkEnd w:id="964"/>
    </w:p>
    <w:bookmarkEnd w:id="965"/>
    <w:p w14:paraId="5C3B1D5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7D5981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4C0F884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1AAF187C">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66" w:name="_Toc351203566"/>
      <w:bookmarkStart w:id="967" w:name="_Toc532377252"/>
      <w:r>
        <w:rPr>
          <w:rFonts w:hint="eastAsia"/>
          <w:color w:val="000000" w:themeColor="text1"/>
          <w:sz w:val="21"/>
          <w:szCs w:val="21"/>
          <w14:textFill>
            <w14:solidFill>
              <w14:schemeClr w14:val="tx1"/>
            </w14:solidFill>
          </w14:textFill>
        </w:rPr>
        <w:t>9</w:t>
      </w:r>
      <w:bookmarkStart w:id="968" w:name="_Toc337558786"/>
      <w:r>
        <w:rPr>
          <w:rFonts w:hint="eastAsia"/>
          <w:color w:val="000000" w:themeColor="text1"/>
          <w:sz w:val="21"/>
          <w:szCs w:val="21"/>
          <w14:textFill>
            <w14:solidFill>
              <w14:schemeClr w14:val="tx1"/>
            </w14:solidFill>
          </w14:textFill>
        </w:rPr>
        <w:t>.4现场工艺试验</w:t>
      </w:r>
      <w:bookmarkEnd w:id="966"/>
      <w:bookmarkEnd w:id="967"/>
    </w:p>
    <w:bookmarkEnd w:id="968"/>
    <w:p w14:paraId="5446B09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承包人应按合同约定或监理人指示进行现场工艺试验。对大型的现场工艺试验，监理人认为必要时，承包人应根据监理人提出的工艺试验要求，编制工艺试验措施计划，报送监理人审查。</w:t>
      </w:r>
    </w:p>
    <w:p w14:paraId="59CD9379">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969" w:name="_Toc532375596"/>
      <w:bookmarkStart w:id="970" w:name="_Toc532377253"/>
      <w:bookmarkStart w:id="971" w:name="_Toc351203567"/>
      <w:r>
        <w:rPr>
          <w:rFonts w:hint="eastAsia"/>
          <w:color w:val="000000" w:themeColor="text1"/>
          <w:kern w:val="2"/>
          <w:sz w:val="21"/>
          <w:szCs w:val="21"/>
          <w14:textFill>
            <w14:solidFill>
              <w14:schemeClr w14:val="tx1"/>
            </w14:solidFill>
          </w14:textFill>
        </w:rPr>
        <w:t>1</w:t>
      </w:r>
      <w:bookmarkStart w:id="972" w:name="_Toc337558787"/>
      <w:r>
        <w:rPr>
          <w:rFonts w:hint="eastAsia"/>
          <w:color w:val="000000" w:themeColor="text1"/>
          <w:kern w:val="2"/>
          <w:sz w:val="21"/>
          <w:szCs w:val="21"/>
          <w14:textFill>
            <w14:solidFill>
              <w14:schemeClr w14:val="tx1"/>
            </w14:solidFill>
          </w14:textFill>
        </w:rPr>
        <w:t>0. 变更</w:t>
      </w:r>
      <w:bookmarkEnd w:id="955"/>
      <w:bookmarkEnd w:id="956"/>
      <w:bookmarkEnd w:id="969"/>
      <w:bookmarkEnd w:id="970"/>
      <w:bookmarkEnd w:id="971"/>
    </w:p>
    <w:bookmarkEnd w:id="972"/>
    <w:p w14:paraId="1CB5FBA6">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73" w:name="_Toc351203568"/>
      <w:bookmarkStart w:id="974" w:name="_Toc532377254"/>
      <w:r>
        <w:rPr>
          <w:rFonts w:hint="eastAsia"/>
          <w:color w:val="000000" w:themeColor="text1"/>
          <w:sz w:val="21"/>
          <w:szCs w:val="21"/>
          <w14:textFill>
            <w14:solidFill>
              <w14:schemeClr w14:val="tx1"/>
            </w14:solidFill>
          </w14:textFill>
        </w:rPr>
        <w:t>1</w:t>
      </w:r>
      <w:bookmarkStart w:id="975" w:name="_Toc337558788"/>
      <w:bookmarkStart w:id="976" w:name="_Toc296346585"/>
      <w:bookmarkStart w:id="977" w:name="_Toc296503084"/>
      <w:r>
        <w:rPr>
          <w:rFonts w:hint="eastAsia"/>
          <w:color w:val="000000" w:themeColor="text1"/>
          <w:sz w:val="21"/>
          <w:szCs w:val="21"/>
          <w14:textFill>
            <w14:solidFill>
              <w14:schemeClr w14:val="tx1"/>
            </w14:solidFill>
          </w14:textFill>
        </w:rPr>
        <w:t>0.1变更的范围</w:t>
      </w:r>
      <w:bookmarkEnd w:id="973"/>
      <w:bookmarkEnd w:id="974"/>
    </w:p>
    <w:bookmarkEnd w:id="975"/>
    <w:bookmarkEnd w:id="976"/>
    <w:bookmarkEnd w:id="977"/>
    <w:p w14:paraId="4015C52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除专用合同条款另有约定外，合同履行过程中发生以下情形的，应按照本条约定进行变更：</w:t>
      </w:r>
    </w:p>
    <w:p w14:paraId="4556081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（1）增加或减少合同中任何工作，或追加额外的工作；</w:t>
      </w:r>
    </w:p>
    <w:p w14:paraId="403490F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（2）取消合同中任何工作，但转由他人实施的工作除外；</w:t>
      </w:r>
    </w:p>
    <w:p w14:paraId="699FB2E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（3）改变合同中任何工作的质量标准或其他特性；</w:t>
      </w:r>
    </w:p>
    <w:p w14:paraId="2B0D0BA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（4）改变工程的基线、标高、位置和尺寸；</w:t>
      </w:r>
    </w:p>
    <w:p w14:paraId="3C54D45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（5）改变工程的时间安排或实施顺序。</w:t>
      </w:r>
    </w:p>
    <w:p w14:paraId="4FA0F244">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78" w:name="_Toc532377255"/>
      <w:r>
        <w:rPr>
          <w:rFonts w:hint="eastAsia"/>
          <w:color w:val="000000" w:themeColor="text1"/>
          <w:sz w:val="21"/>
          <w:szCs w:val="21"/>
          <w14:textFill>
            <w14:solidFill>
              <w14:schemeClr w14:val="tx1"/>
            </w14:solidFill>
          </w14:textFill>
        </w:rPr>
        <w:t>10.2变更权</w:t>
      </w:r>
      <w:bookmarkEnd w:id="978"/>
    </w:p>
    <w:p w14:paraId="59278CC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74E7A47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涉及设计变更的，应由设计人提供变更后的图纸和说明。如变更超过原设计标准或批准的建设规模时，发包人应及时办理规划、设计变更等审批手续。</w:t>
      </w:r>
    </w:p>
    <w:p w14:paraId="71CE25A7">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79" w:name="_Toc532377256"/>
      <w:r>
        <w:rPr>
          <w:rFonts w:hint="eastAsia"/>
          <w:color w:val="000000" w:themeColor="text1"/>
          <w:sz w:val="21"/>
          <w:szCs w:val="21"/>
          <w14:textFill>
            <w14:solidFill>
              <w14:schemeClr w14:val="tx1"/>
            </w14:solidFill>
          </w14:textFill>
        </w:rPr>
        <w:t>10.3变更程序</w:t>
      </w:r>
      <w:bookmarkEnd w:id="979"/>
    </w:p>
    <w:p w14:paraId="72F68A0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10.3.1 发包人提出变更</w:t>
      </w:r>
    </w:p>
    <w:p w14:paraId="6569A98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发包人提出变更的，应通过监理人向承包人发出变更指示，变更指示应说明计划变更的工程范围和变更的内容。</w:t>
      </w:r>
    </w:p>
    <w:p w14:paraId="1EEFB1E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10.3.2 监理人提出变更建议</w:t>
      </w:r>
    </w:p>
    <w:p w14:paraId="6078940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535310F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10.3.3 变更执行</w:t>
      </w:r>
    </w:p>
    <w:p w14:paraId="3A9E01A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14FD68CD">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80" w:name="_Toc351203571"/>
      <w:bookmarkStart w:id="981" w:name="_Toc532377257"/>
      <w:r>
        <w:rPr>
          <w:rFonts w:hint="eastAsia"/>
          <w:color w:val="000000" w:themeColor="text1"/>
          <w:sz w:val="21"/>
          <w:szCs w:val="21"/>
          <w14:textFill>
            <w14:solidFill>
              <w14:schemeClr w14:val="tx1"/>
            </w14:solidFill>
          </w14:textFill>
        </w:rPr>
        <w:t>1</w:t>
      </w:r>
      <w:bookmarkStart w:id="982" w:name="_Toc296503087"/>
      <w:bookmarkStart w:id="983" w:name="_Toc296346588"/>
      <w:bookmarkStart w:id="984" w:name="_Toc337558791"/>
      <w:r>
        <w:rPr>
          <w:rFonts w:hint="eastAsia"/>
          <w:color w:val="000000" w:themeColor="text1"/>
          <w:sz w:val="21"/>
          <w:szCs w:val="21"/>
          <w14:textFill>
            <w14:solidFill>
              <w14:schemeClr w14:val="tx1"/>
            </w14:solidFill>
          </w14:textFill>
        </w:rPr>
        <w:t>0.4变更估价</w:t>
      </w:r>
      <w:bookmarkEnd w:id="980"/>
      <w:bookmarkEnd w:id="981"/>
    </w:p>
    <w:bookmarkEnd w:id="982"/>
    <w:bookmarkEnd w:id="983"/>
    <w:bookmarkEnd w:id="984"/>
    <w:p w14:paraId="258447E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10.4.1 变更估价原则</w:t>
      </w:r>
    </w:p>
    <w:p w14:paraId="368A2A4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除专用合同条款另有约定外，变更估价按照本款约定处理：</w:t>
      </w:r>
    </w:p>
    <w:p w14:paraId="0D1D859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（1）已标价工程量清单或预算书有相同项目的，按照相同项目单价认定；</w:t>
      </w:r>
    </w:p>
    <w:p w14:paraId="207C1D2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（2）已标价工程量清单或预算书中无相同项目，但有类似项目的，参照类似项目的单价认定；</w:t>
      </w:r>
    </w:p>
    <w:p w14:paraId="027E55C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567469A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10.4.2 变更估价程序</w:t>
      </w:r>
    </w:p>
    <w:p w14:paraId="6D2425B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591D0E8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因变更引起的价格调整应计入最近一期的进度款中支付。</w:t>
      </w:r>
    </w:p>
    <w:p w14:paraId="7A9BC5E9">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85" w:name="_Toc351203572"/>
      <w:bookmarkStart w:id="986" w:name="_Toc532377258"/>
      <w:r>
        <w:rPr>
          <w:rFonts w:hint="eastAsia"/>
          <w:color w:val="000000" w:themeColor="text1"/>
          <w:sz w:val="21"/>
          <w:szCs w:val="21"/>
          <w14:textFill>
            <w14:solidFill>
              <w14:schemeClr w14:val="tx1"/>
            </w14:solidFill>
          </w14:textFill>
        </w:rPr>
        <w:t>1</w:t>
      </w:r>
      <w:bookmarkStart w:id="987" w:name="_Toc337558792"/>
      <w:bookmarkStart w:id="988" w:name="_Toc296503094"/>
      <w:bookmarkStart w:id="989" w:name="_Toc296346595"/>
      <w:r>
        <w:rPr>
          <w:rFonts w:hint="eastAsia"/>
          <w:color w:val="000000" w:themeColor="text1"/>
          <w:sz w:val="21"/>
          <w:szCs w:val="21"/>
          <w14:textFill>
            <w14:solidFill>
              <w14:schemeClr w14:val="tx1"/>
            </w14:solidFill>
          </w14:textFill>
        </w:rPr>
        <w:t>0.5承包人的合理化建议</w:t>
      </w:r>
      <w:bookmarkEnd w:id="985"/>
      <w:bookmarkEnd w:id="986"/>
    </w:p>
    <w:bookmarkEnd w:id="987"/>
    <w:bookmarkEnd w:id="988"/>
    <w:bookmarkEnd w:id="989"/>
    <w:p w14:paraId="1B0FE44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承包人提出合理化建议的，应向监理人提交合理化建议说明，说明建议的内容和理由，以及实施该建议对合同价格和工期的影响。</w:t>
      </w:r>
    </w:p>
    <w:p w14:paraId="36FB19A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337138F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合理化建议降低了合同价格或者提高了工程经济效益的，发包人可对承包人给予奖励，奖励的方法和金额在专用合同条款中约定。</w:t>
      </w:r>
    </w:p>
    <w:p w14:paraId="3ED829DD">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90" w:name="_Toc532377259"/>
      <w:bookmarkStart w:id="991" w:name="_Toc351203573"/>
      <w:r>
        <w:rPr>
          <w:rFonts w:hint="eastAsia"/>
          <w:color w:val="000000" w:themeColor="text1"/>
          <w:sz w:val="21"/>
          <w:szCs w:val="21"/>
          <w14:textFill>
            <w14:solidFill>
              <w14:schemeClr w14:val="tx1"/>
            </w14:solidFill>
          </w14:textFill>
        </w:rPr>
        <w:t>1</w:t>
      </w:r>
      <w:bookmarkStart w:id="992" w:name="_Toc337558793"/>
      <w:r>
        <w:rPr>
          <w:rFonts w:hint="eastAsia"/>
          <w:color w:val="000000" w:themeColor="text1"/>
          <w:sz w:val="21"/>
          <w:szCs w:val="21"/>
          <w14:textFill>
            <w14:solidFill>
              <w14:schemeClr w14:val="tx1"/>
            </w14:solidFill>
          </w14:textFill>
        </w:rPr>
        <w:t>0.6变更引起的工期调整</w:t>
      </w:r>
      <w:bookmarkEnd w:id="990"/>
      <w:bookmarkEnd w:id="991"/>
      <w:bookmarkEnd w:id="992"/>
    </w:p>
    <w:p w14:paraId="01F3454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因变更引起工期变化的，合同当事人均可要求调整合同工期，由合同当事人按照第4.4款〔商定或确定〕并参考工程所在地的工期定额标准确定增减工期天数。</w:t>
      </w:r>
    </w:p>
    <w:p w14:paraId="60EB1DD6">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93" w:name="_Toc351203574"/>
      <w:bookmarkStart w:id="994" w:name="_Toc532377260"/>
      <w:r>
        <w:rPr>
          <w:rFonts w:hint="eastAsia"/>
          <w:color w:val="000000" w:themeColor="text1"/>
          <w:sz w:val="21"/>
          <w:szCs w:val="21"/>
          <w14:textFill>
            <w14:solidFill>
              <w14:schemeClr w14:val="tx1"/>
            </w14:solidFill>
          </w14:textFill>
        </w:rPr>
        <w:t>10.7暂估价</w:t>
      </w:r>
      <w:bookmarkEnd w:id="993"/>
      <w:bookmarkEnd w:id="994"/>
    </w:p>
    <w:p w14:paraId="5B57FDC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暂估价专业分包工程、服务、材料和工程设备的明细由合同当事人在专用合同条款中约定。</w:t>
      </w:r>
    </w:p>
    <w:p w14:paraId="6DB5136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10.7.1 依法必须招标的暂估价项目</w:t>
      </w:r>
    </w:p>
    <w:p w14:paraId="235195D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对于依法必须招标的暂估价项目，采取以下第1种方式确定。合同当事人也可以在专用合同条款中选择其他招标方式。</w:t>
      </w:r>
    </w:p>
    <w:p w14:paraId="2B14099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第1种方式：对于依法必须招标的暂估价项目，由承包人招标，对该暂估价项目的确认和批准按照以下约定执行：</w:t>
      </w:r>
    </w:p>
    <w:p w14:paraId="5826371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36081AD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承包人应当根据施工进度计划，提前14天将竞争性比选文件通过监理人报送发包人审批，发包人应当在收到承包人报送的相关文件后7天内完成审批或提出修改意见；发包人有权确定最高限价并按照法律规定参加评标；</w:t>
      </w:r>
    </w:p>
    <w:p w14:paraId="00FF8AB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7E6D72F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6F3F70D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10.7.2不属于依法必须招标的暂估价项目</w:t>
      </w:r>
    </w:p>
    <w:p w14:paraId="32F25C8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除专用合同条款另有约定外，对于不属于依法必须招标的暂估价项目，采取以下第1种方式确定： </w:t>
      </w:r>
    </w:p>
    <w:p w14:paraId="33E06A6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第1种方式：对于不属于依法必须招标的暂估价项目，按本项约定确认和批准：</w:t>
      </w:r>
    </w:p>
    <w:p w14:paraId="18B6A33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26F817D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（2）发包人认为承包人确定的供应商、分包人无法满足工程质量或合同要求的，发包人可以要求承包人重新确定暂估价项目的供应商、分包人;</w:t>
      </w:r>
    </w:p>
    <w:p w14:paraId="5996DEC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（3）承包人应当在签订暂估价合同后7天内，将暂估价合同副本报送发包人留存。</w:t>
      </w:r>
    </w:p>
    <w:p w14:paraId="2C0C8EE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第2种方式：承包人按照第10.7.1项〔依法必须招标的暂估价项目〕约定的第1种方式确定暂估价项目。</w:t>
      </w:r>
    </w:p>
    <w:p w14:paraId="70FEC15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第3种方式：承包人直接实施的暂估价项目</w:t>
      </w:r>
    </w:p>
    <w:p w14:paraId="6E284BF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承包人具备实施暂估价项目的资格和条件的，经发包人和承包人协商一致后，可由承包人自行实施暂估价项目，合同当事人可以在专用合同条款约定具体事项。</w:t>
      </w:r>
    </w:p>
    <w:p w14:paraId="6A5739F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C9BD9D9">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995" w:name="_Toc351203575"/>
      <w:bookmarkStart w:id="996" w:name="_Toc532377261"/>
      <w:r>
        <w:rPr>
          <w:rFonts w:hint="eastAsia"/>
          <w:color w:val="000000" w:themeColor="text1"/>
          <w:sz w:val="21"/>
          <w:szCs w:val="21"/>
          <w14:textFill>
            <w14:solidFill>
              <w14:schemeClr w14:val="tx1"/>
            </w14:solidFill>
          </w14:textFill>
        </w:rPr>
        <w:t>1</w:t>
      </w:r>
      <w:bookmarkStart w:id="997" w:name="_Toc337558794"/>
      <w:bookmarkStart w:id="998" w:name="_Toc322522561"/>
      <w:bookmarkStart w:id="999" w:name="_Toc296346591"/>
      <w:bookmarkStart w:id="1000" w:name="_Toc296503090"/>
      <w:r>
        <w:rPr>
          <w:rFonts w:hint="eastAsia"/>
          <w:color w:val="000000" w:themeColor="text1"/>
          <w:sz w:val="21"/>
          <w:szCs w:val="21"/>
          <w14:textFill>
            <w14:solidFill>
              <w14:schemeClr w14:val="tx1"/>
            </w14:solidFill>
          </w14:textFill>
        </w:rPr>
        <w:t>0.8暂列金额</w:t>
      </w:r>
      <w:bookmarkEnd w:id="995"/>
      <w:bookmarkEnd w:id="996"/>
    </w:p>
    <w:bookmarkEnd w:id="997"/>
    <w:p w14:paraId="2790771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暂列金额应按照发包人的要求使用，发包人的要求应通过监理人发出。合同当事人可以在专用合同条款中协商确定有关事项。</w:t>
      </w:r>
    </w:p>
    <w:bookmarkEnd w:id="998"/>
    <w:bookmarkEnd w:id="999"/>
    <w:bookmarkEnd w:id="1000"/>
    <w:p w14:paraId="496AE34E">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01" w:name="_Toc351203576"/>
      <w:bookmarkStart w:id="1002" w:name="_Toc532377262"/>
      <w:r>
        <w:rPr>
          <w:rFonts w:hint="eastAsia"/>
          <w:color w:val="000000" w:themeColor="text1"/>
          <w:sz w:val="21"/>
          <w:szCs w:val="21"/>
          <w14:textFill>
            <w14:solidFill>
              <w14:schemeClr w14:val="tx1"/>
            </w14:solidFill>
          </w14:textFill>
        </w:rPr>
        <w:t>1</w:t>
      </w:r>
      <w:bookmarkStart w:id="1003" w:name="_Toc296503091"/>
      <w:bookmarkStart w:id="1004" w:name="_Toc296346592"/>
      <w:bookmarkStart w:id="1005" w:name="_Toc337558796"/>
      <w:r>
        <w:rPr>
          <w:rFonts w:hint="eastAsia"/>
          <w:color w:val="000000" w:themeColor="text1"/>
          <w:sz w:val="21"/>
          <w:szCs w:val="21"/>
          <w14:textFill>
            <w14:solidFill>
              <w14:schemeClr w14:val="tx1"/>
            </w14:solidFill>
          </w14:textFill>
        </w:rPr>
        <w:t>0.9计日工</w:t>
      </w:r>
      <w:bookmarkEnd w:id="1001"/>
      <w:bookmarkEnd w:id="1002"/>
      <w:bookmarkEnd w:id="1003"/>
      <w:bookmarkEnd w:id="1004"/>
      <w:bookmarkEnd w:id="1005"/>
    </w:p>
    <w:p w14:paraId="776FB3D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3A132FB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采用计日工计价的任何一项工作，承包人应在该项工作实施过程中，每天提交以下报表和有关凭证报送监理人审查：</w:t>
      </w:r>
    </w:p>
    <w:p w14:paraId="561EF39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（1）工作名称、内容和数量；</w:t>
      </w:r>
    </w:p>
    <w:p w14:paraId="1686E3C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（2）投入该工作的所有人员的姓名、专业、工种、级别和耗用工时；</w:t>
      </w:r>
    </w:p>
    <w:p w14:paraId="045B97E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（3）投入该工作的材料类别和数量；</w:t>
      </w:r>
    </w:p>
    <w:p w14:paraId="1DD5D0D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（4）投入该工作的施工设备型号、台数和耗用台时；</w:t>
      </w:r>
    </w:p>
    <w:p w14:paraId="135BDA1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（5）其他有关资料和凭证。</w:t>
      </w:r>
    </w:p>
    <w:p w14:paraId="3B5A584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 计日工由承包人汇总后，列入最近一期进度付款申请单，由监理人审查并经发包人批准后列入进度付款。</w:t>
      </w:r>
    </w:p>
    <w:p w14:paraId="73F618A0">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006" w:name="_Toc351203577"/>
      <w:bookmarkStart w:id="1007" w:name="_Toc532377263"/>
      <w:bookmarkStart w:id="1008" w:name="_Toc532375597"/>
      <w:r>
        <w:rPr>
          <w:rFonts w:hint="eastAsia"/>
          <w:color w:val="000000" w:themeColor="text1"/>
          <w:kern w:val="2"/>
          <w:sz w:val="21"/>
          <w:szCs w:val="21"/>
          <w14:textFill>
            <w14:solidFill>
              <w14:schemeClr w14:val="tx1"/>
            </w14:solidFill>
          </w14:textFill>
        </w:rPr>
        <w:t>11. 价格调整</w:t>
      </w:r>
      <w:bookmarkEnd w:id="1006"/>
      <w:bookmarkEnd w:id="1007"/>
      <w:bookmarkEnd w:id="1008"/>
    </w:p>
    <w:p w14:paraId="28690E4A">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09" w:name="_Toc351203578"/>
      <w:bookmarkStart w:id="1010" w:name="_Toc532377264"/>
      <w:bookmarkStart w:id="1011" w:name="_Toc296346593"/>
      <w:bookmarkStart w:id="1012" w:name="_Toc337558797"/>
      <w:bookmarkStart w:id="1013" w:name="_Toc296503092"/>
      <w:r>
        <w:rPr>
          <w:rFonts w:hint="eastAsia"/>
          <w:color w:val="000000" w:themeColor="text1"/>
          <w:sz w:val="21"/>
          <w:szCs w:val="21"/>
          <w14:textFill>
            <w14:solidFill>
              <w14:schemeClr w14:val="tx1"/>
            </w14:solidFill>
          </w14:textFill>
        </w:rPr>
        <w:t>11.1市场价格波动引起的调整</w:t>
      </w:r>
      <w:bookmarkEnd w:id="1009"/>
      <w:bookmarkEnd w:id="1010"/>
    </w:p>
    <w:bookmarkEnd w:id="1011"/>
    <w:bookmarkEnd w:id="1012"/>
    <w:bookmarkEnd w:id="1013"/>
    <w:p w14:paraId="6756FDB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除专用合同条款另有约定外，市场价格波动超过合同当事人约定的范围，合同价格应当调整。合同当事人可以在专用合同条款中约定选择以下一种方式对合同价格进行调整：</w:t>
      </w:r>
    </w:p>
    <w:p w14:paraId="2DD0DCC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第1种方式：采用价格指数进行价格调整。</w:t>
      </w:r>
    </w:p>
    <w:p w14:paraId="7E29CFB9">
      <w:pPr>
        <w:tabs>
          <w:tab w:val="left" w:pos="0"/>
          <w:tab w:val="left" w:pos="360"/>
          <w:tab w:val="left" w:pos="540"/>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（1）价格调整公式</w:t>
      </w:r>
    </w:p>
    <w:p w14:paraId="056B8F3B">
      <w:pPr>
        <w:tabs>
          <w:tab w:val="left" w:pos="0"/>
          <w:tab w:val="left" w:pos="360"/>
          <w:tab w:val="left" w:pos="540"/>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因人工、材料和设备等价格波动影响合同价格时，根据专用合同条款中约定的数据，按以下公式计算差额并调整合同价格：</w:t>
      </w:r>
    </w:p>
    <w:p w14:paraId="175F5E28">
      <w:pPr>
        <w:tabs>
          <w:tab w:val="left" w:pos="0"/>
          <w:tab w:val="left" w:pos="360"/>
          <w:tab w:val="left" w:pos="540"/>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object>
          <v:shape id="_x0000_i1025" o:spt="75" type="#_x0000_t75" style="height:43.1pt;width:360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p>
    <w:p w14:paraId="72446A85">
      <w:pPr>
        <w:tabs>
          <w:tab w:val="left" w:pos="0"/>
          <w:tab w:val="left" w:pos="360"/>
          <w:tab w:val="left" w:pos="540"/>
        </w:tabs>
        <w:spacing w:line="360" w:lineRule="auto"/>
        <w:ind w:firstLine="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公式中：ΔP——需调整的价格差额；</w:t>
      </w:r>
    </w:p>
    <w:p w14:paraId="6CDFE4E2">
      <w:pPr>
        <w:tabs>
          <w:tab w:val="left" w:pos="0"/>
          <w:tab w:val="left" w:pos="360"/>
          <w:tab w:val="left" w:pos="540"/>
        </w:tabs>
        <w:spacing w:line="360" w:lineRule="auto"/>
        <w:ind w:firstLine="1260" w:firstLineChars="6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object>
          <v:shape id="_x0000_i1026" o:spt="75" type="#_x0000_t75" style="height:17.8pt;width:17.8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rFonts w:hint="eastAsia" w:ascii="宋体" w:hAnsi="宋体"/>
          <w:color w:val="000000" w:themeColor="text1"/>
          <w:kern w:val="0"/>
          <w:szCs w:val="21"/>
          <w14:textFill>
            <w14:solidFill>
              <w14:schemeClr w14:val="tx1"/>
            </w14:solidFill>
          </w14:textFill>
        </w:rPr>
        <w:t>——约定的付款证书中承包人应得到的已完成工程量的金额。此项金额应不包括价格调整、不计质量保证金的扣留和支付、预付款的支付和扣回。约定的变更及其他金额已按现行价格计价的，也不计在内；</w:t>
      </w:r>
    </w:p>
    <w:p w14:paraId="09140E95">
      <w:pPr>
        <w:tabs>
          <w:tab w:val="left" w:pos="0"/>
          <w:tab w:val="left" w:pos="360"/>
          <w:tab w:val="left" w:pos="540"/>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A——定值权重（即不调部分的权重）；</w:t>
      </w:r>
    </w:p>
    <w:p w14:paraId="5A94CFF6">
      <w:pPr>
        <w:tabs>
          <w:tab w:val="left" w:pos="0"/>
          <w:tab w:val="left" w:pos="360"/>
          <w:tab w:val="left" w:pos="540"/>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object>
          <v:shape id="_x0000_i1027" o:spt="75" type="#_x0000_t75" style="height:21.35pt;width:100.5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ascii="宋体" w:hAnsi="宋体"/>
          <w:color w:val="000000" w:themeColor="text1"/>
          <w:kern w:val="0"/>
          <w:szCs w:val="21"/>
          <w14:textFill>
            <w14:solidFill>
              <w14:schemeClr w14:val="tx1"/>
            </w14:solidFill>
          </w14:textFill>
        </w:rPr>
        <w:t>——各可调因子的变值权重（即可调部分的权重），为各可调因子在签约合同价中所占的比例；</w:t>
      </w:r>
    </w:p>
    <w:p w14:paraId="10AB7690">
      <w:pPr>
        <w:tabs>
          <w:tab w:val="left" w:pos="0"/>
          <w:tab w:val="left" w:pos="360"/>
          <w:tab w:val="left" w:pos="540"/>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object>
          <v:shape id="_x0000_i1028" o:spt="75" type="#_x0000_t75" style="height:21.35pt;width:100.9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hint="eastAsia" w:ascii="宋体" w:hAnsi="宋体"/>
          <w:color w:val="000000" w:themeColor="text1"/>
          <w:kern w:val="0"/>
          <w:szCs w:val="21"/>
          <w14:textFill>
            <w14:solidFill>
              <w14:schemeClr w14:val="tx1"/>
            </w14:solidFill>
          </w14:textFill>
        </w:rPr>
        <w:t>——各可调因子的现行价格指数，指约定的付款证书相关周期最后一天的前42天的各可调因子的价格指数；</w:t>
      </w:r>
    </w:p>
    <w:p w14:paraId="2ABC5AE8">
      <w:pPr>
        <w:tabs>
          <w:tab w:val="left" w:pos="0"/>
          <w:tab w:val="left" w:pos="360"/>
          <w:tab w:val="left" w:pos="540"/>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object>
          <v:shape id="_x0000_i1029" o:spt="75" type="#_x0000_t75" style="height:21.35pt;width:108.4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hint="eastAsia" w:ascii="宋体" w:hAnsi="宋体"/>
          <w:color w:val="000000" w:themeColor="text1"/>
          <w:kern w:val="0"/>
          <w:szCs w:val="21"/>
          <w14:textFill>
            <w14:solidFill>
              <w14:schemeClr w14:val="tx1"/>
            </w14:solidFill>
          </w14:textFill>
        </w:rPr>
        <w:t>——各可调因子的基本价格指数，指基准日期的各可调因子的价格指数。</w:t>
      </w:r>
    </w:p>
    <w:p w14:paraId="2A6222E9">
      <w:pPr>
        <w:tabs>
          <w:tab w:val="left" w:pos="0"/>
          <w:tab w:val="left" w:pos="360"/>
          <w:tab w:val="left" w:pos="540"/>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03E0DF62">
      <w:pPr>
        <w:tabs>
          <w:tab w:val="left" w:pos="0"/>
          <w:tab w:val="left" w:pos="360"/>
          <w:tab w:val="left" w:pos="540"/>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（2）暂时确定调整差额</w:t>
      </w:r>
    </w:p>
    <w:p w14:paraId="103A31AE">
      <w:pPr>
        <w:tabs>
          <w:tab w:val="left" w:pos="0"/>
          <w:tab w:val="left" w:pos="360"/>
          <w:tab w:val="left" w:pos="540"/>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在计算调整差额时无现行价格指数的，合同当事人同意暂用前次价格指数计算。实际价格指数有调整的，合同当事人进行相应调整。</w:t>
      </w:r>
    </w:p>
    <w:p w14:paraId="5BBB633E">
      <w:pPr>
        <w:tabs>
          <w:tab w:val="left" w:pos="0"/>
          <w:tab w:val="left" w:pos="360"/>
          <w:tab w:val="left" w:pos="540"/>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（3）权重的调整</w:t>
      </w:r>
    </w:p>
    <w:p w14:paraId="5287F378">
      <w:pPr>
        <w:tabs>
          <w:tab w:val="left" w:pos="0"/>
          <w:tab w:val="left" w:pos="360"/>
          <w:tab w:val="left" w:pos="540"/>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因变更导致合同约定的权重不合理时，按照第4.4款〔商定或确定〕执行。</w:t>
      </w:r>
    </w:p>
    <w:p w14:paraId="0DD04ABB">
      <w:pPr>
        <w:tabs>
          <w:tab w:val="left" w:pos="0"/>
          <w:tab w:val="left" w:pos="360"/>
          <w:tab w:val="left" w:pos="540"/>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（4）因承包人原因工期延误后的价格调整</w:t>
      </w:r>
    </w:p>
    <w:p w14:paraId="58053DD3">
      <w:pPr>
        <w:tabs>
          <w:tab w:val="left" w:pos="0"/>
          <w:tab w:val="left" w:pos="360"/>
          <w:tab w:val="left" w:pos="540"/>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因承包人原因未按期竣工的，对合同约定的竣工日期后继续施工的工程，在使用价格调整公式时，应采用计划竣工日期与实际竣工日期的两个价格指数中较低的一个作为现行价格指数。</w:t>
      </w:r>
    </w:p>
    <w:p w14:paraId="4408D12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第2种方式：采用造价信息进行价格调整。</w:t>
      </w:r>
    </w:p>
    <w:p w14:paraId="098252E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353040C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73F4363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（2）材料、工程设备价格变化的价款调整按照发包人提供的基准价格，按以下风险范围规定执行：</w:t>
      </w:r>
    </w:p>
    <w:p w14:paraId="1220F20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5487B42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1833427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③承包人在已标价工程量清单或预算书中载明材料单价等于基准价格的：除专用合同条款另有约定外，合同履行期间材料单价涨跌幅以基准价格为基础超过±5%时，其超过部分据实调整。</w:t>
      </w:r>
    </w:p>
    <w:p w14:paraId="6BC88AD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137D387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bookmarkStart w:id="1014" w:name="OLE_LINK3"/>
      <w:r>
        <w:rPr>
          <w:rFonts w:hint="eastAsia" w:ascii="宋体" w:hAnsi="宋体"/>
          <w:color w:val="000000" w:themeColor="text1"/>
          <w:kern w:val="0"/>
          <w:szCs w:val="21"/>
          <w14:textFill>
            <w14:solidFill>
              <w14:schemeClr w14:val="tx1"/>
            </w14:solidFill>
          </w14:textFill>
        </w:rPr>
        <w:t>前述基准价格是指由发包人在竞争性比选文件或专用合同条款中给定的材料、工程设备的价格，该价格原则上应当按照省级或行业建设主管部门或其授权的工程造价管理机构发布的信息价编制。</w:t>
      </w:r>
    </w:p>
    <w:p w14:paraId="678C7DD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（3）施工机械台班单价或施工机械使用费发生变化超过省级或行业建设主管部门或其授权的工程造价管理机构规定的范围时，按规定调整合同价格。</w:t>
      </w:r>
    </w:p>
    <w:p w14:paraId="0E86144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第3种方式：专用合同条款约定的其他方式。</w:t>
      </w:r>
    </w:p>
    <w:p w14:paraId="64E7D836">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15" w:name="_Toc351203579"/>
      <w:bookmarkStart w:id="1016" w:name="_Toc532377265"/>
      <w:bookmarkStart w:id="1017" w:name="_Toc296503093"/>
      <w:bookmarkStart w:id="1018" w:name="_Toc337558798"/>
      <w:bookmarkStart w:id="1019" w:name="_Toc296346594"/>
      <w:r>
        <w:rPr>
          <w:rFonts w:hint="eastAsia"/>
          <w:color w:val="000000" w:themeColor="text1"/>
          <w:sz w:val="21"/>
          <w:szCs w:val="21"/>
          <w14:textFill>
            <w14:solidFill>
              <w14:schemeClr w14:val="tx1"/>
            </w14:solidFill>
          </w14:textFill>
        </w:rPr>
        <w:t>11.2法律变化引起的调整</w:t>
      </w:r>
      <w:bookmarkEnd w:id="1015"/>
      <w:bookmarkEnd w:id="1016"/>
    </w:p>
    <w:bookmarkEnd w:id="1017"/>
    <w:bookmarkEnd w:id="1018"/>
    <w:bookmarkEnd w:id="1019"/>
    <w:p w14:paraId="74AC901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5378E7D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因法律变化引起的合同价格和工期调整，合同当事人无法达成一致的，由总监理工程师按第4.4款〔商定或确定〕的约定处理。</w:t>
      </w:r>
    </w:p>
    <w:p w14:paraId="48360C8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因承包人原因造成工期延误，在工期延误期间出现法律变化的，由此增加的费用和（或）延误的工期由承包人承担。</w:t>
      </w:r>
    </w:p>
    <w:p w14:paraId="17821F75">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020" w:name="_Toc532375598"/>
      <w:bookmarkStart w:id="1021" w:name="_Toc532377266"/>
      <w:bookmarkStart w:id="1022" w:name="_Toc351203580"/>
      <w:bookmarkStart w:id="1023" w:name="_Toc337558799"/>
      <w:bookmarkStart w:id="1024" w:name="_Toc296346597"/>
      <w:bookmarkStart w:id="1025" w:name="_Toc296503096"/>
      <w:r>
        <w:rPr>
          <w:rFonts w:hint="eastAsia"/>
          <w:color w:val="000000" w:themeColor="text1"/>
          <w:kern w:val="2"/>
          <w:sz w:val="21"/>
          <w:szCs w:val="21"/>
          <w14:textFill>
            <w14:solidFill>
              <w14:schemeClr w14:val="tx1"/>
            </w14:solidFill>
          </w14:textFill>
        </w:rPr>
        <w:t>12. 合同价格、计量与支付</w:t>
      </w:r>
      <w:bookmarkEnd w:id="1020"/>
      <w:bookmarkEnd w:id="1021"/>
      <w:bookmarkEnd w:id="1022"/>
    </w:p>
    <w:bookmarkEnd w:id="1023"/>
    <w:p w14:paraId="740548F8">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26" w:name="_Toc532377267"/>
      <w:bookmarkStart w:id="1027" w:name="_Toc351203581"/>
      <w:bookmarkStart w:id="1028" w:name="_Toc337558800"/>
      <w:r>
        <w:rPr>
          <w:rFonts w:hint="eastAsia"/>
          <w:color w:val="000000" w:themeColor="text1"/>
          <w:sz w:val="21"/>
          <w:szCs w:val="21"/>
          <w14:textFill>
            <w14:solidFill>
              <w14:schemeClr w14:val="tx1"/>
            </w14:solidFill>
          </w14:textFill>
        </w:rPr>
        <w:t>12.1 合同价</w:t>
      </w:r>
      <w:bookmarkEnd w:id="1024"/>
      <w:bookmarkEnd w:id="1025"/>
      <w:r>
        <w:rPr>
          <w:rFonts w:hint="eastAsia"/>
          <w:color w:val="000000" w:themeColor="text1"/>
          <w:sz w:val="21"/>
          <w:szCs w:val="21"/>
          <w14:textFill>
            <w14:solidFill>
              <w14:schemeClr w14:val="tx1"/>
            </w14:solidFill>
          </w14:textFill>
        </w:rPr>
        <w:t>格形式</w:t>
      </w:r>
      <w:bookmarkEnd w:id="1026"/>
      <w:bookmarkEnd w:id="1027"/>
    </w:p>
    <w:bookmarkEnd w:id="1028"/>
    <w:p w14:paraId="122A5AE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发包人和承包人应在合同协议书中选择下列一种合同价格形式： </w:t>
      </w:r>
    </w:p>
    <w:p w14:paraId="59B2A38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1.单价合同</w:t>
      </w:r>
    </w:p>
    <w:p w14:paraId="5FBE47D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0CE14967">
      <w:pPr>
        <w:pStyle w:val="7"/>
        <w:spacing w:before="0" w:beforeAutospacing="0" w:after="0" w:afterAutospacing="0" w:line="360" w:lineRule="auto"/>
        <w:ind w:firstLine="420" w:firstLineChars="200"/>
        <w:rPr>
          <w:rFonts w:hint="eastAsia"/>
          <w:b w:val="0"/>
          <w:color w:val="000000" w:themeColor="text1"/>
          <w:sz w:val="21"/>
          <w:szCs w:val="21"/>
          <w14:textFill>
            <w14:solidFill>
              <w14:schemeClr w14:val="tx1"/>
            </w14:solidFill>
          </w14:textFill>
        </w:rPr>
      </w:pPr>
      <w:bookmarkStart w:id="1029" w:name="_Toc532377268"/>
      <w:r>
        <w:rPr>
          <w:rFonts w:hint="eastAsia"/>
          <w:b w:val="0"/>
          <w:color w:val="000000" w:themeColor="text1"/>
          <w:sz w:val="21"/>
          <w:szCs w:val="21"/>
          <w14:textFill>
            <w14:solidFill>
              <w14:schemeClr w14:val="tx1"/>
            </w14:solidFill>
          </w14:textFill>
        </w:rPr>
        <w:t>2.总价合同</w:t>
      </w:r>
      <w:bookmarkEnd w:id="1029"/>
    </w:p>
    <w:p w14:paraId="6126263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0FE12C5D">
      <w:pPr>
        <w:pStyle w:val="7"/>
        <w:spacing w:before="0" w:beforeAutospacing="0" w:after="0" w:afterAutospacing="0" w:line="360" w:lineRule="auto"/>
        <w:ind w:firstLine="420" w:firstLineChars="200"/>
        <w:rPr>
          <w:rFonts w:hint="eastAsia"/>
          <w:b w:val="0"/>
          <w:color w:val="000000" w:themeColor="text1"/>
          <w:sz w:val="21"/>
          <w:szCs w:val="21"/>
          <w14:textFill>
            <w14:solidFill>
              <w14:schemeClr w14:val="tx1"/>
            </w14:solidFill>
          </w14:textFill>
        </w:rPr>
      </w:pPr>
      <w:bookmarkStart w:id="1030" w:name="_Toc532377269"/>
      <w:r>
        <w:rPr>
          <w:rFonts w:hint="eastAsia"/>
          <w:b w:val="0"/>
          <w:color w:val="000000" w:themeColor="text1"/>
          <w:sz w:val="21"/>
          <w:szCs w:val="21"/>
          <w14:textFill>
            <w14:solidFill>
              <w14:schemeClr w14:val="tx1"/>
            </w14:solidFill>
          </w14:textFill>
        </w:rPr>
        <w:t>3.其它价格形式</w:t>
      </w:r>
      <w:bookmarkEnd w:id="1030"/>
    </w:p>
    <w:p w14:paraId="079ECAF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合同当事人可在专用合同条款中约定其他合同价格形式。</w:t>
      </w:r>
    </w:p>
    <w:p w14:paraId="04C10855">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31" w:name="_Toc296503097"/>
      <w:bookmarkStart w:id="1032" w:name="_Toc296346598"/>
      <w:bookmarkStart w:id="1033" w:name="_Toc532377270"/>
      <w:bookmarkStart w:id="1034" w:name="_Toc351203582"/>
      <w:bookmarkStart w:id="1035" w:name="_Toc337558801"/>
      <w:r>
        <w:rPr>
          <w:rFonts w:hint="eastAsia"/>
          <w:color w:val="000000" w:themeColor="text1"/>
          <w:sz w:val="21"/>
          <w:szCs w:val="21"/>
          <w14:textFill>
            <w14:solidFill>
              <w14:schemeClr w14:val="tx1"/>
            </w14:solidFill>
          </w14:textFill>
        </w:rPr>
        <w:t>12.2预</w:t>
      </w:r>
      <w:bookmarkEnd w:id="1031"/>
      <w:bookmarkEnd w:id="1032"/>
      <w:bookmarkStart w:id="1036" w:name="_Toc296346601"/>
      <w:bookmarkStart w:id="1037" w:name="_Toc296503100"/>
      <w:r>
        <w:rPr>
          <w:rFonts w:hint="eastAsia"/>
          <w:color w:val="000000" w:themeColor="text1"/>
          <w:sz w:val="21"/>
          <w:szCs w:val="21"/>
          <w14:textFill>
            <w14:solidFill>
              <w14:schemeClr w14:val="tx1"/>
            </w14:solidFill>
          </w14:textFill>
        </w:rPr>
        <w:t>付款</w:t>
      </w:r>
      <w:bookmarkEnd w:id="1033"/>
      <w:bookmarkEnd w:id="1034"/>
    </w:p>
    <w:bookmarkEnd w:id="1035"/>
    <w:bookmarkEnd w:id="1036"/>
    <w:bookmarkEnd w:id="1037"/>
    <w:p w14:paraId="4D847BB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12.2.1预付款的支付</w:t>
      </w:r>
    </w:p>
    <w:p w14:paraId="5089CDB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预付款的支付按照专用合同条款约定执行，但至迟应在开工通知载明的开工日期7天前支付。预付款应当用于材料、工程设备、施工设备的采购及修建临时工程、组织施工队伍进场等。</w:t>
      </w:r>
    </w:p>
    <w:p w14:paraId="1670432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除专用合同条款另有约定外，预付款在进度付款中同比例扣回。</w:t>
      </w:r>
      <w:bookmarkEnd w:id="1014"/>
      <w:r>
        <w:rPr>
          <w:rFonts w:hint="eastAsia" w:ascii="宋体" w:hAnsi="宋体"/>
          <w:color w:val="000000" w:themeColor="text1"/>
          <w:kern w:val="0"/>
          <w:szCs w:val="21"/>
          <w14:textFill>
            <w14:solidFill>
              <w14:schemeClr w14:val="tx1"/>
            </w14:solidFill>
          </w14:textFill>
        </w:rPr>
        <w:t>在颁发工程接收证书前，提前解除合同的，尚未扣完的预付款应与合同价款一并结算。</w:t>
      </w:r>
    </w:p>
    <w:p w14:paraId="46A5705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发包人逾期支付预付款超过7天的，承包人有权向发包人发出要求预付的催告通知，发包人收到通知后7天内仍未支付的，承包人有权暂停施工，并按第16.1.1项〔发包人违约的情形〕执行。</w:t>
      </w:r>
    </w:p>
    <w:p w14:paraId="4562389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12.2.2 预付款担保</w:t>
      </w:r>
    </w:p>
    <w:p w14:paraId="7825AAE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157C173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发包人在工程款中逐期扣回预付款后，预付款担保额度应相应减少，但剩余的预付款担保金额不得低于未被扣回的预付款金额。</w:t>
      </w:r>
    </w:p>
    <w:p w14:paraId="4C35C549">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38" w:name="_Toc351203583"/>
      <w:bookmarkStart w:id="1039" w:name="_Toc532377271"/>
      <w:bookmarkStart w:id="1040" w:name="_Toc337558802"/>
      <w:r>
        <w:rPr>
          <w:rFonts w:hint="eastAsia"/>
          <w:color w:val="000000" w:themeColor="text1"/>
          <w:sz w:val="21"/>
          <w:szCs w:val="21"/>
          <w14:textFill>
            <w14:solidFill>
              <w14:schemeClr w14:val="tx1"/>
            </w14:solidFill>
          </w14:textFill>
        </w:rPr>
        <w:t>12.3计量</w:t>
      </w:r>
      <w:bookmarkEnd w:id="1038"/>
      <w:bookmarkEnd w:id="1039"/>
    </w:p>
    <w:bookmarkEnd w:id="1040"/>
    <w:p w14:paraId="32F6144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12.3.1 计量原则</w:t>
      </w:r>
    </w:p>
    <w:p w14:paraId="7688BB5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工程量计量按照合同约定的工程量计算规则、图纸及变更指示等进行计量。工程量计算规则应以相关的国家标准、行业标准等为依据，由合同当事人在专用合同条款中约定。</w:t>
      </w:r>
    </w:p>
    <w:p w14:paraId="547FE00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12.3.2 计量周期</w:t>
      </w:r>
    </w:p>
    <w:p w14:paraId="6AC00D2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除专用合同条款另有约定外，工程量的计量按月进行。</w:t>
      </w:r>
    </w:p>
    <w:p w14:paraId="090EB63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12.3.3 单价合同的计量</w:t>
      </w:r>
    </w:p>
    <w:p w14:paraId="7F5EB93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除专用合同条款另有约定外，单价合同的计量按照本项约定执行：</w:t>
      </w:r>
    </w:p>
    <w:p w14:paraId="5F42D81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（1）承包人应于每月25日向监理人报送上月20日至当月19日已完成的工程量报告，并附具进度付款申请单、已完成工程量报表和有关资料。</w:t>
      </w:r>
    </w:p>
    <w:p w14:paraId="78E288C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2388598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（3）监理人未在收到承包人提交的工程量报表后的7天内完成审核的，承包人报送的工程量报告中的工程量视为承包人实际完成的工程量，据此计算工程价款。</w:t>
      </w:r>
    </w:p>
    <w:p w14:paraId="1FE0065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12.3.4 总价合同的计量</w:t>
      </w:r>
    </w:p>
    <w:p w14:paraId="6FCAA17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除专用合同条款另有约定外，按月计量支付的总价合同，按照本项约定执行：</w:t>
      </w:r>
    </w:p>
    <w:p w14:paraId="254AF9E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（1）承包人应于每月25日向监理人报送上月20日至当月19日已完成的工程量报告，并附具进度付款申请单、已完成工程量报表和有关资料。</w:t>
      </w:r>
    </w:p>
    <w:p w14:paraId="4B394FB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65DC10E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（3）监理人未在收到承包人提交的工程量报表后的7天内完成复核的，承包人提交的工程量报告中的工程量视为承包人实际完成的工程量。</w:t>
      </w:r>
    </w:p>
    <w:p w14:paraId="134BF59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12.3.5 总价合同采用支付分解表计量支付的，可以按照第12.3.4项〔总价合同的计量〕约定进行计量，但合同价款按照支付分解表进行支付。</w:t>
      </w:r>
    </w:p>
    <w:p w14:paraId="297A3FA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12.3.6 其他价格形式合同的计量</w:t>
      </w:r>
    </w:p>
    <w:p w14:paraId="516F401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合同当事人可在专用合同条款中约定其他价格形式合同的计量方式和程序。</w:t>
      </w:r>
    </w:p>
    <w:p w14:paraId="666C298A">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41" w:name="_Toc296503101"/>
      <w:bookmarkStart w:id="1042" w:name="_Toc296346602"/>
      <w:bookmarkStart w:id="1043" w:name="_Toc351203584"/>
      <w:bookmarkStart w:id="1044" w:name="_Toc532377272"/>
      <w:bookmarkStart w:id="1045" w:name="_Toc337558803"/>
      <w:r>
        <w:rPr>
          <w:rFonts w:hint="eastAsia"/>
          <w:color w:val="000000" w:themeColor="text1"/>
          <w:sz w:val="21"/>
          <w:szCs w:val="21"/>
          <w14:textFill>
            <w14:solidFill>
              <w14:schemeClr w14:val="tx1"/>
            </w14:solidFill>
          </w14:textFill>
        </w:rPr>
        <w:t>12.4工程进度款支</w:t>
      </w:r>
      <w:bookmarkEnd w:id="1041"/>
      <w:bookmarkEnd w:id="1042"/>
      <w:r>
        <w:rPr>
          <w:rFonts w:hint="eastAsia"/>
          <w:color w:val="000000" w:themeColor="text1"/>
          <w:sz w:val="21"/>
          <w:szCs w:val="21"/>
          <w14:textFill>
            <w14:solidFill>
              <w14:schemeClr w14:val="tx1"/>
            </w14:solidFill>
          </w14:textFill>
        </w:rPr>
        <w:t>付</w:t>
      </w:r>
      <w:bookmarkEnd w:id="1043"/>
      <w:bookmarkEnd w:id="1044"/>
    </w:p>
    <w:bookmarkEnd w:id="1045"/>
    <w:p w14:paraId="659B0E9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12.4.1 付款周期</w:t>
      </w:r>
    </w:p>
    <w:p w14:paraId="0D04CBA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除专用合同条款另有约定外，付款周期应按照第12.3.2项〔计量周期〕的约定与计量周期保持一致。</w:t>
      </w:r>
    </w:p>
    <w:p w14:paraId="5F727A6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12.4.2 进度付款申请单的编制</w:t>
      </w:r>
    </w:p>
    <w:p w14:paraId="1FE8A97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除专用合同条款另有约定外，进度付款申请单应包括下列内容：</w:t>
      </w:r>
    </w:p>
    <w:p w14:paraId="044EEC1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（1）截至本次付款周期已完成工作对应的金额；</w:t>
      </w:r>
    </w:p>
    <w:p w14:paraId="1129C02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（2）根据第10条〔变更〕应增加和扣减的变更金额；</w:t>
      </w:r>
    </w:p>
    <w:p w14:paraId="5EAED77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（3）根据第12.2款〔预付款〕约定应支付的预付款和扣减的返还预付款；</w:t>
      </w:r>
    </w:p>
    <w:p w14:paraId="31B1816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（4）根据第15.3款〔质量保证金〕约定应扣减的质量保证金；</w:t>
      </w:r>
    </w:p>
    <w:p w14:paraId="67996D7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（5）根据第19条〔索赔〕应增加和扣减的索赔金额；</w:t>
      </w:r>
    </w:p>
    <w:p w14:paraId="7C39254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（6）对已签发的进度款支付证书中出现错误的修正，应在本次进度付款中支付或扣除的金额；</w:t>
      </w:r>
    </w:p>
    <w:p w14:paraId="57783C3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（7）根据合同约定应增加和扣减的其他金额。</w:t>
      </w:r>
    </w:p>
    <w:p w14:paraId="0C9711B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12.4.3 进度付款申请单的提交</w:t>
      </w:r>
    </w:p>
    <w:p w14:paraId="63D7BAC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（1）单价合同进度付款申请单的提交</w:t>
      </w:r>
    </w:p>
    <w:p w14:paraId="089F3D2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779A3CE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（2）总价合同进度付款申请单的提交</w:t>
      </w:r>
    </w:p>
    <w:p w14:paraId="52FFF04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总价合同按月计量支付的，承包人按照第12.3.4项〔总价合同的计量〕约定的时间按月向监理人提交进度付款申请单，并附上已完成工程量报表和有关资料。</w:t>
      </w:r>
    </w:p>
    <w:p w14:paraId="08AE69D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总价合同按支付分解表支付的，承包人应按照第12.4.6项〔支付分解表〕及第12.4.2项〔进度付款申请单的编制〕的约定向监理人提交进度付款申请单。</w:t>
      </w:r>
    </w:p>
    <w:p w14:paraId="0777C00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（3）其他价格形式合同的进度付款申请单的提交</w:t>
      </w:r>
    </w:p>
    <w:p w14:paraId="5304271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合同当事人可在专用合同条款中约定其他价格形式合同的进度付款申请单的编制和提交程序。</w:t>
      </w:r>
    </w:p>
    <w:p w14:paraId="4010D9E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12.4.4 进度款审核和支付</w:t>
      </w:r>
    </w:p>
    <w:p w14:paraId="12A2064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086EF17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451802F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（2）除专用合同条款另有约定外，发包人应在进度款支付证书或临时进度款支付证书签发后14天内完成支付，发包人逾期支付进度款的，应按照中国人民银行发布的同期同类贷款基准利率支付违约金。</w:t>
      </w:r>
    </w:p>
    <w:p w14:paraId="74904B6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（3）发包人签发进度款支付证书或临时进度款支付证书，不表明发包人已同意、批准或接受了承包人完成的相应部分的工作。</w:t>
      </w:r>
    </w:p>
    <w:p w14:paraId="7C40943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12.4.5 进度付款的修正</w:t>
      </w:r>
    </w:p>
    <w:p w14:paraId="1041991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在对已签发的进度款支付证书进行阶段汇总和复核中发现错误、遗漏或重复的，发包人和承包人均有权提出修正申请。经发包人和承包人同意的修正，应在下期进度付款中支付或扣除。</w:t>
      </w:r>
    </w:p>
    <w:p w14:paraId="17C780B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12.4.6 支付分解表</w:t>
      </w:r>
    </w:p>
    <w:p w14:paraId="40FB126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1.支付分解表的编制要求</w:t>
      </w:r>
    </w:p>
    <w:p w14:paraId="348D059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（1）支付分解表中所列的每期付款金额，应为第12.4.2项〔进度付款申请单的编制〕第（1）目的估算金额；</w:t>
      </w:r>
    </w:p>
    <w:p w14:paraId="56B5C92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（2）实际进度与施工进度计划不一致的，合同当事人可按照第4.4款〔商定或确定〕修改支付分解表；</w:t>
      </w:r>
    </w:p>
    <w:p w14:paraId="35E8794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（3）不采用支付分解表的，承包人应向发包人和监理人提交按季度编制的支付估算分解表，用于支付参考。</w:t>
      </w:r>
    </w:p>
    <w:p w14:paraId="7AD4250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2.总价合同支付分解表的编制与审批</w:t>
      </w:r>
    </w:p>
    <w:p w14:paraId="7BCDAF2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1D9C31A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（2）监理人应在收到支付分解表后7天内完成审核并报送发包人。发包人应在收到经监理人审核的支付分解表后7天内完成审批，经发包人批准的支付分解表为有约束力的支付分解表。</w:t>
      </w:r>
    </w:p>
    <w:p w14:paraId="4AB611D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（3）发包人逾期未完成支付分解表审批的，也未及时要求承包人进行修正和提供补充资料的，则承包人提交的支付分解表视为已经获得发包人批准。</w:t>
      </w:r>
    </w:p>
    <w:p w14:paraId="72F82AE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3.单价合同的总价项目支付分解表的编制与审批</w:t>
      </w:r>
    </w:p>
    <w:p w14:paraId="00774CF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5A3BAE21">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46" w:name="_Toc532377273"/>
      <w:r>
        <w:rPr>
          <w:rFonts w:hint="eastAsia"/>
          <w:color w:val="000000" w:themeColor="text1"/>
          <w:sz w:val="21"/>
          <w:szCs w:val="21"/>
          <w14:textFill>
            <w14:solidFill>
              <w14:schemeClr w14:val="tx1"/>
            </w14:solidFill>
          </w14:textFill>
        </w:rPr>
        <w:t>12.5支付账户</w:t>
      </w:r>
      <w:bookmarkEnd w:id="1046"/>
    </w:p>
    <w:p w14:paraId="3A181B4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发包人应将合同价款支付至合同协议书中约定的承包人账户。</w:t>
      </w:r>
    </w:p>
    <w:p w14:paraId="44C35BDC">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047" w:name="_Toc532377274"/>
      <w:bookmarkStart w:id="1048" w:name="_Toc532375599"/>
      <w:bookmarkStart w:id="1049" w:name="_Toc351203586"/>
      <w:bookmarkStart w:id="1050" w:name="_Toc337558804"/>
      <w:bookmarkStart w:id="1051" w:name="_Toc296346607"/>
      <w:bookmarkStart w:id="1052" w:name="_Toc322522574"/>
      <w:bookmarkStart w:id="1053" w:name="_Toc296503106"/>
      <w:r>
        <w:rPr>
          <w:rFonts w:hint="eastAsia"/>
          <w:color w:val="000000" w:themeColor="text1"/>
          <w:kern w:val="2"/>
          <w:sz w:val="21"/>
          <w:szCs w:val="21"/>
          <w14:textFill>
            <w14:solidFill>
              <w14:schemeClr w14:val="tx1"/>
            </w14:solidFill>
          </w14:textFill>
        </w:rPr>
        <w:t>13. 验收和工程试车</w:t>
      </w:r>
      <w:bookmarkEnd w:id="1047"/>
      <w:bookmarkEnd w:id="1048"/>
      <w:bookmarkEnd w:id="1049"/>
    </w:p>
    <w:bookmarkEnd w:id="1050"/>
    <w:bookmarkEnd w:id="1051"/>
    <w:bookmarkEnd w:id="1052"/>
    <w:bookmarkEnd w:id="1053"/>
    <w:p w14:paraId="214EE328">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54" w:name="_Toc351203587"/>
      <w:bookmarkStart w:id="1055" w:name="_Toc532377275"/>
      <w:bookmarkStart w:id="1056" w:name="_Toc337558805"/>
      <w:bookmarkStart w:id="1057" w:name="_Toc296503110"/>
      <w:bookmarkStart w:id="1058" w:name="_Toc296346611"/>
      <w:r>
        <w:rPr>
          <w:rFonts w:hint="eastAsia"/>
          <w:color w:val="000000" w:themeColor="text1"/>
          <w:sz w:val="21"/>
          <w:szCs w:val="21"/>
          <w14:textFill>
            <w14:solidFill>
              <w14:schemeClr w14:val="tx1"/>
            </w14:solidFill>
          </w14:textFill>
        </w:rPr>
        <w:t>13.1分部分项工程验收</w:t>
      </w:r>
      <w:bookmarkEnd w:id="1054"/>
      <w:bookmarkEnd w:id="1055"/>
    </w:p>
    <w:bookmarkEnd w:id="1056"/>
    <w:p w14:paraId="4C5A4E5E">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13.1.1 分部分项工程质量应符合国家有关工程施工验收规范、标准及合同约定，承包人应按照施工组织设计的要求完成分部分项工程施工。</w:t>
      </w:r>
    </w:p>
    <w:p w14:paraId="105B5CA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5EF6382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分部分项工程的验收资料应当作为竣工资料的组成部分。</w:t>
      </w:r>
    </w:p>
    <w:p w14:paraId="2D89BC1F">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59" w:name="_Toc351203588"/>
      <w:bookmarkStart w:id="1060" w:name="_Toc532377276"/>
      <w:bookmarkStart w:id="1061" w:name="_Toc337558806"/>
      <w:r>
        <w:rPr>
          <w:rFonts w:hint="eastAsia"/>
          <w:color w:val="000000" w:themeColor="text1"/>
          <w:sz w:val="21"/>
          <w:szCs w:val="21"/>
          <w14:textFill>
            <w14:solidFill>
              <w14:schemeClr w14:val="tx1"/>
            </w14:solidFill>
          </w14:textFill>
        </w:rPr>
        <w:t>13.2竣工验收</w:t>
      </w:r>
      <w:bookmarkEnd w:id="1059"/>
      <w:bookmarkEnd w:id="1060"/>
    </w:p>
    <w:bookmarkEnd w:id="1057"/>
    <w:bookmarkEnd w:id="1058"/>
    <w:bookmarkEnd w:id="1061"/>
    <w:p w14:paraId="559CB07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13.2.1竣工验收条件</w:t>
      </w:r>
    </w:p>
    <w:p w14:paraId="074722C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工程具备以下条件的，承包人可以申请竣工验收：</w:t>
      </w:r>
    </w:p>
    <w:p w14:paraId="320C06F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（1）除发包人同意的甩项工作和缺陷修补工作外，合同范围内的全部工程以及有关工作，包括合同要求的试验、试运行以及检验均已完成，并符合合同要求；</w:t>
      </w:r>
    </w:p>
    <w:p w14:paraId="4BE1F8F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（2）已按合同约定编制了甩项工作和缺陷修补工作清单以及相应的施工计划；</w:t>
      </w:r>
    </w:p>
    <w:p w14:paraId="1054566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（3）已按合同约定的内容和份数备齐竣工资料。</w:t>
      </w:r>
    </w:p>
    <w:p w14:paraId="7854F83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13.2.2竣工验收程序</w:t>
      </w:r>
    </w:p>
    <w:p w14:paraId="5F8B7E9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除专用合同条款另有约定外，承包人申请竣工验收的，应当按照以下程序进行：</w:t>
      </w:r>
    </w:p>
    <w:p w14:paraId="20D9FB5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31F5B3E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27C3D2F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（3）竣工验收合格的，发包人应在验收合格后14天内向承包人签发工程接收证书。发包人无正当理由逾期不颁发工程接收证书的，自验收合格后第15天起视为已颁发工程接收证书。</w:t>
      </w:r>
    </w:p>
    <w:p w14:paraId="59A75DA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610B30D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1C90DCC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除专用合同条款另有约定外，发包人不按照本项约定组织竣工验收、颁发工程接收证书的，每逾期一天，应以签约合同价为基数，按照中国人民银行发布的同期同类贷款基准利率支付违约金。</w:t>
      </w:r>
    </w:p>
    <w:p w14:paraId="2586C44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13.2.3竣工日期</w:t>
      </w:r>
    </w:p>
    <w:p w14:paraId="58E9ADD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062" w:name="#go14"/>
      <w:bookmarkEnd w:id="1062"/>
      <w:r>
        <w:rPr>
          <w:rFonts w:hint="eastAsia" w:ascii="宋体" w:hAnsi="宋体"/>
          <w:color w:val="000000" w:themeColor="text1"/>
          <w:kern w:val="0"/>
          <w:szCs w:val="21"/>
          <w14:textFill>
            <w14:solidFill>
              <w14:schemeClr w14:val="tx1"/>
            </w14:solidFill>
          </w14:textFill>
        </w:rPr>
        <w:t>收申请报告的日期为实际竣工日期；工程未经竣工验收，发包人擅自使用的，以转移占有工程之日为实际竣工日期。</w:t>
      </w:r>
    </w:p>
    <w:p w14:paraId="525B3C6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13.2.4 拒绝接收全部或部分工程</w:t>
      </w:r>
    </w:p>
    <w:p w14:paraId="30E72FB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677572C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13.2.5 移交、接收全部与部分工程</w:t>
      </w:r>
    </w:p>
    <w:p w14:paraId="016CDD9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除专用合同条款另有约定外，合同当事人应当在颁发工程接收证书后7天内完成工程的移交。</w:t>
      </w:r>
    </w:p>
    <w:p w14:paraId="1081089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发包人无正当理由不接收工程的，发包人自应当接收工程之日起，承担工程照管、成品保护、保管等与工程有关的各项费用，合同当事人可以在专用合同条款中另行约定发包人逾期接收工程的违约责任。</w:t>
      </w:r>
    </w:p>
    <w:p w14:paraId="32A9EB3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承包人无正当理由不移交工程的，承包人应承担工程照管、成品保护、保管等与工程有关的各项费用，合同当事人可以在专用合同条款中另行约定承包人无正当理由不移交工程的违约责任。</w:t>
      </w:r>
    </w:p>
    <w:p w14:paraId="2123400A">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63" w:name="_Toc351203589"/>
      <w:bookmarkStart w:id="1064" w:name="_Toc532377277"/>
      <w:bookmarkStart w:id="1065" w:name="_Toc337558807"/>
      <w:bookmarkStart w:id="1066" w:name="_Toc296346612"/>
      <w:bookmarkStart w:id="1067" w:name="_Toc296503111"/>
      <w:r>
        <w:rPr>
          <w:rFonts w:hint="eastAsia"/>
          <w:color w:val="000000" w:themeColor="text1"/>
          <w:sz w:val="21"/>
          <w:szCs w:val="21"/>
          <w14:textFill>
            <w14:solidFill>
              <w14:schemeClr w14:val="tx1"/>
            </w14:solidFill>
          </w14:textFill>
        </w:rPr>
        <w:t>13.3工程试车</w:t>
      </w:r>
      <w:bookmarkEnd w:id="1063"/>
      <w:bookmarkEnd w:id="1064"/>
    </w:p>
    <w:bookmarkEnd w:id="1065"/>
    <w:bookmarkEnd w:id="1066"/>
    <w:bookmarkEnd w:id="1067"/>
    <w:p w14:paraId="68F31AB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13.3.1试车程序</w:t>
      </w:r>
    </w:p>
    <w:p w14:paraId="58DCE86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工程需要试车的，除专用合同条款另有约定外，试车内容应与承包人承包范围相一致，试车费用由承包人承担。工程试车应按如下程序进行：</w:t>
      </w:r>
    </w:p>
    <w:p w14:paraId="09319F1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14:paraId="171A321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60F238B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14:paraId="6135A8E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13.3.2 试车中的责任</w:t>
      </w:r>
    </w:p>
    <w:p w14:paraId="59F26D4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129EFD4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7DBB562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13.3.3 投料试车</w:t>
      </w:r>
    </w:p>
    <w:p w14:paraId="6D39A8B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如需进行投料试车的，发包人应在工程竣工验收后组织投料试车。发包人要求在工程竣工验收前进行或需要承包人配合时，应征得承包人同意，并在专用合同条款中约定有关事项。</w:t>
      </w:r>
    </w:p>
    <w:p w14:paraId="7417B8B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4D03D9DE">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68" w:name="_Toc532377278"/>
      <w:r>
        <w:rPr>
          <w:rFonts w:hint="eastAsia"/>
          <w:color w:val="000000" w:themeColor="text1"/>
          <w:sz w:val="21"/>
          <w:szCs w:val="21"/>
          <w14:textFill>
            <w14:solidFill>
              <w14:schemeClr w14:val="tx1"/>
            </w14:solidFill>
          </w14:textFill>
        </w:rPr>
        <w:t>13.4提前交付单位工程的验收</w:t>
      </w:r>
      <w:bookmarkEnd w:id="1068"/>
    </w:p>
    <w:p w14:paraId="3238538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13.4.1 发包人需要在工程竣工前使用单位工程的，或承包人提出提前交付已经竣工的单位工程且经发包人同意的，可进行单位工程验收，验收的程序按照第13.2款〔竣工验收〕的约定进行。</w:t>
      </w:r>
    </w:p>
    <w:p w14:paraId="51C2EDB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验收合格后，由监理人向承包人出具经发包人签认的单位工程接收证书。已签发单位工程接收证书的单位工程由发包人负责照管。单位工程的验收成果和结论作为整体工程竣工验收申请报告的附件。</w:t>
      </w:r>
    </w:p>
    <w:p w14:paraId="555B596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13.4.2 发包人要求在工程竣工前交付单位工程，由此导致承包人费用增加和（或）工期延误的，由发包人承担由此增加的费用和（或）延误的工期，并支付承包人合理的利润。</w:t>
      </w:r>
    </w:p>
    <w:p w14:paraId="68841FE6">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69" w:name="_Toc532377279"/>
      <w:bookmarkStart w:id="1070" w:name="_Toc351203591"/>
      <w:r>
        <w:rPr>
          <w:rFonts w:hint="eastAsia"/>
          <w:color w:val="000000" w:themeColor="text1"/>
          <w:sz w:val="21"/>
          <w:szCs w:val="21"/>
          <w14:textFill>
            <w14:solidFill>
              <w14:schemeClr w14:val="tx1"/>
            </w14:solidFill>
          </w14:textFill>
        </w:rPr>
        <w:t>13.5 施工期运行</w:t>
      </w:r>
      <w:bookmarkEnd w:id="1069"/>
      <w:bookmarkEnd w:id="1070"/>
    </w:p>
    <w:p w14:paraId="7229DE2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459091B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13.5.2 在施工期运行中发现工程或工程设备损坏或存在缺陷的，由承包人按第15.2款〔缺陷责任期〕约定进行修复。</w:t>
      </w:r>
    </w:p>
    <w:p w14:paraId="45EE3F22">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71" w:name="_Toc296503112"/>
      <w:bookmarkStart w:id="1072" w:name="_Toc296346613"/>
      <w:bookmarkStart w:id="1073" w:name="_Toc532377280"/>
      <w:bookmarkStart w:id="1074" w:name="_Toc351203592"/>
      <w:bookmarkStart w:id="1075" w:name="_Toc337558809"/>
      <w:r>
        <w:rPr>
          <w:rFonts w:hint="eastAsia"/>
          <w:color w:val="000000" w:themeColor="text1"/>
          <w:sz w:val="21"/>
          <w:szCs w:val="21"/>
          <w14:textFill>
            <w14:solidFill>
              <w14:schemeClr w14:val="tx1"/>
            </w14:solidFill>
          </w14:textFill>
        </w:rPr>
        <w:t>13.6 竣工退</w:t>
      </w:r>
      <w:bookmarkEnd w:id="1071"/>
      <w:bookmarkEnd w:id="1072"/>
      <w:r>
        <w:rPr>
          <w:rFonts w:hint="eastAsia"/>
          <w:color w:val="000000" w:themeColor="text1"/>
          <w:sz w:val="21"/>
          <w:szCs w:val="21"/>
          <w14:textFill>
            <w14:solidFill>
              <w14:schemeClr w14:val="tx1"/>
            </w14:solidFill>
          </w14:textFill>
        </w:rPr>
        <w:t>场</w:t>
      </w:r>
      <w:bookmarkEnd w:id="1073"/>
      <w:bookmarkEnd w:id="1074"/>
    </w:p>
    <w:bookmarkEnd w:id="1075"/>
    <w:p w14:paraId="4871817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13.6.1 竣工退场</w:t>
      </w:r>
    </w:p>
    <w:p w14:paraId="6F711D1C">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颁发工程接收证书后，承包人应按以下要求对施工现场进行清理：</w:t>
      </w:r>
    </w:p>
    <w:p w14:paraId="41F6FE7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（1）施工现场内残留的垃圾已全部清除出场；</w:t>
      </w:r>
    </w:p>
    <w:p w14:paraId="2E67A4D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（2）临时工程已拆除，场地已进行清理、平整或复原；</w:t>
      </w:r>
    </w:p>
    <w:p w14:paraId="6190BC5A">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（3）按合同约定应撤离的人员、承包人施工设备和剩余的材料，包括废弃的施工设备和材料，已按计划撤离施工现场；</w:t>
      </w:r>
    </w:p>
    <w:p w14:paraId="1B474F4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（4）施工现场周边及其附近道路、河道的施工堆积物，已全部清理；</w:t>
      </w:r>
    </w:p>
    <w:p w14:paraId="0E74070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（5）施工现场其他场地清理工作已全部完成。</w:t>
      </w:r>
    </w:p>
    <w:p w14:paraId="2FB913E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0BB6BCB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13.6.2 地表还原</w:t>
      </w:r>
    </w:p>
    <w:p w14:paraId="71D5DE1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承包人应按发包人要求恢复临时占地及清理场地，承包人未按发包人的要求恢复临时占地，或者场地清理未达到合同约定要求的，发包人有权委托其他人恢复或清理，所发生的费用由承包人承担。</w:t>
      </w:r>
    </w:p>
    <w:p w14:paraId="63BB14F7">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076" w:name="_Toc532375600"/>
      <w:bookmarkStart w:id="1077" w:name="_Toc351203593"/>
      <w:bookmarkStart w:id="1078" w:name="_Toc532377281"/>
      <w:bookmarkStart w:id="1079" w:name="_Toc337558810"/>
      <w:bookmarkStart w:id="1080" w:name="_Toc296346614"/>
      <w:bookmarkStart w:id="1081" w:name="_Toc296503113"/>
      <w:r>
        <w:rPr>
          <w:rFonts w:hint="eastAsia"/>
          <w:color w:val="000000" w:themeColor="text1"/>
          <w:kern w:val="2"/>
          <w:sz w:val="21"/>
          <w:szCs w:val="21"/>
          <w14:textFill>
            <w14:solidFill>
              <w14:schemeClr w14:val="tx1"/>
            </w14:solidFill>
          </w14:textFill>
        </w:rPr>
        <w:t>14. 竣工结算</w:t>
      </w:r>
      <w:bookmarkEnd w:id="1076"/>
      <w:bookmarkEnd w:id="1077"/>
      <w:bookmarkEnd w:id="1078"/>
    </w:p>
    <w:bookmarkEnd w:id="1079"/>
    <w:p w14:paraId="30089172">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82" w:name="_Toc351203594"/>
      <w:bookmarkStart w:id="1083" w:name="_Toc532377282"/>
      <w:bookmarkStart w:id="1084" w:name="_Toc337558811"/>
      <w:r>
        <w:rPr>
          <w:rFonts w:hint="eastAsia"/>
          <w:color w:val="000000" w:themeColor="text1"/>
          <w:sz w:val="21"/>
          <w:szCs w:val="21"/>
          <w14:textFill>
            <w14:solidFill>
              <w14:schemeClr w14:val="tx1"/>
            </w14:solidFill>
          </w14:textFill>
        </w:rPr>
        <w:t>14.1 竣工结算申请</w:t>
      </w:r>
      <w:bookmarkEnd w:id="1082"/>
      <w:bookmarkEnd w:id="1083"/>
    </w:p>
    <w:bookmarkEnd w:id="1084"/>
    <w:p w14:paraId="146FE4D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1015947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除专用合同条款另有约定外，竣工结算申请单应包括以下内容：</w:t>
      </w:r>
    </w:p>
    <w:p w14:paraId="3949ECB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（1）竣工结算合同价格；</w:t>
      </w:r>
    </w:p>
    <w:p w14:paraId="7DA2E99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（2）发包人已支付承包人的款项；</w:t>
      </w:r>
    </w:p>
    <w:p w14:paraId="4B635D8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（3）应扣留的质量保证金。已缴纳履约保证金的或提供其他工程质量担保方式的除外； </w:t>
      </w:r>
    </w:p>
    <w:p w14:paraId="0C48DF0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（4）发包人应支付承包人的合同价款。</w:t>
      </w:r>
    </w:p>
    <w:p w14:paraId="7AAE8A39">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85" w:name="_Toc351203595"/>
      <w:bookmarkStart w:id="1086" w:name="_Toc532377283"/>
      <w:bookmarkStart w:id="1087" w:name="_Toc337558812"/>
      <w:r>
        <w:rPr>
          <w:rFonts w:hint="eastAsia"/>
          <w:color w:val="000000" w:themeColor="text1"/>
          <w:sz w:val="21"/>
          <w:szCs w:val="21"/>
          <w14:textFill>
            <w14:solidFill>
              <w14:schemeClr w14:val="tx1"/>
            </w14:solidFill>
          </w14:textFill>
        </w:rPr>
        <w:t>14.2 竣工结算审核</w:t>
      </w:r>
      <w:bookmarkEnd w:id="1085"/>
      <w:bookmarkEnd w:id="1086"/>
    </w:p>
    <w:bookmarkEnd w:id="1087"/>
    <w:p w14:paraId="6E55A64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5E448A2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25F7452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6CDFED9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3416BF1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88" w:name="_Toc351203596"/>
      <w:bookmarkStart w:id="1089" w:name="_Toc532377284"/>
      <w:bookmarkStart w:id="1090" w:name="_Toc337558813"/>
      <w:r>
        <w:rPr>
          <w:rFonts w:hint="eastAsia"/>
          <w:color w:val="000000" w:themeColor="text1"/>
          <w:sz w:val="21"/>
          <w:szCs w:val="21"/>
          <w14:textFill>
            <w14:solidFill>
              <w14:schemeClr w14:val="tx1"/>
            </w14:solidFill>
          </w14:textFill>
        </w:rPr>
        <w:t>14.3 甩项竣工协议</w:t>
      </w:r>
      <w:bookmarkEnd w:id="1088"/>
      <w:bookmarkEnd w:id="1089"/>
    </w:p>
    <w:bookmarkEnd w:id="1090"/>
    <w:p w14:paraId="154FE9A3">
      <w:pPr>
        <w:autoSpaceDE w:val="0"/>
        <w:autoSpaceDN w:val="0"/>
        <w:spacing w:line="360" w:lineRule="auto"/>
        <w:ind w:firstLine="411" w:firstLineChars="196"/>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要求甩项竣工的，合同当事人应签订甩项竣工协议。在甩项竣工协议中应明确，合同当事人按照第14.1款〔竣工结算申请〕及14.2款〔竣工结算审核〕的约定，对已完合格工程进行结算，并支付相应合同价款。</w:t>
      </w:r>
    </w:p>
    <w:p w14:paraId="4E523539">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91" w:name="_Toc532377285"/>
      <w:bookmarkStart w:id="1092" w:name="_Toc351203597"/>
      <w:bookmarkStart w:id="1093" w:name="_Toc337558814"/>
      <w:r>
        <w:rPr>
          <w:rFonts w:hint="eastAsia"/>
          <w:color w:val="000000" w:themeColor="text1"/>
          <w:sz w:val="21"/>
          <w:szCs w:val="21"/>
          <w14:textFill>
            <w14:solidFill>
              <w14:schemeClr w14:val="tx1"/>
            </w14:solidFill>
          </w14:textFill>
        </w:rPr>
        <w:t>14.4 最终结清</w:t>
      </w:r>
      <w:bookmarkEnd w:id="1091"/>
      <w:bookmarkEnd w:id="1092"/>
    </w:p>
    <w:bookmarkEnd w:id="1093"/>
    <w:p w14:paraId="5BE42EE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14.4.1 最终结清申请单</w:t>
      </w:r>
    </w:p>
    <w:p w14:paraId="30E043F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（1）除专用合同条款另有约定外，承包人应在缺陷责任期终止证书颁发后7天内，按专用合同条款约定的份数向发包人提交最终结清申请单，并提供相关证明材料。</w:t>
      </w:r>
    </w:p>
    <w:p w14:paraId="58EB256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除专用合同条款另有约定外，最终结清申请单应列明质量保证金、应扣除的质量保证金、缺陷责任期内发生的增减费用。</w:t>
      </w:r>
    </w:p>
    <w:p w14:paraId="491F86B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（2）发包人对最终结清申请单内容有异议的，有权要求承包人进行修正和提供补充资料，承包人应向发包人提交修正后的最终结清申请单。</w:t>
      </w:r>
    </w:p>
    <w:p w14:paraId="484EADA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14.4.2 最终结清证书和支付</w:t>
      </w:r>
    </w:p>
    <w:p w14:paraId="7C54EC9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5020260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6F774EB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（3）承包人对发包人颁发的最终结清证书有异议的，按第20条〔争议解决〕的约定办理。</w:t>
      </w:r>
    </w:p>
    <w:p w14:paraId="403E22AC">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094" w:name="_Toc532377286"/>
      <w:bookmarkStart w:id="1095" w:name="_Toc351203598"/>
      <w:bookmarkStart w:id="1096" w:name="_Toc532375601"/>
      <w:bookmarkStart w:id="1097" w:name="_Toc337558815"/>
      <w:r>
        <w:rPr>
          <w:rFonts w:hint="eastAsia"/>
          <w:color w:val="000000" w:themeColor="text1"/>
          <w:kern w:val="2"/>
          <w:sz w:val="21"/>
          <w:szCs w:val="21"/>
          <w14:textFill>
            <w14:solidFill>
              <w14:schemeClr w14:val="tx1"/>
            </w14:solidFill>
          </w14:textFill>
        </w:rPr>
        <w:t>15. 缺陷责任与保修</w:t>
      </w:r>
      <w:bookmarkEnd w:id="1094"/>
      <w:bookmarkEnd w:id="1095"/>
      <w:bookmarkEnd w:id="1096"/>
    </w:p>
    <w:bookmarkEnd w:id="1080"/>
    <w:bookmarkEnd w:id="1081"/>
    <w:bookmarkEnd w:id="1097"/>
    <w:p w14:paraId="461A71B6">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098" w:name="_Toc532377287"/>
      <w:bookmarkStart w:id="1099" w:name="_Toc351203599"/>
      <w:bookmarkStart w:id="1100" w:name="_Toc337558816"/>
      <w:bookmarkStart w:id="1101" w:name="_Toc296503114"/>
      <w:bookmarkStart w:id="1102" w:name="_Toc296346615"/>
      <w:r>
        <w:rPr>
          <w:rFonts w:hint="eastAsia"/>
          <w:color w:val="000000" w:themeColor="text1"/>
          <w:sz w:val="21"/>
          <w:szCs w:val="21"/>
          <w14:textFill>
            <w14:solidFill>
              <w14:schemeClr w14:val="tx1"/>
            </w14:solidFill>
          </w14:textFill>
        </w:rPr>
        <w:t>15.1 工程保修的原则</w:t>
      </w:r>
      <w:bookmarkEnd w:id="1098"/>
      <w:bookmarkEnd w:id="1099"/>
    </w:p>
    <w:bookmarkEnd w:id="1100"/>
    <w:p w14:paraId="049005F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在工程移交发包人后，因承包人原因产生的质量缺陷，承包人应承担质量缺陷责任和保修义务。缺陷责任期届满，承包人仍应按合同约定的工程各部位保修年限承担保修义务。</w:t>
      </w:r>
    </w:p>
    <w:p w14:paraId="49F8E4FC">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03" w:name="_Toc351203600"/>
      <w:bookmarkStart w:id="1104" w:name="_Toc532377288"/>
      <w:bookmarkStart w:id="1105" w:name="_Toc337558817"/>
      <w:r>
        <w:rPr>
          <w:rFonts w:hint="eastAsia"/>
          <w:color w:val="000000" w:themeColor="text1"/>
          <w:sz w:val="21"/>
          <w:szCs w:val="21"/>
          <w14:textFill>
            <w14:solidFill>
              <w14:schemeClr w14:val="tx1"/>
            </w14:solidFill>
          </w14:textFill>
        </w:rPr>
        <w:t>15.2 缺陷责任期</w:t>
      </w:r>
      <w:bookmarkEnd w:id="1101"/>
      <w:bookmarkEnd w:id="1102"/>
      <w:bookmarkEnd w:id="1103"/>
      <w:bookmarkEnd w:id="1104"/>
    </w:p>
    <w:bookmarkEnd w:id="1105"/>
    <w:p w14:paraId="0BAF7F3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15.2.1 缺陷责任期从工程通过竣工验收之日起计算，合同当事人应在专用合同条款约定缺陷责任期的具体期限，但该期限最长不超过24个月。</w:t>
      </w:r>
    </w:p>
    <w:p w14:paraId="7FC29F9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267A381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42FC789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由他人原因造成的缺陷，发包人负责组织维修，承包人不承担费用，且发包人不得从保证金中扣除费用。</w:t>
      </w:r>
    </w:p>
    <w:p w14:paraId="32A68F1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15.2.3 任何一项缺陷或损坏修复后，经检查证明其影响了工程或工程设备的使用性能，承包人应重新进行合同约定的试验和试运行，试验和试运行的全部费用应由责任方承担。</w:t>
      </w:r>
    </w:p>
    <w:p w14:paraId="321FEAC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66E47AE8">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06" w:name="_Toc532377289"/>
      <w:bookmarkStart w:id="1107" w:name="_Toc351203601"/>
      <w:bookmarkStart w:id="1108" w:name="_Toc337558818"/>
      <w:bookmarkStart w:id="1109" w:name="_Toc296503115"/>
      <w:bookmarkStart w:id="1110" w:name="_Toc296346616"/>
      <w:r>
        <w:rPr>
          <w:rFonts w:hint="eastAsia"/>
          <w:color w:val="000000" w:themeColor="text1"/>
          <w:sz w:val="21"/>
          <w:szCs w:val="21"/>
          <w14:textFill>
            <w14:solidFill>
              <w14:schemeClr w14:val="tx1"/>
            </w14:solidFill>
          </w14:textFill>
        </w:rPr>
        <w:t>15.3 质量保证金</w:t>
      </w:r>
      <w:bookmarkEnd w:id="1106"/>
      <w:bookmarkEnd w:id="1107"/>
    </w:p>
    <w:bookmarkEnd w:id="1108"/>
    <w:p w14:paraId="2600692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经合同当事人协商一致扣留质量保证金的，应在专用合同条款中予以明确。</w:t>
      </w:r>
    </w:p>
    <w:p w14:paraId="2129DD3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在工程项目竣工前，承包人已经提供履约担保的，发包人不得同时预留工程质量保证金。</w:t>
      </w:r>
    </w:p>
    <w:p w14:paraId="231879C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15.3.1 承包人提供质量保证金的方式</w:t>
      </w:r>
    </w:p>
    <w:p w14:paraId="2CFED6D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承包人提供质量保证金有以下三种方式：</w:t>
      </w:r>
    </w:p>
    <w:p w14:paraId="4A2139C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（1）质量保证金保函；</w:t>
      </w:r>
    </w:p>
    <w:p w14:paraId="0F6A66B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（2）相应比例的工程款；</w:t>
      </w:r>
    </w:p>
    <w:p w14:paraId="598A950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（3）双方约定的其他方式。</w:t>
      </w:r>
    </w:p>
    <w:p w14:paraId="0817CFD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除专用合同条款另有约定外，质量保证金原则上采用上述第（1）种方式。</w:t>
      </w:r>
    </w:p>
    <w:p w14:paraId="366D36E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15.3.2 质量保证金的扣留</w:t>
      </w:r>
    </w:p>
    <w:p w14:paraId="1B6EE47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质量保证金的扣留有以下三种方式：</w:t>
      </w:r>
    </w:p>
    <w:p w14:paraId="22FB46E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（1）在支付工程进度款时逐次扣留，在此情形下，质量保证金的计算基数不包括预付款的支付、扣回以及价格调整的金额；</w:t>
      </w:r>
    </w:p>
    <w:p w14:paraId="76844A9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（2）工</w:t>
      </w:r>
      <w:bookmarkStart w:id="1111" w:name="#go6"/>
      <w:bookmarkEnd w:id="1111"/>
      <w:r>
        <w:rPr>
          <w:rFonts w:hint="eastAsia" w:ascii="宋体" w:hAnsi="宋体"/>
          <w:color w:val="000000" w:themeColor="text1"/>
          <w:kern w:val="0"/>
          <w:szCs w:val="21"/>
          <w14:textFill>
            <w14:solidFill>
              <w14:schemeClr w14:val="tx1"/>
            </w14:solidFill>
          </w14:textFill>
        </w:rPr>
        <w:t>程竣工结算时一次性扣留质量保证金；</w:t>
      </w:r>
    </w:p>
    <w:p w14:paraId="01F2A7B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（3）双方约定的其他扣留方式。</w:t>
      </w:r>
    </w:p>
    <w:p w14:paraId="40DD954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除专用合同条款另有约定外，质量保证金的扣留原则上采用上述第（1）种方式。</w:t>
      </w:r>
    </w:p>
    <w:p w14:paraId="27C3D98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w:t>
      </w:r>
      <w:bookmarkStart w:id="1112" w:name="#go4"/>
      <w:bookmarkEnd w:id="1112"/>
      <w:r>
        <w:rPr>
          <w:rFonts w:hint="eastAsia" w:ascii="宋体" w:hAnsi="宋体"/>
          <w:color w:val="000000" w:themeColor="text1"/>
          <w:kern w:val="0"/>
          <w:szCs w:val="21"/>
          <w14:textFill>
            <w14:solidFill>
              <w14:schemeClr w14:val="tx1"/>
            </w14:solidFill>
          </w14:textFill>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28077CF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发包人在退还质量保证金的同时按照中国人民银行发布的同期同类贷款基准利率支付利息。</w:t>
      </w:r>
    </w:p>
    <w:p w14:paraId="2DFF595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15.3.3 质量保证金的退还</w:t>
      </w:r>
    </w:p>
    <w:p w14:paraId="0C2E5FF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缺陷责任期内，承包人认真履行合同约定的责任，到期后，承包人可向发包人申请返还保证金。</w:t>
      </w:r>
    </w:p>
    <w:p w14:paraId="7514A2F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5D8B35D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发包人和承包人对保证金预留、返还以及工程维修质量、费用有争议的，按合同第20条约定的争议和纠纷解决程序处理。</w:t>
      </w:r>
    </w:p>
    <w:p w14:paraId="49A60A7E">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13" w:name="_Toc532377290"/>
      <w:bookmarkStart w:id="1114" w:name="_Toc351203602"/>
      <w:bookmarkStart w:id="1115" w:name="_Toc337558819"/>
      <w:r>
        <w:rPr>
          <w:rFonts w:hint="eastAsia"/>
          <w:color w:val="000000" w:themeColor="text1"/>
          <w:sz w:val="21"/>
          <w:szCs w:val="21"/>
          <w14:textFill>
            <w14:solidFill>
              <w14:schemeClr w14:val="tx1"/>
            </w14:solidFill>
          </w14:textFill>
        </w:rPr>
        <w:t>15.4 保修</w:t>
      </w:r>
      <w:bookmarkEnd w:id="1113"/>
      <w:bookmarkEnd w:id="1114"/>
    </w:p>
    <w:bookmarkEnd w:id="1109"/>
    <w:bookmarkEnd w:id="1110"/>
    <w:bookmarkEnd w:id="1115"/>
    <w:p w14:paraId="0962267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15.4.1保修责任</w:t>
      </w:r>
    </w:p>
    <w:p w14:paraId="5C33A31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412E9EA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发包人未经竣工验收擅自使用工程的，保修期自转移占有之日起算。</w:t>
      </w:r>
    </w:p>
    <w:p w14:paraId="7890914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15.4.2 修复费用</w:t>
      </w:r>
    </w:p>
    <w:p w14:paraId="6507ADA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保修期内，修复的费用按照以下约定处理：</w:t>
      </w:r>
    </w:p>
    <w:p w14:paraId="44268A9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（1）保修期内，因承包人原因造成工程的缺陷、损坏，承包人应负责修复，并承担修复的费用以及因工程的缺陷、损坏造成的人身伤害和财产损失；</w:t>
      </w:r>
    </w:p>
    <w:p w14:paraId="717F756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（2）保修期内，因发包人使用不当造成工程的缺陷、损坏，可以委托承包人修复，但发包人应承担修复的费用，并支付承包人合理利润；</w:t>
      </w:r>
    </w:p>
    <w:p w14:paraId="5633223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（3）因其他原因造成工程的缺陷、损坏，可以委托承包人修复，发包人应承担修复的费用，并支付承包人合理的利润，因工程的缺陷、损坏造成的人身伤害和财产损失由责任方承担。</w:t>
      </w:r>
    </w:p>
    <w:p w14:paraId="4C75096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15.4.3 修复通知</w:t>
      </w:r>
    </w:p>
    <w:p w14:paraId="1DBD1C6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06E6368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15.4.4 未能修复</w:t>
      </w:r>
    </w:p>
    <w:p w14:paraId="20A91EB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3584111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15.4.5 承包人出入权</w:t>
      </w:r>
    </w:p>
    <w:p w14:paraId="60E8EE1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66CE708B">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116" w:name="_Toc351203603"/>
      <w:bookmarkStart w:id="1117" w:name="_Toc532375602"/>
      <w:bookmarkStart w:id="1118" w:name="_Toc532377291"/>
      <w:bookmarkStart w:id="1119" w:name="_Toc337558820"/>
      <w:r>
        <w:rPr>
          <w:rFonts w:hint="eastAsia"/>
          <w:color w:val="000000" w:themeColor="text1"/>
          <w:kern w:val="2"/>
          <w:sz w:val="21"/>
          <w:szCs w:val="21"/>
          <w14:textFill>
            <w14:solidFill>
              <w14:schemeClr w14:val="tx1"/>
            </w14:solidFill>
          </w14:textFill>
        </w:rPr>
        <w:t>16. 违约</w:t>
      </w:r>
      <w:bookmarkEnd w:id="1116"/>
      <w:bookmarkEnd w:id="1117"/>
      <w:bookmarkEnd w:id="1118"/>
    </w:p>
    <w:bookmarkEnd w:id="1119"/>
    <w:p w14:paraId="1EB3E308">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20" w:name="_Toc296503129"/>
      <w:bookmarkStart w:id="1121" w:name="_Toc296346630"/>
      <w:bookmarkStart w:id="1122" w:name="_Toc351203604"/>
      <w:bookmarkStart w:id="1123" w:name="_Toc532377292"/>
      <w:bookmarkStart w:id="1124" w:name="_Toc337558821"/>
      <w:r>
        <w:rPr>
          <w:rFonts w:hint="eastAsia"/>
          <w:color w:val="000000" w:themeColor="text1"/>
          <w:sz w:val="21"/>
          <w:szCs w:val="21"/>
          <w14:textFill>
            <w14:solidFill>
              <w14:schemeClr w14:val="tx1"/>
            </w14:solidFill>
          </w14:textFill>
        </w:rPr>
        <w:t>16.1 发</w:t>
      </w:r>
      <w:bookmarkEnd w:id="1120"/>
      <w:bookmarkEnd w:id="1121"/>
      <w:r>
        <w:rPr>
          <w:rFonts w:hint="eastAsia"/>
          <w:color w:val="000000" w:themeColor="text1"/>
          <w:sz w:val="21"/>
          <w:szCs w:val="21"/>
          <w14:textFill>
            <w14:solidFill>
              <w14:schemeClr w14:val="tx1"/>
            </w14:solidFill>
          </w14:textFill>
        </w:rPr>
        <w:t>包人违约</w:t>
      </w:r>
      <w:bookmarkEnd w:id="1122"/>
      <w:bookmarkEnd w:id="1123"/>
    </w:p>
    <w:bookmarkEnd w:id="1124"/>
    <w:p w14:paraId="6821BAC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16.1.1 发包人违约的情形</w:t>
      </w:r>
    </w:p>
    <w:p w14:paraId="19473A7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在合同履行过程中发生的下列情形，属于发包人违约：</w:t>
      </w:r>
    </w:p>
    <w:p w14:paraId="297C56B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（1）因发包人原因未能在计划开工日期前7天内下达开工通知的；</w:t>
      </w:r>
    </w:p>
    <w:p w14:paraId="3E4724F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（2）因发包人原因未能按合同约定支付合同价款的；</w:t>
      </w:r>
    </w:p>
    <w:p w14:paraId="4DE166E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（3）发包人违反第10.1款〔变更的范围〕第（2）项约定，自行实施被取消的工作或转由他人实施的；</w:t>
      </w:r>
    </w:p>
    <w:p w14:paraId="41E3873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（4）发包人提供的材料、工程设备的规格、数量或质量不符合合同约定，或因发包人原因导致交货日期延误或交货地点变更等情况的；</w:t>
      </w:r>
    </w:p>
    <w:p w14:paraId="04FB1DA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（5）因发包人违反合同约定造成暂停施工的；</w:t>
      </w:r>
    </w:p>
    <w:p w14:paraId="671222D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（6）发包人无正当理由没有在约定期限内发出复工指示，导致承包人无法复工的；</w:t>
      </w:r>
    </w:p>
    <w:p w14:paraId="48C16CE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（7）发包人明确表示或者以其行为表明不履行合同主要义务的；</w:t>
      </w:r>
    </w:p>
    <w:p w14:paraId="6120588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（8）发包人未能按照合同约定履行其他义务的。</w:t>
      </w:r>
    </w:p>
    <w:p w14:paraId="7B2DD06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27C5232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16.1.2 发包人违约的责任</w:t>
      </w:r>
    </w:p>
    <w:p w14:paraId="59AD425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发包人应承担因其违约给承包人增加的费用和（或）延误的工期，并支付承包人合理的利润。此外，合同当事人可在专用合同条款中另行约定发包人违约责任的承担方式和计算方法。</w:t>
      </w:r>
    </w:p>
    <w:p w14:paraId="4404166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16.1.3 因发包人违约解除合同</w:t>
      </w:r>
    </w:p>
    <w:p w14:paraId="66B2557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7281876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16.1.4 因发包人违约解除合同后的付款</w:t>
      </w:r>
    </w:p>
    <w:p w14:paraId="79DD61C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承包人按照本款约定解除合同的，发包人应在解除合同后28天内支付下列款项，并解除履约担保：</w:t>
      </w:r>
    </w:p>
    <w:p w14:paraId="6C46B61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（1）合同解除前所完成工作的价款；</w:t>
      </w:r>
    </w:p>
    <w:p w14:paraId="68328BD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（2）承包人为工程施工订购并已付款的材料、工程设备和其他物品的价款；</w:t>
      </w:r>
    </w:p>
    <w:p w14:paraId="1F84A0F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（3）承包人撤离施工现场以及遣散承包人人员的款项；</w:t>
      </w:r>
    </w:p>
    <w:p w14:paraId="36A56A7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（4）按照合同约定在合同解除前应支付的违约金；</w:t>
      </w:r>
    </w:p>
    <w:p w14:paraId="4B737AA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（5）按照合同约定应当支付给承包人的其他款项；</w:t>
      </w:r>
    </w:p>
    <w:p w14:paraId="2A1AD10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（6）按照合同约定应退还的质量保证金；</w:t>
      </w:r>
    </w:p>
    <w:p w14:paraId="1904B83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（7）因解除合同给承包人造成的损失。</w:t>
      </w:r>
    </w:p>
    <w:p w14:paraId="46ED5A3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合同当事人未能就解除合同后的结清达成一致的，按照第20条〔争议解决〕的约定处理。</w:t>
      </w:r>
    </w:p>
    <w:p w14:paraId="1CDE8C6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承包人应妥善做好已完工程和与工程有关的已购材料、工程设备的保护和移交工作，并将施工设备和人员撤出施工现场，发包人应为承包人撤出提供必要条件。</w:t>
      </w:r>
    </w:p>
    <w:p w14:paraId="1752C314">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25" w:name="_Toc351203605"/>
      <w:bookmarkStart w:id="1126" w:name="_Toc532377293"/>
      <w:bookmarkStart w:id="1127" w:name="_Toc296503131"/>
      <w:bookmarkStart w:id="1128" w:name="_Toc296346632"/>
      <w:bookmarkStart w:id="1129" w:name="_Toc337558822"/>
      <w:r>
        <w:rPr>
          <w:rFonts w:hint="eastAsia"/>
          <w:color w:val="000000" w:themeColor="text1"/>
          <w:sz w:val="21"/>
          <w:szCs w:val="21"/>
          <w14:textFill>
            <w14:solidFill>
              <w14:schemeClr w14:val="tx1"/>
            </w14:solidFill>
          </w14:textFill>
        </w:rPr>
        <w:t>16.2 承包人违约</w:t>
      </w:r>
      <w:bookmarkEnd w:id="1125"/>
      <w:bookmarkEnd w:id="1126"/>
    </w:p>
    <w:bookmarkEnd w:id="1127"/>
    <w:bookmarkEnd w:id="1128"/>
    <w:bookmarkEnd w:id="1129"/>
    <w:p w14:paraId="188864E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16.2.1 承包人违约的情形</w:t>
      </w:r>
    </w:p>
    <w:p w14:paraId="6047899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在合同履行过程中发生的下列情形，属于承包人违约：</w:t>
      </w:r>
    </w:p>
    <w:p w14:paraId="173B67B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（1）承包人违反合同约定进行转包或违法分包的；</w:t>
      </w:r>
    </w:p>
    <w:p w14:paraId="40A7686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（2）承包人违反合同约定采购和使用不合格的材料和工程设备的；</w:t>
      </w:r>
    </w:p>
    <w:p w14:paraId="0A059FB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（3）因承包人原因导致工程质量不符合合同要求的； </w:t>
      </w:r>
    </w:p>
    <w:p w14:paraId="7396D19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（4）承包人违反第8.9款〔材料与设备专用要求〕的约定，未经批准，私自将已按照合同约定进入施工现场的材料或设备撤离施工现场的；</w:t>
      </w:r>
    </w:p>
    <w:p w14:paraId="0BD52E8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（5）承包人未能按施工进度计划及时完成合同约定的工作，造成工期延误的；</w:t>
      </w:r>
    </w:p>
    <w:p w14:paraId="575E87E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（6）承包人在缺陷责任期及保修期内，未能在合理期限对工程缺陷进行修复，或拒绝按发包人要求进行修复的；</w:t>
      </w:r>
    </w:p>
    <w:p w14:paraId="5B30408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（7）承包人明确表示或者以其行为表明不履行合同主要义务的；</w:t>
      </w:r>
    </w:p>
    <w:p w14:paraId="1B85E19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（8）承包人未能按照合同约定履行其他义务的。</w:t>
      </w:r>
    </w:p>
    <w:p w14:paraId="5FB2DD3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承包人发生除本项第（7）目约定以外的其他违约情况时，监理人可向承包人发出整改通知，要求其在指定的期限内改正。</w:t>
      </w:r>
    </w:p>
    <w:p w14:paraId="0AF672C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16.2.2 承包人违约的责任</w:t>
      </w:r>
    </w:p>
    <w:p w14:paraId="7439F81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承包人应承担因其违约行为而增加的费用和（或）延误的工期。此外，合同当事人可在专用合同条款中另行约定承包人违约责任的承担方式和计算方法。</w:t>
      </w:r>
    </w:p>
    <w:p w14:paraId="5FD997C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16.2.3 因承包人违约解除合同</w:t>
      </w:r>
    </w:p>
    <w:p w14:paraId="1420AD4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5BE7E98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16.2.4因承包人违约解除合同后的处理</w:t>
      </w:r>
    </w:p>
    <w:p w14:paraId="3BF2217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因承包人原因导致合同解除的，则合同当事人应在合同解除后28天内完成估价、付款和清算，并按以下约定执行：</w:t>
      </w:r>
    </w:p>
    <w:p w14:paraId="78846B1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（1）合同解除后，按第4.4款〔商定或确定〕商定或确定承包人实际完成工作对应的合同价款，以及承包人已提供的材料、工程设备、施工设备和临时工程等的价值；</w:t>
      </w:r>
    </w:p>
    <w:p w14:paraId="6657296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（2）合同解除后，承包人应支付的违约金；</w:t>
      </w:r>
    </w:p>
    <w:p w14:paraId="187A875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（3）合同解除后，因解除合同给发包人造成的损失；</w:t>
      </w:r>
    </w:p>
    <w:p w14:paraId="403D50F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（4）合同解除后，承包人应按照发包人要求和监理人的指示完成现场的清理和撤离；</w:t>
      </w:r>
    </w:p>
    <w:p w14:paraId="1986A20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（5）发包人和承包人应在合同解除后进行清算，出具最终结清付款证书，结清全部款项。</w:t>
      </w:r>
    </w:p>
    <w:p w14:paraId="3DF75B6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因承包人违约解除合同的，发包人有权暂停对承包人的付款，查清各项付款和已扣款项。发包人和承包人未能就合同解除后的清算和款项支付达成一致的，按照第20条〔争议解决〕的约定处理。</w:t>
      </w:r>
    </w:p>
    <w:p w14:paraId="337F2DE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16.2.5采购合同权益转让</w:t>
      </w:r>
    </w:p>
    <w:p w14:paraId="6844A22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1282BC70">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30" w:name="_Toc532377294"/>
      <w:bookmarkStart w:id="1131" w:name="_Toc351203606"/>
      <w:r>
        <w:rPr>
          <w:rFonts w:hint="eastAsia"/>
          <w:color w:val="000000" w:themeColor="text1"/>
          <w:sz w:val="21"/>
          <w:szCs w:val="21"/>
          <w14:textFill>
            <w14:solidFill>
              <w14:schemeClr w14:val="tx1"/>
            </w14:solidFill>
          </w14:textFill>
        </w:rPr>
        <w:t>16.3 第三人造成的违约</w:t>
      </w:r>
      <w:bookmarkEnd w:id="1130"/>
      <w:bookmarkEnd w:id="1131"/>
    </w:p>
    <w:p w14:paraId="1831F85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在履行合同过程中，一方当事人因第三人的原因造成违约的，应当向对方当事人承担违约责任。一方当事人和第三人之间的纠纷，依照法律规定或者按照约定解决。</w:t>
      </w:r>
    </w:p>
    <w:p w14:paraId="07C679B0">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132" w:name="_Toc351203607"/>
      <w:bookmarkStart w:id="1133" w:name="_Toc532377295"/>
      <w:bookmarkStart w:id="1134" w:name="_Toc296503116"/>
      <w:bookmarkStart w:id="1135" w:name="_Toc296346617"/>
      <w:bookmarkStart w:id="1136" w:name="_Toc532375603"/>
      <w:bookmarkStart w:id="1137" w:name="_Toc337558823"/>
      <w:r>
        <w:rPr>
          <w:rFonts w:hint="eastAsia"/>
          <w:color w:val="000000" w:themeColor="text1"/>
          <w:kern w:val="2"/>
          <w:sz w:val="21"/>
          <w:szCs w:val="21"/>
          <w14:textFill>
            <w14:solidFill>
              <w14:schemeClr w14:val="tx1"/>
            </w14:solidFill>
          </w14:textFill>
        </w:rPr>
        <w:t>17. 不可抗力</w:t>
      </w:r>
      <w:bookmarkEnd w:id="1132"/>
      <w:bookmarkEnd w:id="1133"/>
      <w:bookmarkEnd w:id="1134"/>
      <w:bookmarkEnd w:id="1135"/>
      <w:bookmarkEnd w:id="1136"/>
      <w:bookmarkEnd w:id="1137"/>
    </w:p>
    <w:p w14:paraId="44EB97AA">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38" w:name="_Toc351203608"/>
      <w:bookmarkStart w:id="1139" w:name="_Toc532377296"/>
      <w:bookmarkStart w:id="1140" w:name="_Toc337558824"/>
      <w:bookmarkStart w:id="1141" w:name="_Toc296503117"/>
      <w:bookmarkStart w:id="1142" w:name="_Toc296346618"/>
      <w:r>
        <w:rPr>
          <w:rFonts w:hint="eastAsia"/>
          <w:color w:val="000000" w:themeColor="text1"/>
          <w:sz w:val="21"/>
          <w:szCs w:val="21"/>
          <w14:textFill>
            <w14:solidFill>
              <w14:schemeClr w14:val="tx1"/>
            </w14:solidFill>
          </w14:textFill>
        </w:rPr>
        <w:t>17.1 不可抗力的确认</w:t>
      </w:r>
      <w:bookmarkEnd w:id="1138"/>
      <w:bookmarkEnd w:id="1139"/>
    </w:p>
    <w:bookmarkEnd w:id="1140"/>
    <w:bookmarkEnd w:id="1141"/>
    <w:bookmarkEnd w:id="1142"/>
    <w:p w14:paraId="11166E2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不可抗力是指合同当事人在签订合同时不可预见，在合同履行过程中不可避免且不能克服的自然灾害和社会性突发事件，如地震、海啸、瘟疫、骚乱、戒严、暴动、战争和专用合同条款中约定的其他情形。</w:t>
      </w:r>
    </w:p>
    <w:p w14:paraId="072B0D9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53FF21CB">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43" w:name="_Toc351203609"/>
      <w:bookmarkStart w:id="1144" w:name="_Toc532377297"/>
      <w:bookmarkStart w:id="1145" w:name="_Toc337558825"/>
      <w:bookmarkStart w:id="1146" w:name="_Toc296503118"/>
      <w:bookmarkStart w:id="1147" w:name="_Toc296346619"/>
      <w:r>
        <w:rPr>
          <w:rFonts w:hint="eastAsia"/>
          <w:color w:val="000000" w:themeColor="text1"/>
          <w:sz w:val="21"/>
          <w:szCs w:val="21"/>
          <w14:textFill>
            <w14:solidFill>
              <w14:schemeClr w14:val="tx1"/>
            </w14:solidFill>
          </w14:textFill>
        </w:rPr>
        <w:t>17.2 不可抗力的通知</w:t>
      </w:r>
      <w:bookmarkEnd w:id="1143"/>
      <w:bookmarkEnd w:id="1144"/>
    </w:p>
    <w:bookmarkEnd w:id="1145"/>
    <w:bookmarkEnd w:id="1146"/>
    <w:bookmarkEnd w:id="1147"/>
    <w:p w14:paraId="2E7901B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合同一方当事人遇到不可抗力事件，使其履行合同义务受到阻碍时，应立即通知合同另一方当事人和监理人，书面说明不可抗力和受阻碍的详细情况，并提供必要的证明。</w:t>
      </w:r>
    </w:p>
    <w:p w14:paraId="6086F52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不可抗力持续发生的，合同一方当事人应及时向合同另一方当事人和监理人提交中间报告，说明不可抗力和履行合同受阻的情况，并于不可抗力事件结束后28天内提交最终报告及有关资料。</w:t>
      </w:r>
    </w:p>
    <w:p w14:paraId="2926B797">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48" w:name="_Toc532377298"/>
      <w:r>
        <w:rPr>
          <w:rFonts w:hint="eastAsia"/>
          <w:color w:val="000000" w:themeColor="text1"/>
          <w:sz w:val="21"/>
          <w:szCs w:val="21"/>
          <w14:textFill>
            <w14:solidFill>
              <w14:schemeClr w14:val="tx1"/>
            </w14:solidFill>
          </w14:textFill>
        </w:rPr>
        <w:t>17.3 不可抗力后果的承担</w:t>
      </w:r>
      <w:bookmarkEnd w:id="1148"/>
    </w:p>
    <w:p w14:paraId="20F0325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17.3.1 不可抗力引起的后果及造成的损失由合同当事人按照法律规定及合同约定各自承担。不可抗力发生前已完成的工程应当按照合同约定进行计量支付。</w:t>
      </w:r>
    </w:p>
    <w:p w14:paraId="3C4B5A1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17.3.2 不可抗力导致的人员伤亡、财产损失、费用增加和（或）工期延误等后果，由合同当事人按以下原则承担：</w:t>
      </w:r>
    </w:p>
    <w:p w14:paraId="4BA3B10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（1）永久工程、已运至施工现场的材料和工程设备的损坏，以及因工程损坏造成的第三人人员伤亡和财产损失由发包人承担；</w:t>
      </w:r>
    </w:p>
    <w:p w14:paraId="2F6ED4F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（2）承包人施工设备的损坏由承包人承担；</w:t>
      </w:r>
    </w:p>
    <w:p w14:paraId="013D9B4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（3）发包人和承包人承担各自人员伤亡和财产的损失；</w:t>
      </w:r>
    </w:p>
    <w:p w14:paraId="277A55B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（4）因不可抗力影响承包人履行合同约定的义务，已经引起或将引起工期延误的，应当顺延工期，由此导致承包人停工的费用损失由发包人和承包人合理分担，停工期间必须支付的工人工资由发包人承担；</w:t>
      </w:r>
    </w:p>
    <w:p w14:paraId="5201B1C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（5）因不可抗力引起或将引起工期延误，发包人要求赶工的，由此增加的赶工费用由发包人承担；</w:t>
      </w:r>
    </w:p>
    <w:p w14:paraId="1F17A49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（6）承包人在停工期间按照发包人要求照管、清理和修复工程的费用由发包人承担。</w:t>
      </w:r>
    </w:p>
    <w:p w14:paraId="0B58661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14:paraId="48CB76D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因合同一方迟延履行合同义务，在迟延履行期间遭遇不可抗力的，不免除其违约责任。</w:t>
      </w:r>
    </w:p>
    <w:p w14:paraId="3D9A52EE">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49" w:name="_Toc532377299"/>
      <w:bookmarkStart w:id="1150" w:name="_Toc351203611"/>
      <w:bookmarkStart w:id="1151" w:name="_Toc337558827"/>
      <w:r>
        <w:rPr>
          <w:rFonts w:hint="eastAsia"/>
          <w:color w:val="000000" w:themeColor="text1"/>
          <w:sz w:val="21"/>
          <w:szCs w:val="21"/>
          <w14:textFill>
            <w14:solidFill>
              <w14:schemeClr w14:val="tx1"/>
            </w14:solidFill>
          </w14:textFill>
        </w:rPr>
        <w:t>17.4 因不可抗力解除合同</w:t>
      </w:r>
      <w:bookmarkEnd w:id="1149"/>
      <w:bookmarkEnd w:id="1150"/>
    </w:p>
    <w:bookmarkEnd w:id="1151"/>
    <w:p w14:paraId="08087B8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因不可抗力导致合同无法履行连续超过84天或累计超过140天的，发包人和承包人均有权解除合同。合同解除后，由双方当事人按照第4.4款〔商定或确定〕商定或确定发包人应支付的款项，该款项包括：</w:t>
      </w:r>
    </w:p>
    <w:p w14:paraId="0481B43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（1）合同解除前承包人已完成工作的价款；</w:t>
      </w:r>
    </w:p>
    <w:p w14:paraId="1F7CD6E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（2）承包人为工程订购的并已交付给承包人，或承包人有责任接受交付的材料、工程设备和其他物品的价款；</w:t>
      </w:r>
    </w:p>
    <w:p w14:paraId="4B381A0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（3）发包人要求承包人退货或解除订货合同而产生的费用，或因不能退货或解除合同而产生的损失；</w:t>
      </w:r>
    </w:p>
    <w:p w14:paraId="67F9557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（4）承包人撤离施工现场以及遣散承包人人员的费用；</w:t>
      </w:r>
    </w:p>
    <w:p w14:paraId="38586C0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（5）按照合同约定在合同解除前应支付给承包人的其他款项；</w:t>
      </w:r>
    </w:p>
    <w:p w14:paraId="73AEB93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（6）扣减承包人按照合同约定应向发包人支付的款项；</w:t>
      </w:r>
    </w:p>
    <w:p w14:paraId="236BC89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（7）双方商定或确定的其他款项。</w:t>
      </w:r>
    </w:p>
    <w:p w14:paraId="38C60BB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除专用合同条款另有约定外，合同解除后，发包人应在商定或确定上述款项后28天内完成上述款项的支付。</w:t>
      </w:r>
    </w:p>
    <w:p w14:paraId="050DC999">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152" w:name="_Toc532375604"/>
      <w:bookmarkStart w:id="1153" w:name="_Toc532377300"/>
      <w:bookmarkStart w:id="1154" w:name="_Toc351203612"/>
      <w:bookmarkStart w:id="1155" w:name="_Toc296346621"/>
      <w:bookmarkStart w:id="1156" w:name="_Toc296503120"/>
      <w:bookmarkStart w:id="1157" w:name="_Toc337558828"/>
      <w:r>
        <w:rPr>
          <w:rFonts w:hint="eastAsia"/>
          <w:color w:val="000000" w:themeColor="text1"/>
          <w:kern w:val="2"/>
          <w:sz w:val="21"/>
          <w:szCs w:val="21"/>
          <w14:textFill>
            <w14:solidFill>
              <w14:schemeClr w14:val="tx1"/>
            </w14:solidFill>
          </w14:textFill>
        </w:rPr>
        <w:t>18. 保险</w:t>
      </w:r>
      <w:bookmarkEnd w:id="1152"/>
      <w:bookmarkEnd w:id="1153"/>
      <w:bookmarkEnd w:id="1154"/>
    </w:p>
    <w:bookmarkEnd w:id="1155"/>
    <w:bookmarkEnd w:id="1156"/>
    <w:bookmarkEnd w:id="1157"/>
    <w:p w14:paraId="3F4A3859">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58" w:name="_Toc351203613"/>
      <w:bookmarkStart w:id="1159" w:name="_Toc532377301"/>
      <w:bookmarkStart w:id="1160" w:name="_Toc296503121"/>
      <w:bookmarkStart w:id="1161" w:name="_Toc337558829"/>
      <w:bookmarkStart w:id="1162" w:name="_Toc296346622"/>
      <w:r>
        <w:rPr>
          <w:rFonts w:hint="eastAsia"/>
          <w:color w:val="000000" w:themeColor="text1"/>
          <w:sz w:val="21"/>
          <w:szCs w:val="21"/>
          <w14:textFill>
            <w14:solidFill>
              <w14:schemeClr w14:val="tx1"/>
            </w14:solidFill>
          </w14:textFill>
        </w:rPr>
        <w:t>18.1 工程保险</w:t>
      </w:r>
      <w:bookmarkEnd w:id="1158"/>
      <w:bookmarkEnd w:id="1159"/>
    </w:p>
    <w:bookmarkEnd w:id="1160"/>
    <w:bookmarkEnd w:id="1161"/>
    <w:bookmarkEnd w:id="1162"/>
    <w:p w14:paraId="186715F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除专用合同条款另有约定外，发包人应投保建筑工程一切险或安装工程一切险；发包人委托承包人投保的，因投保产生的保险费和其他相关费用由发包人承担。</w:t>
      </w:r>
    </w:p>
    <w:p w14:paraId="37D53C9A">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63" w:name="_Toc532377302"/>
      <w:bookmarkStart w:id="1164" w:name="_Toc351203614"/>
      <w:bookmarkStart w:id="1165" w:name="_Toc296346623"/>
      <w:bookmarkStart w:id="1166" w:name="_Toc296503122"/>
      <w:bookmarkStart w:id="1167" w:name="_Toc337558830"/>
      <w:r>
        <w:rPr>
          <w:rFonts w:hint="eastAsia"/>
          <w:color w:val="000000" w:themeColor="text1"/>
          <w:sz w:val="21"/>
          <w:szCs w:val="21"/>
          <w14:textFill>
            <w14:solidFill>
              <w14:schemeClr w14:val="tx1"/>
            </w14:solidFill>
          </w14:textFill>
        </w:rPr>
        <w:t>18.2 工伤保险</w:t>
      </w:r>
      <w:bookmarkEnd w:id="1163"/>
      <w:bookmarkEnd w:id="1164"/>
    </w:p>
    <w:bookmarkEnd w:id="1165"/>
    <w:bookmarkEnd w:id="1166"/>
    <w:bookmarkEnd w:id="1167"/>
    <w:p w14:paraId="505A7C5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18.2.1 发包人应依照法律规定参加工伤保险，并为在施工现场的全部员工办理工伤保险，缴纳工伤保险费，并要求监理人及由发包人为履行合同聘请的第三方依法参加工伤保险。</w:t>
      </w:r>
    </w:p>
    <w:p w14:paraId="14A006F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18.2.2 承包人应依照法律规定参加工伤保险，并为其履行合同的全部员工办理工伤保险，缴纳工伤保险费，并要求分包人及由承包人为履行合同聘请的第三方依法参加工伤保险。</w:t>
      </w:r>
    </w:p>
    <w:p w14:paraId="44B90E81">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68" w:name="_Toc532377303"/>
      <w:bookmarkStart w:id="1169" w:name="_Toc351203615"/>
      <w:bookmarkStart w:id="1170" w:name="_Toc296503125"/>
      <w:bookmarkStart w:id="1171" w:name="_Toc296346626"/>
      <w:bookmarkStart w:id="1172" w:name="_Toc337558831"/>
      <w:r>
        <w:rPr>
          <w:rFonts w:hint="eastAsia"/>
          <w:color w:val="000000" w:themeColor="text1"/>
          <w:sz w:val="21"/>
          <w:szCs w:val="21"/>
          <w14:textFill>
            <w14:solidFill>
              <w14:schemeClr w14:val="tx1"/>
            </w14:solidFill>
          </w14:textFill>
        </w:rPr>
        <w:t>18.3其他保险</w:t>
      </w:r>
      <w:bookmarkEnd w:id="1168"/>
      <w:bookmarkEnd w:id="1169"/>
    </w:p>
    <w:bookmarkEnd w:id="1170"/>
    <w:bookmarkEnd w:id="1171"/>
    <w:bookmarkEnd w:id="1172"/>
    <w:p w14:paraId="313AEFA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发包人和承包人可以为其施工现场的全部人员办理意外伤害保险并支付保险费，包括其员工及为履行合同聘请的第三方的人员，具体事项由合同当事人在专用合同条款约定。</w:t>
      </w:r>
    </w:p>
    <w:p w14:paraId="549D3AF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除专用合同条款另有约定外，承包人应为其施工设备等办理财产保险。</w:t>
      </w:r>
    </w:p>
    <w:p w14:paraId="6FBAF27E">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73" w:name="_Toc532377304"/>
      <w:bookmarkStart w:id="1174" w:name="_Toc351203616"/>
      <w:r>
        <w:rPr>
          <w:rFonts w:hint="eastAsia"/>
          <w:color w:val="000000" w:themeColor="text1"/>
          <w:sz w:val="21"/>
          <w:szCs w:val="21"/>
          <w14:textFill>
            <w14:solidFill>
              <w14:schemeClr w14:val="tx1"/>
            </w14:solidFill>
          </w14:textFill>
        </w:rPr>
        <w:t>18.4持续保险</w:t>
      </w:r>
      <w:bookmarkEnd w:id="1173"/>
      <w:bookmarkEnd w:id="1174"/>
    </w:p>
    <w:p w14:paraId="6CD1BEE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合同当事人应与保险人保持联系，使保险人能够随时了解工程实施中的变动，并确保按保险合同条款要求持续保险。</w:t>
      </w:r>
    </w:p>
    <w:p w14:paraId="1F41BB45">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75" w:name="_Toc351203617"/>
      <w:bookmarkStart w:id="1176" w:name="_Toc532377305"/>
      <w:bookmarkStart w:id="1177" w:name="_Toc296346627"/>
      <w:bookmarkStart w:id="1178" w:name="_Toc296503126"/>
      <w:bookmarkStart w:id="1179" w:name="_Toc337558832"/>
      <w:r>
        <w:rPr>
          <w:rFonts w:hint="eastAsia"/>
          <w:color w:val="000000" w:themeColor="text1"/>
          <w:sz w:val="21"/>
          <w:szCs w:val="21"/>
          <w14:textFill>
            <w14:solidFill>
              <w14:schemeClr w14:val="tx1"/>
            </w14:solidFill>
          </w14:textFill>
        </w:rPr>
        <w:t>18.5 保险凭证</w:t>
      </w:r>
      <w:bookmarkEnd w:id="1175"/>
      <w:bookmarkEnd w:id="1176"/>
    </w:p>
    <w:bookmarkEnd w:id="1177"/>
    <w:bookmarkEnd w:id="1178"/>
    <w:bookmarkEnd w:id="1179"/>
    <w:p w14:paraId="5CDE9C3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合同当事人应及时向另一方当事人提交其已投保的各项保险的凭证和保险单复印件。</w:t>
      </w:r>
    </w:p>
    <w:p w14:paraId="5897D286">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80" w:name="_Toc351203618"/>
      <w:bookmarkStart w:id="1181" w:name="_Toc532377306"/>
      <w:bookmarkStart w:id="1182" w:name="_Toc296503127"/>
      <w:bookmarkStart w:id="1183" w:name="_Toc296346628"/>
      <w:bookmarkStart w:id="1184" w:name="_Toc337558833"/>
      <w:r>
        <w:rPr>
          <w:rFonts w:hint="eastAsia"/>
          <w:color w:val="000000" w:themeColor="text1"/>
          <w:sz w:val="21"/>
          <w:szCs w:val="21"/>
          <w14:textFill>
            <w14:solidFill>
              <w14:schemeClr w14:val="tx1"/>
            </w14:solidFill>
          </w14:textFill>
        </w:rPr>
        <w:t>18.6 未按约定投保的补救</w:t>
      </w:r>
      <w:bookmarkEnd w:id="1180"/>
      <w:bookmarkEnd w:id="1181"/>
    </w:p>
    <w:bookmarkEnd w:id="1182"/>
    <w:bookmarkEnd w:id="1183"/>
    <w:bookmarkEnd w:id="1184"/>
    <w:p w14:paraId="72054DF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18.6.1发包人未按合同约定办理保险，或未能使保险持续有效的，则承包人可代为办理，所需费用由发包人承担。发包人未按合同约定办理保险，导致未能得到足额赔偿的，由发包人负责补足。</w:t>
      </w:r>
    </w:p>
    <w:p w14:paraId="2D351A4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18.6.2承包人未按合同约定办理保险，或未能使保险持续有效的，则发包人可代为办理，所需费用由承包人承担。承包人未按合同约定办理保险，导致未能得到足额赔偿的，由承包人负责补足。</w:t>
      </w:r>
    </w:p>
    <w:p w14:paraId="49E83954">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85" w:name="_Toc351203619"/>
      <w:bookmarkStart w:id="1186" w:name="_Toc532377307"/>
      <w:bookmarkStart w:id="1187" w:name="_Toc337558834"/>
      <w:r>
        <w:rPr>
          <w:rFonts w:hint="eastAsia"/>
          <w:color w:val="000000" w:themeColor="text1"/>
          <w:sz w:val="21"/>
          <w:szCs w:val="21"/>
          <w14:textFill>
            <w14:solidFill>
              <w14:schemeClr w14:val="tx1"/>
            </w14:solidFill>
          </w14:textFill>
        </w:rPr>
        <w:t>18.7 通知义务</w:t>
      </w:r>
      <w:bookmarkEnd w:id="1185"/>
      <w:bookmarkEnd w:id="1186"/>
    </w:p>
    <w:bookmarkEnd w:id="1187"/>
    <w:p w14:paraId="362542F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除专用合同条款另有约定外，发包人变更除工伤保险之外的保险合同时，应事先征得承包人同意，并通知监理人；承包人变更除工伤保险之外的保险合同时，应事先征得发包人同意，并通知监理人。</w:t>
      </w:r>
    </w:p>
    <w:p w14:paraId="7D99377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保险事故发生时，投保人应按照保险合同规定的条件和期限及时向保险人报告。发包人和承包人应当在知道保险事故发生后及时通知对方。</w:t>
      </w:r>
    </w:p>
    <w:p w14:paraId="02AE01E7">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188" w:name="_Toc532377308"/>
      <w:bookmarkStart w:id="1189" w:name="_Toc532375605"/>
      <w:r>
        <w:rPr>
          <w:rFonts w:hint="eastAsia"/>
          <w:color w:val="000000" w:themeColor="text1"/>
          <w:kern w:val="2"/>
          <w:sz w:val="21"/>
          <w:szCs w:val="21"/>
          <w14:textFill>
            <w14:solidFill>
              <w14:schemeClr w14:val="tx1"/>
            </w14:solidFill>
          </w14:textFill>
        </w:rPr>
        <w:t>19. 索赔</w:t>
      </w:r>
      <w:bookmarkEnd w:id="1188"/>
      <w:bookmarkEnd w:id="1189"/>
    </w:p>
    <w:p w14:paraId="1E1C3D39">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90" w:name="_Toc532377309"/>
      <w:r>
        <w:rPr>
          <w:rFonts w:hint="eastAsia"/>
          <w:color w:val="000000" w:themeColor="text1"/>
          <w:sz w:val="21"/>
          <w:szCs w:val="21"/>
          <w14:textFill>
            <w14:solidFill>
              <w14:schemeClr w14:val="tx1"/>
            </w14:solidFill>
          </w14:textFill>
        </w:rPr>
        <w:t>19.1承包人的索赔</w:t>
      </w:r>
      <w:bookmarkEnd w:id="1190"/>
    </w:p>
    <w:p w14:paraId="5ADED59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根据合同约定，承包人认为有权得到追加付款和（或）延长工期的，应按以下程序向发包人提出索赔：</w:t>
      </w:r>
    </w:p>
    <w:p w14:paraId="4354B33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60AC5F28">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（2）承包人应在发出索赔意向通知书后28天内，向监理人正式递交索赔报告；索赔报告应详细说明索赔理由以及要求追加的付款金额和（或）延长的工期，并附必要的记录和证明材料；</w:t>
      </w:r>
    </w:p>
    <w:p w14:paraId="00ECC88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（3）索赔事件具有持续影响的，承包人应按合理时间间隔继续递交延续索赔通知，说明持续影响的实际情况和记录，列出累计的追加付款金额和（或）工期延长天数；</w:t>
      </w:r>
    </w:p>
    <w:p w14:paraId="35C7707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（4）在索赔事件影响结束后28天内，承包人应向监理人递交最终索赔报告，说明最终要求索赔的追加付款金额和（或）延长的工期，并附必要的记录和证明材料。</w:t>
      </w:r>
    </w:p>
    <w:p w14:paraId="4DBFB12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91" w:name="_Toc532377310"/>
      <w:bookmarkStart w:id="1192" w:name="_Toc351203622"/>
      <w:bookmarkStart w:id="1193" w:name="_Toc337558837"/>
      <w:bookmarkStart w:id="1194" w:name="_Toc296503142"/>
      <w:bookmarkStart w:id="1195" w:name="_Toc296346643"/>
      <w:r>
        <w:rPr>
          <w:rFonts w:hint="eastAsia"/>
          <w:color w:val="000000" w:themeColor="text1"/>
          <w:sz w:val="21"/>
          <w:szCs w:val="21"/>
          <w14:textFill>
            <w14:solidFill>
              <w14:schemeClr w14:val="tx1"/>
            </w14:solidFill>
          </w14:textFill>
        </w:rPr>
        <w:t>19.2 对承包人索赔的处理</w:t>
      </w:r>
      <w:bookmarkEnd w:id="1191"/>
      <w:bookmarkEnd w:id="1192"/>
    </w:p>
    <w:bookmarkEnd w:id="1193"/>
    <w:bookmarkEnd w:id="1194"/>
    <w:bookmarkEnd w:id="1195"/>
    <w:p w14:paraId="5A5FE32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对承包人索赔的处理如下：</w:t>
      </w:r>
    </w:p>
    <w:p w14:paraId="30550A9E">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（1）监理人应在收到索赔报告后14天内完成审查并报送发包人。监理人对索赔报告存在异议的，有权要求承包人提交全部原始记录副本；</w:t>
      </w:r>
    </w:p>
    <w:p w14:paraId="7F0F330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（2）发包人应在监理人收到索赔报告或有关索赔的进一步证明材料后的28天内，由监理人向承包人出具经发包人签认的索赔处理结果。发包人逾期答复的，则视为认可承包人的索赔要求；</w:t>
      </w:r>
    </w:p>
    <w:p w14:paraId="7725DFE7">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（3）承包人接受索赔处理结果的，索赔款项在当期进度款中进行支付；承包人不接受索赔处理结果的，按照第20条〔争议解决〕约定处理。</w:t>
      </w:r>
    </w:p>
    <w:p w14:paraId="2A7D6FA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196" w:name="_Toc351203623"/>
      <w:bookmarkStart w:id="1197" w:name="_Toc532377311"/>
      <w:bookmarkStart w:id="1198" w:name="_Toc296346644"/>
      <w:bookmarkStart w:id="1199" w:name="_Toc337558838"/>
      <w:bookmarkStart w:id="1200" w:name="_Toc296503143"/>
      <w:r>
        <w:rPr>
          <w:rFonts w:hint="eastAsia"/>
          <w:color w:val="000000" w:themeColor="text1"/>
          <w:sz w:val="21"/>
          <w:szCs w:val="21"/>
          <w14:textFill>
            <w14:solidFill>
              <w14:schemeClr w14:val="tx1"/>
            </w14:solidFill>
          </w14:textFill>
        </w:rPr>
        <w:t>19.3发包人的索赔</w:t>
      </w:r>
      <w:bookmarkEnd w:id="1196"/>
      <w:bookmarkEnd w:id="1197"/>
    </w:p>
    <w:bookmarkEnd w:id="1198"/>
    <w:bookmarkEnd w:id="1199"/>
    <w:bookmarkEnd w:id="1200"/>
    <w:p w14:paraId="0E4CBBC6">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根据合同约定，发包人认为有权得到赔付金额和（或）延长缺陷责任期的，监理人应向承包人发出通知并附有详细的证明。</w:t>
      </w:r>
    </w:p>
    <w:p w14:paraId="191DFCF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2C0B3AD6">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201" w:name="_Toc532377312"/>
      <w:bookmarkStart w:id="1202" w:name="_Toc351203624"/>
      <w:bookmarkStart w:id="1203" w:name="_Toc337558839"/>
      <w:bookmarkStart w:id="1204" w:name="_Toc296346645"/>
      <w:bookmarkStart w:id="1205" w:name="_Toc296503144"/>
      <w:r>
        <w:rPr>
          <w:rFonts w:hint="eastAsia"/>
          <w:color w:val="000000" w:themeColor="text1"/>
          <w:sz w:val="21"/>
          <w:szCs w:val="21"/>
          <w14:textFill>
            <w14:solidFill>
              <w14:schemeClr w14:val="tx1"/>
            </w14:solidFill>
          </w14:textFill>
        </w:rPr>
        <w:t>19.4 对发包人索赔的处理</w:t>
      </w:r>
      <w:bookmarkEnd w:id="1201"/>
      <w:bookmarkEnd w:id="1202"/>
    </w:p>
    <w:bookmarkEnd w:id="1203"/>
    <w:bookmarkEnd w:id="1204"/>
    <w:bookmarkEnd w:id="1205"/>
    <w:p w14:paraId="3AD11535">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对发包人索赔的处理如下：</w:t>
      </w:r>
    </w:p>
    <w:p w14:paraId="00A92B4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（1）承包人收到发包人提交的索赔报告后，应及时审查索赔报告的内容、查验发包人证明材料；</w:t>
      </w:r>
    </w:p>
    <w:p w14:paraId="2D8A7C6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（2）承包人应在收到索赔报告或有关索赔的进一步证明材料后28天内，将索赔处理结果答复发包人。如果承包人未在上述期限内作出答复的，则视为对发包人索赔要求的认可；</w:t>
      </w:r>
    </w:p>
    <w:p w14:paraId="4568E00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（3）承包人接受索赔处理结果的，发包人可从应支付给承包人的合同价款中扣除赔付的金额或延长缺陷责任期；发包人不接受索赔处理结果的，按第20条〔争议解决〕约定处理。</w:t>
      </w:r>
    </w:p>
    <w:p w14:paraId="4785137A">
      <w:pPr>
        <w:pStyle w:val="7"/>
        <w:spacing w:before="0" w:beforeAutospacing="0" w:after="0" w:afterAutospacing="0" w:line="360" w:lineRule="auto"/>
        <w:ind w:firstLine="420" w:firstLineChars="200"/>
        <w:rPr>
          <w:rFonts w:hint="eastAsia"/>
          <w:b w:val="0"/>
          <w:color w:val="000000" w:themeColor="text1"/>
          <w:sz w:val="21"/>
          <w:szCs w:val="21"/>
          <w14:textFill>
            <w14:solidFill>
              <w14:schemeClr w14:val="tx1"/>
            </w14:solidFill>
          </w14:textFill>
        </w:rPr>
      </w:pPr>
      <w:bookmarkStart w:id="1206" w:name="_Toc351203625"/>
      <w:bookmarkStart w:id="1207" w:name="_Toc532377313"/>
      <w:r>
        <w:rPr>
          <w:rFonts w:hint="eastAsia"/>
          <w:b w:val="0"/>
          <w:color w:val="000000" w:themeColor="text1"/>
          <w:sz w:val="21"/>
          <w:szCs w:val="21"/>
          <w14:textFill>
            <w14:solidFill>
              <w14:schemeClr w14:val="tx1"/>
            </w14:solidFill>
          </w14:textFill>
        </w:rPr>
        <w:t>19.5 提出索赔的期限</w:t>
      </w:r>
      <w:bookmarkEnd w:id="1206"/>
      <w:bookmarkEnd w:id="1207"/>
    </w:p>
    <w:p w14:paraId="5ADC0D5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（1）承包人按第14.2款〔竣工结算审核〕约定接收竣工付款证书后，应被视为已无权再提出在工程接收证书颁发前所发生的任何索赔。</w:t>
      </w:r>
    </w:p>
    <w:p w14:paraId="3B7F716D">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（2）承包人按第14.4款〔最终结清〕提交的最终结清申请单中，只限于提出工程接收证书颁发后发生的索赔。提出索赔的期限自接受最终结清证书时终止。</w:t>
      </w:r>
    </w:p>
    <w:p w14:paraId="57D3F95F">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208" w:name="_Toc532375606"/>
      <w:bookmarkStart w:id="1209" w:name="_Toc351203626"/>
      <w:bookmarkStart w:id="1210" w:name="_Toc532377314"/>
      <w:r>
        <w:rPr>
          <w:rFonts w:hint="eastAsia"/>
          <w:color w:val="000000" w:themeColor="text1"/>
          <w:kern w:val="2"/>
          <w:sz w:val="21"/>
          <w:szCs w:val="21"/>
          <w14:textFill>
            <w14:solidFill>
              <w14:schemeClr w14:val="tx1"/>
            </w14:solidFill>
          </w14:textFill>
        </w:rPr>
        <w:t>20</w:t>
      </w:r>
      <w:bookmarkStart w:id="1211" w:name="_Toc296346647"/>
      <w:bookmarkStart w:id="1212" w:name="_Toc296503146"/>
      <w:bookmarkStart w:id="1213" w:name="_Toc337558840"/>
      <w:r>
        <w:rPr>
          <w:rFonts w:hint="eastAsia"/>
          <w:color w:val="000000" w:themeColor="text1"/>
          <w:kern w:val="2"/>
          <w:sz w:val="21"/>
          <w:szCs w:val="21"/>
          <w14:textFill>
            <w14:solidFill>
              <w14:schemeClr w14:val="tx1"/>
            </w14:solidFill>
          </w14:textFill>
        </w:rPr>
        <w:t>. 争议解决</w:t>
      </w:r>
      <w:bookmarkEnd w:id="1208"/>
      <w:bookmarkEnd w:id="1209"/>
      <w:bookmarkEnd w:id="1210"/>
    </w:p>
    <w:bookmarkEnd w:id="1211"/>
    <w:bookmarkEnd w:id="1212"/>
    <w:bookmarkEnd w:id="1213"/>
    <w:p w14:paraId="6973A8F1">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214" w:name="_Toc351203627"/>
      <w:bookmarkStart w:id="1215" w:name="_Toc532377315"/>
      <w:bookmarkStart w:id="1216" w:name="_Toc296346648"/>
      <w:bookmarkStart w:id="1217" w:name="_Toc296503147"/>
      <w:bookmarkStart w:id="1218" w:name="_Toc337558841"/>
      <w:r>
        <w:rPr>
          <w:rFonts w:hint="eastAsia"/>
          <w:color w:val="000000" w:themeColor="text1"/>
          <w:sz w:val="21"/>
          <w:szCs w:val="21"/>
          <w14:textFill>
            <w14:solidFill>
              <w14:schemeClr w14:val="tx1"/>
            </w14:solidFill>
          </w14:textFill>
        </w:rPr>
        <w:t>20.1和解</w:t>
      </w:r>
      <w:bookmarkEnd w:id="1214"/>
      <w:bookmarkEnd w:id="1215"/>
    </w:p>
    <w:bookmarkEnd w:id="1216"/>
    <w:bookmarkEnd w:id="1217"/>
    <w:bookmarkEnd w:id="1218"/>
    <w:p w14:paraId="3F99F53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合同当事人可以就争议自行和解，自行和解达成协议的经双方签名并盖章后作为合同补充文件，双方均应遵照执行。</w:t>
      </w:r>
    </w:p>
    <w:p w14:paraId="3DE398C4">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219" w:name="_Toc351203628"/>
      <w:bookmarkStart w:id="1220" w:name="_Toc532377316"/>
      <w:r>
        <w:rPr>
          <w:rFonts w:hint="eastAsia"/>
          <w:color w:val="000000" w:themeColor="text1"/>
          <w:sz w:val="21"/>
          <w:szCs w:val="21"/>
          <w14:textFill>
            <w14:solidFill>
              <w14:schemeClr w14:val="tx1"/>
            </w14:solidFill>
          </w14:textFill>
        </w:rPr>
        <w:t>20</w:t>
      </w:r>
      <w:bookmarkStart w:id="1221" w:name="_Toc296346649"/>
      <w:bookmarkStart w:id="1222" w:name="_Toc296503148"/>
      <w:bookmarkStart w:id="1223" w:name="_Toc337558842"/>
      <w:r>
        <w:rPr>
          <w:rFonts w:hint="eastAsia"/>
          <w:color w:val="000000" w:themeColor="text1"/>
          <w:sz w:val="21"/>
          <w:szCs w:val="21"/>
          <w14:textFill>
            <w14:solidFill>
              <w14:schemeClr w14:val="tx1"/>
            </w14:solidFill>
          </w14:textFill>
        </w:rPr>
        <w:t>.2调解</w:t>
      </w:r>
      <w:bookmarkEnd w:id="1219"/>
      <w:bookmarkEnd w:id="1220"/>
    </w:p>
    <w:bookmarkEnd w:id="1221"/>
    <w:bookmarkEnd w:id="1222"/>
    <w:bookmarkEnd w:id="1223"/>
    <w:p w14:paraId="771E156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合同当事人可以就争议请求建设行政主管部门、行业协会或其他第三方进行调解，调解达成协议的，经双方签名并盖章后作为合同补充文件，双方均应遵照执行。</w:t>
      </w:r>
    </w:p>
    <w:p w14:paraId="7EBAA51C">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224" w:name="_Toc532377317"/>
      <w:bookmarkStart w:id="1225" w:name="_Toc351203629"/>
      <w:bookmarkStart w:id="1226" w:name="_Toc337558843"/>
      <w:bookmarkStart w:id="1227" w:name="_Toc296503149"/>
      <w:bookmarkStart w:id="1228" w:name="_Toc296346650"/>
      <w:r>
        <w:rPr>
          <w:rFonts w:hint="eastAsia"/>
          <w:color w:val="000000" w:themeColor="text1"/>
          <w:sz w:val="21"/>
          <w:szCs w:val="21"/>
          <w14:textFill>
            <w14:solidFill>
              <w14:schemeClr w14:val="tx1"/>
            </w14:solidFill>
          </w14:textFill>
        </w:rPr>
        <w:t>20.3争议评审</w:t>
      </w:r>
      <w:bookmarkEnd w:id="1224"/>
      <w:bookmarkEnd w:id="1225"/>
    </w:p>
    <w:bookmarkEnd w:id="1226"/>
    <w:bookmarkEnd w:id="1227"/>
    <w:bookmarkEnd w:id="1228"/>
    <w:p w14:paraId="5CEA6639">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合同当事人在专用合同条款中约定采取争议评审方式解决争议以及评审规则，并按下列约定执行： </w:t>
      </w:r>
    </w:p>
    <w:p w14:paraId="7BABA57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20.3.1 争议评审小组的确定</w:t>
      </w:r>
    </w:p>
    <w:p w14:paraId="33B3509A">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合同当事人可以共同选择一名或三名争议评审员，组成争议评审小组。除专用合同条款另有约定外，合同当事人应当自合同签订后28天内，或者争议发生后14天内，选定争议评审员。</w:t>
      </w:r>
    </w:p>
    <w:p w14:paraId="3EE93B4F">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3026C28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除专用合同条款另有约定外，评审员报酬由发包人和承包人各承担一半。</w:t>
      </w:r>
    </w:p>
    <w:p w14:paraId="29F4744C">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20.3.2 争议评审小组的决定</w:t>
      </w:r>
    </w:p>
    <w:p w14:paraId="7EE93132">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478507D4">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20.3.3 争议评审小组决定的效力</w:t>
      </w:r>
    </w:p>
    <w:p w14:paraId="486EDA33">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争议评审小组作出的书面决定经合同当事人签名确认后，对双方具有约束力，双方应遵照执行。</w:t>
      </w:r>
    </w:p>
    <w:p w14:paraId="0B85F92B">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任何一方当事人不接受争议评审小组决定或不履行争议评审小组决定的，双方可选择采用其他争议解决方式。</w:t>
      </w:r>
    </w:p>
    <w:p w14:paraId="2F1E6BEE">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229" w:name="_Toc532377318"/>
      <w:bookmarkStart w:id="1230" w:name="_Toc351203630"/>
      <w:bookmarkStart w:id="1231" w:name="_Toc296503150"/>
      <w:bookmarkStart w:id="1232" w:name="_Toc337558844"/>
      <w:bookmarkStart w:id="1233" w:name="_Toc296346651"/>
      <w:r>
        <w:rPr>
          <w:rFonts w:hint="eastAsia"/>
          <w:color w:val="000000" w:themeColor="text1"/>
          <w:sz w:val="21"/>
          <w:szCs w:val="21"/>
          <w14:textFill>
            <w14:solidFill>
              <w14:schemeClr w14:val="tx1"/>
            </w14:solidFill>
          </w14:textFill>
        </w:rPr>
        <w:t>20.4仲裁或诉讼</w:t>
      </w:r>
      <w:bookmarkEnd w:id="1229"/>
      <w:bookmarkEnd w:id="1230"/>
    </w:p>
    <w:bookmarkEnd w:id="1231"/>
    <w:bookmarkEnd w:id="1232"/>
    <w:bookmarkEnd w:id="1233"/>
    <w:p w14:paraId="30DAED5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因合同及合同有关事项产生的争议，合同当事人可以在专用合同条款中约定以下一种方式解决争议：</w:t>
      </w:r>
    </w:p>
    <w:p w14:paraId="158B8141">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（1）向约定的仲裁委员会申请仲裁；</w:t>
      </w:r>
    </w:p>
    <w:p w14:paraId="4D366BF0">
      <w:pPr>
        <w:autoSpaceDE w:val="0"/>
        <w:autoSpaceDN w:val="0"/>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（2）向有管辖权的人民法院起诉。</w:t>
      </w:r>
    </w:p>
    <w:p w14:paraId="6F9A8D09">
      <w:pPr>
        <w:pStyle w:val="7"/>
        <w:spacing w:before="0" w:beforeAutospacing="0" w:after="0" w:afterAutospacing="0" w:line="360" w:lineRule="auto"/>
        <w:ind w:firstLine="420" w:firstLineChars="200"/>
        <w:rPr>
          <w:rFonts w:hint="eastAsia"/>
          <w:b w:val="0"/>
          <w:color w:val="000000" w:themeColor="text1"/>
          <w:sz w:val="21"/>
          <w:szCs w:val="21"/>
          <w14:textFill>
            <w14:solidFill>
              <w14:schemeClr w14:val="tx1"/>
            </w14:solidFill>
          </w14:textFill>
        </w:rPr>
      </w:pPr>
      <w:bookmarkStart w:id="1234" w:name="_Toc532377319"/>
      <w:bookmarkStart w:id="1235" w:name="_Toc351203631"/>
      <w:bookmarkStart w:id="1236" w:name="_Toc296503152"/>
      <w:bookmarkStart w:id="1237" w:name="_Toc296346653"/>
      <w:bookmarkStart w:id="1238" w:name="_Toc337558845"/>
      <w:r>
        <w:rPr>
          <w:rFonts w:hint="eastAsia"/>
          <w:b w:val="0"/>
          <w:color w:val="000000" w:themeColor="text1"/>
          <w:sz w:val="21"/>
          <w:szCs w:val="21"/>
          <w14:textFill>
            <w14:solidFill>
              <w14:schemeClr w14:val="tx1"/>
            </w14:solidFill>
          </w14:textFill>
        </w:rPr>
        <w:t>20.5争议解决条款效力</w:t>
      </w:r>
      <w:bookmarkEnd w:id="1234"/>
      <w:bookmarkEnd w:id="1235"/>
    </w:p>
    <w:bookmarkEnd w:id="1236"/>
    <w:bookmarkEnd w:id="1237"/>
    <w:bookmarkEnd w:id="1238"/>
    <w:p w14:paraId="04FBBB3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合同有关争议解决的条款独立存在，合同的变更、解除、终止、无效或者被撤销均不影响其效力。</w:t>
      </w:r>
    </w:p>
    <w:p w14:paraId="459227F8">
      <w:pPr>
        <w:keepNext/>
        <w:keepLines/>
        <w:snapToGrid w:val="0"/>
        <w:spacing w:after="260" w:line="360" w:lineRule="auto"/>
        <w:outlineLvl w:val="2"/>
        <w:rPr>
          <w:rFonts w:hint="eastAsia" w:ascii="宋体" w:hAnsi="宋体"/>
          <w:b/>
          <w:bCs/>
          <w:color w:val="000000" w:themeColor="text1"/>
          <w:szCs w:val="21"/>
          <w:lang w:val="zh-CN"/>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br w:type="page"/>
      </w:r>
    </w:p>
    <w:p w14:paraId="56D423E3">
      <w:pPr>
        <w:pStyle w:val="5"/>
        <w:spacing w:before="0"/>
        <w:jc w:val="center"/>
        <w:rPr>
          <w:rFonts w:hint="eastAsia" w:ascii="宋体" w:hAnsi="宋体"/>
          <w:color w:val="000000" w:themeColor="text1"/>
          <w:sz w:val="44"/>
          <w:szCs w:val="44"/>
          <w14:textFill>
            <w14:solidFill>
              <w14:schemeClr w14:val="tx1"/>
            </w14:solidFill>
          </w14:textFill>
        </w:rPr>
      </w:pPr>
      <w:bookmarkStart w:id="1239" w:name="_Toc532375607"/>
      <w:bookmarkStart w:id="1240" w:name="_Toc29664"/>
      <w:bookmarkStart w:id="1241" w:name="_Toc532377320"/>
      <w:bookmarkStart w:id="1242" w:name="_Toc226115592"/>
      <w:bookmarkStart w:id="1243" w:name="_Toc529388290"/>
      <w:r>
        <w:rPr>
          <w:rFonts w:hint="eastAsia" w:ascii="宋体" w:hAnsi="宋体"/>
          <w:color w:val="000000" w:themeColor="text1"/>
          <w:sz w:val="44"/>
          <w:szCs w:val="44"/>
          <w14:textFill>
            <w14:solidFill>
              <w14:schemeClr w14:val="tx1"/>
            </w14:solidFill>
          </w14:textFill>
        </w:rPr>
        <w:t>第三部分 专用合同条款</w:t>
      </w:r>
      <w:bookmarkEnd w:id="1239"/>
      <w:bookmarkEnd w:id="1240"/>
      <w:bookmarkEnd w:id="1241"/>
      <w:bookmarkEnd w:id="1242"/>
      <w:bookmarkEnd w:id="1243"/>
    </w:p>
    <w:bookmarkEnd w:id="639"/>
    <w:p w14:paraId="02D186DB">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244" w:name="招标文件05章工程量清单"/>
      <w:bookmarkEnd w:id="1244"/>
      <w:bookmarkStart w:id="1245" w:name="_Toc532375608"/>
      <w:bookmarkStart w:id="1246" w:name="_Toc351203633"/>
      <w:bookmarkStart w:id="1247" w:name="_Toc532377321"/>
      <w:bookmarkStart w:id="1248" w:name="_Hlk528927191"/>
      <w:bookmarkStart w:id="1249" w:name="_Hlk528928440"/>
      <w:r>
        <w:rPr>
          <w:rFonts w:hint="eastAsia"/>
          <w:color w:val="000000" w:themeColor="text1"/>
          <w:kern w:val="2"/>
          <w:sz w:val="21"/>
          <w:szCs w:val="21"/>
          <w14:textFill>
            <w14:solidFill>
              <w14:schemeClr w14:val="tx1"/>
            </w14:solidFill>
          </w14:textFill>
        </w:rPr>
        <w:t>1</w:t>
      </w:r>
      <w:bookmarkStart w:id="1250" w:name="_Toc296346657"/>
      <w:bookmarkStart w:id="1251" w:name="_Toc296944495"/>
      <w:bookmarkStart w:id="1252" w:name="_Toc296503156"/>
      <w:bookmarkStart w:id="1253" w:name="_Toc296890984"/>
      <w:bookmarkStart w:id="1254" w:name="_Toc296891196"/>
      <w:bookmarkStart w:id="1255" w:name="_Toc292559866"/>
      <w:bookmarkStart w:id="1256" w:name="_Toc297048342"/>
      <w:bookmarkStart w:id="1257" w:name="_Toc296347155"/>
      <w:bookmarkStart w:id="1258" w:name="_Toc292559361"/>
      <w:bookmarkStart w:id="1259" w:name="_Toc297120456"/>
      <w:r>
        <w:rPr>
          <w:rFonts w:hint="eastAsia"/>
          <w:color w:val="000000" w:themeColor="text1"/>
          <w:kern w:val="2"/>
          <w:sz w:val="21"/>
          <w:szCs w:val="21"/>
          <w14:textFill>
            <w14:solidFill>
              <w14:schemeClr w14:val="tx1"/>
            </w14:solidFill>
          </w14:textFill>
        </w:rPr>
        <w:t>. 一般约定</w:t>
      </w:r>
      <w:bookmarkEnd w:id="1245"/>
      <w:bookmarkEnd w:id="1246"/>
      <w:bookmarkEnd w:id="1247"/>
    </w:p>
    <w:bookmarkEnd w:id="1250"/>
    <w:bookmarkEnd w:id="1251"/>
    <w:bookmarkEnd w:id="1252"/>
    <w:bookmarkEnd w:id="1253"/>
    <w:bookmarkEnd w:id="1254"/>
    <w:bookmarkEnd w:id="1255"/>
    <w:bookmarkEnd w:id="1256"/>
    <w:bookmarkEnd w:id="1257"/>
    <w:bookmarkEnd w:id="1258"/>
    <w:bookmarkEnd w:id="1259"/>
    <w:p w14:paraId="358FE271">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260" w:name="_Toc532377322"/>
      <w:r>
        <w:rPr>
          <w:rFonts w:hint="eastAsia"/>
          <w:color w:val="000000" w:themeColor="text1"/>
          <w:sz w:val="21"/>
          <w:szCs w:val="21"/>
          <w14:textFill>
            <w14:solidFill>
              <w14:schemeClr w14:val="tx1"/>
            </w14:solidFill>
          </w14:textFill>
        </w:rPr>
        <w:t>1.1词语定义与解释</w:t>
      </w:r>
      <w:bookmarkEnd w:id="1260"/>
    </w:p>
    <w:p w14:paraId="639B666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 合同</w:t>
      </w:r>
    </w:p>
    <w:p w14:paraId="037CFF12">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1.1.1.6技术标准和要求：</w:t>
      </w:r>
      <w:r>
        <w:rPr>
          <w:rFonts w:hint="eastAsia" w:ascii="宋体" w:hAnsi="宋体"/>
          <w:color w:val="000000" w:themeColor="text1"/>
          <w:kern w:val="0"/>
          <w:szCs w:val="21"/>
          <w:u w:val="single"/>
          <w14:textFill>
            <w14:solidFill>
              <w14:schemeClr w14:val="tx1"/>
            </w14:solidFill>
          </w14:textFill>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color w:val="000000" w:themeColor="text1"/>
          <w:kern w:val="0"/>
          <w:szCs w:val="21"/>
          <w14:textFill>
            <w14:solidFill>
              <w14:schemeClr w14:val="tx1"/>
            </w14:solidFill>
          </w14:textFill>
        </w:rPr>
        <w:t>。</w:t>
      </w:r>
    </w:p>
    <w:p w14:paraId="743FF17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1.1.1.8 已标价工程量清单：</w:t>
      </w:r>
      <w:r>
        <w:rPr>
          <w:rFonts w:hint="eastAsia" w:ascii="宋体" w:hAnsi="宋体"/>
          <w:color w:val="000000" w:themeColor="text1"/>
          <w:kern w:val="0"/>
          <w:szCs w:val="21"/>
          <w:u w:val="single"/>
          <w14:textFill>
            <w14:solidFill>
              <w14:schemeClr w14:val="tx1"/>
            </w14:solidFill>
          </w14:textFill>
        </w:rPr>
        <w:t>指构成合同的由承包人按照发包人规定的格式和要求填写并标明价格、经算术性错误修订及其他错误修订（如有）且承包人已确认的工程量清单</w:t>
      </w:r>
      <w:r>
        <w:rPr>
          <w:rFonts w:hint="eastAsia" w:ascii="宋体" w:hAnsi="宋体"/>
          <w:color w:val="000000" w:themeColor="text1"/>
          <w:kern w:val="0"/>
          <w:szCs w:val="21"/>
          <w14:textFill>
            <w14:solidFill>
              <w14:schemeClr w14:val="tx1"/>
            </w14:solidFill>
          </w14:textFill>
        </w:rPr>
        <w:t>。</w:t>
      </w:r>
    </w:p>
    <w:p w14:paraId="67F560E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1.1.1.10 其他合同文件包括：</w:t>
      </w:r>
      <w:r>
        <w:rPr>
          <w:rFonts w:hint="eastAsia" w:ascii="宋体" w:hAnsi="宋体"/>
          <w:color w:val="000000" w:themeColor="text1"/>
          <w:szCs w:val="21"/>
          <w:u w:val="single"/>
          <w14:textFill>
            <w14:solidFill>
              <w14:schemeClr w14:val="tx1"/>
            </w14:solidFill>
          </w14:textFill>
        </w:rPr>
        <w:t>按照合同协议书</w:t>
      </w:r>
      <w:r>
        <w:rPr>
          <w:rFonts w:hint="eastAsia" w:ascii="宋体" w:hAnsi="宋体"/>
          <w:bCs/>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第六条</w:t>
      </w:r>
      <w:r>
        <w:rPr>
          <w:rFonts w:hint="eastAsia" w:ascii="宋体" w:hAnsi="宋体"/>
          <w:bCs/>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约定执行</w:t>
      </w:r>
      <w:r>
        <w:rPr>
          <w:rFonts w:hint="eastAsia" w:ascii="宋体" w:hAnsi="宋体"/>
          <w:color w:val="000000" w:themeColor="text1"/>
          <w:szCs w:val="21"/>
          <w14:textFill>
            <w14:solidFill>
              <w14:schemeClr w14:val="tx1"/>
            </w14:solidFill>
          </w14:textFill>
        </w:rPr>
        <w:t>。</w:t>
      </w:r>
    </w:p>
    <w:p w14:paraId="224D6298">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本项补充1.1.1.11～1.1.1.16目：</w:t>
      </w:r>
    </w:p>
    <w:p w14:paraId="0E4B0ED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1.1.1.11 竞争性比选文件：</w:t>
      </w:r>
      <w:r>
        <w:rPr>
          <w:rFonts w:hint="eastAsia" w:ascii="宋体" w:hAnsi="宋体"/>
          <w:color w:val="000000" w:themeColor="text1"/>
          <w:kern w:val="0"/>
          <w:szCs w:val="21"/>
          <w:u w:val="single"/>
          <w14:textFill>
            <w14:solidFill>
              <w14:schemeClr w14:val="tx1"/>
            </w14:solidFill>
          </w14:textFill>
        </w:rPr>
        <w:t>指本工程的竞争性比选文件、图纸、其他技术资料及招标人发出的对竞争性比选文件所作的澄清、修改等资料</w:t>
      </w:r>
      <w:r>
        <w:rPr>
          <w:rFonts w:hint="eastAsia" w:ascii="宋体" w:hAnsi="宋体"/>
          <w:color w:val="000000" w:themeColor="text1"/>
          <w:kern w:val="0"/>
          <w:szCs w:val="21"/>
          <w14:textFill>
            <w14:solidFill>
              <w14:schemeClr w14:val="tx1"/>
            </w14:solidFill>
          </w14:textFill>
        </w:rPr>
        <w:t>。</w:t>
      </w:r>
    </w:p>
    <w:p w14:paraId="735A84E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1.1.1.12 工作：</w:t>
      </w:r>
      <w:r>
        <w:rPr>
          <w:rFonts w:hint="eastAsia" w:ascii="宋体" w:hAnsi="宋体"/>
          <w:color w:val="000000" w:themeColor="text1"/>
          <w:kern w:val="0"/>
          <w:szCs w:val="21"/>
          <w:u w:val="single"/>
          <w14:textFill>
            <w14:solidFill>
              <w14:schemeClr w14:val="tx1"/>
            </w14:solidFill>
          </w14:textFill>
        </w:rPr>
        <w:t>指根据合同条款规定，或根据合同合理推及的，为本工程（包括永久工程和临时工程）施工与维护所需要的管理、劳务、材料、施工设备和其他物品的提供</w:t>
      </w:r>
      <w:r>
        <w:rPr>
          <w:rFonts w:hint="eastAsia" w:ascii="宋体" w:hAnsi="宋体"/>
          <w:color w:val="000000" w:themeColor="text1"/>
          <w:kern w:val="0"/>
          <w:szCs w:val="21"/>
          <w14:textFill>
            <w14:solidFill>
              <w14:schemeClr w14:val="tx1"/>
            </w14:solidFill>
          </w14:textFill>
        </w:rPr>
        <w:t>。</w:t>
      </w:r>
    </w:p>
    <w:p w14:paraId="276ACD3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1.1.1.13 重大设计变更：按照规定需要重新报建设行政主管部门批准的设计变更。</w:t>
      </w:r>
    </w:p>
    <w:p w14:paraId="2330C87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1.1.1.</w:t>
      </w:r>
      <w:r>
        <w:rPr>
          <w:rFonts w:hint="eastAsia" w:ascii="宋体" w:hAnsi="宋体"/>
          <w:color w:val="000000" w:themeColor="text1"/>
          <w:szCs w:val="21"/>
          <w14:textFill>
            <w14:solidFill>
              <w14:schemeClr w14:val="tx1"/>
            </w14:solidFill>
          </w14:textFill>
        </w:rPr>
        <w:t>14 公章：专指法定单位名称章</w:t>
      </w:r>
      <w:r>
        <w:rPr>
          <w:rFonts w:ascii="宋体" w:hAnsi="宋体"/>
          <w:color w:val="000000" w:themeColor="text1"/>
          <w:szCs w:val="21"/>
          <w14:textFill>
            <w14:solidFill>
              <w14:schemeClr w14:val="tx1"/>
            </w14:solidFill>
          </w14:textFill>
        </w:rPr>
        <w:t>。</w:t>
      </w:r>
    </w:p>
    <w:bookmarkEnd w:id="1248"/>
    <w:p w14:paraId="1750412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1.1.1.15 到岗：指承包人按照到岗履职承诺安排满足办理施工许可手续相关要求的项目主要管理人员实际到施工现场就职履约的行为。</w:t>
      </w:r>
    </w:p>
    <w:p w14:paraId="7ADD819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1.1.1.16 项目法人：指具有民事权利能力和民事行为能力，依法独立享有民事权利和承担民事义务，以建设项目为目的，从事项目管理的机构、单位或组织。</w:t>
      </w:r>
    </w:p>
    <w:p w14:paraId="0764E08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 合同当事人及其他相关方</w:t>
      </w:r>
    </w:p>
    <w:p w14:paraId="4222775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1.1.2.4 监理人：</w:t>
      </w:r>
    </w:p>
    <w:p w14:paraId="27643215">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名    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07AE607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资质类别和等级：</w:t>
      </w:r>
      <w:r>
        <w:rPr>
          <w:rFonts w:ascii="宋体" w:hAnsi="宋体"/>
          <w:color w:val="000000" w:themeColor="text1"/>
          <w:szCs w:val="21"/>
          <w:u w:val="single"/>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14:paraId="4FA887E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2114AAA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1.1.2.5 设计人：</w:t>
      </w:r>
    </w:p>
    <w:p w14:paraId="61E0A55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名    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3E032F1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资质类别和等级：</w:t>
      </w:r>
      <w:r>
        <w:rPr>
          <w:rFonts w:ascii="宋体" w:hAnsi="宋体"/>
          <w:color w:val="000000" w:themeColor="text1"/>
          <w:szCs w:val="21"/>
          <w:u w:val="single"/>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14:paraId="1AE1C2E5">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1A50407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 工程和设备</w:t>
      </w:r>
    </w:p>
    <w:p w14:paraId="3001771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1.1.3.7 作为施工现场组成部分的其他场所包括：</w:t>
      </w:r>
      <w:r>
        <w:rPr>
          <w:rFonts w:hint="eastAsia" w:ascii="宋体" w:hAnsi="宋体"/>
          <w:color w:val="000000" w:themeColor="text1"/>
          <w:kern w:val="0"/>
          <w:szCs w:val="21"/>
          <w:u w:val="single"/>
          <w14:textFill>
            <w14:solidFill>
              <w14:schemeClr w14:val="tx1"/>
            </w14:solidFill>
          </w14:textFill>
        </w:rPr>
        <w:t>永久占地、临时占地以及为修建临时工程而租用、占用的土地</w:t>
      </w:r>
      <w:r>
        <w:rPr>
          <w:rFonts w:hint="eastAsia" w:ascii="宋体" w:hAnsi="宋体"/>
          <w:color w:val="000000" w:themeColor="text1"/>
          <w:szCs w:val="21"/>
          <w14:textFill>
            <w14:solidFill>
              <w14:schemeClr w14:val="tx1"/>
            </w14:solidFill>
          </w14:textFill>
        </w:rPr>
        <w:t>。</w:t>
      </w:r>
    </w:p>
    <w:p w14:paraId="468842B5">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1.1.3.9 永久占地包括：</w:t>
      </w:r>
      <w:r>
        <w:rPr>
          <w:rFonts w:hint="eastAsia" w:ascii="宋体" w:hAnsi="宋体"/>
          <w:color w:val="000000" w:themeColor="text1"/>
          <w:kern w:val="0"/>
          <w:szCs w:val="21"/>
          <w:u w:val="single"/>
          <w14:textFill>
            <w14:solidFill>
              <w14:schemeClr w14:val="tx1"/>
            </w14:solidFill>
          </w14:textFill>
        </w:rPr>
        <w:t>为实施合同工程而需要的一切永久占用的土地，即合同工程</w:t>
      </w:r>
      <w:r>
        <w:rPr>
          <w:rFonts w:hint="eastAsia" w:ascii="宋体" w:hAnsi="宋体"/>
          <w:color w:val="000000" w:themeColor="text1"/>
          <w:szCs w:val="21"/>
          <w:u w:val="single"/>
          <w14:textFill>
            <w14:solidFill>
              <w14:schemeClr w14:val="tx1"/>
            </w14:solidFill>
          </w14:textFill>
        </w:rPr>
        <w:t>用地红线范围内的土地</w:t>
      </w:r>
      <w:r>
        <w:rPr>
          <w:rFonts w:hint="eastAsia" w:ascii="宋体" w:hAnsi="宋体"/>
          <w:color w:val="000000" w:themeColor="text1"/>
          <w:szCs w:val="21"/>
          <w14:textFill>
            <w14:solidFill>
              <w14:schemeClr w14:val="tx1"/>
            </w14:solidFill>
          </w14:textFill>
        </w:rPr>
        <w:t>。</w:t>
      </w:r>
    </w:p>
    <w:p w14:paraId="0363C9C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1.1.3.10 临时占地包括：</w:t>
      </w:r>
      <w:r>
        <w:rPr>
          <w:rFonts w:hint="eastAsia" w:ascii="宋体" w:hAnsi="宋体"/>
          <w:color w:val="000000" w:themeColor="text1"/>
          <w:szCs w:val="21"/>
          <w:u w:val="single"/>
          <w14:textFill>
            <w14:solidFill>
              <w14:schemeClr w14:val="tx1"/>
            </w14:solidFill>
          </w14:textFill>
        </w:rPr>
        <w:t>为实施合同工程而需要</w:t>
      </w:r>
      <w:r>
        <w:rPr>
          <w:rFonts w:hint="eastAsia" w:ascii="宋体" w:hAnsi="宋体"/>
          <w:color w:val="000000" w:themeColor="text1"/>
          <w:kern w:val="0"/>
          <w:szCs w:val="21"/>
          <w:u w:val="single"/>
          <w14:textFill>
            <w14:solidFill>
              <w14:schemeClr w14:val="tx1"/>
            </w14:solidFill>
          </w14:textFill>
        </w:rPr>
        <w:t>的一切</w:t>
      </w:r>
      <w:r>
        <w:rPr>
          <w:rFonts w:hint="eastAsia" w:ascii="宋体" w:hAnsi="宋体"/>
          <w:color w:val="000000" w:themeColor="text1"/>
          <w:szCs w:val="21"/>
          <w:u w:val="single"/>
          <w14:textFill>
            <w14:solidFill>
              <w14:schemeClr w14:val="tx1"/>
            </w14:solidFill>
          </w14:textFill>
        </w:rPr>
        <w:t>临时占用的土地，包括施工所用的临时便道等的临时出入道，以及生产（办公）、生活等临时设施用地</w:t>
      </w:r>
      <w:r>
        <w:rPr>
          <w:rFonts w:hint="eastAsia" w:ascii="宋体" w:hAnsi="宋体"/>
          <w:color w:val="000000" w:themeColor="text1"/>
          <w:szCs w:val="21"/>
          <w14:textFill>
            <w14:solidFill>
              <w14:schemeClr w14:val="tx1"/>
            </w14:solidFill>
          </w14:textFill>
        </w:rPr>
        <w:t>。</w:t>
      </w:r>
    </w:p>
    <w:p w14:paraId="1450E1B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1.1.6 其他</w:t>
      </w:r>
    </w:p>
    <w:p w14:paraId="44FB36D4">
      <w:pPr>
        <w:spacing w:line="360" w:lineRule="auto"/>
        <w:ind w:firstLine="420" w:firstLineChars="200"/>
        <w:jc w:val="left"/>
        <w:rPr>
          <w:rFonts w:hint="eastAsia" w:ascii="宋体" w:hAnsi="宋体"/>
          <w:color w:val="000000" w:themeColor="text1"/>
          <w:szCs w:val="21"/>
          <w14:textFill>
            <w14:solidFill>
              <w14:schemeClr w14:val="tx1"/>
            </w14:solidFill>
          </w14:textFill>
        </w:rPr>
      </w:pPr>
      <w:bookmarkStart w:id="1261" w:name="_Hlk528927262"/>
      <w:r>
        <w:rPr>
          <w:rFonts w:hint="eastAsia" w:ascii="宋体" w:hAnsi="宋体"/>
          <w:color w:val="000000" w:themeColor="text1"/>
          <w:szCs w:val="21"/>
          <w14:textFill>
            <w14:solidFill>
              <w14:schemeClr w14:val="tx1"/>
            </w14:solidFill>
          </w14:textFill>
        </w:rPr>
        <w:t>本项补充1.1.6.2～1.1.6.3目：</w:t>
      </w:r>
    </w:p>
    <w:p w14:paraId="4DAB156D">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1.1.6.2 转包、违法分包及挂靠：指符合</w:t>
      </w:r>
      <w:r>
        <w:rPr>
          <w:rFonts w:hint="eastAsia" w:ascii="宋体" w:hAnsi="宋体"/>
          <w:color w:val="000000" w:themeColor="text1"/>
          <w:szCs w:val="21"/>
          <w:u w:val="single"/>
          <w14:textFill>
            <w14:solidFill>
              <w14:schemeClr w14:val="tx1"/>
            </w14:solidFill>
          </w14:textFill>
        </w:rPr>
        <w:t>《住房和城乡建设部关于印发建筑工程施工发包与承包违法行为认定查处管理办法的通知》（建市规〔2019〕1号）</w:t>
      </w:r>
      <w:r>
        <w:rPr>
          <w:rFonts w:hint="eastAsia" w:ascii="宋体" w:hAnsi="宋体"/>
          <w:color w:val="000000" w:themeColor="text1"/>
          <w:szCs w:val="21"/>
          <w14:textFill>
            <w14:solidFill>
              <w14:schemeClr w14:val="tx1"/>
            </w14:solidFill>
          </w14:textFill>
        </w:rPr>
        <w:t>规定认定条件的</w:t>
      </w:r>
      <w:r>
        <w:rPr>
          <w:rFonts w:hint="eastAsia" w:ascii="宋体" w:hAnsi="宋体"/>
          <w:color w:val="000000" w:themeColor="text1"/>
          <w:kern w:val="0"/>
          <w:szCs w:val="21"/>
          <w14:textFill>
            <w14:solidFill>
              <w14:schemeClr w14:val="tx1"/>
            </w14:solidFill>
          </w14:textFill>
        </w:rPr>
        <w:t>违法行为</w:t>
      </w:r>
      <w:r>
        <w:rPr>
          <w:rFonts w:hint="eastAsia" w:ascii="宋体" w:hAnsi="宋体"/>
          <w:color w:val="000000" w:themeColor="text1"/>
          <w:szCs w:val="21"/>
          <w14:textFill>
            <w14:solidFill>
              <w14:schemeClr w14:val="tx1"/>
            </w14:solidFill>
          </w14:textFill>
        </w:rPr>
        <w:t>。</w:t>
      </w:r>
    </w:p>
    <w:bookmarkEnd w:id="1261"/>
    <w:p w14:paraId="227A945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1.1.6.3 危险性较大的分部分项工程（以下简称“危大工程”）：指</w:t>
      </w:r>
      <w:r>
        <w:rPr>
          <w:rFonts w:hint="eastAsia" w:ascii="宋体" w:hAnsi="宋体"/>
          <w:color w:val="000000" w:themeColor="text1"/>
          <w:szCs w:val="21"/>
          <w:u w:val="single"/>
          <w14:textFill>
            <w14:solidFill>
              <w14:schemeClr w14:val="tx1"/>
            </w14:solidFill>
          </w14:textFill>
        </w:rPr>
        <w:t>住房和城乡建设部令第37号《危险性较大的分部分项工程安全管理规定》</w:t>
      </w:r>
      <w:r>
        <w:rPr>
          <w:rFonts w:hint="eastAsia" w:ascii="宋体" w:hAnsi="宋体"/>
          <w:color w:val="000000" w:themeColor="text1"/>
          <w:szCs w:val="21"/>
          <w14:textFill>
            <w14:solidFill>
              <w14:schemeClr w14:val="tx1"/>
            </w14:solidFill>
          </w14:textFill>
        </w:rPr>
        <w:t>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5D3976B1">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262" w:name="_Toc532377323"/>
      <w:r>
        <w:rPr>
          <w:rFonts w:hint="eastAsia"/>
          <w:color w:val="000000" w:themeColor="text1"/>
          <w:sz w:val="21"/>
          <w:szCs w:val="21"/>
          <w14:textFill>
            <w14:solidFill>
              <w14:schemeClr w14:val="tx1"/>
            </w14:solidFill>
          </w14:textFill>
        </w:rPr>
        <w:t>1.4 标准和规范</w:t>
      </w:r>
      <w:bookmarkEnd w:id="1262"/>
    </w:p>
    <w:p w14:paraId="7B57338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1.4.1 适用于工程的标准规范包括：</w:t>
      </w:r>
    </w:p>
    <w:p w14:paraId="0F4C1CD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（1）施工图所涉及的技术标准、规范、规程、图集等；</w:t>
      </w:r>
    </w:p>
    <w:p w14:paraId="5C79E489">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（2）国家、行业或重庆市与本工程有关的标准，以及相应的规范、规程等，当这些标准、规范、规程不一致时，以标准、规范、规程要求最高的为准。</w:t>
      </w:r>
    </w:p>
    <w:p w14:paraId="491CCFB9">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5A8D316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1.4.2 发包人提供国外标准、规范的名称：</w:t>
      </w:r>
      <w:r>
        <w:rPr>
          <w:rFonts w:hint="eastAsia" w:ascii="宋体" w:hAnsi="宋体"/>
          <w:color w:val="000000" w:themeColor="text1"/>
          <w:kern w:val="0"/>
          <w:szCs w:val="21"/>
          <w:u w:val="single"/>
          <w14:textFill>
            <w14:solidFill>
              <w14:schemeClr w14:val="tx1"/>
            </w14:solidFill>
          </w14:textFill>
        </w:rPr>
        <w:t xml:space="preserve"> / </w:t>
      </w:r>
      <w:r>
        <w:rPr>
          <w:rFonts w:hint="eastAsia" w:ascii="宋体" w:hAnsi="宋体"/>
          <w:color w:val="000000" w:themeColor="text1"/>
          <w:kern w:val="0"/>
          <w:szCs w:val="21"/>
          <w14:textFill>
            <w14:solidFill>
              <w14:schemeClr w14:val="tx1"/>
            </w14:solidFill>
          </w14:textFill>
        </w:rPr>
        <w:t>；</w:t>
      </w:r>
    </w:p>
    <w:p w14:paraId="4A83A4A1">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发包人提供国外标准、规范的份数：</w:t>
      </w:r>
      <w:r>
        <w:rPr>
          <w:rFonts w:hint="eastAsia" w:ascii="宋体" w:hAnsi="宋体"/>
          <w:color w:val="000000" w:themeColor="text1"/>
          <w:kern w:val="0"/>
          <w:szCs w:val="21"/>
          <w:u w:val="single"/>
          <w14:textFill>
            <w14:solidFill>
              <w14:schemeClr w14:val="tx1"/>
            </w14:solidFill>
          </w14:textFill>
        </w:rPr>
        <w:t xml:space="preserve"> / </w:t>
      </w:r>
      <w:r>
        <w:rPr>
          <w:rFonts w:hint="eastAsia" w:ascii="宋体" w:hAnsi="宋体"/>
          <w:color w:val="000000" w:themeColor="text1"/>
          <w:kern w:val="0"/>
          <w:szCs w:val="21"/>
          <w14:textFill>
            <w14:solidFill>
              <w14:schemeClr w14:val="tx1"/>
            </w14:solidFill>
          </w14:textFill>
        </w:rPr>
        <w:t>；</w:t>
      </w:r>
    </w:p>
    <w:p w14:paraId="1AB65EC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发包人提供国外标准、规范的名称：</w:t>
      </w:r>
      <w:r>
        <w:rPr>
          <w:rFonts w:hint="eastAsia" w:ascii="宋体" w:hAnsi="宋体"/>
          <w:color w:val="000000" w:themeColor="text1"/>
          <w:kern w:val="0"/>
          <w:szCs w:val="21"/>
          <w:u w:val="single"/>
          <w14:textFill>
            <w14:solidFill>
              <w14:schemeClr w14:val="tx1"/>
            </w14:solidFill>
          </w14:textFill>
        </w:rPr>
        <w:t xml:space="preserve"> / </w:t>
      </w:r>
      <w:r>
        <w:rPr>
          <w:rFonts w:hint="eastAsia" w:ascii="宋体" w:hAnsi="宋体"/>
          <w:color w:val="000000" w:themeColor="text1"/>
          <w:kern w:val="0"/>
          <w:szCs w:val="21"/>
          <w14:textFill>
            <w14:solidFill>
              <w14:schemeClr w14:val="tx1"/>
            </w14:solidFill>
          </w14:textFill>
        </w:rPr>
        <w:t>。</w:t>
      </w:r>
    </w:p>
    <w:p w14:paraId="452C34A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1.4.3 发包人对工程的技术标准和功能要求的特殊要求：</w:t>
      </w:r>
      <w:r>
        <w:rPr>
          <w:rFonts w:hint="eastAsia"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2E8C3367">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263" w:name="_Toc532377324"/>
      <w:r>
        <w:rPr>
          <w:rFonts w:hint="eastAsia"/>
          <w:color w:val="000000" w:themeColor="text1"/>
          <w:sz w:val="21"/>
          <w:szCs w:val="21"/>
          <w14:textFill>
            <w14:solidFill>
              <w14:schemeClr w14:val="tx1"/>
            </w14:solidFill>
          </w14:textFill>
        </w:rPr>
        <w:t>1.5 合同文件的优先顺序</w:t>
      </w:r>
      <w:bookmarkEnd w:id="1263"/>
    </w:p>
    <w:p w14:paraId="336C2E4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合同文件组成及优先顺序为：</w:t>
      </w:r>
      <w:r>
        <w:rPr>
          <w:rFonts w:hint="eastAsia" w:ascii="宋体" w:hAnsi="宋体"/>
          <w:color w:val="000000" w:themeColor="text1"/>
          <w:szCs w:val="21"/>
          <w:u w:val="single"/>
          <w14:textFill>
            <w14:solidFill>
              <w14:schemeClr w14:val="tx1"/>
            </w14:solidFill>
          </w14:textFill>
        </w:rPr>
        <w:t>按照合同协议书</w:t>
      </w:r>
      <w:r>
        <w:rPr>
          <w:rFonts w:hint="eastAsia" w:ascii="宋体" w:hAnsi="宋体"/>
          <w:bCs/>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第六条</w:t>
      </w:r>
      <w:r>
        <w:rPr>
          <w:rFonts w:hint="eastAsia" w:ascii="宋体" w:hAnsi="宋体"/>
          <w:bCs/>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约定执行</w:t>
      </w:r>
      <w:r>
        <w:rPr>
          <w:rFonts w:hint="eastAsia" w:ascii="宋体" w:hAnsi="宋体"/>
          <w:color w:val="000000" w:themeColor="text1"/>
          <w:szCs w:val="21"/>
          <w14:textFill>
            <w14:solidFill>
              <w14:schemeClr w14:val="tx1"/>
            </w14:solidFill>
          </w14:textFill>
        </w:rPr>
        <w:t>。</w:t>
      </w:r>
    </w:p>
    <w:p w14:paraId="62AF1EB4">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264" w:name="_Toc532377325"/>
      <w:r>
        <w:rPr>
          <w:rFonts w:hint="eastAsia"/>
          <w:color w:val="000000" w:themeColor="text1"/>
          <w:sz w:val="21"/>
          <w:szCs w:val="21"/>
          <w14:textFill>
            <w14:solidFill>
              <w14:schemeClr w14:val="tx1"/>
            </w14:solidFill>
          </w14:textFill>
        </w:rPr>
        <w:t>1.6 图纸和承包人文件</w:t>
      </w:r>
      <w:bookmarkEnd w:id="1264"/>
    </w:p>
    <w:p w14:paraId="25FA731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1.6.1 图纸的提供和交底</w:t>
      </w:r>
    </w:p>
    <w:p w14:paraId="4DF195F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发包人向承包人提供图纸的期限：</w:t>
      </w:r>
      <w:r>
        <w:rPr>
          <w:rFonts w:hint="eastAsia" w:ascii="宋体" w:hAnsi="宋体"/>
          <w:color w:val="000000" w:themeColor="text1"/>
          <w:szCs w:val="21"/>
          <w:u w:val="single"/>
          <w14:textFill>
            <w14:solidFill>
              <w14:schemeClr w14:val="tx1"/>
            </w14:solidFill>
          </w14:textFill>
        </w:rPr>
        <w:t>通用合同条款第7.3.2款</w:t>
      </w:r>
      <w:r>
        <w:rPr>
          <w:rFonts w:hint="eastAsia" w:ascii="宋体" w:hAnsi="宋体"/>
          <w:bCs/>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开工通知</w:t>
      </w:r>
      <w:r>
        <w:rPr>
          <w:rFonts w:hint="eastAsia" w:ascii="宋体" w:hAnsi="宋体"/>
          <w:bCs/>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载明的开工日期前14天</w:t>
      </w:r>
      <w:r>
        <w:rPr>
          <w:rFonts w:hint="eastAsia" w:ascii="宋体" w:hAnsi="宋体"/>
          <w:color w:val="000000" w:themeColor="text1"/>
          <w:szCs w:val="21"/>
          <w14:textFill>
            <w14:solidFill>
              <w14:schemeClr w14:val="tx1"/>
            </w14:solidFill>
          </w14:textFill>
        </w:rPr>
        <w:t>；</w:t>
      </w:r>
    </w:p>
    <w:p w14:paraId="16ECF01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发包人向承包人提供图纸的数量：</w:t>
      </w:r>
      <w:r>
        <w:rPr>
          <w:rFonts w:hint="eastAsia" w:ascii="宋体" w:hAnsi="宋体"/>
          <w:color w:val="000000" w:themeColor="text1"/>
          <w:szCs w:val="21"/>
          <w:u w:val="single"/>
          <w14:textFill>
            <w14:solidFill>
              <w14:schemeClr w14:val="tx1"/>
            </w14:solidFill>
          </w14:textFill>
        </w:rPr>
        <w:t>3套</w:t>
      </w:r>
      <w:r>
        <w:rPr>
          <w:rFonts w:hint="eastAsia" w:ascii="宋体" w:hAnsi="宋体"/>
          <w:color w:val="000000" w:themeColor="text1"/>
          <w:szCs w:val="21"/>
          <w14:textFill>
            <w14:solidFill>
              <w14:schemeClr w14:val="tx1"/>
            </w14:solidFill>
          </w14:textFill>
        </w:rPr>
        <w:t xml:space="preserve">； </w:t>
      </w:r>
    </w:p>
    <w:p w14:paraId="498233E7">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发包人向承包人提供图纸的内容：</w:t>
      </w:r>
      <w:r>
        <w:rPr>
          <w:rFonts w:hint="eastAsia" w:ascii="宋体" w:hAnsi="宋体"/>
          <w:color w:val="000000" w:themeColor="text1"/>
          <w:szCs w:val="21"/>
          <w:u w:val="single"/>
          <w14:textFill>
            <w14:solidFill>
              <w14:schemeClr w14:val="tx1"/>
            </w14:solidFill>
          </w14:textFill>
        </w:rPr>
        <w:t>工程承包范围内工程的施工图设计文件</w:t>
      </w:r>
      <w:r>
        <w:rPr>
          <w:rFonts w:hint="eastAsia" w:ascii="宋体" w:hAnsi="宋体"/>
          <w:color w:val="000000" w:themeColor="text1"/>
          <w:szCs w:val="21"/>
          <w14:textFill>
            <w14:solidFill>
              <w14:schemeClr w14:val="tx1"/>
            </w14:solidFill>
          </w14:textFill>
        </w:rPr>
        <w:t>；</w:t>
      </w:r>
    </w:p>
    <w:p w14:paraId="78F3D050">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发包人组织承包人、监理人和设计人进行图纸会审和设计交底的时间：</w:t>
      </w:r>
      <w:r>
        <w:rPr>
          <w:rFonts w:hint="eastAsia" w:ascii="宋体" w:hAnsi="宋体"/>
          <w:color w:val="000000" w:themeColor="text1"/>
          <w:szCs w:val="21"/>
          <w:u w:val="single"/>
          <w14:textFill>
            <w14:solidFill>
              <w14:schemeClr w14:val="tx1"/>
            </w14:solidFill>
          </w14:textFill>
        </w:rPr>
        <w:t>提供施工图后7天内</w:t>
      </w:r>
      <w:r>
        <w:rPr>
          <w:rFonts w:hint="eastAsia" w:ascii="宋体" w:hAnsi="宋体"/>
          <w:color w:val="000000" w:themeColor="text1"/>
          <w:szCs w:val="21"/>
          <w14:textFill>
            <w14:solidFill>
              <w14:schemeClr w14:val="tx1"/>
            </w14:solidFill>
          </w14:textFill>
        </w:rPr>
        <w:t>。</w:t>
      </w:r>
    </w:p>
    <w:p w14:paraId="72094F2F">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承包人可以书面方式通过监理人向发包人申请进行紧急的设计交底，发包人认为确有必要且条件许可时，应尽快组织实施承包人申请的设计交底。</w:t>
      </w:r>
    </w:p>
    <w:p w14:paraId="6B374CCD">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1.6.2 图纸的错误</w:t>
      </w:r>
    </w:p>
    <w:p w14:paraId="4E3BE42D">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788F8D84">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承包人不得利用图纸的差错、遗漏或缺陷，从中获得不正当的利益。</w:t>
      </w:r>
    </w:p>
    <w:p w14:paraId="075FBB6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1.6.4 承包人文件</w:t>
      </w:r>
    </w:p>
    <w:p w14:paraId="60257375">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需要由承包人提供的书面文件，包括：</w:t>
      </w:r>
      <w:r>
        <w:rPr>
          <w:rFonts w:hint="eastAsia" w:ascii="宋体" w:hAnsi="宋体"/>
          <w:color w:val="000000" w:themeColor="text1"/>
          <w:szCs w:val="21"/>
          <w:u w:val="single"/>
          <w14:textFill>
            <w14:solidFill>
              <w14:schemeClr w14:val="tx1"/>
            </w14:solidFill>
          </w14:textFill>
        </w:rPr>
        <w:t>施工组织设计、专项施工方案、</w:t>
      </w:r>
      <w:r>
        <w:rPr>
          <w:rFonts w:ascii="宋体" w:hAnsi="宋体"/>
          <w:color w:val="000000" w:themeColor="text1"/>
          <w:szCs w:val="21"/>
          <w:u w:val="single"/>
          <w14:textFill>
            <w14:solidFill>
              <w14:schemeClr w14:val="tx1"/>
            </w14:solidFill>
          </w14:textFill>
        </w:rPr>
        <w:t>危险性较大分部分项工程施工方案</w:t>
      </w:r>
      <w:r>
        <w:rPr>
          <w:rFonts w:hint="eastAsia" w:ascii="宋体" w:hAnsi="宋体"/>
          <w:color w:val="000000" w:themeColor="text1"/>
          <w:szCs w:val="21"/>
          <w:u w:val="single"/>
          <w14:textFill>
            <w14:solidFill>
              <w14:schemeClr w14:val="tx1"/>
            </w14:solidFill>
          </w14:textFill>
        </w:rPr>
        <w:t>（如有）、安全应急方案、进度计划、报表及计划、竣工资料及施工过程中因工程变更需要报送的施工方案、施工过程中涉及工程价款变更的相关资料、完整的竣工结算资料等</w:t>
      </w:r>
      <w:r>
        <w:rPr>
          <w:rFonts w:hint="eastAsia" w:ascii="宋体" w:hAnsi="宋体"/>
          <w:color w:val="000000" w:themeColor="text1"/>
          <w:szCs w:val="21"/>
          <w14:textFill>
            <w14:solidFill>
              <w14:schemeClr w14:val="tx1"/>
            </w14:solidFill>
          </w14:textFill>
        </w:rPr>
        <w:t>。</w:t>
      </w:r>
    </w:p>
    <w:p w14:paraId="2CFBCEA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承包人提供文件的期限、数量：</w:t>
      </w:r>
    </w:p>
    <w:p w14:paraId="7C2D8CC0">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u w:val="single"/>
          <w14:textFill>
            <w14:solidFill>
              <w14:schemeClr w14:val="tx1"/>
            </w14:solidFill>
          </w14:textFill>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color w:val="000000" w:themeColor="text1"/>
          <w:szCs w:val="21"/>
          <w14:textFill>
            <w14:solidFill>
              <w14:schemeClr w14:val="tx1"/>
            </w14:solidFill>
          </w14:textFill>
        </w:rPr>
        <w:t>。</w:t>
      </w:r>
    </w:p>
    <w:p w14:paraId="693B648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szCs w:val="21"/>
          <w:u w:val="single"/>
          <w14:textFill>
            <w14:solidFill>
              <w14:schemeClr w14:val="tx1"/>
            </w14:solidFill>
          </w14:textFill>
        </w:rPr>
        <w:t>每月25日前报送月工程进度完成报表</w:t>
      </w:r>
      <w:r>
        <w:rPr>
          <w:rFonts w:hint="eastAsia" w:ascii="宋体" w:hAnsi="宋体"/>
          <w:color w:val="000000" w:themeColor="text1"/>
          <w:szCs w:val="21"/>
          <w14:textFill>
            <w14:solidFill>
              <w14:schemeClr w14:val="tx1"/>
            </w14:solidFill>
          </w14:textFill>
        </w:rPr>
        <w:t>。</w:t>
      </w:r>
    </w:p>
    <w:p w14:paraId="32926D0A">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（3）合同另有约定的，按照其约定。</w:t>
      </w:r>
    </w:p>
    <w:p w14:paraId="32BCDCD6">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承包人提供的文件的形式：以书面文件为准。监理人审批承包人文件的期限：</w:t>
      </w:r>
      <w:r>
        <w:rPr>
          <w:rFonts w:hint="eastAsia" w:ascii="宋体" w:hAnsi="宋体"/>
          <w:color w:val="000000" w:themeColor="text1"/>
          <w:szCs w:val="21"/>
          <w:u w:val="single"/>
          <w14:textFill>
            <w14:solidFill>
              <w14:schemeClr w14:val="tx1"/>
            </w14:solidFill>
          </w14:textFill>
        </w:rPr>
        <w:t>收到施工组织设计和工程总体进度计划及当年年度施工进度计划后7天内；合同另有约定的，从其约定</w:t>
      </w:r>
      <w:r>
        <w:rPr>
          <w:rFonts w:hint="eastAsia" w:ascii="宋体" w:hAnsi="宋体"/>
          <w:color w:val="000000" w:themeColor="text1"/>
          <w:szCs w:val="21"/>
          <w14:textFill>
            <w14:solidFill>
              <w14:schemeClr w14:val="tx1"/>
            </w14:solidFill>
          </w14:textFill>
        </w:rPr>
        <w:t>。</w:t>
      </w:r>
    </w:p>
    <w:p w14:paraId="4272186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承包人提供的文件的费用：</w:t>
      </w:r>
      <w:r>
        <w:rPr>
          <w:rFonts w:hint="eastAsia" w:ascii="宋体" w:hAnsi="宋体"/>
          <w:color w:val="000000" w:themeColor="text1"/>
          <w:szCs w:val="21"/>
          <w:u w:val="single"/>
          <w14:textFill>
            <w14:solidFill>
              <w14:schemeClr w14:val="tx1"/>
            </w14:solidFill>
          </w14:textFill>
        </w:rPr>
        <w:t>由承包人承担</w:t>
      </w:r>
      <w:r>
        <w:rPr>
          <w:rFonts w:hint="eastAsia" w:ascii="宋体" w:hAnsi="宋体"/>
          <w:color w:val="000000" w:themeColor="text1"/>
          <w:szCs w:val="21"/>
          <w14:textFill>
            <w14:solidFill>
              <w14:schemeClr w14:val="tx1"/>
            </w14:solidFill>
          </w14:textFill>
        </w:rPr>
        <w:t>。</w:t>
      </w:r>
    </w:p>
    <w:p w14:paraId="199A82AA">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发包人审批承包人文件的期限：</w:t>
      </w:r>
      <w:r>
        <w:rPr>
          <w:rFonts w:hint="eastAsia" w:ascii="宋体" w:hAnsi="宋体"/>
          <w:color w:val="000000" w:themeColor="text1"/>
          <w:szCs w:val="21"/>
          <w:u w:val="single"/>
          <w14:textFill>
            <w14:solidFill>
              <w14:schemeClr w14:val="tx1"/>
            </w14:solidFill>
          </w14:textFill>
        </w:rPr>
        <w:t>收到后14天内；合同另有约定的，从其约定</w:t>
      </w:r>
      <w:r>
        <w:rPr>
          <w:rFonts w:hint="eastAsia" w:ascii="宋体" w:hAnsi="宋体"/>
          <w:color w:val="000000" w:themeColor="text1"/>
          <w:szCs w:val="21"/>
          <w14:textFill>
            <w14:solidFill>
              <w14:schemeClr w14:val="tx1"/>
            </w14:solidFill>
          </w14:textFill>
        </w:rPr>
        <w:t>。</w:t>
      </w:r>
    </w:p>
    <w:p w14:paraId="436645E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监理人、发包人的修改意见和审批，不免除或减轻承包人对该工作、工程、材料、工程设备等应承担的责任和义务</w:t>
      </w:r>
      <w:r>
        <w:rPr>
          <w:rFonts w:hint="eastAsia" w:ascii="宋体" w:hAnsi="宋体"/>
          <w:color w:val="000000" w:themeColor="text1"/>
          <w:szCs w:val="21"/>
          <w14:textFill>
            <w14:solidFill>
              <w14:schemeClr w14:val="tx1"/>
            </w14:solidFill>
          </w14:textFill>
        </w:rPr>
        <w:t>。</w:t>
      </w:r>
    </w:p>
    <w:p w14:paraId="22A10747">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265" w:name="_Toc532377326"/>
      <w:r>
        <w:rPr>
          <w:rFonts w:hint="eastAsia"/>
          <w:color w:val="000000" w:themeColor="text1"/>
          <w:sz w:val="21"/>
          <w:szCs w:val="21"/>
          <w14:textFill>
            <w14:solidFill>
              <w14:schemeClr w14:val="tx1"/>
            </w14:solidFill>
          </w14:textFill>
        </w:rPr>
        <w:t>1.7 联络</w:t>
      </w:r>
      <w:bookmarkEnd w:id="1265"/>
    </w:p>
    <w:p w14:paraId="137B8263">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1.7.1 发包人和承包人应当在</w:t>
      </w:r>
      <w:r>
        <w:rPr>
          <w:rFonts w:hint="eastAsia" w:ascii="宋体" w:hAnsi="宋体"/>
          <w:color w:val="000000" w:themeColor="text1"/>
          <w:szCs w:val="21"/>
          <w:u w:val="single"/>
          <w14:textFill>
            <w14:solidFill>
              <w14:schemeClr w14:val="tx1"/>
            </w14:solidFill>
          </w14:textFill>
        </w:rPr>
        <w:t xml:space="preserve"> 1 </w:t>
      </w:r>
      <w:r>
        <w:rPr>
          <w:rFonts w:hint="eastAsia" w:ascii="宋体" w:hAnsi="宋体"/>
          <w:color w:val="000000" w:themeColor="text1"/>
          <w:kern w:val="0"/>
          <w:szCs w:val="21"/>
          <w14:textFill>
            <w14:solidFill>
              <w14:schemeClr w14:val="tx1"/>
            </w14:solidFill>
          </w14:textFill>
        </w:rPr>
        <w:t>天内将与合同有关的通知、批准、证明、证书、指示、指令、要求、请求、同意、意见、确定和决定等书面函件送达对方当事人，并办理书面签收手续。</w:t>
      </w:r>
    </w:p>
    <w:p w14:paraId="0B4EE8C0">
      <w:pPr>
        <w:tabs>
          <w:tab w:val="left" w:pos="7513"/>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1.7.2 发包人接收文件地点：</w:t>
      </w:r>
      <w:r>
        <w:rPr>
          <w:rFonts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w:t>
      </w:r>
    </w:p>
    <w:p w14:paraId="005FF396">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发包人指定的接收人：</w:t>
      </w:r>
      <w:bookmarkStart w:id="1266" w:name="_Hlk528493983"/>
      <w:bookmarkEnd w:id="1266"/>
      <w:r>
        <w:rPr>
          <w:rFonts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w:t>
      </w:r>
    </w:p>
    <w:p w14:paraId="52A4781E">
      <w:pPr>
        <w:tabs>
          <w:tab w:val="left" w:pos="7513"/>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承包人接收文件地点：</w:t>
      </w:r>
      <w:r>
        <w:rPr>
          <w:rFonts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w:t>
      </w:r>
    </w:p>
    <w:p w14:paraId="169E92D9">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承包人指定的接收人：</w:t>
      </w:r>
      <w:r>
        <w:rPr>
          <w:rFonts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w:t>
      </w:r>
    </w:p>
    <w:p w14:paraId="05DFFB2D">
      <w:pPr>
        <w:tabs>
          <w:tab w:val="left" w:pos="7371"/>
        </w:tabs>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监理人接收文件地点：</w:t>
      </w:r>
      <w:r>
        <w:rPr>
          <w:rFonts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w:t>
      </w:r>
    </w:p>
    <w:p w14:paraId="414F9A6F">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监理人指定的接收人：</w:t>
      </w:r>
      <w:r>
        <w:rPr>
          <w:rFonts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w:t>
      </w:r>
    </w:p>
    <w:p w14:paraId="490DD28C">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267" w:name="_Toc532377327"/>
      <w:r>
        <w:rPr>
          <w:rFonts w:hint="eastAsia"/>
          <w:color w:val="000000" w:themeColor="text1"/>
          <w:sz w:val="21"/>
          <w:szCs w:val="21"/>
          <w14:textFill>
            <w14:solidFill>
              <w14:schemeClr w14:val="tx1"/>
            </w14:solidFill>
          </w14:textFill>
        </w:rPr>
        <w:t>1.8 严禁贿赂</w:t>
      </w:r>
      <w:bookmarkEnd w:id="1267"/>
    </w:p>
    <w:p w14:paraId="1214698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本款补充以下内容：</w:t>
      </w:r>
    </w:p>
    <w:p w14:paraId="17DDED56">
      <w:pPr>
        <w:spacing w:line="360" w:lineRule="auto"/>
        <w:ind w:firstLine="420" w:firstLineChars="200"/>
        <w:jc w:val="left"/>
        <w:rPr>
          <w:rFonts w:hint="eastAsia" w:ascii="宋体" w:hAnsi="宋体"/>
          <w:color w:val="000000" w:themeColor="text1"/>
          <w:kern w:val="0"/>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在合同执行过程中，合同当事人应严格履行附件8《廉洁从业协议》。</w:t>
      </w:r>
    </w:p>
    <w:p w14:paraId="148F2839">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268" w:name="_Toc532377328"/>
      <w:r>
        <w:rPr>
          <w:rFonts w:hint="eastAsia"/>
          <w:color w:val="000000" w:themeColor="text1"/>
          <w:sz w:val="21"/>
          <w:szCs w:val="21"/>
          <w14:textFill>
            <w14:solidFill>
              <w14:schemeClr w14:val="tx1"/>
            </w14:solidFill>
          </w14:textFill>
        </w:rPr>
        <w:t>1.10 交通运输</w:t>
      </w:r>
      <w:bookmarkEnd w:id="1268"/>
    </w:p>
    <w:p w14:paraId="7BBE226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bookmarkStart w:id="1269" w:name="_Toc303539100"/>
      <w:bookmarkStart w:id="1270" w:name="_Toc318581155"/>
      <w:bookmarkStart w:id="1271" w:name="_Toc300934943"/>
      <w:bookmarkStart w:id="1272" w:name="_Toc312677986"/>
      <w:bookmarkStart w:id="1273" w:name="_Toc304295521"/>
      <w:r>
        <w:rPr>
          <w:rFonts w:hint="eastAsia" w:ascii="宋体" w:hAnsi="宋体"/>
          <w:color w:val="000000" w:themeColor="text1"/>
          <w:szCs w:val="21"/>
          <w14:textFill>
            <w14:solidFill>
              <w14:schemeClr w14:val="tx1"/>
            </w14:solidFill>
          </w14:textFill>
        </w:rPr>
        <w:t>.10.1 出入现场的权利</w:t>
      </w:r>
    </w:p>
    <w:p w14:paraId="117CECD7">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关于出入现场的权利的约定：</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bookmarkEnd w:id="1269"/>
    <w:bookmarkEnd w:id="1270"/>
    <w:bookmarkEnd w:id="1271"/>
    <w:bookmarkEnd w:id="1272"/>
    <w:bookmarkEnd w:id="1273"/>
    <w:p w14:paraId="6DD4C15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1.10.2 场外交通</w:t>
      </w:r>
    </w:p>
    <w:p w14:paraId="7FEF0F44">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承包人应遵守有关交通法规，执行有关道路限速、限行、禁止超载的规定，并配合交通管理部门的监督和检查。场外交通以施工场地移交时的现状为准。</w:t>
      </w:r>
    </w:p>
    <w:p w14:paraId="53D5410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bookmarkStart w:id="1274" w:name="_Toc300934944"/>
      <w:bookmarkStart w:id="1275" w:name="_Toc318581156"/>
      <w:bookmarkStart w:id="1276" w:name="_Toc303539101"/>
      <w:bookmarkStart w:id="1277" w:name="_Toc304295522"/>
      <w:bookmarkStart w:id="1278" w:name="_Toc312677987"/>
      <w:r>
        <w:rPr>
          <w:rFonts w:hint="eastAsia" w:ascii="宋体" w:hAnsi="宋体"/>
          <w:color w:val="000000" w:themeColor="text1"/>
          <w:szCs w:val="21"/>
          <w14:textFill>
            <w14:solidFill>
              <w14:schemeClr w14:val="tx1"/>
            </w14:solidFill>
          </w14:textFill>
        </w:rPr>
        <w:t>.10.3 场内交通</w:t>
      </w:r>
    </w:p>
    <w:p w14:paraId="589A843B">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关于场外交通和场内交通的边界的约定：</w:t>
      </w:r>
      <w:r>
        <w:rPr>
          <w:rFonts w:hint="eastAsia" w:ascii="宋体" w:hAnsi="宋体"/>
          <w:color w:val="000000" w:themeColor="text1"/>
          <w:szCs w:val="21"/>
          <w:u w:val="single"/>
          <w14:textFill>
            <w14:solidFill>
              <w14:schemeClr w14:val="tx1"/>
            </w14:solidFill>
          </w14:textFill>
        </w:rPr>
        <w:t>以合同工程用地红线为界，用地红线外为场外交通，用地红线范围内为场内交通（场外道路穿越场内的除外）</w:t>
      </w:r>
      <w:r>
        <w:rPr>
          <w:rFonts w:hint="eastAsia" w:ascii="宋体" w:hAnsi="宋体"/>
          <w:color w:val="000000" w:themeColor="text1"/>
          <w:szCs w:val="21"/>
          <w14:textFill>
            <w14:solidFill>
              <w14:schemeClr w14:val="tx1"/>
            </w14:solidFill>
          </w14:textFill>
        </w:rPr>
        <w:t>。</w:t>
      </w:r>
    </w:p>
    <w:p w14:paraId="70A58FC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关于发包人向承包人免费提供满足工程施工需要的场内道路和交通设施的约定：</w:t>
      </w:r>
      <w:r>
        <w:rPr>
          <w:rFonts w:hint="eastAsia" w:ascii="宋体" w:hAnsi="宋体"/>
          <w:color w:val="000000" w:themeColor="text1"/>
          <w:kern w:val="0"/>
          <w:szCs w:val="21"/>
          <w:u w:val="single"/>
          <w14:textFill>
            <w14:solidFill>
              <w14:schemeClr w14:val="tx1"/>
            </w14:solidFill>
          </w14:textFill>
        </w:rPr>
        <w:t>以施工场地移交时的现状为准</w:t>
      </w:r>
      <w:r>
        <w:rPr>
          <w:rFonts w:hint="eastAsia" w:ascii="宋体" w:hAnsi="宋体"/>
          <w:color w:val="000000" w:themeColor="text1"/>
          <w:szCs w:val="21"/>
          <w14:textFill>
            <w14:solidFill>
              <w14:schemeClr w14:val="tx1"/>
            </w14:solidFill>
          </w14:textFill>
        </w:rPr>
        <w:t>。</w:t>
      </w:r>
    </w:p>
    <w:bookmarkEnd w:id="1274"/>
    <w:bookmarkEnd w:id="1275"/>
    <w:bookmarkEnd w:id="1276"/>
    <w:bookmarkEnd w:id="1277"/>
    <w:bookmarkEnd w:id="1278"/>
    <w:p w14:paraId="3EA1D117">
      <w:pPr>
        <w:spacing w:line="360" w:lineRule="auto"/>
        <w:ind w:firstLine="420" w:firstLineChars="200"/>
        <w:jc w:val="left"/>
        <w:rPr>
          <w:rFonts w:hint="eastAsia" w:ascii="宋体" w:hAnsi="宋体"/>
          <w:color w:val="000000" w:themeColor="text1"/>
          <w:szCs w:val="21"/>
          <w14:textFill>
            <w14:solidFill>
              <w14:schemeClr w14:val="tx1"/>
            </w14:solidFill>
          </w14:textFill>
        </w:rPr>
      </w:pPr>
      <w:bookmarkStart w:id="1279" w:name="_Toc318581157"/>
      <w:r>
        <w:rPr>
          <w:rFonts w:hint="eastAsia" w:ascii="宋体" w:hAnsi="宋体"/>
          <w:color w:val="000000" w:themeColor="text1"/>
          <w:szCs w:val="21"/>
          <w14:textFill>
            <w14:solidFill>
              <w14:schemeClr w14:val="tx1"/>
            </w14:solidFill>
          </w14:textFill>
        </w:rPr>
        <w:t>1.10.4 超大件和超重件的运输</w:t>
      </w:r>
    </w:p>
    <w:p w14:paraId="44D7867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运输超大件或超重件所需的道路和桥梁临时加固改造费用和其他有关费用由</w:t>
      </w:r>
      <w:r>
        <w:rPr>
          <w:rFonts w:hint="eastAsia" w:ascii="宋体" w:hAnsi="宋体"/>
          <w:color w:val="000000" w:themeColor="text1"/>
          <w:szCs w:val="21"/>
          <w:u w:val="single"/>
          <w14:textFill>
            <w14:solidFill>
              <w14:schemeClr w14:val="tx1"/>
            </w14:solidFill>
          </w14:textFill>
        </w:rPr>
        <w:t>发包人</w:t>
      </w:r>
      <w:r>
        <w:rPr>
          <w:rFonts w:hint="eastAsia" w:ascii="宋体" w:hAnsi="宋体"/>
          <w:color w:val="000000" w:themeColor="text1"/>
          <w:szCs w:val="21"/>
          <w14:textFill>
            <w14:solidFill>
              <w14:schemeClr w14:val="tx1"/>
            </w14:solidFill>
          </w14:textFill>
        </w:rPr>
        <w:t>承担。</w:t>
      </w:r>
    </w:p>
    <w:bookmarkEnd w:id="1279"/>
    <w:p w14:paraId="4B7725A1">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280" w:name="_Toc532377329"/>
      <w:r>
        <w:rPr>
          <w:rFonts w:hint="eastAsia"/>
          <w:color w:val="000000" w:themeColor="text1"/>
          <w:sz w:val="21"/>
          <w:szCs w:val="21"/>
          <w14:textFill>
            <w14:solidFill>
              <w14:schemeClr w14:val="tx1"/>
            </w14:solidFill>
          </w14:textFill>
        </w:rPr>
        <w:t>1.11 知识产权</w:t>
      </w:r>
      <w:bookmarkEnd w:id="1280"/>
    </w:p>
    <w:p w14:paraId="7E9E53F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1.11.1 关于发包人提供给承包人的图纸、发包人为实施工程自行编制或委托编制的技术规范以及反映发包人关于合同要求或其他类似性质的文件的著作权的归属：</w:t>
      </w:r>
      <w:r>
        <w:rPr>
          <w:rFonts w:hint="eastAsia" w:ascii="宋体" w:hAnsi="宋体"/>
          <w:color w:val="000000" w:themeColor="text1"/>
          <w:szCs w:val="21"/>
          <w:u w:val="single"/>
          <w14:textFill>
            <w14:solidFill>
              <w14:schemeClr w14:val="tx1"/>
            </w14:solidFill>
          </w14:textFill>
        </w:rPr>
        <w:t>属于发包人</w:t>
      </w:r>
      <w:r>
        <w:rPr>
          <w:rFonts w:hint="eastAsia" w:ascii="宋体" w:hAnsi="宋体"/>
          <w:color w:val="000000" w:themeColor="text1"/>
          <w:szCs w:val="21"/>
          <w14:textFill>
            <w14:solidFill>
              <w14:schemeClr w14:val="tx1"/>
            </w14:solidFill>
          </w14:textFill>
        </w:rPr>
        <w:t>。</w:t>
      </w:r>
    </w:p>
    <w:p w14:paraId="7E68D16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关于发包人提供的上述文件的使用限制的要求：</w:t>
      </w:r>
      <w:r>
        <w:rPr>
          <w:rFonts w:hint="eastAsia" w:ascii="宋体" w:hAnsi="宋体"/>
          <w:color w:val="000000" w:themeColor="text1"/>
          <w:szCs w:val="21"/>
          <w:u w:val="single"/>
          <w14:textFill>
            <w14:solidFill>
              <w14:schemeClr w14:val="tx1"/>
            </w14:solidFill>
          </w14:textFill>
        </w:rPr>
        <w:t>按通用合同条款执行</w:t>
      </w:r>
      <w:r>
        <w:rPr>
          <w:rFonts w:hint="eastAsia" w:ascii="宋体" w:hAnsi="宋体"/>
          <w:color w:val="000000" w:themeColor="text1"/>
          <w:szCs w:val="21"/>
          <w14:textFill>
            <w14:solidFill>
              <w14:schemeClr w14:val="tx1"/>
            </w14:solidFill>
          </w14:textFill>
        </w:rPr>
        <w:t>。</w:t>
      </w:r>
    </w:p>
    <w:p w14:paraId="0CC3FB2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1.11.4 承包人在施工过程中所采用的专利、专有技术、技术秘密的使用费的承担方式：</w:t>
      </w:r>
      <w:r>
        <w:rPr>
          <w:rFonts w:hint="eastAsia" w:ascii="宋体" w:hAnsi="宋体"/>
          <w:color w:val="000000" w:themeColor="text1"/>
          <w:szCs w:val="21"/>
          <w:u w:val="single"/>
          <w14:textFill>
            <w14:solidFill>
              <w14:schemeClr w14:val="tx1"/>
            </w14:solidFill>
          </w14:textFill>
        </w:rPr>
        <w:t xml:space="preserve">  由承包人负责 </w:t>
      </w:r>
      <w:r>
        <w:rPr>
          <w:rFonts w:hint="eastAsia" w:ascii="宋体" w:hAnsi="宋体"/>
          <w:color w:val="000000" w:themeColor="text1"/>
          <w:szCs w:val="21"/>
          <w14:textFill>
            <w14:solidFill>
              <w14:schemeClr w14:val="tx1"/>
            </w14:solidFill>
          </w14:textFill>
        </w:rPr>
        <w:t>。</w:t>
      </w:r>
    </w:p>
    <w:p w14:paraId="4C6DF1B5">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281" w:name="_Toc351203634"/>
      <w:bookmarkStart w:id="1282" w:name="_Toc532375609"/>
      <w:bookmarkStart w:id="1283" w:name="_Toc532377331"/>
      <w:r>
        <w:rPr>
          <w:rFonts w:hint="eastAsia"/>
          <w:color w:val="000000" w:themeColor="text1"/>
          <w:kern w:val="2"/>
          <w:sz w:val="21"/>
          <w:szCs w:val="21"/>
          <w14:textFill>
            <w14:solidFill>
              <w14:schemeClr w14:val="tx1"/>
            </w14:solidFill>
          </w14:textFill>
        </w:rPr>
        <w:t>2</w:t>
      </w:r>
      <w:bookmarkStart w:id="1284" w:name="_Toc296890985"/>
      <w:bookmarkStart w:id="1285" w:name="_Toc296347156"/>
      <w:bookmarkStart w:id="1286" w:name="_Toc292559362"/>
      <w:bookmarkStart w:id="1287" w:name="_Toc292559867"/>
      <w:bookmarkStart w:id="1288" w:name="_Toc297120457"/>
      <w:bookmarkStart w:id="1289" w:name="_Toc296891197"/>
      <w:bookmarkStart w:id="1290" w:name="_Toc296346658"/>
      <w:bookmarkStart w:id="1291" w:name="_Toc297048343"/>
      <w:bookmarkStart w:id="1292" w:name="_Toc296503157"/>
      <w:bookmarkStart w:id="1293" w:name="_Toc296944496"/>
      <w:r>
        <w:rPr>
          <w:rFonts w:hint="eastAsia"/>
          <w:color w:val="000000" w:themeColor="text1"/>
          <w:kern w:val="2"/>
          <w:sz w:val="21"/>
          <w:szCs w:val="21"/>
          <w14:textFill>
            <w14:solidFill>
              <w14:schemeClr w14:val="tx1"/>
            </w14:solidFill>
          </w14:textFill>
        </w:rPr>
        <w:t>. 发包人</w:t>
      </w:r>
      <w:bookmarkEnd w:id="1281"/>
      <w:bookmarkEnd w:id="1282"/>
      <w:bookmarkEnd w:id="1283"/>
    </w:p>
    <w:bookmarkEnd w:id="1284"/>
    <w:bookmarkEnd w:id="1285"/>
    <w:bookmarkEnd w:id="1286"/>
    <w:bookmarkEnd w:id="1287"/>
    <w:bookmarkEnd w:id="1288"/>
    <w:bookmarkEnd w:id="1289"/>
    <w:bookmarkEnd w:id="1290"/>
    <w:bookmarkEnd w:id="1291"/>
    <w:bookmarkEnd w:id="1292"/>
    <w:bookmarkEnd w:id="1293"/>
    <w:p w14:paraId="59D015C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2.2.1 发包人代表</w:t>
      </w:r>
    </w:p>
    <w:p w14:paraId="260D4EC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发包人代表：</w:t>
      </w:r>
    </w:p>
    <w:p w14:paraId="45323C2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    名：</w:t>
      </w:r>
      <w:r>
        <w:rPr>
          <w:rFonts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3B856F3D">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身份证号：</w:t>
      </w:r>
      <w:r>
        <w:rPr>
          <w:rFonts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70001EA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    务：</w:t>
      </w:r>
      <w:r>
        <w:rPr>
          <w:rFonts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5859E91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r>
        <w:rPr>
          <w:rFonts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3CFFF91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    编：</w:t>
      </w:r>
      <w:r>
        <w:rPr>
          <w:rFonts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6155D03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发包人对发包人代表的授权范围如下：</w:t>
      </w:r>
      <w:r>
        <w:rPr>
          <w:rFonts w:hint="eastAsia" w:ascii="宋体" w:hAnsi="宋体"/>
          <w:color w:val="000000" w:themeColor="text1"/>
          <w:szCs w:val="21"/>
          <w:u w:val="single"/>
          <w14:textFill>
            <w14:solidFill>
              <w14:schemeClr w14:val="tx1"/>
            </w14:solidFill>
          </w14:textFill>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color w:val="000000" w:themeColor="text1"/>
          <w:szCs w:val="21"/>
          <w14:textFill>
            <w14:solidFill>
              <w14:schemeClr w14:val="tx1"/>
            </w14:solidFill>
          </w14:textFill>
        </w:rPr>
        <w:t>。</w:t>
      </w:r>
    </w:p>
    <w:p w14:paraId="18F2B3C5">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294" w:name="_Toc532377332"/>
      <w:r>
        <w:rPr>
          <w:rFonts w:hint="eastAsia"/>
          <w:color w:val="000000" w:themeColor="text1"/>
          <w:sz w:val="21"/>
          <w:szCs w:val="21"/>
          <w14:textFill>
            <w14:solidFill>
              <w14:schemeClr w14:val="tx1"/>
            </w14:solidFill>
          </w14:textFill>
        </w:rPr>
        <w:t>2.4 施工现场、施工条件和基础资料的提供</w:t>
      </w:r>
      <w:bookmarkEnd w:id="1294"/>
    </w:p>
    <w:p w14:paraId="33D47205">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2.4.1 提供施工现场</w:t>
      </w:r>
    </w:p>
    <w:p w14:paraId="6405BCF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2.4.1.1 提供场地：</w:t>
      </w:r>
    </w:p>
    <w:p w14:paraId="5F87E92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施工场地的提供采用以下第</w:t>
      </w:r>
      <w:r>
        <w:rPr>
          <w:rFonts w:hint="eastAsia" w:ascii="宋体" w:hAnsi="宋体"/>
          <w:color w:val="000000" w:themeColor="text1"/>
          <w:szCs w:val="21"/>
          <w:u w:val="single"/>
          <w14:textFill>
            <w14:solidFill>
              <w14:schemeClr w14:val="tx1"/>
            </w14:solidFill>
          </w14:textFill>
        </w:rPr>
        <w:t xml:space="preserve"> （1） </w:t>
      </w:r>
      <w:r>
        <w:rPr>
          <w:rFonts w:hint="eastAsia" w:ascii="宋体" w:hAnsi="宋体"/>
          <w:color w:val="000000" w:themeColor="text1"/>
          <w:szCs w:val="21"/>
          <w14:textFill>
            <w14:solidFill>
              <w14:schemeClr w14:val="tx1"/>
            </w14:solidFill>
          </w14:textFill>
        </w:rPr>
        <w:t>种方式：</w:t>
      </w:r>
    </w:p>
    <w:p w14:paraId="678254D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（1）一次提供全部施工场地：发包人于</w:t>
      </w:r>
      <w:r>
        <w:rPr>
          <w:rFonts w:hint="eastAsia" w:ascii="宋体" w:hAnsi="宋体"/>
          <w:color w:val="000000" w:themeColor="text1"/>
          <w:szCs w:val="21"/>
          <w:u w:val="single"/>
          <w14:textFill>
            <w14:solidFill>
              <w14:schemeClr w14:val="tx1"/>
            </w14:solidFill>
          </w14:textFill>
        </w:rPr>
        <w:t>开工</w:t>
      </w:r>
      <w:r>
        <w:rPr>
          <w:rFonts w:hint="eastAsia" w:ascii="宋体" w:hAnsi="宋体"/>
          <w:color w:val="000000" w:themeColor="text1"/>
          <w:szCs w:val="21"/>
          <w14:textFill>
            <w14:solidFill>
              <w14:schemeClr w14:val="tx1"/>
            </w14:solidFill>
          </w14:textFill>
        </w:rPr>
        <w:t>前向承包人提供合同工程用地红线范围内的施工场地。</w:t>
      </w:r>
    </w:p>
    <w:p w14:paraId="2F7FDFD7">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（2）分次提供全部施工场地：</w:t>
      </w:r>
      <w:r>
        <w:rPr>
          <w:rFonts w:hint="eastAsia" w:ascii="宋体" w:hAnsi="宋体"/>
          <w:color w:val="000000" w:themeColor="text1"/>
          <w:szCs w:val="21"/>
          <w:u w:val="single"/>
          <w14:textFill>
            <w14:solidFill>
              <w14:schemeClr w14:val="tx1"/>
            </w14:solidFill>
          </w14:textFill>
        </w:rPr>
        <w:t>发包人按约定的时间分次向承包人提供合同工程用地红线范围内的施工场地</w:t>
      </w:r>
      <w:r>
        <w:rPr>
          <w:rFonts w:hint="eastAsia" w:ascii="宋体" w:hAnsi="宋体"/>
          <w:color w:val="000000" w:themeColor="text1"/>
          <w:szCs w:val="21"/>
          <w14:textFill>
            <w14:solidFill>
              <w14:schemeClr w14:val="tx1"/>
            </w14:solidFill>
          </w14:textFill>
        </w:rPr>
        <w:t>。</w:t>
      </w:r>
    </w:p>
    <w:p w14:paraId="1308653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承包人编制的施工组织计划已充分考虑了施工场地提供的因素</w:t>
      </w:r>
      <w:r>
        <w:rPr>
          <w:rFonts w:hint="eastAsia" w:ascii="宋体" w:hAnsi="宋体"/>
          <w:color w:val="000000" w:themeColor="text1"/>
          <w:szCs w:val="21"/>
          <w14:textFill>
            <w14:solidFill>
              <w14:schemeClr w14:val="tx1"/>
            </w14:solidFill>
          </w14:textFill>
        </w:rPr>
        <w:t>。</w:t>
      </w:r>
    </w:p>
    <w:p w14:paraId="0C6F4F7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color w:val="000000" w:themeColor="text1"/>
          <w:szCs w:val="21"/>
          <w14:textFill>
            <w14:solidFill>
              <w14:schemeClr w14:val="tx1"/>
            </w14:solidFill>
          </w14:textFill>
        </w:rPr>
        <w:t>。</w:t>
      </w:r>
    </w:p>
    <w:p w14:paraId="6B4C79F5">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2.4.2 提供施工条件</w:t>
      </w:r>
    </w:p>
    <w:p w14:paraId="6DF1F49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关于发包人应负责提供施工所需要的条件：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3EABA15A">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295" w:name="_Toc532377333"/>
      <w:r>
        <w:rPr>
          <w:rFonts w:hint="eastAsia"/>
          <w:color w:val="000000" w:themeColor="text1"/>
          <w:sz w:val="21"/>
          <w:szCs w:val="21"/>
          <w14:textFill>
            <w14:solidFill>
              <w14:schemeClr w14:val="tx1"/>
            </w14:solidFill>
          </w14:textFill>
        </w:rPr>
        <w:t>2.5 资金来源证明及支付担保</w:t>
      </w:r>
      <w:bookmarkEnd w:id="1295"/>
    </w:p>
    <w:p w14:paraId="140D9BB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发包人提供资金来源证明的期限要求：</w:t>
      </w:r>
      <w:r>
        <w:rPr>
          <w:rFonts w:hint="eastAsia" w:ascii="宋体" w:hAnsi="宋体"/>
          <w:color w:val="000000" w:themeColor="text1"/>
          <w:szCs w:val="21"/>
          <w:u w:val="single"/>
          <w14:textFill>
            <w14:solidFill>
              <w14:schemeClr w14:val="tx1"/>
            </w14:solidFill>
          </w14:textFill>
        </w:rPr>
        <w:t>不采用</w:t>
      </w:r>
      <w:r>
        <w:rPr>
          <w:rFonts w:hint="eastAsia" w:ascii="宋体" w:hAnsi="宋体"/>
          <w:color w:val="000000" w:themeColor="text1"/>
          <w:szCs w:val="21"/>
          <w14:textFill>
            <w14:solidFill>
              <w14:schemeClr w14:val="tx1"/>
            </w14:solidFill>
          </w14:textFill>
        </w:rPr>
        <w:t>。</w:t>
      </w:r>
    </w:p>
    <w:p w14:paraId="464E562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发包人是否提供支付担保：</w:t>
      </w:r>
      <w:r>
        <w:rPr>
          <w:rFonts w:hint="eastAsia" w:ascii="宋体" w:hAnsi="宋体"/>
          <w:color w:val="000000" w:themeColor="text1"/>
          <w:szCs w:val="21"/>
          <w:u w:val="single"/>
          <w14:textFill>
            <w14:solidFill>
              <w14:schemeClr w14:val="tx1"/>
            </w14:solidFill>
          </w14:textFill>
        </w:rPr>
        <w:t>不提供</w:t>
      </w:r>
      <w:r>
        <w:rPr>
          <w:rFonts w:hint="eastAsia" w:ascii="宋体" w:hAnsi="宋体"/>
          <w:color w:val="000000" w:themeColor="text1"/>
          <w:szCs w:val="21"/>
          <w14:textFill>
            <w14:solidFill>
              <w14:schemeClr w14:val="tx1"/>
            </w14:solidFill>
          </w14:textFill>
        </w:rPr>
        <w:t>。</w:t>
      </w:r>
    </w:p>
    <w:p w14:paraId="6901C9F2">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296" w:name="_Toc532375610"/>
      <w:bookmarkStart w:id="1297" w:name="_Toc351203635"/>
      <w:bookmarkStart w:id="1298" w:name="_Toc532377334"/>
      <w:r>
        <w:rPr>
          <w:rFonts w:hint="eastAsia"/>
          <w:color w:val="000000" w:themeColor="text1"/>
          <w:kern w:val="2"/>
          <w:sz w:val="21"/>
          <w:szCs w:val="21"/>
          <w14:textFill>
            <w14:solidFill>
              <w14:schemeClr w14:val="tx1"/>
            </w14:solidFill>
          </w14:textFill>
        </w:rPr>
        <w:t>3</w:t>
      </w:r>
      <w:bookmarkStart w:id="1299" w:name="_Toc296944497"/>
      <w:bookmarkStart w:id="1300" w:name="_Toc297048344"/>
      <w:bookmarkStart w:id="1301" w:name="_Toc296347157"/>
      <w:bookmarkStart w:id="1302" w:name="_Toc296503158"/>
      <w:bookmarkStart w:id="1303" w:name="_Toc296891198"/>
      <w:bookmarkStart w:id="1304" w:name="_Toc292559363"/>
      <w:bookmarkStart w:id="1305" w:name="_Toc296346659"/>
      <w:bookmarkStart w:id="1306" w:name="_Toc297120458"/>
      <w:bookmarkStart w:id="1307" w:name="_Toc296890986"/>
      <w:bookmarkStart w:id="1308" w:name="_Toc292559868"/>
      <w:r>
        <w:rPr>
          <w:rFonts w:hint="eastAsia"/>
          <w:color w:val="000000" w:themeColor="text1"/>
          <w:kern w:val="2"/>
          <w:sz w:val="21"/>
          <w:szCs w:val="21"/>
          <w14:textFill>
            <w14:solidFill>
              <w14:schemeClr w14:val="tx1"/>
            </w14:solidFill>
          </w14:textFill>
        </w:rPr>
        <w:t>. 承包人</w:t>
      </w:r>
      <w:bookmarkEnd w:id="1296"/>
      <w:bookmarkEnd w:id="1297"/>
      <w:bookmarkEnd w:id="1298"/>
    </w:p>
    <w:bookmarkEnd w:id="1299"/>
    <w:bookmarkEnd w:id="1300"/>
    <w:bookmarkEnd w:id="1301"/>
    <w:bookmarkEnd w:id="1302"/>
    <w:bookmarkEnd w:id="1303"/>
    <w:bookmarkEnd w:id="1304"/>
    <w:bookmarkEnd w:id="1305"/>
    <w:bookmarkEnd w:id="1306"/>
    <w:bookmarkEnd w:id="1307"/>
    <w:bookmarkEnd w:id="1308"/>
    <w:p w14:paraId="62B21AC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309" w:name="_Toc532377335"/>
      <w:r>
        <w:rPr>
          <w:rFonts w:hint="eastAsia"/>
          <w:color w:val="000000" w:themeColor="text1"/>
          <w:sz w:val="21"/>
          <w:szCs w:val="21"/>
          <w14:textFill>
            <w14:solidFill>
              <w14:schemeClr w14:val="tx1"/>
            </w14:solidFill>
          </w14:textFill>
        </w:rPr>
        <w:t>3.1 承包人的一般义务</w:t>
      </w:r>
      <w:bookmarkEnd w:id="1309"/>
    </w:p>
    <w:p w14:paraId="7F3083D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本款细化为3.1.1～3.1.10项：</w:t>
      </w:r>
    </w:p>
    <w:p w14:paraId="694B177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3.1.1办理法律规定和合同约定应由承包人办理的许可和批准，并将办理结果书面报送发包人留存；协助发包人办理施工所需的工程质量监督、安全监督、施工许可证等相关证件及手续。</w:t>
      </w:r>
    </w:p>
    <w:p w14:paraId="4ECAF60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0892077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292F339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5A3B6EF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462A22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3.1.6按照第6.3款〔环境保护〕约定负责施工场地及其周边环境与生态的保护工作。</w:t>
      </w:r>
    </w:p>
    <w:p w14:paraId="0E83986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3.1.7按照第6.1款〔安全文明施工〕约定采取施工安全措施，确保工程及其人员、材料、设备和设施的安全，防止因工程施工造成的人身伤害和财产损失。</w:t>
      </w:r>
    </w:p>
    <w:p w14:paraId="4CE9D730">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3.1.8将发包人按合同约定支付的各项价款专用于合同工程，且应及时支付其雇用人员工资，并及时向分包人支付合同价款。</w:t>
      </w:r>
    </w:p>
    <w:p w14:paraId="27AEEFF8">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3.1.9承包人提交的竣工资料的内容：</w:t>
      </w:r>
      <w:r>
        <w:rPr>
          <w:rFonts w:hint="eastAsia" w:ascii="宋体" w:hAnsi="宋体"/>
          <w:color w:val="000000" w:themeColor="text1"/>
          <w:szCs w:val="21"/>
          <w:u w:val="single"/>
          <w14:textFill>
            <w14:solidFill>
              <w14:schemeClr w14:val="tx1"/>
            </w14:solidFill>
          </w14:textFill>
        </w:rPr>
        <w:t>工程施工技术资料、工程质量保证资料、工程检验评定资料、竣工图及其他应交资料，应符合《建设工程文件归档整理规范（2019年版）》（GB/T50328-2014）和重庆市有关文件规定</w:t>
      </w:r>
      <w:r>
        <w:rPr>
          <w:rFonts w:hint="eastAsia" w:ascii="宋体" w:hAnsi="宋体"/>
          <w:color w:val="000000" w:themeColor="text1"/>
          <w:szCs w:val="21"/>
          <w14:textFill>
            <w14:solidFill>
              <w14:schemeClr w14:val="tx1"/>
            </w14:solidFill>
          </w14:textFill>
        </w:rPr>
        <w:t>。</w:t>
      </w:r>
    </w:p>
    <w:p w14:paraId="3F517A0C">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承包人需要提交的竣工资料套数：完整竣工资料一式</w:t>
      </w:r>
      <w:r>
        <w:rPr>
          <w:rFonts w:hint="eastAsia" w:ascii="宋体" w:hAnsi="宋体"/>
          <w:color w:val="000000" w:themeColor="text1"/>
          <w:szCs w:val="21"/>
          <w:u w:val="single"/>
          <w14:textFill>
            <w14:solidFill>
              <w14:schemeClr w14:val="tx1"/>
            </w14:solidFill>
          </w14:textFill>
        </w:rPr>
        <w:t xml:space="preserve"> 3 </w:t>
      </w:r>
      <w:r>
        <w:rPr>
          <w:rFonts w:hint="eastAsia" w:ascii="宋体" w:hAnsi="宋体"/>
          <w:color w:val="000000" w:themeColor="text1"/>
          <w:szCs w:val="21"/>
          <w14:textFill>
            <w14:solidFill>
              <w14:schemeClr w14:val="tx1"/>
            </w14:solidFill>
          </w14:textFill>
        </w:rPr>
        <w:t>套（含电子文档）。</w:t>
      </w:r>
    </w:p>
    <w:p w14:paraId="0235C02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承包人提交的竣工资料的费用承担：</w:t>
      </w:r>
      <w:r>
        <w:rPr>
          <w:rFonts w:hint="eastAsia" w:ascii="宋体" w:hAnsi="宋体"/>
          <w:color w:val="000000" w:themeColor="text1"/>
          <w:szCs w:val="21"/>
          <w:u w:val="single"/>
          <w14:textFill>
            <w14:solidFill>
              <w14:schemeClr w14:val="tx1"/>
            </w14:solidFill>
          </w14:textFill>
        </w:rPr>
        <w:t>由承包人承担</w:t>
      </w:r>
      <w:r>
        <w:rPr>
          <w:rFonts w:hint="eastAsia" w:ascii="宋体" w:hAnsi="宋体"/>
          <w:color w:val="000000" w:themeColor="text1"/>
          <w:szCs w:val="21"/>
          <w14:textFill>
            <w14:solidFill>
              <w14:schemeClr w14:val="tx1"/>
            </w14:solidFill>
          </w14:textFill>
        </w:rPr>
        <w:t>。</w:t>
      </w:r>
    </w:p>
    <w:p w14:paraId="4434F46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承包人提交的竣工资料移交时间：</w:t>
      </w:r>
      <w:r>
        <w:rPr>
          <w:rFonts w:hint="eastAsia" w:ascii="宋体" w:hAnsi="宋体"/>
          <w:color w:val="000000" w:themeColor="text1"/>
          <w:szCs w:val="21"/>
          <w:u w:val="single"/>
          <w14:textFill>
            <w14:solidFill>
              <w14:schemeClr w14:val="tx1"/>
            </w14:solidFill>
          </w14:textFill>
        </w:rPr>
        <w:t>工程竣工验收合格后1个月内移交给发包人</w:t>
      </w:r>
      <w:r>
        <w:rPr>
          <w:rFonts w:hint="eastAsia" w:ascii="宋体" w:hAnsi="宋体"/>
          <w:color w:val="000000" w:themeColor="text1"/>
          <w:szCs w:val="21"/>
          <w14:textFill>
            <w14:solidFill>
              <w14:schemeClr w14:val="tx1"/>
            </w14:solidFill>
          </w14:textFill>
        </w:rPr>
        <w:t>。</w:t>
      </w:r>
    </w:p>
    <w:p w14:paraId="216BDCE7">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承包人提交的竣工资料形式要求：</w:t>
      </w:r>
      <w:r>
        <w:rPr>
          <w:rFonts w:hint="eastAsia" w:ascii="宋体" w:hAnsi="宋体"/>
          <w:color w:val="000000" w:themeColor="text1"/>
          <w:szCs w:val="21"/>
          <w:u w:val="single"/>
          <w14:textFill>
            <w14:solidFill>
              <w14:schemeClr w14:val="tx1"/>
            </w14:solidFill>
          </w14:textFill>
        </w:rPr>
        <w:t>完整的书面文件及电子文档</w:t>
      </w:r>
      <w:r>
        <w:rPr>
          <w:rFonts w:hint="eastAsia" w:ascii="宋体" w:hAnsi="宋体"/>
          <w:color w:val="000000" w:themeColor="text1"/>
          <w:szCs w:val="21"/>
          <w14:textFill>
            <w14:solidFill>
              <w14:schemeClr w14:val="tx1"/>
            </w14:solidFill>
          </w14:textFill>
        </w:rPr>
        <w:t>。</w:t>
      </w:r>
    </w:p>
    <w:p w14:paraId="2C876FB7">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3.1.10承包人应履行的其他义务：</w:t>
      </w:r>
    </w:p>
    <w:p w14:paraId="5A20030D">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3.1.10.1在开始施工之前，承包人应核查、复测本工程的各种基准标志。承包人应及时将上述基准标志中存在的错误、不完整或其他缺陷通知发包人，以便发包人核实后重新确认。</w:t>
      </w:r>
    </w:p>
    <w:p w14:paraId="2E022A4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60C0843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3386AC1D">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3.1.10.4承包人应服从发包人要求的管理模式、工作方式和工作要求，同时接受监理人的管理和全程监督，配合项目结、决算的办理。</w:t>
      </w:r>
    </w:p>
    <w:p w14:paraId="10FC87B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3.1.10.5</w:t>
      </w:r>
      <w:r>
        <w:rPr>
          <w:rFonts w:hint="eastAsia" w:ascii="宋体" w:hAnsi="宋体"/>
          <w:color w:val="000000" w:themeColor="text1"/>
          <w:szCs w:val="21"/>
          <w:u w:val="single"/>
          <w14:textFill>
            <w14:solidFill>
              <w14:schemeClr w14:val="tx1"/>
            </w14:solidFill>
          </w14:textFill>
        </w:rPr>
        <w:t>承包人应为本工程开立专用账户，接受发包人的监管</w:t>
      </w:r>
      <w:r>
        <w:rPr>
          <w:rFonts w:hint="eastAsia" w:ascii="宋体" w:hAnsi="宋体"/>
          <w:color w:val="000000" w:themeColor="text1"/>
          <w:szCs w:val="21"/>
          <w14:textFill>
            <w14:solidFill>
              <w14:schemeClr w14:val="tx1"/>
            </w14:solidFill>
          </w14:textFill>
        </w:rPr>
        <w:t>。</w:t>
      </w:r>
    </w:p>
    <w:p w14:paraId="1780FC34">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3.1.10.6</w:t>
      </w:r>
      <w:r>
        <w:rPr>
          <w:rFonts w:hint="eastAsia" w:ascii="宋体" w:hAnsi="宋体"/>
          <w:color w:val="000000" w:themeColor="text1"/>
          <w:szCs w:val="21"/>
          <w:u w:val="single"/>
          <w14:textFill>
            <w14:solidFill>
              <w14:schemeClr w14:val="tx1"/>
            </w14:solidFill>
          </w14:textFill>
        </w:rPr>
        <w:t xml:space="preserve">        。</w:t>
      </w:r>
    </w:p>
    <w:p w14:paraId="4090EDDB">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310" w:name="_Toc532377336"/>
      <w:r>
        <w:rPr>
          <w:rFonts w:hint="eastAsia"/>
          <w:color w:val="000000" w:themeColor="text1"/>
          <w:sz w:val="21"/>
          <w:szCs w:val="21"/>
          <w14:textFill>
            <w14:solidFill>
              <w14:schemeClr w14:val="tx1"/>
            </w14:solidFill>
          </w14:textFill>
        </w:rPr>
        <w:t>3.2 项目经理</w:t>
      </w:r>
      <w:bookmarkEnd w:id="1310"/>
    </w:p>
    <w:p w14:paraId="7D1BC01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3.2.1 </w:t>
      </w:r>
      <w:r>
        <w:rPr>
          <w:rFonts w:hint="eastAsia" w:ascii="宋体" w:hAnsi="宋体"/>
          <w:color w:val="000000" w:themeColor="text1"/>
          <w:szCs w:val="21"/>
          <w14:textFill>
            <w14:solidFill>
              <w14:schemeClr w14:val="tx1"/>
            </w14:solidFill>
          </w14:textFill>
        </w:rPr>
        <w:t>项目经理：</w:t>
      </w:r>
    </w:p>
    <w:p w14:paraId="42D318D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    名：</w:t>
      </w:r>
      <w:r>
        <w:rPr>
          <w:rFonts w:ascii="宋体" w:hAnsi="宋体"/>
          <w:color w:val="000000" w:themeColor="text1"/>
          <w:szCs w:val="21"/>
          <w:u w:val="single"/>
          <w14:textFill>
            <w14:solidFill>
              <w14:schemeClr w14:val="tx1"/>
            </w14:solidFill>
          </w14:textFill>
        </w:rPr>
        <w:t xml:space="preserve">                          </w:t>
      </w:r>
      <w:r>
        <w:rPr>
          <w:rFonts w:hint="eastAsia" w:ascii="宋体" w:hAnsi="宋体"/>
          <w:color w:val="000000" w:themeColor="text1"/>
          <w:szCs w:val="21"/>
          <w14:textFill>
            <w14:solidFill>
              <w14:schemeClr w14:val="tx1"/>
            </w14:solidFill>
          </w14:textFill>
        </w:rPr>
        <w:t>；</w:t>
      </w:r>
    </w:p>
    <w:p w14:paraId="62120ED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身份证号：</w:t>
      </w:r>
      <w:r>
        <w:rPr>
          <w:rFonts w:ascii="宋体" w:hAnsi="宋体"/>
          <w:color w:val="000000" w:themeColor="text1"/>
          <w:szCs w:val="21"/>
          <w:u w:val="single"/>
          <w14:textFill>
            <w14:solidFill>
              <w14:schemeClr w14:val="tx1"/>
            </w14:solidFill>
          </w14:textFill>
        </w:rPr>
        <w:t>                    </w:t>
      </w:r>
      <w:r>
        <w:rPr>
          <w:rFonts w:hint="eastAsia" w:ascii="宋体" w:hAnsi="宋体"/>
          <w:color w:val="000000" w:themeColor="text1"/>
          <w:szCs w:val="21"/>
          <w14:textFill>
            <w14:solidFill>
              <w14:schemeClr w14:val="tx1"/>
            </w14:solidFill>
          </w14:textFill>
        </w:rPr>
        <w:t>；</w:t>
      </w:r>
    </w:p>
    <w:p w14:paraId="15EEEDE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建造师执业资格等级：</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721B7C5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建造师注册证书号：</w:t>
      </w:r>
      <w:r>
        <w:rPr>
          <w:rFonts w:ascii="宋体" w:hAnsi="宋体"/>
          <w:color w:val="000000" w:themeColor="text1"/>
          <w:szCs w:val="21"/>
          <w:u w:val="single"/>
          <w14:textFill>
            <w14:solidFill>
              <w14:schemeClr w14:val="tx1"/>
            </w14:solidFill>
          </w14:textFill>
        </w:rPr>
        <w:t>       </w:t>
      </w:r>
      <w:r>
        <w:rPr>
          <w:rFonts w:hint="eastAsia" w:ascii="宋体" w:hAnsi="宋体"/>
          <w:color w:val="000000" w:themeColor="text1"/>
          <w:szCs w:val="21"/>
          <w14:textFill>
            <w14:solidFill>
              <w14:schemeClr w14:val="tx1"/>
            </w14:solidFill>
          </w14:textFill>
        </w:rPr>
        <w:t>；</w:t>
      </w:r>
    </w:p>
    <w:p w14:paraId="140FE23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建造师执业印章号：</w:t>
      </w:r>
      <w:r>
        <w:rPr>
          <w:rFonts w:ascii="宋体" w:hAnsi="宋体"/>
          <w:color w:val="000000" w:themeColor="text1"/>
          <w:szCs w:val="21"/>
          <w:u w:val="single"/>
          <w14:textFill>
            <w14:solidFill>
              <w14:schemeClr w14:val="tx1"/>
            </w14:solidFill>
          </w14:textFill>
        </w:rPr>
        <w:t>                     </w:t>
      </w:r>
      <w:r>
        <w:rPr>
          <w:rFonts w:hint="eastAsia" w:ascii="宋体" w:hAnsi="宋体"/>
          <w:color w:val="000000" w:themeColor="text1"/>
          <w:szCs w:val="21"/>
          <w14:textFill>
            <w14:solidFill>
              <w14:schemeClr w14:val="tx1"/>
            </w14:solidFill>
          </w14:textFill>
        </w:rPr>
        <w:t>；</w:t>
      </w:r>
    </w:p>
    <w:p w14:paraId="01E5A29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安全生产考核合格证书号：</w:t>
      </w:r>
      <w:r>
        <w:rPr>
          <w:rFonts w:ascii="宋体" w:hAnsi="宋体"/>
          <w:color w:val="000000" w:themeColor="text1"/>
          <w:szCs w:val="21"/>
          <w:u w:val="single"/>
          <w14:textFill>
            <w14:solidFill>
              <w14:schemeClr w14:val="tx1"/>
            </w14:solidFill>
          </w14:textFill>
        </w:rPr>
        <w:t>           </w:t>
      </w:r>
      <w:r>
        <w:rPr>
          <w:rFonts w:hint="eastAsia" w:ascii="宋体" w:hAnsi="宋体"/>
          <w:color w:val="000000" w:themeColor="text1"/>
          <w:szCs w:val="21"/>
          <w14:textFill>
            <w14:solidFill>
              <w14:schemeClr w14:val="tx1"/>
            </w14:solidFill>
          </w14:textFill>
        </w:rPr>
        <w:t>；</w:t>
      </w:r>
    </w:p>
    <w:p w14:paraId="64FFC34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r>
        <w:rPr>
          <w:rFonts w:ascii="宋体" w:hAnsi="宋体"/>
          <w:color w:val="000000" w:themeColor="text1"/>
          <w:szCs w:val="21"/>
          <w:u w:val="single"/>
          <w14:textFill>
            <w14:solidFill>
              <w14:schemeClr w14:val="tx1"/>
            </w14:solidFill>
          </w14:textFill>
        </w:rPr>
        <w:t>         </w:t>
      </w:r>
      <w:r>
        <w:rPr>
          <w:rFonts w:hint="eastAsia" w:ascii="宋体" w:hAnsi="宋体"/>
          <w:color w:val="000000" w:themeColor="text1"/>
          <w:szCs w:val="21"/>
          <w14:textFill>
            <w14:solidFill>
              <w14:schemeClr w14:val="tx1"/>
            </w14:solidFill>
          </w14:textFill>
        </w:rPr>
        <w:t>。</w:t>
      </w:r>
    </w:p>
    <w:p w14:paraId="7117EC9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承包人对项目经理的授权范围如下：</w:t>
      </w:r>
      <w:r>
        <w:rPr>
          <w:rFonts w:hint="eastAsia" w:ascii="宋体" w:hAnsi="宋体"/>
          <w:color w:val="000000" w:themeColor="text1"/>
          <w:szCs w:val="21"/>
          <w:u w:val="single"/>
          <w14:textFill>
            <w14:solidFill>
              <w14:schemeClr w14:val="tx1"/>
            </w14:solidFill>
          </w14:textFill>
        </w:rPr>
        <w:t>严格按设计图纸、现行国家施工规范及验收规范组织施工，保证工程质量、进度、安全；及时向监理人、发包人报告现场情况（以承包人书面授权范围为准）</w:t>
      </w:r>
      <w:r>
        <w:rPr>
          <w:rFonts w:hint="eastAsia" w:ascii="宋体" w:hAnsi="宋体"/>
          <w:color w:val="000000" w:themeColor="text1"/>
          <w:szCs w:val="21"/>
          <w14:textFill>
            <w14:solidFill>
              <w14:schemeClr w14:val="tx1"/>
            </w14:solidFill>
          </w14:textFill>
        </w:rPr>
        <w:t>。</w:t>
      </w:r>
    </w:p>
    <w:p w14:paraId="30B3D4D7">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关于项目经理每月在施工现场的时间要求：</w:t>
      </w:r>
      <w:r>
        <w:rPr>
          <w:rFonts w:hint="eastAsia" w:ascii="宋体" w:hAnsi="宋体"/>
          <w:color w:val="000000" w:themeColor="text1"/>
          <w:szCs w:val="21"/>
          <w:u w:val="single"/>
          <w14:textFill>
            <w14:solidFill>
              <w14:schemeClr w14:val="tx1"/>
            </w14:solidFill>
          </w14:textFill>
        </w:rPr>
        <w:t>不少于22天，由监理人负责项目经理的考勤</w:t>
      </w:r>
      <w:r>
        <w:rPr>
          <w:rFonts w:hint="eastAsia" w:ascii="宋体" w:hAnsi="宋体"/>
          <w:color w:val="000000" w:themeColor="text1"/>
          <w:szCs w:val="21"/>
          <w14:textFill>
            <w14:solidFill>
              <w14:schemeClr w14:val="tx1"/>
            </w14:solidFill>
          </w14:textFill>
        </w:rPr>
        <w:t>。</w:t>
      </w:r>
    </w:p>
    <w:p w14:paraId="1D6FCFE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color w:val="000000" w:themeColor="text1"/>
          <w:szCs w:val="21"/>
          <w14:textFill>
            <w14:solidFill>
              <w14:schemeClr w14:val="tx1"/>
            </w14:solidFill>
          </w14:textFill>
        </w:rPr>
        <w:t>。</w:t>
      </w:r>
    </w:p>
    <w:p w14:paraId="3367FFD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3.2.2 技术负责人</w:t>
      </w:r>
    </w:p>
    <w:p w14:paraId="6728E97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    名：</w:t>
      </w:r>
      <w:r>
        <w:rPr>
          <w:rFonts w:ascii="宋体" w:hAnsi="宋体"/>
          <w:color w:val="000000" w:themeColor="text1"/>
          <w:szCs w:val="21"/>
          <w:u w:val="single"/>
          <w14:textFill>
            <w14:solidFill>
              <w14:schemeClr w14:val="tx1"/>
            </w14:solidFill>
          </w14:textFill>
        </w:rPr>
        <w:t xml:space="preserve">                         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61669CD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身份证号：</w:t>
      </w:r>
      <w:r>
        <w:rPr>
          <w:rFonts w:ascii="宋体" w:hAnsi="宋体"/>
          <w:color w:val="000000" w:themeColor="text1"/>
          <w:szCs w:val="21"/>
          <w:u w:val="single"/>
          <w14:textFill>
            <w14:solidFill>
              <w14:schemeClr w14:val="tx1"/>
            </w14:solidFill>
          </w14:textFill>
        </w:rPr>
        <w:t xml:space="preserve">                         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7A1D7A9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r>
        <w:rPr>
          <w:rFonts w:ascii="宋体" w:hAnsi="宋体"/>
          <w:color w:val="000000" w:themeColor="text1"/>
          <w:szCs w:val="21"/>
          <w:u w:val="single"/>
          <w14:textFill>
            <w14:solidFill>
              <w14:schemeClr w14:val="tx1"/>
            </w14:solidFill>
          </w14:textFill>
        </w:rPr>
        <w:t xml:space="preserve">                         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75D525F5">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     业：</w:t>
      </w:r>
      <w:r>
        <w:rPr>
          <w:rFonts w:ascii="宋体" w:hAnsi="宋体"/>
          <w:color w:val="000000" w:themeColor="text1"/>
          <w:szCs w:val="21"/>
          <w:u w:val="single"/>
          <w14:textFill>
            <w14:solidFill>
              <w14:schemeClr w14:val="tx1"/>
            </w14:solidFill>
          </w14:textFill>
        </w:rPr>
        <w:t xml:space="preserve">                         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16EB0A1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证书名称及号码：</w:t>
      </w:r>
      <w:r>
        <w:rPr>
          <w:rFonts w:ascii="宋体" w:hAnsi="宋体"/>
          <w:color w:val="000000" w:themeColor="text1"/>
          <w:szCs w:val="21"/>
          <w:u w:val="single"/>
          <w14:textFill>
            <w14:solidFill>
              <w14:schemeClr w14:val="tx1"/>
            </w14:solidFill>
          </w14:textFill>
        </w:rPr>
        <w:t xml:space="preserve">                         </w:t>
      </w:r>
      <w:r>
        <w:rPr>
          <w:rFonts w:hint="eastAsia" w:ascii="宋体" w:hAnsi="宋体"/>
          <w:color w:val="000000" w:themeColor="text1"/>
          <w:szCs w:val="21"/>
          <w14:textFill>
            <w14:solidFill>
              <w14:schemeClr w14:val="tx1"/>
            </w14:solidFill>
          </w14:textFill>
        </w:rPr>
        <w:t>；</w:t>
      </w:r>
    </w:p>
    <w:p w14:paraId="4A479BD2">
      <w:pPr>
        <w:pStyle w:val="2"/>
        <w:spacing w:after="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联系方式：</w:t>
      </w:r>
      <w:r>
        <w:rPr>
          <w:rFonts w:ascii="宋体" w:hAnsi="宋体"/>
          <w:color w:val="000000" w:themeColor="text1"/>
          <w:szCs w:val="21"/>
          <w:u w:val="single"/>
          <w14:textFill>
            <w14:solidFill>
              <w14:schemeClr w14:val="tx1"/>
            </w14:solidFill>
          </w14:textFill>
        </w:rPr>
        <w:t xml:space="preserve">         </w:t>
      </w:r>
      <w:r>
        <w:rPr>
          <w:rFonts w:hint="eastAsia" w:ascii="宋体" w:hAnsi="宋体"/>
          <w:color w:val="000000" w:themeColor="text1"/>
          <w:szCs w:val="21"/>
          <w14:textFill>
            <w14:solidFill>
              <w14:schemeClr w14:val="tx1"/>
            </w14:solidFill>
          </w14:textFill>
        </w:rPr>
        <w:t>。</w:t>
      </w:r>
    </w:p>
    <w:p w14:paraId="71AFF02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关于技</w:t>
      </w:r>
      <w:r>
        <w:rPr>
          <w:rFonts w:hint="eastAsia" w:ascii="宋体" w:hAnsi="宋体"/>
          <w:color w:val="000000" w:themeColor="text1"/>
          <w:szCs w:val="21"/>
          <w14:textFill>
            <w14:solidFill>
              <w14:schemeClr w14:val="tx1"/>
            </w14:solidFill>
          </w14:textFill>
        </w:rPr>
        <w:t>术负责人每月在施工现场的时间要求：</w:t>
      </w:r>
      <w:r>
        <w:rPr>
          <w:rFonts w:hint="eastAsia" w:ascii="宋体" w:hAnsi="宋体"/>
          <w:color w:val="000000" w:themeColor="text1"/>
          <w:szCs w:val="21"/>
          <w:u w:val="single"/>
          <w14:textFill>
            <w14:solidFill>
              <w14:schemeClr w14:val="tx1"/>
            </w14:solidFill>
          </w14:textFill>
        </w:rPr>
        <w:t>不少于22天，由监理人负责技术负责人的考勤</w:t>
      </w:r>
      <w:r>
        <w:rPr>
          <w:rFonts w:hint="eastAsia" w:ascii="宋体" w:hAnsi="宋体"/>
          <w:color w:val="000000" w:themeColor="text1"/>
          <w:szCs w:val="21"/>
          <w14:textFill>
            <w14:solidFill>
              <w14:schemeClr w14:val="tx1"/>
            </w14:solidFill>
          </w14:textFill>
        </w:rPr>
        <w:t>。</w:t>
      </w:r>
    </w:p>
    <w:p w14:paraId="11B8F787">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color w:val="000000" w:themeColor="text1"/>
          <w:szCs w:val="21"/>
          <w14:textFill>
            <w14:solidFill>
              <w14:schemeClr w14:val="tx1"/>
            </w14:solidFill>
          </w14:textFill>
        </w:rPr>
        <w:t>。</w:t>
      </w:r>
      <w:bookmarkStart w:id="1311" w:name="_Hlk528927599"/>
    </w:p>
    <w:bookmarkEnd w:id="1311"/>
    <w:p w14:paraId="30B43C35">
      <w:pPr>
        <w:spacing w:line="360" w:lineRule="auto"/>
        <w:ind w:firstLine="420" w:firstLineChars="200"/>
        <w:jc w:val="left"/>
        <w:rPr>
          <w:rFonts w:hint="eastAsia" w:ascii="宋体" w:hAnsi="宋体"/>
          <w:color w:val="000000" w:themeColor="text1"/>
          <w:szCs w:val="21"/>
          <w14:textFill>
            <w14:solidFill>
              <w14:schemeClr w14:val="tx1"/>
            </w14:solidFill>
          </w14:textFill>
        </w:rPr>
      </w:pPr>
      <w:bookmarkStart w:id="1312" w:name="_Hlk528927718"/>
      <w:r>
        <w:rPr>
          <w:rFonts w:hint="eastAsia" w:ascii="宋体" w:hAnsi="宋体"/>
          <w:color w:val="000000" w:themeColor="text1"/>
          <w:szCs w:val="21"/>
          <w14:textFill>
            <w14:solidFill>
              <w14:schemeClr w14:val="tx1"/>
            </w14:solidFill>
          </w14:textFill>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1312"/>
    </w:p>
    <w:p w14:paraId="3DF848F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若项目经理和技术负责人出现下列情形需更换的，承包人按通用条款第3.2.3项的规定向发包人发出通知，经发包人领导班子集体决策同意后予以批准，并将变更信息推送给行业主管部门：</w:t>
      </w:r>
    </w:p>
    <w:p w14:paraId="5E4E17A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1、死亡；</w:t>
      </w:r>
    </w:p>
    <w:p w14:paraId="694B032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2、非承包人原因导致工期延长，而致使项目经理和技术负责人达到法定退休年龄且确需退休；</w:t>
      </w:r>
    </w:p>
    <w:p w14:paraId="6D04E1F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3、按</w:t>
      </w:r>
      <w:r>
        <w:rPr>
          <w:rFonts w:hint="eastAsia" w:ascii="宋体" w:hAnsi="宋体"/>
          <w:color w:val="000000" w:themeColor="text1"/>
          <w:szCs w:val="21"/>
          <w:u w:val="single"/>
          <w14:textFill>
            <w14:solidFill>
              <w14:schemeClr w14:val="tx1"/>
            </w14:solidFill>
          </w14:textFill>
        </w:rPr>
        <w:t>《职工非因工伤残或因病丧失劳动能力程度鉴定标准（试行）》</w:t>
      </w:r>
      <w:r>
        <w:rPr>
          <w:rFonts w:hint="eastAsia" w:ascii="宋体" w:hAnsi="宋体"/>
          <w:color w:val="000000" w:themeColor="text1"/>
          <w:szCs w:val="21"/>
          <w14:textFill>
            <w14:solidFill>
              <w14:schemeClr w14:val="tx1"/>
            </w14:solidFill>
          </w14:textFill>
        </w:rPr>
        <w:t>规定鉴定为完全丧失劳动能力和大部分丧失劳动能力；</w:t>
      </w:r>
    </w:p>
    <w:p w14:paraId="469E78B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4、非承包人原因导致中标3个月不能开工；</w:t>
      </w:r>
    </w:p>
    <w:p w14:paraId="271B90A7">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5、被公安或者司法机关限制人身自由；</w:t>
      </w:r>
    </w:p>
    <w:p w14:paraId="5807998D">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6、被取消职称或者执业资格，不满足项目管理要求；</w:t>
      </w:r>
    </w:p>
    <w:p w14:paraId="124F3A25">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7、非承包人原因导致确需变更的其它情形。</w:t>
      </w:r>
    </w:p>
    <w:p w14:paraId="5109C2DD">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本款补充3.2.6项</w:t>
      </w:r>
    </w:p>
    <w:p w14:paraId="02F702F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3.2.6 国有资金投资项目其他主要人员变更参照</w:t>
      </w:r>
      <w:r>
        <w:rPr>
          <w:rFonts w:hint="eastAsia" w:ascii="宋体" w:hAnsi="宋体"/>
          <w:color w:val="000000" w:themeColor="text1"/>
          <w:szCs w:val="21"/>
          <w:u w:val="single"/>
          <w14:textFill>
            <w14:solidFill>
              <w14:schemeClr w14:val="tx1"/>
            </w14:solidFill>
          </w14:textFill>
        </w:rPr>
        <w:t>《重庆市政府投资项目合同变更管理暂行办法》</w:t>
      </w:r>
      <w:r>
        <w:rPr>
          <w:rFonts w:hint="eastAsia" w:ascii="宋体" w:hAnsi="宋体"/>
          <w:color w:val="000000" w:themeColor="text1"/>
          <w:szCs w:val="21"/>
          <w14:textFill>
            <w14:solidFill>
              <w14:schemeClr w14:val="tx1"/>
            </w14:solidFill>
          </w14:textFill>
        </w:rPr>
        <w:t>的规定。</w:t>
      </w:r>
    </w:p>
    <w:p w14:paraId="2416782C">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313" w:name="_Toc532377337"/>
      <w:r>
        <w:rPr>
          <w:rFonts w:hint="eastAsia"/>
          <w:color w:val="000000" w:themeColor="text1"/>
          <w:sz w:val="21"/>
          <w:szCs w:val="21"/>
          <w14:textFill>
            <w14:solidFill>
              <w14:schemeClr w14:val="tx1"/>
            </w14:solidFill>
          </w14:textFill>
        </w:rPr>
        <w:t>3.3 承包人人员</w:t>
      </w:r>
      <w:bookmarkEnd w:id="1313"/>
    </w:p>
    <w:p w14:paraId="134EDA3D">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3.3.1 承包人应按建设行政主管部门现行规定配备现场施工从业人员，具体要求如下：</w:t>
      </w:r>
      <w:r>
        <w:rPr>
          <w:rFonts w:hint="eastAsia" w:ascii="宋体" w:hAnsi="宋体"/>
          <w:color w:val="000000" w:themeColor="text1"/>
          <w:szCs w:val="21"/>
          <w:u w:val="single"/>
          <w14:textFill>
            <w14:solidFill>
              <w14:schemeClr w14:val="tx1"/>
            </w14:solidFill>
          </w14:textFill>
        </w:rPr>
        <w:t xml:space="preserve">        </w:t>
      </w:r>
    </w:p>
    <w:p w14:paraId="74EA2E4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189E5E0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34C99DD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3.3.4 承包人主要施工管理人员离开施工现场，指定的临时人员需满足：</w:t>
      </w:r>
      <w:r>
        <w:rPr>
          <w:rFonts w:hint="eastAsia" w:ascii="宋体" w:hAnsi="宋体"/>
          <w:color w:val="000000" w:themeColor="text1"/>
          <w:szCs w:val="21"/>
          <w:u w:val="single"/>
          <w14:textFill>
            <w14:solidFill>
              <w14:schemeClr w14:val="tx1"/>
            </w14:solidFill>
          </w14:textFill>
        </w:rPr>
        <w:t>《重庆市房屋建筑和市政基础设施工程施工现场从业人员配备标准》（DBJ50/T-157-2022）的相应要求</w:t>
      </w:r>
      <w:r>
        <w:rPr>
          <w:rFonts w:hint="eastAsia" w:ascii="宋体" w:hAnsi="宋体"/>
          <w:color w:val="000000" w:themeColor="text1"/>
          <w:szCs w:val="21"/>
          <w14:textFill>
            <w14:solidFill>
              <w14:schemeClr w14:val="tx1"/>
            </w14:solidFill>
          </w14:textFill>
        </w:rPr>
        <w:t>。</w:t>
      </w:r>
    </w:p>
    <w:p w14:paraId="78ECC7F4">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314" w:name="_Toc532377338"/>
      <w:r>
        <w:rPr>
          <w:rFonts w:hint="eastAsia"/>
          <w:color w:val="000000" w:themeColor="text1"/>
          <w:sz w:val="21"/>
          <w:szCs w:val="21"/>
          <w14:textFill>
            <w14:solidFill>
              <w14:schemeClr w14:val="tx1"/>
            </w14:solidFill>
          </w14:textFill>
        </w:rPr>
        <w:t>3</w:t>
      </w:r>
      <w:bookmarkStart w:id="1315" w:name="_Toc296890987"/>
      <w:bookmarkStart w:id="1316" w:name="_Toc296944498"/>
      <w:bookmarkStart w:id="1317" w:name="_Toc292559869"/>
      <w:bookmarkStart w:id="1318" w:name="_Toc296347158"/>
      <w:bookmarkStart w:id="1319" w:name="_Toc296503159"/>
      <w:bookmarkStart w:id="1320" w:name="_Toc292559364"/>
      <w:bookmarkStart w:id="1321" w:name="_Toc297216151"/>
      <w:bookmarkStart w:id="1322" w:name="_Toc296891199"/>
      <w:bookmarkStart w:id="1323" w:name="_Toc297123492"/>
      <w:bookmarkStart w:id="1324" w:name="_Toc303539102"/>
      <w:bookmarkStart w:id="1325" w:name="_Toc312677988"/>
      <w:bookmarkStart w:id="1326" w:name="_Toc297120459"/>
      <w:bookmarkStart w:id="1327" w:name="_Toc304295523"/>
      <w:bookmarkStart w:id="1328" w:name="_Toc296346660"/>
      <w:bookmarkStart w:id="1329" w:name="_Toc300934945"/>
      <w:bookmarkStart w:id="1330" w:name="_Toc297048345"/>
      <w:r>
        <w:rPr>
          <w:rFonts w:hint="eastAsia"/>
          <w:color w:val="000000" w:themeColor="text1"/>
          <w:sz w:val="21"/>
          <w:szCs w:val="21"/>
          <w14:textFill>
            <w14:solidFill>
              <w14:schemeClr w14:val="tx1"/>
            </w14:solidFill>
          </w14:textFill>
        </w:rPr>
        <w:t>.5 分包</w:t>
      </w:r>
      <w:bookmarkEnd w:id="1314"/>
    </w:p>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p w14:paraId="60A0732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本项目不允许分包</w:t>
      </w:r>
      <w:bookmarkStart w:id="1331" w:name="_Toc532377339"/>
      <w:r>
        <w:rPr>
          <w:rFonts w:hint="eastAsia" w:ascii="宋体" w:hAnsi="宋体"/>
          <w:color w:val="000000" w:themeColor="text1"/>
          <w:szCs w:val="21"/>
          <w14:textFill>
            <w14:solidFill>
              <w14:schemeClr w14:val="tx1"/>
            </w14:solidFill>
          </w14:textFill>
        </w:rPr>
        <w:t>。</w:t>
      </w:r>
    </w:p>
    <w:p w14:paraId="492C03EF">
      <w:pPr>
        <w:spacing w:line="360"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3.7 履约担保</w:t>
      </w:r>
      <w:bookmarkEnd w:id="1331"/>
    </w:p>
    <w:p w14:paraId="3E7AE5D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3.7.1承包人是否提供履约担保：</w:t>
      </w:r>
      <w:r>
        <w:rPr>
          <w:rFonts w:hint="eastAsia" w:ascii="宋体" w:hAnsi="宋体"/>
          <w:color w:val="000000" w:themeColor="text1"/>
          <w:szCs w:val="21"/>
          <w:u w:val="single"/>
          <w14:textFill>
            <w14:solidFill>
              <w14:schemeClr w14:val="tx1"/>
            </w14:solidFill>
          </w14:textFill>
        </w:rPr>
        <w:t>提供</w:t>
      </w:r>
      <w:r>
        <w:rPr>
          <w:rFonts w:hint="eastAsia" w:ascii="宋体" w:hAnsi="宋体"/>
          <w:color w:val="000000" w:themeColor="text1"/>
          <w:szCs w:val="21"/>
          <w14:textFill>
            <w14:solidFill>
              <w14:schemeClr w14:val="tx1"/>
            </w14:solidFill>
          </w14:textFill>
        </w:rPr>
        <w:t>。</w:t>
      </w:r>
    </w:p>
    <w:p w14:paraId="1AB0D0D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3.7.2承包人提供履约担保的形式、金额及期限：</w:t>
      </w:r>
    </w:p>
    <w:p w14:paraId="74DDC07D">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（1）履约担保的形式：现金。</w:t>
      </w:r>
    </w:p>
    <w:p w14:paraId="774F029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履约担保的金额：</w:t>
      </w:r>
      <w:r>
        <w:rPr>
          <w:rFonts w:hint="eastAsia" w:ascii="仿宋_GB2312" w:hAnsi="宋体" w:eastAsia="仿宋_GB2312" w:cs="宋体"/>
          <w:color w:val="000000" w:themeColor="text1"/>
          <w:kern w:val="0"/>
          <w:szCs w:val="21"/>
          <w:u w:val="single"/>
          <w14:textFill>
            <w14:solidFill>
              <w14:schemeClr w14:val="tx1"/>
            </w14:solidFill>
          </w14:textFill>
        </w:rPr>
        <w:t>中标合同金额的10%</w:t>
      </w:r>
      <w:r>
        <w:rPr>
          <w:rFonts w:hint="eastAsia" w:ascii="宋体" w:hAnsi="宋体"/>
          <w:color w:val="000000" w:themeColor="text1"/>
          <w:szCs w:val="21"/>
          <w14:textFill>
            <w14:solidFill>
              <w14:schemeClr w14:val="tx1"/>
            </w14:solidFill>
          </w14:textFill>
        </w:rPr>
        <w:t>；</w:t>
      </w:r>
    </w:p>
    <w:p w14:paraId="79805B54">
      <w:pPr>
        <w:tabs>
          <w:tab w:val="left" w:pos="1134"/>
        </w:tabs>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（3）履约担保的提交时间：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71E2ED50">
      <w:pPr>
        <w:tabs>
          <w:tab w:val="left" w:pos="1134"/>
        </w:tabs>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（4）履约担保的期限：</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328A7072">
      <w:pPr>
        <w:tabs>
          <w:tab w:val="left" w:pos="1134"/>
        </w:tabs>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（5）履约担保的退还时间：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1E908F45">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332" w:name="_Toc351203636"/>
      <w:bookmarkStart w:id="1333" w:name="_Toc532375611"/>
      <w:bookmarkStart w:id="1334" w:name="_Toc532377340"/>
      <w:r>
        <w:rPr>
          <w:rFonts w:hint="eastAsia"/>
          <w:color w:val="000000" w:themeColor="text1"/>
          <w:kern w:val="2"/>
          <w:sz w:val="21"/>
          <w:szCs w:val="21"/>
          <w14:textFill>
            <w14:solidFill>
              <w14:schemeClr w14:val="tx1"/>
            </w14:solidFill>
          </w14:textFill>
        </w:rPr>
        <w:t>4</w:t>
      </w:r>
      <w:bookmarkStart w:id="1335" w:name="_Toc267251413"/>
      <w:bookmarkStart w:id="1336" w:name="_Toc296503162"/>
      <w:bookmarkStart w:id="1337" w:name="_Toc292559366"/>
      <w:bookmarkStart w:id="1338" w:name="_Toc296346663"/>
      <w:bookmarkStart w:id="1339" w:name="_Toc297120462"/>
      <w:bookmarkStart w:id="1340" w:name="_Toc296347161"/>
      <w:bookmarkStart w:id="1341" w:name="_Toc296891202"/>
      <w:bookmarkStart w:id="1342" w:name="_Toc296944501"/>
      <w:bookmarkStart w:id="1343" w:name="_Toc292559871"/>
      <w:bookmarkStart w:id="1344" w:name="_Toc296890990"/>
      <w:bookmarkStart w:id="1345" w:name="_Toc297048348"/>
      <w:r>
        <w:rPr>
          <w:rFonts w:hint="eastAsia"/>
          <w:color w:val="000000" w:themeColor="text1"/>
          <w:kern w:val="2"/>
          <w:sz w:val="21"/>
          <w:szCs w:val="21"/>
          <w14:textFill>
            <w14:solidFill>
              <w14:schemeClr w14:val="tx1"/>
            </w14:solidFill>
          </w14:textFill>
        </w:rPr>
        <w:t>. 监</w:t>
      </w:r>
      <w:bookmarkEnd w:id="1335"/>
      <w:bookmarkEnd w:id="1336"/>
      <w:bookmarkEnd w:id="1337"/>
      <w:bookmarkEnd w:id="1338"/>
      <w:bookmarkEnd w:id="1339"/>
      <w:bookmarkEnd w:id="1340"/>
      <w:bookmarkEnd w:id="1341"/>
      <w:bookmarkEnd w:id="1342"/>
      <w:bookmarkEnd w:id="1343"/>
      <w:bookmarkEnd w:id="1344"/>
      <w:bookmarkEnd w:id="1345"/>
      <w:r>
        <w:rPr>
          <w:rFonts w:hint="eastAsia"/>
          <w:color w:val="000000" w:themeColor="text1"/>
          <w:kern w:val="2"/>
          <w:sz w:val="21"/>
          <w:szCs w:val="21"/>
          <w14:textFill>
            <w14:solidFill>
              <w14:schemeClr w14:val="tx1"/>
            </w14:solidFill>
          </w14:textFill>
        </w:rPr>
        <w:t>理人</w:t>
      </w:r>
      <w:bookmarkEnd w:id="1332"/>
      <w:bookmarkEnd w:id="1333"/>
      <w:bookmarkEnd w:id="1334"/>
    </w:p>
    <w:p w14:paraId="0CB1BC86">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346" w:name="_Toc532377341"/>
      <w:r>
        <w:rPr>
          <w:rFonts w:hint="eastAsia"/>
          <w:color w:val="000000" w:themeColor="text1"/>
          <w:sz w:val="21"/>
          <w:szCs w:val="21"/>
          <w14:textFill>
            <w14:solidFill>
              <w14:schemeClr w14:val="tx1"/>
            </w14:solidFill>
          </w14:textFill>
        </w:rPr>
        <w:t>4.1 监理人的一般规定</w:t>
      </w:r>
      <w:bookmarkEnd w:id="1346"/>
    </w:p>
    <w:p w14:paraId="341BE3F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关于监理人的监理内容：</w:t>
      </w:r>
      <w:r>
        <w:rPr>
          <w:rFonts w:hint="eastAsia" w:ascii="宋体" w:hAnsi="宋体"/>
          <w:color w:val="000000" w:themeColor="text1"/>
          <w:szCs w:val="21"/>
          <w:u w:val="single"/>
          <w14:textFill>
            <w14:solidFill>
              <w14:schemeClr w14:val="tx1"/>
            </w14:solidFill>
          </w14:textFill>
        </w:rPr>
        <w:t>见发包人与监理人就本工程签订的监理合同</w:t>
      </w:r>
      <w:r>
        <w:rPr>
          <w:rFonts w:hint="eastAsia" w:ascii="宋体" w:hAnsi="宋体"/>
          <w:color w:val="000000" w:themeColor="text1"/>
          <w:szCs w:val="21"/>
          <w14:textFill>
            <w14:solidFill>
              <w14:schemeClr w14:val="tx1"/>
            </w14:solidFill>
          </w14:textFill>
        </w:rPr>
        <w:t>。</w:t>
      </w:r>
    </w:p>
    <w:p w14:paraId="37D07EB5">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关于监理人的监理权限：</w:t>
      </w:r>
      <w:r>
        <w:rPr>
          <w:rFonts w:hint="eastAsia" w:ascii="宋体" w:hAnsi="宋体"/>
          <w:color w:val="000000" w:themeColor="text1"/>
          <w:szCs w:val="21"/>
          <w:u w:val="single"/>
          <w14:textFill>
            <w14:solidFill>
              <w14:schemeClr w14:val="tx1"/>
            </w14:solidFill>
          </w14:textFill>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color w:val="000000" w:themeColor="text1"/>
          <w:szCs w:val="21"/>
          <w14:textFill>
            <w14:solidFill>
              <w14:schemeClr w14:val="tx1"/>
            </w14:solidFill>
          </w14:textFill>
        </w:rPr>
        <w:t>。</w:t>
      </w:r>
    </w:p>
    <w:p w14:paraId="0837D40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关于监理人在施工现场的办公场所、生活场所的提供和费用承担的约定：</w:t>
      </w:r>
      <w:r>
        <w:rPr>
          <w:rFonts w:hint="eastAsia" w:ascii="宋体" w:hAnsi="宋体"/>
          <w:color w:val="000000" w:themeColor="text1"/>
          <w:szCs w:val="21"/>
          <w:u w:val="single"/>
          <w14:textFill>
            <w14:solidFill>
              <w14:schemeClr w14:val="tx1"/>
            </w14:solidFill>
          </w14:textFill>
        </w:rPr>
        <w:t xml:space="preserve">                          </w:t>
      </w:r>
      <w:r>
        <w:rPr>
          <w:rFonts w:hint="eastAsia" w:ascii="宋体" w:hAnsi="宋体"/>
          <w:color w:val="000000" w:themeColor="text1"/>
          <w:szCs w:val="21"/>
          <w14:textFill>
            <w14:solidFill>
              <w14:schemeClr w14:val="tx1"/>
            </w14:solidFill>
          </w14:textFill>
        </w:rPr>
        <w:t>。</w:t>
      </w:r>
    </w:p>
    <w:p w14:paraId="4B0B447B">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347" w:name="_Toc532377342"/>
      <w:r>
        <w:rPr>
          <w:rFonts w:hint="eastAsia"/>
          <w:color w:val="000000" w:themeColor="text1"/>
          <w:sz w:val="21"/>
          <w:szCs w:val="21"/>
          <w14:textFill>
            <w14:solidFill>
              <w14:schemeClr w14:val="tx1"/>
            </w14:solidFill>
          </w14:textFill>
        </w:rPr>
        <w:t>4.2 监理人员</w:t>
      </w:r>
      <w:bookmarkEnd w:id="1347"/>
    </w:p>
    <w:p w14:paraId="355C3B9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总监理工程师：</w:t>
      </w:r>
    </w:p>
    <w:p w14:paraId="70C3038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    名：</w:t>
      </w:r>
      <w:r>
        <w:rPr>
          <w:rFonts w:ascii="宋体" w:hAnsi="宋体"/>
          <w:color w:val="000000" w:themeColor="text1"/>
          <w:szCs w:val="21"/>
          <w:u w:val="single"/>
          <w14:textFill>
            <w14:solidFill>
              <w14:schemeClr w14:val="tx1"/>
            </w14:solidFill>
          </w14:textFill>
        </w:rPr>
        <w:t xml:space="preserve">                          </w:t>
      </w:r>
      <w:r>
        <w:rPr>
          <w:rFonts w:hint="eastAsia" w:ascii="宋体" w:hAnsi="宋体"/>
          <w:color w:val="000000" w:themeColor="text1"/>
          <w:szCs w:val="21"/>
          <w14:textFill>
            <w14:solidFill>
              <w14:schemeClr w14:val="tx1"/>
            </w14:solidFill>
          </w14:textFill>
        </w:rPr>
        <w:t>；</w:t>
      </w:r>
    </w:p>
    <w:p w14:paraId="19C51FC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    务：</w:t>
      </w:r>
      <w:r>
        <w:rPr>
          <w:rFonts w:ascii="宋体" w:hAnsi="宋体"/>
          <w:color w:val="000000" w:themeColor="text1"/>
          <w:szCs w:val="21"/>
          <w:u w:val="single"/>
          <w14:textFill>
            <w14:solidFill>
              <w14:schemeClr w14:val="tx1"/>
            </w14:solidFill>
          </w14:textFill>
        </w:rPr>
        <w:t xml:space="preserve">                          </w:t>
      </w:r>
      <w:r>
        <w:rPr>
          <w:rFonts w:hint="eastAsia" w:ascii="宋体" w:hAnsi="宋体"/>
          <w:color w:val="000000" w:themeColor="text1"/>
          <w:szCs w:val="21"/>
          <w14:textFill>
            <w14:solidFill>
              <w14:schemeClr w14:val="tx1"/>
            </w14:solidFill>
          </w14:textFill>
        </w:rPr>
        <w:t>；</w:t>
      </w:r>
    </w:p>
    <w:p w14:paraId="69CF3EF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监理工程师执业资格证书号：</w:t>
      </w:r>
      <w:r>
        <w:rPr>
          <w:rFonts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03A56B2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r>
        <w:rPr>
          <w:rFonts w:ascii="宋体" w:hAnsi="宋体"/>
          <w:color w:val="000000" w:themeColor="text1"/>
          <w:szCs w:val="21"/>
          <w:u w:val="single"/>
          <w14:textFill>
            <w14:solidFill>
              <w14:schemeClr w14:val="tx1"/>
            </w14:solidFill>
          </w14:textFill>
        </w:rPr>
        <w:t xml:space="preserve">                          </w:t>
      </w:r>
      <w:r>
        <w:rPr>
          <w:rFonts w:hint="eastAsia" w:ascii="宋体" w:hAnsi="宋体"/>
          <w:color w:val="000000" w:themeColor="text1"/>
          <w:szCs w:val="21"/>
          <w14:textFill>
            <w14:solidFill>
              <w14:schemeClr w14:val="tx1"/>
            </w14:solidFill>
          </w14:textFill>
        </w:rPr>
        <w:t>；</w:t>
      </w:r>
    </w:p>
    <w:p w14:paraId="6D4E2E1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关于监理人的其他约定：</w:t>
      </w:r>
      <w:r>
        <w:rPr>
          <w:rFonts w:hint="eastAsia" w:ascii="宋体" w:hAnsi="宋体"/>
          <w:color w:val="000000" w:themeColor="text1"/>
          <w:szCs w:val="21"/>
          <w:u w:val="single"/>
          <w14:textFill>
            <w14:solidFill>
              <w14:schemeClr w14:val="tx1"/>
            </w14:solidFill>
          </w14:textFill>
        </w:rPr>
        <w:t>见发包人与监理人就本工程签订的监理合同</w:t>
      </w:r>
      <w:r>
        <w:rPr>
          <w:rFonts w:hint="eastAsia" w:ascii="宋体" w:hAnsi="宋体"/>
          <w:color w:val="000000" w:themeColor="text1"/>
          <w:szCs w:val="21"/>
          <w14:textFill>
            <w14:solidFill>
              <w14:schemeClr w14:val="tx1"/>
            </w14:solidFill>
          </w14:textFill>
        </w:rPr>
        <w:t>。</w:t>
      </w:r>
    </w:p>
    <w:p w14:paraId="79F7008B">
      <w:pPr>
        <w:pStyle w:val="7"/>
        <w:spacing w:before="0" w:beforeAutospacing="0" w:after="0" w:afterAutospacing="0" w:line="360" w:lineRule="auto"/>
        <w:ind w:firstLine="420" w:firstLineChars="200"/>
        <w:rPr>
          <w:rFonts w:hint="eastAsia"/>
          <w:b w:val="0"/>
          <w:color w:val="000000" w:themeColor="text1"/>
          <w:sz w:val="21"/>
          <w:szCs w:val="21"/>
          <w14:textFill>
            <w14:solidFill>
              <w14:schemeClr w14:val="tx1"/>
            </w14:solidFill>
          </w14:textFill>
        </w:rPr>
      </w:pPr>
      <w:bookmarkStart w:id="1348" w:name="_Toc532377343"/>
      <w:r>
        <w:rPr>
          <w:rFonts w:hint="eastAsia"/>
          <w:b w:val="0"/>
          <w:color w:val="000000" w:themeColor="text1"/>
          <w:sz w:val="21"/>
          <w:szCs w:val="21"/>
          <w14:textFill>
            <w14:solidFill>
              <w14:schemeClr w14:val="tx1"/>
            </w14:solidFill>
          </w14:textFill>
        </w:rPr>
        <w:t>4.4 商定或确定</w:t>
      </w:r>
      <w:bookmarkEnd w:id="1348"/>
    </w:p>
    <w:p w14:paraId="3A4EEA6E">
      <w:pPr>
        <w:spacing w:line="360" w:lineRule="auto"/>
        <w:ind w:firstLine="420" w:firstLineChars="200"/>
        <w:jc w:val="left"/>
        <w:rPr>
          <w:rFonts w:hint="eastAsia" w:ascii="宋体" w:hAnsi="宋体"/>
          <w:color w:val="000000" w:themeColor="text1"/>
          <w:szCs w:val="21"/>
          <w14:textFill>
            <w14:solidFill>
              <w14:schemeClr w14:val="tx1"/>
            </w14:solidFill>
          </w14:textFill>
        </w:rPr>
      </w:pPr>
      <w:bookmarkStart w:id="1349" w:name="_Toc267251418"/>
      <w:r>
        <w:rPr>
          <w:rFonts w:hint="eastAsia" w:ascii="宋体" w:hAnsi="宋体"/>
          <w:color w:val="000000" w:themeColor="text1"/>
          <w:szCs w:val="21"/>
          <w14:textFill>
            <w14:solidFill>
              <w14:schemeClr w14:val="tx1"/>
            </w14:solidFill>
          </w14:textFill>
        </w:rPr>
        <w:t>在发包人和承包人不能通过协商达成一致意见时，发包人授权监理人对以下事项进行确定：</w:t>
      </w:r>
    </w:p>
    <w:p w14:paraId="5DDF18F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                    </w:t>
      </w:r>
      <w:r>
        <w:rPr>
          <w:rFonts w:hint="eastAsia" w:ascii="宋体" w:hAnsi="宋体"/>
          <w:color w:val="000000" w:themeColor="text1"/>
          <w:szCs w:val="21"/>
          <w14:textFill>
            <w14:solidFill>
              <w14:schemeClr w14:val="tx1"/>
            </w14:solidFill>
          </w14:textFill>
        </w:rPr>
        <w:t>。</w:t>
      </w:r>
    </w:p>
    <w:p w14:paraId="0B747C3D">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350" w:name="_Toc532375612"/>
      <w:bookmarkStart w:id="1351" w:name="_Toc351203637"/>
      <w:bookmarkStart w:id="1352" w:name="_Toc532377344"/>
      <w:r>
        <w:rPr>
          <w:rFonts w:hint="eastAsia"/>
          <w:color w:val="000000" w:themeColor="text1"/>
          <w:kern w:val="2"/>
          <w:sz w:val="21"/>
          <w:szCs w:val="21"/>
          <w14:textFill>
            <w14:solidFill>
              <w14:schemeClr w14:val="tx1"/>
            </w14:solidFill>
          </w14:textFill>
        </w:rPr>
        <w:t>5</w:t>
      </w:r>
      <w:bookmarkEnd w:id="1349"/>
      <w:bookmarkStart w:id="1353" w:name="_Toc292559367"/>
      <w:bookmarkStart w:id="1354" w:name="_Toc296891203"/>
      <w:bookmarkStart w:id="1355" w:name="_Toc296944502"/>
      <w:bookmarkStart w:id="1356" w:name="_Toc297048349"/>
      <w:bookmarkStart w:id="1357" w:name="_Toc296346664"/>
      <w:bookmarkStart w:id="1358" w:name="_Toc297120463"/>
      <w:bookmarkStart w:id="1359" w:name="_Toc292559872"/>
      <w:bookmarkStart w:id="1360" w:name="_Toc296890991"/>
      <w:bookmarkStart w:id="1361" w:name="_Toc296347162"/>
      <w:bookmarkStart w:id="1362" w:name="_Toc296503163"/>
      <w:r>
        <w:rPr>
          <w:rFonts w:hint="eastAsia"/>
          <w:color w:val="000000" w:themeColor="text1"/>
          <w:kern w:val="2"/>
          <w:sz w:val="21"/>
          <w:szCs w:val="21"/>
          <w14:textFill>
            <w14:solidFill>
              <w14:schemeClr w14:val="tx1"/>
            </w14:solidFill>
          </w14:textFill>
        </w:rPr>
        <w:t>. 工程质量</w:t>
      </w:r>
      <w:bookmarkEnd w:id="1350"/>
      <w:bookmarkEnd w:id="1351"/>
      <w:bookmarkEnd w:id="1352"/>
    </w:p>
    <w:p w14:paraId="12DD0FB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363" w:name="_Toc532377345"/>
      <w:r>
        <w:rPr>
          <w:rFonts w:hint="eastAsia"/>
          <w:color w:val="000000" w:themeColor="text1"/>
          <w:sz w:val="21"/>
          <w:szCs w:val="21"/>
          <w14:textFill>
            <w14:solidFill>
              <w14:schemeClr w14:val="tx1"/>
            </w14:solidFill>
          </w14:textFill>
        </w:rPr>
        <w:t>5.1 质量要求</w:t>
      </w:r>
      <w:bookmarkEnd w:id="1363"/>
      <w:bookmarkStart w:id="1364" w:name="_Hlk528909888"/>
      <w:bookmarkStart w:id="1365" w:name="_Toc312677997"/>
      <w:bookmarkStart w:id="1366" w:name="_Toc297216155"/>
      <w:bookmarkStart w:id="1367" w:name="_Toc297123496"/>
      <w:bookmarkStart w:id="1368" w:name="_Toc300934949"/>
      <w:bookmarkStart w:id="1369" w:name="_Toc303539106"/>
      <w:bookmarkStart w:id="1370" w:name="_Toc304295527"/>
      <w:bookmarkStart w:id="1371" w:name="_Toc318581164"/>
    </w:p>
    <w:p w14:paraId="29C424E0">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工程质量符合强制性质量标准，</w:t>
      </w:r>
      <w:r>
        <w:rPr>
          <w:rFonts w:hint="eastAsia" w:ascii="宋体" w:hAnsi="宋体"/>
          <w:color w:val="000000" w:themeColor="text1"/>
          <w:szCs w:val="21"/>
          <w:u w:val="single"/>
          <w14:textFill>
            <w14:solidFill>
              <w14:schemeClr w14:val="tx1"/>
            </w14:solidFill>
          </w14:textFill>
        </w:rPr>
        <w:t>符合国家和重庆市现行有关施工质量验收规范要求，并达到合格标准</w:t>
      </w:r>
      <w:r>
        <w:rPr>
          <w:rFonts w:hint="eastAsia" w:ascii="宋体" w:hAnsi="宋体"/>
          <w:color w:val="000000" w:themeColor="text1"/>
          <w:szCs w:val="21"/>
          <w14:textFill>
            <w14:solidFill>
              <w14:schemeClr w14:val="tx1"/>
            </w14:solidFill>
          </w14:textFill>
        </w:rPr>
        <w:t>。强制性质量标准有（包括但不限于）：</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bookmarkEnd w:id="1364"/>
    <w:p w14:paraId="5D57F837">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372" w:name="_Toc532377346"/>
      <w:r>
        <w:rPr>
          <w:rFonts w:hint="eastAsia"/>
          <w:color w:val="000000" w:themeColor="text1"/>
          <w:sz w:val="21"/>
          <w:szCs w:val="21"/>
          <w14:textFill>
            <w14:solidFill>
              <w14:schemeClr w14:val="tx1"/>
            </w14:solidFill>
          </w14:textFill>
        </w:rPr>
        <w:t>5.2 质量保证措施</w:t>
      </w:r>
      <w:bookmarkEnd w:id="1372"/>
    </w:p>
    <w:p w14:paraId="7633DB7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本款补充5.2.4项：</w:t>
      </w:r>
    </w:p>
    <w:p w14:paraId="3BCB1BE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5.2.4 在工程建设中，参建各方应严格执行以下规定（包括但不限于）：</w:t>
      </w:r>
    </w:p>
    <w:p w14:paraId="11E58CD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u w:val="single"/>
          <w14:textFill>
            <w14:solidFill>
              <w14:schemeClr w14:val="tx1"/>
            </w14:solidFill>
          </w14:textFill>
        </w:rPr>
        <w:t>《建筑工程施工质量验收统一标准》（GB50300-2013）</w:t>
      </w:r>
      <w:r>
        <w:rPr>
          <w:rFonts w:hint="eastAsia" w:ascii="宋体" w:hAnsi="宋体"/>
          <w:color w:val="000000" w:themeColor="text1"/>
          <w:szCs w:val="21"/>
          <w14:textFill>
            <w14:solidFill>
              <w14:schemeClr w14:val="tx1"/>
            </w14:solidFill>
          </w14:textFill>
        </w:rPr>
        <w:t>；</w:t>
      </w:r>
    </w:p>
    <w:p w14:paraId="627A24D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szCs w:val="21"/>
          <w:u w:val="single"/>
          <w14:textFill>
            <w14:solidFill>
              <w14:schemeClr w14:val="tx1"/>
            </w14:solidFill>
          </w14:textFill>
        </w:rPr>
        <w:t>《住房城乡建设部关于印发工程质量安全提升行动方案的通知》（建质〔2017〕57号）</w:t>
      </w:r>
      <w:r>
        <w:rPr>
          <w:rFonts w:hint="eastAsia" w:ascii="宋体" w:hAnsi="宋体"/>
          <w:color w:val="000000" w:themeColor="text1"/>
          <w:szCs w:val="21"/>
          <w14:textFill>
            <w14:solidFill>
              <w14:schemeClr w14:val="tx1"/>
            </w14:solidFill>
          </w14:textFill>
        </w:rPr>
        <w:t>；</w:t>
      </w:r>
    </w:p>
    <w:p w14:paraId="4EA9160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olor w:val="000000" w:themeColor="text1"/>
          <w:szCs w:val="21"/>
          <w:u w:val="single"/>
          <w14:textFill>
            <w14:solidFill>
              <w14:schemeClr w14:val="tx1"/>
            </w14:solidFill>
          </w14:textFill>
        </w:rPr>
        <w:t>《房屋建筑和市政基础设施工程竣工验收规定》（建质〔2013〕171号）</w:t>
      </w:r>
      <w:r>
        <w:rPr>
          <w:rFonts w:hint="eastAsia" w:ascii="宋体" w:hAnsi="宋体"/>
          <w:color w:val="000000" w:themeColor="text1"/>
          <w:szCs w:val="21"/>
          <w14:textFill>
            <w14:solidFill>
              <w14:schemeClr w14:val="tx1"/>
            </w14:solidFill>
          </w14:textFill>
        </w:rPr>
        <w:t>；</w:t>
      </w:r>
    </w:p>
    <w:p w14:paraId="0CEF8ED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szCs w:val="21"/>
          <w:u w:val="single"/>
          <w14:textFill>
            <w14:solidFill>
              <w14:schemeClr w14:val="tx1"/>
            </w14:solidFill>
          </w14:textFill>
        </w:rPr>
        <w:t>《建设部关于贯彻执行建筑工程勘察设计及施工质量验收规范若干问题的通知》（建标〔2002〕212号）</w:t>
      </w:r>
      <w:r>
        <w:rPr>
          <w:rFonts w:hint="eastAsia" w:ascii="宋体" w:hAnsi="宋体"/>
          <w:color w:val="000000" w:themeColor="text1"/>
          <w:szCs w:val="21"/>
          <w14:textFill>
            <w14:solidFill>
              <w14:schemeClr w14:val="tx1"/>
            </w14:solidFill>
          </w14:textFill>
        </w:rPr>
        <w:t>；</w:t>
      </w:r>
    </w:p>
    <w:p w14:paraId="5983F64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ascii="宋体" w:hAnsi="宋体"/>
          <w:color w:val="000000" w:themeColor="text1"/>
          <w:szCs w:val="21"/>
          <w:u w:val="single"/>
          <w14:textFill>
            <w14:solidFill>
              <w14:schemeClr w14:val="tx1"/>
            </w14:solidFill>
          </w14:textFill>
        </w:rPr>
        <w:t>《重庆市住房和城乡建设委员会关于印发&lt;重庆市房屋建筑和市政基础设施工程质量常见问题防治要点（2019年版）&gt;的通知》（渝建〔2019〕198号）</w:t>
      </w:r>
      <w:r>
        <w:rPr>
          <w:rFonts w:hint="eastAsia" w:ascii="宋体" w:hAnsi="宋体"/>
          <w:color w:val="000000" w:themeColor="text1"/>
          <w:szCs w:val="21"/>
          <w14:textFill>
            <w14:solidFill>
              <w14:schemeClr w14:val="tx1"/>
            </w14:solidFill>
          </w14:textFill>
        </w:rPr>
        <w:t>；</w:t>
      </w:r>
    </w:p>
    <w:p w14:paraId="0A5CA4B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hint="eastAsia" w:ascii="宋体" w:hAnsi="宋体"/>
          <w:color w:val="000000" w:themeColor="text1"/>
          <w:szCs w:val="21"/>
          <w:u w:val="single"/>
          <w14:textFill>
            <w14:solidFill>
              <w14:schemeClr w14:val="tx1"/>
            </w14:solidFill>
          </w14:textFill>
        </w:rPr>
        <w:t>《关于印发&lt;重庆市房屋建筑和市政基础设施工程预拌商品砂浆应用推进工作方案&gt;的通知》（渝建〔2018〕375号）</w:t>
      </w:r>
      <w:r>
        <w:rPr>
          <w:rFonts w:hint="eastAsia" w:ascii="宋体" w:hAnsi="宋体"/>
          <w:color w:val="000000" w:themeColor="text1"/>
          <w:szCs w:val="21"/>
          <w14:textFill>
            <w14:solidFill>
              <w14:schemeClr w14:val="tx1"/>
            </w14:solidFill>
          </w14:textFill>
        </w:rPr>
        <w:t>；</w:t>
      </w:r>
    </w:p>
    <w:p w14:paraId="6C96798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r>
        <w:rPr>
          <w:rFonts w:hint="eastAsia" w:ascii="宋体" w:hAnsi="宋体"/>
          <w:color w:val="000000" w:themeColor="text1"/>
          <w:szCs w:val="21"/>
          <w:u w:val="single"/>
          <w14:textFill>
            <w14:solidFill>
              <w14:schemeClr w14:val="tx1"/>
            </w14:solidFill>
          </w14:textFill>
        </w:rPr>
        <w:t>《重庆市城乡建设委员会关于印发2018年房屋建筑和市政基础设施工程质量要点的通知》（渝建〔2018〕94号）</w:t>
      </w:r>
      <w:r>
        <w:rPr>
          <w:rFonts w:hint="eastAsia" w:ascii="宋体" w:hAnsi="宋体"/>
          <w:color w:val="000000" w:themeColor="text1"/>
          <w:szCs w:val="21"/>
          <w14:textFill>
            <w14:solidFill>
              <w14:schemeClr w14:val="tx1"/>
            </w14:solidFill>
          </w14:textFill>
        </w:rPr>
        <w:t>；</w:t>
      </w:r>
    </w:p>
    <w:p w14:paraId="0CAB9A9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r>
        <w:rPr>
          <w:rFonts w:hint="eastAsia" w:ascii="宋体" w:hAnsi="宋体"/>
          <w:color w:val="000000" w:themeColor="text1"/>
          <w:szCs w:val="21"/>
          <w:u w:val="single"/>
          <w14:textFill>
            <w14:solidFill>
              <w14:schemeClr w14:val="tx1"/>
            </w14:solidFill>
          </w14:textFill>
        </w:rPr>
        <w:t>《重庆市城乡建设委员会关于进一步推广应用预拌商品砂浆的通知》（渝建〔2016〕318号）</w:t>
      </w:r>
      <w:r>
        <w:rPr>
          <w:rFonts w:hint="eastAsia" w:ascii="宋体" w:hAnsi="宋体"/>
          <w:color w:val="000000" w:themeColor="text1"/>
          <w:szCs w:val="21"/>
          <w14:textFill>
            <w14:solidFill>
              <w14:schemeClr w14:val="tx1"/>
            </w14:solidFill>
          </w14:textFill>
        </w:rPr>
        <w:t>；</w:t>
      </w:r>
    </w:p>
    <w:p w14:paraId="21EA2F6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r>
        <w:rPr>
          <w:rFonts w:hint="eastAsia" w:ascii="宋体" w:hAnsi="宋体"/>
          <w:color w:val="000000" w:themeColor="text1"/>
          <w:szCs w:val="21"/>
          <w:u w:val="single"/>
          <w14:textFill>
            <w14:solidFill>
              <w14:schemeClr w14:val="tx1"/>
            </w14:solidFill>
          </w14:textFill>
        </w:rPr>
        <w:t>《重庆市建设委员会关于发布&lt;建筑工程施工质量验收规范用表（建筑节能分部工程）&gt;和&lt;建设工程技术用表（建筑节能工程）&gt;的通知》（渝建发〔2008〕76号）</w:t>
      </w:r>
      <w:r>
        <w:rPr>
          <w:rFonts w:hint="eastAsia" w:ascii="宋体" w:hAnsi="宋体"/>
          <w:color w:val="000000" w:themeColor="text1"/>
          <w:szCs w:val="21"/>
          <w14:textFill>
            <w14:solidFill>
              <w14:schemeClr w14:val="tx1"/>
            </w14:solidFill>
          </w14:textFill>
        </w:rPr>
        <w:t>；</w:t>
      </w:r>
    </w:p>
    <w:p w14:paraId="097BCEE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r>
        <w:rPr>
          <w:rFonts w:hint="eastAsia" w:ascii="宋体" w:hAnsi="宋体"/>
          <w:color w:val="000000" w:themeColor="text1"/>
          <w:szCs w:val="21"/>
          <w:u w:val="single"/>
          <w14:textFill>
            <w14:solidFill>
              <w14:schemeClr w14:val="tx1"/>
            </w14:solidFill>
          </w14:textFill>
        </w:rPr>
        <w:t>国家和本市现行有关建设工程质量验收标准、规范和要求</w:t>
      </w:r>
      <w:r>
        <w:rPr>
          <w:rFonts w:hint="eastAsia" w:ascii="宋体" w:hAnsi="宋体"/>
          <w:color w:val="000000" w:themeColor="text1"/>
          <w:szCs w:val="21"/>
          <w14:textFill>
            <w14:solidFill>
              <w14:schemeClr w14:val="tx1"/>
            </w14:solidFill>
          </w14:textFill>
        </w:rPr>
        <w:t>；</w:t>
      </w:r>
    </w:p>
    <w:p w14:paraId="37DDA707">
      <w:pPr>
        <w:pStyle w:val="2"/>
        <w:spacing w:after="0"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7786DE8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承包人、监理人和发包人在工程建设中，应严格执行国家及重庆市现行标准，如上述标准及规范要求有出入则以较严格者为准。</w:t>
      </w:r>
    </w:p>
    <w:p w14:paraId="2DF1825F">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373" w:name="_Toc351203536"/>
      <w:bookmarkStart w:id="1374" w:name="_Toc532377347"/>
      <w:bookmarkStart w:id="1375" w:name="_Hlk528927873"/>
      <w:r>
        <w:rPr>
          <w:rFonts w:hint="eastAsia"/>
          <w:color w:val="000000" w:themeColor="text1"/>
          <w:sz w:val="21"/>
          <w:szCs w:val="21"/>
          <w14:textFill>
            <w14:solidFill>
              <w14:schemeClr w14:val="tx1"/>
            </w14:solidFill>
          </w14:textFill>
        </w:rPr>
        <w:t>5.3隐蔽工程检查</w:t>
      </w:r>
    </w:p>
    <w:p w14:paraId="7EE790F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5.3.2检查程序</w:t>
      </w:r>
    </w:p>
    <w:p w14:paraId="3203D43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工程隐蔽部位经承包人自检确认具备覆盖条件的，承包人应在共同检查前</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小时书面通知监理人检查，通知中应载明隐蔽检查的内容、时间和地点，并应附有自检记录和必要的检查资料。</w:t>
      </w:r>
    </w:p>
    <w:p w14:paraId="2F65C9C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w:t>
      </w:r>
      <w:bookmarkStart w:id="1376" w:name="_Toc337558762"/>
      <w:r>
        <w:rPr>
          <w:rFonts w:hint="eastAsia"/>
          <w:color w:val="000000" w:themeColor="text1"/>
          <w:sz w:val="21"/>
          <w:szCs w:val="21"/>
          <w14:textFill>
            <w14:solidFill>
              <w14:schemeClr w14:val="tx1"/>
            </w14:solidFill>
          </w14:textFill>
        </w:rPr>
        <w:t>.4 不合格工程的处理</w:t>
      </w:r>
      <w:bookmarkEnd w:id="1373"/>
      <w:bookmarkEnd w:id="1374"/>
    </w:p>
    <w:bookmarkEnd w:id="1376"/>
    <w:p w14:paraId="600C850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本款补充5.4.3项：</w:t>
      </w:r>
    </w:p>
    <w:p w14:paraId="6DDD0A9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5.4.3 承包人在收到监理人发出的《不合格分项报告》或监理通知单后，必须在监理人规定时间内按要求完成整改，未能在限定时间内完成整改的，须承担相应违约责任。</w:t>
      </w:r>
    </w:p>
    <w:p w14:paraId="72D6928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本条补充5.6款：</w:t>
      </w:r>
    </w:p>
    <w:bookmarkEnd w:id="1375"/>
    <w:p w14:paraId="2B56DBF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377" w:name="_Toc532377348"/>
      <w:r>
        <w:rPr>
          <w:rFonts w:hint="eastAsia"/>
          <w:color w:val="000000" w:themeColor="text1"/>
          <w:sz w:val="21"/>
          <w:szCs w:val="21"/>
          <w14:textFill>
            <w14:solidFill>
              <w14:schemeClr w14:val="tx1"/>
            </w14:solidFill>
          </w14:textFill>
        </w:rPr>
        <w:t>5.6 质量事故的处理</w:t>
      </w:r>
      <w:bookmarkEnd w:id="1377"/>
    </w:p>
    <w:p w14:paraId="610818E7">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5.6.1 合同履行过程中，发生工程质量事故的调查处理按照国家及重庆市现行规定处理。</w:t>
      </w:r>
    </w:p>
    <w:p w14:paraId="336E43E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1353"/>
    <w:bookmarkEnd w:id="1354"/>
    <w:bookmarkEnd w:id="1355"/>
    <w:bookmarkEnd w:id="1356"/>
    <w:bookmarkEnd w:id="1357"/>
    <w:bookmarkEnd w:id="1358"/>
    <w:bookmarkEnd w:id="1359"/>
    <w:bookmarkEnd w:id="1360"/>
    <w:bookmarkEnd w:id="1361"/>
    <w:bookmarkEnd w:id="1362"/>
    <w:bookmarkEnd w:id="1365"/>
    <w:bookmarkEnd w:id="1366"/>
    <w:bookmarkEnd w:id="1367"/>
    <w:bookmarkEnd w:id="1368"/>
    <w:bookmarkEnd w:id="1369"/>
    <w:bookmarkEnd w:id="1370"/>
    <w:bookmarkEnd w:id="1371"/>
    <w:p w14:paraId="0C4ADFA1">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378" w:name="_Toc532375613"/>
      <w:bookmarkStart w:id="1379" w:name="_Toc351203638"/>
      <w:bookmarkStart w:id="1380" w:name="_Toc532377349"/>
      <w:bookmarkStart w:id="1381" w:name="_Toc297120473"/>
      <w:bookmarkStart w:id="1382" w:name="_Toc296891213"/>
      <w:bookmarkStart w:id="1383" w:name="_Toc296944512"/>
      <w:bookmarkStart w:id="1384" w:name="_Toc292559378"/>
      <w:bookmarkStart w:id="1385" w:name="_Toc296346674"/>
      <w:bookmarkStart w:id="1386" w:name="_Toc296503173"/>
      <w:bookmarkStart w:id="1387" w:name="_Toc351203642"/>
      <w:bookmarkStart w:id="1388" w:name="_Toc296347172"/>
      <w:bookmarkStart w:id="1389" w:name="_Toc267251428"/>
      <w:bookmarkStart w:id="1390" w:name="_Toc296891001"/>
      <w:bookmarkStart w:id="1391" w:name="_Toc267251427"/>
      <w:bookmarkStart w:id="1392" w:name="_Toc292559883"/>
      <w:bookmarkStart w:id="1393" w:name="_Toc297048359"/>
      <w:r>
        <w:rPr>
          <w:rFonts w:hint="eastAsia"/>
          <w:color w:val="000000" w:themeColor="text1"/>
          <w:kern w:val="2"/>
          <w:sz w:val="21"/>
          <w:szCs w:val="21"/>
          <w14:textFill>
            <w14:solidFill>
              <w14:schemeClr w14:val="tx1"/>
            </w14:solidFill>
          </w14:textFill>
        </w:rPr>
        <w:t>6. 安全文明施工与环境保护</w:t>
      </w:r>
      <w:bookmarkEnd w:id="1378"/>
      <w:bookmarkEnd w:id="1379"/>
      <w:bookmarkEnd w:id="1380"/>
    </w:p>
    <w:p w14:paraId="73CFCBA9">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394" w:name="_Toc532377350"/>
      <w:bookmarkStart w:id="1395" w:name="_Toc532375614"/>
      <w:r>
        <w:rPr>
          <w:rFonts w:hint="eastAsia"/>
          <w:color w:val="000000" w:themeColor="text1"/>
          <w:sz w:val="21"/>
          <w:szCs w:val="21"/>
          <w14:textFill>
            <w14:solidFill>
              <w14:schemeClr w14:val="tx1"/>
            </w14:solidFill>
          </w14:textFill>
        </w:rPr>
        <w:t>6.1 安全文明施工</w:t>
      </w:r>
      <w:bookmarkEnd w:id="1394"/>
      <w:bookmarkEnd w:id="1395"/>
    </w:p>
    <w:p w14:paraId="5BA642B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承包人必须认真贯彻执行国家安全生产法律、法规、规章和强制性安全标准，按照重庆市现行的质量、安全文明施工有关规定和发包人安全管理的有关规定，建立完善的质量、安全、文明施工管理制度。</w:t>
      </w:r>
    </w:p>
    <w:p w14:paraId="7D346B65">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3E144F28">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6.1.1 项目安全生产的达标目标及相应事项的约定：</w:t>
      </w:r>
      <w:r>
        <w:rPr>
          <w:rFonts w:hint="eastAsia" w:ascii="宋体" w:hAnsi="宋体"/>
          <w:color w:val="000000" w:themeColor="text1"/>
          <w:szCs w:val="21"/>
          <w:u w:val="single"/>
          <w14:textFill>
            <w14:solidFill>
              <w14:schemeClr w14:val="tx1"/>
            </w14:solidFill>
          </w14:textFill>
        </w:rPr>
        <w:t>达到《建筑施工安全检查标准》（JGJ59-2011）的要求</w:t>
      </w:r>
      <w:r>
        <w:rPr>
          <w:rFonts w:hint="eastAsia" w:ascii="宋体" w:hAnsi="宋体"/>
          <w:color w:val="000000" w:themeColor="text1"/>
          <w:szCs w:val="21"/>
          <w14:textFill>
            <w14:solidFill>
              <w14:schemeClr w14:val="tx1"/>
            </w14:solidFill>
          </w14:textFill>
        </w:rPr>
        <w:t>。</w:t>
      </w:r>
    </w:p>
    <w:p w14:paraId="772FC02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（1）按现行安全文明施工费计取及使用管理的政策文件规定及发包人制订的安全管理制度执行</w:t>
      </w:r>
      <w:r>
        <w:rPr>
          <w:rFonts w:hint="eastAsia" w:ascii="宋体" w:hAnsi="宋体"/>
          <w:color w:val="000000" w:themeColor="text1"/>
          <w:szCs w:val="21"/>
          <w14:textFill>
            <w14:solidFill>
              <w14:schemeClr w14:val="tx1"/>
            </w14:solidFill>
          </w14:textFill>
        </w:rPr>
        <w:t>。</w:t>
      </w:r>
    </w:p>
    <w:p w14:paraId="746D4CC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（2）承包人的原因造成事故，由此产生的法律责任和事故责任及费用由承包人全部承担</w:t>
      </w:r>
      <w:r>
        <w:rPr>
          <w:rFonts w:hint="eastAsia" w:ascii="宋体" w:hAnsi="宋体"/>
          <w:color w:val="000000" w:themeColor="text1"/>
          <w:szCs w:val="21"/>
          <w14:textFill>
            <w14:solidFill>
              <w14:schemeClr w14:val="tx1"/>
            </w14:solidFill>
          </w14:textFill>
        </w:rPr>
        <w:t>。</w:t>
      </w:r>
    </w:p>
    <w:p w14:paraId="43457D5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（3）承包人向发包人做出安全承诺，并签订《安全生产目标责任书》和《安全承诺书》</w:t>
      </w:r>
      <w:r>
        <w:rPr>
          <w:rFonts w:hint="eastAsia" w:ascii="宋体" w:hAnsi="宋体"/>
          <w:color w:val="000000" w:themeColor="text1"/>
          <w:szCs w:val="21"/>
          <w14:textFill>
            <w14:solidFill>
              <w14:schemeClr w14:val="tx1"/>
            </w14:solidFill>
          </w14:textFill>
        </w:rPr>
        <w:t>。</w:t>
      </w:r>
    </w:p>
    <w:p w14:paraId="2BE20B1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（4）承包人在施工过程中，必须严格执行安全生产法的相关规定，制定切实可靠的安全技术措施</w:t>
      </w:r>
      <w:r>
        <w:rPr>
          <w:rFonts w:hint="eastAsia" w:ascii="宋体" w:hAnsi="宋体"/>
          <w:color w:val="000000" w:themeColor="text1"/>
          <w:szCs w:val="21"/>
          <w14:textFill>
            <w14:solidFill>
              <w14:schemeClr w14:val="tx1"/>
            </w14:solidFill>
          </w14:textFill>
        </w:rPr>
        <w:t>。</w:t>
      </w:r>
    </w:p>
    <w:p w14:paraId="3905B0D9">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（5）接受发包人安全监督和管理，在施工中违反安全管理规定和操作规程、违章作业的，承担违约责任</w:t>
      </w:r>
      <w:r>
        <w:rPr>
          <w:rFonts w:hint="eastAsia" w:ascii="宋体" w:hAnsi="宋体"/>
          <w:color w:val="000000" w:themeColor="text1"/>
          <w:szCs w:val="21"/>
          <w14:textFill>
            <w14:solidFill>
              <w14:schemeClr w14:val="tx1"/>
            </w14:solidFill>
          </w14:textFill>
        </w:rPr>
        <w:t>。</w:t>
      </w:r>
    </w:p>
    <w:p w14:paraId="6AA7473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6.1.4 关于治安保卫的特别约定：</w:t>
      </w:r>
      <w:r>
        <w:rPr>
          <w:rFonts w:hint="eastAsia" w:ascii="宋体" w:hAnsi="宋体"/>
          <w:color w:val="000000" w:themeColor="text1"/>
          <w:szCs w:val="21"/>
          <w:u w:val="single"/>
          <w14:textFill>
            <w14:solidFill>
              <w14:schemeClr w14:val="tx1"/>
            </w14:solidFill>
          </w14:textFill>
        </w:rPr>
        <w:t>承包人负责组建施工现场治安管理机构或联防组织；承包人负责编制施工场地治安管理计划和突发治安事件紧急预案</w:t>
      </w:r>
      <w:r>
        <w:rPr>
          <w:rFonts w:hint="eastAsia" w:ascii="宋体" w:hAnsi="宋体"/>
          <w:color w:val="000000" w:themeColor="text1"/>
          <w:szCs w:val="21"/>
          <w14:textFill>
            <w14:solidFill>
              <w14:schemeClr w14:val="tx1"/>
            </w14:solidFill>
          </w14:textFill>
        </w:rPr>
        <w:t>。</w:t>
      </w:r>
    </w:p>
    <w:p w14:paraId="5375D6B7">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关于编制施工场地治安管理计划的约定：</w:t>
      </w:r>
      <w:r>
        <w:rPr>
          <w:rFonts w:hint="eastAsia" w:ascii="宋体" w:hAnsi="宋体"/>
          <w:color w:val="000000" w:themeColor="text1"/>
          <w:szCs w:val="21"/>
          <w:u w:val="single"/>
          <w14:textFill>
            <w14:solidFill>
              <w14:schemeClr w14:val="tx1"/>
            </w14:solidFill>
          </w14:textFill>
        </w:rPr>
        <w:t>由承包人负责</w:t>
      </w:r>
      <w:r>
        <w:rPr>
          <w:rFonts w:hint="eastAsia" w:ascii="宋体" w:hAnsi="宋体"/>
          <w:color w:val="000000" w:themeColor="text1"/>
          <w:szCs w:val="21"/>
          <w14:textFill>
            <w14:solidFill>
              <w14:schemeClr w14:val="tx1"/>
            </w14:solidFill>
          </w14:textFill>
        </w:rPr>
        <w:t>。</w:t>
      </w:r>
    </w:p>
    <w:p w14:paraId="602691D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6.1.5 文明施工</w:t>
      </w:r>
    </w:p>
    <w:p w14:paraId="0ED27D55">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合同当事人对文明施工的要求：</w:t>
      </w:r>
      <w:r>
        <w:rPr>
          <w:rFonts w:hint="eastAsia" w:ascii="宋体" w:hAnsi="宋体"/>
          <w:color w:val="000000" w:themeColor="text1"/>
          <w:szCs w:val="21"/>
          <w:u w:val="single"/>
          <w14:textFill>
            <w14:solidFill>
              <w14:schemeClr w14:val="tx1"/>
            </w14:solidFill>
          </w14:textFill>
        </w:rPr>
        <w:t>承包人应按照《房屋建筑和市政基础设施工程施工扬尘控制工作方案》（渝建发〔2009〕13号）、《重庆市建设委员会关于印发&lt;重庆市房屋建筑和市政基础设施工程现场文明施工标准&gt;的通知》（渝建发〔2008〕169号）、《关于调整建设施工现场形象品质提升安全文明施工费计取的通知》（渝建管〔2020〕97号）等相关规定履行好施工扬尘控制、文明施工等责任</w:t>
      </w:r>
      <w:r>
        <w:rPr>
          <w:rFonts w:hint="eastAsia" w:ascii="宋体" w:hAnsi="宋体"/>
          <w:color w:val="000000" w:themeColor="text1"/>
          <w:szCs w:val="21"/>
          <w14:textFill>
            <w14:solidFill>
              <w14:schemeClr w14:val="tx1"/>
            </w14:solidFill>
          </w14:textFill>
        </w:rPr>
        <w:t>。</w:t>
      </w:r>
    </w:p>
    <w:p w14:paraId="259D9F3C">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color w:val="000000" w:themeColor="text1"/>
          <w:szCs w:val="21"/>
          <w14:textFill>
            <w14:solidFill>
              <w14:schemeClr w14:val="tx1"/>
            </w14:solidFill>
          </w14:textFill>
        </w:rPr>
        <w:t>。</w:t>
      </w:r>
    </w:p>
    <w:p w14:paraId="3217E41C">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6.1.6 关于安全文明施工费支付比例和支付期限的约定：按照行业主管部门相关规定</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执行。</w:t>
      </w:r>
    </w:p>
    <w:p w14:paraId="58407AE5">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安全文明施工费的要求与内容、提取支付方法以及违反约定造成损失的赔偿等条款，按照现行规范要求执行，做到专款专用</w:t>
      </w:r>
      <w:r>
        <w:rPr>
          <w:rFonts w:hint="eastAsia" w:ascii="宋体" w:hAnsi="宋体"/>
          <w:color w:val="000000" w:themeColor="text1"/>
          <w:szCs w:val="21"/>
          <w14:textFill>
            <w14:solidFill>
              <w14:schemeClr w14:val="tx1"/>
            </w14:solidFill>
          </w14:textFill>
        </w:rPr>
        <w:t>。</w:t>
      </w:r>
    </w:p>
    <w:p w14:paraId="245B63D8">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396" w:name="_Toc532375615"/>
      <w:bookmarkStart w:id="1397" w:name="_Toc532377351"/>
      <w:r>
        <w:rPr>
          <w:rFonts w:hint="eastAsia"/>
          <w:color w:val="000000" w:themeColor="text1"/>
          <w:sz w:val="21"/>
          <w:szCs w:val="21"/>
          <w14:textFill>
            <w14:solidFill>
              <w14:schemeClr w14:val="tx1"/>
            </w14:solidFill>
          </w14:textFill>
        </w:rPr>
        <w:t>6.3 环境保护</w:t>
      </w:r>
      <w:bookmarkEnd w:id="1396"/>
      <w:bookmarkEnd w:id="1397"/>
    </w:p>
    <w:p w14:paraId="0245698E">
      <w:pPr>
        <w:tabs>
          <w:tab w:val="left" w:pos="711"/>
          <w:tab w:val="left" w:pos="2580"/>
        </w:tabs>
        <w:spacing w:line="360" w:lineRule="auto"/>
        <w:ind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本款补充6.3.1～6.3.8项：</w:t>
      </w:r>
    </w:p>
    <w:p w14:paraId="7AE1C622">
      <w:pPr>
        <w:tabs>
          <w:tab w:val="left" w:pos="711"/>
          <w:tab w:val="left" w:pos="2580"/>
        </w:tabs>
        <w:spacing w:line="360" w:lineRule="auto"/>
        <w:ind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51D5B3C2">
      <w:pPr>
        <w:tabs>
          <w:tab w:val="left" w:pos="711"/>
          <w:tab w:val="left" w:pos="2580"/>
        </w:tabs>
        <w:spacing w:line="360" w:lineRule="auto"/>
        <w:ind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5AECE6AD">
      <w:pPr>
        <w:tabs>
          <w:tab w:val="left" w:pos="711"/>
          <w:tab w:val="left" w:pos="2580"/>
        </w:tabs>
        <w:spacing w:line="360" w:lineRule="auto"/>
        <w:ind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6.3.3 承包人应加强生态环境保护工作。施工期间，采取边坡防护，挡渣坝、排水沟、沉淀池、表土剥离和绿化恢复等水土保持措施减少水土流失量，绿化恢复宜采用适于当地生长的植物。</w:t>
      </w:r>
    </w:p>
    <w:p w14:paraId="1BC2AD71">
      <w:pPr>
        <w:tabs>
          <w:tab w:val="left" w:pos="711"/>
          <w:tab w:val="left" w:pos="2580"/>
        </w:tabs>
        <w:spacing w:line="360" w:lineRule="auto"/>
        <w:ind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6.3.4 承包人应认真落实水污染防治措施。施工期间，加强机械设备维护，减少跑冒滴漏等现象；做好含油废水处理措施；施工场地生活污水经生化处理后达到</w:t>
      </w:r>
      <w:r>
        <w:rPr>
          <w:rFonts w:hint="eastAsia" w:ascii="宋体" w:hAnsi="宋体"/>
          <w:color w:val="000000" w:themeColor="text1"/>
          <w:szCs w:val="21"/>
          <w:u w:val="single"/>
          <w14:textFill>
            <w14:solidFill>
              <w14:schemeClr w14:val="tx1"/>
            </w14:solidFill>
          </w14:textFill>
        </w:rPr>
        <w:t>《污水综合排放标准》（GB8978-1996）</w:t>
      </w:r>
      <w:r>
        <w:rPr>
          <w:rFonts w:hint="eastAsia" w:ascii="宋体" w:hAnsi="宋体"/>
          <w:color w:val="000000" w:themeColor="text1"/>
          <w:szCs w:val="21"/>
          <w14:textFill>
            <w14:solidFill>
              <w14:schemeClr w14:val="tx1"/>
            </w14:solidFill>
          </w14:textFill>
        </w:rPr>
        <w:t>一级标准后排放。</w:t>
      </w:r>
    </w:p>
    <w:p w14:paraId="4DB5C0B4">
      <w:pPr>
        <w:tabs>
          <w:tab w:val="left" w:pos="711"/>
          <w:tab w:val="left" w:pos="2580"/>
        </w:tabs>
        <w:spacing w:line="360" w:lineRule="auto"/>
        <w:ind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6.3.5 承包人应重视大气污染物污染防治措施。施工期间，严格执行市政府“蓝天行动”方案等有关规定，通过洒水防尘，严格控制施工场地扬尘和运输扬尘污染。</w:t>
      </w:r>
    </w:p>
    <w:p w14:paraId="3AA6D03E">
      <w:pPr>
        <w:tabs>
          <w:tab w:val="left" w:pos="711"/>
          <w:tab w:val="left" w:pos="2580"/>
        </w:tabs>
        <w:spacing w:line="360" w:lineRule="auto"/>
        <w:ind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6.3.6 承包人应落实固体废物污染防治措施。施工期间，项目产生的弃方不可合理</w:t>
      </w:r>
      <w:r>
        <w:rPr>
          <w:rFonts w:ascii="宋体" w:hAnsi="宋体"/>
          <w:color w:val="000000" w:themeColor="text1"/>
          <w:szCs w:val="21"/>
          <w14:textFill>
            <w14:solidFill>
              <w14:schemeClr w14:val="tx1"/>
            </w14:solidFill>
          </w14:textFill>
        </w:rPr>
        <w:t>利用的</w:t>
      </w:r>
      <w:r>
        <w:rPr>
          <w:rFonts w:hint="eastAsia" w:ascii="宋体" w:hAnsi="宋体"/>
          <w:color w:val="000000" w:themeColor="text1"/>
          <w:szCs w:val="21"/>
          <w14:textFill>
            <w14:solidFill>
              <w14:schemeClr w14:val="tx1"/>
            </w14:solidFill>
          </w14:textFill>
        </w:rPr>
        <w:t>，应运往指定的弃渣场内堆存；建筑垃圾运至指定的建筑垃圾消纳场处置；生活垃圾由当地环卫部门统一处置。</w:t>
      </w:r>
    </w:p>
    <w:p w14:paraId="64262B66">
      <w:pPr>
        <w:tabs>
          <w:tab w:val="left" w:pos="711"/>
          <w:tab w:val="left" w:pos="2580"/>
        </w:tabs>
        <w:spacing w:line="360" w:lineRule="auto"/>
        <w:ind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6.3.7 承包人应认真落实噪声污染防治措施。施工期间，优选低噪声设备，合理安排施工时间，严格控制夜间施工，昼、夜施工场界需满足</w:t>
      </w:r>
      <w:r>
        <w:rPr>
          <w:rFonts w:hint="eastAsia" w:ascii="宋体" w:hAnsi="宋体"/>
          <w:color w:val="000000" w:themeColor="text1"/>
          <w:szCs w:val="21"/>
          <w:u w:val="single"/>
          <w14:textFill>
            <w14:solidFill>
              <w14:schemeClr w14:val="tx1"/>
            </w14:solidFill>
          </w14:textFill>
        </w:rPr>
        <w:t>《建筑施工场界环境噪声排放标准》（GB12523-2011）</w:t>
      </w:r>
      <w:r>
        <w:rPr>
          <w:rFonts w:hint="eastAsia" w:ascii="宋体" w:hAnsi="宋体"/>
          <w:color w:val="000000" w:themeColor="text1"/>
          <w:szCs w:val="21"/>
          <w14:textFill>
            <w14:solidFill>
              <w14:schemeClr w14:val="tx1"/>
            </w14:solidFill>
          </w14:textFill>
        </w:rPr>
        <w:t>。</w:t>
      </w:r>
    </w:p>
    <w:p w14:paraId="0D8AC96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6.3.8 承包人自行负责办理有关施工场地交通、环卫和施工噪音管理等手续，并应按要求结合自身实际和重庆市相关规定，考虑不低于以上标准的此类工作。</w:t>
      </w:r>
    </w:p>
    <w:p w14:paraId="15A177B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6.3.9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14A60BBA">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398" w:name="_Toc351203639"/>
      <w:bookmarkStart w:id="1399" w:name="_Toc532377352"/>
      <w:bookmarkStart w:id="1400" w:name="_Toc532375616"/>
      <w:r>
        <w:rPr>
          <w:rFonts w:hint="eastAsia"/>
          <w:color w:val="000000" w:themeColor="text1"/>
          <w:kern w:val="2"/>
          <w:sz w:val="21"/>
          <w:szCs w:val="21"/>
          <w14:textFill>
            <w14:solidFill>
              <w14:schemeClr w14:val="tx1"/>
            </w14:solidFill>
          </w14:textFill>
        </w:rPr>
        <w:t>7. 工期和进度</w:t>
      </w:r>
      <w:bookmarkEnd w:id="1398"/>
      <w:bookmarkEnd w:id="1399"/>
      <w:bookmarkEnd w:id="1400"/>
    </w:p>
    <w:p w14:paraId="7F0A57A6">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401" w:name="_Toc532377353"/>
      <w:bookmarkStart w:id="1402" w:name="_Toc532375617"/>
      <w:r>
        <w:rPr>
          <w:rFonts w:hint="eastAsia"/>
          <w:color w:val="000000" w:themeColor="text1"/>
          <w:sz w:val="21"/>
          <w:szCs w:val="21"/>
          <w14:textFill>
            <w14:solidFill>
              <w14:schemeClr w14:val="tx1"/>
            </w14:solidFill>
          </w14:textFill>
        </w:rPr>
        <w:t>7.1 施工组织设计</w:t>
      </w:r>
      <w:bookmarkEnd w:id="1401"/>
      <w:bookmarkEnd w:id="1402"/>
    </w:p>
    <w:p w14:paraId="65214ACB">
      <w:pPr>
        <w:autoSpaceDE w:val="0"/>
        <w:autoSpaceDN w:val="0"/>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7.1.1 合同当事人约定的施工组织设计应包括的其他内容：</w:t>
      </w:r>
      <w:r>
        <w:rPr>
          <w:rFonts w:hint="eastAsia" w:ascii="宋体" w:hAnsi="宋体"/>
          <w:color w:val="000000" w:themeColor="text1"/>
          <w:szCs w:val="21"/>
          <w:u w:val="single"/>
          <w14:textFill>
            <w14:solidFill>
              <w14:schemeClr w14:val="tx1"/>
            </w14:solidFill>
          </w14:textFill>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color w:val="000000" w:themeColor="text1"/>
          <w:szCs w:val="21"/>
          <w14:textFill>
            <w14:solidFill>
              <w14:schemeClr w14:val="tx1"/>
            </w14:solidFill>
          </w14:textFill>
        </w:rPr>
        <w:t>。</w:t>
      </w:r>
    </w:p>
    <w:p w14:paraId="7C938031">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7.1.2 施工组织设计的提交和修改</w:t>
      </w:r>
    </w:p>
    <w:p w14:paraId="52CB266E">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承包人提交详细施工组织设计的期限的约定：</w:t>
      </w:r>
      <w:r>
        <w:rPr>
          <w:rFonts w:hint="eastAsia" w:ascii="宋体" w:hAnsi="宋体"/>
          <w:color w:val="000000" w:themeColor="text1"/>
          <w:szCs w:val="21"/>
          <w:u w:val="single"/>
          <w14:textFill>
            <w14:solidFill>
              <w14:schemeClr w14:val="tx1"/>
            </w14:solidFill>
          </w14:textFill>
        </w:rPr>
        <w:t>合同签订后5天内，但最迟不得晚于开工通知载明的开工日期前7天</w:t>
      </w:r>
      <w:r>
        <w:rPr>
          <w:rFonts w:hint="eastAsia" w:ascii="宋体" w:hAnsi="宋体"/>
          <w:color w:val="000000" w:themeColor="text1"/>
          <w:szCs w:val="21"/>
          <w14:textFill>
            <w14:solidFill>
              <w14:schemeClr w14:val="tx1"/>
            </w14:solidFill>
          </w14:textFill>
        </w:rPr>
        <w:t>。</w:t>
      </w:r>
    </w:p>
    <w:p w14:paraId="5341DDC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发包人和监理人在收到详细的施工组织设计后确认或提出修改意见的期限：</w:t>
      </w:r>
      <w:r>
        <w:rPr>
          <w:rFonts w:hint="eastAsia" w:ascii="宋体" w:hAnsi="宋体"/>
          <w:color w:val="000000" w:themeColor="text1"/>
          <w:szCs w:val="21"/>
          <w:u w:val="single"/>
          <w14:textFill>
            <w14:solidFill>
              <w14:schemeClr w14:val="tx1"/>
            </w14:solidFill>
          </w14:textFill>
        </w:rPr>
        <w:t>收到施工组织设计后5天内</w:t>
      </w:r>
      <w:r>
        <w:rPr>
          <w:rFonts w:hint="eastAsia" w:ascii="宋体" w:hAnsi="宋体"/>
          <w:color w:val="000000" w:themeColor="text1"/>
          <w:szCs w:val="21"/>
          <w14:textFill>
            <w14:solidFill>
              <w14:schemeClr w14:val="tx1"/>
            </w14:solidFill>
          </w14:textFill>
        </w:rPr>
        <w:t>。</w:t>
      </w:r>
    </w:p>
    <w:p w14:paraId="37614DC9">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403" w:name="_Toc532375618"/>
      <w:bookmarkStart w:id="1404" w:name="_Toc532377354"/>
      <w:r>
        <w:rPr>
          <w:rFonts w:hint="eastAsia"/>
          <w:color w:val="000000" w:themeColor="text1"/>
          <w:sz w:val="21"/>
          <w:szCs w:val="21"/>
          <w14:textFill>
            <w14:solidFill>
              <w14:schemeClr w14:val="tx1"/>
            </w14:solidFill>
          </w14:textFill>
        </w:rPr>
        <w:t>7.2 施工进度计划</w:t>
      </w:r>
      <w:bookmarkEnd w:id="1403"/>
      <w:bookmarkEnd w:id="1404"/>
    </w:p>
    <w:p w14:paraId="353F66B7">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7.2.2 施工进度计划的修订</w:t>
      </w:r>
    </w:p>
    <w:p w14:paraId="1D77932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发包人和监理人在收到修订的施工进度计划后确认或提出修改意见的期限：</w:t>
      </w:r>
      <w:r>
        <w:rPr>
          <w:rFonts w:hint="eastAsia" w:ascii="宋体" w:hAnsi="宋体"/>
          <w:color w:val="000000" w:themeColor="text1"/>
          <w:szCs w:val="21"/>
          <w:u w:val="single"/>
          <w14:textFill>
            <w14:solidFill>
              <w14:schemeClr w14:val="tx1"/>
            </w14:solidFill>
          </w14:textFill>
        </w:rPr>
        <w:t>收到修订的施工进度计划后5天内</w:t>
      </w:r>
      <w:r>
        <w:rPr>
          <w:rFonts w:hint="eastAsia" w:ascii="宋体" w:hAnsi="宋体"/>
          <w:color w:val="000000" w:themeColor="text1"/>
          <w:szCs w:val="21"/>
          <w14:textFill>
            <w14:solidFill>
              <w14:schemeClr w14:val="tx1"/>
            </w14:solidFill>
          </w14:textFill>
        </w:rPr>
        <w:t>。</w:t>
      </w:r>
    </w:p>
    <w:p w14:paraId="0B6E214E">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405" w:name="_Toc532375619"/>
      <w:bookmarkStart w:id="1406" w:name="_Toc532377355"/>
      <w:bookmarkStart w:id="1407" w:name="_Toc297216173"/>
      <w:bookmarkStart w:id="1408" w:name="_Toc303539123"/>
      <w:bookmarkStart w:id="1409" w:name="_Toc300934966"/>
      <w:bookmarkStart w:id="1410" w:name="_Toc312677479"/>
      <w:bookmarkStart w:id="1411" w:name="_Toc304295541"/>
      <w:bookmarkStart w:id="1412" w:name="_Toc312678005"/>
      <w:bookmarkStart w:id="1413" w:name="_Toc297123514"/>
      <w:r>
        <w:rPr>
          <w:rFonts w:hint="eastAsia"/>
          <w:color w:val="000000" w:themeColor="text1"/>
          <w:sz w:val="21"/>
          <w:szCs w:val="21"/>
          <w14:textFill>
            <w14:solidFill>
              <w14:schemeClr w14:val="tx1"/>
            </w14:solidFill>
          </w14:textFill>
        </w:rPr>
        <w:t>7.3 开工</w:t>
      </w:r>
      <w:bookmarkEnd w:id="1405"/>
      <w:bookmarkEnd w:id="1406"/>
    </w:p>
    <w:p w14:paraId="608B639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7.3.1 开工准备</w:t>
      </w:r>
    </w:p>
    <w:p w14:paraId="536A4EB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关于承包人提交工程开工报审表的期限：</w:t>
      </w:r>
      <w:r>
        <w:rPr>
          <w:rFonts w:hint="eastAsia" w:ascii="宋体" w:hAnsi="宋体"/>
          <w:color w:val="000000" w:themeColor="text1"/>
          <w:szCs w:val="21"/>
          <w:u w:val="single"/>
          <w14:textFill>
            <w14:solidFill>
              <w14:schemeClr w14:val="tx1"/>
            </w14:solidFill>
          </w14:textFill>
        </w:rPr>
        <w:t>不晚于开工前5天</w:t>
      </w:r>
      <w:r>
        <w:rPr>
          <w:rFonts w:hint="eastAsia" w:ascii="宋体" w:hAnsi="宋体"/>
          <w:color w:val="000000" w:themeColor="text1"/>
          <w:szCs w:val="21"/>
          <w14:textFill>
            <w14:solidFill>
              <w14:schemeClr w14:val="tx1"/>
            </w14:solidFill>
          </w14:textFill>
        </w:rPr>
        <w:t>。</w:t>
      </w:r>
    </w:p>
    <w:p w14:paraId="4F8E942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关于发包人应完成的其他开工准备工作及期限：</w:t>
      </w:r>
      <w:r>
        <w:rPr>
          <w:rFonts w:hint="eastAsia" w:ascii="宋体" w:hAnsi="宋体"/>
          <w:color w:val="000000" w:themeColor="text1"/>
          <w:szCs w:val="21"/>
          <w:u w:val="single"/>
          <w14:textFill>
            <w14:solidFill>
              <w14:schemeClr w14:val="tx1"/>
            </w14:solidFill>
          </w14:textFill>
        </w:rPr>
        <w:t>不晚于开工前5天</w:t>
      </w:r>
      <w:r>
        <w:rPr>
          <w:rFonts w:hint="eastAsia" w:ascii="宋体" w:hAnsi="宋体"/>
          <w:color w:val="000000" w:themeColor="text1"/>
          <w:szCs w:val="21"/>
          <w14:textFill>
            <w14:solidFill>
              <w14:schemeClr w14:val="tx1"/>
            </w14:solidFill>
          </w14:textFill>
        </w:rPr>
        <w:t>。</w:t>
      </w:r>
    </w:p>
    <w:p w14:paraId="57885A0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关于承包人应完成的其他开工准备工作及期限：</w:t>
      </w:r>
      <w:r>
        <w:rPr>
          <w:rFonts w:hint="eastAsia" w:ascii="宋体" w:hAnsi="宋体"/>
          <w:color w:val="000000" w:themeColor="text1"/>
          <w:szCs w:val="21"/>
          <w:u w:val="single"/>
          <w14:textFill>
            <w14:solidFill>
              <w14:schemeClr w14:val="tx1"/>
            </w14:solidFill>
          </w14:textFill>
        </w:rPr>
        <w:t>不晚于开工前5天</w:t>
      </w:r>
      <w:r>
        <w:rPr>
          <w:rFonts w:hint="eastAsia" w:ascii="宋体" w:hAnsi="宋体"/>
          <w:color w:val="000000" w:themeColor="text1"/>
          <w:szCs w:val="21"/>
          <w14:textFill>
            <w14:solidFill>
              <w14:schemeClr w14:val="tx1"/>
            </w14:solidFill>
          </w14:textFill>
        </w:rPr>
        <w:t>。</w:t>
      </w:r>
    </w:p>
    <w:bookmarkEnd w:id="1407"/>
    <w:bookmarkEnd w:id="1408"/>
    <w:bookmarkEnd w:id="1409"/>
    <w:bookmarkEnd w:id="1410"/>
    <w:bookmarkEnd w:id="1411"/>
    <w:bookmarkEnd w:id="1412"/>
    <w:bookmarkEnd w:id="1413"/>
    <w:p w14:paraId="28BCE0BB">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414" w:name="_Toc532375620"/>
      <w:bookmarkStart w:id="1415" w:name="_Toc532377356"/>
      <w:r>
        <w:rPr>
          <w:rFonts w:hint="eastAsia"/>
          <w:color w:val="000000" w:themeColor="text1"/>
          <w:sz w:val="21"/>
          <w:szCs w:val="21"/>
          <w14:textFill>
            <w14:solidFill>
              <w14:schemeClr w14:val="tx1"/>
            </w14:solidFill>
          </w14:textFill>
        </w:rPr>
        <w:t>7.4 测量放线</w:t>
      </w:r>
      <w:bookmarkEnd w:id="1414"/>
      <w:bookmarkEnd w:id="1415"/>
    </w:p>
    <w:p w14:paraId="639B1CD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7.4.1 发包人通过监理人向承包人提供测量基准点、基准线和水准点及其书面资料的期限：</w:t>
      </w:r>
      <w:r>
        <w:rPr>
          <w:rFonts w:hint="eastAsia" w:ascii="宋体" w:hAnsi="宋体"/>
          <w:color w:val="000000" w:themeColor="text1"/>
          <w:szCs w:val="21"/>
          <w:u w:val="single"/>
          <w14:textFill>
            <w14:solidFill>
              <w14:schemeClr w14:val="tx1"/>
            </w14:solidFill>
          </w14:textFill>
        </w:rPr>
        <w:t>不晚于开工前5天</w:t>
      </w:r>
      <w:r>
        <w:rPr>
          <w:rFonts w:hint="eastAsia" w:ascii="宋体" w:hAnsi="宋体"/>
          <w:color w:val="000000" w:themeColor="text1"/>
          <w:szCs w:val="21"/>
          <w14:textFill>
            <w14:solidFill>
              <w14:schemeClr w14:val="tx1"/>
            </w14:solidFill>
          </w14:textFill>
        </w:rPr>
        <w:t>。</w:t>
      </w:r>
    </w:p>
    <w:p w14:paraId="7ECF206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承包人报监理人审批施工控制网资料的期限：</w:t>
      </w:r>
      <w:r>
        <w:rPr>
          <w:rFonts w:hint="eastAsia" w:ascii="宋体" w:hAnsi="宋体"/>
          <w:color w:val="000000" w:themeColor="text1"/>
          <w:szCs w:val="21"/>
          <w:u w:val="single"/>
          <w14:textFill>
            <w14:solidFill>
              <w14:schemeClr w14:val="tx1"/>
            </w14:solidFill>
          </w14:textFill>
        </w:rPr>
        <w:t>发出开工通知后5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color w:val="000000" w:themeColor="text1"/>
          <w:szCs w:val="21"/>
          <w14:textFill>
            <w14:solidFill>
              <w14:schemeClr w14:val="tx1"/>
            </w14:solidFill>
          </w14:textFill>
        </w:rPr>
        <w:t>。</w:t>
      </w:r>
    </w:p>
    <w:p w14:paraId="7D9FC2A4">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416" w:name="_Toc532377357"/>
      <w:bookmarkStart w:id="1417" w:name="_Toc532375621"/>
      <w:r>
        <w:rPr>
          <w:rFonts w:hint="eastAsia"/>
          <w:color w:val="000000" w:themeColor="text1"/>
          <w:sz w:val="21"/>
          <w:szCs w:val="21"/>
          <w14:textFill>
            <w14:solidFill>
              <w14:schemeClr w14:val="tx1"/>
            </w14:solidFill>
          </w14:textFill>
        </w:rPr>
        <w:t>7</w:t>
      </w:r>
      <w:bookmarkStart w:id="1418" w:name="_Toc300934968"/>
      <w:bookmarkStart w:id="1419" w:name="_Toc312677484"/>
      <w:bookmarkStart w:id="1420" w:name="_Toc297123516"/>
      <w:bookmarkStart w:id="1421" w:name="_Toc304295546"/>
      <w:bookmarkStart w:id="1422" w:name="_Toc312678010"/>
      <w:bookmarkStart w:id="1423" w:name="_Toc303539125"/>
      <w:bookmarkStart w:id="1424" w:name="_Toc297216175"/>
      <w:r>
        <w:rPr>
          <w:rFonts w:hint="eastAsia"/>
          <w:color w:val="000000" w:themeColor="text1"/>
          <w:sz w:val="21"/>
          <w:szCs w:val="21"/>
          <w14:textFill>
            <w14:solidFill>
              <w14:schemeClr w14:val="tx1"/>
            </w14:solidFill>
          </w14:textFill>
        </w:rPr>
        <w:t>.5 工期延误</w:t>
      </w:r>
      <w:bookmarkEnd w:id="1416"/>
      <w:bookmarkEnd w:id="1417"/>
    </w:p>
    <w:bookmarkEnd w:id="1418"/>
    <w:bookmarkEnd w:id="1419"/>
    <w:bookmarkEnd w:id="1420"/>
    <w:bookmarkEnd w:id="1421"/>
    <w:bookmarkEnd w:id="1422"/>
    <w:bookmarkEnd w:id="1423"/>
    <w:bookmarkEnd w:id="1424"/>
    <w:p w14:paraId="01FA8597">
      <w:pPr>
        <w:spacing w:line="360" w:lineRule="auto"/>
        <w:ind w:firstLine="420" w:firstLineChars="200"/>
        <w:jc w:val="left"/>
        <w:rPr>
          <w:rFonts w:hint="eastAsia" w:ascii="宋体" w:hAnsi="宋体"/>
          <w:color w:val="000000" w:themeColor="text1"/>
          <w:szCs w:val="21"/>
          <w14:textFill>
            <w14:solidFill>
              <w14:schemeClr w14:val="tx1"/>
            </w14:solidFill>
          </w14:textFill>
        </w:rPr>
      </w:pPr>
      <w:bookmarkStart w:id="1425" w:name="_Hlk528927940"/>
      <w:r>
        <w:rPr>
          <w:rFonts w:hint="eastAsia" w:ascii="宋体" w:hAnsi="宋体"/>
          <w:color w:val="000000" w:themeColor="text1"/>
          <w:szCs w:val="21"/>
          <w14:textFill>
            <w14:solidFill>
              <w14:schemeClr w14:val="tx1"/>
            </w14:solidFill>
          </w14:textFill>
        </w:rPr>
        <w:t>7.5.1 因发包人原因导致工期延误：</w:t>
      </w:r>
    </w:p>
    <w:p w14:paraId="2E3BA09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在合同履行过程中，除通用条款约定外，因下列情况导致工期延误和（或）费用增加的，由发包人承担由此延误的工期和（或）增加的费用：</w:t>
      </w:r>
    </w:p>
    <w:p w14:paraId="716E66D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（1）发包人未能按合同约定提供施工场地，且该未提供开工条件直接影响项目关键线路的；</w:t>
      </w:r>
    </w:p>
    <w:p w14:paraId="0326F59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（2）发包人提供的测量基准点、基准线和水准点及其书面资料存在错误或疏漏，且该错误或疏漏直接影响项目关键线路的；</w:t>
      </w:r>
    </w:p>
    <w:p w14:paraId="0EA2FA5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（3）监理人未按合同约定发出指示、批准等文件，且该未按合同约定发出指示、批准直接影响项目关键线路的；</w:t>
      </w:r>
    </w:p>
    <w:p w14:paraId="663254D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（4）变更未及时审批，直接影响项目关键线路的；</w:t>
      </w:r>
    </w:p>
    <w:p w14:paraId="0D1EABD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（5）实施变更直接影响项目关键线路的；</w:t>
      </w:r>
    </w:p>
    <w:p w14:paraId="74C582C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（6）因发包人原因导致工程暂停施工、停建、缓建的；</w:t>
      </w:r>
    </w:p>
    <w:p w14:paraId="6B2C700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（7）因征地拆迁、当地群众阻工等情形的；</w:t>
      </w:r>
    </w:p>
    <w:p w14:paraId="7F436E5A">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（8）</w:t>
      </w:r>
      <w:r>
        <w:rPr>
          <w:rFonts w:hint="eastAsia" w:ascii="宋体" w:hAnsi="宋体"/>
          <w:color w:val="000000" w:themeColor="text1"/>
          <w:szCs w:val="21"/>
          <w:u w:val="single"/>
          <w14:textFill>
            <w14:solidFill>
              <w14:schemeClr w14:val="tx1"/>
            </w14:solidFill>
          </w14:textFill>
        </w:rPr>
        <w:t>合同约定的其他情形</w:t>
      </w:r>
      <w:r>
        <w:rPr>
          <w:rFonts w:hint="eastAsia" w:ascii="宋体" w:hAnsi="宋体"/>
          <w:color w:val="000000" w:themeColor="text1"/>
          <w:szCs w:val="21"/>
          <w14:textFill>
            <w14:solidFill>
              <w14:schemeClr w14:val="tx1"/>
            </w14:solidFill>
          </w14:textFill>
        </w:rPr>
        <w:t>。</w:t>
      </w:r>
    </w:p>
    <w:p w14:paraId="53600BD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color w:val="000000" w:themeColor="text1"/>
          <w:szCs w:val="21"/>
          <w14:textFill>
            <w14:solidFill>
              <w14:schemeClr w14:val="tx1"/>
            </w14:solidFill>
          </w14:textFill>
        </w:rPr>
        <w:t>。</w:t>
      </w:r>
    </w:p>
    <w:p w14:paraId="7D0186A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7.5.2 因承包人原因导致工期延误</w:t>
      </w:r>
    </w:p>
    <w:p w14:paraId="2679952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因承包人原因造成工期延误，逾期竣工按16.2.2（6）目执行。</w:t>
      </w:r>
    </w:p>
    <w:bookmarkEnd w:id="1425"/>
    <w:p w14:paraId="4019A43A">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426" w:name="_Toc532375622"/>
      <w:bookmarkStart w:id="1427" w:name="_Toc532377358"/>
      <w:bookmarkStart w:id="1428" w:name="_Hlk528927997"/>
      <w:r>
        <w:rPr>
          <w:rFonts w:hint="eastAsia"/>
          <w:color w:val="000000" w:themeColor="text1"/>
          <w:sz w:val="21"/>
          <w:szCs w:val="21"/>
          <w14:textFill>
            <w14:solidFill>
              <w14:schemeClr w14:val="tx1"/>
            </w14:solidFill>
          </w14:textFill>
        </w:rPr>
        <w:t>7</w:t>
      </w:r>
      <w:bookmarkStart w:id="1429" w:name="_Toc297123519"/>
      <w:bookmarkStart w:id="1430" w:name="_Toc312678015"/>
      <w:bookmarkStart w:id="1431" w:name="_Toc303539128"/>
      <w:bookmarkStart w:id="1432" w:name="_Toc300934971"/>
      <w:bookmarkStart w:id="1433" w:name="_Toc304295549"/>
      <w:bookmarkStart w:id="1434" w:name="_Toc297216178"/>
      <w:r>
        <w:rPr>
          <w:rFonts w:hint="eastAsia"/>
          <w:color w:val="000000" w:themeColor="text1"/>
          <w:sz w:val="21"/>
          <w:szCs w:val="21"/>
          <w14:textFill>
            <w14:solidFill>
              <w14:schemeClr w14:val="tx1"/>
            </w14:solidFill>
          </w14:textFill>
        </w:rPr>
        <w:t>.6 不</w:t>
      </w:r>
      <w:bookmarkEnd w:id="1429"/>
      <w:bookmarkEnd w:id="1430"/>
      <w:bookmarkEnd w:id="1431"/>
      <w:bookmarkEnd w:id="1432"/>
      <w:bookmarkEnd w:id="1433"/>
      <w:bookmarkEnd w:id="1434"/>
      <w:r>
        <w:rPr>
          <w:rFonts w:hint="eastAsia"/>
          <w:color w:val="000000" w:themeColor="text1"/>
          <w:sz w:val="21"/>
          <w:szCs w:val="21"/>
          <w14:textFill>
            <w14:solidFill>
              <w14:schemeClr w14:val="tx1"/>
            </w14:solidFill>
          </w14:textFill>
        </w:rPr>
        <w:t>利物质条件</w:t>
      </w:r>
      <w:bookmarkEnd w:id="1426"/>
      <w:bookmarkEnd w:id="1427"/>
    </w:p>
    <w:bookmarkEnd w:id="1428"/>
    <w:p w14:paraId="35369C7C">
      <w:pPr>
        <w:spacing w:line="360" w:lineRule="auto"/>
        <w:ind w:firstLine="420" w:firstLineChars="200"/>
        <w:jc w:val="left"/>
        <w:rPr>
          <w:rFonts w:hint="eastAsia" w:ascii="宋体" w:hAnsi="宋体"/>
          <w:bCs/>
          <w:color w:val="000000" w:themeColor="text1"/>
          <w:szCs w:val="21"/>
          <w14:textFill>
            <w14:solidFill>
              <w14:schemeClr w14:val="tx1"/>
            </w14:solidFill>
          </w14:textFill>
        </w:rPr>
      </w:pPr>
      <w:bookmarkStart w:id="1435" w:name="_Toc304295550"/>
      <w:bookmarkStart w:id="1436" w:name="_Toc312678016"/>
      <w:bookmarkStart w:id="1437" w:name="_Toc297123520"/>
      <w:bookmarkStart w:id="1438" w:name="_Toc318581172"/>
      <w:bookmarkStart w:id="1439" w:name="_Toc300934972"/>
      <w:bookmarkStart w:id="1440" w:name="_Toc303539129"/>
      <w:bookmarkStart w:id="1441" w:name="_Toc297216179"/>
      <w:r>
        <w:rPr>
          <w:rFonts w:hint="eastAsia" w:ascii="宋体" w:hAnsi="宋体"/>
          <w:color w:val="000000" w:themeColor="text1"/>
          <w:szCs w:val="21"/>
          <w14:textFill>
            <w14:solidFill>
              <w14:schemeClr w14:val="tx1"/>
            </w14:solidFill>
          </w14:textFill>
        </w:rPr>
        <w:t>不利物质条件的其他情形和有关约定：</w:t>
      </w:r>
      <w:bookmarkStart w:id="1442" w:name="_Hlk528910274"/>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bookmarkEnd w:id="1435"/>
    <w:bookmarkEnd w:id="1436"/>
    <w:bookmarkEnd w:id="1437"/>
    <w:bookmarkEnd w:id="1438"/>
    <w:bookmarkEnd w:id="1439"/>
    <w:bookmarkEnd w:id="1440"/>
    <w:bookmarkEnd w:id="1441"/>
    <w:bookmarkEnd w:id="1442"/>
    <w:p w14:paraId="181C23C7">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443" w:name="_Toc532375623"/>
      <w:bookmarkStart w:id="1444" w:name="_Toc532377359"/>
      <w:r>
        <w:rPr>
          <w:rFonts w:hint="eastAsia"/>
          <w:color w:val="000000" w:themeColor="text1"/>
          <w:sz w:val="21"/>
          <w:szCs w:val="21"/>
          <w14:textFill>
            <w14:solidFill>
              <w14:schemeClr w14:val="tx1"/>
            </w14:solidFill>
          </w14:textFill>
        </w:rPr>
        <w:t>7</w:t>
      </w:r>
      <w:bookmarkStart w:id="1445" w:name="_Toc297216180"/>
      <w:bookmarkStart w:id="1446" w:name="_Toc297123521"/>
      <w:bookmarkStart w:id="1447" w:name="_Toc300934973"/>
      <w:bookmarkStart w:id="1448" w:name="_Toc303539130"/>
      <w:bookmarkStart w:id="1449" w:name="_Toc304295551"/>
      <w:bookmarkStart w:id="1450" w:name="_Toc312678017"/>
      <w:r>
        <w:rPr>
          <w:rFonts w:hint="eastAsia"/>
          <w:color w:val="000000" w:themeColor="text1"/>
          <w:sz w:val="21"/>
          <w:szCs w:val="21"/>
          <w14:textFill>
            <w14:solidFill>
              <w14:schemeClr w14:val="tx1"/>
            </w14:solidFill>
          </w14:textFill>
        </w:rPr>
        <w:t>.7异常恶劣的气候条件</w:t>
      </w:r>
      <w:bookmarkEnd w:id="1443"/>
      <w:bookmarkEnd w:id="1444"/>
    </w:p>
    <w:bookmarkEnd w:id="1445"/>
    <w:bookmarkEnd w:id="1446"/>
    <w:bookmarkEnd w:id="1447"/>
    <w:bookmarkEnd w:id="1448"/>
    <w:bookmarkEnd w:id="1449"/>
    <w:bookmarkEnd w:id="1450"/>
    <w:p w14:paraId="5B95B5E8">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发包人和承包人同意以下情形视为异常恶劣的气候条件：</w:t>
      </w:r>
      <w:r>
        <w:rPr>
          <w:rFonts w:hint="eastAsia" w:ascii="宋体" w:hAnsi="宋体"/>
          <w:color w:val="000000" w:themeColor="text1"/>
          <w:szCs w:val="21"/>
          <w:u w:val="single"/>
          <w14:textFill>
            <w14:solidFill>
              <w14:schemeClr w14:val="tx1"/>
            </w14:solidFill>
          </w14:textFill>
        </w:rPr>
        <w:t xml:space="preserve">    （异常气候是指项目所在地50年以上一遇的罕见气候现象）</w:t>
      </w:r>
      <w:r>
        <w:rPr>
          <w:rFonts w:hint="eastAsia" w:ascii="宋体" w:hAnsi="宋体"/>
          <w:color w:val="000000" w:themeColor="text1"/>
          <w:szCs w:val="21"/>
          <w14:textFill>
            <w14:solidFill>
              <w14:schemeClr w14:val="tx1"/>
            </w14:solidFill>
          </w14:textFill>
        </w:rPr>
        <w:t>。</w:t>
      </w:r>
    </w:p>
    <w:p w14:paraId="1520B5DA">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451" w:name="_Toc532375624"/>
      <w:bookmarkStart w:id="1452" w:name="_Toc532377360"/>
      <w:r>
        <w:rPr>
          <w:rFonts w:hint="eastAsia"/>
          <w:color w:val="000000" w:themeColor="text1"/>
          <w:sz w:val="21"/>
          <w:szCs w:val="21"/>
          <w14:textFill>
            <w14:solidFill>
              <w14:schemeClr w14:val="tx1"/>
            </w14:solidFill>
          </w14:textFill>
        </w:rPr>
        <w:t>7.9 提前竣工</w:t>
      </w:r>
      <w:bookmarkEnd w:id="1451"/>
      <w:bookmarkEnd w:id="1452"/>
    </w:p>
    <w:p w14:paraId="47D9ECB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7.9.1项细化为：</w:t>
      </w:r>
    </w:p>
    <w:p w14:paraId="04084D3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737F063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（2）发包人不得随意要求承包人提前竣工，承包人也不得随意提出提前竣工的建议。如遇特殊情况，确需将工期提前的，发包人和承包人必须采取有效措施，确保工程质量。</w:t>
      </w:r>
    </w:p>
    <w:p w14:paraId="7279C58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（3）如果承包人提前竣工，发包人支付奖金的计算方法在合同条款中约定，时间自竣工验收证书中写明的实际竣工日期起至预定的竣工日期止，按天计算。但奖金最高限额不超过项目7.9.2项的限额。</w:t>
      </w:r>
    </w:p>
    <w:p w14:paraId="5AF6ADE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7.9.2 提前竣工的奖励：</w:t>
      </w:r>
      <w:r>
        <w:rPr>
          <w:rFonts w:hint="eastAsia" w:ascii="宋体" w:hAnsi="宋体"/>
          <w:color w:val="000000" w:themeColor="text1"/>
          <w:szCs w:val="21"/>
          <w:u w:val="single"/>
          <w14:textFill>
            <w14:solidFill>
              <w14:schemeClr w14:val="tx1"/>
            </w14:solidFill>
          </w14:textFill>
        </w:rPr>
        <w:t>无</w:t>
      </w:r>
      <w:r>
        <w:rPr>
          <w:rFonts w:hint="eastAsia" w:ascii="宋体" w:hAnsi="宋体"/>
          <w:color w:val="000000" w:themeColor="text1"/>
          <w:szCs w:val="21"/>
          <w14:textFill>
            <w14:solidFill>
              <w14:schemeClr w14:val="tx1"/>
            </w14:solidFill>
          </w14:textFill>
        </w:rPr>
        <w:t>。</w:t>
      </w:r>
    </w:p>
    <w:p w14:paraId="273F5564">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453" w:name="_Toc532375625"/>
      <w:bookmarkStart w:id="1454" w:name="_Toc532377361"/>
      <w:bookmarkStart w:id="1455" w:name="_Toc351203640"/>
      <w:r>
        <w:rPr>
          <w:rFonts w:hint="eastAsia"/>
          <w:color w:val="000000" w:themeColor="text1"/>
          <w:kern w:val="2"/>
          <w:sz w:val="21"/>
          <w:szCs w:val="21"/>
          <w14:textFill>
            <w14:solidFill>
              <w14:schemeClr w14:val="tx1"/>
            </w14:solidFill>
          </w14:textFill>
        </w:rPr>
        <w:t>8. 材料与设备</w:t>
      </w:r>
      <w:bookmarkEnd w:id="1453"/>
      <w:bookmarkEnd w:id="1454"/>
      <w:bookmarkEnd w:id="1455"/>
    </w:p>
    <w:p w14:paraId="57CA2CB2">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456" w:name="_Toc532375626"/>
      <w:bookmarkStart w:id="1457" w:name="_Toc532377362"/>
      <w:r>
        <w:rPr>
          <w:rFonts w:hint="eastAsia"/>
          <w:color w:val="000000" w:themeColor="text1"/>
          <w:sz w:val="21"/>
          <w:szCs w:val="21"/>
          <w14:textFill>
            <w14:solidFill>
              <w14:schemeClr w14:val="tx1"/>
            </w14:solidFill>
          </w14:textFill>
        </w:rPr>
        <w:t>8.1发包人供应材料与工程设备</w:t>
      </w:r>
      <w:bookmarkEnd w:id="1456"/>
      <w:bookmarkEnd w:id="1457"/>
    </w:p>
    <w:p w14:paraId="2DEFCB9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材料的名称、规格、数量和价格：</w:t>
      </w:r>
      <w:r>
        <w:rPr>
          <w:rFonts w:hint="eastAsia" w:ascii="宋体" w:hAnsi="宋体"/>
          <w:color w:val="000000" w:themeColor="text1"/>
          <w:szCs w:val="21"/>
          <w:u w:val="single"/>
          <w14:textFill>
            <w14:solidFill>
              <w14:schemeClr w14:val="tx1"/>
            </w14:solidFill>
          </w14:textFill>
        </w:rPr>
        <w:t>发包人应提供甲供材料的明细表，结算时按经监理人、承包人共同确认的供应数量乘以招标时甲供材料暂定价格，在支付工程款时扣除</w:t>
      </w:r>
      <w:r>
        <w:rPr>
          <w:rFonts w:hint="eastAsia" w:ascii="宋体" w:hAnsi="宋体"/>
          <w:color w:val="000000" w:themeColor="text1"/>
          <w:szCs w:val="21"/>
          <w14:textFill>
            <w14:solidFill>
              <w14:schemeClr w14:val="tx1"/>
            </w14:solidFill>
          </w14:textFill>
        </w:rPr>
        <w:t>。</w:t>
      </w:r>
    </w:p>
    <w:p w14:paraId="50F86CD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color w:val="000000" w:themeColor="text1"/>
          <w:szCs w:val="21"/>
          <w14:textFill>
            <w14:solidFill>
              <w14:schemeClr w14:val="tx1"/>
            </w14:solidFill>
          </w14:textFill>
        </w:rPr>
        <w:t>。</w:t>
      </w:r>
    </w:p>
    <w:p w14:paraId="4064D5A2">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458" w:name="_Toc351203554"/>
      <w:bookmarkStart w:id="1459" w:name="_Toc532377363"/>
      <w:bookmarkStart w:id="1460" w:name="_Toc532375627"/>
      <w:r>
        <w:rPr>
          <w:rFonts w:hint="eastAsia"/>
          <w:color w:val="000000" w:themeColor="text1"/>
          <w:sz w:val="21"/>
          <w:szCs w:val="21"/>
          <w14:textFill>
            <w14:solidFill>
              <w14:schemeClr w14:val="tx1"/>
            </w14:solidFill>
          </w14:textFill>
        </w:rPr>
        <w:t>8</w:t>
      </w:r>
      <w:bookmarkStart w:id="1461" w:name="_Toc296503060"/>
      <w:bookmarkStart w:id="1462" w:name="_Toc337558778"/>
      <w:bookmarkStart w:id="1463" w:name="_Toc296346561"/>
      <w:r>
        <w:rPr>
          <w:rFonts w:hint="eastAsia"/>
          <w:color w:val="000000" w:themeColor="text1"/>
          <w:sz w:val="21"/>
          <w:szCs w:val="21"/>
          <w14:textFill>
            <w14:solidFill>
              <w14:schemeClr w14:val="tx1"/>
            </w14:solidFill>
          </w14:textFill>
        </w:rPr>
        <w:t>.2 承包人采购材料与工程设备</w:t>
      </w:r>
      <w:bookmarkEnd w:id="1458"/>
      <w:bookmarkEnd w:id="1459"/>
      <w:bookmarkEnd w:id="1460"/>
    </w:p>
    <w:bookmarkEnd w:id="1461"/>
    <w:bookmarkEnd w:id="1462"/>
    <w:bookmarkEnd w:id="1463"/>
    <w:p w14:paraId="13D09DA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8.2.1承包人负责采购、运输和保管的材料、工程设备：</w:t>
      </w:r>
      <w:r>
        <w:rPr>
          <w:rFonts w:hint="eastAsia" w:ascii="宋体" w:hAnsi="宋体"/>
          <w:color w:val="000000" w:themeColor="text1"/>
          <w:szCs w:val="21"/>
          <w:u w:val="single"/>
          <w14:textFill>
            <w14:solidFill>
              <w14:schemeClr w14:val="tx1"/>
            </w14:solidFill>
          </w14:textFill>
        </w:rPr>
        <w:t>由承包人自行采购。承包人采购材料设备必须经监理人和发包人批准，结算时由监理人和发包人按竞争性比选文件规定审核的数量和合同约定</w:t>
      </w:r>
      <w:r>
        <w:rPr>
          <w:rFonts w:ascii="宋体" w:hAnsi="宋体"/>
          <w:color w:val="000000" w:themeColor="text1"/>
          <w:szCs w:val="21"/>
          <w:u w:val="single"/>
          <w14:textFill>
            <w14:solidFill>
              <w14:schemeClr w14:val="tx1"/>
            </w14:solidFill>
          </w14:textFill>
        </w:rPr>
        <w:t>价格</w:t>
      </w:r>
      <w:r>
        <w:rPr>
          <w:rFonts w:hint="eastAsia" w:ascii="宋体" w:hAnsi="宋体"/>
          <w:color w:val="000000" w:themeColor="text1"/>
          <w:szCs w:val="21"/>
          <w:u w:val="single"/>
          <w14:textFill>
            <w14:solidFill>
              <w14:schemeClr w14:val="tx1"/>
            </w14:solidFill>
          </w14:textFill>
        </w:rPr>
        <w:t>计算</w:t>
      </w:r>
      <w:r>
        <w:rPr>
          <w:rFonts w:hint="eastAsia" w:ascii="宋体" w:hAnsi="宋体"/>
          <w:color w:val="000000" w:themeColor="text1"/>
          <w:szCs w:val="21"/>
          <w14:textFill>
            <w14:solidFill>
              <w14:schemeClr w14:val="tx1"/>
            </w14:solidFill>
          </w14:textFill>
        </w:rPr>
        <w:t>。</w:t>
      </w:r>
    </w:p>
    <w:p w14:paraId="377D660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8.2.2承包人报送监理人审批的时间：</w:t>
      </w:r>
      <w:r>
        <w:rPr>
          <w:rFonts w:hint="eastAsia" w:ascii="宋体" w:hAnsi="宋体"/>
          <w:color w:val="000000" w:themeColor="text1"/>
          <w:szCs w:val="21"/>
          <w:u w:val="single"/>
          <w14:textFill>
            <w14:solidFill>
              <w14:schemeClr w14:val="tx1"/>
            </w14:solidFill>
          </w14:textFill>
        </w:rPr>
        <w:t>按发包人及监理单位的相关规定执行</w:t>
      </w:r>
      <w:r>
        <w:rPr>
          <w:rFonts w:hint="eastAsia" w:ascii="宋体" w:hAnsi="宋体"/>
          <w:color w:val="000000" w:themeColor="text1"/>
          <w:szCs w:val="21"/>
          <w14:textFill>
            <w14:solidFill>
              <w14:schemeClr w14:val="tx1"/>
            </w14:solidFill>
          </w14:textFill>
        </w:rPr>
        <w:t>。</w:t>
      </w:r>
    </w:p>
    <w:p w14:paraId="5E5DFFE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8.2.3承包人选择的生产厂家或供应商满足下列条件：</w:t>
      </w:r>
    </w:p>
    <w:p w14:paraId="6140B87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A.承包人选择的混凝土供应商应满足下列条件：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0E3FABB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B.承包人选择的钢材供应商应满足下列条件：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75D8782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C.承包人选择的水泥供应商应满足下列条件：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731695A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D.承包人采购的材料与设计或标准要求不符时，承包人应按发包人和监理人要求的时间运出施工场地，并重新采购符合要求的产品，并承担由此发生的费用，因此延误的工期不予顺延。</w:t>
      </w:r>
    </w:p>
    <w:p w14:paraId="6B0C040D">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E.承包人采购的材料在使用前，应按发包人和监理人的要求进行检验或试验，不合格的不得使用。</w:t>
      </w:r>
    </w:p>
    <w:p w14:paraId="6EE10A7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F.</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5B53A2E7">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464" w:name="_Toc532375628"/>
      <w:bookmarkStart w:id="1465" w:name="_Toc532377364"/>
      <w:r>
        <w:rPr>
          <w:rFonts w:hint="eastAsia"/>
          <w:color w:val="000000" w:themeColor="text1"/>
          <w:sz w:val="21"/>
          <w:szCs w:val="21"/>
          <w14:textFill>
            <w14:solidFill>
              <w14:schemeClr w14:val="tx1"/>
            </w14:solidFill>
          </w14:textFill>
        </w:rPr>
        <w:t>8</w:t>
      </w:r>
      <w:bookmarkStart w:id="1466" w:name="_Toc296944506"/>
      <w:bookmarkStart w:id="1467" w:name="_Toc303539136"/>
      <w:bookmarkStart w:id="1468" w:name="_Toc304295556"/>
      <w:bookmarkStart w:id="1469" w:name="_Toc297120467"/>
      <w:bookmarkStart w:id="1470" w:name="_Toc292559372"/>
      <w:bookmarkStart w:id="1471" w:name="_Toc292559877"/>
      <w:bookmarkStart w:id="1472" w:name="_Toc296891207"/>
      <w:bookmarkStart w:id="1473" w:name="_Toc297123527"/>
      <w:bookmarkStart w:id="1474" w:name="_Toc280868654"/>
      <w:bookmarkStart w:id="1475" w:name="_Toc296346668"/>
      <w:bookmarkStart w:id="1476" w:name="_Toc300934979"/>
      <w:bookmarkStart w:id="1477" w:name="_Toc296890995"/>
      <w:bookmarkStart w:id="1478" w:name="_Toc312677493"/>
      <w:bookmarkStart w:id="1479" w:name="_Toc296347166"/>
      <w:bookmarkStart w:id="1480" w:name="_Toc297048353"/>
      <w:bookmarkStart w:id="1481" w:name="_Toc296503167"/>
      <w:bookmarkStart w:id="1482" w:name="_Toc297216186"/>
      <w:bookmarkStart w:id="1483" w:name="_Toc312678019"/>
      <w:bookmarkStart w:id="1484" w:name="_Toc280868655"/>
      <w:bookmarkStart w:id="1485" w:name="_Toc267251424"/>
      <w:bookmarkStart w:id="1486" w:name="_Toc280868656"/>
      <w:r>
        <w:rPr>
          <w:rFonts w:hint="eastAsia"/>
          <w:color w:val="000000" w:themeColor="text1"/>
          <w:sz w:val="21"/>
          <w:szCs w:val="21"/>
          <w14:textFill>
            <w14:solidFill>
              <w14:schemeClr w14:val="tx1"/>
            </w14:solidFill>
          </w14:textFill>
        </w:rPr>
        <w:t>.4 材料与工程设备的保管与使用</w:t>
      </w:r>
      <w:bookmarkEnd w:id="1464"/>
      <w:bookmarkEnd w:id="1465"/>
    </w:p>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p w14:paraId="0FA29AC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bookmarkStart w:id="1487" w:name="_Toc292559373"/>
      <w:bookmarkStart w:id="1488" w:name="_Toc292559878"/>
      <w:bookmarkStart w:id="1489" w:name="_Toc296346669"/>
      <w:bookmarkStart w:id="1490" w:name="_Toc297216187"/>
      <w:bookmarkStart w:id="1491" w:name="_Toc318581173"/>
      <w:bookmarkStart w:id="1492" w:name="_Toc296891208"/>
      <w:bookmarkStart w:id="1493" w:name="_Toc312678020"/>
      <w:bookmarkStart w:id="1494" w:name="_Toc312677494"/>
      <w:bookmarkStart w:id="1495" w:name="_Toc297048354"/>
      <w:bookmarkStart w:id="1496" w:name="_Toc296503168"/>
      <w:bookmarkStart w:id="1497" w:name="_Toc303539137"/>
      <w:bookmarkStart w:id="1498" w:name="_Toc296347167"/>
      <w:bookmarkStart w:id="1499" w:name="_Toc304295557"/>
      <w:bookmarkStart w:id="1500" w:name="_Toc296944507"/>
      <w:bookmarkStart w:id="1501" w:name="_Toc300934980"/>
      <w:bookmarkStart w:id="1502" w:name="_Toc297120468"/>
      <w:bookmarkStart w:id="1503" w:name="_Toc297123528"/>
      <w:bookmarkStart w:id="1504" w:name="_Toc296890996"/>
      <w:r>
        <w:rPr>
          <w:rFonts w:hint="eastAsia" w:ascii="宋体" w:hAnsi="宋体"/>
          <w:color w:val="000000" w:themeColor="text1"/>
          <w:szCs w:val="21"/>
          <w14:textFill>
            <w14:solidFill>
              <w14:schemeClr w14:val="tx1"/>
            </w14:solidFill>
          </w14:textFill>
        </w:rPr>
        <w:t>.4.1 发包人供应的材料设备的保管费用的承担：</w:t>
      </w:r>
      <w:r>
        <w:rPr>
          <w:rFonts w:hint="eastAsia"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bookmarkEnd w:id="1487"/>
      <w:bookmarkEnd w:id="1488"/>
    </w:p>
    <w:p w14:paraId="2D246181">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505" w:name="_Toc532375629"/>
      <w:bookmarkStart w:id="1506" w:name="_Toc532377365"/>
      <w:r>
        <w:rPr>
          <w:rFonts w:hint="eastAsia"/>
          <w:color w:val="000000" w:themeColor="text1"/>
          <w:sz w:val="21"/>
          <w:szCs w:val="21"/>
          <w14:textFill>
            <w14:solidFill>
              <w14:schemeClr w14:val="tx1"/>
            </w14:solidFill>
          </w14:textFill>
        </w:rPr>
        <w:t>8.6 样品</w:t>
      </w:r>
      <w:bookmarkEnd w:id="1505"/>
      <w:bookmarkEnd w:id="1506"/>
    </w:p>
    <w:p w14:paraId="684E5DE9">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8.6.1 样品的报送与封存</w:t>
      </w:r>
    </w:p>
    <w:p w14:paraId="5D0A8CAA">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需要承包人报送样品的材料或工程设备，样品的种类、名称、规格、数量要求：</w:t>
      </w:r>
      <w:r>
        <w:rPr>
          <w:rFonts w:hint="eastAsia" w:ascii="宋体" w:hAnsi="宋体"/>
          <w:color w:val="000000" w:themeColor="text1"/>
          <w:szCs w:val="21"/>
          <w:u w:val="single"/>
          <w14:textFill>
            <w14:solidFill>
              <w14:schemeClr w14:val="tx1"/>
            </w14:solidFill>
          </w14:textFill>
        </w:rPr>
        <w:t xml:space="preserve"> 按发包人要求提供  </w:t>
      </w:r>
      <w:r>
        <w:rPr>
          <w:rFonts w:hint="eastAsia" w:ascii="宋体" w:hAnsi="宋体"/>
          <w:color w:val="000000" w:themeColor="text1"/>
          <w:szCs w:val="21"/>
          <w14:textFill>
            <w14:solidFill>
              <w14:schemeClr w14:val="tx1"/>
            </w14:solidFill>
          </w14:textFill>
        </w:rPr>
        <w:t>。</w:t>
      </w:r>
    </w:p>
    <w:p w14:paraId="73746FF2">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507" w:name="_Toc532377366"/>
      <w:bookmarkStart w:id="1508" w:name="_Toc532375630"/>
      <w:r>
        <w:rPr>
          <w:rFonts w:hint="eastAsia"/>
          <w:color w:val="000000" w:themeColor="text1"/>
          <w:sz w:val="21"/>
          <w:szCs w:val="21"/>
          <w14:textFill>
            <w14:solidFill>
              <w14:schemeClr w14:val="tx1"/>
            </w14:solidFill>
          </w14:textFill>
        </w:rPr>
        <w:t>8.8 施工设备和临时设施</w:t>
      </w:r>
      <w:bookmarkEnd w:id="1507"/>
      <w:bookmarkEnd w:id="1508"/>
    </w:p>
    <w:p w14:paraId="5FDA3192">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8.8.1 承包人提供的施工设备和临时设施</w:t>
      </w:r>
    </w:p>
    <w:p w14:paraId="29819B66">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关于修建临时设施费用承担的约定：</w:t>
      </w:r>
      <w:r>
        <w:rPr>
          <w:rFonts w:hint="eastAsia" w:ascii="宋体" w:hAnsi="宋体"/>
          <w:color w:val="000000" w:themeColor="text1"/>
          <w:szCs w:val="21"/>
          <w:u w:val="single"/>
          <w14:textFill>
            <w14:solidFill>
              <w14:schemeClr w14:val="tx1"/>
            </w14:solidFill>
          </w14:textFill>
        </w:rPr>
        <w:t>由承包人承担</w:t>
      </w:r>
      <w:r>
        <w:rPr>
          <w:rFonts w:hint="eastAsia" w:ascii="宋体" w:hAnsi="宋体"/>
          <w:color w:val="000000" w:themeColor="text1"/>
          <w:szCs w:val="21"/>
          <w14:textFill>
            <w14:solidFill>
              <w14:schemeClr w14:val="tx1"/>
            </w14:solidFill>
          </w14:textFill>
        </w:rPr>
        <w:t>。</w:t>
      </w:r>
    </w:p>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p w14:paraId="479B5853">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509" w:name="_Toc351203641"/>
      <w:bookmarkStart w:id="1510" w:name="_Toc532375631"/>
      <w:bookmarkStart w:id="1511" w:name="_Toc532377367"/>
      <w:r>
        <w:rPr>
          <w:rFonts w:hint="eastAsia"/>
          <w:color w:val="000000" w:themeColor="text1"/>
          <w:kern w:val="2"/>
          <w:sz w:val="21"/>
          <w:szCs w:val="21"/>
          <w14:textFill>
            <w14:solidFill>
              <w14:schemeClr w14:val="tx1"/>
            </w14:solidFill>
          </w14:textFill>
        </w:rPr>
        <w:t>9</w:t>
      </w:r>
      <w:bookmarkEnd w:id="1484"/>
      <w:bookmarkEnd w:id="1485"/>
      <w:bookmarkEnd w:id="1486"/>
      <w:bookmarkStart w:id="1512" w:name="_Toc312678021"/>
      <w:bookmarkStart w:id="1513" w:name="_Toc297123533"/>
      <w:bookmarkStart w:id="1514" w:name="_Toc300934982"/>
      <w:bookmarkStart w:id="1515" w:name="_Toc297216192"/>
      <w:bookmarkStart w:id="1516" w:name="_Toc304295559"/>
      <w:bookmarkStart w:id="1517" w:name="_Toc303539139"/>
      <w:bookmarkStart w:id="1518" w:name="_Toc312677495"/>
      <w:r>
        <w:rPr>
          <w:rFonts w:hint="eastAsia"/>
          <w:color w:val="000000" w:themeColor="text1"/>
          <w:kern w:val="2"/>
          <w:sz w:val="21"/>
          <w:szCs w:val="21"/>
          <w14:textFill>
            <w14:solidFill>
              <w14:schemeClr w14:val="tx1"/>
            </w14:solidFill>
          </w14:textFill>
        </w:rPr>
        <w:t>. 试验与检验</w:t>
      </w:r>
      <w:bookmarkEnd w:id="1509"/>
      <w:bookmarkEnd w:id="1510"/>
      <w:bookmarkEnd w:id="1511"/>
    </w:p>
    <w:bookmarkEnd w:id="1512"/>
    <w:bookmarkEnd w:id="1513"/>
    <w:bookmarkEnd w:id="1514"/>
    <w:bookmarkEnd w:id="1515"/>
    <w:bookmarkEnd w:id="1516"/>
    <w:bookmarkEnd w:id="1517"/>
    <w:bookmarkEnd w:id="1518"/>
    <w:p w14:paraId="40481E99">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519" w:name="_Toc532375632"/>
      <w:bookmarkStart w:id="1520" w:name="_Toc532377368"/>
      <w:r>
        <w:rPr>
          <w:rFonts w:hint="eastAsia"/>
          <w:color w:val="000000" w:themeColor="text1"/>
          <w:sz w:val="21"/>
          <w:szCs w:val="21"/>
          <w14:textFill>
            <w14:solidFill>
              <w14:schemeClr w14:val="tx1"/>
            </w14:solidFill>
          </w14:textFill>
        </w:rPr>
        <w:t>9</w:t>
      </w:r>
      <w:bookmarkStart w:id="1521" w:name="_Toc300934983"/>
      <w:bookmarkStart w:id="1522" w:name="_Toc297123534"/>
      <w:bookmarkStart w:id="1523" w:name="_Toc312677496"/>
      <w:bookmarkStart w:id="1524" w:name="_Toc297216193"/>
      <w:bookmarkStart w:id="1525" w:name="_Toc303539140"/>
      <w:bookmarkStart w:id="1526" w:name="_Toc304295560"/>
      <w:bookmarkStart w:id="1527" w:name="_Toc312678022"/>
      <w:r>
        <w:rPr>
          <w:rFonts w:hint="eastAsia"/>
          <w:color w:val="000000" w:themeColor="text1"/>
          <w:sz w:val="21"/>
          <w:szCs w:val="21"/>
          <w14:textFill>
            <w14:solidFill>
              <w14:schemeClr w14:val="tx1"/>
            </w14:solidFill>
          </w14:textFill>
        </w:rPr>
        <w:t>.1 试验设备与试验人员</w:t>
      </w:r>
      <w:bookmarkEnd w:id="1519"/>
      <w:bookmarkEnd w:id="1520"/>
    </w:p>
    <w:bookmarkEnd w:id="1521"/>
    <w:bookmarkEnd w:id="1522"/>
    <w:bookmarkEnd w:id="1523"/>
    <w:bookmarkEnd w:id="1524"/>
    <w:bookmarkEnd w:id="1525"/>
    <w:bookmarkEnd w:id="1526"/>
    <w:bookmarkEnd w:id="1527"/>
    <w:p w14:paraId="07C5DC1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bookmarkStart w:id="1528" w:name="_Toc312677497"/>
      <w:bookmarkStart w:id="1529" w:name="_Toc300934984"/>
      <w:bookmarkStart w:id="1530" w:name="_Toc303539141"/>
      <w:bookmarkStart w:id="1531" w:name="_Toc312678023"/>
      <w:bookmarkStart w:id="1532" w:name="_Toc297216194"/>
      <w:bookmarkStart w:id="1533" w:name="_Toc304295561"/>
      <w:bookmarkStart w:id="1534" w:name="_Toc297123535"/>
      <w:bookmarkStart w:id="1535" w:name="_Toc318581174"/>
      <w:r>
        <w:rPr>
          <w:rFonts w:hint="eastAsia" w:ascii="宋体" w:hAnsi="宋体"/>
          <w:color w:val="000000" w:themeColor="text1"/>
          <w:szCs w:val="21"/>
          <w14:textFill>
            <w14:solidFill>
              <w14:schemeClr w14:val="tx1"/>
            </w14:solidFill>
          </w14:textFill>
        </w:rPr>
        <w:t>.1.2 试验设备</w:t>
      </w:r>
    </w:p>
    <w:p w14:paraId="414C03B7">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施工现场需要配置的试验场所：</w:t>
      </w:r>
      <w:bookmarkEnd w:id="1528"/>
      <w:bookmarkEnd w:id="1529"/>
      <w:bookmarkEnd w:id="1530"/>
      <w:bookmarkEnd w:id="1531"/>
      <w:bookmarkEnd w:id="1532"/>
      <w:bookmarkEnd w:id="1533"/>
      <w:bookmarkEnd w:id="1534"/>
      <w:bookmarkStart w:id="1536" w:name="_Toc312678024"/>
      <w:bookmarkStart w:id="1537" w:name="_Toc304295562"/>
      <w:bookmarkStart w:id="1538" w:name="_Toc300934985"/>
      <w:bookmarkStart w:id="1539" w:name="_Toc297123536"/>
      <w:bookmarkStart w:id="1540" w:name="_Toc303539142"/>
      <w:bookmarkStart w:id="1541" w:name="_Toc297216195"/>
      <w:bookmarkStart w:id="1542" w:name="_Toc312677498"/>
      <w:r>
        <w:rPr>
          <w:rFonts w:hint="eastAsia" w:ascii="宋体" w:hAnsi="宋体"/>
          <w:color w:val="000000" w:themeColor="text1"/>
          <w:szCs w:val="21"/>
          <w:u w:val="single"/>
          <w14:textFill>
            <w14:solidFill>
              <w14:schemeClr w14:val="tx1"/>
            </w14:solidFill>
          </w14:textFill>
        </w:rPr>
        <w:t>满足工程施工的需要</w:t>
      </w:r>
      <w:r>
        <w:rPr>
          <w:rFonts w:hint="eastAsia" w:ascii="宋体" w:hAnsi="宋体"/>
          <w:color w:val="000000" w:themeColor="text1"/>
          <w:szCs w:val="21"/>
          <w14:textFill>
            <w14:solidFill>
              <w14:schemeClr w14:val="tx1"/>
            </w14:solidFill>
          </w14:textFill>
        </w:rPr>
        <w:t>。</w:t>
      </w:r>
    </w:p>
    <w:p w14:paraId="61372E6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施工现场需要配备的试验设备：</w:t>
      </w:r>
      <w:r>
        <w:rPr>
          <w:rFonts w:hint="eastAsia" w:ascii="宋体" w:hAnsi="宋体"/>
          <w:color w:val="000000" w:themeColor="text1"/>
          <w:szCs w:val="21"/>
          <w:u w:val="single"/>
          <w14:textFill>
            <w14:solidFill>
              <w14:schemeClr w14:val="tx1"/>
            </w14:solidFill>
          </w14:textFill>
        </w:rPr>
        <w:t>满足工程施工的需要</w:t>
      </w:r>
      <w:r>
        <w:rPr>
          <w:rFonts w:hint="eastAsia" w:ascii="宋体" w:hAnsi="宋体"/>
          <w:color w:val="000000" w:themeColor="text1"/>
          <w:szCs w:val="21"/>
          <w14:textFill>
            <w14:solidFill>
              <w14:schemeClr w14:val="tx1"/>
            </w14:solidFill>
          </w14:textFill>
        </w:rPr>
        <w:t>。</w:t>
      </w:r>
    </w:p>
    <w:p w14:paraId="1283FB1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施工现场需要具备的其他试验条件：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146A4F77">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543" w:name="_Toc532375633"/>
      <w:bookmarkStart w:id="1544" w:name="_Toc532377369"/>
      <w:r>
        <w:rPr>
          <w:rFonts w:hint="eastAsia"/>
          <w:color w:val="000000" w:themeColor="text1"/>
          <w:sz w:val="21"/>
          <w:szCs w:val="21"/>
          <w14:textFill>
            <w14:solidFill>
              <w14:schemeClr w14:val="tx1"/>
            </w14:solidFill>
          </w14:textFill>
        </w:rPr>
        <w:t>9.4 现场工艺试验</w:t>
      </w:r>
      <w:bookmarkEnd w:id="1543"/>
      <w:bookmarkEnd w:id="1544"/>
    </w:p>
    <w:p w14:paraId="6651F4F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本款补充9.4.1～9.4.5项：</w:t>
      </w:r>
    </w:p>
    <w:bookmarkEnd w:id="1535"/>
    <w:bookmarkEnd w:id="1536"/>
    <w:bookmarkEnd w:id="1537"/>
    <w:bookmarkEnd w:id="1538"/>
    <w:bookmarkEnd w:id="1539"/>
    <w:bookmarkEnd w:id="1540"/>
    <w:bookmarkEnd w:id="1541"/>
    <w:bookmarkEnd w:id="1542"/>
    <w:p w14:paraId="54FA072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9.4.1一般检验试验：</w:t>
      </w:r>
    </w:p>
    <w:p w14:paraId="49ACC2E8">
      <w:pPr>
        <w:tabs>
          <w:tab w:val="left" w:pos="711"/>
          <w:tab w:val="left" w:pos="2580"/>
        </w:tabs>
        <w:spacing w:line="360" w:lineRule="auto"/>
        <w:ind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w:t>
      </w:r>
      <w:r>
        <w:rPr>
          <w:rFonts w:hint="eastAsia" w:ascii="宋体" w:hAnsi="宋体"/>
          <w:color w:val="000000" w:themeColor="text1"/>
          <w:szCs w:val="21"/>
          <w:u w:val="single"/>
          <w14:textFill>
            <w14:solidFill>
              <w14:schemeClr w14:val="tx1"/>
            </w14:solidFill>
          </w14:textFill>
        </w:rPr>
        <w:t>《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w:t>
      </w:r>
      <w:r>
        <w:rPr>
          <w:rFonts w:hint="eastAsia" w:ascii="宋体" w:hAnsi="宋体"/>
          <w:color w:val="000000" w:themeColor="text1"/>
          <w:szCs w:val="21"/>
          <w14:textFill>
            <w14:solidFill>
              <w14:schemeClr w14:val="tx1"/>
            </w14:solidFill>
          </w14:textFill>
        </w:rPr>
        <w:t>，对工程材料、构件、建筑安装物、半成品、成品进行的一般质量鉴定、检测和试验，由发包人委托的第三方检测试验机构实施，所发生的鉴定、检测和试验费用由发包人承担，不包含在合同价格中。</w:t>
      </w:r>
    </w:p>
    <w:p w14:paraId="240B083D">
      <w:pPr>
        <w:tabs>
          <w:tab w:val="left" w:pos="711"/>
          <w:tab w:val="left" w:pos="2580"/>
        </w:tabs>
        <w:spacing w:line="360" w:lineRule="auto"/>
        <w:ind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实施前，由发包人、承包人和第三方检测试验机构签订三方合同，第三方检测试验机构分别向承包人和发包人出具相应的检测试验报告。根据</w:t>
      </w:r>
      <w:r>
        <w:rPr>
          <w:rFonts w:hint="eastAsia" w:ascii="宋体" w:hAnsi="宋体"/>
          <w:color w:val="000000" w:themeColor="text1"/>
          <w:szCs w:val="21"/>
          <w:u w:val="single"/>
          <w14:textFill>
            <w14:solidFill>
              <w14:schemeClr w14:val="tx1"/>
            </w14:solidFill>
          </w14:textFill>
        </w:rPr>
        <w:t>渝建〔2015〕420号文和有关施工规范、验收标准及施工图</w:t>
      </w:r>
      <w:r>
        <w:rPr>
          <w:rFonts w:hint="eastAsia" w:ascii="宋体" w:hAnsi="宋体"/>
          <w:color w:val="000000" w:themeColor="text1"/>
          <w:szCs w:val="21"/>
          <w14:textFill>
            <w14:solidFill>
              <w14:schemeClr w14:val="tx1"/>
            </w14:solidFill>
          </w14:textFill>
        </w:rPr>
        <w:t>的规定或要求，所做的上述检测试验所需的试件取样、制作、送检，试件制作需要提供的材料以及检测、试验的配合工作由承包人负责完成并承担由此产生的所有相关费用。</w:t>
      </w:r>
    </w:p>
    <w:p w14:paraId="6E31A24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9.4.2特殊检验试验：</w:t>
      </w:r>
    </w:p>
    <w:p w14:paraId="2C7D9EF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w:t>
      </w:r>
      <w:r>
        <w:rPr>
          <w:rFonts w:hint="eastAsia" w:ascii="宋体" w:hAnsi="宋体"/>
          <w:color w:val="000000" w:themeColor="text1"/>
          <w:szCs w:val="21"/>
          <w:u w:val="single"/>
          <w14:textFill>
            <w14:solidFill>
              <w14:schemeClr w14:val="tx1"/>
            </w14:solidFill>
          </w14:textFill>
        </w:rPr>
        <w:t>渝建〔2015〕420号文</w:t>
      </w:r>
      <w:r>
        <w:rPr>
          <w:rFonts w:hint="eastAsia" w:ascii="宋体" w:hAnsi="宋体"/>
          <w:color w:val="000000" w:themeColor="text1"/>
          <w:szCs w:val="21"/>
          <w14:textFill>
            <w14:solidFill>
              <w14:schemeClr w14:val="tx1"/>
            </w14:solidFill>
          </w14:textFill>
        </w:rPr>
        <w:t>的规定，均由发包人委托相应的第三方检测试验机构进行检测，所发生的特殊检验试验费由发包人承担，不包含在合同价格中。</w:t>
      </w:r>
    </w:p>
    <w:p w14:paraId="6FADB0C6">
      <w:pPr>
        <w:tabs>
          <w:tab w:val="left" w:pos="711"/>
          <w:tab w:val="left" w:pos="2580"/>
        </w:tabs>
        <w:spacing w:line="360" w:lineRule="auto"/>
        <w:ind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发包人委托的第三方检测试验机构检测试验的试件所需的材料、取样、送检及相关配合工作由承包人负责完成并承担由此产生的所有相关费用。</w:t>
      </w:r>
    </w:p>
    <w:p w14:paraId="16F9BC80">
      <w:pPr>
        <w:tabs>
          <w:tab w:val="left" w:pos="711"/>
          <w:tab w:val="left" w:pos="2580"/>
        </w:tabs>
        <w:spacing w:line="360" w:lineRule="auto"/>
        <w:ind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（2）施工措施的检测、试验：因施工措施需要而做的相关检测、试验由承包人负责实施，其费用由承包人承担。</w:t>
      </w:r>
    </w:p>
    <w:p w14:paraId="10CE9837">
      <w:pPr>
        <w:tabs>
          <w:tab w:val="left" w:pos="711"/>
          <w:tab w:val="left" w:pos="2580"/>
        </w:tabs>
        <w:spacing w:line="360" w:lineRule="auto"/>
        <w:ind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9.4.3专项检测：</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66E5F7C5">
      <w:pPr>
        <w:tabs>
          <w:tab w:val="left" w:pos="711"/>
          <w:tab w:val="left" w:pos="2580"/>
        </w:tabs>
        <w:spacing w:line="360" w:lineRule="auto"/>
        <w:ind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9.4.4若因承包人取样、制样、送检及相关配合不及时而导致工程的工期和费用增加，影响的工期不予延长，增加费用由承包人承担。</w:t>
      </w:r>
    </w:p>
    <w:p w14:paraId="62AE45E9">
      <w:pPr>
        <w:tabs>
          <w:tab w:val="left" w:pos="711"/>
          <w:tab w:val="left" w:pos="2580"/>
        </w:tabs>
        <w:spacing w:line="360" w:lineRule="auto"/>
        <w:ind w:firstLine="420" w:firstLineChars="200"/>
        <w:jc w:val="left"/>
        <w:textAlignment w:val="baseline"/>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9.4.5检测试验不合格的项目，其缺陷处理和复测费用由承包人承担，工期不予延长。</w:t>
      </w:r>
    </w:p>
    <w:bookmarkEnd w:id="1381"/>
    <w:bookmarkEnd w:id="1382"/>
    <w:bookmarkEnd w:id="1383"/>
    <w:bookmarkEnd w:id="1384"/>
    <w:bookmarkEnd w:id="1385"/>
    <w:bookmarkEnd w:id="1386"/>
    <w:bookmarkEnd w:id="1387"/>
    <w:bookmarkEnd w:id="1388"/>
    <w:bookmarkEnd w:id="1389"/>
    <w:bookmarkEnd w:id="1390"/>
    <w:bookmarkEnd w:id="1391"/>
    <w:bookmarkEnd w:id="1392"/>
    <w:bookmarkEnd w:id="1393"/>
    <w:p w14:paraId="39C5814D">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545" w:name="_Toc532375634"/>
      <w:bookmarkStart w:id="1546" w:name="_Toc532377370"/>
      <w:bookmarkStart w:id="1547" w:name="_Hlk524298112"/>
      <w:bookmarkStart w:id="1548" w:name="_Toc267251486"/>
      <w:bookmarkStart w:id="1549" w:name="_Toc267251489"/>
      <w:bookmarkStart w:id="1550" w:name="_Toc267251484"/>
      <w:bookmarkStart w:id="1551" w:name="_Toc267251490"/>
      <w:bookmarkStart w:id="1552" w:name="_Toc267251485"/>
      <w:bookmarkStart w:id="1553" w:name="_Toc267251488"/>
      <w:bookmarkStart w:id="1554" w:name="_Toc267251482"/>
      <w:bookmarkStart w:id="1555" w:name="_Toc267251507"/>
      <w:bookmarkStart w:id="1556" w:name="_Toc267251513"/>
      <w:bookmarkStart w:id="1557" w:name="_Toc267251491"/>
      <w:bookmarkStart w:id="1558" w:name="_Toc267251499"/>
      <w:bookmarkStart w:id="1559" w:name="_Toc267251503"/>
      <w:bookmarkStart w:id="1560" w:name="_Toc267251497"/>
      <w:bookmarkStart w:id="1561" w:name="_Toc267251508"/>
      <w:bookmarkStart w:id="1562" w:name="_Toc267251502"/>
      <w:bookmarkStart w:id="1563" w:name="_Toc267251495"/>
      <w:bookmarkStart w:id="1564" w:name="_Toc267251509"/>
      <w:bookmarkStart w:id="1565" w:name="_Toc267251514"/>
      <w:bookmarkStart w:id="1566" w:name="_Toc267251492"/>
      <w:bookmarkStart w:id="1567" w:name="_Toc267251515"/>
      <w:bookmarkStart w:id="1568" w:name="_Toc267251510"/>
      <w:bookmarkStart w:id="1569" w:name="_Toc267251504"/>
      <w:bookmarkStart w:id="1570" w:name="_Toc267251496"/>
      <w:bookmarkStart w:id="1571" w:name="_Toc267251506"/>
      <w:bookmarkStart w:id="1572" w:name="_Toc267251501"/>
      <w:bookmarkStart w:id="1573" w:name="_Toc267251493"/>
      <w:bookmarkStart w:id="1574" w:name="_Toc267251511"/>
      <w:bookmarkStart w:id="1575" w:name="_Toc267251494"/>
      <w:bookmarkStart w:id="1576" w:name="_Toc267251498"/>
      <w:r>
        <w:rPr>
          <w:rFonts w:hint="eastAsia"/>
          <w:color w:val="000000" w:themeColor="text1"/>
          <w:kern w:val="2"/>
          <w:sz w:val="21"/>
          <w:szCs w:val="21"/>
          <w14:textFill>
            <w14:solidFill>
              <w14:schemeClr w14:val="tx1"/>
            </w14:solidFill>
          </w14:textFill>
        </w:rPr>
        <w:t>1</w:t>
      </w:r>
      <w:bookmarkStart w:id="1577" w:name="_Toc292559398"/>
      <w:bookmarkStart w:id="1578" w:name="_Toc297048379"/>
      <w:bookmarkStart w:id="1579" w:name="_Toc303539146"/>
      <w:bookmarkStart w:id="1580" w:name="_Toc297120493"/>
      <w:bookmarkStart w:id="1581" w:name="_Toc296944532"/>
      <w:bookmarkStart w:id="1582" w:name="_Toc296503193"/>
      <w:bookmarkStart w:id="1583" w:name="_Toc296347192"/>
      <w:bookmarkStart w:id="1584" w:name="_Toc300934989"/>
      <w:bookmarkStart w:id="1585" w:name="_Toc297123540"/>
      <w:bookmarkStart w:id="1586" w:name="_Toc292559903"/>
      <w:bookmarkStart w:id="1587" w:name="_Toc304295566"/>
      <w:bookmarkStart w:id="1588" w:name="_Toc297216199"/>
      <w:bookmarkStart w:id="1589" w:name="_Toc296891021"/>
      <w:bookmarkStart w:id="1590" w:name="_Toc296891233"/>
      <w:bookmarkStart w:id="1591" w:name="_Toc296346694"/>
      <w:bookmarkStart w:id="1592" w:name="_Toc312677499"/>
      <w:bookmarkStart w:id="1593" w:name="_Toc312678025"/>
      <w:bookmarkStart w:id="1594" w:name="_Toc267251437"/>
      <w:bookmarkStart w:id="1595" w:name="_Toc267251435"/>
      <w:bookmarkStart w:id="1596" w:name="_Toc267251439"/>
      <w:bookmarkStart w:id="1597" w:name="_Toc267251441"/>
      <w:bookmarkStart w:id="1598" w:name="_Toc267251440"/>
      <w:bookmarkStart w:id="1599" w:name="_Toc267251433"/>
      <w:r>
        <w:rPr>
          <w:rFonts w:hint="eastAsia"/>
          <w:color w:val="000000" w:themeColor="text1"/>
          <w:kern w:val="2"/>
          <w:sz w:val="21"/>
          <w:szCs w:val="21"/>
          <w14:textFill>
            <w14:solidFill>
              <w14:schemeClr w14:val="tx1"/>
            </w14:solidFill>
          </w14:textFill>
        </w:rPr>
        <w:t>0. 变更</w:t>
      </w:r>
      <w:bookmarkEnd w:id="1545"/>
      <w:bookmarkEnd w:id="154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p>
    <w:bookmarkEnd w:id="1592"/>
    <w:bookmarkEnd w:id="1593"/>
    <w:p w14:paraId="073CCB16">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600" w:name="_Toc532375635"/>
      <w:bookmarkStart w:id="1601" w:name="_Toc532377371"/>
      <w:r>
        <w:rPr>
          <w:rFonts w:hint="eastAsia"/>
          <w:color w:val="000000" w:themeColor="text1"/>
          <w:sz w:val="21"/>
          <w:szCs w:val="21"/>
          <w14:textFill>
            <w14:solidFill>
              <w14:schemeClr w14:val="tx1"/>
            </w14:solidFill>
          </w14:textFill>
        </w:rPr>
        <w:t>1</w:t>
      </w:r>
      <w:bookmarkStart w:id="1602" w:name="_Toc296944533"/>
      <w:bookmarkStart w:id="1603" w:name="_Toc312678026"/>
      <w:bookmarkStart w:id="1604" w:name="_Toc296346695"/>
      <w:bookmarkStart w:id="1605" w:name="_Toc292559399"/>
      <w:bookmarkStart w:id="1606" w:name="_Toc296891234"/>
      <w:bookmarkStart w:id="1607" w:name="_Toc296503194"/>
      <w:bookmarkStart w:id="1608" w:name="_Toc292559904"/>
      <w:bookmarkStart w:id="1609" w:name="_Toc300934990"/>
      <w:bookmarkStart w:id="1610" w:name="_Toc296347193"/>
      <w:bookmarkStart w:id="1611" w:name="_Toc296891022"/>
      <w:bookmarkStart w:id="1612" w:name="_Toc297120494"/>
      <w:bookmarkStart w:id="1613" w:name="_Toc297048380"/>
      <w:bookmarkStart w:id="1614" w:name="_Toc297216200"/>
      <w:bookmarkStart w:id="1615" w:name="_Toc303539147"/>
      <w:bookmarkStart w:id="1616" w:name="_Toc297123541"/>
      <w:bookmarkStart w:id="1617" w:name="_Toc304295567"/>
      <w:bookmarkStart w:id="1618" w:name="_Toc312677500"/>
      <w:r>
        <w:rPr>
          <w:rFonts w:hint="eastAsia"/>
          <w:color w:val="000000" w:themeColor="text1"/>
          <w:sz w:val="21"/>
          <w:szCs w:val="21"/>
          <w14:textFill>
            <w14:solidFill>
              <w14:schemeClr w14:val="tx1"/>
            </w14:solidFill>
          </w14:textFill>
        </w:rPr>
        <w:t>0.1变更的范围</w:t>
      </w:r>
      <w:bookmarkEnd w:id="1600"/>
      <w:bookmarkEnd w:id="1601"/>
    </w:p>
    <w:p w14:paraId="4804C6E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关于变更范围的约定：</w:t>
      </w:r>
    </w:p>
    <w:p w14:paraId="49674E8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（1）增加或减少合同中任何工作，或追加额外的工作；</w:t>
      </w:r>
    </w:p>
    <w:p w14:paraId="6FE7110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（2）取消合同中任何工作；</w:t>
      </w:r>
    </w:p>
    <w:p w14:paraId="4B93CD2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（3）改变合同中任何工作的质量标准或其他特性；</w:t>
      </w:r>
    </w:p>
    <w:p w14:paraId="7D83CE4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（4）改变工程的基线、标高、位置和尺寸；</w:t>
      </w:r>
    </w:p>
    <w:p w14:paraId="3C76E10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（5）适用于工程的标准和（或）规范变化导致需要对工程进行改变，且该改变导致工期和（或）费用变化的；</w:t>
      </w:r>
    </w:p>
    <w:p w14:paraId="76EA767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（6）勘察设计变更；</w:t>
      </w:r>
    </w:p>
    <w:p w14:paraId="093AB38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（7）实施内容变更，包括因设计变更和非设计变更引起的实施地点、投资规模、结构型式、采购数量、服务内容等进行的调整，以及因此导致的合同价格、工期变更；</w:t>
      </w:r>
    </w:p>
    <w:p w14:paraId="17717C0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（8）项目管理人员变更；</w:t>
      </w:r>
    </w:p>
    <w:p w14:paraId="787284A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（9）因人工、原材料等价格变化导致的合同总价变更：</w:t>
      </w:r>
      <w:r>
        <w:rPr>
          <w:rFonts w:hint="eastAsia" w:ascii="宋体" w:hAnsi="宋体"/>
          <w:color w:val="000000" w:themeColor="text1"/>
          <w:szCs w:val="21"/>
          <w:u w:val="single"/>
          <w14:textFill>
            <w14:solidFill>
              <w14:schemeClr w14:val="tx1"/>
            </w14:solidFill>
          </w14:textFill>
        </w:rPr>
        <w:t>不调整</w:t>
      </w:r>
      <w:r>
        <w:rPr>
          <w:rFonts w:hint="eastAsia" w:ascii="宋体" w:hAnsi="宋体"/>
          <w:color w:val="000000" w:themeColor="text1"/>
          <w:szCs w:val="21"/>
          <w14:textFill>
            <w14:solidFill>
              <w14:schemeClr w14:val="tx1"/>
            </w14:solidFill>
          </w14:textFill>
        </w:rPr>
        <w:t>；</w:t>
      </w:r>
    </w:p>
    <w:p w14:paraId="2BF73AC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（10）非实施内容变化导致的工期变更。</w:t>
      </w:r>
    </w:p>
    <w:p w14:paraId="780C9F8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w:t>
      </w:r>
      <w:r>
        <w:rPr>
          <w:rFonts w:hint="eastAsia" w:ascii="宋体" w:hAnsi="宋体"/>
          <w:color w:val="000000" w:themeColor="text1"/>
          <w:szCs w:val="21"/>
          <w:u w:val="single"/>
          <w14:textFill>
            <w14:solidFill>
              <w14:schemeClr w14:val="tx1"/>
            </w14:solidFill>
          </w14:textFill>
        </w:rPr>
        <w:t>《重庆市政府投资项目合同变更管理暂行办法》</w:t>
      </w:r>
      <w:r>
        <w:rPr>
          <w:rFonts w:hint="eastAsia" w:ascii="宋体" w:hAnsi="宋体"/>
          <w:color w:val="000000" w:themeColor="text1"/>
          <w:szCs w:val="21"/>
          <w14:textFill>
            <w14:solidFill>
              <w14:schemeClr w14:val="tx1"/>
            </w14:solidFill>
          </w14:textFill>
        </w:rPr>
        <w:t>要求进行信息公开。项目合同变更未获得通过的，发包人和承包人均不得擅自变更原合同约定事项，且不得就同一理由同一事项再提出变更。</w:t>
      </w:r>
    </w:p>
    <w:p w14:paraId="5F115FF1">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承包人对其提供的材料、工程设备、施工、无负荷试车、热负荷试车及图纸参数存在的缺陷，自费修正、调整和完善，不属于变更。</w:t>
      </w:r>
    </w:p>
    <w:p w14:paraId="12707B75">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619" w:name="_Toc532377372"/>
      <w:bookmarkStart w:id="1620" w:name="_Toc532375636"/>
      <w:bookmarkStart w:id="1621" w:name="_Toc351203569"/>
      <w:r>
        <w:rPr>
          <w:rFonts w:hint="eastAsia"/>
          <w:color w:val="000000" w:themeColor="text1"/>
          <w:sz w:val="21"/>
          <w:szCs w:val="21"/>
          <w14:textFill>
            <w14:solidFill>
              <w14:schemeClr w14:val="tx1"/>
            </w14:solidFill>
          </w14:textFill>
        </w:rPr>
        <w:t>1</w:t>
      </w:r>
      <w:bookmarkStart w:id="1622" w:name="_Toc337558789"/>
      <w:bookmarkStart w:id="1623" w:name="_Toc296503085"/>
      <w:bookmarkStart w:id="1624" w:name="_Toc296346586"/>
      <w:r>
        <w:rPr>
          <w:rFonts w:hint="eastAsia"/>
          <w:color w:val="000000" w:themeColor="text1"/>
          <w:sz w:val="21"/>
          <w:szCs w:val="21"/>
          <w14:textFill>
            <w14:solidFill>
              <w14:schemeClr w14:val="tx1"/>
            </w14:solidFill>
          </w14:textFill>
        </w:rPr>
        <w:t>0.2变更权</w:t>
      </w:r>
      <w:bookmarkEnd w:id="1619"/>
      <w:bookmarkEnd w:id="1620"/>
      <w:bookmarkEnd w:id="1621"/>
    </w:p>
    <w:bookmarkEnd w:id="1622"/>
    <w:bookmarkEnd w:id="1623"/>
    <w:bookmarkEnd w:id="1624"/>
    <w:p w14:paraId="1019CFF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10.2.1发包人和监理人提出变更</w:t>
      </w:r>
    </w:p>
    <w:p w14:paraId="60FF12D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60CE12AB">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涉及设计变更的，应由设计人提供变更后的图纸和说明，交由发包人同意后由监理人以书面形式发出。如变更超过原设计标准或批准的建设规模时，由发包人及时办理规划、设计变更等审批手续。</w:t>
      </w:r>
    </w:p>
    <w:p w14:paraId="03E7387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若出现重大设计变更，变更后的内容超出承包人资质或能力范围的，发包人将另行依法招标选择承包单位，无需征得承包人同意。</w:t>
      </w:r>
    </w:p>
    <w:p w14:paraId="7104AA4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10.2.2 承包人提出变更建议</w:t>
      </w:r>
    </w:p>
    <w:p w14:paraId="7300A217">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color w:val="000000" w:themeColor="text1"/>
          <w:szCs w:val="21"/>
          <w:u w:val="single"/>
          <w14:textFill>
            <w14:solidFill>
              <w14:schemeClr w14:val="tx1"/>
            </w14:solidFill>
          </w14:textFill>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color w:val="000000" w:themeColor="text1"/>
          <w:szCs w:val="21"/>
          <w14:textFill>
            <w14:solidFill>
              <w14:schemeClr w14:val="tx1"/>
            </w14:solidFill>
          </w14:textFill>
        </w:rPr>
        <w:t>。</w:t>
      </w:r>
    </w:p>
    <w:p w14:paraId="627FE7CE">
      <w:pPr>
        <w:autoSpaceDE w:val="0"/>
        <w:autoSpaceDN w:val="0"/>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如果发包人对承包人已实施的施工项目在发出重大设计变更之前要求承包人提出一份建议，那么，承包人应尽快提出：</w:t>
      </w:r>
    </w:p>
    <w:p w14:paraId="6DA4907F">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（1）对所提方案和（或）待做工作及其实施计划的说明</w:t>
      </w:r>
      <w:r>
        <w:rPr>
          <w:rFonts w:hint="eastAsia" w:ascii="宋体" w:hAnsi="宋体"/>
          <w:color w:val="000000" w:themeColor="text1"/>
          <w:szCs w:val="21"/>
          <w14:textFill>
            <w14:solidFill>
              <w14:schemeClr w14:val="tx1"/>
            </w14:solidFill>
          </w14:textFill>
        </w:rPr>
        <w:t>；</w:t>
      </w:r>
    </w:p>
    <w:p w14:paraId="6ABA8887">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（2）承包人按照对工程进度计划进行必要修改的建议</w:t>
      </w:r>
      <w:r>
        <w:rPr>
          <w:rFonts w:hint="eastAsia" w:ascii="宋体" w:hAnsi="宋体"/>
          <w:color w:val="000000" w:themeColor="text1"/>
          <w:szCs w:val="21"/>
          <w14:textFill>
            <w14:solidFill>
              <w14:schemeClr w14:val="tx1"/>
            </w14:solidFill>
          </w14:textFill>
        </w:rPr>
        <w:t>；</w:t>
      </w:r>
    </w:p>
    <w:p w14:paraId="0CF9AC24">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（3）承包人发生较大返工损失增加费用的建议</w:t>
      </w:r>
      <w:r>
        <w:rPr>
          <w:rFonts w:hint="eastAsia" w:ascii="宋体" w:hAnsi="宋体"/>
          <w:color w:val="000000" w:themeColor="text1"/>
          <w:szCs w:val="21"/>
          <w14:textFill>
            <w14:solidFill>
              <w14:schemeClr w14:val="tx1"/>
            </w14:solidFill>
          </w14:textFill>
        </w:rPr>
        <w:t>。</w:t>
      </w:r>
    </w:p>
    <w:p w14:paraId="09140222">
      <w:pPr>
        <w:autoSpaceDE w:val="0"/>
        <w:autoSpaceDN w:val="0"/>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发包人在收到上述建议书后，应尽快给予批准、否决或提出意见</w:t>
      </w:r>
      <w:r>
        <w:rPr>
          <w:rFonts w:hint="eastAsia" w:ascii="宋体" w:hAnsi="宋体"/>
          <w:color w:val="000000" w:themeColor="text1"/>
          <w:szCs w:val="21"/>
          <w14:textFill>
            <w14:solidFill>
              <w14:schemeClr w14:val="tx1"/>
            </w14:solidFill>
          </w14:textFill>
        </w:rPr>
        <w:t>。</w:t>
      </w:r>
    </w:p>
    <w:p w14:paraId="6966539D">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625" w:name="_Toc532377373"/>
      <w:bookmarkStart w:id="1626" w:name="_Toc532375637"/>
      <w:bookmarkStart w:id="1627" w:name="_Hlk528928195"/>
      <w:bookmarkStart w:id="1628" w:name="_Toc351203570"/>
      <w:r>
        <w:rPr>
          <w:rFonts w:hint="eastAsia"/>
          <w:color w:val="000000" w:themeColor="text1"/>
          <w:sz w:val="21"/>
          <w:szCs w:val="21"/>
          <w14:textFill>
            <w14:solidFill>
              <w14:schemeClr w14:val="tx1"/>
            </w14:solidFill>
          </w14:textFill>
        </w:rPr>
        <w:t>1</w:t>
      </w:r>
      <w:bookmarkStart w:id="1629" w:name="_Toc296503086"/>
      <w:bookmarkStart w:id="1630" w:name="_Toc296346587"/>
      <w:bookmarkStart w:id="1631" w:name="_Toc337558790"/>
      <w:r>
        <w:rPr>
          <w:rFonts w:hint="eastAsia"/>
          <w:color w:val="000000" w:themeColor="text1"/>
          <w:sz w:val="21"/>
          <w:szCs w:val="21"/>
          <w14:textFill>
            <w14:solidFill>
              <w14:schemeClr w14:val="tx1"/>
            </w14:solidFill>
          </w14:textFill>
        </w:rPr>
        <w:t>0.3变更程序</w:t>
      </w:r>
      <w:bookmarkEnd w:id="1625"/>
      <w:bookmarkEnd w:id="1626"/>
    </w:p>
    <w:bookmarkEnd w:id="1629"/>
    <w:bookmarkEnd w:id="1630"/>
    <w:bookmarkEnd w:id="1631"/>
    <w:p w14:paraId="66246F3B">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bookmarkStart w:id="1632" w:name="_Hlk524353972"/>
      <w:r>
        <w:rPr>
          <w:rFonts w:hint="eastAsia" w:ascii="宋体" w:hAnsi="宋体"/>
          <w:color w:val="000000" w:themeColor="text1"/>
          <w:szCs w:val="21"/>
          <w14:textFill>
            <w14:solidFill>
              <w14:schemeClr w14:val="tx1"/>
            </w14:solidFill>
          </w14:textFill>
        </w:rPr>
        <w:t>10.3.3 变更执行</w:t>
      </w:r>
    </w:p>
    <w:p w14:paraId="31C068CC">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一般设计变更：承包人收到监理人下达的变更指示后，应按照监理人下达的变更指示执行，并书面说明实施该变更指示对合同价格和工期的影响，按照第10.4.1项〔变更估价原则〕约定执行。</w:t>
      </w:r>
    </w:p>
    <w:p w14:paraId="4F0AF134">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重大设计变更：需经设计人、监理人和发包人三方签名认可并报相关行业部门审查同意后实施。</w:t>
      </w:r>
    </w:p>
    <w:p w14:paraId="29128386">
      <w:pPr>
        <w:autoSpaceDE w:val="0"/>
        <w:autoSpaceDN w:val="0"/>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10.3.3 项增加以下内容：</w:t>
      </w:r>
    </w:p>
    <w:p w14:paraId="4422F780">
      <w:pPr>
        <w:autoSpaceDE w:val="0"/>
        <w:autoSpaceDN w:val="0"/>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6E3007EF">
      <w:pPr>
        <w:autoSpaceDE w:val="0"/>
        <w:autoSpaceDN w:val="0"/>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项目的勘察设计、实施内容等作较大变更的，应当按照规定的程序报原审批部门审批；变更导致总投资超概的，应当报原投资概算核定部门核定。</w:t>
      </w:r>
    </w:p>
    <w:p w14:paraId="2A982A7F">
      <w:pPr>
        <w:autoSpaceDE w:val="0"/>
        <w:autoSpaceDN w:val="0"/>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项目管理人员变更的，应当经发包人领导班子集体决策同意，并将变更信息推送给行业主管部门。变更后的项目管理人员应当符合竞争性比选文件和行业主管部门的相关规定。</w:t>
      </w:r>
    </w:p>
    <w:p w14:paraId="760B19F2">
      <w:pPr>
        <w:autoSpaceDE w:val="0"/>
        <w:autoSpaceDN w:val="0"/>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因人工、原材料市场价格发生大幅度变化导致的合同总价变更，由发包人与承包人按照合同进行变更，并将变更信息推送给行业主管部门。</w:t>
      </w:r>
    </w:p>
    <w:p w14:paraId="6D7B0D64">
      <w:pPr>
        <w:autoSpaceDE w:val="0"/>
        <w:autoSpaceDN w:val="0"/>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项目实施内容无变更，因不可抗力导致的工期变更，由发包人领导班子集体决策同意，并将变更信息推送给行业主管部门；因项目实施内容变更导致的工期变更，与项目实施内容变更一并办理。</w:t>
      </w:r>
    </w:p>
    <w:p w14:paraId="440008ED">
      <w:pPr>
        <w:autoSpaceDE w:val="0"/>
        <w:autoSpaceDN w:val="0"/>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项目合同变更后，增加的实施内容达到依法必须招标的规模标准的，增加的部分应当依法通过招标选择承包单位。</w:t>
      </w:r>
    </w:p>
    <w:bookmarkEnd w:id="1627"/>
    <w:bookmarkEnd w:id="1628"/>
    <w:bookmarkEnd w:id="1632"/>
    <w:p w14:paraId="6B8E3788">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633" w:name="_Toc532375638"/>
      <w:bookmarkStart w:id="1634" w:name="_Toc532377374"/>
      <w:r>
        <w:rPr>
          <w:rFonts w:hint="eastAsia"/>
          <w:color w:val="000000" w:themeColor="text1"/>
          <w:sz w:val="21"/>
          <w:szCs w:val="21"/>
          <w14:textFill>
            <w14:solidFill>
              <w14:schemeClr w14:val="tx1"/>
            </w14:solidFill>
          </w14:textFill>
        </w:rPr>
        <w:t>10.4 变更估价</w:t>
      </w:r>
      <w:bookmarkEnd w:id="1633"/>
      <w:bookmarkEnd w:id="1634"/>
    </w:p>
    <w:p w14:paraId="2FBBF9B8">
      <w:pPr>
        <w:spacing w:line="360" w:lineRule="auto"/>
        <w:ind w:firstLine="420" w:firstLineChars="200"/>
        <w:jc w:val="left"/>
        <w:rPr>
          <w:rFonts w:hint="eastAsia" w:ascii="宋体" w:hAnsi="宋体"/>
          <w:color w:val="000000" w:themeColor="text1"/>
          <w:szCs w:val="21"/>
          <w14:textFill>
            <w14:solidFill>
              <w14:schemeClr w14:val="tx1"/>
            </w14:solidFill>
          </w14:textFill>
        </w:rPr>
      </w:pPr>
      <w:bookmarkStart w:id="1635" w:name="_Hlk524296629"/>
      <w:r>
        <w:rPr>
          <w:rFonts w:hint="eastAsia" w:ascii="宋体" w:hAnsi="宋体"/>
          <w:color w:val="000000" w:themeColor="text1"/>
          <w:szCs w:val="21"/>
          <w14:textFill>
            <w14:solidFill>
              <w14:schemeClr w14:val="tx1"/>
            </w14:solidFill>
          </w14:textFill>
        </w:rPr>
        <w:t>10.4.1 变更估价原则</w:t>
      </w:r>
    </w:p>
    <w:p w14:paraId="41ACBB52">
      <w:pPr>
        <w:pStyle w:val="2"/>
        <w:spacing w:after="0"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当发生工程变更时，工程量按</w:t>
      </w:r>
      <w:r>
        <w:rPr>
          <w:rFonts w:hint="eastAsia" w:ascii="宋体" w:hAnsi="宋体"/>
          <w:color w:val="000000" w:themeColor="text1"/>
          <w:szCs w:val="21"/>
          <w:u w:val="single"/>
          <w14:textFill>
            <w14:solidFill>
              <w14:schemeClr w14:val="tx1"/>
            </w14:solidFill>
          </w14:textFill>
        </w:rPr>
        <w:t xml:space="preserve"> 国家及重庆市相关 </w:t>
      </w:r>
      <w:r>
        <w:rPr>
          <w:rFonts w:hint="eastAsia" w:ascii="宋体" w:hAnsi="宋体"/>
          <w:color w:val="000000" w:themeColor="text1"/>
          <w:szCs w:val="21"/>
          <w14:textFill>
            <w14:solidFill>
              <w14:schemeClr w14:val="tx1"/>
            </w14:solidFill>
          </w14:textFill>
        </w:rPr>
        <w:t>规定的计算规则及已标价工程量清单规定的工程量计算规则计量，按以下办法计价：</w:t>
      </w:r>
      <w:bookmarkStart w:id="1636" w:name="_Hlk524770102"/>
    </w:p>
    <w:bookmarkEnd w:id="1636"/>
    <w:p w14:paraId="7DEFBE9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10.4.1.1已标价工程量清单中有相同项目的，按照相同项目单价计算；</w:t>
      </w:r>
    </w:p>
    <w:p w14:paraId="7080280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10.4.1.2已标价工程量清单中有类似项目的，参考类似项目单价计算；</w:t>
      </w:r>
    </w:p>
    <w:p w14:paraId="5939A47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10.4.1.3已标价工程量清单中无相同项目亦无类似项目的，按照以下原则执行：</w:t>
      </w:r>
    </w:p>
    <w:p w14:paraId="399F4D6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发包人审定后执行</w:t>
      </w:r>
      <w:r>
        <w:rPr>
          <w:rFonts w:hint="eastAsia" w:ascii="宋体" w:hAnsi="宋体"/>
          <w:color w:val="000000" w:themeColor="text1"/>
          <w:szCs w:val="21"/>
          <w14:textFill>
            <w14:solidFill>
              <w14:schemeClr w14:val="tx1"/>
            </w14:solidFill>
          </w14:textFill>
        </w:rPr>
        <w:t>。</w:t>
      </w:r>
    </w:p>
    <w:p w14:paraId="0CAE6E3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承包人报价浮动率按下列公式计算：承包人报价浮动率=（1-中标价/最高限价）×100%。</w:t>
      </w:r>
    </w:p>
    <w:p w14:paraId="489ABA2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（1）人工单价：按开标当月《重庆工程造价》发布的项目所在地的人工单价执行。</w:t>
      </w:r>
    </w:p>
    <w:p w14:paraId="00DF39DA">
      <w:pPr>
        <w:spacing w:line="360" w:lineRule="auto"/>
        <w:ind w:firstLine="420" w:firstLineChars="200"/>
        <w:jc w:val="left"/>
        <w:rPr>
          <w:rFonts w:hint="eastAsia" w:ascii="宋体" w:hAnsi="宋体"/>
          <w:color w:val="000000" w:themeColor="text1"/>
          <w:szCs w:val="21"/>
          <w14:textFill>
            <w14:solidFill>
              <w14:schemeClr w14:val="tx1"/>
            </w14:solidFill>
          </w14:textFill>
        </w:rPr>
      </w:pPr>
      <w:bookmarkStart w:id="1637" w:name="_Hlk529023896"/>
      <w:r>
        <w:rPr>
          <w:rFonts w:hint="eastAsia" w:ascii="宋体" w:hAnsi="宋体"/>
          <w:color w:val="000000" w:themeColor="text1"/>
          <w:szCs w:val="21"/>
          <w14:textFill>
            <w14:solidFill>
              <w14:schemeClr w14:val="tx1"/>
            </w14:solidFill>
          </w14:textFill>
        </w:rPr>
        <w:t>（2）材料单价：</w:t>
      </w:r>
    </w:p>
    <w:p w14:paraId="0E6DD00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①按</w:t>
      </w:r>
      <w:bookmarkStart w:id="1638" w:name="_Hlk529023354"/>
      <w:r>
        <w:rPr>
          <w:rFonts w:hint="eastAsia" w:ascii="宋体" w:hAnsi="宋体"/>
          <w:color w:val="000000" w:themeColor="text1"/>
          <w:szCs w:val="21"/>
          <w14:textFill>
            <w14:solidFill>
              <w14:schemeClr w14:val="tx1"/>
            </w14:solidFill>
          </w14:textFill>
        </w:rPr>
        <w:t>开标当月《重庆工程造价》发布的项目所在地的信息价</w:t>
      </w:r>
      <w:bookmarkEnd w:id="1638"/>
      <w:r>
        <w:rPr>
          <w:rFonts w:hint="eastAsia" w:ascii="宋体" w:hAnsi="宋体"/>
          <w:color w:val="000000" w:themeColor="text1"/>
          <w:szCs w:val="21"/>
          <w14:textFill>
            <w14:solidFill>
              <w14:schemeClr w14:val="tx1"/>
            </w14:solidFill>
          </w14:textFill>
        </w:rPr>
        <w:t>执行；</w:t>
      </w:r>
    </w:p>
    <w:p w14:paraId="70CFD3C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②开标当月《重庆工程造价》中没有的，承包人投标报价中有的，按承包人投标报价中相同材料单价的最低值执行；</w:t>
      </w:r>
    </w:p>
    <w:p w14:paraId="515D934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③开标当月《重庆工程造价》和承包人投标报价没有的，由承包人申报、监理人会同发包人根据市场行情认质核价确定。</w:t>
      </w:r>
    </w:p>
    <w:bookmarkEnd w:id="1637"/>
    <w:p w14:paraId="6364B8E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（3）企业管理费和利润：按承包人投标报价中相同工程分类的费用标准执行（投标报价中费用标准高于</w:t>
      </w:r>
      <w:r>
        <w:rPr>
          <w:rFonts w:hint="eastAsia" w:ascii="宋体" w:hAnsi="宋体"/>
          <w:color w:val="000000" w:themeColor="text1"/>
          <w:szCs w:val="21"/>
          <w:u w:val="single"/>
          <w14:textFill>
            <w14:solidFill>
              <w14:schemeClr w14:val="tx1"/>
            </w14:solidFill>
          </w14:textFill>
        </w:rPr>
        <w:t>《重庆市建设工程费用定额》（CQFYDE-2018）</w:t>
      </w:r>
      <w:r>
        <w:rPr>
          <w:rFonts w:hint="eastAsia" w:ascii="宋体" w:hAnsi="宋体"/>
          <w:color w:val="000000" w:themeColor="text1"/>
          <w:szCs w:val="21"/>
          <w14:textFill>
            <w14:solidFill>
              <w14:schemeClr w14:val="tx1"/>
            </w14:solidFill>
          </w14:textFill>
        </w:rPr>
        <w:t>费用标准的，按</w:t>
      </w:r>
      <w:r>
        <w:rPr>
          <w:rFonts w:hint="eastAsia" w:ascii="宋体" w:hAnsi="宋体"/>
          <w:color w:val="000000" w:themeColor="text1"/>
          <w:szCs w:val="21"/>
          <w:u w:val="single"/>
          <w14:textFill>
            <w14:solidFill>
              <w14:schemeClr w14:val="tx1"/>
            </w14:solidFill>
          </w14:textFill>
        </w:rPr>
        <w:t>《重庆市建设工程费用定额》（CQFYDE-2018）费用标准执行）</w:t>
      </w:r>
      <w:r>
        <w:rPr>
          <w:rFonts w:hint="eastAsia" w:ascii="宋体" w:hAnsi="宋体"/>
          <w:color w:val="000000" w:themeColor="text1"/>
          <w:szCs w:val="21"/>
          <w14:textFill>
            <w14:solidFill>
              <w14:schemeClr w14:val="tx1"/>
            </w14:solidFill>
          </w14:textFill>
        </w:rPr>
        <w:t>。</w:t>
      </w:r>
    </w:p>
    <w:p w14:paraId="1E122D1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（4）规费：按</w:t>
      </w:r>
      <w:r>
        <w:rPr>
          <w:rFonts w:hint="eastAsia" w:ascii="宋体" w:hAnsi="宋体"/>
          <w:color w:val="000000" w:themeColor="text1"/>
          <w:szCs w:val="21"/>
          <w:u w:val="single"/>
          <w14:textFill>
            <w14:solidFill>
              <w14:schemeClr w14:val="tx1"/>
            </w14:solidFill>
          </w14:textFill>
        </w:rPr>
        <w:t>《重庆市建设工程费用定额》（CQFYDE-2018）</w:t>
      </w:r>
      <w:r>
        <w:rPr>
          <w:rFonts w:hint="eastAsia" w:ascii="宋体" w:hAnsi="宋体"/>
          <w:color w:val="000000" w:themeColor="text1"/>
          <w:szCs w:val="21"/>
          <w14:textFill>
            <w14:solidFill>
              <w14:schemeClr w14:val="tx1"/>
            </w14:solidFill>
          </w14:textFill>
        </w:rPr>
        <w:t>费用标准进行计算。</w:t>
      </w:r>
    </w:p>
    <w:p w14:paraId="2F6E6BE6">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（5）税金：包含增值税、城市维护建设税、教育费附加、地方教育附加以及环境保护税。其中增值税按</w:t>
      </w:r>
      <w:r>
        <w:rPr>
          <w:rFonts w:hint="eastAsia" w:ascii="宋体" w:hAnsi="宋体"/>
          <w:color w:val="000000" w:themeColor="text1"/>
          <w:szCs w:val="21"/>
          <w:u w:val="single"/>
          <w14:textFill>
            <w14:solidFill>
              <w14:schemeClr w14:val="tx1"/>
            </w14:solidFill>
          </w14:textFill>
        </w:rPr>
        <w:t>《重庆市建设工程费用定额》（CQFYDE-2018）</w:t>
      </w:r>
      <w:r>
        <w:rPr>
          <w:rFonts w:hint="eastAsia" w:ascii="宋体" w:hAnsi="宋体"/>
          <w:color w:val="000000" w:themeColor="text1"/>
          <w:szCs w:val="21"/>
          <w14:textFill>
            <w14:solidFill>
              <w14:schemeClr w14:val="tx1"/>
            </w14:solidFill>
          </w14:textFill>
        </w:rPr>
        <w:t>规定及配套文件执行。</w:t>
      </w:r>
    </w:p>
    <w:p w14:paraId="2C18C734">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10.4.1.4已标价工程量清单中无相同项目亦无类似项目，也无定额可套用的，由承包人会同监理人、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发包人共同询价确认的价格执行。</w:t>
      </w:r>
    </w:p>
    <w:p w14:paraId="11A5F9A5">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本款补充10.4.3项：</w:t>
      </w:r>
    </w:p>
    <w:p w14:paraId="064C7E6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2E1AB5C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u w:val="single"/>
          <w14:textFill>
            <w14:solidFill>
              <w14:schemeClr w14:val="tx1"/>
            </w14:solidFill>
          </w14:textFill>
        </w:rPr>
        <w:t>安全文明施工费应按照实际发生变化的措施项目依据现行安全文明施工费计取及管理政策规定及《重庆市建设工程费用定额》（CQFYDE-2018）规定执行</w:t>
      </w:r>
      <w:r>
        <w:rPr>
          <w:rFonts w:hint="eastAsia" w:ascii="宋体" w:hAnsi="宋体"/>
          <w:color w:val="000000" w:themeColor="text1"/>
          <w:szCs w:val="21"/>
          <w14:textFill>
            <w14:solidFill>
              <w14:schemeClr w14:val="tx1"/>
            </w14:solidFill>
          </w14:textFill>
        </w:rPr>
        <w:t>；</w:t>
      </w:r>
    </w:p>
    <w:p w14:paraId="3E662CE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szCs w:val="21"/>
          <w:u w:val="single"/>
          <w14:textFill>
            <w14:solidFill>
              <w14:schemeClr w14:val="tx1"/>
            </w14:solidFill>
          </w14:textFill>
        </w:rPr>
        <w:t>按照单价计算的措施项目费，应按照实际发生变化的措施项目，按照第10.4.1项〔变更估价原则〕约定执行</w:t>
      </w:r>
      <w:r>
        <w:rPr>
          <w:rFonts w:hint="eastAsia" w:ascii="宋体" w:hAnsi="宋体"/>
          <w:color w:val="000000" w:themeColor="text1"/>
          <w:szCs w:val="21"/>
          <w14:textFill>
            <w14:solidFill>
              <w14:schemeClr w14:val="tx1"/>
            </w14:solidFill>
          </w14:textFill>
        </w:rPr>
        <w:t>；</w:t>
      </w:r>
    </w:p>
    <w:p w14:paraId="0090B13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olor w:val="000000" w:themeColor="text1"/>
          <w:szCs w:val="21"/>
          <w:u w:val="single"/>
          <w14:textFill>
            <w14:solidFill>
              <w14:schemeClr w14:val="tx1"/>
            </w14:solidFill>
          </w14:textFill>
        </w:rPr>
        <w:t>按总价（或系数）计算的措施项目费，应按照实际发生变化的措施项目费按承包人报价浮动率下浮后的金额计算</w:t>
      </w:r>
      <w:r>
        <w:rPr>
          <w:rFonts w:hint="eastAsia" w:ascii="宋体" w:hAnsi="宋体"/>
          <w:color w:val="000000" w:themeColor="text1"/>
          <w:szCs w:val="21"/>
          <w14:textFill>
            <w14:solidFill>
              <w14:schemeClr w14:val="tx1"/>
            </w14:solidFill>
          </w14:textFill>
        </w:rPr>
        <w:t>；</w:t>
      </w:r>
    </w:p>
    <w:p w14:paraId="61B56BD2">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szCs w:val="21"/>
          <w:u w:val="single"/>
          <w14:textFill>
            <w14:solidFill>
              <w14:schemeClr w14:val="tx1"/>
            </w14:solidFill>
          </w14:textFill>
        </w:rPr>
        <w:t>如果承包人未事前将拟实施的方案提交给发包人确认，则应视为工程变更不引起措施项目费的调整或承包人放弃调整措施项目费的权利</w:t>
      </w:r>
      <w:r>
        <w:rPr>
          <w:rFonts w:hint="eastAsia" w:ascii="宋体" w:hAnsi="宋体"/>
          <w:color w:val="000000" w:themeColor="text1"/>
          <w:szCs w:val="21"/>
          <w14:textFill>
            <w14:solidFill>
              <w14:schemeClr w14:val="tx1"/>
            </w14:solidFill>
          </w14:textFill>
        </w:rPr>
        <w:t>。</w:t>
      </w:r>
    </w:p>
    <w:bookmarkEnd w:id="1635"/>
    <w:p w14:paraId="4234507B">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639" w:name="_Toc532377375"/>
      <w:bookmarkStart w:id="1640" w:name="_Toc532375639"/>
      <w:r>
        <w:rPr>
          <w:rFonts w:hint="eastAsia"/>
          <w:color w:val="000000" w:themeColor="text1"/>
          <w:sz w:val="21"/>
          <w:szCs w:val="21"/>
          <w14:textFill>
            <w14:solidFill>
              <w14:schemeClr w14:val="tx1"/>
            </w14:solidFill>
          </w14:textFill>
        </w:rPr>
        <w:t>1</w:t>
      </w:r>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Start w:id="1641" w:name="_Toc296944536"/>
      <w:bookmarkStart w:id="1642" w:name="_Toc296891237"/>
      <w:bookmarkStart w:id="1643" w:name="_Toc297216203"/>
      <w:bookmarkStart w:id="1644" w:name="_Toc296891025"/>
      <w:bookmarkStart w:id="1645" w:name="_Toc300934993"/>
      <w:bookmarkStart w:id="1646" w:name="_Toc292559402"/>
      <w:bookmarkStart w:id="1647" w:name="_Toc296347196"/>
      <w:bookmarkStart w:id="1648" w:name="_Toc297120497"/>
      <w:bookmarkStart w:id="1649" w:name="_Toc296503197"/>
      <w:bookmarkStart w:id="1650" w:name="_Toc292559907"/>
      <w:bookmarkStart w:id="1651" w:name="_Toc296346698"/>
      <w:bookmarkStart w:id="1652" w:name="_Toc303539150"/>
      <w:bookmarkStart w:id="1653" w:name="_Toc297048383"/>
      <w:bookmarkStart w:id="1654" w:name="_Toc297123544"/>
      <w:bookmarkStart w:id="1655" w:name="_Toc304295570"/>
      <w:bookmarkStart w:id="1656" w:name="_Toc312678029"/>
      <w:bookmarkStart w:id="1657" w:name="_Toc312677503"/>
      <w:r>
        <w:rPr>
          <w:rFonts w:hint="eastAsia"/>
          <w:color w:val="000000" w:themeColor="text1"/>
          <w:sz w:val="21"/>
          <w:szCs w:val="21"/>
          <w14:textFill>
            <w14:solidFill>
              <w14:schemeClr w14:val="tx1"/>
            </w14:solidFill>
          </w14:textFill>
        </w:rPr>
        <w:t>0.5承</w:t>
      </w:r>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Start w:id="1658" w:name="_Toc296891031"/>
      <w:bookmarkStart w:id="1659" w:name="_Toc292559408"/>
      <w:bookmarkStart w:id="1660" w:name="_Toc297048389"/>
      <w:bookmarkStart w:id="1661" w:name="_Toc296503203"/>
      <w:bookmarkStart w:id="1662" w:name="_Toc297216204"/>
      <w:bookmarkStart w:id="1663" w:name="_Toc297123545"/>
      <w:bookmarkStart w:id="1664" w:name="_Toc300934994"/>
      <w:bookmarkStart w:id="1665" w:name="_Toc296891243"/>
      <w:bookmarkStart w:id="1666" w:name="_Toc297120503"/>
      <w:bookmarkStart w:id="1667" w:name="_Toc296347202"/>
      <w:bookmarkStart w:id="1668" w:name="_Toc292559913"/>
      <w:bookmarkStart w:id="1669" w:name="_Toc303539151"/>
      <w:bookmarkStart w:id="1670" w:name="_Toc296346704"/>
      <w:bookmarkStart w:id="1671" w:name="_Toc296944542"/>
      <w:r>
        <w:rPr>
          <w:rFonts w:hint="eastAsia"/>
          <w:color w:val="000000" w:themeColor="text1"/>
          <w:sz w:val="21"/>
          <w:szCs w:val="21"/>
          <w14:textFill>
            <w14:solidFill>
              <w14:schemeClr w14:val="tx1"/>
            </w14:solidFill>
          </w14:textFill>
        </w:rPr>
        <w:t>包人的合理化建议</w:t>
      </w:r>
      <w:bookmarkEnd w:id="1639"/>
      <w:bookmarkEnd w:id="1640"/>
    </w:p>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p w14:paraId="185BC74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承包人提出合理化建议的，应向监理人提交合理化建议说明，说明建议的内容和理由，以及实施该建议对合同价格和（或）工期和（或）工程经济效益的影响。</w:t>
      </w:r>
    </w:p>
    <w:p w14:paraId="1FA629A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监理人审查承包人合理化建议的期限：</w:t>
      </w:r>
      <w:r>
        <w:rPr>
          <w:rFonts w:hint="eastAsia" w:ascii="宋体" w:hAnsi="宋体"/>
          <w:color w:val="000000" w:themeColor="text1"/>
          <w:szCs w:val="21"/>
          <w:u w:val="single"/>
          <w14:textFill>
            <w14:solidFill>
              <w14:schemeClr w14:val="tx1"/>
            </w14:solidFill>
          </w14:textFill>
        </w:rPr>
        <w:t>不超过14天</w:t>
      </w:r>
      <w:r>
        <w:rPr>
          <w:rFonts w:hint="eastAsia" w:ascii="宋体" w:hAnsi="宋体"/>
          <w:color w:val="000000" w:themeColor="text1"/>
          <w:szCs w:val="21"/>
          <w14:textFill>
            <w14:solidFill>
              <w14:schemeClr w14:val="tx1"/>
            </w14:solidFill>
          </w14:textFill>
        </w:rPr>
        <w:t>。</w:t>
      </w:r>
    </w:p>
    <w:p w14:paraId="029CBF8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发包人审批承包人合理化建议的期限：</w:t>
      </w:r>
      <w:r>
        <w:rPr>
          <w:rFonts w:hint="eastAsia" w:ascii="宋体" w:hAnsi="宋体"/>
          <w:color w:val="000000" w:themeColor="text1"/>
          <w:szCs w:val="21"/>
          <w:u w:val="single"/>
          <w14:textFill>
            <w14:solidFill>
              <w14:schemeClr w14:val="tx1"/>
            </w14:solidFill>
          </w14:textFill>
        </w:rPr>
        <w:t>不超过14天</w:t>
      </w:r>
      <w:r>
        <w:rPr>
          <w:rFonts w:hint="eastAsia" w:ascii="宋体" w:hAnsi="宋体"/>
          <w:color w:val="000000" w:themeColor="text1"/>
          <w:szCs w:val="21"/>
          <w14:textFill>
            <w14:solidFill>
              <w14:schemeClr w14:val="tx1"/>
            </w14:solidFill>
          </w14:textFill>
        </w:rPr>
        <w:t>。</w:t>
      </w:r>
    </w:p>
    <w:p w14:paraId="35B5E7E3">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承</w:t>
      </w:r>
      <w:bookmarkStart w:id="1672" w:name="_Toc296891244"/>
      <w:bookmarkStart w:id="1673" w:name="_Toc297120504"/>
      <w:bookmarkStart w:id="1674" w:name="_Toc297123546"/>
      <w:bookmarkStart w:id="1675" w:name="_Toc292559914"/>
      <w:bookmarkStart w:id="1676" w:name="_Toc296503204"/>
      <w:bookmarkStart w:id="1677" w:name="_Toc300934995"/>
      <w:bookmarkStart w:id="1678" w:name="_Toc318581175"/>
      <w:bookmarkStart w:id="1679" w:name="_Toc296891032"/>
      <w:bookmarkStart w:id="1680" w:name="_Toc297216205"/>
      <w:bookmarkStart w:id="1681" w:name="_Toc297048390"/>
      <w:bookmarkStart w:id="1682" w:name="_Toc296944543"/>
      <w:bookmarkStart w:id="1683" w:name="_Toc312677504"/>
      <w:bookmarkStart w:id="1684" w:name="_Toc296346705"/>
      <w:bookmarkStart w:id="1685" w:name="_Toc292559409"/>
      <w:bookmarkStart w:id="1686" w:name="_Toc312678030"/>
      <w:bookmarkStart w:id="1687" w:name="_Toc303539152"/>
      <w:bookmarkStart w:id="1688" w:name="_Toc304295571"/>
      <w:bookmarkStart w:id="1689" w:name="_Toc296347203"/>
      <w:r>
        <w:rPr>
          <w:rFonts w:hint="eastAsia" w:ascii="宋体" w:hAnsi="宋体"/>
          <w:color w:val="000000" w:themeColor="text1"/>
          <w:szCs w:val="21"/>
          <w14:textFill>
            <w14:solidFill>
              <w14:schemeClr w14:val="tx1"/>
            </w14:solidFill>
          </w14:textFill>
        </w:rPr>
        <w:t>包人提出的合理化建议降低了合同价格或缩短了工期或者提高了工程经济效益的奖励的方法和金额为：</w:t>
      </w:r>
      <w:r>
        <w:rPr>
          <w:rFonts w:hint="eastAsia" w:ascii="宋体" w:hAnsi="宋体"/>
          <w:color w:val="000000" w:themeColor="text1"/>
          <w:szCs w:val="21"/>
          <w:u w:val="single"/>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p w14:paraId="370F4106">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690" w:name="_Toc532375640"/>
      <w:bookmarkStart w:id="1691" w:name="_Toc532377376"/>
      <w:r>
        <w:rPr>
          <w:rFonts w:hint="eastAsia"/>
          <w:color w:val="000000" w:themeColor="text1"/>
          <w:sz w:val="21"/>
          <w:szCs w:val="21"/>
          <w14:textFill>
            <w14:solidFill>
              <w14:schemeClr w14:val="tx1"/>
            </w14:solidFill>
          </w14:textFill>
        </w:rPr>
        <w:t>1</w:t>
      </w:r>
      <w:bookmarkStart w:id="1692" w:name="_Toc292559909"/>
      <w:bookmarkStart w:id="1693" w:name="_Toc296944538"/>
      <w:bookmarkStart w:id="1694" w:name="_Toc312677507"/>
      <w:bookmarkStart w:id="1695" w:name="_Toc297048385"/>
      <w:bookmarkStart w:id="1696" w:name="_Toc297120499"/>
      <w:bookmarkStart w:id="1697" w:name="_Toc296891239"/>
      <w:bookmarkStart w:id="1698" w:name="_Toc304295574"/>
      <w:bookmarkStart w:id="1699" w:name="_Toc297216207"/>
      <w:bookmarkStart w:id="1700" w:name="_Toc300934997"/>
      <w:bookmarkStart w:id="1701" w:name="_Toc296347198"/>
      <w:bookmarkStart w:id="1702" w:name="_Toc296891027"/>
      <w:bookmarkStart w:id="1703" w:name="_Toc312678033"/>
      <w:bookmarkStart w:id="1704" w:name="_Toc292559404"/>
      <w:bookmarkStart w:id="1705" w:name="_Toc296503199"/>
      <w:bookmarkStart w:id="1706" w:name="_Toc303539154"/>
      <w:bookmarkStart w:id="1707" w:name="_Toc296346700"/>
      <w:bookmarkStart w:id="1708" w:name="_Toc297123548"/>
      <w:r>
        <w:rPr>
          <w:rFonts w:hint="eastAsia"/>
          <w:color w:val="000000" w:themeColor="text1"/>
          <w:sz w:val="21"/>
          <w:szCs w:val="21"/>
          <w14:textFill>
            <w14:solidFill>
              <w14:schemeClr w14:val="tx1"/>
            </w14:solidFill>
          </w14:textFill>
        </w:rPr>
        <w:t>0.7 暂估价</w:t>
      </w:r>
      <w:bookmarkEnd w:id="1690"/>
      <w:bookmarkEnd w:id="1691"/>
    </w:p>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p w14:paraId="12E8A5F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专业工程暂估价：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万元。</w:t>
      </w:r>
    </w:p>
    <w:p w14:paraId="1A94B7D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项合同估算价在国家相关法律法规规定必须招标规模以下的，符合可以不招标相关规定的，由承包人采取交钥匙工程模式实施，发包人配合。承包人（需在允许资质范围内）实施。费用估价按照第10.4.1项〔变更估价原则〕执行，承包人申报，经监理人、发包人共同审定。审定后根据承包人签订的相关合同（需经监理人、发包人共同确认）约定，由承包人申报，随进度款按与相关单位签订的合同约定一并支付。</w:t>
      </w:r>
    </w:p>
    <w:p w14:paraId="0AC32E27">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单项合同暂估价在国家相关法律法规规定必须招标规模以上的，需依法必须招标的，由承包人、发包人共同招标确定。</w:t>
      </w:r>
    </w:p>
    <w:p w14:paraId="1556577E">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709" w:name="_Toc532375641"/>
      <w:bookmarkStart w:id="1710" w:name="_Toc532377377"/>
      <w:r>
        <w:rPr>
          <w:rFonts w:hint="eastAsia"/>
          <w:color w:val="000000" w:themeColor="text1"/>
          <w:sz w:val="21"/>
          <w:szCs w:val="21"/>
          <w14:textFill>
            <w14:solidFill>
              <w14:schemeClr w14:val="tx1"/>
            </w14:solidFill>
          </w14:textFill>
        </w:rPr>
        <w:t>10.8 暂列金额</w:t>
      </w:r>
      <w:bookmarkEnd w:id="1709"/>
      <w:bookmarkEnd w:id="1710"/>
    </w:p>
    <w:p w14:paraId="3C2179E1">
      <w:pPr>
        <w:autoSpaceDE w:val="0"/>
        <w:autoSpaceDN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合同当事人关于暂列金额使用的约定：</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10A60AC6">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711" w:name="_Toc532375642"/>
      <w:bookmarkStart w:id="1712" w:name="_Toc532377378"/>
      <w:bookmarkStart w:id="1713" w:name="_Toc351203643"/>
      <w:r>
        <w:rPr>
          <w:rFonts w:hint="eastAsia"/>
          <w:color w:val="000000" w:themeColor="text1"/>
          <w:kern w:val="2"/>
          <w:sz w:val="21"/>
          <w:szCs w:val="21"/>
          <w14:textFill>
            <w14:solidFill>
              <w14:schemeClr w14:val="tx1"/>
            </w14:solidFill>
          </w14:textFill>
        </w:rPr>
        <w:t>11. 价格调整</w:t>
      </w:r>
      <w:bookmarkEnd w:id="1711"/>
      <w:bookmarkEnd w:id="1712"/>
      <w:bookmarkEnd w:id="1713"/>
    </w:p>
    <w:p w14:paraId="0D5B4072">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714" w:name="_Toc532375643"/>
      <w:bookmarkStart w:id="1715" w:name="_Toc532377379"/>
      <w:bookmarkStart w:id="1716" w:name="_Toc296891241"/>
      <w:bookmarkStart w:id="1717" w:name="_Toc296891029"/>
      <w:bookmarkStart w:id="1718" w:name="_Toc292559911"/>
      <w:bookmarkStart w:id="1719" w:name="_Toc312678039"/>
      <w:bookmarkStart w:id="1720" w:name="_Toc297123550"/>
      <w:bookmarkStart w:id="1721" w:name="_Toc292559406"/>
      <w:bookmarkStart w:id="1722" w:name="_Toc300935000"/>
      <w:bookmarkStart w:id="1723" w:name="_Toc296347200"/>
      <w:bookmarkStart w:id="1724" w:name="_Toc296346702"/>
      <w:bookmarkStart w:id="1725" w:name="_Toc297048387"/>
      <w:bookmarkStart w:id="1726" w:name="_Toc296503201"/>
      <w:bookmarkStart w:id="1727" w:name="_Toc303539157"/>
      <w:bookmarkStart w:id="1728" w:name="_Toc297120501"/>
      <w:bookmarkStart w:id="1729" w:name="_Toc304295577"/>
      <w:bookmarkStart w:id="1730" w:name="_Toc297216209"/>
      <w:bookmarkStart w:id="1731" w:name="_Toc296944540"/>
      <w:r>
        <w:rPr>
          <w:rFonts w:hint="eastAsia"/>
          <w:color w:val="000000" w:themeColor="text1"/>
          <w:sz w:val="21"/>
          <w:szCs w:val="21"/>
          <w14:textFill>
            <w14:solidFill>
              <w14:schemeClr w14:val="tx1"/>
            </w14:solidFill>
          </w14:textFill>
        </w:rPr>
        <w:t>11.1 市场价格波动引起的调整</w:t>
      </w:r>
      <w:bookmarkEnd w:id="1714"/>
      <w:bookmarkEnd w:id="1715"/>
    </w:p>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p w14:paraId="54086E27">
      <w:pPr>
        <w:spacing w:line="360" w:lineRule="auto"/>
        <w:ind w:firstLine="420" w:firstLineChars="200"/>
        <w:jc w:val="left"/>
        <w:rPr>
          <w:rFonts w:hint="eastAsia" w:ascii="宋体" w:hAnsi="宋体"/>
          <w:color w:val="000000" w:themeColor="text1"/>
          <w:szCs w:val="21"/>
          <w14:textFill>
            <w14:solidFill>
              <w14:schemeClr w14:val="tx1"/>
            </w14:solidFill>
          </w14:textFill>
        </w:rPr>
      </w:pPr>
      <w:bookmarkStart w:id="1732" w:name="_Toc466913513"/>
      <w:bookmarkStart w:id="1733" w:name="_Toc466913963"/>
      <w:bookmarkStart w:id="1734" w:name="_Toc467689641"/>
      <w:bookmarkStart w:id="1735" w:name="_Toc466911545"/>
      <w:r>
        <w:rPr>
          <w:rFonts w:hint="eastAsia" w:ascii="宋体" w:hAnsi="宋体"/>
          <w:color w:val="000000" w:themeColor="text1"/>
          <w:szCs w:val="21"/>
          <w14:textFill>
            <w14:solidFill>
              <w14:schemeClr w14:val="tx1"/>
            </w14:solidFill>
          </w14:textFill>
        </w:rPr>
        <w:t>市场价格波动是否调整合同价格的约定：</w:t>
      </w:r>
      <w:r>
        <w:rPr>
          <w:rFonts w:hint="eastAsia" w:ascii="宋体" w:hAnsi="宋体"/>
          <w:color w:val="000000" w:themeColor="text1"/>
          <w:szCs w:val="21"/>
          <w:u w:val="single"/>
          <w14:textFill>
            <w14:solidFill>
              <w14:schemeClr w14:val="tx1"/>
            </w14:solidFill>
          </w14:textFill>
        </w:rPr>
        <w:t>不调整</w:t>
      </w:r>
      <w:r>
        <w:rPr>
          <w:rFonts w:hint="eastAsia" w:ascii="宋体" w:hAnsi="宋体"/>
          <w:color w:val="000000" w:themeColor="text1"/>
          <w:szCs w:val="21"/>
          <w14:textFill>
            <w14:solidFill>
              <w14:schemeClr w14:val="tx1"/>
            </w14:solidFill>
          </w14:textFill>
        </w:rPr>
        <w:t>。</w:t>
      </w:r>
    </w:p>
    <w:bookmarkEnd w:id="1594"/>
    <w:bookmarkEnd w:id="1595"/>
    <w:bookmarkEnd w:id="1596"/>
    <w:bookmarkEnd w:id="1597"/>
    <w:bookmarkEnd w:id="1598"/>
    <w:bookmarkEnd w:id="1599"/>
    <w:bookmarkEnd w:id="1732"/>
    <w:bookmarkEnd w:id="1733"/>
    <w:bookmarkEnd w:id="1734"/>
    <w:bookmarkEnd w:id="1735"/>
    <w:p w14:paraId="3B0E07A5">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736" w:name="_Toc532377380"/>
      <w:bookmarkStart w:id="1737" w:name="_Toc532375644"/>
      <w:bookmarkStart w:id="1738" w:name="_Hlk528928232"/>
      <w:bookmarkStart w:id="1739" w:name="_Toc297120505"/>
      <w:bookmarkStart w:id="1740" w:name="_Toc292559915"/>
      <w:bookmarkStart w:id="1741" w:name="_Toc296944544"/>
      <w:bookmarkStart w:id="1742" w:name="_Toc296891245"/>
      <w:bookmarkStart w:id="1743" w:name="_Toc296346706"/>
      <w:bookmarkStart w:id="1744" w:name="_Toc297048391"/>
      <w:bookmarkStart w:id="1745" w:name="_Toc296891033"/>
      <w:bookmarkStart w:id="1746" w:name="_Toc292559410"/>
      <w:bookmarkStart w:id="1747" w:name="_Toc296503205"/>
      <w:bookmarkStart w:id="1748" w:name="_Toc296347204"/>
      <w:bookmarkStart w:id="1749" w:name="_Toc351203644"/>
      <w:bookmarkStart w:id="1750" w:name="_Toc300935002"/>
      <w:bookmarkStart w:id="1751" w:name="_Toc312678040"/>
      <w:bookmarkStart w:id="1752" w:name="_Toc297123552"/>
      <w:bookmarkStart w:id="1753" w:name="_Toc297216211"/>
      <w:bookmarkStart w:id="1754" w:name="_Toc304295579"/>
      <w:bookmarkStart w:id="1755" w:name="_Toc303539159"/>
      <w:r>
        <w:rPr>
          <w:rFonts w:hint="eastAsia"/>
          <w:color w:val="000000" w:themeColor="text1"/>
          <w:sz w:val="21"/>
          <w:szCs w:val="21"/>
          <w14:textFill>
            <w14:solidFill>
              <w14:schemeClr w14:val="tx1"/>
            </w14:solidFill>
          </w14:textFill>
        </w:rPr>
        <w:t>11.2 法律变化引起的调整</w:t>
      </w:r>
      <w:bookmarkEnd w:id="1736"/>
      <w:bookmarkEnd w:id="1737"/>
    </w:p>
    <w:p w14:paraId="705D6BB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14:paraId="4E169B8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本条补充11.3款</w:t>
      </w:r>
    </w:p>
    <w:bookmarkEnd w:id="1738"/>
    <w:p w14:paraId="727F8E4B">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756" w:name="_Toc532377381"/>
      <w:bookmarkStart w:id="1757" w:name="_Toc532375645"/>
      <w:r>
        <w:rPr>
          <w:rFonts w:hint="eastAsia"/>
          <w:color w:val="000000" w:themeColor="text1"/>
          <w:sz w:val="21"/>
          <w:szCs w:val="21"/>
          <w14:textFill>
            <w14:solidFill>
              <w14:schemeClr w14:val="tx1"/>
            </w14:solidFill>
          </w14:textFill>
        </w:rPr>
        <w:t>11.3 严重不平衡报价引起的调整</w:t>
      </w:r>
      <w:bookmarkEnd w:id="1756"/>
      <w:bookmarkEnd w:id="1757"/>
    </w:p>
    <w:p w14:paraId="1B632A5E">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合同履行期间，当按第12.3.1项〔计量原则〕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竣工结算，修正综合单价按照第10.4.1项〔变更估价原则〕（3）目约定执行</w:t>
      </w:r>
      <w:r>
        <w:rPr>
          <w:rFonts w:hint="eastAsia" w:ascii="宋体" w:hAnsi="宋体"/>
          <w:color w:val="000000" w:themeColor="text1"/>
          <w:szCs w:val="21"/>
          <w14:textFill>
            <w14:solidFill>
              <w14:schemeClr w14:val="tx1"/>
            </w14:solidFill>
          </w14:textFill>
        </w:rPr>
        <w:t>。</w:t>
      </w:r>
    </w:p>
    <w:p w14:paraId="5B448E18">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严重不平衡报价是指：清单子目综合单价与发包人按照第10.4.1项〔变更估价原则〕（3）目约定确定的综合单价相比，高于50%（即严重不平衡报价清单子目综合单价 - 按照第10.4.1项〔变更估价原则〕（3）目约定确定的综合单价）/按照第10.4.1项〔变更估价原则〕（3）目约定确定的综合单价×100%</w:t>
      </w:r>
      <w:r>
        <w:rPr>
          <w:rFonts w:hint="eastAsia" w:ascii="宋体" w:hAnsi="宋体"/>
          <w:color w:val="000000" w:themeColor="text1"/>
          <w:szCs w:val="21"/>
          <w14:textFill>
            <w14:solidFill>
              <w14:schemeClr w14:val="tx1"/>
            </w14:solidFill>
          </w14:textFill>
        </w:rPr>
        <w:t>。</w:t>
      </w:r>
    </w:p>
    <w:p w14:paraId="35FE7C74">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758" w:name="_Toc532375646"/>
      <w:bookmarkStart w:id="1759" w:name="_Toc532377382"/>
      <w:r>
        <w:rPr>
          <w:rFonts w:hint="eastAsia"/>
          <w:color w:val="000000" w:themeColor="text1"/>
          <w:kern w:val="2"/>
          <w:sz w:val="21"/>
          <w:szCs w:val="21"/>
          <w14:textFill>
            <w14:solidFill>
              <w14:schemeClr w14:val="tx1"/>
            </w14:solidFill>
          </w14:textFill>
        </w:rPr>
        <w:t xml:space="preserve">12. </w:t>
      </w:r>
      <w:bookmarkEnd w:id="1739"/>
      <w:bookmarkEnd w:id="1740"/>
      <w:bookmarkEnd w:id="1741"/>
      <w:bookmarkEnd w:id="1742"/>
      <w:bookmarkEnd w:id="1743"/>
      <w:bookmarkEnd w:id="1744"/>
      <w:bookmarkEnd w:id="1745"/>
      <w:bookmarkEnd w:id="1746"/>
      <w:bookmarkEnd w:id="1747"/>
      <w:bookmarkEnd w:id="1748"/>
      <w:r>
        <w:rPr>
          <w:rFonts w:hint="eastAsia"/>
          <w:color w:val="000000" w:themeColor="text1"/>
          <w:kern w:val="2"/>
          <w:sz w:val="21"/>
          <w:szCs w:val="21"/>
          <w14:textFill>
            <w14:solidFill>
              <w14:schemeClr w14:val="tx1"/>
            </w14:solidFill>
          </w14:textFill>
        </w:rPr>
        <w:t>合同价格、计量与支付</w:t>
      </w:r>
      <w:bookmarkEnd w:id="1749"/>
      <w:bookmarkEnd w:id="1758"/>
      <w:bookmarkEnd w:id="1759"/>
    </w:p>
    <w:bookmarkEnd w:id="1750"/>
    <w:bookmarkEnd w:id="1751"/>
    <w:bookmarkEnd w:id="1752"/>
    <w:bookmarkEnd w:id="1753"/>
    <w:bookmarkEnd w:id="1754"/>
    <w:bookmarkEnd w:id="1755"/>
    <w:p w14:paraId="13C0B2B1">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760" w:name="_Toc292559916"/>
      <w:bookmarkStart w:id="1761" w:name="_Toc267251461"/>
      <w:bookmarkStart w:id="1762" w:name="_Toc292559411"/>
      <w:bookmarkStart w:id="1763" w:name="_Toc296891034"/>
      <w:bookmarkStart w:id="1764" w:name="_Toc296891246"/>
      <w:bookmarkStart w:id="1765" w:name="_Toc297048392"/>
      <w:bookmarkStart w:id="1766" w:name="_Toc296346707"/>
      <w:bookmarkStart w:id="1767" w:name="_Toc296503206"/>
      <w:bookmarkStart w:id="1768" w:name="_Toc296944545"/>
      <w:bookmarkStart w:id="1769" w:name="_Toc297120506"/>
      <w:bookmarkStart w:id="1770" w:name="_Toc296347205"/>
      <w:bookmarkStart w:id="1771" w:name="_Toc532375647"/>
      <w:bookmarkStart w:id="1772" w:name="_Toc532377383"/>
      <w:bookmarkStart w:id="1773" w:name="_Toc297216212"/>
      <w:bookmarkStart w:id="1774" w:name="_Toc303539160"/>
      <w:bookmarkStart w:id="1775" w:name="_Toc312678041"/>
      <w:bookmarkStart w:id="1776" w:name="_Toc300935003"/>
      <w:bookmarkStart w:id="1777" w:name="_Toc304295580"/>
      <w:bookmarkStart w:id="1778" w:name="_Toc297123553"/>
      <w:r>
        <w:rPr>
          <w:rFonts w:hint="eastAsia"/>
          <w:color w:val="000000" w:themeColor="text1"/>
          <w:sz w:val="21"/>
          <w:szCs w:val="21"/>
          <w14:textFill>
            <w14:solidFill>
              <w14:schemeClr w14:val="tx1"/>
            </w14:solidFill>
          </w14:textFill>
        </w:rPr>
        <w:t>12.1 合</w:t>
      </w:r>
      <w:bookmarkEnd w:id="1760"/>
      <w:bookmarkEnd w:id="1761"/>
      <w:bookmarkEnd w:id="1762"/>
      <w:r>
        <w:rPr>
          <w:rFonts w:hint="eastAsia"/>
          <w:color w:val="000000" w:themeColor="text1"/>
          <w:sz w:val="21"/>
          <w:szCs w:val="21"/>
          <w14:textFill>
            <w14:solidFill>
              <w14:schemeClr w14:val="tx1"/>
            </w14:solidFill>
          </w14:textFill>
        </w:rPr>
        <w:t>同价</w:t>
      </w:r>
      <w:bookmarkEnd w:id="1763"/>
      <w:bookmarkEnd w:id="1764"/>
      <w:bookmarkEnd w:id="1765"/>
      <w:bookmarkEnd w:id="1766"/>
      <w:bookmarkEnd w:id="1767"/>
      <w:bookmarkEnd w:id="1768"/>
      <w:bookmarkEnd w:id="1769"/>
      <w:bookmarkEnd w:id="1770"/>
      <w:r>
        <w:rPr>
          <w:rFonts w:hint="eastAsia"/>
          <w:color w:val="000000" w:themeColor="text1"/>
          <w:sz w:val="21"/>
          <w:szCs w:val="21"/>
          <w14:textFill>
            <w14:solidFill>
              <w14:schemeClr w14:val="tx1"/>
            </w14:solidFill>
          </w14:textFill>
        </w:rPr>
        <w:t>格形式</w:t>
      </w:r>
      <w:bookmarkEnd w:id="1771"/>
      <w:bookmarkEnd w:id="1772"/>
    </w:p>
    <w:bookmarkEnd w:id="1773"/>
    <w:bookmarkEnd w:id="1774"/>
    <w:bookmarkEnd w:id="1775"/>
    <w:bookmarkEnd w:id="1776"/>
    <w:bookmarkEnd w:id="1777"/>
    <w:bookmarkEnd w:id="1778"/>
    <w:p w14:paraId="650FBAE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1、单价合同。</w:t>
      </w:r>
    </w:p>
    <w:p w14:paraId="6911EB7B">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综合单价包含的风险范围：</w:t>
      </w:r>
      <w:r>
        <w:rPr>
          <w:rFonts w:hint="eastAsia" w:ascii="宋体" w:hAnsi="宋体"/>
          <w:color w:val="000000" w:themeColor="text1"/>
          <w:szCs w:val="21"/>
          <w:u w:val="single"/>
          <w14:textFill>
            <w14:solidFill>
              <w14:schemeClr w14:val="tx1"/>
            </w14:solidFill>
          </w14:textFill>
        </w:rPr>
        <w:t>包括但不限于为实施和完成合同工程所需的人工费、材料费、施工机具使用费、企业管理费、利润、风险费、施工技术措施项目费、施工组织措施项目费及缺陷修复等费用，以及</w:t>
      </w:r>
      <w:bookmarkStart w:id="1779" w:name="_Hlk528508096"/>
      <w:r>
        <w:rPr>
          <w:rFonts w:hint="eastAsia" w:ascii="宋体" w:hAnsi="宋体"/>
          <w:color w:val="000000" w:themeColor="text1"/>
          <w:szCs w:val="21"/>
          <w:u w:val="single"/>
          <w14:textFill>
            <w14:solidFill>
              <w14:schemeClr w14:val="tx1"/>
            </w14:solidFill>
          </w14:textFill>
        </w:rPr>
        <w:t>第11.1款〔市场价格波动引起的调整〕约定范围内的市场价格波动风险、政策性文件规定的各项应有费用、</w:t>
      </w:r>
      <w:bookmarkEnd w:id="1779"/>
      <w:r>
        <w:rPr>
          <w:rFonts w:hint="eastAsia" w:ascii="宋体" w:hAnsi="宋体"/>
          <w:color w:val="000000" w:themeColor="text1"/>
          <w:szCs w:val="21"/>
          <w:u w:val="single"/>
          <w14:textFill>
            <w14:solidFill>
              <w14:schemeClr w14:val="tx1"/>
            </w14:solidFill>
          </w14:textFill>
        </w:rPr>
        <w:t>竞争性比选文件和合同明示或暗示的应由承包人承担的所有责任、义务和风险等所需的费用</w:t>
      </w:r>
      <w:r>
        <w:rPr>
          <w:rFonts w:hint="eastAsia" w:ascii="宋体" w:hAnsi="宋体"/>
          <w:color w:val="000000" w:themeColor="text1"/>
          <w:szCs w:val="21"/>
          <w14:textFill>
            <w14:solidFill>
              <w14:schemeClr w14:val="tx1"/>
            </w14:solidFill>
          </w14:textFill>
        </w:rPr>
        <w:t>。</w:t>
      </w:r>
    </w:p>
    <w:p w14:paraId="262FDE42">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风险费用的计算方法：</w:t>
      </w:r>
      <w:r>
        <w:rPr>
          <w:rFonts w:hint="eastAsia" w:ascii="宋体" w:hAnsi="宋体"/>
          <w:color w:val="000000" w:themeColor="text1"/>
          <w:szCs w:val="21"/>
          <w:u w:val="single"/>
          <w14:textFill>
            <w14:solidFill>
              <w14:schemeClr w14:val="tx1"/>
            </w14:solidFill>
          </w14:textFill>
        </w:rPr>
        <w:t>由承包人自行考虑并计入签约合同价格中，包干使用</w:t>
      </w:r>
      <w:r>
        <w:rPr>
          <w:rFonts w:hint="eastAsia" w:ascii="宋体" w:hAnsi="宋体"/>
          <w:color w:val="000000" w:themeColor="text1"/>
          <w:szCs w:val="21"/>
          <w14:textFill>
            <w14:solidFill>
              <w14:schemeClr w14:val="tx1"/>
            </w14:solidFill>
          </w14:textFill>
        </w:rPr>
        <w:t>。</w:t>
      </w:r>
    </w:p>
    <w:p w14:paraId="525FC5BC">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风险范围以外合同价格的调整方法：</w:t>
      </w:r>
      <w:r>
        <w:rPr>
          <w:rFonts w:hint="eastAsia" w:ascii="宋体" w:hAnsi="宋体"/>
          <w:color w:val="000000" w:themeColor="text1"/>
          <w:szCs w:val="21"/>
          <w:u w:val="single"/>
          <w14:textFill>
            <w14:solidFill>
              <w14:schemeClr w14:val="tx1"/>
            </w14:solidFill>
          </w14:textFill>
        </w:rPr>
        <w:t>按照合同相关条款约定执行</w:t>
      </w:r>
      <w:r>
        <w:rPr>
          <w:rFonts w:hint="eastAsia" w:ascii="宋体" w:hAnsi="宋体"/>
          <w:color w:val="000000" w:themeColor="text1"/>
          <w:szCs w:val="21"/>
          <w14:textFill>
            <w14:solidFill>
              <w14:schemeClr w14:val="tx1"/>
            </w14:solidFill>
          </w14:textFill>
        </w:rPr>
        <w:t>。</w:t>
      </w:r>
    </w:p>
    <w:p w14:paraId="1983457D">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2、总价合同。</w:t>
      </w:r>
    </w:p>
    <w:p w14:paraId="58BA52C5">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总价包含的风险范围：</w:t>
      </w:r>
      <w:r>
        <w:rPr>
          <w:rFonts w:hint="eastAsia" w:ascii="宋体" w:hAnsi="宋体"/>
          <w:color w:val="000000" w:themeColor="text1"/>
          <w:szCs w:val="21"/>
          <w:u w:val="single"/>
          <w14:textFill>
            <w14:solidFill>
              <w14:schemeClr w14:val="tx1"/>
            </w14:solidFill>
          </w14:textFill>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竞争性比选文件和合同明示或暗示的应由承包人承担的所有责任、义务和风险等所需的费用</w:t>
      </w:r>
      <w:r>
        <w:rPr>
          <w:rFonts w:hint="eastAsia" w:ascii="宋体" w:hAnsi="宋体"/>
          <w:color w:val="000000" w:themeColor="text1"/>
          <w:szCs w:val="21"/>
          <w14:textFill>
            <w14:solidFill>
              <w14:schemeClr w14:val="tx1"/>
            </w14:solidFill>
          </w14:textFill>
        </w:rPr>
        <w:t>。</w:t>
      </w:r>
    </w:p>
    <w:p w14:paraId="14D9437C">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风险费用的计算方法：</w:t>
      </w:r>
      <w:r>
        <w:rPr>
          <w:rFonts w:hint="eastAsia" w:ascii="宋体" w:hAnsi="宋体"/>
          <w:color w:val="000000" w:themeColor="text1"/>
          <w:szCs w:val="21"/>
          <w:u w:val="single"/>
          <w14:textFill>
            <w14:solidFill>
              <w14:schemeClr w14:val="tx1"/>
            </w14:solidFill>
          </w14:textFill>
        </w:rPr>
        <w:t>由承包人自行考虑并计入签约合同价格中，包干使用</w:t>
      </w:r>
      <w:r>
        <w:rPr>
          <w:rFonts w:hint="eastAsia" w:ascii="宋体" w:hAnsi="宋体"/>
          <w:color w:val="000000" w:themeColor="text1"/>
          <w:szCs w:val="21"/>
          <w14:textFill>
            <w14:solidFill>
              <w14:schemeClr w14:val="tx1"/>
            </w14:solidFill>
          </w14:textFill>
        </w:rPr>
        <w:t>。</w:t>
      </w:r>
    </w:p>
    <w:p w14:paraId="2686F33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风险范围以外合同价格的调整方法：</w:t>
      </w:r>
      <w:r>
        <w:rPr>
          <w:rFonts w:hint="eastAsia" w:ascii="宋体" w:hAnsi="宋体"/>
          <w:color w:val="000000" w:themeColor="text1"/>
          <w:szCs w:val="21"/>
          <w:u w:val="single"/>
          <w14:textFill>
            <w14:solidFill>
              <w14:schemeClr w14:val="tx1"/>
            </w14:solidFill>
          </w14:textFill>
        </w:rPr>
        <w:t>按照合同相关条款约定执行</w:t>
      </w:r>
      <w:r>
        <w:rPr>
          <w:rFonts w:hint="eastAsia" w:ascii="宋体" w:hAnsi="宋体"/>
          <w:color w:val="000000" w:themeColor="text1"/>
          <w:szCs w:val="21"/>
          <w14:textFill>
            <w14:solidFill>
              <w14:schemeClr w14:val="tx1"/>
            </w14:solidFill>
          </w14:textFill>
        </w:rPr>
        <w:t>。</w:t>
      </w:r>
    </w:p>
    <w:p w14:paraId="36D4FCAF">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3、其他价格方式：</w:t>
      </w:r>
      <w:r>
        <w:rPr>
          <w:rFonts w:hint="eastAsia" w:ascii="宋体" w:hAnsi="宋体"/>
          <w:color w:val="000000" w:themeColor="text1"/>
          <w:szCs w:val="21"/>
          <w:u w:val="single"/>
          <w14:textFill>
            <w14:solidFill>
              <w14:schemeClr w14:val="tx1"/>
            </w14:solidFill>
          </w14:textFill>
        </w:rPr>
        <w:t>不采用</w:t>
      </w:r>
      <w:r>
        <w:rPr>
          <w:rFonts w:hint="eastAsia" w:ascii="宋体" w:hAnsi="宋体"/>
          <w:color w:val="000000" w:themeColor="text1"/>
          <w:szCs w:val="21"/>
          <w14:textFill>
            <w14:solidFill>
              <w14:schemeClr w14:val="tx1"/>
            </w14:solidFill>
          </w14:textFill>
        </w:rPr>
        <w:t>。</w:t>
      </w:r>
    </w:p>
    <w:p w14:paraId="188E272F">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780" w:name="_Toc532375648"/>
      <w:bookmarkStart w:id="1781" w:name="_Toc532377384"/>
      <w:bookmarkStart w:id="1782" w:name="_Toc312678042"/>
      <w:bookmarkStart w:id="1783" w:name="_Toc297123554"/>
      <w:bookmarkStart w:id="1784" w:name="_Toc304295581"/>
      <w:bookmarkStart w:id="1785" w:name="_Toc303539161"/>
      <w:bookmarkStart w:id="1786" w:name="_Toc300935004"/>
      <w:bookmarkStart w:id="1787" w:name="_Toc297216213"/>
      <w:bookmarkStart w:id="1788" w:name="_Toc296944546"/>
      <w:bookmarkStart w:id="1789" w:name="_Toc296346708"/>
      <w:bookmarkStart w:id="1790" w:name="_Toc296347206"/>
      <w:bookmarkStart w:id="1791" w:name="_Toc292559412"/>
      <w:bookmarkStart w:id="1792" w:name="_Toc297120507"/>
      <w:bookmarkStart w:id="1793" w:name="_Toc296891247"/>
      <w:bookmarkStart w:id="1794" w:name="_Toc292559917"/>
      <w:bookmarkStart w:id="1795" w:name="_Toc296503207"/>
      <w:bookmarkStart w:id="1796" w:name="_Toc296891035"/>
      <w:bookmarkStart w:id="1797" w:name="_Toc297048393"/>
      <w:r>
        <w:rPr>
          <w:rFonts w:hint="eastAsia"/>
          <w:color w:val="000000" w:themeColor="text1"/>
          <w:sz w:val="21"/>
          <w:szCs w:val="21"/>
          <w14:textFill>
            <w14:solidFill>
              <w14:schemeClr w14:val="tx1"/>
            </w14:solidFill>
          </w14:textFill>
        </w:rPr>
        <w:t>12.2 预付款</w:t>
      </w:r>
      <w:bookmarkEnd w:id="1780"/>
      <w:bookmarkEnd w:id="1781"/>
    </w:p>
    <w:bookmarkEnd w:id="1782"/>
    <w:bookmarkEnd w:id="1783"/>
    <w:bookmarkEnd w:id="1784"/>
    <w:bookmarkEnd w:id="1785"/>
    <w:bookmarkEnd w:id="1786"/>
    <w:bookmarkEnd w:id="1787"/>
    <w:p w14:paraId="1823091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12.2.1 预付款的支付</w:t>
      </w:r>
    </w:p>
    <w:p w14:paraId="3EA4462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预付款支付比例或金额：</w:t>
      </w:r>
      <w:r>
        <w:rPr>
          <w:rFonts w:hint="eastAsia" w:ascii="宋体" w:hAnsi="宋体"/>
          <w:color w:val="000000" w:themeColor="text1"/>
          <w:szCs w:val="21"/>
          <w:u w:val="single"/>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bookmarkEnd w:id="1788"/>
    <w:bookmarkEnd w:id="1789"/>
    <w:bookmarkEnd w:id="1790"/>
    <w:bookmarkEnd w:id="1791"/>
    <w:bookmarkEnd w:id="1792"/>
    <w:bookmarkEnd w:id="1793"/>
    <w:bookmarkEnd w:id="1794"/>
    <w:bookmarkEnd w:id="1795"/>
    <w:bookmarkEnd w:id="1796"/>
    <w:bookmarkEnd w:id="1797"/>
    <w:p w14:paraId="635C56EE">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798" w:name="_Toc532377385"/>
      <w:bookmarkStart w:id="1799" w:name="_Toc532375649"/>
      <w:r>
        <w:rPr>
          <w:rFonts w:hint="eastAsia"/>
          <w:color w:val="000000" w:themeColor="text1"/>
          <w:sz w:val="21"/>
          <w:szCs w:val="21"/>
          <w14:textFill>
            <w14:solidFill>
              <w14:schemeClr w14:val="tx1"/>
            </w14:solidFill>
          </w14:textFill>
        </w:rPr>
        <w:t>12.3 计量</w:t>
      </w:r>
      <w:bookmarkEnd w:id="1798"/>
      <w:bookmarkEnd w:id="1799"/>
    </w:p>
    <w:p w14:paraId="7D2229BA">
      <w:pPr>
        <w:spacing w:line="360" w:lineRule="auto"/>
        <w:ind w:firstLine="420" w:firstLineChars="200"/>
        <w:jc w:val="left"/>
        <w:rPr>
          <w:rFonts w:hint="eastAsia" w:ascii="宋体" w:hAnsi="宋体"/>
          <w:color w:val="000000" w:themeColor="text1"/>
          <w:szCs w:val="21"/>
          <w14:textFill>
            <w14:solidFill>
              <w14:schemeClr w14:val="tx1"/>
            </w14:solidFill>
          </w14:textFill>
        </w:rPr>
      </w:pPr>
      <w:bookmarkStart w:id="1800" w:name="_Hlk528928260"/>
      <w:r>
        <w:rPr>
          <w:rFonts w:hint="eastAsia" w:ascii="宋体" w:hAnsi="宋体"/>
          <w:color w:val="000000" w:themeColor="text1"/>
          <w:szCs w:val="21"/>
          <w14:textFill>
            <w14:solidFill>
              <w14:schemeClr w14:val="tx1"/>
            </w14:solidFill>
          </w14:textFill>
        </w:rPr>
        <w:t>12.3.1 计量原则</w:t>
      </w:r>
    </w:p>
    <w:p w14:paraId="2B4F9B73">
      <w:pPr>
        <w:tabs>
          <w:tab w:val="left" w:pos="1134"/>
        </w:tabs>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量按《2013工程量清单计价规范》（GB50500-2013）、《通用安装工程工程量计算标准》（GB50856-2013）、《市政工程工程量计算标准》（GB50857-2013）、《园林绿化工程工程量计算标准》（GB50858-2013）、《仿古建筑工程工程量计算规范》（GB50855-2013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并结合施工图、图说、预算疑似问题回复、其他补充说明、设计变更、各种有效签证等计算出的实际合格工程量。</w:t>
      </w:r>
    </w:p>
    <w:bookmarkEnd w:id="1800"/>
    <w:p w14:paraId="29A2DC95">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12.3.2 计量周期</w:t>
      </w:r>
    </w:p>
    <w:p w14:paraId="4B6F1B80">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关于计量周期的约定：</w:t>
      </w:r>
      <w:r>
        <w:rPr>
          <w:rFonts w:hint="eastAsia" w:ascii="宋体" w:hAnsi="宋体"/>
          <w:color w:val="000000" w:themeColor="text1"/>
          <w:szCs w:val="21"/>
          <w:u w:val="single"/>
          <w14:textFill>
            <w14:solidFill>
              <w14:schemeClr w14:val="tx1"/>
            </w14:solidFill>
          </w14:textFill>
        </w:rPr>
        <w:t>按月计量根据具体项目实际情况可以按月、按进度、按节点等形式计量，按进度、按节点计量的参考按月计量原则执行）</w:t>
      </w:r>
      <w:r>
        <w:rPr>
          <w:rFonts w:hint="eastAsia" w:ascii="宋体" w:hAnsi="宋体"/>
          <w:color w:val="000000" w:themeColor="text1"/>
          <w:szCs w:val="21"/>
          <w14:textFill>
            <w14:solidFill>
              <w14:schemeClr w14:val="tx1"/>
            </w14:solidFill>
          </w14:textFill>
        </w:rPr>
        <w:t>。</w:t>
      </w:r>
    </w:p>
    <w:p w14:paraId="3F1B5CE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12.3.3 单价合同的计量</w:t>
      </w:r>
    </w:p>
    <w:p w14:paraId="15115CE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关于单价合同计量的约定：</w:t>
      </w:r>
    </w:p>
    <w:p w14:paraId="31512ED6">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bookmarkStart w:id="1801" w:name="_Hlk528926162"/>
      <w:r>
        <w:rPr>
          <w:rFonts w:hint="eastAsia" w:ascii="宋体" w:hAnsi="宋体"/>
          <w:color w:val="000000" w:themeColor="text1"/>
          <w:szCs w:val="21"/>
          <w:u w:val="single"/>
          <w14:textFill>
            <w14:solidFill>
              <w14:schemeClr w14:val="tx1"/>
            </w14:solidFill>
          </w14:textFill>
        </w:rPr>
        <w:t>（1）承包人应于当月25日前向监理人报送上月已完成的工程量，并附进度付款申请单、已完成工程量报表和其他有关资料</w:t>
      </w:r>
      <w:r>
        <w:rPr>
          <w:rFonts w:hint="eastAsia" w:ascii="宋体" w:hAnsi="宋体"/>
          <w:color w:val="000000" w:themeColor="text1"/>
          <w:szCs w:val="21"/>
          <w14:textFill>
            <w14:solidFill>
              <w14:schemeClr w14:val="tx1"/>
            </w14:solidFill>
          </w14:textFill>
        </w:rPr>
        <w:t>。</w:t>
      </w:r>
    </w:p>
    <w:bookmarkEnd w:id="1801"/>
    <w:p w14:paraId="53CE3D61">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（2）承包人未在已标价的工程量清单中填入单价和（或）总价的子目，视为该子目的费用已包含合同工程的其他子目的单价或总价中，不再另行计量支付</w:t>
      </w:r>
      <w:r>
        <w:rPr>
          <w:rFonts w:hint="eastAsia" w:ascii="宋体" w:hAnsi="宋体"/>
          <w:color w:val="000000" w:themeColor="text1"/>
          <w:szCs w:val="21"/>
          <w14:textFill>
            <w14:solidFill>
              <w14:schemeClr w14:val="tx1"/>
            </w14:solidFill>
          </w14:textFill>
        </w:rPr>
        <w:t>。</w:t>
      </w:r>
    </w:p>
    <w:p w14:paraId="0AA88BDA">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3）监理人应在收到承包人提交的工程量报表后7天内完成对承包人提交的工程量报表的审核并报送发包人；发包人收到监理人报送资料后7天内完成审批，以确定当月实际完成的工程量。监理人、发包人任一方对工程量有异议的，均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r>
        <w:rPr>
          <w:rFonts w:hint="eastAsia" w:ascii="宋体" w:hAnsi="宋体"/>
          <w:color w:val="000000" w:themeColor="text1"/>
          <w:szCs w:val="21"/>
          <w14:textFill>
            <w14:solidFill>
              <w14:schemeClr w14:val="tx1"/>
            </w14:solidFill>
          </w14:textFill>
        </w:rPr>
        <w:t>。</w:t>
      </w:r>
    </w:p>
    <w:p w14:paraId="7693FBF0">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color w:val="000000" w:themeColor="text1"/>
          <w:szCs w:val="21"/>
          <w14:textFill>
            <w14:solidFill>
              <w14:schemeClr w14:val="tx1"/>
            </w14:solidFill>
          </w14:textFill>
        </w:rPr>
        <w:t>。</w:t>
      </w:r>
    </w:p>
    <w:p w14:paraId="1F5A52D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12.3.4 总价合同的计量</w:t>
      </w:r>
    </w:p>
    <w:p w14:paraId="587CD79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关于总价合同计量的约定：</w:t>
      </w:r>
      <w:r>
        <w:rPr>
          <w:rFonts w:hint="eastAsia" w:ascii="宋体" w:hAnsi="宋体"/>
          <w:color w:val="000000" w:themeColor="text1"/>
          <w:szCs w:val="21"/>
          <w:u w:val="single"/>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14:paraId="15C45DA1">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12.3.5总价合同采用支付分解表计量支付的，是否适用第12.3.4项〔总价合同的计量〕约定进行计量：</w:t>
      </w:r>
      <w:r>
        <w:rPr>
          <w:rFonts w:hint="eastAsia" w:ascii="宋体" w:hAnsi="宋体"/>
          <w:color w:val="000000" w:themeColor="text1"/>
          <w:szCs w:val="21"/>
          <w:u w:val="single"/>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14:paraId="7A58FCB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12.3.6 其他价格形式合同的计量</w:t>
      </w:r>
    </w:p>
    <w:p w14:paraId="5533BB0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其他价格形式的计量方式和程序：</w:t>
      </w:r>
      <w:r>
        <w:rPr>
          <w:rFonts w:hint="eastAsia" w:ascii="宋体" w:hAnsi="宋体"/>
          <w:color w:val="000000" w:themeColor="text1"/>
          <w:szCs w:val="21"/>
          <w:u w:val="single"/>
          <w14:textFill>
            <w14:solidFill>
              <w14:schemeClr w14:val="tx1"/>
            </w14:solidFill>
          </w14:textFill>
        </w:rPr>
        <w:t>不采用</w:t>
      </w:r>
      <w:r>
        <w:rPr>
          <w:rFonts w:hint="eastAsia" w:ascii="宋体" w:hAnsi="宋体"/>
          <w:color w:val="000000" w:themeColor="text1"/>
          <w:szCs w:val="21"/>
          <w14:textFill>
            <w14:solidFill>
              <w14:schemeClr w14:val="tx1"/>
            </w14:solidFill>
          </w14:textFill>
        </w:rPr>
        <w:t>。</w:t>
      </w:r>
    </w:p>
    <w:p w14:paraId="34ADE8AD">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802" w:name="_Toc532375650"/>
      <w:bookmarkStart w:id="1803" w:name="_Toc532377386"/>
      <w:bookmarkStart w:id="1804" w:name="_Hlk528928289"/>
      <w:r>
        <w:rPr>
          <w:rFonts w:hint="eastAsia"/>
          <w:color w:val="000000" w:themeColor="text1"/>
          <w:sz w:val="21"/>
          <w:szCs w:val="21"/>
          <w14:textFill>
            <w14:solidFill>
              <w14:schemeClr w14:val="tx1"/>
            </w14:solidFill>
          </w14:textFill>
        </w:rPr>
        <w:t>12.4 工程进度款支付</w:t>
      </w:r>
      <w:bookmarkEnd w:id="1802"/>
      <w:bookmarkEnd w:id="1803"/>
    </w:p>
    <w:bookmarkEnd w:id="1804"/>
    <w:p w14:paraId="09F86D1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12.4.1 付款周期</w:t>
      </w:r>
    </w:p>
    <w:p w14:paraId="6AC22D95">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关于付款周期的约定：</w:t>
      </w:r>
      <w:r>
        <w:rPr>
          <w:rFonts w:hint="eastAsia" w:ascii="宋体" w:hAnsi="宋体"/>
          <w:color w:val="000000" w:themeColor="text1"/>
          <w:szCs w:val="21"/>
          <w:u w:val="single"/>
          <w14:textFill>
            <w14:solidFill>
              <w14:schemeClr w14:val="tx1"/>
            </w14:solidFill>
          </w14:textFill>
        </w:rPr>
        <w:t>按月计量支付进度款（按进度、按节点计量支付进度款的参考按月计量支付进度款原则执行）</w:t>
      </w:r>
      <w:r>
        <w:rPr>
          <w:rFonts w:hint="eastAsia" w:ascii="宋体" w:hAnsi="宋体"/>
          <w:color w:val="000000" w:themeColor="text1"/>
          <w:szCs w:val="21"/>
          <w14:textFill>
            <w14:solidFill>
              <w14:schemeClr w14:val="tx1"/>
            </w14:solidFill>
          </w14:textFill>
        </w:rPr>
        <w:t>。</w:t>
      </w:r>
    </w:p>
    <w:p w14:paraId="624DF3E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12.4.2 进度付款申请单的编制</w:t>
      </w:r>
    </w:p>
    <w:p w14:paraId="3330DE4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进度付款申请单应包括下列内容：</w:t>
      </w:r>
    </w:p>
    <w:p w14:paraId="34433D0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（1）截至本次付款周期已完成工作对应的金额</w:t>
      </w:r>
      <w:r>
        <w:rPr>
          <w:rFonts w:hint="eastAsia" w:ascii="宋体" w:hAnsi="宋体"/>
          <w:color w:val="000000" w:themeColor="text1"/>
          <w:szCs w:val="21"/>
          <w14:textFill>
            <w14:solidFill>
              <w14:schemeClr w14:val="tx1"/>
            </w14:solidFill>
          </w14:textFill>
        </w:rPr>
        <w:t>；</w:t>
      </w:r>
    </w:p>
    <w:p w14:paraId="4DED613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（2）根据第10条〔变更〕应增加和扣减的已审定变更金额</w:t>
      </w:r>
      <w:r>
        <w:rPr>
          <w:rFonts w:hint="eastAsia" w:ascii="宋体" w:hAnsi="宋体"/>
          <w:color w:val="000000" w:themeColor="text1"/>
          <w:szCs w:val="21"/>
          <w14:textFill>
            <w14:solidFill>
              <w14:schemeClr w14:val="tx1"/>
            </w14:solidFill>
          </w14:textFill>
        </w:rPr>
        <w:t>；</w:t>
      </w:r>
    </w:p>
    <w:p w14:paraId="7384E4B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（3）根据第12.2款〔预付款〕约定应支付的预付款和扣减的返还预付款</w:t>
      </w:r>
      <w:r>
        <w:rPr>
          <w:rFonts w:hint="eastAsia" w:ascii="宋体" w:hAnsi="宋体"/>
          <w:color w:val="000000" w:themeColor="text1"/>
          <w:szCs w:val="21"/>
          <w14:textFill>
            <w14:solidFill>
              <w14:schemeClr w14:val="tx1"/>
            </w14:solidFill>
          </w14:textFill>
        </w:rPr>
        <w:t>；</w:t>
      </w:r>
    </w:p>
    <w:p w14:paraId="6D2E978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（4）根据第15.3款〔质量保证金〕约定应扣减的质量保证金</w:t>
      </w:r>
      <w:r>
        <w:rPr>
          <w:rFonts w:hint="eastAsia" w:ascii="宋体" w:hAnsi="宋体"/>
          <w:color w:val="000000" w:themeColor="text1"/>
          <w:szCs w:val="21"/>
          <w14:textFill>
            <w14:solidFill>
              <w14:schemeClr w14:val="tx1"/>
            </w14:solidFill>
          </w14:textFill>
        </w:rPr>
        <w:t>；</w:t>
      </w:r>
    </w:p>
    <w:p w14:paraId="00A2392D">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（5）根据第19条〔索赔〕应增加和扣减的已审定索赔金额</w:t>
      </w:r>
      <w:r>
        <w:rPr>
          <w:rFonts w:hint="eastAsia" w:ascii="宋体" w:hAnsi="宋体"/>
          <w:color w:val="000000" w:themeColor="text1"/>
          <w:szCs w:val="21"/>
          <w14:textFill>
            <w14:solidFill>
              <w14:schemeClr w14:val="tx1"/>
            </w14:solidFill>
          </w14:textFill>
        </w:rPr>
        <w:t>；</w:t>
      </w:r>
    </w:p>
    <w:p w14:paraId="1C796A9C">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（6）根据第11条〔价格调整〕应增加和扣减的价格调整金额</w:t>
      </w:r>
      <w:r>
        <w:rPr>
          <w:rFonts w:hint="eastAsia" w:ascii="宋体" w:hAnsi="宋体"/>
          <w:color w:val="000000" w:themeColor="text1"/>
          <w:szCs w:val="21"/>
          <w14:textFill>
            <w14:solidFill>
              <w14:schemeClr w14:val="tx1"/>
            </w14:solidFill>
          </w14:textFill>
        </w:rPr>
        <w:t>；</w:t>
      </w:r>
    </w:p>
    <w:p w14:paraId="55373897">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（7）对已签发的进度款支付证书中出现错误的修正，应在本次进度付款中支付或扣除的金额</w:t>
      </w:r>
      <w:r>
        <w:rPr>
          <w:rFonts w:hint="eastAsia" w:ascii="宋体" w:hAnsi="宋体"/>
          <w:color w:val="000000" w:themeColor="text1"/>
          <w:szCs w:val="21"/>
          <w14:textFill>
            <w14:solidFill>
              <w14:schemeClr w14:val="tx1"/>
            </w14:solidFill>
          </w14:textFill>
        </w:rPr>
        <w:t>；</w:t>
      </w:r>
    </w:p>
    <w:p w14:paraId="199284B8">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（8）根据合同约定承包人应向发包人支付的违约金</w:t>
      </w:r>
      <w:r>
        <w:rPr>
          <w:rFonts w:hint="eastAsia" w:ascii="宋体" w:hAnsi="宋体"/>
          <w:color w:val="000000" w:themeColor="text1"/>
          <w:szCs w:val="21"/>
          <w14:textFill>
            <w14:solidFill>
              <w14:schemeClr w14:val="tx1"/>
            </w14:solidFill>
          </w14:textFill>
        </w:rPr>
        <w:t>；</w:t>
      </w:r>
    </w:p>
    <w:p w14:paraId="216407C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（9）根据合同约定发包人应向承包人支付的违约金和（或）奖励</w:t>
      </w:r>
      <w:r>
        <w:rPr>
          <w:rFonts w:hint="eastAsia" w:ascii="宋体" w:hAnsi="宋体"/>
          <w:color w:val="000000" w:themeColor="text1"/>
          <w:szCs w:val="21"/>
          <w14:textFill>
            <w14:solidFill>
              <w14:schemeClr w14:val="tx1"/>
            </w14:solidFill>
          </w14:textFill>
        </w:rPr>
        <w:t>；</w:t>
      </w:r>
    </w:p>
    <w:p w14:paraId="44EF30A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（10）根据合同约定应增加和扣减的其他金额</w:t>
      </w:r>
      <w:r>
        <w:rPr>
          <w:rFonts w:hint="eastAsia" w:ascii="宋体" w:hAnsi="宋体"/>
          <w:color w:val="000000" w:themeColor="text1"/>
          <w:szCs w:val="21"/>
          <w14:textFill>
            <w14:solidFill>
              <w14:schemeClr w14:val="tx1"/>
            </w14:solidFill>
          </w14:textFill>
        </w:rPr>
        <w:t>；</w:t>
      </w:r>
    </w:p>
    <w:p w14:paraId="796F7861">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（11）当月应支付的人工费（工资款）金额</w:t>
      </w:r>
      <w:r>
        <w:rPr>
          <w:rFonts w:hint="eastAsia" w:ascii="宋体" w:hAnsi="宋体"/>
          <w:color w:val="000000" w:themeColor="text1"/>
          <w:szCs w:val="21"/>
          <w14:textFill>
            <w14:solidFill>
              <w14:schemeClr w14:val="tx1"/>
            </w14:solidFill>
          </w14:textFill>
        </w:rPr>
        <w:t>。</w:t>
      </w:r>
    </w:p>
    <w:p w14:paraId="482418B4">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12.4.3 进度付款申请单的提交</w:t>
      </w:r>
    </w:p>
    <w:p w14:paraId="1540EC08">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（1）单价合同进度付款申请单提交的约定：</w:t>
      </w:r>
      <w:r>
        <w:rPr>
          <w:rFonts w:hint="eastAsia" w:ascii="宋体" w:hAnsi="宋体"/>
          <w:color w:val="000000" w:themeColor="text1"/>
          <w:szCs w:val="21"/>
          <w:u w:val="single"/>
          <w14:textFill>
            <w14:solidFill>
              <w14:schemeClr w14:val="tx1"/>
            </w14:solidFill>
          </w14:textFill>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hint="eastAsia" w:ascii="宋体" w:hAnsi="宋体"/>
          <w:color w:val="000000" w:themeColor="text1"/>
          <w:szCs w:val="21"/>
          <w14:textFill>
            <w14:solidFill>
              <w14:schemeClr w14:val="tx1"/>
            </w14:solidFill>
          </w14:textFill>
        </w:rPr>
        <w:t>。</w:t>
      </w:r>
    </w:p>
    <w:p w14:paraId="0F54F7E2">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（2）总价合同进度付款申请单提交的约定：</w:t>
      </w:r>
      <w:r>
        <w:rPr>
          <w:rFonts w:hint="eastAsia" w:ascii="宋体" w:hAnsi="宋体"/>
          <w:color w:val="000000" w:themeColor="text1"/>
          <w:szCs w:val="21"/>
          <w:u w:val="single"/>
          <w14:textFill>
            <w14:solidFill>
              <w14:schemeClr w14:val="tx1"/>
            </w14:solidFill>
          </w14:textFill>
        </w:rPr>
        <w:t>按照合同约定的形象进度的计量约定的时间向监理人提交，并附上已完成工程量报表、经审核的农民工工资发放的情况说明及有关资料</w:t>
      </w:r>
      <w:r>
        <w:rPr>
          <w:rFonts w:hint="eastAsia" w:ascii="宋体" w:hAnsi="宋体"/>
          <w:color w:val="000000" w:themeColor="text1"/>
          <w:szCs w:val="21"/>
          <w14:textFill>
            <w14:solidFill>
              <w14:schemeClr w14:val="tx1"/>
            </w14:solidFill>
          </w14:textFill>
        </w:rPr>
        <w:t>。</w:t>
      </w:r>
    </w:p>
    <w:p w14:paraId="61217DCB">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（3）其他价格形式合同进度付款申请单提交的约定：</w:t>
      </w:r>
      <w:r>
        <w:rPr>
          <w:rFonts w:hint="eastAsia" w:ascii="宋体" w:hAnsi="宋体"/>
          <w:color w:val="000000" w:themeColor="text1"/>
          <w:szCs w:val="21"/>
          <w:u w:val="single"/>
          <w14:textFill>
            <w14:solidFill>
              <w14:schemeClr w14:val="tx1"/>
            </w14:solidFill>
          </w14:textFill>
        </w:rPr>
        <w:t>不采用</w:t>
      </w:r>
      <w:r>
        <w:rPr>
          <w:rFonts w:hint="eastAsia" w:ascii="宋体" w:hAnsi="宋体"/>
          <w:color w:val="000000" w:themeColor="text1"/>
          <w:szCs w:val="21"/>
          <w14:textFill>
            <w14:solidFill>
              <w14:schemeClr w14:val="tx1"/>
            </w14:solidFill>
          </w14:textFill>
        </w:rPr>
        <w:t>。</w:t>
      </w:r>
    </w:p>
    <w:p w14:paraId="10F18722">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12.4.4 进度款审核和支付</w:t>
      </w:r>
    </w:p>
    <w:p w14:paraId="417649D3">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（1）监理人审查并报送发包人的期限：</w:t>
      </w:r>
      <w:r>
        <w:rPr>
          <w:rFonts w:hint="eastAsia" w:ascii="宋体" w:hAnsi="宋体"/>
          <w:color w:val="000000" w:themeColor="text1"/>
          <w:szCs w:val="21"/>
          <w:u w:val="single"/>
          <w14:textFill>
            <w14:solidFill>
              <w14:schemeClr w14:val="tx1"/>
            </w14:solidFill>
          </w14:textFill>
        </w:rPr>
        <w:t>收到完整资料后7天内</w:t>
      </w:r>
      <w:r>
        <w:rPr>
          <w:rFonts w:hint="eastAsia" w:ascii="宋体" w:hAnsi="宋体"/>
          <w:color w:val="000000" w:themeColor="text1"/>
          <w:szCs w:val="21"/>
          <w14:textFill>
            <w14:solidFill>
              <w14:schemeClr w14:val="tx1"/>
            </w14:solidFill>
          </w14:textFill>
        </w:rPr>
        <w:t>。</w:t>
      </w:r>
    </w:p>
    <w:p w14:paraId="5D8D72A7">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发包人完成审批并签发进度款支付证书的期限：</w:t>
      </w:r>
      <w:r>
        <w:rPr>
          <w:rFonts w:hint="eastAsia" w:ascii="宋体" w:hAnsi="宋体"/>
          <w:color w:val="000000" w:themeColor="text1"/>
          <w:szCs w:val="21"/>
          <w:u w:val="single"/>
          <w14:textFill>
            <w14:solidFill>
              <w14:schemeClr w14:val="tx1"/>
            </w14:solidFill>
          </w14:textFill>
        </w:rPr>
        <w:t>发包人收到监理人报送资料后7天内完成审批并签发进度款支付证书</w:t>
      </w:r>
      <w:r>
        <w:rPr>
          <w:rFonts w:hint="eastAsia" w:ascii="宋体" w:hAnsi="宋体"/>
          <w:color w:val="000000" w:themeColor="text1"/>
          <w:szCs w:val="21"/>
          <w14:textFill>
            <w14:solidFill>
              <w14:schemeClr w14:val="tx1"/>
            </w14:solidFill>
          </w14:textFill>
        </w:rPr>
        <w:t>。</w:t>
      </w:r>
    </w:p>
    <w:p w14:paraId="5E725FE5">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监理人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14:paraId="296B503D">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发包人签发进度款支付证书或临时进度款支付证书，不表明发包人已同意、批准或接受了承包人完成的相应部分的工作。</w:t>
      </w:r>
    </w:p>
    <w:p w14:paraId="11F04C6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（2）进度款支付：</w:t>
      </w:r>
    </w:p>
    <w:p w14:paraId="0FA1D221">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①安全文明施工费：</w:t>
      </w:r>
      <w:r>
        <w:rPr>
          <w:rFonts w:hint="eastAsia" w:ascii="宋体" w:hAnsi="宋体"/>
          <w:color w:val="000000" w:themeColor="text1"/>
          <w:szCs w:val="21"/>
          <w:u w:val="single"/>
          <w14:textFill>
            <w14:solidFill>
              <w14:schemeClr w14:val="tx1"/>
            </w14:solidFill>
          </w14:textFill>
        </w:rPr>
        <w:t>合同签订后，发包人在开工前按签约合同价中安全文明施工费的50％支付承包人，用于现场安全文明施工建设，余下安全文明施工费按施工进度支付</w:t>
      </w:r>
      <w:r>
        <w:rPr>
          <w:rFonts w:hint="eastAsia" w:ascii="宋体" w:hAnsi="宋体"/>
          <w:color w:val="000000" w:themeColor="text1"/>
          <w:szCs w:val="21"/>
          <w14:textFill>
            <w14:solidFill>
              <w14:schemeClr w14:val="tx1"/>
            </w14:solidFill>
          </w14:textFill>
        </w:rPr>
        <w:t>。</w:t>
      </w:r>
    </w:p>
    <w:p w14:paraId="3A98CF3C">
      <w:pPr>
        <w:spacing w:line="360" w:lineRule="auto"/>
        <w:ind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②</w:t>
      </w:r>
      <w:r>
        <w:rPr>
          <w:rFonts w:hint="eastAsia" w:ascii="宋体" w:hAnsi="宋体"/>
          <w:color w:val="000000" w:themeColor="text1"/>
          <w:szCs w:val="21"/>
          <w:u w:val="single"/>
          <w14:textFill>
            <w14:solidFill>
              <w14:schemeClr w14:val="tx1"/>
            </w14:solidFill>
          </w14:textFill>
        </w:rPr>
        <w:t>工程竣工验收合格后 28 天内，发包人向承包人支付至累计进度审定金额的 80%；完成县财政评审后 28 天内，发包人向承包人支付至县财政评审结果金额的 97%；缺陷责任期满后 28 天内发包人向承包人支付剩余工程款</w:t>
      </w:r>
      <w:r>
        <w:rPr>
          <w:rFonts w:hint="eastAsia" w:ascii="宋体" w:hAnsi="宋体"/>
          <w:color w:val="000000" w:themeColor="text1"/>
          <w:szCs w:val="21"/>
          <w14:textFill>
            <w14:solidFill>
              <w14:schemeClr w14:val="tx1"/>
            </w14:solidFill>
          </w14:textFill>
        </w:rPr>
        <w:t>。</w:t>
      </w:r>
    </w:p>
    <w:p w14:paraId="1642F0A9">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805" w:name="_Toc351203585"/>
      <w:bookmarkStart w:id="1806" w:name="_Toc532377387"/>
      <w:r>
        <w:rPr>
          <w:rFonts w:hint="eastAsia"/>
          <w:color w:val="000000" w:themeColor="text1"/>
          <w:sz w:val="21"/>
          <w:szCs w:val="21"/>
          <w14:textFill>
            <w14:solidFill>
              <w14:schemeClr w14:val="tx1"/>
            </w14:solidFill>
          </w14:textFill>
        </w:rPr>
        <w:t>12.5支付账户</w:t>
      </w:r>
      <w:bookmarkEnd w:id="1805"/>
      <w:bookmarkEnd w:id="1806"/>
    </w:p>
    <w:p w14:paraId="58D95499">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发包人应将合同价款支付至如下承包人指定的开户银行及银行账户：</w:t>
      </w:r>
    </w:p>
    <w:p w14:paraId="25B164AD">
      <w:pPr>
        <w:spacing w:line="360" w:lineRule="auto"/>
        <w:ind w:firstLine="420" w:firstLineChars="200"/>
        <w:jc w:val="left"/>
        <w:rPr>
          <w:rFonts w:hint="eastAsia" w:ascii="宋体" w:hAnsi="宋体"/>
          <w:color w:val="000000" w:themeColor="text1"/>
          <w:kern w:val="0"/>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收款单位名称：</w:t>
      </w:r>
      <w:r>
        <w:rPr>
          <w:rFonts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w:t>
      </w:r>
    </w:p>
    <w:p w14:paraId="072136D0">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收款账号：</w:t>
      </w:r>
      <w:r>
        <w:rPr>
          <w:rFonts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w:t>
      </w:r>
    </w:p>
    <w:p w14:paraId="346962F5">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收款开户银行：</w:t>
      </w:r>
      <w:r>
        <w:rPr>
          <w:rFonts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w:t>
      </w:r>
    </w:p>
    <w:p w14:paraId="571FEE7B">
      <w:pPr>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发包人应按行业主管部门的相关规定将人工费（工资款）支付至承包人指定的农民工工资专用账户。</w:t>
      </w:r>
    </w:p>
    <w:p w14:paraId="05CBB7BD">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807" w:name="_Toc532375651"/>
      <w:bookmarkStart w:id="1808" w:name="_Toc351203645"/>
      <w:bookmarkStart w:id="1809" w:name="_Toc532377388"/>
      <w:bookmarkStart w:id="1810" w:name="_Toc292559424"/>
      <w:bookmarkStart w:id="1811" w:name="_Toc303539172"/>
      <w:bookmarkStart w:id="1812" w:name="_Toc296891047"/>
      <w:bookmarkStart w:id="1813" w:name="_Toc312678053"/>
      <w:bookmarkStart w:id="1814" w:name="_Toc304295593"/>
      <w:bookmarkStart w:id="1815" w:name="_Toc292559929"/>
      <w:bookmarkStart w:id="1816" w:name="_Toc297123564"/>
      <w:bookmarkStart w:id="1817" w:name="_Toc297120519"/>
      <w:bookmarkStart w:id="1818" w:name="_Toc296891259"/>
      <w:bookmarkStart w:id="1819" w:name="_Toc297216223"/>
      <w:bookmarkStart w:id="1820" w:name="_Toc300935015"/>
      <w:bookmarkStart w:id="1821" w:name="_Toc297048405"/>
      <w:bookmarkStart w:id="1822" w:name="_Toc296503219"/>
      <w:bookmarkStart w:id="1823" w:name="_Toc296944558"/>
      <w:bookmarkStart w:id="1824" w:name="_Toc296347218"/>
      <w:bookmarkStart w:id="1825" w:name="_Toc296346720"/>
      <w:r>
        <w:rPr>
          <w:rFonts w:hint="eastAsia"/>
          <w:color w:val="000000" w:themeColor="text1"/>
          <w:kern w:val="2"/>
          <w:sz w:val="21"/>
          <w:szCs w:val="21"/>
          <w14:textFill>
            <w14:solidFill>
              <w14:schemeClr w14:val="tx1"/>
            </w14:solidFill>
          </w14:textFill>
        </w:rPr>
        <w:t>13. 验收和工程试车</w:t>
      </w:r>
      <w:bookmarkEnd w:id="1807"/>
      <w:bookmarkEnd w:id="1808"/>
      <w:bookmarkEnd w:id="1809"/>
    </w:p>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p w14:paraId="7E32926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826" w:name="_Toc532375652"/>
      <w:bookmarkStart w:id="1827" w:name="_Toc532377389"/>
      <w:bookmarkStart w:id="1828" w:name="_Toc280868704"/>
      <w:bookmarkStart w:id="1829" w:name="_Toc280868705"/>
      <w:bookmarkStart w:id="1830" w:name="_Toc280868706"/>
      <w:bookmarkStart w:id="1831" w:name="_Toc280868707"/>
      <w:bookmarkStart w:id="1832" w:name="_Toc280868708"/>
      <w:bookmarkStart w:id="1833" w:name="_Toc267251475"/>
      <w:bookmarkStart w:id="1834" w:name="_Toc280868709"/>
      <w:bookmarkStart w:id="1835" w:name="_Toc267251476"/>
      <w:bookmarkStart w:id="1836" w:name="_Toc267251474"/>
      <w:bookmarkStart w:id="1837" w:name="_Toc267251473"/>
      <w:bookmarkStart w:id="1838" w:name="_Toc267251472"/>
      <w:bookmarkStart w:id="1839" w:name="_Toc267251471"/>
      <w:bookmarkStart w:id="1840" w:name="_Toc267251470"/>
      <w:r>
        <w:rPr>
          <w:rFonts w:hint="eastAsia"/>
          <w:color w:val="000000" w:themeColor="text1"/>
          <w:sz w:val="21"/>
          <w:szCs w:val="21"/>
          <w14:textFill>
            <w14:solidFill>
              <w14:schemeClr w14:val="tx1"/>
            </w14:solidFill>
          </w14:textFill>
        </w:rPr>
        <w:t>13.1 分部分项工程验收</w:t>
      </w:r>
      <w:bookmarkEnd w:id="1826"/>
      <w:bookmarkEnd w:id="1827"/>
    </w:p>
    <w:p w14:paraId="6EF1033D">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13.1.2 监理人不能按时进行验收时，应提前</w:t>
      </w:r>
      <w:r>
        <w:rPr>
          <w:rFonts w:hint="eastAsia" w:ascii="宋体" w:hAnsi="宋体"/>
          <w:color w:val="000000" w:themeColor="text1"/>
          <w:szCs w:val="21"/>
          <w:u w:val="single"/>
          <w14:textFill>
            <w14:solidFill>
              <w14:schemeClr w14:val="tx1"/>
            </w14:solidFill>
          </w14:textFill>
        </w:rPr>
        <w:t>24</w:t>
      </w:r>
      <w:r>
        <w:rPr>
          <w:rFonts w:hint="eastAsia" w:ascii="宋体" w:hAnsi="宋体"/>
          <w:color w:val="000000" w:themeColor="text1"/>
          <w:szCs w:val="21"/>
          <w14:textFill>
            <w14:solidFill>
              <w14:schemeClr w14:val="tx1"/>
            </w14:solidFill>
          </w14:textFill>
        </w:rPr>
        <w:t>小时提交书面延期要求。</w:t>
      </w:r>
    </w:p>
    <w:p w14:paraId="018AD0E0">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关于延期最长不得超过：</w:t>
      </w:r>
      <w:r>
        <w:rPr>
          <w:rFonts w:hint="eastAsia" w:ascii="宋体" w:hAnsi="宋体"/>
          <w:color w:val="000000" w:themeColor="text1"/>
          <w:szCs w:val="21"/>
          <w:u w:val="single"/>
          <w14:textFill>
            <w14:solidFill>
              <w14:schemeClr w14:val="tx1"/>
            </w14:solidFill>
          </w14:textFill>
        </w:rPr>
        <w:t>48</w:t>
      </w:r>
      <w:r>
        <w:rPr>
          <w:rFonts w:hint="eastAsia" w:ascii="宋体" w:hAnsi="宋体"/>
          <w:color w:val="000000" w:themeColor="text1"/>
          <w:szCs w:val="21"/>
          <w14:textFill>
            <w14:solidFill>
              <w14:schemeClr w14:val="tx1"/>
            </w14:solidFill>
          </w14:textFill>
        </w:rPr>
        <w:t>小时。</w:t>
      </w:r>
    </w:p>
    <w:p w14:paraId="5091C1BA">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841" w:name="_Toc532375653"/>
      <w:bookmarkStart w:id="1842" w:name="_Toc532377390"/>
      <w:bookmarkStart w:id="1843" w:name="_Toc312678056"/>
      <w:bookmarkStart w:id="1844" w:name="_Toc297048409"/>
      <w:bookmarkStart w:id="1845" w:name="_Toc292559933"/>
      <w:bookmarkStart w:id="1846" w:name="_Toc297120523"/>
      <w:bookmarkStart w:id="1847" w:name="_Toc296891263"/>
      <w:bookmarkStart w:id="1848" w:name="_Toc303539173"/>
      <w:bookmarkStart w:id="1849" w:name="_Toc296347222"/>
      <w:bookmarkStart w:id="1850" w:name="_Toc297216224"/>
      <w:bookmarkStart w:id="1851" w:name="_Toc292559428"/>
      <w:bookmarkStart w:id="1852" w:name="_Toc296944562"/>
      <w:bookmarkStart w:id="1853" w:name="_Toc296503223"/>
      <w:bookmarkStart w:id="1854" w:name="_Toc296346724"/>
      <w:bookmarkStart w:id="1855" w:name="_Toc296891051"/>
      <w:bookmarkStart w:id="1856" w:name="_Toc304295596"/>
      <w:bookmarkStart w:id="1857" w:name="_Toc300935016"/>
      <w:bookmarkStart w:id="1858" w:name="_Toc297123565"/>
      <w:r>
        <w:rPr>
          <w:rFonts w:hint="eastAsia"/>
          <w:color w:val="000000" w:themeColor="text1"/>
          <w:sz w:val="21"/>
          <w:szCs w:val="21"/>
          <w14:textFill>
            <w14:solidFill>
              <w14:schemeClr w14:val="tx1"/>
            </w14:solidFill>
          </w14:textFill>
        </w:rPr>
        <w:t>13.2 竣工验收</w:t>
      </w:r>
      <w:bookmarkEnd w:id="1841"/>
      <w:bookmarkEnd w:id="1842"/>
    </w:p>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p w14:paraId="673B147C">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13.2.2竣工验收程序</w:t>
      </w:r>
    </w:p>
    <w:bookmarkEnd w:id="1828"/>
    <w:p w14:paraId="7D5A5AC2">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关于竣工验收程序的约定：工程完工且符合下列条件时，承包人可向发包人提供竣工报告，并要求验收：</w:t>
      </w:r>
    </w:p>
    <w:p w14:paraId="0A003DEB">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（1）除发包人同意的甩项工作和缺陷修补工作外，合同范围内的全部工程以及有关工作，包括合同要求的试验、试运行以及检验均已完成，并符合合同要求；</w:t>
      </w:r>
    </w:p>
    <w:p w14:paraId="3A6B9DBD">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（2）已按合同约定编制了甩项工作和缺陷修补工作清单以及相应的施工计划；</w:t>
      </w:r>
    </w:p>
    <w:p w14:paraId="3495485C">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（3）已按合同约定的内容和份数备齐竣工资料。</w:t>
      </w:r>
    </w:p>
    <w:p w14:paraId="74542BB6">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79C80A82">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工程竣工及竣工资料：</w:t>
      </w:r>
    </w:p>
    <w:p w14:paraId="35EC8FC0">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（1）发包人应在收到承包人竣工报告后14天内组织设计单位、监理单位、质监等其他部门进行验收，竣工日期以最后一次整改后通过竣工验收的时间为准</w:t>
      </w:r>
      <w:r>
        <w:rPr>
          <w:rFonts w:hint="eastAsia" w:ascii="宋体" w:hAnsi="宋体"/>
          <w:color w:val="000000" w:themeColor="text1"/>
          <w:szCs w:val="21"/>
          <w14:textFill>
            <w14:solidFill>
              <w14:schemeClr w14:val="tx1"/>
            </w14:solidFill>
          </w14:textFill>
        </w:rPr>
        <w:t>。</w:t>
      </w:r>
    </w:p>
    <w:p w14:paraId="5043842F">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color w:val="000000" w:themeColor="text1"/>
          <w:szCs w:val="21"/>
          <w14:textFill>
            <w14:solidFill>
              <w14:schemeClr w14:val="tx1"/>
            </w14:solidFill>
          </w14:textFill>
        </w:rPr>
        <w:t>。</w:t>
      </w:r>
    </w:p>
    <w:p w14:paraId="74014834">
      <w:pPr>
        <w:spacing w:line="360" w:lineRule="auto"/>
        <w:ind w:right="105" w:rightChars="50"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（3）承包人提供竣工资料的约定：</w:t>
      </w:r>
      <w:r>
        <w:rPr>
          <w:rFonts w:hint="eastAsia" w:ascii="宋体" w:hAnsi="宋体"/>
          <w:color w:val="000000" w:themeColor="text1"/>
          <w:szCs w:val="21"/>
          <w:u w:val="single"/>
          <w14:textFill>
            <w14:solidFill>
              <w14:schemeClr w14:val="tx1"/>
            </w14:solidFill>
          </w14:textFill>
        </w:rPr>
        <w:t>承包人提供纸质版竣工图三套，电子版竣工图二套（刻光盘）</w:t>
      </w:r>
      <w:r>
        <w:rPr>
          <w:rFonts w:hint="eastAsia" w:ascii="宋体" w:hAnsi="宋体"/>
          <w:color w:val="000000" w:themeColor="text1"/>
          <w:szCs w:val="21"/>
          <w14:textFill>
            <w14:solidFill>
              <w14:schemeClr w14:val="tx1"/>
            </w14:solidFill>
          </w14:textFill>
        </w:rPr>
        <w:t>。</w:t>
      </w:r>
    </w:p>
    <w:bookmarkEnd w:id="1829"/>
    <w:p w14:paraId="08C38696">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13.2.5 移交、接收全部与部分工程</w:t>
      </w:r>
    </w:p>
    <w:bookmarkEnd w:id="1830"/>
    <w:p w14:paraId="5A6FF748">
      <w:pPr>
        <w:spacing w:line="360" w:lineRule="auto"/>
        <w:ind w:right="105" w:rightChars="50"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承包人向发包人移交工程的期限：</w:t>
      </w:r>
      <w:r>
        <w:rPr>
          <w:rFonts w:hint="eastAsia" w:ascii="宋体" w:hAnsi="宋体"/>
          <w:color w:val="000000" w:themeColor="text1"/>
          <w:szCs w:val="21"/>
          <w:u w:val="single"/>
          <w14:textFill>
            <w14:solidFill>
              <w14:schemeClr w14:val="tx1"/>
            </w14:solidFill>
          </w14:textFill>
        </w:rPr>
        <w:t>颁发工程接收证书后7天内完成工程的移交</w:t>
      </w:r>
      <w:r>
        <w:rPr>
          <w:rFonts w:hint="eastAsia" w:ascii="宋体" w:hAnsi="宋体"/>
          <w:color w:val="000000" w:themeColor="text1"/>
          <w:szCs w:val="21"/>
          <w14:textFill>
            <w14:solidFill>
              <w14:schemeClr w14:val="tx1"/>
            </w14:solidFill>
          </w14:textFill>
        </w:rPr>
        <w:t>。</w:t>
      </w:r>
    </w:p>
    <w:p w14:paraId="5782E5F5">
      <w:pPr>
        <w:spacing w:line="360" w:lineRule="auto"/>
        <w:ind w:right="105" w:rightChars="50"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发包人未按合同约定接收全部或部分工程的，违约金的计算方法为：发包人自应当接收工程之日起承担工程照管、成品保护、保管等与工程有关的各项费用。</w:t>
      </w:r>
    </w:p>
    <w:bookmarkEnd w:id="1831"/>
    <w:p w14:paraId="5F80B0A8">
      <w:pPr>
        <w:spacing w:line="360" w:lineRule="auto"/>
        <w:ind w:right="105" w:rightChars="50"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因承包人自身原因未按时移交工程的，违约金的计算方法为：</w:t>
      </w:r>
      <w:r>
        <w:rPr>
          <w:rFonts w:hint="eastAsia" w:ascii="宋体" w:hAnsi="宋体"/>
          <w:color w:val="000000" w:themeColor="text1"/>
          <w:szCs w:val="21"/>
          <w:u w:val="single"/>
          <w14:textFill>
            <w14:solidFill>
              <w14:schemeClr w14:val="tx1"/>
            </w14:solidFill>
          </w14:textFill>
        </w:rPr>
        <w:t>承包人应承担工程照管、成品保护、保管等与工程有关的各项费用，并按经审定结算金额的0.5‰/天支付违约金</w:t>
      </w:r>
      <w:r>
        <w:rPr>
          <w:rFonts w:hint="eastAsia" w:ascii="宋体" w:hAnsi="宋体"/>
          <w:color w:val="000000" w:themeColor="text1"/>
          <w:szCs w:val="21"/>
          <w14:textFill>
            <w14:solidFill>
              <w14:schemeClr w14:val="tx1"/>
            </w14:solidFill>
          </w14:textFill>
        </w:rPr>
        <w:t>。</w:t>
      </w:r>
    </w:p>
    <w:p w14:paraId="700F516B">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859" w:name="_Toc532377391"/>
      <w:bookmarkStart w:id="1860" w:name="_Toc532375654"/>
      <w:r>
        <w:rPr>
          <w:rFonts w:hint="eastAsia"/>
          <w:color w:val="000000" w:themeColor="text1"/>
          <w:sz w:val="21"/>
          <w:szCs w:val="21"/>
          <w14:textFill>
            <w14:solidFill>
              <w14:schemeClr w14:val="tx1"/>
            </w14:solidFill>
          </w14:textFill>
        </w:rPr>
        <w:t>13.3 工程试车</w:t>
      </w:r>
      <w:bookmarkEnd w:id="1859"/>
      <w:bookmarkEnd w:id="1860"/>
    </w:p>
    <w:p w14:paraId="6BFCDBC5">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13.3.1 试车程序</w:t>
      </w:r>
    </w:p>
    <w:p w14:paraId="6B3C2F62">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工程试车内容：</w:t>
      </w:r>
      <w:r>
        <w:rPr>
          <w:rFonts w:hint="eastAsia" w:ascii="宋体" w:hAnsi="宋体"/>
          <w:color w:val="000000" w:themeColor="text1"/>
          <w:szCs w:val="21"/>
          <w:u w:val="single"/>
          <w14:textFill>
            <w14:solidFill>
              <w14:schemeClr w14:val="tx1"/>
            </w14:solidFill>
          </w14:textFill>
        </w:rPr>
        <w:t>按通用合同条款执行</w:t>
      </w:r>
      <w:r>
        <w:rPr>
          <w:rFonts w:hint="eastAsia" w:ascii="宋体" w:hAnsi="宋体"/>
          <w:color w:val="000000" w:themeColor="text1"/>
          <w:szCs w:val="21"/>
          <w14:textFill>
            <w14:solidFill>
              <w14:schemeClr w14:val="tx1"/>
            </w14:solidFill>
          </w14:textFill>
        </w:rPr>
        <w:t>。</w:t>
      </w:r>
    </w:p>
    <w:p w14:paraId="14861603">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（1）单机无负荷试车费用由</w:t>
      </w:r>
      <w:r>
        <w:rPr>
          <w:rFonts w:hint="eastAsia" w:ascii="宋体" w:hAnsi="宋体"/>
          <w:color w:val="000000" w:themeColor="text1"/>
          <w:szCs w:val="21"/>
          <w:u w:val="single"/>
          <w14:textFill>
            <w14:solidFill>
              <w14:schemeClr w14:val="tx1"/>
            </w14:solidFill>
          </w14:textFill>
        </w:rPr>
        <w:t>承包人</w:t>
      </w:r>
      <w:r>
        <w:rPr>
          <w:rFonts w:hint="eastAsia" w:ascii="宋体" w:hAnsi="宋体"/>
          <w:color w:val="000000" w:themeColor="text1"/>
          <w:szCs w:val="21"/>
          <w14:textFill>
            <w14:solidFill>
              <w14:schemeClr w14:val="tx1"/>
            </w14:solidFill>
          </w14:textFill>
        </w:rPr>
        <w:t>承担；</w:t>
      </w:r>
    </w:p>
    <w:p w14:paraId="54D024CF">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（2）无负荷联动试车费用由</w:t>
      </w:r>
      <w:r>
        <w:rPr>
          <w:rFonts w:hint="eastAsia" w:ascii="宋体" w:hAnsi="宋体"/>
          <w:color w:val="000000" w:themeColor="text1"/>
          <w:szCs w:val="21"/>
          <w:u w:val="single"/>
          <w14:textFill>
            <w14:solidFill>
              <w14:schemeClr w14:val="tx1"/>
            </w14:solidFill>
          </w14:textFill>
        </w:rPr>
        <w:t>承包人</w:t>
      </w:r>
      <w:r>
        <w:rPr>
          <w:rFonts w:hint="eastAsia" w:ascii="宋体" w:hAnsi="宋体"/>
          <w:color w:val="000000" w:themeColor="text1"/>
          <w:szCs w:val="21"/>
          <w14:textFill>
            <w14:solidFill>
              <w14:schemeClr w14:val="tx1"/>
            </w14:solidFill>
          </w14:textFill>
        </w:rPr>
        <w:t>承担。</w:t>
      </w:r>
    </w:p>
    <w:p w14:paraId="4F87E8FF">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861" w:name="_Toc532377392"/>
      <w:bookmarkStart w:id="1862" w:name="_Toc532375655"/>
      <w:r>
        <w:rPr>
          <w:rFonts w:hint="eastAsia"/>
          <w:color w:val="000000" w:themeColor="text1"/>
          <w:sz w:val="21"/>
          <w:szCs w:val="21"/>
          <w14:textFill>
            <w14:solidFill>
              <w14:schemeClr w14:val="tx1"/>
            </w14:solidFill>
          </w14:textFill>
        </w:rPr>
        <w:t>13.6 竣工退场</w:t>
      </w:r>
      <w:bookmarkEnd w:id="1861"/>
      <w:bookmarkEnd w:id="1862"/>
    </w:p>
    <w:p w14:paraId="0B3A3AEE">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13.6.1 竣工退场</w:t>
      </w:r>
    </w:p>
    <w:p w14:paraId="186351A7">
      <w:pPr>
        <w:spacing w:line="360" w:lineRule="auto"/>
        <w:ind w:right="105" w:rightChars="50"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承包人完成竣工退场的期限：</w:t>
      </w:r>
      <w:r>
        <w:rPr>
          <w:rFonts w:hint="eastAsia" w:ascii="宋体" w:hAnsi="宋体"/>
          <w:color w:val="000000" w:themeColor="text1"/>
          <w:szCs w:val="21"/>
          <w:u w:val="single"/>
          <w14:textFill>
            <w14:solidFill>
              <w14:schemeClr w14:val="tx1"/>
            </w14:solidFill>
          </w14:textFill>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color w:val="000000" w:themeColor="text1"/>
          <w:szCs w:val="21"/>
          <w14:textFill>
            <w14:solidFill>
              <w14:schemeClr w14:val="tx1"/>
            </w14:solidFill>
          </w14:textFill>
        </w:rPr>
        <w:t>。</w:t>
      </w:r>
    </w:p>
    <w:bookmarkEnd w:id="1832"/>
    <w:p w14:paraId="5CFFD7C0">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863" w:name="_Toc532375656"/>
      <w:bookmarkStart w:id="1864" w:name="_Toc351203646"/>
      <w:bookmarkStart w:id="1865" w:name="_Toc532377393"/>
      <w:r>
        <w:rPr>
          <w:rFonts w:hint="eastAsia"/>
          <w:color w:val="000000" w:themeColor="text1"/>
          <w:kern w:val="2"/>
          <w:sz w:val="21"/>
          <w:szCs w:val="21"/>
          <w14:textFill>
            <w14:solidFill>
              <w14:schemeClr w14:val="tx1"/>
            </w14:solidFill>
          </w14:textFill>
        </w:rPr>
        <w:t>14. 竣工结算</w:t>
      </w:r>
      <w:bookmarkEnd w:id="1863"/>
      <w:bookmarkEnd w:id="1864"/>
      <w:bookmarkEnd w:id="1865"/>
    </w:p>
    <w:p w14:paraId="04C8163F">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866" w:name="_Toc532375657"/>
      <w:bookmarkStart w:id="1867" w:name="_Toc532377394"/>
      <w:r>
        <w:rPr>
          <w:rFonts w:hint="eastAsia"/>
          <w:color w:val="000000" w:themeColor="text1"/>
          <w:sz w:val="21"/>
          <w:szCs w:val="21"/>
          <w14:textFill>
            <w14:solidFill>
              <w14:schemeClr w14:val="tx1"/>
            </w14:solidFill>
          </w14:textFill>
        </w:rPr>
        <w:t>14.1 竣工结算申请</w:t>
      </w:r>
      <w:bookmarkEnd w:id="1866"/>
      <w:bookmarkEnd w:id="1867"/>
    </w:p>
    <w:p w14:paraId="7A852FFA">
      <w:pPr>
        <w:spacing w:line="360" w:lineRule="auto"/>
        <w:ind w:right="105" w:rightChars="50"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承包人提交竣工结算申请单的期限：</w:t>
      </w:r>
      <w:r>
        <w:rPr>
          <w:rFonts w:hint="eastAsia" w:ascii="宋体" w:hAnsi="宋体"/>
          <w:color w:val="000000" w:themeColor="text1"/>
          <w:szCs w:val="21"/>
          <w:u w:val="single"/>
          <w14:textFill>
            <w14:solidFill>
              <w14:schemeClr w14:val="tx1"/>
            </w14:solidFill>
          </w14:textFill>
        </w:rPr>
        <w:t>承包人应在工程竣工验收合格且报送</w:t>
      </w:r>
      <w:r>
        <w:rPr>
          <w:rFonts w:ascii="宋体" w:hAnsi="宋体"/>
          <w:color w:val="000000" w:themeColor="text1"/>
          <w:szCs w:val="21"/>
          <w:u w:val="single"/>
          <w14:textFill>
            <w14:solidFill>
              <w14:schemeClr w14:val="tx1"/>
            </w14:solidFill>
          </w14:textFill>
        </w:rPr>
        <w:t>完整工程竣工资料</w:t>
      </w:r>
      <w:r>
        <w:rPr>
          <w:rFonts w:hint="eastAsia" w:ascii="宋体" w:hAnsi="宋体"/>
          <w:color w:val="000000" w:themeColor="text1"/>
          <w:szCs w:val="21"/>
          <w:u w:val="single"/>
          <w14:textFill>
            <w14:solidFill>
              <w14:schemeClr w14:val="tx1"/>
            </w14:solidFill>
          </w14:textFill>
        </w:rPr>
        <w:t>之日起28天内向监理人、发包人提交竣工结算申请单，并向发包人报送完整的工程竣工资料及经监理人初审确认的完整的竣工结算资料</w:t>
      </w:r>
      <w:bookmarkStart w:id="1868" w:name="_Hlk524297994"/>
      <w:r>
        <w:rPr>
          <w:rFonts w:hint="eastAsia" w:ascii="宋体" w:hAnsi="宋体"/>
          <w:color w:val="000000" w:themeColor="text1"/>
          <w:szCs w:val="21"/>
          <w:u w:val="single"/>
          <w14:textFill>
            <w14:solidFill>
              <w14:schemeClr w14:val="tx1"/>
            </w14:solidFill>
          </w14:textFill>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14:paraId="0AC5D82E">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竣工结算申请单包括但不限于以下内容：</w:t>
      </w:r>
    </w:p>
    <w:p w14:paraId="1B3D59BF">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（1）竣工结算合同价格；</w:t>
      </w:r>
    </w:p>
    <w:p w14:paraId="3113CAB9">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（2）变更增减金额；</w:t>
      </w:r>
    </w:p>
    <w:p w14:paraId="2BA068EC">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（3）现场签证增减金额；</w:t>
      </w:r>
    </w:p>
    <w:p w14:paraId="5AC60A2E">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（4）索赔增减金额；</w:t>
      </w:r>
    </w:p>
    <w:p w14:paraId="545AA11D">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（5）奖励、罚金及违约金；</w:t>
      </w:r>
    </w:p>
    <w:p w14:paraId="06C24B28">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（6）发包人已支付承包人的款项；</w:t>
      </w:r>
    </w:p>
    <w:p w14:paraId="6C1FE6DB">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（7）应扣留的质量保证金；</w:t>
      </w:r>
    </w:p>
    <w:p w14:paraId="143BA15D">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（8）发包人应支付承包人的合同价款。</w:t>
      </w:r>
      <w:bookmarkEnd w:id="1868"/>
    </w:p>
    <w:p w14:paraId="0A9CD2A2">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72E68782">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869" w:name="_Toc532377395"/>
      <w:bookmarkStart w:id="1870" w:name="_Toc532375658"/>
      <w:r>
        <w:rPr>
          <w:rFonts w:hint="eastAsia"/>
          <w:color w:val="000000" w:themeColor="text1"/>
          <w:sz w:val="21"/>
          <w:szCs w:val="21"/>
          <w14:textFill>
            <w14:solidFill>
              <w14:schemeClr w14:val="tx1"/>
            </w14:solidFill>
          </w14:textFill>
        </w:rPr>
        <w:t>14.2 竣工结算审核</w:t>
      </w:r>
      <w:bookmarkEnd w:id="1869"/>
      <w:bookmarkEnd w:id="1870"/>
    </w:p>
    <w:p w14:paraId="67E14E67">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14.2.1 竣工结算办法</w:t>
      </w:r>
    </w:p>
    <w:p w14:paraId="65C337CB">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14.2.1.1计量原则</w:t>
      </w:r>
    </w:p>
    <w:p w14:paraId="2E36743D">
      <w:pPr>
        <w:spacing w:line="360" w:lineRule="auto"/>
        <w:ind w:right="105" w:rightChars="50"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按照第12.3.1项〔计量原则〕约定执行。</w:t>
      </w:r>
    </w:p>
    <w:p w14:paraId="73DF3653">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14.2.1.2计价原则</w:t>
      </w:r>
    </w:p>
    <w:p w14:paraId="0BA11868">
      <w:pPr>
        <w:spacing w:line="360" w:lineRule="auto"/>
        <w:ind w:right="105" w:rightChars="50"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合同竣工结算价=Σ分部分项工程结算价+Σ措施项目结算价+Σ其他项目结算价±Σ价格调整（如有）±Σ变更、索赔与现场签证结算价±Σ奖励、罚金、违约金及其他费用+Σ规费+Σ税金</w:t>
      </w:r>
      <w:r>
        <w:rPr>
          <w:rFonts w:hint="eastAsia" w:ascii="宋体" w:hAnsi="宋体"/>
          <w:color w:val="000000" w:themeColor="text1"/>
          <w:szCs w:val="21"/>
          <w14:textFill>
            <w14:solidFill>
              <w14:schemeClr w14:val="tx1"/>
            </w14:solidFill>
          </w14:textFill>
        </w:rPr>
        <w:t>。</w:t>
      </w:r>
    </w:p>
    <w:p w14:paraId="74D6B06A">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具体结算办法如下：</w:t>
      </w:r>
    </w:p>
    <w:p w14:paraId="384A0632">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（1）分部分项工程：</w:t>
      </w:r>
    </w:p>
    <w:p w14:paraId="3944B12F">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color w:val="000000" w:themeColor="text1"/>
          <w:szCs w:val="21"/>
          <w14:textFill>
            <w14:solidFill>
              <w14:schemeClr w14:val="tx1"/>
            </w14:solidFill>
          </w14:textFill>
        </w:rPr>
        <w:t>；</w:t>
      </w:r>
    </w:p>
    <w:p w14:paraId="1C96E306">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hAnsi="宋体"/>
          <w:color w:val="000000" w:themeColor="text1"/>
          <w:szCs w:val="21"/>
          <w14:textFill>
            <w14:solidFill>
              <w14:schemeClr w14:val="tx1"/>
            </w14:solidFill>
          </w14:textFill>
        </w:rPr>
        <w:t>；</w:t>
      </w:r>
    </w:p>
    <w:p w14:paraId="48148BC6">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③需要对没有填入综合单价或总额价的子目项目进行扣减的，第12.3.1项〔计量原则〕约定确定的工程量乘以按照10.4.1〔变更估价原则〕（3）目约定的综合单价进行扣减</w:t>
      </w:r>
      <w:r>
        <w:rPr>
          <w:rFonts w:hint="eastAsia" w:ascii="宋体" w:hAnsi="宋体"/>
          <w:color w:val="000000" w:themeColor="text1"/>
          <w:szCs w:val="21"/>
          <w14:textFill>
            <w14:solidFill>
              <w14:schemeClr w14:val="tx1"/>
            </w14:solidFill>
          </w14:textFill>
        </w:rPr>
        <w:t>；</w:t>
      </w:r>
    </w:p>
    <w:p w14:paraId="6C15EAF5">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④合同、已标价工程量清单和竞争性比选文件另有约定的，按照其约定执行</w:t>
      </w:r>
      <w:r>
        <w:rPr>
          <w:rFonts w:hint="eastAsia" w:ascii="宋体" w:hAnsi="宋体"/>
          <w:color w:val="000000" w:themeColor="text1"/>
          <w:szCs w:val="21"/>
          <w14:textFill>
            <w14:solidFill>
              <w14:schemeClr w14:val="tx1"/>
            </w14:solidFill>
          </w14:textFill>
        </w:rPr>
        <w:t>。</w:t>
      </w:r>
    </w:p>
    <w:p w14:paraId="2D6098C2">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（2）措施项目：</w:t>
      </w:r>
    </w:p>
    <w:p w14:paraId="37EAFBD6">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color w:val="000000" w:themeColor="text1"/>
          <w:szCs w:val="21"/>
          <w14:textFill>
            <w14:solidFill>
              <w14:schemeClr w14:val="tx1"/>
            </w14:solidFill>
          </w14:textFill>
        </w:rPr>
        <w:t>。</w:t>
      </w:r>
    </w:p>
    <w:p w14:paraId="27AA6B0F">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②工程变更引起施工方案改变使措施项目发生变化的，经监理人、发包人确定后可对按第10.4.3项约定执行</w:t>
      </w:r>
      <w:r>
        <w:rPr>
          <w:rFonts w:hint="eastAsia" w:ascii="宋体" w:hAnsi="宋体"/>
          <w:color w:val="000000" w:themeColor="text1"/>
          <w:szCs w:val="21"/>
          <w14:textFill>
            <w14:solidFill>
              <w14:schemeClr w14:val="tx1"/>
            </w14:solidFill>
          </w14:textFill>
        </w:rPr>
        <w:t>。</w:t>
      </w:r>
    </w:p>
    <w:p w14:paraId="6293E308">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③安全文明施工费按照《重庆市建设工程费用定额》（CQFYDE-2018）、《重庆市住房和城乡建设委员会关于修订发布&lt;重庆市建设工程安全文明施工费计取及使用管理规定&gt;的通知》（渝建管〔2024〕38号）的规定进行结算</w:t>
      </w:r>
      <w:r>
        <w:rPr>
          <w:rFonts w:hint="eastAsia" w:ascii="宋体" w:hAnsi="宋体"/>
          <w:color w:val="000000" w:themeColor="text1"/>
          <w:szCs w:val="21"/>
          <w14:textFill>
            <w14:solidFill>
              <w14:schemeClr w14:val="tx1"/>
            </w14:solidFill>
          </w14:textFill>
        </w:rPr>
        <w:t>。</w:t>
      </w:r>
    </w:p>
    <w:p w14:paraId="02DD2783">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（3）其他项目：</w:t>
      </w:r>
    </w:p>
    <w:p w14:paraId="364A1CC7">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①材料（工程设备）暂估价：</w:t>
      </w:r>
      <w:r>
        <w:rPr>
          <w:rFonts w:hint="eastAsia" w:ascii="宋体" w:hAnsi="宋体"/>
          <w:color w:val="000000" w:themeColor="text1"/>
          <w:szCs w:val="21"/>
          <w:u w:val="single"/>
          <w14:textFill>
            <w14:solidFill>
              <w14:schemeClr w14:val="tx1"/>
            </w14:solidFill>
          </w14:textFill>
        </w:rPr>
        <w:t>按照第12.3.1项〔计量原则〕约定及对应定额消耗量确定的数量乘以监理人、发包人根据市场行情认质核价确定的价格进行结算</w:t>
      </w:r>
      <w:r>
        <w:rPr>
          <w:rFonts w:hint="eastAsia" w:ascii="宋体" w:hAnsi="宋体"/>
          <w:color w:val="000000" w:themeColor="text1"/>
          <w:szCs w:val="21"/>
          <w14:textFill>
            <w14:solidFill>
              <w14:schemeClr w14:val="tx1"/>
            </w14:solidFill>
          </w14:textFill>
        </w:rPr>
        <w:t>。</w:t>
      </w:r>
    </w:p>
    <w:p w14:paraId="564DADA6">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②专业工程暂估价：</w:t>
      </w:r>
    </w:p>
    <w:p w14:paraId="41F37EAE">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1）对于不属于依法必须招标的暂估价项目：按发包人审定的价格进行结算</w:t>
      </w:r>
      <w:r>
        <w:rPr>
          <w:rFonts w:hint="eastAsia" w:ascii="宋体" w:hAnsi="宋体"/>
          <w:color w:val="000000" w:themeColor="text1"/>
          <w:szCs w:val="21"/>
          <w14:textFill>
            <w14:solidFill>
              <w14:schemeClr w14:val="tx1"/>
            </w14:solidFill>
          </w14:textFill>
        </w:rPr>
        <w:t>。</w:t>
      </w:r>
    </w:p>
    <w:p w14:paraId="31247E6A">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2）对于依法必须招标的暂估价项目：达到招标规模标准的暂估价内容，包括专业工程暂估价和材料设备暂估价均应招标确定，并按暂估价竞争性比选文件约定结算</w:t>
      </w:r>
      <w:r>
        <w:rPr>
          <w:rFonts w:hint="eastAsia" w:ascii="宋体" w:hAnsi="宋体"/>
          <w:color w:val="000000" w:themeColor="text1"/>
          <w:szCs w:val="21"/>
          <w14:textFill>
            <w14:solidFill>
              <w14:schemeClr w14:val="tx1"/>
            </w14:solidFill>
          </w14:textFill>
        </w:rPr>
        <w:t>。</w:t>
      </w:r>
    </w:p>
    <w:p w14:paraId="0F5CEF44">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③总承包服务费：</w:t>
      </w:r>
      <w:r>
        <w:rPr>
          <w:rFonts w:hint="eastAsia" w:ascii="宋体" w:hAnsi="宋体"/>
          <w:color w:val="000000" w:themeColor="text1"/>
          <w:szCs w:val="21"/>
          <w:u w:val="single"/>
          <w14:textFill>
            <w14:solidFill>
              <w14:schemeClr w14:val="tx1"/>
            </w14:solidFill>
          </w14:textFill>
        </w:rPr>
        <w:t>总承包服务费包干使用，结算时不作调整</w:t>
      </w:r>
      <w:r>
        <w:rPr>
          <w:rFonts w:hint="eastAsia" w:ascii="宋体" w:hAnsi="宋体"/>
          <w:color w:val="000000" w:themeColor="text1"/>
          <w:szCs w:val="21"/>
          <w14:textFill>
            <w14:solidFill>
              <w14:schemeClr w14:val="tx1"/>
            </w14:solidFill>
          </w14:textFill>
        </w:rPr>
        <w:t>。</w:t>
      </w:r>
    </w:p>
    <w:p w14:paraId="391AF62E">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（4）价格调整：</w:t>
      </w:r>
      <w:r>
        <w:rPr>
          <w:rFonts w:hint="eastAsia" w:ascii="宋体" w:hAnsi="宋体"/>
          <w:color w:val="000000" w:themeColor="text1"/>
          <w:szCs w:val="21"/>
          <w:u w:val="single"/>
          <w14:textFill>
            <w14:solidFill>
              <w14:schemeClr w14:val="tx1"/>
            </w14:solidFill>
          </w14:textFill>
        </w:rPr>
        <w:t>不调整</w:t>
      </w:r>
      <w:r>
        <w:rPr>
          <w:rFonts w:hint="eastAsia" w:ascii="宋体" w:hAnsi="宋体"/>
          <w:color w:val="000000" w:themeColor="text1"/>
          <w:szCs w:val="21"/>
          <w14:textFill>
            <w14:solidFill>
              <w14:schemeClr w14:val="tx1"/>
            </w14:solidFill>
          </w14:textFill>
        </w:rPr>
        <w:t>。</w:t>
      </w:r>
    </w:p>
    <w:p w14:paraId="4D7A9F51">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（5）工程变更、索赔与现场签证：</w:t>
      </w:r>
    </w:p>
    <w:p w14:paraId="13883F52">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2DB30772">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2）索赔：按照第10.4.1项〔变更估价原则〕和第14.2.1项〔竣工结算办法〕约定执行。</w:t>
      </w:r>
    </w:p>
    <w:p w14:paraId="4160263E">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3）现场签证：按照第10.4.1项〔变更估价原则〕和第14.2.1项〔竣工结算办法〕约定执行。</w:t>
      </w:r>
    </w:p>
    <w:p w14:paraId="7B31941B">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（6）奖励、罚金、违约金及其他费用：</w:t>
      </w:r>
      <w:r>
        <w:rPr>
          <w:rFonts w:hint="eastAsia" w:ascii="宋体" w:hAnsi="宋体"/>
          <w:color w:val="000000" w:themeColor="text1"/>
          <w:szCs w:val="21"/>
          <w:u w:val="single"/>
          <w14:textFill>
            <w14:solidFill>
              <w14:schemeClr w14:val="tx1"/>
            </w14:solidFill>
          </w14:textFill>
        </w:rPr>
        <w:t>按实进行结算</w:t>
      </w:r>
      <w:r>
        <w:rPr>
          <w:rFonts w:hint="eastAsia" w:ascii="宋体" w:hAnsi="宋体"/>
          <w:color w:val="000000" w:themeColor="text1"/>
          <w:szCs w:val="21"/>
          <w14:textFill>
            <w14:solidFill>
              <w14:schemeClr w14:val="tx1"/>
            </w14:solidFill>
          </w14:textFill>
        </w:rPr>
        <w:t>。</w:t>
      </w:r>
    </w:p>
    <w:p w14:paraId="61483FE8">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（7）规费：已标价工程量清单中规费费用按</w:t>
      </w:r>
      <w:r>
        <w:rPr>
          <w:rFonts w:hint="eastAsia" w:ascii="宋体" w:hAnsi="宋体"/>
          <w:color w:val="000000" w:themeColor="text1"/>
          <w:szCs w:val="21"/>
          <w:u w:val="single"/>
          <w14:textFill>
            <w14:solidFill>
              <w14:schemeClr w14:val="tx1"/>
            </w14:solidFill>
          </w14:textFill>
        </w:rPr>
        <w:t>《重庆市建设工程费用定额》（CQFYDE-2018）</w:t>
      </w:r>
      <w:r>
        <w:rPr>
          <w:rFonts w:hint="eastAsia" w:ascii="宋体" w:hAnsi="宋体"/>
          <w:color w:val="000000" w:themeColor="text1"/>
          <w:szCs w:val="21"/>
          <w14:textFill>
            <w14:solidFill>
              <w14:schemeClr w14:val="tx1"/>
            </w14:solidFill>
          </w14:textFill>
        </w:rPr>
        <w:t>执行。</w:t>
      </w:r>
    </w:p>
    <w:p w14:paraId="19C629DC">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（8）税金：包含增值税、城市维护建设税、教育费附加、地方教育附加以及环境保护税。其中增值税按</w:t>
      </w:r>
      <w:r>
        <w:rPr>
          <w:rFonts w:hint="eastAsia" w:ascii="宋体" w:hAnsi="宋体"/>
          <w:color w:val="000000" w:themeColor="text1"/>
          <w:szCs w:val="21"/>
          <w:u w:val="single"/>
          <w14:textFill>
            <w14:solidFill>
              <w14:schemeClr w14:val="tx1"/>
            </w14:solidFill>
          </w14:textFill>
        </w:rPr>
        <w:t>《重庆市建设工程费用定额》（CQFYDE-2018）、《重庆市城乡建设委员会关于适用增值税新税率调整建设工程计价依据的通知》（渝建〔2019〕143号）</w:t>
      </w:r>
      <w:r>
        <w:rPr>
          <w:rFonts w:hint="eastAsia" w:ascii="宋体" w:hAnsi="宋体"/>
          <w:color w:val="000000" w:themeColor="text1"/>
          <w:szCs w:val="21"/>
          <w14:textFill>
            <w14:solidFill>
              <w14:schemeClr w14:val="tx1"/>
            </w14:solidFill>
          </w14:textFill>
        </w:rPr>
        <w:t>规定执行，环境保护税按实结算。</w:t>
      </w:r>
    </w:p>
    <w:p w14:paraId="2C8E2FBD">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14.2.1.3竣工结算价</w:t>
      </w:r>
    </w:p>
    <w:p w14:paraId="2F04E5C0">
      <w:pPr>
        <w:tabs>
          <w:tab w:val="left" w:pos="711"/>
          <w:tab w:val="left" w:pos="2580"/>
        </w:tabs>
        <w:spacing w:line="360" w:lineRule="auto"/>
        <w:ind w:right="105" w:rightChars="50" w:firstLine="420" w:firstLineChars="200"/>
        <w:jc w:val="left"/>
        <w:textAlignment w:val="baseline"/>
        <w:rPr>
          <w:rFonts w:hint="eastAsia" w:ascii="宋体" w:hAnsi="宋体"/>
          <w:color w:val="000000" w:themeColor="text1"/>
          <w:szCs w:val="21"/>
          <w:u w:val="single"/>
          <w14:textFill>
            <w14:solidFill>
              <w14:schemeClr w14:val="tx1"/>
            </w14:solidFill>
          </w14:textFill>
        </w:rPr>
      </w:pPr>
      <w:bookmarkStart w:id="1871" w:name="_Hlk528660512"/>
      <w:r>
        <w:rPr>
          <w:rFonts w:hint="eastAsia" w:ascii="宋体" w:hAnsi="宋体"/>
          <w:color w:val="000000" w:themeColor="text1"/>
          <w:szCs w:val="21"/>
          <w:u w:val="single"/>
          <w14:textFill>
            <w14:solidFill>
              <w14:schemeClr w14:val="tx1"/>
            </w14:solidFill>
          </w14:textFill>
        </w:rPr>
        <w:t>按《垫江县国有资金投资建设项目竣工结算评审管理办法》（垫江府办发〔2022〕47 号）相关规定执行</w:t>
      </w:r>
      <w:r>
        <w:rPr>
          <w:rFonts w:hint="eastAsia" w:ascii="宋体" w:hAnsi="宋体"/>
          <w:color w:val="000000" w:themeColor="text1"/>
          <w:szCs w:val="21"/>
          <w14:textFill>
            <w14:solidFill>
              <w14:schemeClr w14:val="tx1"/>
            </w14:solidFill>
          </w14:textFill>
        </w:rPr>
        <w:t>。</w:t>
      </w:r>
    </w:p>
    <w:bookmarkEnd w:id="1871"/>
    <w:p w14:paraId="517C09D8">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872" w:name="_Toc532377396"/>
      <w:bookmarkStart w:id="1873" w:name="_Toc532375659"/>
      <w:r>
        <w:rPr>
          <w:rFonts w:hint="eastAsia"/>
          <w:color w:val="000000" w:themeColor="text1"/>
          <w:sz w:val="21"/>
          <w:szCs w:val="21"/>
          <w14:textFill>
            <w14:solidFill>
              <w14:schemeClr w14:val="tx1"/>
            </w14:solidFill>
          </w14:textFill>
        </w:rPr>
        <w:t>14.4 最终结清</w:t>
      </w:r>
      <w:bookmarkEnd w:id="1872"/>
      <w:bookmarkEnd w:id="1873"/>
    </w:p>
    <w:p w14:paraId="060C2243">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14.4.1 最终结清申请单</w:t>
      </w:r>
    </w:p>
    <w:p w14:paraId="3D458271">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承包人提交最终结清申请单的份数：</w:t>
      </w:r>
      <w:r>
        <w:rPr>
          <w:rFonts w:hint="eastAsia" w:ascii="宋体" w:hAnsi="宋体"/>
          <w:color w:val="000000" w:themeColor="text1"/>
          <w:szCs w:val="21"/>
          <w:u w:val="single"/>
          <w14:textFill>
            <w14:solidFill>
              <w14:schemeClr w14:val="tx1"/>
            </w14:solidFill>
          </w14:textFill>
        </w:rPr>
        <w:t>3份</w:t>
      </w:r>
      <w:r>
        <w:rPr>
          <w:rFonts w:hint="eastAsia" w:ascii="宋体" w:hAnsi="宋体"/>
          <w:color w:val="000000" w:themeColor="text1"/>
          <w:szCs w:val="21"/>
          <w14:textFill>
            <w14:solidFill>
              <w14:schemeClr w14:val="tx1"/>
            </w14:solidFill>
          </w14:textFill>
        </w:rPr>
        <w:t>。</w:t>
      </w:r>
    </w:p>
    <w:p w14:paraId="3B464FD1">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承包人提交最终结算申请单的期限：</w:t>
      </w:r>
      <w:r>
        <w:rPr>
          <w:rFonts w:hint="eastAsia" w:ascii="宋体" w:hAnsi="宋体"/>
          <w:color w:val="000000" w:themeColor="text1"/>
          <w:szCs w:val="21"/>
          <w:u w:val="single"/>
          <w14:textFill>
            <w14:solidFill>
              <w14:schemeClr w14:val="tx1"/>
            </w14:solidFill>
          </w14:textFill>
        </w:rPr>
        <w:t>缺陷责任期终止证书颁发后14天内</w:t>
      </w:r>
      <w:r>
        <w:rPr>
          <w:rFonts w:hint="eastAsia" w:ascii="宋体" w:hAnsi="宋体"/>
          <w:color w:val="000000" w:themeColor="text1"/>
          <w:szCs w:val="21"/>
          <w14:textFill>
            <w14:solidFill>
              <w14:schemeClr w14:val="tx1"/>
            </w14:solidFill>
          </w14:textFill>
        </w:rPr>
        <w:t>。</w:t>
      </w:r>
    </w:p>
    <w:p w14:paraId="281B133F">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14.4.2 最终结清证书和支付</w:t>
      </w:r>
    </w:p>
    <w:p w14:paraId="6B4AAFC1">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（1）发包人完成最终结清申请单的审批并颁发最终结清证书的期限：</w:t>
      </w:r>
      <w:r>
        <w:rPr>
          <w:rFonts w:hint="eastAsia" w:ascii="宋体" w:hAnsi="宋体"/>
          <w:color w:val="000000" w:themeColor="text1"/>
          <w:szCs w:val="21"/>
          <w:u w:val="single"/>
          <w14:textFill>
            <w14:solidFill>
              <w14:schemeClr w14:val="tx1"/>
            </w14:solidFill>
          </w14:textFill>
        </w:rPr>
        <w:t>发包人收到完整资料后14天内完成审批并颁发最终结清证书</w:t>
      </w:r>
      <w:r>
        <w:rPr>
          <w:rFonts w:hint="eastAsia" w:ascii="宋体" w:hAnsi="宋体"/>
          <w:color w:val="000000" w:themeColor="text1"/>
          <w:szCs w:val="21"/>
          <w14:textFill>
            <w14:solidFill>
              <w14:schemeClr w14:val="tx1"/>
            </w14:solidFill>
          </w14:textFill>
        </w:rPr>
        <w:t>。</w:t>
      </w:r>
    </w:p>
    <w:p w14:paraId="1873CE17">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（2）发包人完成支付的期限：</w:t>
      </w:r>
      <w:r>
        <w:rPr>
          <w:rFonts w:hint="eastAsia" w:ascii="宋体" w:hAnsi="宋体"/>
          <w:color w:val="000000" w:themeColor="text1"/>
          <w:szCs w:val="21"/>
          <w:u w:val="single"/>
          <w14:textFill>
            <w14:solidFill>
              <w14:schemeClr w14:val="tx1"/>
            </w14:solidFill>
          </w14:textFill>
        </w:rPr>
        <w:t>颁发最终结清证书的14天内</w:t>
      </w:r>
      <w:r>
        <w:rPr>
          <w:rFonts w:hint="eastAsia" w:ascii="宋体" w:hAnsi="宋体"/>
          <w:color w:val="000000" w:themeColor="text1"/>
          <w:szCs w:val="21"/>
          <w14:textFill>
            <w14:solidFill>
              <w14:schemeClr w14:val="tx1"/>
            </w14:solidFill>
          </w14:textFill>
        </w:rPr>
        <w:t>。</w:t>
      </w:r>
    </w:p>
    <w:p w14:paraId="73E9826F">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本条补充14.5款：</w:t>
      </w:r>
    </w:p>
    <w:bookmarkEnd w:id="1833"/>
    <w:bookmarkEnd w:id="1834"/>
    <w:bookmarkEnd w:id="1835"/>
    <w:bookmarkEnd w:id="1836"/>
    <w:bookmarkEnd w:id="1837"/>
    <w:bookmarkEnd w:id="1838"/>
    <w:bookmarkEnd w:id="1839"/>
    <w:bookmarkEnd w:id="1840"/>
    <w:p w14:paraId="2A9CA559">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874" w:name="_Toc532377397"/>
      <w:bookmarkStart w:id="1875" w:name="_Toc532375660"/>
      <w:r>
        <w:rPr>
          <w:rFonts w:hint="eastAsia"/>
          <w:color w:val="000000" w:themeColor="text1"/>
          <w:sz w:val="21"/>
          <w:szCs w:val="21"/>
          <w14:textFill>
            <w14:solidFill>
              <w14:schemeClr w14:val="tx1"/>
            </w14:solidFill>
          </w14:textFill>
        </w:rPr>
        <w:t>14.5 逾期办理或不配合办理竣工结算的处理</w:t>
      </w:r>
      <w:bookmarkEnd w:id="1874"/>
      <w:bookmarkEnd w:id="1875"/>
    </w:p>
    <w:p w14:paraId="27148E0F">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有下列情形之一的，视为承包人放弃与发包人共同办理竣工结算的权利，发包人有权会同监理人根据有效资料共同确定竣工结算金额。</w:t>
      </w:r>
    </w:p>
    <w:p w14:paraId="498DF359">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（1）承包人逾期未报送竣工结算资料，亦未获得发包人批准延期报送，经发包人两</w:t>
      </w:r>
      <w:bookmarkStart w:id="1876" w:name="_Hlk529133622"/>
      <w:r>
        <w:rPr>
          <w:rFonts w:hint="eastAsia" w:ascii="宋体" w:hAnsi="宋体"/>
          <w:color w:val="000000" w:themeColor="text1"/>
          <w:szCs w:val="21"/>
          <w14:textFill>
            <w14:solidFill>
              <w14:schemeClr w14:val="tx1"/>
            </w14:solidFill>
          </w14:textFill>
        </w:rPr>
        <w:t>次书面催告仍未在限期内报送的</w:t>
      </w:r>
      <w:bookmarkEnd w:id="1876"/>
      <w:r>
        <w:rPr>
          <w:rFonts w:hint="eastAsia" w:ascii="宋体" w:hAnsi="宋体"/>
          <w:color w:val="000000" w:themeColor="text1"/>
          <w:szCs w:val="21"/>
          <w14:textFill>
            <w14:solidFill>
              <w14:schemeClr w14:val="tx1"/>
            </w14:solidFill>
          </w14:textFill>
        </w:rPr>
        <w:t>；</w:t>
      </w:r>
    </w:p>
    <w:p w14:paraId="35FE4426">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5B9AC19B">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（3）承包人不配合发包人、监理人、发包人委托的工程造价咨询服务单位办理竣工结算的，经发包人两次书面函告仍未改正的。</w:t>
      </w:r>
    </w:p>
    <w:p w14:paraId="0F444F60">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7BDACB8D">
      <w:pPr>
        <w:spacing w:line="360" w:lineRule="auto"/>
        <w:ind w:right="105" w:rightChars="50"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color w:val="000000" w:themeColor="text1"/>
          <w:szCs w:val="21"/>
          <w14:textFill>
            <w14:solidFill>
              <w14:schemeClr w14:val="tx1"/>
            </w14:solidFill>
          </w14:textFill>
        </w:rPr>
        <w:t>。</w:t>
      </w:r>
    </w:p>
    <w:bookmarkEnd w:id="1547"/>
    <w:bookmarkEnd w:id="1548"/>
    <w:bookmarkEnd w:id="1549"/>
    <w:bookmarkEnd w:id="1550"/>
    <w:bookmarkEnd w:id="1551"/>
    <w:bookmarkEnd w:id="1552"/>
    <w:bookmarkEnd w:id="1553"/>
    <w:bookmarkEnd w:id="1554"/>
    <w:p w14:paraId="25BDF958">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877" w:name="_Toc532377398"/>
      <w:bookmarkStart w:id="1878" w:name="_Toc532375661"/>
      <w:bookmarkStart w:id="1879" w:name="_Toc351203647"/>
      <w:bookmarkStart w:id="1880" w:name="_Toc267251483"/>
      <w:bookmarkStart w:id="1881" w:name="_Toc280868718"/>
      <w:bookmarkStart w:id="1882" w:name="_Toc280868717"/>
      <w:r>
        <w:rPr>
          <w:rFonts w:hint="eastAsia"/>
          <w:color w:val="000000" w:themeColor="text1"/>
          <w:kern w:val="2"/>
          <w:sz w:val="21"/>
          <w:szCs w:val="21"/>
          <w14:textFill>
            <w14:solidFill>
              <w14:schemeClr w14:val="tx1"/>
            </w14:solidFill>
          </w14:textFill>
        </w:rPr>
        <w:t>15. 缺陷责任期与保修</w:t>
      </w:r>
      <w:bookmarkEnd w:id="1877"/>
      <w:bookmarkEnd w:id="1878"/>
      <w:bookmarkEnd w:id="1879"/>
    </w:p>
    <w:bookmarkEnd w:id="1880"/>
    <w:p w14:paraId="49A558BB">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883" w:name="_Toc532377399"/>
      <w:bookmarkStart w:id="1884" w:name="_Toc532375662"/>
      <w:r>
        <w:rPr>
          <w:rFonts w:hint="eastAsia"/>
          <w:color w:val="000000" w:themeColor="text1"/>
          <w:sz w:val="21"/>
          <w:szCs w:val="21"/>
          <w14:textFill>
            <w14:solidFill>
              <w14:schemeClr w14:val="tx1"/>
            </w14:solidFill>
          </w14:textFill>
        </w:rPr>
        <w:t>15.3 质量保证金</w:t>
      </w:r>
      <w:bookmarkEnd w:id="1883"/>
      <w:bookmarkEnd w:id="1884"/>
    </w:p>
    <w:p w14:paraId="48C3DE39">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15.3.1 承包人提供质量保证金的方式</w:t>
      </w:r>
    </w:p>
    <w:p w14:paraId="742462AB">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质量保证金采用以下第</w:t>
      </w:r>
      <w:r>
        <w:rPr>
          <w:rFonts w:hint="eastAsia" w:ascii="宋体" w:hAnsi="宋体"/>
          <w:color w:val="000000" w:themeColor="text1"/>
          <w:szCs w:val="21"/>
          <w:u w:val="single"/>
          <w14:textFill>
            <w14:solidFill>
              <w14:schemeClr w14:val="tx1"/>
            </w14:solidFill>
          </w14:textFill>
        </w:rPr>
        <w:t>（2）</w:t>
      </w:r>
      <w:r>
        <w:rPr>
          <w:rFonts w:hint="eastAsia" w:ascii="宋体" w:hAnsi="宋体"/>
          <w:color w:val="000000" w:themeColor="text1"/>
          <w:szCs w:val="21"/>
          <w14:textFill>
            <w14:solidFill>
              <w14:schemeClr w14:val="tx1"/>
            </w14:solidFill>
          </w14:textFill>
        </w:rPr>
        <w:t>种方式：</w:t>
      </w:r>
    </w:p>
    <w:p w14:paraId="655B8EA0">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（1）质量保证金保函</w:t>
      </w:r>
    </w:p>
    <w:p w14:paraId="1390F551">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①</w:t>
      </w:r>
      <w:r>
        <w:rPr>
          <w:rFonts w:hint="eastAsia" w:ascii="宋体" w:hAnsi="宋体"/>
          <w:color w:val="000000" w:themeColor="text1"/>
          <w:szCs w:val="21"/>
          <w14:textFill>
            <w14:solidFill>
              <w14:schemeClr w14:val="tx1"/>
            </w14:solidFill>
          </w14:textFill>
        </w:rPr>
        <w:t>缴纳形式：</w:t>
      </w:r>
      <w:r>
        <w:rPr>
          <w:rFonts w:hint="eastAsia" w:ascii="宋体" w:hAnsi="宋体"/>
          <w:color w:val="000000" w:themeColor="text1"/>
          <w:kern w:val="0"/>
          <w:szCs w:val="21"/>
          <w14:textFill>
            <w14:solidFill>
              <w14:schemeClr w14:val="tx1"/>
            </w14:solidFill>
          </w14:textFill>
        </w:rPr>
        <w:t>质量保证金保函包括银行保函、保证保险和担保保函</w:t>
      </w:r>
      <w:r>
        <w:rPr>
          <w:rFonts w:hint="eastAsia" w:ascii="宋体" w:hAnsi="宋体"/>
          <w:color w:val="000000" w:themeColor="text1"/>
          <w:szCs w:val="21"/>
          <w14:textFill>
            <w14:solidFill>
              <w14:schemeClr w14:val="tx1"/>
            </w14:solidFill>
          </w14:textFill>
        </w:rPr>
        <w:t>，其示范文本详见合同附件。</w:t>
      </w:r>
      <w:r>
        <w:rPr>
          <w:rFonts w:hint="eastAsia" w:ascii="宋体" w:hAnsi="宋体"/>
          <w:color w:val="000000" w:themeColor="text1"/>
          <w:kern w:val="0"/>
          <w:szCs w:val="21"/>
          <w14:textFill>
            <w14:solidFill>
              <w14:schemeClr w14:val="tx1"/>
            </w14:solidFill>
          </w14:textFill>
        </w:rPr>
        <w:t>承包人提交的质量保证金保函应严格执行其示范文本，不得对示范文本中的实质性内容进行修改</w:t>
      </w:r>
      <w:r>
        <w:rPr>
          <w:rFonts w:hint="eastAsia" w:ascii="宋体" w:hAnsi="宋体"/>
          <w:color w:val="000000" w:themeColor="text1"/>
          <w:szCs w:val="21"/>
          <w14:textFill>
            <w14:solidFill>
              <w14:schemeClr w14:val="tx1"/>
            </w14:solidFill>
          </w14:textFill>
        </w:rPr>
        <w:t>。</w:t>
      </w:r>
    </w:p>
    <w:p w14:paraId="4CA4763C">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②</w:t>
      </w:r>
      <w:r>
        <w:rPr>
          <w:rFonts w:hint="eastAsia" w:ascii="宋体" w:hAnsi="宋体"/>
          <w:color w:val="000000" w:themeColor="text1"/>
          <w:szCs w:val="21"/>
          <w14:textFill>
            <w14:solidFill>
              <w14:schemeClr w14:val="tx1"/>
            </w14:solidFill>
          </w14:textFill>
        </w:rPr>
        <w:t>具体要求：</w:t>
      </w:r>
      <w:r>
        <w:rPr>
          <w:rFonts w:hint="eastAsia" w:ascii="宋体" w:hAnsi="宋体"/>
          <w:color w:val="000000" w:themeColor="text1"/>
          <w:kern w:val="0"/>
          <w:szCs w:val="21"/>
          <w14:textFill>
            <w14:solidFill>
              <w14:schemeClr w14:val="tx1"/>
            </w14:solidFill>
          </w14:textFill>
        </w:rPr>
        <w:t>质量保证金保函的开立人应当是具有相应资格的银行、保险机构、融资担保公司，其信用资质、履约能力、担保能力、赔付流程、安全保密等应符合工程保函业务条件。质量保证金保函应合法合规，符合招投标行政监督部门、行业主管部门和金融监管部门的相关规定，满足竞争性比选文件约定要求。承包人应选择在渝依法设立总部或者设有分支机构的金融机构开具质量保证金保函（包括纸质保函或电子保函）。质量保证金保函为纸质保函的，纸质保函应注明在重庆市辖区范围内的核验地址和核验方式，并确保该纸质保函能在开立人在渝的总部或者分支机构进行核验。承包人对所提交的质量保证金保函的真实性、合法性、有效性负责。</w:t>
      </w:r>
    </w:p>
    <w:p w14:paraId="68DA6ECA">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③</w:t>
      </w:r>
      <w:r>
        <w:rPr>
          <w:rFonts w:hint="eastAsia" w:ascii="宋体" w:hAnsi="宋体"/>
          <w:color w:val="000000" w:themeColor="text1"/>
          <w:szCs w:val="21"/>
          <w14:textFill>
            <w14:solidFill>
              <w14:schemeClr w14:val="tx1"/>
            </w14:solidFill>
          </w14:textFill>
        </w:rPr>
        <w:t>保函金额为：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435EEEA5">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④</w:t>
      </w:r>
      <w:r>
        <w:rPr>
          <w:rFonts w:hint="eastAsia" w:ascii="宋体" w:hAnsi="宋体"/>
          <w:color w:val="000000" w:themeColor="text1"/>
          <w:szCs w:val="21"/>
          <w14:textFill>
            <w14:solidFill>
              <w14:schemeClr w14:val="tx1"/>
            </w14:solidFill>
          </w14:textFill>
        </w:rPr>
        <w:t>提交时间：</w:t>
      </w:r>
      <w:r>
        <w:rPr>
          <w:rFonts w:hint="eastAsia" w:ascii="宋体" w:hAnsi="宋体"/>
          <w:color w:val="000000" w:themeColor="text1"/>
          <w:szCs w:val="21"/>
          <w:u w:val="single"/>
          <w14:textFill>
            <w14:solidFill>
              <w14:schemeClr w14:val="tx1"/>
            </w14:solidFill>
          </w14:textFill>
        </w:rPr>
        <w:t>工程竣工验收合格后14天内</w:t>
      </w:r>
      <w:r>
        <w:rPr>
          <w:rFonts w:hint="eastAsia" w:ascii="宋体" w:hAnsi="宋体"/>
          <w:color w:val="000000" w:themeColor="text1"/>
          <w:szCs w:val="21"/>
          <w14:textFill>
            <w14:solidFill>
              <w14:schemeClr w14:val="tx1"/>
            </w14:solidFill>
          </w14:textFill>
        </w:rPr>
        <w:t>。</w:t>
      </w:r>
    </w:p>
    <w:p w14:paraId="304BB60C">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承包人提交质量保证金保函的，发包人应同时退还（若有）扣留的作为质量保证金的工程价款、履约担保；保函金额不得超过工程价款结算总额的3%</w:t>
      </w:r>
      <w:r>
        <w:rPr>
          <w:rFonts w:hint="eastAsia" w:ascii="宋体" w:hAnsi="宋体"/>
          <w:color w:val="000000" w:themeColor="text1"/>
          <w:szCs w:val="21"/>
          <w14:textFill>
            <w14:solidFill>
              <w14:schemeClr w14:val="tx1"/>
            </w14:solidFill>
          </w14:textFill>
        </w:rPr>
        <w:t>。</w:t>
      </w:r>
    </w:p>
    <w:p w14:paraId="5B1D879E">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（2）竣工结算价的</w:t>
      </w:r>
      <w:r>
        <w:rPr>
          <w:rFonts w:hint="eastAsia" w:ascii="宋体" w:hAnsi="宋体"/>
          <w:color w:val="000000" w:themeColor="text1"/>
          <w:szCs w:val="21"/>
          <w:u w:val="single"/>
          <w14:textFill>
            <w14:solidFill>
              <w14:schemeClr w14:val="tx1"/>
            </w14:solidFill>
          </w14:textFill>
        </w:rPr>
        <w:t xml:space="preserve"> 3% </w:t>
      </w:r>
      <w:r>
        <w:rPr>
          <w:rFonts w:hint="eastAsia" w:ascii="宋体" w:hAnsi="宋体"/>
          <w:color w:val="000000" w:themeColor="text1"/>
          <w:szCs w:val="21"/>
          <w14:textFill>
            <w14:solidFill>
              <w14:schemeClr w14:val="tx1"/>
            </w14:solidFill>
          </w14:textFill>
        </w:rPr>
        <w:t>；</w:t>
      </w:r>
    </w:p>
    <w:p w14:paraId="671512B2">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（3）其他方式：</w:t>
      </w:r>
      <w:r>
        <w:rPr>
          <w:rFonts w:hint="eastAsia"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1E1B884D">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15.3.2 质量保证金的扣留</w:t>
      </w:r>
    </w:p>
    <w:p w14:paraId="3AA143BD">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质量保证金的扣留采取以下第</w:t>
      </w:r>
      <w:r>
        <w:rPr>
          <w:rFonts w:hint="eastAsia" w:ascii="宋体" w:hAnsi="宋体"/>
          <w:color w:val="000000" w:themeColor="text1"/>
          <w:szCs w:val="21"/>
          <w:u w:val="single"/>
          <w14:textFill>
            <w14:solidFill>
              <w14:schemeClr w14:val="tx1"/>
            </w14:solidFill>
          </w14:textFill>
        </w:rPr>
        <w:t xml:space="preserve">  （2）   </w:t>
      </w:r>
      <w:r>
        <w:rPr>
          <w:rFonts w:hint="eastAsia" w:ascii="宋体" w:hAnsi="宋体"/>
          <w:color w:val="000000" w:themeColor="text1"/>
          <w:szCs w:val="21"/>
          <w14:textFill>
            <w14:solidFill>
              <w14:schemeClr w14:val="tx1"/>
            </w14:solidFill>
          </w14:textFill>
        </w:rPr>
        <w:t>种方式：</w:t>
      </w:r>
    </w:p>
    <w:p w14:paraId="4F5B319E">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（1）在支付工程进度款时逐次扣留，在此情形下，质量保证金的计算基数不包括预付款的支付、扣回以及价格调整的金额；</w:t>
      </w:r>
    </w:p>
    <w:p w14:paraId="6C38057F">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（2）工程竣工结算时一次性扣留质量保证金；</w:t>
      </w:r>
    </w:p>
    <w:p w14:paraId="3DD77F75">
      <w:pPr>
        <w:autoSpaceDE w:val="0"/>
        <w:autoSpaceDN w:val="0"/>
        <w:spacing w:line="360" w:lineRule="auto"/>
        <w:ind w:right="105" w:rightChars="50"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olor w:val="000000" w:themeColor="text1"/>
          <w:szCs w:val="21"/>
          <w:u w:val="single"/>
          <w14:textFill>
            <w14:solidFill>
              <w14:schemeClr w14:val="tx1"/>
            </w14:solidFill>
          </w14:textFill>
        </w:rPr>
        <w:t xml:space="preserve">其他扣留方式：        </w:t>
      </w:r>
      <w:r>
        <w:rPr>
          <w:rFonts w:hint="eastAsia" w:ascii="宋体" w:hAnsi="宋体"/>
          <w:color w:val="000000" w:themeColor="text1"/>
          <w:szCs w:val="21"/>
          <w14:textFill>
            <w14:solidFill>
              <w14:schemeClr w14:val="tx1"/>
            </w14:solidFill>
          </w14:textFill>
        </w:rPr>
        <w:t>。</w:t>
      </w:r>
    </w:p>
    <w:p w14:paraId="3BEC349A">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15.3.3质量保证金的退还</w:t>
      </w:r>
    </w:p>
    <w:p w14:paraId="3A34AA2A">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（1）在发包人颁发缺陷责任期终止证书之日起14天内退还。</w:t>
      </w:r>
    </w:p>
    <w:p w14:paraId="7DE5AD8C">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（2）缺陷责任期内，承包人认真履行合同约定的责任，到期后，承包人可向发包人申请返还质量保证金。</w:t>
      </w:r>
    </w:p>
    <w:p w14:paraId="437DEADC">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（3）质量保证金是否支付利息采取以下</w:t>
      </w:r>
      <w:r>
        <w:rPr>
          <w:rFonts w:hint="eastAsia" w:ascii="宋体" w:hAnsi="宋体"/>
          <w:color w:val="000000" w:themeColor="text1"/>
          <w:szCs w:val="21"/>
          <w:u w:val="single"/>
          <w14:textFill>
            <w14:solidFill>
              <w14:schemeClr w14:val="tx1"/>
            </w14:solidFill>
          </w14:textFill>
        </w:rPr>
        <w:t>第②种</w:t>
      </w:r>
      <w:r>
        <w:rPr>
          <w:rFonts w:hint="eastAsia" w:ascii="宋体" w:hAnsi="宋体"/>
          <w:color w:val="000000" w:themeColor="text1"/>
          <w:szCs w:val="21"/>
          <w14:textFill>
            <w14:solidFill>
              <w14:schemeClr w14:val="tx1"/>
            </w14:solidFill>
          </w14:textFill>
        </w:rPr>
        <w:t>方式：</w:t>
      </w:r>
    </w:p>
    <w:p w14:paraId="2282BF84">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①按照中国人民银行  年  月公布的5年期贷款市场报价利率支付利息</w:t>
      </w:r>
      <w:r>
        <w:rPr>
          <w:rFonts w:hint="eastAsia" w:ascii="宋体" w:hAnsi="宋体"/>
          <w:color w:val="000000" w:themeColor="text1"/>
          <w:szCs w:val="21"/>
          <w14:textFill>
            <w14:solidFill>
              <w14:schemeClr w14:val="tx1"/>
            </w14:solidFill>
          </w14:textFill>
        </w:rPr>
        <w:t>。</w:t>
      </w:r>
    </w:p>
    <w:p w14:paraId="4933D765">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②不采用</w:t>
      </w:r>
      <w:r>
        <w:rPr>
          <w:rFonts w:hint="eastAsia" w:ascii="宋体" w:hAnsi="宋体"/>
          <w:color w:val="000000" w:themeColor="text1"/>
          <w:szCs w:val="21"/>
          <w14:textFill>
            <w14:solidFill>
              <w14:schemeClr w14:val="tx1"/>
            </w14:solidFill>
          </w14:textFill>
        </w:rPr>
        <w:t>。</w:t>
      </w:r>
    </w:p>
    <w:p w14:paraId="1DC146CB">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885" w:name="_Toc532375663"/>
      <w:bookmarkStart w:id="1886" w:name="_Toc532377400"/>
      <w:r>
        <w:rPr>
          <w:rFonts w:hint="eastAsia"/>
          <w:color w:val="000000" w:themeColor="text1"/>
          <w:sz w:val="21"/>
          <w:szCs w:val="21"/>
          <w14:textFill>
            <w14:solidFill>
              <w14:schemeClr w14:val="tx1"/>
            </w14:solidFill>
          </w14:textFill>
        </w:rPr>
        <w:t>15.4 保修</w:t>
      </w:r>
      <w:bookmarkEnd w:id="1885"/>
      <w:bookmarkEnd w:id="1886"/>
    </w:p>
    <w:p w14:paraId="2E90B9A8">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15.4.1 保修责任</w:t>
      </w:r>
    </w:p>
    <w:p w14:paraId="67E6862E">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工程保修期为：</w:t>
      </w:r>
      <w:bookmarkStart w:id="1887" w:name="_Hlk524381274"/>
      <w:r>
        <w:rPr>
          <w:rFonts w:hint="eastAsia" w:ascii="宋体" w:hAnsi="宋体"/>
          <w:color w:val="000000" w:themeColor="text1"/>
          <w:szCs w:val="21"/>
          <w14:textFill>
            <w14:solidFill>
              <w14:schemeClr w14:val="tx1"/>
            </w14:solidFill>
          </w14:textFill>
        </w:rPr>
        <w:t>按照附件1《工程质量保修书》的规定执行。</w:t>
      </w:r>
      <w:bookmarkEnd w:id="1887"/>
    </w:p>
    <w:p w14:paraId="46061C34">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15.4.3 修复通知</w:t>
      </w:r>
    </w:p>
    <w:p w14:paraId="32C0AF4B">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承包人收到保修通知并到达工程现场的合理时间：</w:t>
      </w:r>
      <w:r>
        <w:rPr>
          <w:rFonts w:hint="eastAsia" w:ascii="宋体" w:hAnsi="宋体"/>
          <w:color w:val="000000" w:themeColor="text1"/>
          <w:szCs w:val="21"/>
          <w:u w:val="single"/>
          <w14:textFill>
            <w14:solidFill>
              <w14:schemeClr w14:val="tx1"/>
            </w14:solidFill>
          </w14:textFill>
        </w:rPr>
        <w:t>12小时内，最长不能超过24小时</w:t>
      </w:r>
      <w:r>
        <w:rPr>
          <w:rFonts w:hint="eastAsia" w:ascii="宋体" w:hAnsi="宋体"/>
          <w:color w:val="000000" w:themeColor="text1"/>
          <w:szCs w:val="21"/>
          <w14:textFill>
            <w14:solidFill>
              <w14:schemeClr w14:val="tx1"/>
            </w14:solidFill>
          </w14:textFill>
        </w:rPr>
        <w:t>。</w:t>
      </w:r>
    </w:p>
    <w:p w14:paraId="2A9B5981">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888" w:name="_Toc351203648"/>
      <w:bookmarkStart w:id="1889" w:name="_Toc532375664"/>
      <w:bookmarkStart w:id="1890" w:name="_Toc532377401"/>
      <w:r>
        <w:rPr>
          <w:rFonts w:hint="eastAsia"/>
          <w:color w:val="000000" w:themeColor="text1"/>
          <w:kern w:val="2"/>
          <w:sz w:val="21"/>
          <w:szCs w:val="21"/>
          <w14:textFill>
            <w14:solidFill>
              <w14:schemeClr w14:val="tx1"/>
            </w14:solidFill>
          </w14:textFill>
        </w:rPr>
        <w:t>16. 违约</w:t>
      </w:r>
      <w:bookmarkEnd w:id="1888"/>
      <w:bookmarkEnd w:id="1889"/>
      <w:bookmarkEnd w:id="1890"/>
    </w:p>
    <w:p w14:paraId="54535DB5">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891" w:name="_Toc532377402"/>
      <w:r>
        <w:rPr>
          <w:rFonts w:hint="eastAsia"/>
          <w:color w:val="000000" w:themeColor="text1"/>
          <w:sz w:val="21"/>
          <w:szCs w:val="21"/>
          <w14:textFill>
            <w14:solidFill>
              <w14:schemeClr w14:val="tx1"/>
            </w14:solidFill>
          </w14:textFill>
        </w:rPr>
        <w:t>16.1 发包人违约</w:t>
      </w:r>
      <w:bookmarkEnd w:id="1891"/>
    </w:p>
    <w:p w14:paraId="41D18A18">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16.1.1 发包人违约的情形</w:t>
      </w:r>
    </w:p>
    <w:p w14:paraId="6D7A870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除通用合同条款约定外，发包人违约的其他情形：</w:t>
      </w:r>
    </w:p>
    <w:p w14:paraId="2B92C47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（1）根据专用合同条款7.5.1项因发包人原因导致工期延误的；</w:t>
      </w:r>
    </w:p>
    <w:p w14:paraId="2C685CC1">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（2）因发包人原因未能及时办理完毕合同约定的许可、批准或备案的；</w:t>
      </w:r>
    </w:p>
    <w:p w14:paraId="461ABE55">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（3）因监理人未能按合同约定发出指示、指示延误或发出了错误指示而导致承包人费用增加和（或）工期延误的；</w:t>
      </w:r>
    </w:p>
    <w:p w14:paraId="2CAC0702">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（4）根据5.3.3发包人或监理人要求重新检查的，经检查证明工程质量符合合同要求的，并由此产生增加的费用和（或）延误的工期的；</w:t>
      </w:r>
    </w:p>
    <w:p w14:paraId="6A1801DC">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（5）因发包人原因造成工程质量未达到合同约定标准的；</w:t>
      </w:r>
    </w:p>
    <w:p w14:paraId="06AF3643">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（6）由于发包人原因对承包人造成的人员人身伤亡和财产损失的；</w:t>
      </w:r>
    </w:p>
    <w:p w14:paraId="0715EEC7">
      <w:pPr>
        <w:pStyle w:val="107"/>
        <w:spacing w:line="360" w:lineRule="auto"/>
        <w:jc w:val="left"/>
        <w:rPr>
          <w:rFonts w:hint="eastAsia" w:ascii="宋体" w:hAnsi="宋体" w:cs="Microsoft Sans Serif"/>
          <w:color w:val="000000" w:themeColor="text1"/>
          <w:kern w:val="0"/>
          <w:sz w:val="21"/>
          <w:szCs w:val="21"/>
          <w14:textFill>
            <w14:solidFill>
              <w14:schemeClr w14:val="tx1"/>
            </w14:solidFill>
          </w14:textFill>
        </w:rPr>
      </w:pPr>
      <w:r>
        <w:rPr>
          <w:rFonts w:hint="eastAsia" w:ascii="宋体" w:hAnsi="宋体" w:cs="Microsoft Sans Serif"/>
          <w:color w:val="000000" w:themeColor="text1"/>
          <w:kern w:val="0"/>
          <w:sz w:val="21"/>
          <w:szCs w:val="21"/>
          <w14:textFill>
            <w14:solidFill>
              <w14:schemeClr w14:val="tx1"/>
            </w14:solidFill>
          </w14:textFill>
        </w:rPr>
        <w:t>（7）因发包人原因导致工程无法按期办理竣工验收或竣工结算的；</w:t>
      </w:r>
    </w:p>
    <w:p w14:paraId="52718934">
      <w:pPr>
        <w:pStyle w:val="107"/>
        <w:spacing w:line="360" w:lineRule="auto"/>
        <w:jc w:val="left"/>
        <w:rPr>
          <w:rFonts w:hint="eastAsia" w:ascii="宋体" w:hAnsi="宋体" w:cs="Microsoft Sans Serif"/>
          <w:color w:val="000000" w:themeColor="text1"/>
          <w:kern w:val="0"/>
          <w:sz w:val="21"/>
          <w:szCs w:val="21"/>
          <w14:textFill>
            <w14:solidFill>
              <w14:schemeClr w14:val="tx1"/>
            </w14:solidFill>
          </w14:textFill>
        </w:rPr>
      </w:pPr>
      <w:r>
        <w:rPr>
          <w:rFonts w:hint="eastAsia" w:ascii="宋体" w:hAnsi="宋体" w:cs="Microsoft Sans Serif"/>
          <w:color w:val="000000" w:themeColor="text1"/>
          <w:kern w:val="0"/>
          <w:sz w:val="21"/>
          <w:szCs w:val="21"/>
          <w14:textFill>
            <w14:solidFill>
              <w14:schemeClr w14:val="tx1"/>
            </w14:solidFill>
          </w14:textFill>
        </w:rPr>
        <w:t>（8）发包人无正当理由未按约定退还履约担保、预付款担保或质量保证金的；</w:t>
      </w:r>
    </w:p>
    <w:p w14:paraId="232AC6CA">
      <w:pPr>
        <w:pStyle w:val="107"/>
        <w:spacing w:line="360" w:lineRule="auto"/>
        <w:jc w:val="left"/>
        <w:rPr>
          <w:rFonts w:hint="eastAsia" w:ascii="宋体" w:hAnsi="宋体" w:cs="Microsoft Sans Serif"/>
          <w:color w:val="000000" w:themeColor="text1"/>
          <w:kern w:val="0"/>
          <w:sz w:val="21"/>
          <w:szCs w:val="21"/>
          <w14:textFill>
            <w14:solidFill>
              <w14:schemeClr w14:val="tx1"/>
            </w14:solidFill>
          </w14:textFill>
        </w:rPr>
      </w:pPr>
      <w:r>
        <w:rPr>
          <w:rFonts w:hint="eastAsia" w:ascii="宋体" w:hAnsi="宋体" w:cs="Microsoft Sans Serif"/>
          <w:color w:val="000000" w:themeColor="text1"/>
          <w:kern w:val="0"/>
          <w:sz w:val="21"/>
          <w:szCs w:val="21"/>
          <w14:textFill>
            <w14:solidFill>
              <w14:schemeClr w14:val="tx1"/>
            </w14:solidFill>
          </w14:textFill>
        </w:rPr>
        <w:t>（9）发包人不当提取履约担保或质量保证金的；</w:t>
      </w:r>
    </w:p>
    <w:p w14:paraId="0E951E1E">
      <w:pPr>
        <w:pStyle w:val="107"/>
        <w:spacing w:line="360" w:lineRule="auto"/>
        <w:jc w:val="left"/>
        <w:rPr>
          <w:rFonts w:hint="eastAsia" w:ascii="宋体" w:hAnsi="宋体" w:cs="Microsoft Sans Serif"/>
          <w:color w:val="000000" w:themeColor="text1"/>
          <w:kern w:val="0"/>
          <w:sz w:val="21"/>
          <w:szCs w:val="21"/>
          <w14:textFill>
            <w14:solidFill>
              <w14:schemeClr w14:val="tx1"/>
            </w14:solidFill>
          </w14:textFill>
        </w:rPr>
      </w:pPr>
      <w:r>
        <w:rPr>
          <w:rFonts w:hint="eastAsia" w:ascii="宋体" w:hAnsi="宋体" w:cs="Microsoft Sans Serif"/>
          <w:color w:val="000000" w:themeColor="text1"/>
          <w:kern w:val="0"/>
          <w:sz w:val="21"/>
          <w:szCs w:val="21"/>
          <w14:textFill>
            <w14:solidFill>
              <w14:schemeClr w14:val="tx1"/>
            </w14:solidFill>
          </w14:textFill>
        </w:rPr>
        <w:t>（10）发包人未按合同约定接收全部或部分工作的；</w:t>
      </w:r>
    </w:p>
    <w:p w14:paraId="0683ADC2">
      <w:pPr>
        <w:pStyle w:val="107"/>
        <w:spacing w:line="360" w:lineRule="auto"/>
        <w:jc w:val="left"/>
        <w:rPr>
          <w:rFonts w:hint="eastAsia" w:ascii="宋体" w:hAnsi="宋体" w:cs="Microsoft Sans Serif"/>
          <w:color w:val="000000" w:themeColor="text1"/>
          <w:kern w:val="0"/>
          <w:sz w:val="21"/>
          <w:szCs w:val="21"/>
          <w:u w:val="single"/>
          <w14:textFill>
            <w14:solidFill>
              <w14:schemeClr w14:val="tx1"/>
            </w14:solidFill>
          </w14:textFill>
        </w:rPr>
      </w:pPr>
      <w:r>
        <w:rPr>
          <w:rFonts w:hint="eastAsia" w:ascii="宋体" w:hAnsi="宋体" w:cs="Microsoft Sans Serif"/>
          <w:color w:val="000000" w:themeColor="text1"/>
          <w:kern w:val="0"/>
          <w:sz w:val="21"/>
          <w:szCs w:val="21"/>
          <w14:textFill>
            <w14:solidFill>
              <w14:schemeClr w14:val="tx1"/>
            </w14:solidFill>
          </w14:textFill>
        </w:rPr>
        <w:t>（11）发包人未按合同约定办理保险的；</w:t>
      </w:r>
    </w:p>
    <w:p w14:paraId="3C2D0971">
      <w:pPr>
        <w:snapToGrid w:val="0"/>
        <w:spacing w:line="360" w:lineRule="auto"/>
        <w:ind w:firstLine="420" w:firstLineChars="200"/>
        <w:jc w:val="left"/>
        <w:rPr>
          <w:rFonts w:hint="eastAsia" w:ascii="宋体" w:hAnsi="宋体" w:cs="Microsoft Sans Serif"/>
          <w:color w:val="000000" w:themeColor="text1"/>
          <w:kern w:val="0"/>
          <w:szCs w:val="21"/>
          <w:u w:val="single"/>
          <w14:textFill>
            <w14:solidFill>
              <w14:schemeClr w14:val="tx1"/>
            </w14:solidFill>
          </w14:textFill>
        </w:rPr>
      </w:pPr>
      <w:r>
        <w:rPr>
          <w:rFonts w:hint="eastAsia" w:ascii="宋体" w:hAnsi="宋体" w:cs="Microsoft Sans Serif"/>
          <w:color w:val="000000" w:themeColor="text1"/>
          <w:kern w:val="0"/>
          <w:szCs w:val="21"/>
          <w:u w:val="single"/>
          <w14:textFill>
            <w14:solidFill>
              <w14:schemeClr w14:val="tx1"/>
            </w14:solidFill>
          </w14:textFill>
        </w:rPr>
        <w:t>（12）其他： /</w:t>
      </w:r>
      <w:r>
        <w:rPr>
          <w:rFonts w:hint="eastAsia" w:ascii="宋体" w:hAnsi="宋体" w:cs="Microsoft Sans Serif"/>
          <w:color w:val="000000" w:themeColor="text1"/>
          <w:kern w:val="0"/>
          <w:szCs w:val="21"/>
          <w14:textFill>
            <w14:solidFill>
              <w14:schemeClr w14:val="tx1"/>
            </w14:solidFill>
          </w14:textFill>
        </w:rPr>
        <w:t>。</w:t>
      </w:r>
    </w:p>
    <w:p w14:paraId="2A7692E9">
      <w:pPr>
        <w:pStyle w:val="107"/>
        <w:spacing w:line="360" w:lineRule="auto"/>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16.1.2发包人违约的责任</w:t>
      </w:r>
    </w:p>
    <w:p w14:paraId="1A412708">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（1）因发包人原因未能及时办理完毕前述许可、批准或备案的违约责任：由发包人承担由此增加的费用和（或）顺延工期，并支付合理利润，具体索赔程序按照第19条〔索赔〕约定执行。</w:t>
      </w:r>
    </w:p>
    <w:p w14:paraId="4571ED2E">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3B2D852C">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（3）因发包人原因导致工期延误的违约责任：由发包人承担由此增加的费用和（或）顺延工期，并支付合理利润，具体索赔程序按照第19条〔索赔〕约定执行。</w:t>
      </w:r>
    </w:p>
    <w:p w14:paraId="33F1B9B3">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（4）因发包人原因未能在计划开工日期前7天内下达开工通知的违约责任：由发包人承担由此增加的费用和（或）顺延工期，并支付合理利润，具体索赔程序按照第19条〔索赔〕约定执行。</w:t>
      </w:r>
    </w:p>
    <w:p w14:paraId="1144069D">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（5）根据5.3.3项发包人或监理人要求重新检查的，经检查证明工程质量符合合同要求的，由发包人承担由此增加的费用和（或）顺延工期，并支付合理利润，具体索赔程序按照第19条〔索赔〕约定执行。</w:t>
      </w:r>
    </w:p>
    <w:p w14:paraId="761AB37E">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（6）因发包人原因未按合同约定支付合同价款的违约责任：发包人应向承包人支付违约金，自应当支付之日起28天后开始计算违约金，计算公式：</w:t>
      </w:r>
      <w:r>
        <w:rPr>
          <w:rFonts w:hint="eastAsia" w:ascii="宋体" w:hAnsi="宋体" w:cs="Microsoft Sans Serif"/>
          <w:color w:val="000000" w:themeColor="text1"/>
          <w:kern w:val="0"/>
          <w:szCs w:val="21"/>
          <w:u w:val="single"/>
          <w14:textFill>
            <w14:solidFill>
              <w14:schemeClr w14:val="tx1"/>
            </w14:solidFill>
          </w14:textFill>
        </w:rPr>
        <w:t>违约金=应付未付金额×中国人民银行（应付款当月）公布的5年期贷款市场报价利率/360天×逾期天数</w:t>
      </w:r>
      <w:r>
        <w:rPr>
          <w:rFonts w:hint="eastAsia" w:ascii="宋体" w:hAnsi="宋体"/>
          <w:color w:val="000000" w:themeColor="text1"/>
          <w:szCs w:val="21"/>
          <w:u w:val="single"/>
          <w14:textFill>
            <w14:solidFill>
              <w14:schemeClr w14:val="tx1"/>
            </w14:solidFill>
          </w14:textFill>
        </w:rPr>
        <w:t>（自第29天起计算）</w:t>
      </w:r>
      <w:r>
        <w:rPr>
          <w:rFonts w:hint="eastAsia" w:ascii="宋体" w:hAnsi="宋体" w:cs="Microsoft Sans Serif"/>
          <w:color w:val="000000" w:themeColor="text1"/>
          <w:kern w:val="0"/>
          <w:szCs w:val="21"/>
          <w:u w:val="single"/>
          <w14:textFill>
            <w14:solidFill>
              <w14:schemeClr w14:val="tx1"/>
            </w14:solidFill>
          </w14:textFill>
        </w:rPr>
        <w:t>；逾期天数超过56天的，超过部分天数按上述利率的两倍计算并支付违约金</w:t>
      </w:r>
      <w:r>
        <w:rPr>
          <w:rFonts w:hint="eastAsia" w:ascii="宋体" w:hAnsi="宋体" w:cs="Microsoft Sans Serif"/>
          <w:color w:val="000000" w:themeColor="text1"/>
          <w:kern w:val="0"/>
          <w:szCs w:val="21"/>
          <w14:textFill>
            <w14:solidFill>
              <w14:schemeClr w14:val="tx1"/>
            </w14:solidFill>
          </w14:textFill>
        </w:rPr>
        <w:t>。</w:t>
      </w:r>
    </w:p>
    <w:p w14:paraId="50E61D31">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（7）发包人违反合同约定，自行实施或转由他人实施被取消的合同工作内容的违约责任：由发包人承担由此给承包人造成的实际损失并支付合理利润。</w:t>
      </w:r>
    </w:p>
    <w:p w14:paraId="6F38EA6E">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3AFC1FD2">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（9）因发包人原因造成工程质量未达到合同约定标准的，由发包人承担由此增加的费用和（或）延误的工期，并支付合理利润。</w:t>
      </w:r>
    </w:p>
    <w:p w14:paraId="5D4E1E10">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（10）因发包人违反合同约定造成暂停施工的违约责任：由发包人承担由此增加的费用和（或）顺延工期，并支付合理利润，具体索赔程序按照第19条〔索赔〕约定执行。</w:t>
      </w:r>
    </w:p>
    <w:p w14:paraId="50A86548">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（11）发包人无正当理由没有在约定期限内发出复工指示，导致承包人无法复工的违约责任：由发包人承担由此增加的费用和（或）顺延工期，并支付合理利润，具体索赔程序按照第19条〔索赔〕约定执行。</w:t>
      </w:r>
    </w:p>
    <w:p w14:paraId="55820A60">
      <w:pPr>
        <w:spacing w:line="360" w:lineRule="auto"/>
        <w:ind w:firstLine="420" w:firstLineChars="200"/>
        <w:jc w:val="left"/>
        <w:rPr>
          <w:rFonts w:hint="eastAsia" w:ascii="宋体" w:hAnsi="宋体" w:cs="Microsoft Sans Serif"/>
          <w:color w:val="000000" w:themeColor="text1"/>
          <w:kern w:val="0"/>
          <w:szCs w:val="21"/>
          <w:u w:val="single"/>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（12）因发包人原因导致工程无法按期办理竣工验收或竣工结算的违约责任：由发包人承担由此增加的费用和（或）顺延工期，并支付合理利润，具体索赔程序按照第19条〔索赔〕约定执行。</w:t>
      </w:r>
    </w:p>
    <w:p w14:paraId="308282AF">
      <w:pPr>
        <w:spacing w:line="360" w:lineRule="auto"/>
        <w:ind w:firstLine="420" w:firstLineChars="200"/>
        <w:jc w:val="left"/>
        <w:rPr>
          <w:rFonts w:hint="eastAsia" w:ascii="宋体" w:hAnsi="宋体" w:cs="Microsoft Sans Serif"/>
          <w:color w:val="000000" w:themeColor="text1"/>
          <w:kern w:val="0"/>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（13）</w:t>
      </w:r>
      <w:r>
        <w:rPr>
          <w:rFonts w:hint="eastAsia" w:ascii="宋体" w:hAnsi="宋体" w:cs="Microsoft Sans Serif"/>
          <w:color w:val="000000" w:themeColor="text1"/>
          <w:kern w:val="0"/>
          <w:szCs w:val="21"/>
          <w14:textFill>
            <w14:solidFill>
              <w14:schemeClr w14:val="tx1"/>
            </w14:solidFill>
          </w14:textFill>
        </w:rPr>
        <w:t>发包人无正当理由未按约定退还履约担保、预付款担保或质量保证金的违约责任：发包人应向承包人支付违约金，自应当退还之日起28天后开始计算违约金，</w:t>
      </w:r>
      <w:r>
        <w:rPr>
          <w:rFonts w:hint="eastAsia" w:ascii="宋体" w:hAnsi="宋体" w:cs="Microsoft Sans Serif"/>
          <w:color w:val="000000" w:themeColor="text1"/>
          <w:kern w:val="0"/>
          <w:szCs w:val="21"/>
          <w:u w:val="single"/>
          <w14:textFill>
            <w14:solidFill>
              <w14:schemeClr w14:val="tx1"/>
            </w14:solidFill>
          </w14:textFill>
        </w:rPr>
        <w:t>计算公式：违约金=应退未退担保金额×中国人民银行（应付款当月）公布的5年期贷款市场报价利率/360天×逾期天数</w:t>
      </w:r>
      <w:r>
        <w:rPr>
          <w:rFonts w:hint="eastAsia" w:ascii="宋体" w:hAnsi="宋体"/>
          <w:color w:val="000000" w:themeColor="text1"/>
          <w:szCs w:val="21"/>
          <w:u w:val="single"/>
          <w14:textFill>
            <w14:solidFill>
              <w14:schemeClr w14:val="tx1"/>
            </w14:solidFill>
          </w14:textFill>
        </w:rPr>
        <w:t>（自第29天起计算）</w:t>
      </w:r>
      <w:r>
        <w:rPr>
          <w:rFonts w:hint="eastAsia" w:ascii="宋体" w:hAnsi="宋体" w:cs="Microsoft Sans Serif"/>
          <w:color w:val="000000" w:themeColor="text1"/>
          <w:kern w:val="0"/>
          <w:szCs w:val="21"/>
          <w14:textFill>
            <w14:solidFill>
              <w14:schemeClr w14:val="tx1"/>
            </w14:solidFill>
          </w14:textFill>
        </w:rPr>
        <w:t>。</w:t>
      </w:r>
    </w:p>
    <w:p w14:paraId="2511A8C7">
      <w:pPr>
        <w:pStyle w:val="2"/>
        <w:spacing w:after="0" w:line="360" w:lineRule="auto"/>
        <w:ind w:firstLine="420" w:firstLineChars="200"/>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（14）</w:t>
      </w:r>
      <w:r>
        <w:rPr>
          <w:rFonts w:hint="eastAsia" w:ascii="宋体" w:hAnsi="宋体"/>
          <w:color w:val="000000" w:themeColor="text1"/>
          <w:szCs w:val="21"/>
          <w14:textFill>
            <w14:solidFill>
              <w14:schemeClr w14:val="tx1"/>
            </w14:solidFill>
          </w14:textFill>
        </w:rPr>
        <w:t>发包人不当提取履约担保、预付款担保或质量保证金的，应及时予以退还，若不当提取超过28天的，应承担违约责任：发包人应向承包人支付违约金，</w:t>
      </w:r>
      <w:r>
        <w:rPr>
          <w:rFonts w:hint="eastAsia" w:ascii="宋体" w:hAnsi="宋体"/>
          <w:color w:val="000000" w:themeColor="text1"/>
          <w:szCs w:val="21"/>
          <w:u w:val="single"/>
          <w14:textFill>
            <w14:solidFill>
              <w14:schemeClr w14:val="tx1"/>
            </w14:solidFill>
          </w14:textFill>
        </w:rPr>
        <w:t>计算公式：违约金=不当提取的担保金额×中国人民银行  年  月公布的5年期贷款市场报价利率/360天×逾期天数（自第29天起计算）</w:t>
      </w:r>
      <w:r>
        <w:rPr>
          <w:rFonts w:hint="eastAsia" w:ascii="宋体" w:hAnsi="宋体"/>
          <w:color w:val="000000" w:themeColor="text1"/>
          <w:szCs w:val="21"/>
          <w14:textFill>
            <w14:solidFill>
              <w14:schemeClr w14:val="tx1"/>
            </w14:solidFill>
          </w14:textFill>
        </w:rPr>
        <w:t>。</w:t>
      </w:r>
    </w:p>
    <w:p w14:paraId="4E84439F">
      <w:pPr>
        <w:pStyle w:val="2"/>
        <w:spacing w:after="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（15）发包人未按合同约定接收全部或部分工作的违约责任：由发包人承担自应当接收工程之日起的工程照管、成品保护、保管等与工程有关的各项费用。</w:t>
      </w:r>
    </w:p>
    <w:p w14:paraId="24DFFA41">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（16）由于发包人原因对承包人造成的人员人身伤亡和财产损失的，由发包人负责赔偿，并承担由此增加的费用和（或）延误的工期，并支付合理利润。</w:t>
      </w:r>
    </w:p>
    <w:p w14:paraId="3A18C4C9">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（17）发包人未按合同约定办理保险的违约责任：除按18.6.1项约定执行外，每延迟1天，按</w:t>
      </w:r>
      <w:r>
        <w:rPr>
          <w:rFonts w:hint="eastAsia" w:ascii="宋体" w:hAnsi="宋体" w:cs="Microsoft Sans Serif"/>
          <w:color w:val="000000" w:themeColor="text1"/>
          <w:kern w:val="0"/>
          <w:szCs w:val="21"/>
          <w:u w:val="single"/>
          <w14:textFill>
            <w14:solidFill>
              <w14:schemeClr w14:val="tx1"/>
            </w14:solidFill>
          </w14:textFill>
        </w:rPr>
        <w:t>500元/天</w:t>
      </w:r>
      <w:r>
        <w:rPr>
          <w:rFonts w:hint="eastAsia" w:ascii="宋体" w:hAnsi="宋体" w:cs="Microsoft Sans Serif"/>
          <w:color w:val="000000" w:themeColor="text1"/>
          <w:kern w:val="0"/>
          <w:szCs w:val="21"/>
          <w14:textFill>
            <w14:solidFill>
              <w14:schemeClr w14:val="tx1"/>
            </w14:solidFill>
          </w14:textFill>
        </w:rPr>
        <w:t>支付违约金。</w:t>
      </w:r>
    </w:p>
    <w:p w14:paraId="658AB10E">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（18）其他：</w:t>
      </w:r>
      <w:r>
        <w:rPr>
          <w:rFonts w:hint="eastAsia" w:ascii="宋体" w:hAnsi="宋体" w:cs="Microsoft Sans Serif"/>
          <w:color w:val="000000" w:themeColor="text1"/>
          <w:kern w:val="0"/>
          <w:szCs w:val="21"/>
          <w:u w:val="single"/>
          <w14:textFill>
            <w14:solidFill>
              <w14:schemeClr w14:val="tx1"/>
            </w14:solidFill>
          </w14:textFill>
        </w:rPr>
        <w:t xml:space="preserve">        </w:t>
      </w:r>
      <w:r>
        <w:rPr>
          <w:rFonts w:hint="eastAsia" w:ascii="宋体" w:hAnsi="宋体" w:cs="Microsoft Sans Serif"/>
          <w:color w:val="000000" w:themeColor="text1"/>
          <w:kern w:val="0"/>
          <w:szCs w:val="21"/>
          <w14:textFill>
            <w14:solidFill>
              <w14:schemeClr w14:val="tx1"/>
            </w14:solidFill>
          </w14:textFill>
        </w:rPr>
        <w:t>。</w:t>
      </w:r>
    </w:p>
    <w:p w14:paraId="2372CFB0">
      <w:pPr>
        <w:autoSpaceDE w:val="0"/>
        <w:autoSpaceDN w:val="0"/>
        <w:adjustRightIn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5308089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16.1.3 因发包人违约解除合同</w:t>
      </w:r>
    </w:p>
    <w:p w14:paraId="28E74850">
      <w:pPr>
        <w:autoSpaceDE w:val="0"/>
        <w:autoSpaceDN w:val="0"/>
        <w:adjustRightIn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因发包人违约并致使合同目的不能实现的，承包人有权解除合同：</w:t>
      </w:r>
    </w:p>
    <w:p w14:paraId="00558BE8">
      <w:pPr>
        <w:autoSpaceDE w:val="0"/>
        <w:autoSpaceDN w:val="0"/>
        <w:adjustRightIn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（1）因发包人原因延迟支付合同价款超过180天的；</w:t>
      </w:r>
    </w:p>
    <w:p w14:paraId="4CF3E255">
      <w:pPr>
        <w:autoSpaceDE w:val="0"/>
        <w:autoSpaceDN w:val="0"/>
        <w:adjustRightIn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（2）因发包人原因导致工期延误超过90天的；</w:t>
      </w:r>
    </w:p>
    <w:p w14:paraId="23342F20">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（3）因发包人第16.1.2（5）违约情形导致暂停施工满56天，且发包人仍未纠正其违约行为的；</w:t>
      </w:r>
    </w:p>
    <w:p w14:paraId="67EF5524">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（4）其他未履行合同项下的义务构成对合同的实质性违约，并且在收到承包人要求说明其违约并予以补救的通知后56天内仍未补救该实质性违约的；</w:t>
      </w:r>
    </w:p>
    <w:p w14:paraId="57C7E22D">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（5）</w:t>
      </w:r>
      <w:r>
        <w:rPr>
          <w:rFonts w:hint="eastAsia" w:ascii="宋体" w:hAnsi="宋体" w:cs="Microsoft Sans Serif"/>
          <w:color w:val="000000" w:themeColor="text1"/>
          <w:kern w:val="0"/>
          <w:szCs w:val="21"/>
          <w:u w:val="single"/>
          <w14:textFill>
            <w14:solidFill>
              <w14:schemeClr w14:val="tx1"/>
            </w14:solidFill>
          </w14:textFill>
        </w:rPr>
        <w:t>合同约定的承包人有权解除合同的其他情形</w:t>
      </w:r>
      <w:r>
        <w:rPr>
          <w:rFonts w:hint="eastAsia" w:ascii="宋体" w:hAnsi="宋体" w:cs="Microsoft Sans Serif"/>
          <w:color w:val="000000" w:themeColor="text1"/>
          <w:kern w:val="0"/>
          <w:szCs w:val="21"/>
          <w14:textFill>
            <w14:solidFill>
              <w14:schemeClr w14:val="tx1"/>
            </w14:solidFill>
          </w14:textFill>
        </w:rPr>
        <w:t>。</w:t>
      </w:r>
    </w:p>
    <w:p w14:paraId="3569E8A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16.1.4 因发包人违约解除合同后的付款</w:t>
      </w:r>
    </w:p>
    <w:p w14:paraId="7EF37F64">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承包人按照本款约定解除合同的，发包人应在解除合同后28天内支付下列款项，并解除履约担保、预付款担保：</w:t>
      </w:r>
    </w:p>
    <w:p w14:paraId="7E25AD55">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（1）合同解除前所完成工作的价款；</w:t>
      </w:r>
    </w:p>
    <w:p w14:paraId="219361DB">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（2）承包人为工程施工订购并已付款的材料、工程设备和其他物品的价款；</w:t>
      </w:r>
    </w:p>
    <w:p w14:paraId="618972CA">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（3）承包人撤离施工现场以及遣散承包人人员的款项；</w:t>
      </w:r>
    </w:p>
    <w:p w14:paraId="16C1159A">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（4）按照合同约定在合同解除前应支付的违约金；</w:t>
      </w:r>
    </w:p>
    <w:p w14:paraId="076E4268">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（5）按照合同约定应当支付给承包人的其他款项；</w:t>
      </w:r>
    </w:p>
    <w:p w14:paraId="355916BA">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（6）按照合同约定应退还的质量保证金；</w:t>
      </w:r>
    </w:p>
    <w:p w14:paraId="7D04F19B">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（7）因解除合同给承包人造成的损失；</w:t>
      </w:r>
    </w:p>
    <w:p w14:paraId="0F1B442B">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（8）</w:t>
      </w:r>
      <w:r>
        <w:rPr>
          <w:rFonts w:hint="eastAsia" w:ascii="宋体" w:hAnsi="宋体" w:cs="Microsoft Sans Serif"/>
          <w:color w:val="000000" w:themeColor="text1"/>
          <w:kern w:val="0"/>
          <w:szCs w:val="21"/>
          <w:u w:val="single"/>
          <w14:textFill>
            <w14:solidFill>
              <w14:schemeClr w14:val="tx1"/>
            </w14:solidFill>
          </w14:textFill>
        </w:rPr>
        <w:t xml:space="preserve">        。</w:t>
      </w:r>
    </w:p>
    <w:p w14:paraId="7C34FBA8">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合同当事人未能就解除合同后的结清达成一致的，按照第20条〔争议解决〕的约定处理。</w:t>
      </w:r>
    </w:p>
    <w:p w14:paraId="6BB3FE41">
      <w:pPr>
        <w:snapToGrid w:val="0"/>
        <w:spacing w:line="360" w:lineRule="auto"/>
        <w:ind w:firstLine="420" w:firstLineChars="200"/>
        <w:jc w:val="left"/>
        <w:rPr>
          <w:rFonts w:hint="eastAsia" w:ascii="宋体" w:hAnsi="宋体" w:cs="Microsoft Sans Serif"/>
          <w:color w:val="000000" w:themeColor="text1"/>
          <w:kern w:val="0"/>
          <w:szCs w:val="21"/>
          <w:u w:val="single"/>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承包人应妥善做好已完工程和与工程有关的已购材料、工程设备的保护和移交工作，并将施工设备和人员撤出施工现场，发包人应为承包人撤出提供必要条件。</w:t>
      </w:r>
    </w:p>
    <w:p w14:paraId="794CBC84">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892" w:name="_Toc532377403"/>
      <w:r>
        <w:rPr>
          <w:rFonts w:hint="eastAsia"/>
          <w:color w:val="000000" w:themeColor="text1"/>
          <w:sz w:val="21"/>
          <w:szCs w:val="21"/>
          <w14:textFill>
            <w14:solidFill>
              <w14:schemeClr w14:val="tx1"/>
            </w14:solidFill>
          </w14:textFill>
        </w:rPr>
        <w:t>16.2 承包人违约</w:t>
      </w:r>
      <w:bookmarkEnd w:id="1892"/>
    </w:p>
    <w:p w14:paraId="4089A141">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bookmarkStart w:id="1893" w:name="_Hlk524380579"/>
      <w:r>
        <w:rPr>
          <w:rFonts w:hint="eastAsia" w:ascii="宋体" w:hAnsi="宋体" w:cs="Microsoft Sans Serif"/>
          <w:color w:val="000000" w:themeColor="text1"/>
          <w:kern w:val="0"/>
          <w:szCs w:val="21"/>
          <w14:textFill>
            <w14:solidFill>
              <w14:schemeClr w14:val="tx1"/>
            </w14:solidFill>
          </w14:textFill>
        </w:rPr>
        <w:t>16.2.1 承包人违约的情形</w:t>
      </w:r>
    </w:p>
    <w:p w14:paraId="376DC6BB">
      <w:pPr>
        <w:snapToGrid w:val="0"/>
        <w:spacing w:line="360" w:lineRule="auto"/>
        <w:ind w:firstLine="420" w:firstLineChars="200"/>
        <w:jc w:val="left"/>
        <w:rPr>
          <w:rFonts w:hint="eastAsia" w:ascii="宋体" w:hAnsi="宋体" w:cs="Microsoft Sans Serif"/>
          <w:color w:val="000000" w:themeColor="text1"/>
          <w:kern w:val="0"/>
          <w:szCs w:val="21"/>
          <w:u w:val="single"/>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除通用合同条款约定外，承包人违约的其他情形：</w:t>
      </w:r>
    </w:p>
    <w:p w14:paraId="2EA21D10">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（1）承包人未按合同约定提交履约担保或质量保证金的；</w:t>
      </w:r>
    </w:p>
    <w:p w14:paraId="49CE176D">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（2）承包人未能按期开工的；</w:t>
      </w:r>
    </w:p>
    <w:p w14:paraId="70FE841A">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（3）承包人未按投标文件或监理人的要求及时配备称职的主要管理人员，或承包人未按经审定的施工组织设计配备或更换关键施工设备的；</w:t>
      </w:r>
    </w:p>
    <w:p w14:paraId="5D970D98">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（4）承包人有安全问题或有违反安全管理规章制度情况的；</w:t>
      </w:r>
    </w:p>
    <w:p w14:paraId="6624E8AD">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（5）承包人在缺陷责任期及保修期内，未能在合理期限对工程缺陷进行修复，或拒绝按发包人要求进行修复的；</w:t>
      </w:r>
    </w:p>
    <w:p w14:paraId="0E10A7CE">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（6）承包人拖欠其工人或所雇人员工资或报酬，导致其工人或所雇人员向有关部门投诉、控告、检举或以聚集等方式讨要工资或报酬的；</w:t>
      </w:r>
    </w:p>
    <w:p w14:paraId="3F4E7FF4">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（7）承包人不配合发包人、监理人及发包人委托的工程造价咨询服务单位结算审核或承包人其他原因导致未按期完成工程竣工结算的；</w:t>
      </w:r>
    </w:p>
    <w:p w14:paraId="2CA2428A">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（8）承包人违反合同约定进行转包或违法分包的；</w:t>
      </w:r>
    </w:p>
    <w:p w14:paraId="77F67802">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（9）承包人未按合同约定移交全部或部分工作的；</w:t>
      </w:r>
    </w:p>
    <w:p w14:paraId="5F81BDDF">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（10）承包人未按合同约定购买保险的；</w:t>
      </w:r>
    </w:p>
    <w:p w14:paraId="372608B4">
      <w:pPr>
        <w:snapToGrid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（11）项目经理若有以下情形，属于承包人违约：</w:t>
      </w:r>
    </w:p>
    <w:p w14:paraId="4B24F08D">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1）项目经理不按承诺到岗的；</w:t>
      </w:r>
    </w:p>
    <w:p w14:paraId="04884F76">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2）每月在施工现场的天数少于约定天数的；</w:t>
      </w:r>
    </w:p>
    <w:p w14:paraId="5C3E3F21">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3）承包人未提交项目经理劳动合同和社会保险证明的；</w:t>
      </w:r>
    </w:p>
    <w:p w14:paraId="0B5AA017">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4）未经批准，擅自离开施工现场（超过约定时间）的；</w:t>
      </w:r>
    </w:p>
    <w:p w14:paraId="4CB2C927">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5）未经批准，擅自变更项目经理的；</w:t>
      </w:r>
    </w:p>
    <w:p w14:paraId="2C1B3785">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6）按照</w:t>
      </w:r>
      <w:r>
        <w:rPr>
          <w:rFonts w:hint="eastAsia" w:ascii="宋体" w:hAnsi="宋体" w:cs="Microsoft Sans Serif"/>
          <w:color w:val="000000" w:themeColor="text1"/>
          <w:kern w:val="0"/>
          <w:szCs w:val="21"/>
          <w:u w:val="single"/>
          <w14:textFill>
            <w14:solidFill>
              <w14:schemeClr w14:val="tx1"/>
            </w14:solidFill>
          </w14:textFill>
        </w:rPr>
        <w:t>渝建发〔2015〕35号</w:t>
      </w:r>
      <w:r>
        <w:rPr>
          <w:rFonts w:hint="eastAsia" w:ascii="宋体" w:hAnsi="宋体" w:cs="Microsoft Sans Serif"/>
          <w:color w:val="000000" w:themeColor="text1"/>
          <w:kern w:val="0"/>
          <w:szCs w:val="21"/>
          <w14:textFill>
            <w14:solidFill>
              <w14:schemeClr w14:val="tx1"/>
            </w14:solidFill>
          </w14:textFill>
        </w:rPr>
        <w:t>文的要求，施工期间，项目经理因在一个记分周期内累计记分达到12分，被建设行政主管部门依法责令停止执业的；</w:t>
      </w:r>
    </w:p>
    <w:p w14:paraId="09ACB2A0">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7）发包人有正当理由认为项目经理不称职/不履职，且承包人在约定时间内不予更换的；</w:t>
      </w:r>
    </w:p>
    <w:p w14:paraId="517CD9C2">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8）其他双方约定的情形：</w:t>
      </w:r>
      <w:r>
        <w:rPr>
          <w:rFonts w:hint="eastAsia" w:ascii="宋体" w:hAnsi="宋体" w:cs="Microsoft Sans Serif"/>
          <w:color w:val="000000" w:themeColor="text1"/>
          <w:kern w:val="0"/>
          <w:szCs w:val="21"/>
          <w:u w:val="single"/>
          <w14:textFill>
            <w14:solidFill>
              <w14:schemeClr w14:val="tx1"/>
            </w14:solidFill>
          </w14:textFill>
        </w:rPr>
        <w:t xml:space="preserve">        </w:t>
      </w:r>
      <w:r>
        <w:rPr>
          <w:rFonts w:hint="eastAsia" w:ascii="宋体" w:hAnsi="宋体" w:cs="Microsoft Sans Serif"/>
          <w:color w:val="000000" w:themeColor="text1"/>
          <w:kern w:val="0"/>
          <w:szCs w:val="21"/>
          <w14:textFill>
            <w14:solidFill>
              <w14:schemeClr w14:val="tx1"/>
            </w14:solidFill>
          </w14:textFill>
        </w:rPr>
        <w:t>。</w:t>
      </w:r>
    </w:p>
    <w:p w14:paraId="550D52A9">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（12）技术负责人若有以下情形，属于承包人违约：</w:t>
      </w:r>
    </w:p>
    <w:p w14:paraId="350102C3">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1）每月在施工现场的天数少于约定天数的；</w:t>
      </w:r>
    </w:p>
    <w:p w14:paraId="40138994">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2）承包人未提交技术负责人劳动合同和社会保险证明的；</w:t>
      </w:r>
    </w:p>
    <w:p w14:paraId="0D8D0EAE">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3）未经批准，擅自离开施工现场（超过约定时间）的；</w:t>
      </w:r>
    </w:p>
    <w:p w14:paraId="30C746A0">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4）未经批准，擅自变更技术负责人的；</w:t>
      </w:r>
    </w:p>
    <w:p w14:paraId="471DFD42">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5）发包人有正当理由认为技术负责人不称职/不履职，且承包人在约定时间内不予更换的；</w:t>
      </w:r>
    </w:p>
    <w:p w14:paraId="4D9AFD0C">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6）其他双方约定的情形：</w:t>
      </w:r>
      <w:r>
        <w:rPr>
          <w:rFonts w:hint="eastAsia" w:ascii="宋体" w:hAnsi="宋体" w:cs="Microsoft Sans Serif"/>
          <w:color w:val="000000" w:themeColor="text1"/>
          <w:kern w:val="0"/>
          <w:szCs w:val="21"/>
          <w:u w:val="single"/>
          <w14:textFill>
            <w14:solidFill>
              <w14:schemeClr w14:val="tx1"/>
            </w14:solidFill>
          </w14:textFill>
        </w:rPr>
        <w:t xml:space="preserve">        </w:t>
      </w:r>
      <w:r>
        <w:rPr>
          <w:rFonts w:hint="eastAsia" w:ascii="宋体" w:hAnsi="宋体" w:cs="Microsoft Sans Serif"/>
          <w:color w:val="000000" w:themeColor="text1"/>
          <w:kern w:val="0"/>
          <w:szCs w:val="21"/>
          <w14:textFill>
            <w14:solidFill>
              <w14:schemeClr w14:val="tx1"/>
            </w14:solidFill>
          </w14:textFill>
        </w:rPr>
        <w:t>。</w:t>
      </w:r>
    </w:p>
    <w:p w14:paraId="20F33935">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（13）主要施工管理人员若有以下情形，属于承包人违约：</w:t>
      </w:r>
    </w:p>
    <w:p w14:paraId="3304D11C">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1）承包人未提交主要管理人员劳动合同和社会保险证明的；</w:t>
      </w:r>
    </w:p>
    <w:p w14:paraId="3C67C8CC">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2）未经批准，擅自离开施工现场（超过约定时间）的；</w:t>
      </w:r>
    </w:p>
    <w:p w14:paraId="13D85434">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3）未经批准，擅自变更主要施工管理人员的；</w:t>
      </w:r>
    </w:p>
    <w:p w14:paraId="48011A31">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4）发包人有正当理由认为主要施工管理人员不称职/不履职，且承包人在约定时间内不予更换的；</w:t>
      </w:r>
    </w:p>
    <w:p w14:paraId="0892D0C8">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5）其他双方约定的情形：</w:t>
      </w:r>
      <w:r>
        <w:rPr>
          <w:rFonts w:hint="eastAsia" w:ascii="宋体" w:hAnsi="宋体" w:cs="Microsoft Sans Serif"/>
          <w:color w:val="000000" w:themeColor="text1"/>
          <w:kern w:val="0"/>
          <w:szCs w:val="21"/>
          <w:u w:val="single"/>
          <w14:textFill>
            <w14:solidFill>
              <w14:schemeClr w14:val="tx1"/>
            </w14:solidFill>
          </w14:textFill>
        </w:rPr>
        <w:t xml:space="preserve">        </w:t>
      </w:r>
      <w:r>
        <w:rPr>
          <w:rFonts w:hint="eastAsia" w:ascii="宋体" w:hAnsi="宋体" w:cs="Microsoft Sans Serif"/>
          <w:color w:val="000000" w:themeColor="text1"/>
          <w:kern w:val="0"/>
          <w:szCs w:val="21"/>
          <w14:textFill>
            <w14:solidFill>
              <w14:schemeClr w14:val="tx1"/>
            </w14:solidFill>
          </w14:textFill>
        </w:rPr>
        <w:t>。</w:t>
      </w:r>
    </w:p>
    <w:p w14:paraId="4B85B344">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（14）</w:t>
      </w:r>
      <w:r>
        <w:rPr>
          <w:rFonts w:hint="eastAsia" w:ascii="宋体" w:hAnsi="宋体" w:cs="Microsoft Sans Serif"/>
          <w:color w:val="000000" w:themeColor="text1"/>
          <w:kern w:val="0"/>
          <w:szCs w:val="21"/>
          <w:u w:val="single"/>
          <w14:textFill>
            <w14:solidFill>
              <w14:schemeClr w14:val="tx1"/>
            </w14:solidFill>
          </w14:textFill>
        </w:rPr>
        <w:t xml:space="preserve">        。</w:t>
      </w:r>
    </w:p>
    <w:bookmarkEnd w:id="1893"/>
    <w:p w14:paraId="2DB96C6C">
      <w:pPr>
        <w:adjustRightInd w:val="0"/>
        <w:snapToGrid w:val="0"/>
        <w:spacing w:line="360" w:lineRule="auto"/>
        <w:ind w:firstLine="420" w:firstLineChars="200"/>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16.2.2 承包人违约的责任</w:t>
      </w:r>
    </w:p>
    <w:p w14:paraId="248CE3D6">
      <w:pPr>
        <w:adjustRightInd w:val="0"/>
        <w:snapToGrid w:val="0"/>
        <w:spacing w:line="360" w:lineRule="auto"/>
        <w:ind w:firstLine="420" w:firstLineChars="200"/>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承包人违约责任的承担方式和计算方法：</w:t>
      </w:r>
    </w:p>
    <w:p w14:paraId="2195F44C">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（1）承包人未按合同约定提交履约担保、质量保证金的违约责任：承包人应支付违约金，</w:t>
      </w:r>
      <w:r>
        <w:rPr>
          <w:rFonts w:hint="eastAsia" w:ascii="宋体" w:hAnsi="宋体" w:cs="Microsoft Sans Serif"/>
          <w:color w:val="000000" w:themeColor="text1"/>
          <w:szCs w:val="21"/>
          <w14:textFill>
            <w14:solidFill>
              <w14:schemeClr w14:val="tx1"/>
            </w14:solidFill>
          </w14:textFill>
        </w:rPr>
        <w:t>违约金的计算方法：</w:t>
      </w:r>
      <w:r>
        <w:rPr>
          <w:rFonts w:hint="eastAsia" w:ascii="宋体" w:hAnsi="宋体" w:cs="Microsoft Sans Serif"/>
          <w:color w:val="000000" w:themeColor="text1"/>
          <w:kern w:val="0"/>
          <w:szCs w:val="21"/>
          <w14:textFill>
            <w14:solidFill>
              <w14:schemeClr w14:val="tx1"/>
            </w14:solidFill>
          </w14:textFill>
        </w:rPr>
        <w:t>每延误1天，承包人按</w:t>
      </w:r>
      <w:r>
        <w:rPr>
          <w:rFonts w:hint="eastAsia" w:ascii="宋体" w:hAnsi="宋体" w:cs="Microsoft Sans Serif"/>
          <w:color w:val="000000" w:themeColor="text1"/>
          <w:kern w:val="0"/>
          <w:szCs w:val="21"/>
          <w:u w:val="single"/>
          <w14:textFill>
            <w14:solidFill>
              <w14:schemeClr w14:val="tx1"/>
            </w14:solidFill>
          </w14:textFill>
        </w:rPr>
        <w:t>5000元/天</w:t>
      </w:r>
      <w:r>
        <w:rPr>
          <w:rFonts w:hint="eastAsia" w:ascii="宋体" w:hAnsi="宋体" w:cs="Microsoft Sans Serif"/>
          <w:color w:val="000000" w:themeColor="text1"/>
          <w:kern w:val="0"/>
          <w:szCs w:val="21"/>
          <w14:textFill>
            <w14:solidFill>
              <w14:schemeClr w14:val="tx1"/>
            </w14:solidFill>
          </w14:textFill>
        </w:rPr>
        <w:t>计算违约金，累计违约金上限：</w:t>
      </w:r>
      <w:r>
        <w:rPr>
          <w:rFonts w:hint="eastAsia" w:ascii="宋体" w:hAnsi="宋体" w:cs="Microsoft Sans Serif"/>
          <w:color w:val="000000" w:themeColor="text1"/>
          <w:kern w:val="0"/>
          <w:szCs w:val="21"/>
          <w:u w:val="single"/>
          <w14:textFill>
            <w14:solidFill>
              <w14:schemeClr w14:val="tx1"/>
            </w14:solidFill>
          </w14:textFill>
        </w:rPr>
        <w:t>不超过签约合同价的3%</w:t>
      </w:r>
      <w:r>
        <w:rPr>
          <w:rFonts w:hint="eastAsia" w:ascii="宋体" w:hAnsi="宋体" w:cs="Microsoft Sans Serif"/>
          <w:color w:val="000000" w:themeColor="text1"/>
          <w:kern w:val="0"/>
          <w:szCs w:val="21"/>
          <w:lang w:val="zh-CN"/>
          <w14:textFill>
            <w14:solidFill>
              <w14:schemeClr w14:val="tx1"/>
            </w14:solidFill>
          </w14:textFill>
        </w:rPr>
        <w:t>。</w:t>
      </w:r>
    </w:p>
    <w:p w14:paraId="3EB54120">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（2）承包人违反合同约定进行转包或违法分包的违约责任：按照违反合同约定进行转包和（或）违法分包相应转包和（或）分包合同的合同金额的</w:t>
      </w:r>
      <w:r>
        <w:rPr>
          <w:rFonts w:hint="eastAsia" w:ascii="宋体" w:hAnsi="宋体" w:cs="Microsoft Sans Serif"/>
          <w:color w:val="000000" w:themeColor="text1"/>
          <w:kern w:val="0"/>
          <w:szCs w:val="21"/>
          <w:u w:val="single"/>
          <w14:textFill>
            <w14:solidFill>
              <w14:schemeClr w14:val="tx1"/>
            </w14:solidFill>
          </w14:textFill>
        </w:rPr>
        <w:t>5%</w:t>
      </w:r>
      <w:r>
        <w:rPr>
          <w:rFonts w:hint="eastAsia" w:ascii="宋体" w:hAnsi="宋体" w:cs="Microsoft Sans Serif"/>
          <w:color w:val="000000" w:themeColor="text1"/>
          <w:kern w:val="0"/>
          <w:szCs w:val="21"/>
          <w14:textFill>
            <w14:solidFill>
              <w14:schemeClr w14:val="tx1"/>
            </w14:solidFill>
          </w14:textFill>
        </w:rPr>
        <w:t>支付违约金，违法转/分包商应在7天内撤离出场。</w:t>
      </w:r>
    </w:p>
    <w:p w14:paraId="54052FDD">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color w:val="000000" w:themeColor="text1"/>
          <w:kern w:val="0"/>
          <w:szCs w:val="21"/>
          <w:u w:val="single"/>
          <w14:textFill>
            <w14:solidFill>
              <w14:schemeClr w14:val="tx1"/>
            </w14:solidFill>
          </w14:textFill>
        </w:rPr>
        <w:t>5%</w:t>
      </w:r>
      <w:r>
        <w:rPr>
          <w:rFonts w:hint="eastAsia" w:ascii="宋体" w:hAnsi="宋体" w:cs="Microsoft Sans Serif"/>
          <w:color w:val="000000" w:themeColor="text1"/>
          <w:kern w:val="0"/>
          <w:szCs w:val="21"/>
          <w14:textFill>
            <w14:solidFill>
              <w14:schemeClr w14:val="tx1"/>
            </w14:solidFill>
          </w14:textFill>
        </w:rPr>
        <w:t>支付违约金。</w:t>
      </w:r>
    </w:p>
    <w:p w14:paraId="3065E490">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color w:val="000000" w:themeColor="text1"/>
          <w:kern w:val="0"/>
          <w:szCs w:val="21"/>
          <w:u w:val="single"/>
          <w14:textFill>
            <w14:solidFill>
              <w14:schemeClr w14:val="tx1"/>
            </w14:solidFill>
          </w14:textFill>
        </w:rPr>
        <w:t>5%</w:t>
      </w:r>
      <w:r>
        <w:rPr>
          <w:rFonts w:hint="eastAsia" w:ascii="宋体" w:hAnsi="宋体" w:cs="Microsoft Sans Serif"/>
          <w:color w:val="000000" w:themeColor="text1"/>
          <w:kern w:val="0"/>
          <w:szCs w:val="21"/>
          <w14:textFill>
            <w14:solidFill>
              <w14:schemeClr w14:val="tx1"/>
            </w14:solidFill>
          </w14:textFill>
        </w:rPr>
        <w:t>支付违约金。</w:t>
      </w:r>
    </w:p>
    <w:p w14:paraId="4594CDB9">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color w:val="000000" w:themeColor="text1"/>
          <w:kern w:val="0"/>
          <w:szCs w:val="21"/>
          <w:u w:val="single"/>
          <w14:textFill>
            <w14:solidFill>
              <w14:schemeClr w14:val="tx1"/>
            </w14:solidFill>
          </w14:textFill>
        </w:rPr>
        <w:t>1%</w:t>
      </w:r>
      <w:r>
        <w:rPr>
          <w:rFonts w:hint="eastAsia" w:ascii="宋体" w:hAnsi="宋体" w:cs="Microsoft Sans Serif"/>
          <w:color w:val="000000" w:themeColor="text1"/>
          <w:kern w:val="0"/>
          <w:szCs w:val="21"/>
          <w14:textFill>
            <w14:solidFill>
              <w14:schemeClr w14:val="tx1"/>
            </w14:solidFill>
          </w14:textFill>
        </w:rPr>
        <w:t>支付违约金。</w:t>
      </w:r>
    </w:p>
    <w:p w14:paraId="7C0E9398">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（6）因承包人原因造成工期延误的违约承担方式和计算方法：由承包人承担由此增加的费用，</w:t>
      </w:r>
      <w:r>
        <w:rPr>
          <w:rFonts w:hint="eastAsia" w:ascii="宋体" w:hAnsi="宋体" w:cs="Microsoft Sans Serif"/>
          <w:color w:val="000000" w:themeColor="text1"/>
          <w:szCs w:val="21"/>
          <w14:textFill>
            <w14:solidFill>
              <w14:schemeClr w14:val="tx1"/>
            </w14:solidFill>
          </w14:textFill>
        </w:rPr>
        <w:t>由此导致工期延误的，工期不予顺延；逾期竣工违约金的计算方法：</w:t>
      </w:r>
      <w:r>
        <w:rPr>
          <w:rFonts w:hint="eastAsia" w:ascii="宋体" w:hAnsi="宋体" w:cs="Microsoft Sans Serif"/>
          <w:color w:val="000000" w:themeColor="text1"/>
          <w:kern w:val="0"/>
          <w:szCs w:val="21"/>
          <w14:textFill>
            <w14:solidFill>
              <w14:schemeClr w14:val="tx1"/>
            </w14:solidFill>
          </w14:textFill>
        </w:rPr>
        <w:t>每延误1天，承包人按</w:t>
      </w:r>
      <w:r>
        <w:rPr>
          <w:rFonts w:hint="eastAsia" w:ascii="宋体" w:hAnsi="宋体" w:cs="Microsoft Sans Serif"/>
          <w:color w:val="000000" w:themeColor="text1"/>
          <w:kern w:val="0"/>
          <w:szCs w:val="21"/>
          <w:u w:val="single"/>
          <w14:textFill>
            <w14:solidFill>
              <w14:schemeClr w14:val="tx1"/>
            </w14:solidFill>
          </w14:textFill>
        </w:rPr>
        <w:t>5000元/天</w:t>
      </w:r>
      <w:r>
        <w:rPr>
          <w:rFonts w:hint="eastAsia" w:ascii="宋体" w:hAnsi="宋体" w:cs="Microsoft Sans Serif"/>
          <w:color w:val="000000" w:themeColor="text1"/>
          <w:kern w:val="0"/>
          <w:szCs w:val="21"/>
          <w14:textFill>
            <w14:solidFill>
              <w14:schemeClr w14:val="tx1"/>
            </w14:solidFill>
          </w14:textFill>
        </w:rPr>
        <w:t>计算逾期竣工违约金，累计违约金上限：不超过签约合同价的3%</w:t>
      </w:r>
      <w:r>
        <w:rPr>
          <w:rFonts w:hint="eastAsia" w:ascii="宋体" w:hAnsi="宋体" w:cs="Microsoft Sans Serif"/>
          <w:color w:val="000000" w:themeColor="text1"/>
          <w:kern w:val="0"/>
          <w:szCs w:val="21"/>
          <w:lang w:val="zh-CN"/>
          <w14:textFill>
            <w14:solidFill>
              <w14:schemeClr w14:val="tx1"/>
            </w14:solidFill>
          </w14:textFill>
        </w:rPr>
        <w:t>；</w:t>
      </w:r>
      <w:r>
        <w:rPr>
          <w:rFonts w:hint="eastAsia" w:ascii="宋体" w:hAnsi="宋体" w:cs="Microsoft Sans Serif"/>
          <w:color w:val="000000" w:themeColor="text1"/>
          <w:kern w:val="0"/>
          <w:szCs w:val="21"/>
          <w14:textFill>
            <w14:solidFill>
              <w14:schemeClr w14:val="tx1"/>
            </w14:solidFill>
          </w14:textFill>
        </w:rPr>
        <w:t>承包人支付逾期竣工违约金后，不免除承包人继续完成工程及修补缺陷的义务。</w:t>
      </w:r>
    </w:p>
    <w:p w14:paraId="738758D1">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（7）承包人在缺陷责任期及保修期内，未能在合理期限对工程缺陷进行修复，或拒绝按发包人要求进行修复的违约责任：按照发包人修复缺陷费用的</w:t>
      </w:r>
      <w:r>
        <w:rPr>
          <w:rFonts w:hint="eastAsia" w:ascii="宋体" w:hAnsi="宋体" w:cs="Microsoft Sans Serif"/>
          <w:color w:val="000000" w:themeColor="text1"/>
          <w:kern w:val="0"/>
          <w:szCs w:val="21"/>
          <w:u w:val="single"/>
          <w14:textFill>
            <w14:solidFill>
              <w14:schemeClr w14:val="tx1"/>
            </w14:solidFill>
          </w14:textFill>
        </w:rPr>
        <w:t xml:space="preserve"> 0.5%</w:t>
      </w:r>
      <w:r>
        <w:rPr>
          <w:rFonts w:hint="eastAsia" w:ascii="宋体" w:hAnsi="宋体" w:cs="Microsoft Sans Serif"/>
          <w:color w:val="000000" w:themeColor="text1"/>
          <w:kern w:val="0"/>
          <w:szCs w:val="21"/>
          <w14:textFill>
            <w14:solidFill>
              <w14:schemeClr w14:val="tx1"/>
            </w14:solidFill>
          </w14:textFill>
        </w:rPr>
        <w:t>支付违约金。</w:t>
      </w:r>
    </w:p>
    <w:p w14:paraId="3464BF84">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（8）承包人明确表示或者以其行为表明不履行合同主要义务的违约责任：按签约合同价的</w:t>
      </w:r>
      <w:r>
        <w:rPr>
          <w:rFonts w:hint="eastAsia" w:ascii="宋体" w:hAnsi="宋体" w:cs="Microsoft Sans Serif"/>
          <w:color w:val="000000" w:themeColor="text1"/>
          <w:kern w:val="0"/>
          <w:szCs w:val="21"/>
          <w:u w:val="single"/>
          <w14:textFill>
            <w14:solidFill>
              <w14:schemeClr w14:val="tx1"/>
            </w14:solidFill>
          </w14:textFill>
        </w:rPr>
        <w:t>5%</w:t>
      </w:r>
      <w:r>
        <w:rPr>
          <w:rFonts w:hint="eastAsia" w:ascii="宋体" w:hAnsi="宋体" w:cs="Microsoft Sans Serif"/>
          <w:color w:val="000000" w:themeColor="text1"/>
          <w:kern w:val="0"/>
          <w:szCs w:val="21"/>
          <w14:textFill>
            <w14:solidFill>
              <w14:schemeClr w14:val="tx1"/>
            </w14:solidFill>
          </w14:textFill>
        </w:rPr>
        <w:t>支付违约金。</w:t>
      </w:r>
    </w:p>
    <w:p w14:paraId="03683610">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（9）承包人未能按照合同约定履行其他义务的违约责任：按</w:t>
      </w:r>
      <w:r>
        <w:rPr>
          <w:rFonts w:hint="eastAsia" w:ascii="宋体" w:hAnsi="宋体" w:cs="Microsoft Sans Serif"/>
          <w:color w:val="000000" w:themeColor="text1"/>
          <w:kern w:val="0"/>
          <w:szCs w:val="21"/>
          <w:u w:val="single"/>
          <w14:textFill>
            <w14:solidFill>
              <w14:schemeClr w14:val="tx1"/>
            </w14:solidFill>
          </w14:textFill>
        </w:rPr>
        <w:t>500元/次</w:t>
      </w:r>
      <w:r>
        <w:rPr>
          <w:rFonts w:hint="eastAsia" w:ascii="宋体" w:hAnsi="宋体" w:cs="Microsoft Sans Serif"/>
          <w:color w:val="000000" w:themeColor="text1"/>
          <w:kern w:val="0"/>
          <w:szCs w:val="21"/>
          <w14:textFill>
            <w14:solidFill>
              <w14:schemeClr w14:val="tx1"/>
            </w14:solidFill>
          </w14:textFill>
        </w:rPr>
        <w:t>支付违约金。</w:t>
      </w:r>
    </w:p>
    <w:p w14:paraId="28A4FD78">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（10）承包人未能按期开工的违约责任：按合同价</w:t>
      </w:r>
      <w:r>
        <w:rPr>
          <w:rFonts w:hint="eastAsia" w:ascii="宋体" w:hAnsi="宋体" w:cs="Microsoft Sans Serif"/>
          <w:color w:val="000000" w:themeColor="text1"/>
          <w:kern w:val="0"/>
          <w:szCs w:val="21"/>
          <w:u w:val="single"/>
          <w14:textFill>
            <w14:solidFill>
              <w14:schemeClr w14:val="tx1"/>
            </w14:solidFill>
          </w14:textFill>
        </w:rPr>
        <w:t>0.2‰/天</w:t>
      </w:r>
      <w:r>
        <w:rPr>
          <w:rFonts w:hint="eastAsia" w:ascii="宋体" w:hAnsi="宋体" w:cs="Microsoft Sans Serif"/>
          <w:color w:val="000000" w:themeColor="text1"/>
          <w:kern w:val="0"/>
          <w:szCs w:val="21"/>
          <w14:textFill>
            <w14:solidFill>
              <w14:schemeClr w14:val="tx1"/>
            </w14:solidFill>
          </w14:textFill>
        </w:rPr>
        <w:t>支付违约金，本项违约金累计限额为签约合同价的</w:t>
      </w:r>
      <w:r>
        <w:rPr>
          <w:rFonts w:hint="eastAsia" w:ascii="宋体" w:hAnsi="宋体" w:cs="Microsoft Sans Serif"/>
          <w:color w:val="000000" w:themeColor="text1"/>
          <w:kern w:val="0"/>
          <w:szCs w:val="21"/>
          <w:u w:val="single"/>
          <w14:textFill>
            <w14:solidFill>
              <w14:schemeClr w14:val="tx1"/>
            </w14:solidFill>
          </w14:textFill>
        </w:rPr>
        <w:t xml:space="preserve"> 1 %</w:t>
      </w:r>
      <w:r>
        <w:rPr>
          <w:rFonts w:hint="eastAsia" w:ascii="宋体" w:hAnsi="宋体" w:cs="Microsoft Sans Serif"/>
          <w:color w:val="000000" w:themeColor="text1"/>
          <w:kern w:val="0"/>
          <w:szCs w:val="21"/>
          <w14:textFill>
            <w14:solidFill>
              <w14:schemeClr w14:val="tx1"/>
            </w14:solidFill>
          </w14:textFill>
        </w:rPr>
        <w:t>。</w:t>
      </w:r>
    </w:p>
    <w:p w14:paraId="2FBF7DC8">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（11）承包人未按经审定的施工组织设计配备或更换关键施工设备的违约责任：按</w:t>
      </w:r>
      <w:r>
        <w:rPr>
          <w:rFonts w:hint="eastAsia" w:ascii="宋体" w:hAnsi="宋体" w:cs="Microsoft Sans Serif"/>
          <w:color w:val="000000" w:themeColor="text1"/>
          <w:kern w:val="0"/>
          <w:szCs w:val="21"/>
          <w:u w:val="single"/>
          <w14:textFill>
            <w14:solidFill>
              <w14:schemeClr w14:val="tx1"/>
            </w14:solidFill>
          </w14:textFill>
        </w:rPr>
        <w:t>5000元/台·次</w:t>
      </w:r>
      <w:r>
        <w:rPr>
          <w:rFonts w:hint="eastAsia" w:ascii="宋体" w:hAnsi="宋体" w:cs="Microsoft Sans Serif"/>
          <w:color w:val="000000" w:themeColor="text1"/>
          <w:kern w:val="0"/>
          <w:szCs w:val="21"/>
          <w14:textFill>
            <w14:solidFill>
              <w14:schemeClr w14:val="tx1"/>
            </w14:solidFill>
          </w14:textFill>
        </w:rPr>
        <w:t>支付违约金。</w:t>
      </w:r>
    </w:p>
    <w:p w14:paraId="5088A631">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（12）承包人有安全问题或有违反安全管理规章制度情况的违约责任：根据具体情节，按签约合同价的</w:t>
      </w:r>
      <w:r>
        <w:rPr>
          <w:rFonts w:hint="eastAsia" w:ascii="宋体" w:hAnsi="宋体" w:cs="Microsoft Sans Serif"/>
          <w:color w:val="000000" w:themeColor="text1"/>
          <w:kern w:val="0"/>
          <w:szCs w:val="21"/>
          <w:u w:val="single"/>
          <w14:textFill>
            <w14:solidFill>
              <w14:schemeClr w14:val="tx1"/>
            </w14:solidFill>
          </w14:textFill>
        </w:rPr>
        <w:t>0.5‰/次</w:t>
      </w:r>
      <w:r>
        <w:rPr>
          <w:rFonts w:hint="eastAsia" w:ascii="宋体" w:hAnsi="宋体" w:cs="Microsoft Sans Serif"/>
          <w:color w:val="000000" w:themeColor="text1"/>
          <w:kern w:val="0"/>
          <w:szCs w:val="21"/>
          <w14:textFill>
            <w14:solidFill>
              <w14:schemeClr w14:val="tx1"/>
            </w14:solidFill>
          </w14:textFill>
        </w:rPr>
        <w:t>支付违约金（累计不超过签约合同价的1%，详见附件9安全管理协议）。</w:t>
      </w:r>
    </w:p>
    <w:p w14:paraId="07D1C974">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color w:val="000000" w:themeColor="text1"/>
          <w:kern w:val="0"/>
          <w:szCs w:val="21"/>
          <w:u w:val="single"/>
          <w14:textFill>
            <w14:solidFill>
              <w14:schemeClr w14:val="tx1"/>
            </w14:solidFill>
          </w14:textFill>
        </w:rPr>
        <w:t>50000元/次</w:t>
      </w:r>
      <w:r>
        <w:rPr>
          <w:rFonts w:hint="eastAsia" w:ascii="宋体" w:hAnsi="宋体" w:cs="Microsoft Sans Serif"/>
          <w:color w:val="000000" w:themeColor="text1"/>
          <w:kern w:val="0"/>
          <w:szCs w:val="21"/>
          <w14:textFill>
            <w14:solidFill>
              <w14:schemeClr w14:val="tx1"/>
            </w14:solidFill>
          </w14:textFill>
        </w:rPr>
        <w:t>支付违约金。</w:t>
      </w:r>
    </w:p>
    <w:p w14:paraId="01CDE4E7">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（14）承包人不配合发包人、监理人及发包人委托的工程造价咨询服务单位结算审核的违约责任：根据具体情节，按</w:t>
      </w:r>
      <w:r>
        <w:rPr>
          <w:rFonts w:hint="eastAsia" w:ascii="宋体" w:hAnsi="宋体" w:cs="Microsoft Sans Serif"/>
          <w:color w:val="000000" w:themeColor="text1"/>
          <w:kern w:val="0"/>
          <w:szCs w:val="21"/>
          <w:u w:val="single"/>
          <w14:textFill>
            <w14:solidFill>
              <w14:schemeClr w14:val="tx1"/>
            </w14:solidFill>
          </w14:textFill>
        </w:rPr>
        <w:t>10000元/次</w:t>
      </w:r>
      <w:r>
        <w:rPr>
          <w:rFonts w:hint="eastAsia" w:ascii="宋体" w:hAnsi="宋体" w:cs="Microsoft Sans Serif"/>
          <w:color w:val="000000" w:themeColor="text1"/>
          <w:kern w:val="0"/>
          <w:szCs w:val="21"/>
          <w14:textFill>
            <w14:solidFill>
              <w14:schemeClr w14:val="tx1"/>
            </w14:solidFill>
          </w14:textFill>
        </w:rPr>
        <w:t>支付违约金。</w:t>
      </w:r>
    </w:p>
    <w:p w14:paraId="0371B049">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color w:val="000000" w:themeColor="text1"/>
          <w:kern w:val="0"/>
          <w:szCs w:val="21"/>
          <w:u w:val="single"/>
          <w14:textFill>
            <w14:solidFill>
              <w14:schemeClr w14:val="tx1"/>
            </w14:solidFill>
          </w14:textFill>
        </w:rPr>
        <w:t>0.5‰</w:t>
      </w:r>
      <w:r>
        <w:rPr>
          <w:rFonts w:hint="eastAsia" w:ascii="宋体" w:hAnsi="宋体" w:cs="Microsoft Sans Serif"/>
          <w:color w:val="000000" w:themeColor="text1"/>
          <w:kern w:val="0"/>
          <w:szCs w:val="21"/>
          <w14:textFill>
            <w14:solidFill>
              <w14:schemeClr w14:val="tx1"/>
            </w14:solidFill>
          </w14:textFill>
        </w:rPr>
        <w:t>支付违约金。</w:t>
      </w:r>
    </w:p>
    <w:p w14:paraId="1CA32326">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szCs w:val="21"/>
          <w14:textFill>
            <w14:solidFill>
              <w14:schemeClr w14:val="tx1"/>
            </w14:solidFill>
          </w14:textFill>
        </w:rPr>
        <w:t>（16）承包人未按合同约定购买保险的违约责任：除按18.6.2项约定执行外，每延迟1天，按</w:t>
      </w:r>
      <w:r>
        <w:rPr>
          <w:rFonts w:hint="eastAsia" w:ascii="宋体" w:hAnsi="宋体" w:cs="Microsoft Sans Serif"/>
          <w:color w:val="000000" w:themeColor="text1"/>
          <w:szCs w:val="21"/>
          <w:u w:val="single"/>
          <w14:textFill>
            <w14:solidFill>
              <w14:schemeClr w14:val="tx1"/>
            </w14:solidFill>
          </w14:textFill>
        </w:rPr>
        <w:t>500元/天</w:t>
      </w:r>
      <w:r>
        <w:rPr>
          <w:rFonts w:hint="eastAsia" w:ascii="宋体" w:hAnsi="宋体" w:cs="Microsoft Sans Serif"/>
          <w:color w:val="000000" w:themeColor="text1"/>
          <w:szCs w:val="21"/>
          <w14:textFill>
            <w14:solidFill>
              <w14:schemeClr w14:val="tx1"/>
            </w14:solidFill>
          </w14:textFill>
        </w:rPr>
        <w:t>支付违约金。</w:t>
      </w:r>
    </w:p>
    <w:p w14:paraId="7CC6187D">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（17）发生第16.2.1项（11）目、16.2.1项（12）目、16.2.1项（13）目违约情形的违约责任：除承担由此增加的费用和工期延误的责任，承包人应向发包人支付违约金：</w:t>
      </w:r>
    </w:p>
    <w:p w14:paraId="7D775830">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1）项目经理违约承担方式和计算方法：对于第16.2.1项（11）目的情形，每发现一次，根据具体情节，按</w:t>
      </w:r>
      <w:r>
        <w:rPr>
          <w:rFonts w:hint="eastAsia" w:ascii="宋体" w:hAnsi="宋体" w:cs="Microsoft Sans Serif"/>
          <w:color w:val="000000" w:themeColor="text1"/>
          <w:kern w:val="0"/>
          <w:szCs w:val="21"/>
          <w:u w:val="single"/>
          <w14:textFill>
            <w14:solidFill>
              <w14:schemeClr w14:val="tx1"/>
            </w14:solidFill>
          </w14:textFill>
        </w:rPr>
        <w:t>1000元/天·次</w:t>
      </w:r>
      <w:r>
        <w:rPr>
          <w:rFonts w:hint="eastAsia" w:ascii="宋体" w:hAnsi="宋体" w:cs="Microsoft Sans Serif"/>
          <w:color w:val="000000" w:themeColor="text1"/>
          <w:kern w:val="0"/>
          <w:szCs w:val="21"/>
          <w14:textFill>
            <w14:solidFill>
              <w14:schemeClr w14:val="tx1"/>
            </w14:solidFill>
          </w14:textFill>
        </w:rPr>
        <w:t>计算违约金；项目经理不按承诺到岗的（</w:t>
      </w:r>
      <w:r>
        <w:rPr>
          <w:rFonts w:ascii="宋体" w:hAnsi="宋体" w:cs="Microsoft Sans Serif"/>
          <w:color w:val="000000" w:themeColor="text1"/>
          <w:kern w:val="0"/>
          <w:szCs w:val="21"/>
          <w14:textFill>
            <w14:solidFill>
              <w14:schemeClr w14:val="tx1"/>
            </w14:solidFill>
          </w14:textFill>
        </w:rPr>
        <w:t>3.2.3项约定的情形除外</w:t>
      </w:r>
      <w:r>
        <w:rPr>
          <w:rFonts w:hint="eastAsia" w:ascii="宋体" w:hAnsi="宋体" w:cs="Microsoft Sans Serif"/>
          <w:color w:val="000000" w:themeColor="text1"/>
          <w:kern w:val="0"/>
          <w:szCs w:val="21"/>
          <w14:textFill>
            <w14:solidFill>
              <w14:schemeClr w14:val="tx1"/>
            </w14:solidFill>
          </w14:textFill>
        </w:rPr>
        <w:t>），按履约保证金的</w:t>
      </w:r>
      <w:r>
        <w:rPr>
          <w:rFonts w:hint="eastAsia" w:ascii="宋体" w:hAnsi="宋体" w:cs="Microsoft Sans Serif"/>
          <w:color w:val="000000" w:themeColor="text1"/>
          <w:kern w:val="0"/>
          <w:szCs w:val="21"/>
          <w:u w:val="single"/>
          <w14:textFill>
            <w14:solidFill>
              <w14:schemeClr w14:val="tx1"/>
            </w14:solidFill>
          </w14:textFill>
        </w:rPr>
        <w:t>50%</w:t>
      </w:r>
      <w:r>
        <w:rPr>
          <w:rFonts w:hint="eastAsia" w:ascii="宋体" w:hAnsi="宋体" w:cs="Microsoft Sans Serif"/>
          <w:color w:val="000000" w:themeColor="text1"/>
          <w:kern w:val="0"/>
          <w:szCs w:val="21"/>
          <w14:textFill>
            <w14:solidFill>
              <w14:schemeClr w14:val="tx1"/>
            </w14:solidFill>
          </w14:textFill>
        </w:rPr>
        <w:t>支付违约金，并解除合同；擅自更换项目经理的，按签约合同价的</w:t>
      </w:r>
      <w:r>
        <w:rPr>
          <w:rFonts w:hint="eastAsia" w:ascii="宋体" w:hAnsi="宋体" w:cs="Microsoft Sans Serif"/>
          <w:color w:val="000000" w:themeColor="text1"/>
          <w:kern w:val="0"/>
          <w:szCs w:val="21"/>
          <w:u w:val="single"/>
          <w14:textFill>
            <w14:solidFill>
              <w14:schemeClr w14:val="tx1"/>
            </w14:solidFill>
          </w14:textFill>
        </w:rPr>
        <w:t>0.5%/人·次</w:t>
      </w:r>
      <w:r>
        <w:rPr>
          <w:rFonts w:hint="eastAsia" w:ascii="宋体" w:hAnsi="宋体" w:cs="Microsoft Sans Serif"/>
          <w:color w:val="000000" w:themeColor="text1"/>
          <w:kern w:val="0"/>
          <w:szCs w:val="21"/>
          <w14:textFill>
            <w14:solidFill>
              <w14:schemeClr w14:val="tx1"/>
            </w14:solidFill>
          </w14:textFill>
        </w:rPr>
        <w:t>支付违约金，每次不低于</w:t>
      </w:r>
      <w:r>
        <w:rPr>
          <w:rFonts w:hint="eastAsia" w:ascii="宋体" w:hAnsi="宋体" w:cs="Microsoft Sans Serif"/>
          <w:color w:val="000000" w:themeColor="text1"/>
          <w:kern w:val="0"/>
          <w:szCs w:val="21"/>
          <w:u w:val="single"/>
          <w14:textFill>
            <w14:solidFill>
              <w14:schemeClr w14:val="tx1"/>
            </w14:solidFill>
          </w14:textFill>
        </w:rPr>
        <w:t>20万</w:t>
      </w:r>
      <w:r>
        <w:rPr>
          <w:rFonts w:hint="eastAsia" w:ascii="宋体" w:hAnsi="宋体" w:cs="Microsoft Sans Serif"/>
          <w:color w:val="000000" w:themeColor="text1"/>
          <w:kern w:val="0"/>
          <w:szCs w:val="21"/>
          <w14:textFill>
            <w14:solidFill>
              <w14:schemeClr w14:val="tx1"/>
            </w14:solidFill>
          </w14:textFill>
        </w:rPr>
        <w:t>，累计不超过</w:t>
      </w:r>
      <w:r>
        <w:rPr>
          <w:rFonts w:hint="eastAsia" w:ascii="宋体" w:hAnsi="宋体" w:cs="Microsoft Sans Serif"/>
          <w:color w:val="000000" w:themeColor="text1"/>
          <w:kern w:val="0"/>
          <w:szCs w:val="21"/>
          <w:u w:val="single"/>
          <w14:textFill>
            <w14:solidFill>
              <w14:schemeClr w14:val="tx1"/>
            </w14:solidFill>
          </w14:textFill>
        </w:rPr>
        <w:t>200万</w:t>
      </w:r>
      <w:r>
        <w:rPr>
          <w:rFonts w:hint="eastAsia" w:ascii="宋体" w:hAnsi="宋体" w:cs="Microsoft Sans Serif"/>
          <w:color w:val="000000" w:themeColor="text1"/>
          <w:kern w:val="0"/>
          <w:szCs w:val="21"/>
          <w14:textFill>
            <w14:solidFill>
              <w14:schemeClr w14:val="tx1"/>
            </w14:solidFill>
          </w14:textFill>
        </w:rPr>
        <w:t>；项目经理被责令停止执业的，按签约合同价的</w:t>
      </w:r>
      <w:r>
        <w:rPr>
          <w:rFonts w:hint="eastAsia" w:ascii="宋体" w:hAnsi="宋体" w:cs="Microsoft Sans Serif"/>
          <w:color w:val="000000" w:themeColor="text1"/>
          <w:kern w:val="0"/>
          <w:szCs w:val="21"/>
          <w:u w:val="single"/>
          <w14:textFill>
            <w14:solidFill>
              <w14:schemeClr w14:val="tx1"/>
            </w14:solidFill>
          </w14:textFill>
        </w:rPr>
        <w:t>0.5%/人·次</w:t>
      </w:r>
      <w:r>
        <w:rPr>
          <w:rFonts w:hint="eastAsia" w:ascii="宋体" w:hAnsi="宋体" w:cs="Microsoft Sans Serif"/>
          <w:color w:val="000000" w:themeColor="text1"/>
          <w:kern w:val="0"/>
          <w:szCs w:val="21"/>
          <w14:textFill>
            <w14:solidFill>
              <w14:schemeClr w14:val="tx1"/>
            </w14:solidFill>
          </w14:textFill>
        </w:rPr>
        <w:t>支付违约金，每次不低于</w:t>
      </w:r>
      <w:r>
        <w:rPr>
          <w:rFonts w:hint="eastAsia" w:ascii="宋体" w:hAnsi="宋体" w:cs="Microsoft Sans Serif"/>
          <w:color w:val="000000" w:themeColor="text1"/>
          <w:kern w:val="0"/>
          <w:szCs w:val="21"/>
          <w:u w:val="single"/>
          <w14:textFill>
            <w14:solidFill>
              <w14:schemeClr w14:val="tx1"/>
            </w14:solidFill>
          </w14:textFill>
        </w:rPr>
        <w:t>20万</w:t>
      </w:r>
      <w:r>
        <w:rPr>
          <w:rFonts w:hint="eastAsia" w:ascii="宋体" w:hAnsi="宋体" w:cs="Microsoft Sans Serif"/>
          <w:color w:val="000000" w:themeColor="text1"/>
          <w:kern w:val="0"/>
          <w:szCs w:val="21"/>
          <w14:textFill>
            <w14:solidFill>
              <w14:schemeClr w14:val="tx1"/>
            </w14:solidFill>
          </w14:textFill>
        </w:rPr>
        <w:t>，累计不超过</w:t>
      </w:r>
      <w:r>
        <w:rPr>
          <w:rFonts w:hint="eastAsia" w:ascii="宋体" w:hAnsi="宋体" w:cs="Microsoft Sans Serif"/>
          <w:color w:val="000000" w:themeColor="text1"/>
          <w:kern w:val="0"/>
          <w:szCs w:val="21"/>
          <w:u w:val="single"/>
          <w14:textFill>
            <w14:solidFill>
              <w14:schemeClr w14:val="tx1"/>
            </w14:solidFill>
          </w14:textFill>
        </w:rPr>
        <w:t>200万</w:t>
      </w:r>
      <w:r>
        <w:rPr>
          <w:rFonts w:hint="eastAsia" w:ascii="宋体" w:hAnsi="宋体" w:cs="Microsoft Sans Serif"/>
          <w:color w:val="000000" w:themeColor="text1"/>
          <w:kern w:val="0"/>
          <w:szCs w:val="21"/>
          <w14:textFill>
            <w14:solidFill>
              <w14:schemeClr w14:val="tx1"/>
            </w14:solidFill>
          </w14:textFill>
        </w:rPr>
        <w:t>。</w:t>
      </w:r>
    </w:p>
    <w:p w14:paraId="0BDF84E9">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2）主要技术负责人违约承担方式和计算方法：对于第16.2.1项（12）目的六种情形，每发现一次，根据具体情节，按</w:t>
      </w:r>
      <w:r>
        <w:rPr>
          <w:rFonts w:hint="eastAsia" w:ascii="宋体" w:hAnsi="宋体" w:cs="Microsoft Sans Serif"/>
          <w:color w:val="000000" w:themeColor="text1"/>
          <w:kern w:val="0"/>
          <w:szCs w:val="21"/>
          <w:u w:val="single"/>
          <w14:textFill>
            <w14:solidFill>
              <w14:schemeClr w14:val="tx1"/>
            </w14:solidFill>
          </w14:textFill>
        </w:rPr>
        <w:t>1000元/天·次</w:t>
      </w:r>
      <w:r>
        <w:rPr>
          <w:rFonts w:hint="eastAsia" w:ascii="宋体" w:hAnsi="宋体" w:cs="Microsoft Sans Serif"/>
          <w:color w:val="000000" w:themeColor="text1"/>
          <w:kern w:val="0"/>
          <w:szCs w:val="21"/>
          <w14:textFill>
            <w14:solidFill>
              <w14:schemeClr w14:val="tx1"/>
            </w14:solidFill>
          </w14:textFill>
        </w:rPr>
        <w:t>计算违约金；擅自更换主要技术负责人的，按签约合同价的</w:t>
      </w:r>
      <w:r>
        <w:rPr>
          <w:rFonts w:hint="eastAsia" w:ascii="宋体" w:hAnsi="宋体" w:cs="Microsoft Sans Serif"/>
          <w:color w:val="000000" w:themeColor="text1"/>
          <w:kern w:val="0"/>
          <w:szCs w:val="21"/>
          <w:u w:val="single"/>
          <w14:textFill>
            <w14:solidFill>
              <w14:schemeClr w14:val="tx1"/>
            </w14:solidFill>
          </w14:textFill>
        </w:rPr>
        <w:t>0.5%/人·次</w:t>
      </w:r>
      <w:r>
        <w:rPr>
          <w:rFonts w:hint="eastAsia" w:ascii="宋体" w:hAnsi="宋体" w:cs="Microsoft Sans Serif"/>
          <w:color w:val="000000" w:themeColor="text1"/>
          <w:kern w:val="0"/>
          <w:szCs w:val="21"/>
          <w14:textFill>
            <w14:solidFill>
              <w14:schemeClr w14:val="tx1"/>
            </w14:solidFill>
          </w14:textFill>
        </w:rPr>
        <w:t>支付违约金，每次不低于</w:t>
      </w:r>
      <w:r>
        <w:rPr>
          <w:rFonts w:hint="eastAsia" w:ascii="宋体" w:hAnsi="宋体" w:cs="Microsoft Sans Serif"/>
          <w:color w:val="000000" w:themeColor="text1"/>
          <w:kern w:val="0"/>
          <w:szCs w:val="21"/>
          <w:u w:val="single"/>
          <w14:textFill>
            <w14:solidFill>
              <w14:schemeClr w14:val="tx1"/>
            </w14:solidFill>
          </w14:textFill>
        </w:rPr>
        <w:t>10万</w:t>
      </w:r>
      <w:r>
        <w:rPr>
          <w:rFonts w:hint="eastAsia" w:ascii="宋体" w:hAnsi="宋体" w:cs="Microsoft Sans Serif"/>
          <w:color w:val="000000" w:themeColor="text1"/>
          <w:kern w:val="0"/>
          <w:szCs w:val="21"/>
          <w14:textFill>
            <w14:solidFill>
              <w14:schemeClr w14:val="tx1"/>
            </w14:solidFill>
          </w14:textFill>
        </w:rPr>
        <w:t>，累计不超过</w:t>
      </w:r>
      <w:r>
        <w:rPr>
          <w:rFonts w:hint="eastAsia" w:ascii="宋体" w:hAnsi="宋体" w:cs="Microsoft Sans Serif"/>
          <w:color w:val="000000" w:themeColor="text1"/>
          <w:kern w:val="0"/>
          <w:szCs w:val="21"/>
          <w:u w:val="single"/>
          <w14:textFill>
            <w14:solidFill>
              <w14:schemeClr w14:val="tx1"/>
            </w14:solidFill>
          </w14:textFill>
        </w:rPr>
        <w:t>100万</w:t>
      </w:r>
      <w:r>
        <w:rPr>
          <w:rFonts w:hint="eastAsia" w:ascii="宋体" w:hAnsi="宋体" w:cs="Microsoft Sans Serif"/>
          <w:color w:val="000000" w:themeColor="text1"/>
          <w:kern w:val="0"/>
          <w:szCs w:val="21"/>
          <w14:textFill>
            <w14:solidFill>
              <w14:schemeClr w14:val="tx1"/>
            </w14:solidFill>
          </w14:textFill>
        </w:rPr>
        <w:t>。</w:t>
      </w:r>
    </w:p>
    <w:p w14:paraId="75439873">
      <w:pPr>
        <w:snapToGrid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3）主要施工管理人员违约承担方式和计算方法：对于第16.2.1项（13）目的五种情形，每发现一次，根据具体情节，按</w:t>
      </w:r>
      <w:r>
        <w:rPr>
          <w:rFonts w:hint="eastAsia" w:ascii="宋体" w:hAnsi="宋体" w:cs="Microsoft Sans Serif"/>
          <w:color w:val="000000" w:themeColor="text1"/>
          <w:kern w:val="0"/>
          <w:szCs w:val="21"/>
          <w:u w:val="single"/>
          <w14:textFill>
            <w14:solidFill>
              <w14:schemeClr w14:val="tx1"/>
            </w14:solidFill>
          </w14:textFill>
        </w:rPr>
        <w:t>500元/天·次</w:t>
      </w:r>
      <w:r>
        <w:rPr>
          <w:rFonts w:hint="eastAsia" w:ascii="宋体" w:hAnsi="宋体" w:cs="Microsoft Sans Serif"/>
          <w:color w:val="000000" w:themeColor="text1"/>
          <w:kern w:val="0"/>
          <w:szCs w:val="21"/>
          <w14:textFill>
            <w14:solidFill>
              <w14:schemeClr w14:val="tx1"/>
            </w14:solidFill>
          </w14:textFill>
        </w:rPr>
        <w:t>计算违约金。</w:t>
      </w:r>
    </w:p>
    <w:p w14:paraId="7220BAF7">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（18）</w:t>
      </w:r>
      <w:r>
        <w:rPr>
          <w:rFonts w:hint="eastAsia" w:ascii="宋体" w:hAnsi="宋体" w:cs="Microsoft Sans Serif"/>
          <w:color w:val="000000" w:themeColor="text1"/>
          <w:kern w:val="0"/>
          <w:szCs w:val="21"/>
          <w:u w:val="single"/>
          <w14:textFill>
            <w14:solidFill>
              <w14:schemeClr w14:val="tx1"/>
            </w14:solidFill>
          </w14:textFill>
        </w:rPr>
        <w:t xml:space="preserve">        </w:t>
      </w:r>
      <w:r>
        <w:rPr>
          <w:rFonts w:hint="eastAsia" w:ascii="宋体" w:hAnsi="宋体" w:cs="Microsoft Sans Serif"/>
          <w:color w:val="000000" w:themeColor="text1"/>
          <w:kern w:val="0"/>
          <w:szCs w:val="21"/>
          <w14:textFill>
            <w14:solidFill>
              <w14:schemeClr w14:val="tx1"/>
            </w14:solidFill>
          </w14:textFill>
        </w:rPr>
        <w:t>。</w:t>
      </w:r>
      <w:bookmarkStart w:id="1894" w:name="_Hlk524380347"/>
    </w:p>
    <w:p w14:paraId="0681D54B">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szCs w:val="21"/>
          <w14:textFill>
            <w14:solidFill>
              <w14:schemeClr w14:val="tx1"/>
            </w14:solidFill>
          </w14:textFill>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color w:val="000000" w:themeColor="text1"/>
          <w:kern w:val="0"/>
          <w:szCs w:val="21"/>
          <w14:textFill>
            <w14:solidFill>
              <w14:schemeClr w14:val="tx1"/>
            </w14:solidFill>
          </w14:textFill>
        </w:rPr>
        <w:t>16.2.2项第（1）目承担违约责任</w:t>
      </w:r>
      <w:r>
        <w:rPr>
          <w:rFonts w:hint="eastAsia" w:ascii="宋体" w:hAnsi="宋体" w:cs="Microsoft Sans Serif"/>
          <w:color w:val="000000" w:themeColor="text1"/>
          <w:szCs w:val="21"/>
          <w14:textFill>
            <w14:solidFill>
              <w14:schemeClr w14:val="tx1"/>
            </w14:solidFill>
          </w14:textFill>
        </w:rPr>
        <w:t>，并从应付或到期应付给承包人的任何款项中或采用其他方法，扣除该违约金。</w:t>
      </w:r>
    </w:p>
    <w:p w14:paraId="6A296F8B">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szCs w:val="21"/>
          <w14:textFill>
            <w14:solidFill>
              <w14:schemeClr w14:val="tx1"/>
            </w14:solidFill>
          </w14:textFill>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color w:val="000000" w:themeColor="text1"/>
          <w:kern w:val="0"/>
          <w:szCs w:val="21"/>
          <w14:textFill>
            <w14:solidFill>
              <w14:schemeClr w14:val="tx1"/>
            </w14:solidFill>
          </w14:textFill>
        </w:rPr>
        <w:t>，承担由此给</w:t>
      </w:r>
      <w:r>
        <w:rPr>
          <w:rFonts w:hint="eastAsia" w:ascii="宋体" w:hAnsi="宋体" w:cs="Microsoft Sans Serif"/>
          <w:color w:val="000000" w:themeColor="text1"/>
          <w:szCs w:val="21"/>
          <w14:textFill>
            <w14:solidFill>
              <w14:schemeClr w14:val="tx1"/>
            </w14:solidFill>
          </w14:textFill>
        </w:rPr>
        <w:t>发包人造成的经济损失。</w:t>
      </w:r>
    </w:p>
    <w:p w14:paraId="5251423B">
      <w:pPr>
        <w:snapToGrid w:val="0"/>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szCs w:val="21"/>
          <w14:textFill>
            <w14:solidFill>
              <w14:schemeClr w14:val="tx1"/>
            </w14:solidFill>
          </w14:textFill>
        </w:rPr>
        <w:t>承包人承担承包范围的工程质量、安全、环保责任，因承包人原因引起的质量、安全、环保等事故由承包人承担相应的法律后果。</w:t>
      </w:r>
    </w:p>
    <w:bookmarkEnd w:id="1894"/>
    <w:p w14:paraId="5599490F">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16.2.3 因承包人违约解除合同</w:t>
      </w:r>
    </w:p>
    <w:p w14:paraId="325FED54">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因承包人违约并致使合同目的不能实现的，发包人有权解除合同：</w:t>
      </w:r>
    </w:p>
    <w:p w14:paraId="53DC522E">
      <w:pPr>
        <w:pStyle w:val="107"/>
        <w:spacing w:line="360" w:lineRule="auto"/>
        <w:jc w:val="left"/>
        <w:rPr>
          <w:rFonts w:hint="eastAsia" w:ascii="宋体" w:hAnsi="宋体" w:cs="Microsoft Sans Serif"/>
          <w:color w:val="000000" w:themeColor="text1"/>
          <w:kern w:val="0"/>
          <w:sz w:val="21"/>
          <w:szCs w:val="21"/>
          <w14:textFill>
            <w14:solidFill>
              <w14:schemeClr w14:val="tx1"/>
            </w14:solidFill>
          </w14:textFill>
        </w:rPr>
      </w:pPr>
      <w:r>
        <w:rPr>
          <w:rFonts w:hint="eastAsia" w:ascii="宋体" w:hAnsi="宋体" w:cs="Microsoft Sans Serif"/>
          <w:color w:val="000000" w:themeColor="text1"/>
          <w:kern w:val="0"/>
          <w:sz w:val="21"/>
          <w:szCs w:val="21"/>
          <w14:textFill>
            <w14:solidFill>
              <w14:schemeClr w14:val="tx1"/>
            </w14:solidFill>
          </w14:textFill>
        </w:rPr>
        <w:t>（1）未按合同约定延迟提供履约担保、质量保证金超过14天的；</w:t>
      </w:r>
    </w:p>
    <w:p w14:paraId="4858FC13">
      <w:pPr>
        <w:pStyle w:val="107"/>
        <w:spacing w:line="360" w:lineRule="auto"/>
        <w:jc w:val="left"/>
        <w:rPr>
          <w:rFonts w:hint="eastAsia" w:ascii="宋体" w:hAnsi="宋体" w:cs="Microsoft Sans Serif"/>
          <w:color w:val="000000" w:themeColor="text1"/>
          <w:kern w:val="0"/>
          <w:sz w:val="21"/>
          <w:szCs w:val="21"/>
          <w14:textFill>
            <w14:solidFill>
              <w14:schemeClr w14:val="tx1"/>
            </w14:solidFill>
          </w14:textFill>
        </w:rPr>
      </w:pPr>
      <w:r>
        <w:rPr>
          <w:rFonts w:hint="eastAsia" w:ascii="宋体" w:hAnsi="宋体" w:cs="Microsoft Sans Serif"/>
          <w:color w:val="000000" w:themeColor="text1"/>
          <w:kern w:val="0"/>
          <w:sz w:val="21"/>
          <w:szCs w:val="21"/>
          <w14:textFill>
            <w14:solidFill>
              <w14:schemeClr w14:val="tx1"/>
            </w14:solidFill>
          </w14:textFill>
        </w:rPr>
        <w:t>（2）未按合同约定购买保险且经催告后超过56天的；</w:t>
      </w:r>
    </w:p>
    <w:p w14:paraId="67850BF0">
      <w:pPr>
        <w:pStyle w:val="107"/>
        <w:spacing w:line="360" w:lineRule="auto"/>
        <w:jc w:val="left"/>
        <w:rPr>
          <w:rFonts w:hint="eastAsia" w:ascii="宋体" w:hAnsi="宋体" w:cs="Microsoft Sans Serif"/>
          <w:color w:val="000000" w:themeColor="text1"/>
          <w:kern w:val="0"/>
          <w:sz w:val="21"/>
          <w:szCs w:val="21"/>
          <w14:textFill>
            <w14:solidFill>
              <w14:schemeClr w14:val="tx1"/>
            </w14:solidFill>
          </w14:textFill>
        </w:rPr>
      </w:pPr>
      <w:r>
        <w:rPr>
          <w:rFonts w:hint="eastAsia" w:ascii="宋体" w:hAnsi="宋体" w:cs="Microsoft Sans Serif"/>
          <w:color w:val="000000" w:themeColor="text1"/>
          <w:kern w:val="0"/>
          <w:sz w:val="21"/>
          <w:szCs w:val="21"/>
          <w14:textFill>
            <w14:solidFill>
              <w14:schemeClr w14:val="tx1"/>
            </w14:solidFill>
          </w14:textFill>
        </w:rPr>
        <w:t>（3）因承包人原因导致开工时间累计延误超过56天的；</w:t>
      </w:r>
    </w:p>
    <w:p w14:paraId="197F2FC1">
      <w:pPr>
        <w:pStyle w:val="107"/>
        <w:spacing w:line="360" w:lineRule="auto"/>
        <w:jc w:val="left"/>
        <w:rPr>
          <w:rFonts w:hint="eastAsia" w:ascii="宋体" w:hAnsi="宋体" w:cs="Microsoft Sans Serif"/>
          <w:color w:val="000000" w:themeColor="text1"/>
          <w:kern w:val="0"/>
          <w:sz w:val="21"/>
          <w:szCs w:val="21"/>
          <w14:textFill>
            <w14:solidFill>
              <w14:schemeClr w14:val="tx1"/>
            </w14:solidFill>
          </w14:textFill>
        </w:rPr>
      </w:pPr>
      <w:r>
        <w:rPr>
          <w:rFonts w:hint="eastAsia" w:ascii="宋体" w:hAnsi="宋体" w:cs="Microsoft Sans Serif"/>
          <w:color w:val="000000" w:themeColor="text1"/>
          <w:kern w:val="0"/>
          <w:sz w:val="21"/>
          <w:szCs w:val="21"/>
          <w14:textFill>
            <w14:solidFill>
              <w14:schemeClr w14:val="tx1"/>
            </w14:solidFill>
          </w14:textFill>
        </w:rPr>
        <w:t>（4）因承包人原因导致工期延误超过90天的；</w:t>
      </w:r>
    </w:p>
    <w:p w14:paraId="17E179BF">
      <w:pPr>
        <w:pStyle w:val="107"/>
        <w:spacing w:line="360" w:lineRule="auto"/>
        <w:jc w:val="left"/>
        <w:rPr>
          <w:rFonts w:hint="eastAsia" w:ascii="宋体" w:hAnsi="宋体" w:cs="Microsoft Sans Serif"/>
          <w:color w:val="000000" w:themeColor="text1"/>
          <w:kern w:val="0"/>
          <w:sz w:val="21"/>
          <w:szCs w:val="21"/>
          <w14:textFill>
            <w14:solidFill>
              <w14:schemeClr w14:val="tx1"/>
            </w14:solidFill>
          </w14:textFill>
        </w:rPr>
      </w:pPr>
      <w:r>
        <w:rPr>
          <w:rFonts w:hint="eastAsia" w:ascii="宋体" w:hAnsi="宋体" w:cs="Microsoft Sans Serif"/>
          <w:color w:val="000000" w:themeColor="text1"/>
          <w:kern w:val="0"/>
          <w:sz w:val="21"/>
          <w:szCs w:val="21"/>
          <w14:textFill>
            <w14:solidFill>
              <w14:schemeClr w14:val="tx1"/>
            </w14:solidFill>
          </w14:textFill>
        </w:rPr>
        <w:t>（5）发生第21.2款〔退出机制〕约定的情形的；</w:t>
      </w:r>
    </w:p>
    <w:p w14:paraId="74AE9637">
      <w:pPr>
        <w:pStyle w:val="107"/>
        <w:spacing w:line="360" w:lineRule="auto"/>
        <w:jc w:val="left"/>
        <w:rPr>
          <w:rFonts w:hint="eastAsia" w:ascii="宋体" w:hAnsi="宋体" w:cs="Microsoft Sans Serif"/>
          <w:color w:val="000000" w:themeColor="text1"/>
          <w:kern w:val="0"/>
          <w:sz w:val="21"/>
          <w:szCs w:val="21"/>
          <w14:textFill>
            <w14:solidFill>
              <w14:schemeClr w14:val="tx1"/>
            </w14:solidFill>
          </w14:textFill>
        </w:rPr>
      </w:pPr>
      <w:r>
        <w:rPr>
          <w:rFonts w:hint="eastAsia" w:ascii="宋体" w:hAnsi="宋体" w:cs="Microsoft Sans Serif"/>
          <w:color w:val="000000" w:themeColor="text1"/>
          <w:kern w:val="0"/>
          <w:sz w:val="21"/>
          <w:szCs w:val="21"/>
          <w14:textFill>
            <w14:solidFill>
              <w14:schemeClr w14:val="tx1"/>
            </w14:solidFill>
          </w14:textFill>
        </w:rPr>
        <w:t>（6）监理人发出整改通知后，承包人在监理人限定的期限内仍不纠正违约行为的；</w:t>
      </w:r>
    </w:p>
    <w:p w14:paraId="79121CEE">
      <w:pPr>
        <w:pStyle w:val="107"/>
        <w:spacing w:line="360" w:lineRule="auto"/>
        <w:jc w:val="left"/>
        <w:rPr>
          <w:rFonts w:hint="eastAsia" w:ascii="宋体" w:hAnsi="宋体" w:cs="Microsoft Sans Serif"/>
          <w:color w:val="000000" w:themeColor="text1"/>
          <w:kern w:val="0"/>
          <w:sz w:val="21"/>
          <w:szCs w:val="21"/>
          <w14:textFill>
            <w14:solidFill>
              <w14:schemeClr w14:val="tx1"/>
            </w14:solidFill>
          </w14:textFill>
        </w:rPr>
      </w:pPr>
      <w:r>
        <w:rPr>
          <w:rFonts w:hint="eastAsia" w:ascii="宋体" w:hAnsi="宋体" w:cs="Microsoft Sans Serif"/>
          <w:color w:val="000000" w:themeColor="text1"/>
          <w:kern w:val="0"/>
          <w:sz w:val="21"/>
          <w:szCs w:val="21"/>
          <w14:textFill>
            <w14:solidFill>
              <w14:schemeClr w14:val="tx1"/>
            </w14:solidFill>
          </w14:textFill>
        </w:rPr>
        <w:t>（7）承包人进入清算或者严重资不抵债且无法履行合同的；</w:t>
      </w:r>
    </w:p>
    <w:p w14:paraId="34AFEE2E">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（8）违反适用法律而被相关政府部门依法吊销营业执照、责令停业、清算或宣布破产、责令关闭的；</w:t>
      </w:r>
    </w:p>
    <w:p w14:paraId="4ABB3D36">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（9）承包人未履行合同项下的义务构成对合同的实质性违约，并且在收到发包人要求说明其违约并予以补救的通知后56天内仍未能补救该实质性违约的；</w:t>
      </w:r>
    </w:p>
    <w:p w14:paraId="46116769">
      <w:pPr>
        <w:pStyle w:val="107"/>
        <w:spacing w:line="360" w:lineRule="auto"/>
        <w:jc w:val="left"/>
        <w:rPr>
          <w:rFonts w:hint="eastAsia" w:ascii="宋体" w:hAnsi="宋体" w:cs="Microsoft Sans Serif"/>
          <w:color w:val="000000" w:themeColor="text1"/>
          <w:kern w:val="0"/>
          <w:sz w:val="21"/>
          <w:szCs w:val="21"/>
          <w14:textFill>
            <w14:solidFill>
              <w14:schemeClr w14:val="tx1"/>
            </w14:solidFill>
          </w14:textFill>
        </w:rPr>
      </w:pPr>
      <w:r>
        <w:rPr>
          <w:rFonts w:hint="eastAsia" w:ascii="宋体" w:hAnsi="宋体" w:cs="Microsoft Sans Serif"/>
          <w:color w:val="000000" w:themeColor="text1"/>
          <w:kern w:val="0"/>
          <w:sz w:val="21"/>
          <w:szCs w:val="21"/>
          <w14:textFill>
            <w14:solidFill>
              <w14:schemeClr w14:val="tx1"/>
            </w14:solidFill>
          </w14:textFill>
        </w:rPr>
        <w:t>（10）</w:t>
      </w:r>
      <w:r>
        <w:rPr>
          <w:rFonts w:hint="eastAsia" w:ascii="宋体" w:hAnsi="宋体" w:cs="Microsoft Sans Serif"/>
          <w:color w:val="000000" w:themeColor="text1"/>
          <w:kern w:val="0"/>
          <w:sz w:val="21"/>
          <w:szCs w:val="21"/>
          <w:u w:val="single"/>
          <w14:textFill>
            <w14:solidFill>
              <w14:schemeClr w14:val="tx1"/>
            </w14:solidFill>
          </w14:textFill>
        </w:rPr>
        <w:t>合同约定的发包人有权解除合同的其他情形</w:t>
      </w:r>
      <w:r>
        <w:rPr>
          <w:rFonts w:hint="eastAsia" w:ascii="宋体" w:hAnsi="宋体" w:cs="Microsoft Sans Serif"/>
          <w:color w:val="000000" w:themeColor="text1"/>
          <w:kern w:val="0"/>
          <w:sz w:val="21"/>
          <w:szCs w:val="21"/>
          <w14:textFill>
            <w14:solidFill>
              <w14:schemeClr w14:val="tx1"/>
            </w14:solidFill>
          </w14:textFill>
        </w:rPr>
        <w:t>。</w:t>
      </w:r>
    </w:p>
    <w:p w14:paraId="2CC0BF96">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16.2.4因承包人违约解除合同后的处理</w:t>
      </w:r>
    </w:p>
    <w:p w14:paraId="3FD3033D">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因承包人违约导致合同解除的，合同当事人应在</w:t>
      </w:r>
      <w:r>
        <w:rPr>
          <w:rFonts w:hint="eastAsia" w:ascii="宋体" w:hAnsi="宋体" w:cs="Microsoft Sans Serif"/>
          <w:color w:val="000000" w:themeColor="text1"/>
          <w:kern w:val="0"/>
          <w:szCs w:val="21"/>
          <w:u w:val="single"/>
          <w14:textFill>
            <w14:solidFill>
              <w14:schemeClr w14:val="tx1"/>
            </w14:solidFill>
          </w14:textFill>
        </w:rPr>
        <w:t>合同解除后28天内</w:t>
      </w:r>
      <w:r>
        <w:rPr>
          <w:rFonts w:hint="eastAsia" w:ascii="宋体" w:hAnsi="宋体" w:cs="Microsoft Sans Serif"/>
          <w:color w:val="000000" w:themeColor="text1"/>
          <w:kern w:val="0"/>
          <w:szCs w:val="21"/>
          <w14:textFill>
            <w14:solidFill>
              <w14:schemeClr w14:val="tx1"/>
            </w14:solidFill>
          </w14:textFill>
        </w:rPr>
        <w:t>完成估价、付款和清算，并按以下约定执行：</w:t>
      </w:r>
    </w:p>
    <w:p w14:paraId="1339609E">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（1）合同解除后，按第14.2款结算审定方式确定承包人实际完成工作对应的合同价款，以及承包人已提供的材料、工程设备、施工设备和临时工程等的价值；</w:t>
      </w:r>
    </w:p>
    <w:p w14:paraId="0C1EBBDF">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（2）合同解除后，承包人应支付违约金；</w:t>
      </w:r>
    </w:p>
    <w:p w14:paraId="48CE046F">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（3）合同解除后，赔偿因解除合同给发包人造成的损失；</w:t>
      </w:r>
    </w:p>
    <w:p w14:paraId="330E7E76">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（4）合同解除后，承包人应按照发包人要求和监理人的指示完成现场的清理和撤离。</w:t>
      </w:r>
    </w:p>
    <w:p w14:paraId="1A3C90E3">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（5）</w:t>
      </w:r>
      <w:r>
        <w:rPr>
          <w:rFonts w:hint="eastAsia" w:ascii="宋体" w:hAnsi="宋体" w:cs="Microsoft Sans Serif"/>
          <w:color w:val="000000" w:themeColor="text1"/>
          <w:kern w:val="0"/>
          <w:szCs w:val="21"/>
          <w:u w:val="single"/>
          <w14:textFill>
            <w14:solidFill>
              <w14:schemeClr w14:val="tx1"/>
            </w14:solidFill>
          </w14:textFill>
        </w:rPr>
        <w:t xml:space="preserve">        </w:t>
      </w:r>
      <w:r>
        <w:rPr>
          <w:rFonts w:hint="eastAsia" w:ascii="宋体" w:hAnsi="宋体" w:cs="Microsoft Sans Serif"/>
          <w:color w:val="000000" w:themeColor="text1"/>
          <w:kern w:val="0"/>
          <w:szCs w:val="21"/>
          <w14:textFill>
            <w14:solidFill>
              <w14:schemeClr w14:val="tx1"/>
            </w14:solidFill>
          </w14:textFill>
        </w:rPr>
        <w:t>。</w:t>
      </w:r>
    </w:p>
    <w:p w14:paraId="232A413F">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因承包人违约导致解除合同的，发包人有权暂停对承包人的付款，查清各项付款和已扣款项。发包人和承包人未能就合同解除后的清算和款项支付达成一致的，按照第20条〔争议解决〕的约定处理。</w:t>
      </w:r>
    </w:p>
    <w:p w14:paraId="5F29B7FB">
      <w:pPr>
        <w:spacing w:line="360" w:lineRule="auto"/>
        <w:ind w:firstLine="420" w:firstLineChars="200"/>
        <w:jc w:val="left"/>
        <w:rPr>
          <w:rFonts w:hint="eastAsia" w:ascii="宋体" w:hAnsi="宋体" w:cs="Microsoft Sans Serif"/>
          <w:color w:val="000000" w:themeColor="text1"/>
          <w:kern w:val="0"/>
          <w:szCs w:val="21"/>
          <w14:textFill>
            <w14:solidFill>
              <w14:schemeClr w14:val="tx1"/>
            </w14:solidFill>
          </w14:textFill>
        </w:rPr>
      </w:pPr>
      <w:r>
        <w:rPr>
          <w:rFonts w:hint="eastAsia" w:ascii="宋体" w:hAnsi="宋体" w:cs="Microsoft Sans Serif"/>
          <w:color w:val="000000" w:themeColor="text1"/>
          <w:kern w:val="0"/>
          <w:szCs w:val="21"/>
          <w14:textFill>
            <w14:solidFill>
              <w14:schemeClr w14:val="tx1"/>
            </w14:solidFill>
          </w14:textFill>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881"/>
    <w:bookmarkEnd w:id="1882"/>
    <w:p w14:paraId="44BC88D8">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895" w:name="_Toc532377404"/>
      <w:bookmarkStart w:id="1896" w:name="_Toc532375665"/>
      <w:bookmarkStart w:id="1897" w:name="_Toc351203649"/>
      <w:r>
        <w:rPr>
          <w:rFonts w:hint="eastAsia"/>
          <w:color w:val="000000" w:themeColor="text1"/>
          <w:kern w:val="2"/>
          <w:sz w:val="21"/>
          <w:szCs w:val="21"/>
          <w14:textFill>
            <w14:solidFill>
              <w14:schemeClr w14:val="tx1"/>
            </w14:solidFill>
          </w14:textFill>
        </w:rPr>
        <w:t>17. 不可抗力</w:t>
      </w:r>
      <w:bookmarkEnd w:id="1895"/>
      <w:bookmarkEnd w:id="1896"/>
      <w:bookmarkEnd w:id="1897"/>
    </w:p>
    <w:p w14:paraId="51FEDBFF">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898" w:name="_Toc532377405"/>
      <w:bookmarkStart w:id="1899" w:name="_Toc532375666"/>
      <w:r>
        <w:rPr>
          <w:rFonts w:hint="eastAsia"/>
          <w:color w:val="000000" w:themeColor="text1"/>
          <w:sz w:val="21"/>
          <w:szCs w:val="21"/>
          <w14:textFill>
            <w14:solidFill>
              <w14:schemeClr w14:val="tx1"/>
            </w14:solidFill>
          </w14:textFill>
        </w:rPr>
        <w:t>17.1 不可抗力的确认</w:t>
      </w:r>
      <w:bookmarkEnd w:id="1898"/>
      <w:bookmarkEnd w:id="1899"/>
    </w:p>
    <w:p w14:paraId="0AF8A19F">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除通用合同条款约定的不可抗力事件之外，视为不可抗力的其他情形：</w:t>
      </w:r>
      <w:bookmarkStart w:id="1900" w:name="_Hlk524379638"/>
    </w:p>
    <w:p w14:paraId="60121D3B">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（1）洪水、火山爆发、山崩、山体滑坡、泥石流、龙卷风、隧道内不可预测的突发性地质灾害等自然灾害；</w:t>
      </w:r>
    </w:p>
    <w:p w14:paraId="526A2050">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（2）骚乱、戒严、封锁、禁运、恐怖行为、等社会行为，但承包人或其分包人派遣与雇佣的人员由于合同工程施工原因引起的除外；</w:t>
      </w:r>
    </w:p>
    <w:p w14:paraId="7B4A5183">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（3）不能合理预见的重大交通阻滞、停运、交通事故，非双方责任引起的火灾、爆炸、船舶撞击等情形；</w:t>
      </w:r>
    </w:p>
    <w:p w14:paraId="403B4F4C">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（4）化学或放射性污染或核辐射；</w:t>
      </w:r>
    </w:p>
    <w:p w14:paraId="23F6B65D">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（5）环保治理等政府行为导致项目停工的。</w:t>
      </w:r>
      <w:bookmarkEnd w:id="1900"/>
    </w:p>
    <w:p w14:paraId="5F4CC872">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0BBD282F">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901" w:name="_Toc532375667"/>
      <w:bookmarkStart w:id="1902" w:name="_Toc532377406"/>
      <w:bookmarkStart w:id="1903" w:name="_Toc351203610"/>
      <w:bookmarkStart w:id="1904" w:name="_Toc337558826"/>
      <w:bookmarkStart w:id="1905" w:name="_Toc296503119"/>
      <w:bookmarkStart w:id="1906" w:name="_Toc296346620"/>
      <w:r>
        <w:rPr>
          <w:rFonts w:hint="eastAsia"/>
          <w:color w:val="000000" w:themeColor="text1"/>
          <w:sz w:val="21"/>
          <w:szCs w:val="21"/>
          <w14:textFill>
            <w14:solidFill>
              <w14:schemeClr w14:val="tx1"/>
            </w14:solidFill>
          </w14:textFill>
        </w:rPr>
        <w:t>17.3 不可抗力后果的承担</w:t>
      </w:r>
      <w:bookmarkEnd w:id="1901"/>
      <w:bookmarkEnd w:id="1902"/>
      <w:bookmarkEnd w:id="1903"/>
    </w:p>
    <w:bookmarkEnd w:id="1904"/>
    <w:bookmarkEnd w:id="1905"/>
    <w:bookmarkEnd w:id="1906"/>
    <w:p w14:paraId="3E682BE0">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17.3.1 不可抗力引起的后果及造成的损失由合同当事人按照法律规定及合同约定各自承担。不可抗力发生前已完成的工程应当按照合同约定进行计量支付。</w:t>
      </w:r>
    </w:p>
    <w:p w14:paraId="3C470109">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17.3.2 不可抗力导致的人员伤亡、财产损失、费用增加和（或）工期延误等后果，由合同当事人按以下原则承担：</w:t>
      </w:r>
    </w:p>
    <w:p w14:paraId="037C75EC">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（1）永久工程、已运至施工现场的施工材料和工程设备的损坏，以及因工程损坏造成的第三方人员伤亡和财产损失由发包人承担；</w:t>
      </w:r>
    </w:p>
    <w:p w14:paraId="3821E1F2">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（2）承包人施工设备的损坏由承包人承担；</w:t>
      </w:r>
    </w:p>
    <w:p w14:paraId="23D1D23E">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（3）发包人和承包人承担各自人员伤亡和财产的损失；</w:t>
      </w:r>
    </w:p>
    <w:p w14:paraId="4CB9F1A6">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（4）因不可抗力影响承包人履行合同约定的义务，已经引起或将引起工期延误的，应当顺延工期，由此导致承包人停工的费用损失由发包人和承包人合理共担；</w:t>
      </w:r>
    </w:p>
    <w:p w14:paraId="590EDFF5">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（5）因不可抗力引起或将引起工期延误，发包人要求赶工的，由此增加的赶工费用由发包人承担；</w:t>
      </w:r>
    </w:p>
    <w:p w14:paraId="2ECDC85E">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（6）承包人在停工期间按照发包人要求照管、清理和修复工程的费用由发包人承担；</w:t>
      </w:r>
    </w:p>
    <w:p w14:paraId="59A3ED6A">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（7）不可抗力事件发生后，合同当事人均应采取措施尽量避免和减少损失的扩大，任何一方当事人没有采取有效措施导致损失扩大的，应对扩大的损失承担责任。</w:t>
      </w:r>
    </w:p>
    <w:p w14:paraId="7A7F9A2B">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16A85344">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907" w:name="_Toc532375668"/>
      <w:bookmarkStart w:id="1908" w:name="_Toc532377407"/>
      <w:r>
        <w:rPr>
          <w:rFonts w:hint="eastAsia"/>
          <w:color w:val="000000" w:themeColor="text1"/>
          <w:sz w:val="21"/>
          <w:szCs w:val="21"/>
          <w14:textFill>
            <w14:solidFill>
              <w14:schemeClr w14:val="tx1"/>
            </w14:solidFill>
          </w14:textFill>
        </w:rPr>
        <w:t>17.4 因不可抗力解除合同</w:t>
      </w:r>
      <w:bookmarkEnd w:id="1907"/>
      <w:bookmarkEnd w:id="1908"/>
    </w:p>
    <w:p w14:paraId="394013EF">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合同解除后，发包人应在商定或确定发包人应支付款项后</w:t>
      </w:r>
      <w:r>
        <w:rPr>
          <w:rFonts w:hint="eastAsia" w:ascii="宋体" w:hAnsi="宋体"/>
          <w:color w:val="000000" w:themeColor="text1"/>
          <w:szCs w:val="21"/>
          <w:u w:val="single"/>
          <w14:textFill>
            <w14:solidFill>
              <w14:schemeClr w14:val="tx1"/>
            </w14:solidFill>
          </w14:textFill>
        </w:rPr>
        <w:t>28</w:t>
      </w:r>
      <w:r>
        <w:rPr>
          <w:rFonts w:hint="eastAsia" w:ascii="宋体" w:hAnsi="宋体"/>
          <w:color w:val="000000" w:themeColor="text1"/>
          <w:szCs w:val="21"/>
          <w14:textFill>
            <w14:solidFill>
              <w14:schemeClr w14:val="tx1"/>
            </w14:solidFill>
          </w14:textFill>
        </w:rPr>
        <w:t>天内完成款项的支付。</w:t>
      </w:r>
    </w:p>
    <w:p w14:paraId="04A74334">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909" w:name="_Toc351203650"/>
      <w:bookmarkStart w:id="1910" w:name="_Toc532377408"/>
      <w:bookmarkStart w:id="1911" w:name="_Toc532375669"/>
      <w:r>
        <w:rPr>
          <w:rFonts w:hint="eastAsia"/>
          <w:color w:val="000000" w:themeColor="text1"/>
          <w:kern w:val="2"/>
          <w:sz w:val="21"/>
          <w:szCs w:val="21"/>
          <w14:textFill>
            <w14:solidFill>
              <w14:schemeClr w14:val="tx1"/>
            </w14:solidFill>
          </w14:textFill>
        </w:rPr>
        <w:t>18. 保险</w:t>
      </w:r>
      <w:bookmarkEnd w:id="1909"/>
      <w:bookmarkEnd w:id="1910"/>
      <w:bookmarkEnd w:id="1911"/>
    </w:p>
    <w:p w14:paraId="687780E3">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912" w:name="_Toc532377409"/>
      <w:bookmarkStart w:id="1913" w:name="_Toc532375670"/>
      <w:r>
        <w:rPr>
          <w:rFonts w:hint="eastAsia"/>
          <w:color w:val="000000" w:themeColor="text1"/>
          <w:sz w:val="21"/>
          <w:szCs w:val="21"/>
          <w14:textFill>
            <w14:solidFill>
              <w14:schemeClr w14:val="tx1"/>
            </w14:solidFill>
          </w14:textFill>
        </w:rPr>
        <w:t>18.1 工程保险</w:t>
      </w:r>
      <w:bookmarkEnd w:id="1912"/>
      <w:bookmarkEnd w:id="1913"/>
    </w:p>
    <w:p w14:paraId="30B2EF97">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关于工程保险的特别约定：发包人应投保</w:t>
      </w:r>
      <w:r>
        <w:rPr>
          <w:rFonts w:hint="eastAsia" w:ascii="宋体" w:hAnsi="宋体"/>
          <w:color w:val="000000" w:themeColor="text1"/>
          <w:szCs w:val="21"/>
          <w:u w:val="single"/>
          <w14:textFill>
            <w14:solidFill>
              <w14:schemeClr w14:val="tx1"/>
            </w14:solidFill>
          </w14:textFill>
        </w:rPr>
        <w:t>建筑工程一切险或安装工程一切险</w:t>
      </w:r>
      <w:r>
        <w:rPr>
          <w:rFonts w:hint="eastAsia" w:ascii="宋体" w:hAnsi="宋体"/>
          <w:color w:val="000000" w:themeColor="text1"/>
          <w:szCs w:val="21"/>
          <w14:textFill>
            <w14:solidFill>
              <w14:schemeClr w14:val="tx1"/>
            </w14:solidFill>
          </w14:textFill>
        </w:rPr>
        <w:t>；发包人委托承包人投保的，因投保产生的保险费和其他相关费用由发包人承担。</w:t>
      </w:r>
    </w:p>
    <w:p w14:paraId="1AEDB12A">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914" w:name="_Toc532375671"/>
      <w:bookmarkStart w:id="1915" w:name="_Toc532377410"/>
      <w:r>
        <w:rPr>
          <w:rFonts w:hint="eastAsia"/>
          <w:color w:val="000000" w:themeColor="text1"/>
          <w:sz w:val="21"/>
          <w:szCs w:val="21"/>
          <w14:textFill>
            <w14:solidFill>
              <w14:schemeClr w14:val="tx1"/>
            </w14:solidFill>
          </w14:textFill>
        </w:rPr>
        <w:t>18.3 其他保险</w:t>
      </w:r>
      <w:bookmarkEnd w:id="1914"/>
      <w:bookmarkEnd w:id="1915"/>
    </w:p>
    <w:p w14:paraId="7DEC67E4">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关于其他保险的约定：</w:t>
      </w:r>
      <w:r>
        <w:rPr>
          <w:rFonts w:hint="eastAsia"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56DF423B">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承包人是否应为其施工设备等办理财产保险：</w:t>
      </w:r>
      <w:r>
        <w:rPr>
          <w:rFonts w:hint="eastAsia"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2E71D86B">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安全生产责任险：</w:t>
      </w:r>
      <w:r>
        <w:rPr>
          <w:rFonts w:hint="eastAsia" w:ascii="宋体" w:hAnsi="宋体"/>
          <w:color w:val="000000" w:themeColor="text1"/>
          <w:szCs w:val="21"/>
          <w:u w:val="single"/>
          <w14:textFill>
            <w14:solidFill>
              <w14:schemeClr w14:val="tx1"/>
            </w14:solidFill>
          </w14:textFill>
        </w:rPr>
        <w:t>承包人应按《重庆市人民政府办公厅关于在高危行业领域强制推行安全生产责任保险的实施意见》（渝府办法〔2017〕182号）的要求办理安全生产责任保险</w:t>
      </w:r>
      <w:r>
        <w:rPr>
          <w:rFonts w:hint="eastAsia" w:ascii="宋体" w:hAnsi="宋体"/>
          <w:color w:val="000000" w:themeColor="text1"/>
          <w:szCs w:val="21"/>
          <w14:textFill>
            <w14:solidFill>
              <w14:schemeClr w14:val="tx1"/>
            </w14:solidFill>
          </w14:textFill>
        </w:rPr>
        <w:t>。</w:t>
      </w:r>
    </w:p>
    <w:p w14:paraId="749A43C2">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916" w:name="_Toc532377411"/>
      <w:bookmarkStart w:id="1917" w:name="_Toc532375672"/>
      <w:r>
        <w:rPr>
          <w:rFonts w:hint="eastAsia"/>
          <w:color w:val="000000" w:themeColor="text1"/>
          <w:sz w:val="21"/>
          <w:szCs w:val="21"/>
          <w14:textFill>
            <w14:solidFill>
              <w14:schemeClr w14:val="tx1"/>
            </w14:solidFill>
          </w14:textFill>
        </w:rPr>
        <w:t>18.7 通知义务</w:t>
      </w:r>
      <w:bookmarkEnd w:id="1916"/>
      <w:bookmarkEnd w:id="1917"/>
    </w:p>
    <w:p w14:paraId="006C8019">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关于变更保险合同时的通知义务的约定：</w:t>
      </w:r>
      <w:r>
        <w:rPr>
          <w:rFonts w:hint="eastAsia" w:ascii="宋体" w:hAnsi="宋体"/>
          <w:color w:val="000000" w:themeColor="text1"/>
          <w:szCs w:val="21"/>
          <w:u w:val="single"/>
          <w14:textFill>
            <w14:solidFill>
              <w14:schemeClr w14:val="tx1"/>
            </w14:solidFill>
          </w14:textFill>
        </w:rPr>
        <w:t>按通用合同条款执行</w:t>
      </w:r>
      <w:r>
        <w:rPr>
          <w:rFonts w:hint="eastAsia" w:ascii="宋体" w:hAnsi="宋体"/>
          <w:color w:val="000000" w:themeColor="text1"/>
          <w:szCs w:val="21"/>
          <w14:textFill>
            <w14:solidFill>
              <w14:schemeClr w14:val="tx1"/>
            </w14:solidFill>
          </w14:textFill>
        </w:rPr>
        <w:t>。</w:t>
      </w:r>
    </w:p>
    <w:p w14:paraId="258DD79D">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918" w:name="_Toc532377412"/>
      <w:bookmarkStart w:id="1919" w:name="_Toc532375673"/>
      <w:r>
        <w:rPr>
          <w:rFonts w:hint="eastAsia"/>
          <w:color w:val="000000" w:themeColor="text1"/>
          <w:sz w:val="21"/>
          <w:szCs w:val="21"/>
          <w14:textFill>
            <w14:solidFill>
              <w14:schemeClr w14:val="tx1"/>
            </w14:solidFill>
          </w14:textFill>
        </w:rPr>
        <w:t>18.8 其他</w:t>
      </w:r>
      <w:bookmarkEnd w:id="1918"/>
      <w:bookmarkEnd w:id="1919"/>
    </w:p>
    <w:p w14:paraId="0554BC19">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18.8.1 工程开工日前，承包人向发包人提交各项生效的保险证据和保险单副本。未按本项约定提交的，每延后1天，承包人按500元/天支付违约金。</w:t>
      </w:r>
    </w:p>
    <w:p w14:paraId="53C49150">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18.8.2 承包人保险赔偿金不足以补偿发包人损失时，</w:t>
      </w:r>
      <w:bookmarkStart w:id="1920" w:name="_Hlk524378346"/>
      <w:r>
        <w:rPr>
          <w:rFonts w:hint="eastAsia" w:ascii="宋体" w:hAnsi="宋体"/>
          <w:color w:val="000000" w:themeColor="text1"/>
          <w:szCs w:val="21"/>
          <w14:textFill>
            <w14:solidFill>
              <w14:schemeClr w14:val="tx1"/>
            </w14:solidFill>
          </w14:textFill>
        </w:rPr>
        <w:t>差额由承包人负责补足</w:t>
      </w:r>
      <w:bookmarkEnd w:id="1920"/>
      <w:r>
        <w:rPr>
          <w:rFonts w:hint="eastAsia" w:ascii="宋体" w:hAnsi="宋体"/>
          <w:color w:val="000000" w:themeColor="text1"/>
          <w:szCs w:val="21"/>
          <w14:textFill>
            <w14:solidFill>
              <w14:schemeClr w14:val="tx1"/>
            </w14:solidFill>
          </w14:textFill>
        </w:rPr>
        <w:t>。</w:t>
      </w:r>
    </w:p>
    <w:p w14:paraId="1E155CE9">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921" w:name="_Toc532377413"/>
      <w:bookmarkStart w:id="1922" w:name="_Toc532375674"/>
      <w:bookmarkStart w:id="1923" w:name="_Toc351203620"/>
      <w:bookmarkStart w:id="1924" w:name="_Toc296503140"/>
      <w:bookmarkStart w:id="1925" w:name="_Toc337558835"/>
      <w:bookmarkStart w:id="1926" w:name="_Toc296346641"/>
      <w:r>
        <w:rPr>
          <w:rFonts w:hint="eastAsia"/>
          <w:color w:val="000000" w:themeColor="text1"/>
          <w:kern w:val="2"/>
          <w:sz w:val="21"/>
          <w:szCs w:val="21"/>
          <w14:textFill>
            <w14:solidFill>
              <w14:schemeClr w14:val="tx1"/>
            </w14:solidFill>
          </w14:textFill>
        </w:rPr>
        <w:t>19. 索赔</w:t>
      </w:r>
      <w:bookmarkEnd w:id="1921"/>
      <w:bookmarkEnd w:id="1922"/>
      <w:bookmarkEnd w:id="1923"/>
    </w:p>
    <w:bookmarkEnd w:id="1924"/>
    <w:bookmarkEnd w:id="1925"/>
    <w:bookmarkEnd w:id="1926"/>
    <w:p w14:paraId="3B2984BE">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927" w:name="_Toc532377414"/>
      <w:bookmarkStart w:id="1928" w:name="_Toc532375675"/>
      <w:bookmarkStart w:id="1929" w:name="_Toc296503141"/>
      <w:bookmarkStart w:id="1930" w:name="_Toc351203621"/>
      <w:bookmarkStart w:id="1931" w:name="_Toc296346642"/>
      <w:bookmarkStart w:id="1932" w:name="_Toc337558836"/>
      <w:r>
        <w:rPr>
          <w:rFonts w:hint="eastAsia"/>
          <w:color w:val="000000" w:themeColor="text1"/>
          <w:sz w:val="21"/>
          <w:szCs w:val="21"/>
          <w14:textFill>
            <w14:solidFill>
              <w14:schemeClr w14:val="tx1"/>
            </w14:solidFill>
          </w14:textFill>
        </w:rPr>
        <w:t>19.1 承包人的索赔</w:t>
      </w:r>
      <w:bookmarkEnd w:id="1927"/>
      <w:bookmarkEnd w:id="1928"/>
    </w:p>
    <w:p w14:paraId="54B89F8B">
      <w:pPr>
        <w:autoSpaceDE w:val="0"/>
        <w:autoSpaceDN w:val="0"/>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根据合同约定，承包人认为有权得到追加付款和（或）延长工期的，应按以下程序向发包人提出索赔：</w:t>
      </w:r>
    </w:p>
    <w:p w14:paraId="6A67C1A1">
      <w:pPr>
        <w:autoSpaceDE w:val="0"/>
        <w:autoSpaceDN w:val="0"/>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（1）承包人应在索赔事件发生后28天内，向监理人递交索赔意向通知书，并说明发生索赔事件的事由；承包人未在前述28天内发出索赔意向通知书的，丧失要求追加付款和（或）延长工期的权利；</w:t>
      </w:r>
    </w:p>
    <w:p w14:paraId="706F01DB">
      <w:pPr>
        <w:autoSpaceDE w:val="0"/>
        <w:autoSpaceDN w:val="0"/>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（2）承包人应在发出索赔意向通知书后28天内，向监理人正式递交索赔报告；索赔报告应详细说明索赔理由以及要求追加的付款金额和（或）延长的工期，并附必要的记录和证明材料；</w:t>
      </w:r>
    </w:p>
    <w:p w14:paraId="32594B2D">
      <w:pPr>
        <w:autoSpaceDE w:val="0"/>
        <w:autoSpaceDN w:val="0"/>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（3）索赔事件具有持续影响的，承包人应按监理人要求的合理时间间隔继续递交延续索赔通知，说明持续影响的实际情况和记录，列出累计的追加付款金额和（或）工期延长天数；</w:t>
      </w:r>
    </w:p>
    <w:p w14:paraId="67FA6E54">
      <w:pPr>
        <w:autoSpaceDE w:val="0"/>
        <w:autoSpaceDN w:val="0"/>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（4）在索赔事件影响结束后28天内，承包人应向监理人递交最终索赔报告，说明最终要求索赔的追加付款金额和（或）延长的工期，并附必要的记录和证明材料。</w:t>
      </w:r>
    </w:p>
    <w:p w14:paraId="6D040645">
      <w:pPr>
        <w:autoSpaceDE w:val="0"/>
        <w:autoSpaceDN w:val="0"/>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2C349631">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933" w:name="_Toc532375676"/>
      <w:bookmarkStart w:id="1934" w:name="_Toc532377415"/>
      <w:r>
        <w:rPr>
          <w:rFonts w:hint="eastAsia"/>
          <w:color w:val="000000" w:themeColor="text1"/>
          <w:sz w:val="21"/>
          <w:szCs w:val="21"/>
          <w14:textFill>
            <w14:solidFill>
              <w14:schemeClr w14:val="tx1"/>
            </w14:solidFill>
          </w14:textFill>
        </w:rPr>
        <w:t>19.2 对承包人索赔的处理</w:t>
      </w:r>
      <w:bookmarkEnd w:id="1933"/>
      <w:bookmarkEnd w:id="1934"/>
    </w:p>
    <w:p w14:paraId="32CF3FB8">
      <w:pPr>
        <w:autoSpaceDE w:val="0"/>
        <w:autoSpaceDN w:val="0"/>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对承包人索赔的处理如下：</w:t>
      </w:r>
    </w:p>
    <w:p w14:paraId="339BAD0C">
      <w:pPr>
        <w:autoSpaceDE w:val="0"/>
        <w:autoSpaceDN w:val="0"/>
        <w:spacing w:line="360" w:lineRule="auto"/>
        <w:ind w:right="105" w:rightChars="50"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（1）监理人应在收到索赔报告后14天内完成审查并报送发包人。监理人对索赔报告存在异议的，有权要求承包人提交全部原始记录副本</w:t>
      </w:r>
      <w:r>
        <w:rPr>
          <w:rFonts w:hint="eastAsia" w:ascii="宋体" w:hAnsi="宋体"/>
          <w:color w:val="000000" w:themeColor="text1"/>
          <w:szCs w:val="21"/>
          <w14:textFill>
            <w14:solidFill>
              <w14:schemeClr w14:val="tx1"/>
            </w14:solidFill>
          </w14:textFill>
        </w:rPr>
        <w:t>；</w:t>
      </w:r>
    </w:p>
    <w:p w14:paraId="26E1D978">
      <w:pPr>
        <w:autoSpaceDE w:val="0"/>
        <w:autoSpaceDN w:val="0"/>
        <w:spacing w:line="360" w:lineRule="auto"/>
        <w:ind w:right="105" w:rightChars="50"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color w:val="000000" w:themeColor="text1"/>
          <w:szCs w:val="21"/>
          <w14:textFill>
            <w14:solidFill>
              <w14:schemeClr w14:val="tx1"/>
            </w14:solidFill>
          </w14:textFill>
        </w:rPr>
        <w:t>；</w:t>
      </w:r>
    </w:p>
    <w:p w14:paraId="7B44DC9F">
      <w:pPr>
        <w:autoSpaceDE w:val="0"/>
        <w:autoSpaceDN w:val="0"/>
        <w:spacing w:line="360" w:lineRule="auto"/>
        <w:ind w:right="105" w:rightChars="50"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（3）承包人接受索赔处理结果的，索赔款项在当期进度款中进行支付；承包人不接受索赔处理结果的，按照第20条〔争议解决〕约定处理</w:t>
      </w:r>
      <w:r>
        <w:rPr>
          <w:rFonts w:hint="eastAsia" w:ascii="宋体" w:hAnsi="宋体"/>
          <w:color w:val="000000" w:themeColor="text1"/>
          <w:szCs w:val="21"/>
          <w14:textFill>
            <w14:solidFill>
              <w14:schemeClr w14:val="tx1"/>
            </w14:solidFill>
          </w14:textFill>
        </w:rPr>
        <w:t>；</w:t>
      </w:r>
    </w:p>
    <w:p w14:paraId="010BB068">
      <w:pPr>
        <w:autoSpaceDE w:val="0"/>
        <w:autoSpaceDN w:val="0"/>
        <w:spacing w:line="360" w:lineRule="auto"/>
        <w:ind w:right="105" w:rightChars="50"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（4）工期延误的关键线路按照经监理人、发包人审批同意的施工组织设计计算</w:t>
      </w:r>
      <w:r>
        <w:rPr>
          <w:rFonts w:hint="eastAsia" w:ascii="宋体" w:hAnsi="宋体"/>
          <w:color w:val="000000" w:themeColor="text1"/>
          <w:szCs w:val="21"/>
          <w14:textFill>
            <w14:solidFill>
              <w14:schemeClr w14:val="tx1"/>
            </w14:solidFill>
          </w14:textFill>
        </w:rPr>
        <w:t>。</w:t>
      </w:r>
    </w:p>
    <w:p w14:paraId="190AF56C">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935" w:name="_Toc532375677"/>
      <w:bookmarkStart w:id="1936" w:name="_Toc532377416"/>
      <w:r>
        <w:rPr>
          <w:rFonts w:hint="eastAsia"/>
          <w:color w:val="000000" w:themeColor="text1"/>
          <w:sz w:val="21"/>
          <w:szCs w:val="21"/>
          <w14:textFill>
            <w14:solidFill>
              <w14:schemeClr w14:val="tx1"/>
            </w14:solidFill>
          </w14:textFill>
        </w:rPr>
        <w:t>19.3发包人的索赔</w:t>
      </w:r>
      <w:bookmarkEnd w:id="1935"/>
      <w:bookmarkEnd w:id="1936"/>
    </w:p>
    <w:p w14:paraId="4DD51700">
      <w:pPr>
        <w:autoSpaceDE w:val="0"/>
        <w:autoSpaceDN w:val="0"/>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根据合同约定，发包人认为有权得到赔付金额和（或）延长缺陷责任期的，监理人应向承包人发出通知并附有详细的证明。</w:t>
      </w:r>
    </w:p>
    <w:p w14:paraId="58604C4A">
      <w:pPr>
        <w:autoSpaceDE w:val="0"/>
        <w:autoSpaceDN w:val="0"/>
        <w:spacing w:line="360" w:lineRule="auto"/>
        <w:ind w:right="105" w:rightChars="50"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937" w:name="_Hlk528652769"/>
      <w:r>
        <w:rPr>
          <w:rFonts w:hint="eastAsia" w:ascii="宋体" w:hAnsi="宋体"/>
          <w:color w:val="000000" w:themeColor="text1"/>
          <w:szCs w:val="21"/>
          <w14:textFill>
            <w14:solidFill>
              <w14:schemeClr w14:val="tx1"/>
            </w14:solidFill>
          </w14:textFill>
        </w:rPr>
        <w:t>通过监理人向承包人正式递交最终索赔报告</w:t>
      </w:r>
      <w:bookmarkEnd w:id="1937"/>
      <w:r>
        <w:rPr>
          <w:rFonts w:hint="eastAsia" w:ascii="宋体" w:hAnsi="宋体"/>
          <w:color w:val="000000" w:themeColor="text1"/>
          <w:szCs w:val="21"/>
          <w14:textFill>
            <w14:solidFill>
              <w14:schemeClr w14:val="tx1"/>
            </w14:solidFill>
          </w14:textFill>
        </w:rPr>
        <w:t>。</w:t>
      </w:r>
    </w:p>
    <w:p w14:paraId="505D969C">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938" w:name="_Toc532377417"/>
      <w:bookmarkStart w:id="1939" w:name="_Toc532375678"/>
      <w:r>
        <w:rPr>
          <w:rFonts w:hint="eastAsia"/>
          <w:color w:val="000000" w:themeColor="text1"/>
          <w:sz w:val="21"/>
          <w:szCs w:val="21"/>
          <w14:textFill>
            <w14:solidFill>
              <w14:schemeClr w14:val="tx1"/>
            </w14:solidFill>
          </w14:textFill>
        </w:rPr>
        <w:t>19.4 对发包人索赔的处理</w:t>
      </w:r>
      <w:bookmarkEnd w:id="1938"/>
      <w:bookmarkEnd w:id="1939"/>
    </w:p>
    <w:p w14:paraId="113C90CA">
      <w:pPr>
        <w:autoSpaceDE w:val="0"/>
        <w:autoSpaceDN w:val="0"/>
        <w:spacing w:line="360" w:lineRule="auto"/>
        <w:ind w:right="105" w:rightChars="50"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对发包人索赔的处理如下：</w:t>
      </w:r>
    </w:p>
    <w:p w14:paraId="09A9292E">
      <w:pPr>
        <w:autoSpaceDE w:val="0"/>
        <w:autoSpaceDN w:val="0"/>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（1）承包人收到发包人提交的索赔报告后，应及时审查索赔报告的内容、查验发包人证明材料；</w:t>
      </w:r>
    </w:p>
    <w:p w14:paraId="0B8C5776">
      <w:pPr>
        <w:autoSpaceDE w:val="0"/>
        <w:autoSpaceDN w:val="0"/>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1DC2F3AA">
      <w:pPr>
        <w:autoSpaceDE w:val="0"/>
        <w:autoSpaceDN w:val="0"/>
        <w:spacing w:line="360" w:lineRule="auto"/>
        <w:ind w:right="105" w:rightChars="50" w:firstLine="420" w:firstLineChars="200"/>
        <w:jc w:val="lef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（3）承包人接受索赔处理结果的，发包人可从应支付给承包人的合同价款中扣除赔付的金额或延长缺陷责任期；发包人不接受索赔处理结果的，按第20条〔争议解决〕约定处理。</w:t>
      </w:r>
    </w:p>
    <w:p w14:paraId="564A0E6F">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940" w:name="_Toc532375679"/>
      <w:bookmarkStart w:id="1941" w:name="_Toc532377418"/>
      <w:bookmarkStart w:id="1942" w:name="_Hlk528928420"/>
      <w:r>
        <w:rPr>
          <w:rFonts w:hint="eastAsia"/>
          <w:color w:val="000000" w:themeColor="text1"/>
          <w:sz w:val="21"/>
          <w:szCs w:val="21"/>
          <w14:textFill>
            <w14:solidFill>
              <w14:schemeClr w14:val="tx1"/>
            </w14:solidFill>
          </w14:textFill>
        </w:rPr>
        <w:t>19.5 提出索赔的期限</w:t>
      </w:r>
      <w:bookmarkEnd w:id="1940"/>
      <w:bookmarkEnd w:id="1941"/>
    </w:p>
    <w:p w14:paraId="1BC3606C">
      <w:pPr>
        <w:autoSpaceDE w:val="0"/>
        <w:autoSpaceDN w:val="0"/>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bookmarkStart w:id="1943" w:name="_Hlk524298376"/>
      <w:r>
        <w:rPr>
          <w:rFonts w:hint="eastAsia" w:ascii="宋体" w:hAnsi="宋体"/>
          <w:color w:val="000000" w:themeColor="text1"/>
          <w:szCs w:val="21"/>
          <w14:textFill>
            <w14:solidFill>
              <w14:schemeClr w14:val="tx1"/>
            </w14:solidFill>
          </w14:textFill>
        </w:rPr>
        <w:t>任一索赔事件发生后28天内，承包人/发包人未向对方发出索赔意向通知书的，视为其已放弃索赔权，无权再就该索赔事项提出任何索赔。</w:t>
      </w:r>
    </w:p>
    <w:bookmarkEnd w:id="1929"/>
    <w:bookmarkEnd w:id="1930"/>
    <w:bookmarkEnd w:id="1931"/>
    <w:bookmarkEnd w:id="1932"/>
    <w:bookmarkEnd w:id="1942"/>
    <w:bookmarkEnd w:id="1943"/>
    <w:p w14:paraId="3A0A9133">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944" w:name="_Toc532377419"/>
      <w:bookmarkStart w:id="1945" w:name="_Toc532375680"/>
      <w:bookmarkStart w:id="1946" w:name="_Toc351203651"/>
      <w:r>
        <w:rPr>
          <w:rFonts w:hint="eastAsia"/>
          <w:color w:val="000000" w:themeColor="text1"/>
          <w:kern w:val="2"/>
          <w:sz w:val="21"/>
          <w:szCs w:val="21"/>
          <w14:textFill>
            <w14:solidFill>
              <w14:schemeClr w14:val="tx1"/>
            </w14:solidFill>
          </w14:textFill>
        </w:rPr>
        <w:t>20. 争议解决</w:t>
      </w:r>
      <w:bookmarkEnd w:id="1944"/>
      <w:bookmarkEnd w:id="1945"/>
      <w:bookmarkEnd w:id="1946"/>
    </w:p>
    <w:p w14:paraId="3F3A19D0">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947" w:name="_Toc532377420"/>
      <w:bookmarkStart w:id="1948" w:name="_Toc532375681"/>
      <w:r>
        <w:rPr>
          <w:rFonts w:hint="eastAsia"/>
          <w:color w:val="000000" w:themeColor="text1"/>
          <w:sz w:val="21"/>
          <w:szCs w:val="21"/>
          <w14:textFill>
            <w14:solidFill>
              <w14:schemeClr w14:val="tx1"/>
            </w14:solidFill>
          </w14:textFill>
        </w:rPr>
        <w:t>20.3 争议评审</w:t>
      </w:r>
      <w:bookmarkEnd w:id="1947"/>
      <w:bookmarkEnd w:id="1948"/>
    </w:p>
    <w:p w14:paraId="72D4A854">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合同当事人是否同意将工程争议提交争议评审小组决定：</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41B58B34">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949" w:name="_Toc532375682"/>
      <w:bookmarkStart w:id="1950" w:name="_Toc532377421"/>
      <w:r>
        <w:rPr>
          <w:rFonts w:hint="eastAsia"/>
          <w:color w:val="000000" w:themeColor="text1"/>
          <w:sz w:val="21"/>
          <w:szCs w:val="21"/>
          <w14:textFill>
            <w14:solidFill>
              <w14:schemeClr w14:val="tx1"/>
            </w14:solidFill>
          </w14:textFill>
        </w:rPr>
        <w:t>20.4 仲裁或诉讼</w:t>
      </w:r>
      <w:bookmarkEnd w:id="1949"/>
      <w:bookmarkEnd w:id="1950"/>
    </w:p>
    <w:p w14:paraId="3CCFDA76">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因合同及合同有关事项发生的争议，按下列第</w:t>
      </w:r>
      <w:r>
        <w:rPr>
          <w:rFonts w:hint="eastAsia" w:ascii="宋体" w:hAnsi="宋体"/>
          <w:color w:val="000000" w:themeColor="text1"/>
          <w:szCs w:val="21"/>
          <w:u w:val="single"/>
          <w14:textFill>
            <w14:solidFill>
              <w14:schemeClr w14:val="tx1"/>
            </w14:solidFill>
          </w14:textFill>
        </w:rPr>
        <w:t xml:space="preserve"> （2）  </w:t>
      </w:r>
      <w:r>
        <w:rPr>
          <w:rFonts w:hint="eastAsia" w:ascii="宋体" w:hAnsi="宋体"/>
          <w:color w:val="000000" w:themeColor="text1"/>
          <w:szCs w:val="21"/>
          <w14:textFill>
            <w14:solidFill>
              <w14:schemeClr w14:val="tx1"/>
            </w14:solidFill>
          </w14:textFill>
        </w:rPr>
        <w:t>种方式解决：</w:t>
      </w:r>
    </w:p>
    <w:p w14:paraId="07AAECC6">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（1）向</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仲裁委员会申请仲裁；</w:t>
      </w:r>
    </w:p>
    <w:p w14:paraId="5B89B39D">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（2）向</w:t>
      </w: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项目所在地  </w:t>
      </w:r>
      <w:r>
        <w:rPr>
          <w:rFonts w:ascii="宋体" w:hAnsi="宋体"/>
          <w:color w:val="000000" w:themeColor="text1"/>
          <w:szCs w:val="21"/>
          <w14:textFill>
            <w14:solidFill>
              <w14:schemeClr w14:val="tx1"/>
            </w14:solidFill>
          </w14:textFill>
        </w:rPr>
        <w:t>人民法院起诉。</w:t>
      </w:r>
    </w:p>
    <w:p w14:paraId="49B96BF0">
      <w:pPr>
        <w:pStyle w:val="6"/>
        <w:keepNext/>
        <w:keepLines/>
        <w:spacing w:before="156" w:beforeLines="50" w:beforeAutospacing="0" w:after="156" w:afterLines="50" w:afterAutospacing="0" w:line="360" w:lineRule="auto"/>
        <w:jc w:val="both"/>
        <w:rPr>
          <w:rFonts w:hint="eastAsia"/>
          <w:bCs w:val="0"/>
          <w:color w:val="000000" w:themeColor="text1"/>
          <w:kern w:val="2"/>
          <w:sz w:val="21"/>
          <w:szCs w:val="21"/>
          <w14:textFill>
            <w14:solidFill>
              <w14:schemeClr w14:val="tx1"/>
            </w14:solidFill>
          </w14:textFill>
        </w:rPr>
      </w:pPr>
      <w:bookmarkStart w:id="1951" w:name="_Toc532375683"/>
      <w:bookmarkStart w:id="1952" w:name="_Toc532377422"/>
      <w:r>
        <w:rPr>
          <w:rFonts w:hint="eastAsia"/>
          <w:color w:val="000000" w:themeColor="text1"/>
          <w:kern w:val="2"/>
          <w:sz w:val="21"/>
          <w:szCs w:val="21"/>
          <w14:textFill>
            <w14:solidFill>
              <w14:schemeClr w14:val="tx1"/>
            </w14:solidFill>
          </w14:textFill>
        </w:rPr>
        <w:t>21. 补充条款</w:t>
      </w:r>
      <w:bookmarkEnd w:id="1951"/>
      <w:bookmarkEnd w:id="1952"/>
    </w:p>
    <w:p w14:paraId="377655FA">
      <w:pPr>
        <w:pStyle w:val="7"/>
        <w:spacing w:before="0" w:beforeAutospacing="0" w:after="0" w:afterAutospacing="0" w:line="360" w:lineRule="auto"/>
        <w:ind w:firstLine="420" w:firstLineChars="200"/>
        <w:rPr>
          <w:rFonts w:hint="eastAsia"/>
          <w:color w:val="000000" w:themeColor="text1"/>
          <w:sz w:val="21"/>
          <w:szCs w:val="21"/>
          <w14:textFill>
            <w14:solidFill>
              <w14:schemeClr w14:val="tx1"/>
            </w14:solidFill>
          </w14:textFill>
        </w:rPr>
      </w:pPr>
      <w:bookmarkStart w:id="1953" w:name="_Toc532377423"/>
      <w:bookmarkStart w:id="1954" w:name="_Toc532375684"/>
      <w:r>
        <w:rPr>
          <w:rFonts w:hint="eastAsia"/>
          <w:color w:val="000000" w:themeColor="text1"/>
          <w:sz w:val="21"/>
          <w:szCs w:val="21"/>
          <w14:textFill>
            <w14:solidFill>
              <w14:schemeClr w14:val="tx1"/>
            </w14:solidFill>
          </w14:textFill>
        </w:rPr>
        <w:t>21.1 退出机制</w:t>
      </w:r>
      <w:bookmarkEnd w:id="1953"/>
      <w:bookmarkEnd w:id="1954"/>
    </w:p>
    <w:p w14:paraId="045D643C">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21.1.1有下列情形之一的，发包人有权解除合同，亦有权兑付履约担保，并对承包人做清退出场处理</w:t>
      </w:r>
      <w:r>
        <w:rPr>
          <w:rFonts w:hint="eastAsia" w:ascii="宋体" w:hAnsi="宋体"/>
          <w:color w:val="000000" w:themeColor="text1"/>
          <w:kern w:val="0"/>
          <w:szCs w:val="21"/>
          <w14:textFill>
            <w14:solidFill>
              <w14:schemeClr w14:val="tx1"/>
            </w14:solidFill>
          </w14:textFill>
        </w:rPr>
        <w:t>：</w:t>
      </w:r>
    </w:p>
    <w:p w14:paraId="68A8D40D">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（1）因承包人原因造成较大及以上等级生产安全事故或工程质量事故的；</w:t>
      </w:r>
    </w:p>
    <w:p w14:paraId="0A1B35DB">
      <w:pPr>
        <w:spacing w:line="360" w:lineRule="auto"/>
        <w:ind w:right="105" w:rightChars="50"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（2）因承包人债权债务纠纷或其他纠纷导致工程无法正常施工的。</w:t>
      </w:r>
    </w:p>
    <w:p w14:paraId="6019052A">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w:t>
      </w:r>
      <w:r>
        <w:rPr>
          <w:rFonts w:hint="eastAsia"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w:t>
      </w:r>
    </w:p>
    <w:p w14:paraId="3ADA9CFF">
      <w:pPr>
        <w:pStyle w:val="2"/>
        <w:spacing w:after="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21.1.2有下列情形之一的，承包人有权解除合同，并按16.1.4约定执行：</w:t>
      </w:r>
    </w:p>
    <w:p w14:paraId="64EB585C">
      <w:pPr>
        <w:pStyle w:val="2"/>
        <w:spacing w:after="0"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（1）因发包人征地、拆迁、补偿、审批手续等原因致使本工程延期开工超过90天的。</w:t>
      </w:r>
    </w:p>
    <w:p w14:paraId="2549D16D">
      <w:pPr>
        <w:spacing w:line="360" w:lineRule="auto"/>
        <w:ind w:right="105" w:rightChars="50"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w:t>
      </w:r>
      <w:r>
        <w:rPr>
          <w:rFonts w:hint="eastAsia"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w:t>
      </w:r>
    </w:p>
    <w:bookmarkEnd w:id="1249"/>
    <w:p w14:paraId="42869330">
      <w:pPr>
        <w:pStyle w:val="6"/>
        <w:keepNext/>
        <w:keepLines/>
        <w:spacing w:before="0" w:beforeAutospacing="0" w:after="0" w:afterAutospacing="0" w:line="360" w:lineRule="auto"/>
        <w:jc w:val="both"/>
        <w:rPr>
          <w:rFonts w:hint="eastAsia"/>
          <w:bCs w:val="0"/>
          <w:color w:val="000000" w:themeColor="text1"/>
          <w:kern w:val="2"/>
          <w:sz w:val="21"/>
          <w:szCs w:val="21"/>
          <w14:textFill>
            <w14:solidFill>
              <w14:schemeClr w14:val="tx1"/>
            </w14:solidFill>
          </w14:textFill>
        </w:rPr>
      </w:pPr>
      <w:bookmarkStart w:id="1955" w:name="baidusnap3"/>
      <w:bookmarkEnd w:id="1955"/>
      <w:bookmarkStart w:id="1956" w:name="baidusnap7"/>
      <w:bookmarkEnd w:id="1956"/>
      <w:bookmarkStart w:id="1957" w:name="_Toc532377425"/>
      <w:bookmarkStart w:id="1958" w:name="_Toc532375686"/>
      <w:bookmarkStart w:id="1959" w:name="_Toc351203652"/>
      <w:r>
        <w:rPr>
          <w:rFonts w:hint="eastAsia"/>
          <w:color w:val="000000" w:themeColor="text1"/>
          <w:kern w:val="2"/>
          <w:sz w:val="21"/>
          <w:szCs w:val="21"/>
          <w14:textFill>
            <w14:solidFill>
              <w14:schemeClr w14:val="tx1"/>
            </w14:solidFill>
          </w14:textFill>
        </w:rPr>
        <w:t>21. 合同附件</w:t>
      </w:r>
      <w:bookmarkEnd w:id="1957"/>
      <w:bookmarkEnd w:id="1958"/>
    </w:p>
    <w:p w14:paraId="66683B49">
      <w:pPr>
        <w:spacing w:line="360"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协议书附件：</w:t>
      </w:r>
    </w:p>
    <w:p w14:paraId="2F8F28A8">
      <w:pPr>
        <w:spacing w:line="360"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附件1：承包人承揽工程项目一览表</w:t>
      </w:r>
    </w:p>
    <w:p w14:paraId="397909D8">
      <w:pPr>
        <w:spacing w:line="360"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专用合同条款附件：</w:t>
      </w:r>
    </w:p>
    <w:p w14:paraId="1FA37CCA">
      <w:pPr>
        <w:spacing w:line="360"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附件2：发包人供应材料设备一览表</w:t>
      </w:r>
    </w:p>
    <w:p w14:paraId="76544A37">
      <w:pPr>
        <w:spacing w:line="360"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附件3：工程质量保修书</w:t>
      </w:r>
    </w:p>
    <w:p w14:paraId="28C11E08">
      <w:pPr>
        <w:spacing w:line="360"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附件4：主要建设工程文件目录</w:t>
      </w:r>
    </w:p>
    <w:p w14:paraId="034E63D5">
      <w:pPr>
        <w:spacing w:line="360"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附件5：承包人用于本工程施工的机械设备表</w:t>
      </w:r>
    </w:p>
    <w:p w14:paraId="47BC5381">
      <w:pPr>
        <w:spacing w:line="360"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附件6：承包人主要施工管理人员表</w:t>
      </w:r>
    </w:p>
    <w:p w14:paraId="73AA904A">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附件7：暂估价一览表</w:t>
      </w:r>
    </w:p>
    <w:bookmarkEnd w:id="1959"/>
    <w:p w14:paraId="256C75BE">
      <w:pPr>
        <w:spacing w:line="360" w:lineRule="auto"/>
        <w:jc w:val="left"/>
        <w:rPr>
          <w:rFonts w:hint="eastAsia" w:ascii="宋体" w:hAnsi="宋体"/>
          <w:color w:val="000000" w:themeColor="text1"/>
          <w:szCs w:val="21"/>
          <w14:textFill>
            <w14:solidFill>
              <w14:schemeClr w14:val="tx1"/>
            </w14:solidFill>
          </w14:textFill>
        </w:rPr>
        <w:sectPr>
          <w:pgSz w:w="11906" w:h="16838"/>
          <w:pgMar w:top="1418" w:right="1274" w:bottom="1418" w:left="1134" w:header="851" w:footer="992" w:gutter="0"/>
          <w:cols w:space="720" w:num="1"/>
          <w:titlePg/>
          <w:docGrid w:type="linesAndChars" w:linePitch="312" w:charSpace="0"/>
        </w:sectPr>
      </w:pPr>
    </w:p>
    <w:p w14:paraId="5A345617">
      <w:pPr>
        <w:spacing w:before="156" w:beforeLines="50" w:after="156" w:afterLines="50" w:line="44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附件1</w:t>
      </w:r>
    </w:p>
    <w:p w14:paraId="64B5DA80">
      <w:pPr>
        <w:spacing w:before="156" w:beforeLines="50" w:after="156" w:afterLines="50" w:line="44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承包人承揽工程项目一览表</w:t>
      </w:r>
    </w:p>
    <w:tbl>
      <w:tblPr>
        <w:tblStyle w:val="45"/>
        <w:tblpPr w:leftFromText="180" w:rightFromText="180" w:vertAnchor="text" w:horzAnchor="page" w:tblpX="1015" w:tblpY="584"/>
        <w:tblOverlap w:val="never"/>
        <w:tblW w:w="1460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46E738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277" w:type="dxa"/>
            <w:tcBorders>
              <w:top w:val="single" w:color="auto" w:sz="12" w:space="0"/>
              <w:bottom w:val="double" w:color="auto" w:sz="6" w:space="0"/>
            </w:tcBorders>
            <w:vAlign w:val="center"/>
          </w:tcPr>
          <w:p w14:paraId="4A9CD87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单位工程名称</w:t>
            </w:r>
          </w:p>
        </w:tc>
        <w:tc>
          <w:tcPr>
            <w:tcW w:w="1843" w:type="dxa"/>
            <w:tcBorders>
              <w:top w:val="single" w:color="auto" w:sz="12" w:space="0"/>
              <w:bottom w:val="double" w:color="auto" w:sz="6" w:space="0"/>
            </w:tcBorders>
            <w:vAlign w:val="center"/>
          </w:tcPr>
          <w:p w14:paraId="2463E0C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建设规模</w:t>
            </w:r>
          </w:p>
        </w:tc>
        <w:tc>
          <w:tcPr>
            <w:tcW w:w="1417" w:type="dxa"/>
            <w:tcBorders>
              <w:top w:val="single" w:color="auto" w:sz="12" w:space="0"/>
              <w:bottom w:val="double" w:color="auto" w:sz="6" w:space="0"/>
            </w:tcBorders>
            <w:vAlign w:val="center"/>
          </w:tcPr>
          <w:p w14:paraId="3D67947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建筑面积(平方米)</w:t>
            </w:r>
          </w:p>
        </w:tc>
        <w:tc>
          <w:tcPr>
            <w:tcW w:w="2410" w:type="dxa"/>
            <w:tcBorders>
              <w:top w:val="single" w:color="auto" w:sz="12" w:space="0"/>
              <w:bottom w:val="double" w:color="auto" w:sz="6" w:space="0"/>
            </w:tcBorders>
            <w:vAlign w:val="center"/>
          </w:tcPr>
          <w:p w14:paraId="4585202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结构形式</w:t>
            </w:r>
          </w:p>
        </w:tc>
        <w:tc>
          <w:tcPr>
            <w:tcW w:w="850" w:type="dxa"/>
            <w:tcBorders>
              <w:top w:val="single" w:color="auto" w:sz="12" w:space="0"/>
              <w:bottom w:val="double" w:color="auto" w:sz="6" w:space="0"/>
            </w:tcBorders>
            <w:vAlign w:val="center"/>
          </w:tcPr>
          <w:p w14:paraId="1E4BC84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层数</w:t>
            </w:r>
          </w:p>
        </w:tc>
        <w:tc>
          <w:tcPr>
            <w:tcW w:w="1560" w:type="dxa"/>
            <w:tcBorders>
              <w:top w:val="single" w:color="auto" w:sz="12" w:space="0"/>
              <w:bottom w:val="double" w:color="auto" w:sz="6" w:space="0"/>
            </w:tcBorders>
            <w:vAlign w:val="center"/>
          </w:tcPr>
          <w:p w14:paraId="47BAC03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生产能力</w:t>
            </w:r>
          </w:p>
        </w:tc>
        <w:tc>
          <w:tcPr>
            <w:tcW w:w="2126" w:type="dxa"/>
            <w:tcBorders>
              <w:top w:val="single" w:color="auto" w:sz="12" w:space="0"/>
              <w:bottom w:val="double" w:color="auto" w:sz="6" w:space="0"/>
            </w:tcBorders>
            <w:vAlign w:val="center"/>
          </w:tcPr>
          <w:p w14:paraId="58956D4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设备安装内容</w:t>
            </w:r>
          </w:p>
        </w:tc>
        <w:tc>
          <w:tcPr>
            <w:tcW w:w="1417" w:type="dxa"/>
            <w:tcBorders>
              <w:top w:val="single" w:color="auto" w:sz="12" w:space="0"/>
              <w:bottom w:val="double" w:color="auto" w:sz="6" w:space="0"/>
            </w:tcBorders>
            <w:vAlign w:val="center"/>
          </w:tcPr>
          <w:p w14:paraId="05A67C5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合同价格（元）</w:t>
            </w:r>
          </w:p>
        </w:tc>
        <w:tc>
          <w:tcPr>
            <w:tcW w:w="851" w:type="dxa"/>
            <w:tcBorders>
              <w:top w:val="single" w:color="auto" w:sz="12" w:space="0"/>
              <w:bottom w:val="double" w:color="auto" w:sz="6" w:space="0"/>
            </w:tcBorders>
            <w:vAlign w:val="center"/>
          </w:tcPr>
          <w:p w14:paraId="77DDD1A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开工日期</w:t>
            </w:r>
          </w:p>
        </w:tc>
        <w:tc>
          <w:tcPr>
            <w:tcW w:w="850" w:type="dxa"/>
            <w:tcBorders>
              <w:top w:val="single" w:color="auto" w:sz="12" w:space="0"/>
              <w:bottom w:val="double" w:color="auto" w:sz="6" w:space="0"/>
            </w:tcBorders>
            <w:vAlign w:val="center"/>
          </w:tcPr>
          <w:p w14:paraId="3FD87D7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竣工日期</w:t>
            </w:r>
          </w:p>
        </w:tc>
      </w:tr>
      <w:tr w14:paraId="1949E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14:paraId="7199C09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843" w:type="dxa"/>
            <w:tcBorders>
              <w:top w:val="double" w:color="auto" w:sz="6" w:space="0"/>
              <w:bottom w:val="single" w:color="auto" w:sz="6" w:space="0"/>
            </w:tcBorders>
            <w:vAlign w:val="center"/>
          </w:tcPr>
          <w:p w14:paraId="638A85E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tcBorders>
              <w:top w:val="double" w:color="auto" w:sz="6" w:space="0"/>
              <w:bottom w:val="single" w:color="auto" w:sz="6" w:space="0"/>
            </w:tcBorders>
            <w:vAlign w:val="center"/>
          </w:tcPr>
          <w:p w14:paraId="4A3CA25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410" w:type="dxa"/>
            <w:tcBorders>
              <w:top w:val="double" w:color="auto" w:sz="6" w:space="0"/>
              <w:bottom w:val="single" w:color="auto" w:sz="6" w:space="0"/>
            </w:tcBorders>
            <w:vAlign w:val="center"/>
          </w:tcPr>
          <w:p w14:paraId="1E366EA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tcBorders>
              <w:top w:val="double" w:color="auto" w:sz="6" w:space="0"/>
              <w:bottom w:val="single" w:color="auto" w:sz="6" w:space="0"/>
            </w:tcBorders>
            <w:vAlign w:val="center"/>
          </w:tcPr>
          <w:p w14:paraId="2F287B3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560" w:type="dxa"/>
            <w:tcBorders>
              <w:top w:val="double" w:color="auto" w:sz="6" w:space="0"/>
              <w:bottom w:val="single" w:color="auto" w:sz="6" w:space="0"/>
            </w:tcBorders>
            <w:vAlign w:val="center"/>
          </w:tcPr>
          <w:p w14:paraId="438EC12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126" w:type="dxa"/>
            <w:tcBorders>
              <w:top w:val="double" w:color="auto" w:sz="6" w:space="0"/>
              <w:bottom w:val="single" w:color="auto" w:sz="6" w:space="0"/>
            </w:tcBorders>
            <w:vAlign w:val="center"/>
          </w:tcPr>
          <w:p w14:paraId="5C678FC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tcBorders>
              <w:top w:val="double" w:color="auto" w:sz="6" w:space="0"/>
              <w:bottom w:val="single" w:color="auto" w:sz="6" w:space="0"/>
            </w:tcBorders>
            <w:vAlign w:val="center"/>
          </w:tcPr>
          <w:p w14:paraId="27A4225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tcBorders>
              <w:top w:val="double" w:color="auto" w:sz="6" w:space="0"/>
              <w:bottom w:val="single" w:color="auto" w:sz="6" w:space="0"/>
            </w:tcBorders>
            <w:vAlign w:val="center"/>
          </w:tcPr>
          <w:p w14:paraId="0F89CA7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tcBorders>
              <w:top w:val="double" w:color="auto" w:sz="6" w:space="0"/>
              <w:bottom w:val="single" w:color="auto" w:sz="6" w:space="0"/>
            </w:tcBorders>
            <w:vAlign w:val="center"/>
          </w:tcPr>
          <w:p w14:paraId="2F9BBA6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197041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422763D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843" w:type="dxa"/>
            <w:vAlign w:val="center"/>
          </w:tcPr>
          <w:p w14:paraId="298DBAF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vAlign w:val="center"/>
          </w:tcPr>
          <w:p w14:paraId="5B0F7B3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410" w:type="dxa"/>
            <w:vAlign w:val="center"/>
          </w:tcPr>
          <w:p w14:paraId="3C6ECC9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vAlign w:val="center"/>
          </w:tcPr>
          <w:p w14:paraId="0695112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560" w:type="dxa"/>
            <w:vAlign w:val="center"/>
          </w:tcPr>
          <w:p w14:paraId="4B005AB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126" w:type="dxa"/>
            <w:vAlign w:val="center"/>
          </w:tcPr>
          <w:p w14:paraId="5F27664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vAlign w:val="center"/>
          </w:tcPr>
          <w:p w14:paraId="2FA2D81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2152C74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vAlign w:val="center"/>
          </w:tcPr>
          <w:p w14:paraId="1B980AA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7D4EA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3DDB4EC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843" w:type="dxa"/>
            <w:tcBorders>
              <w:top w:val="nil"/>
            </w:tcBorders>
            <w:vAlign w:val="center"/>
          </w:tcPr>
          <w:p w14:paraId="154EEA2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tcBorders>
              <w:top w:val="nil"/>
            </w:tcBorders>
            <w:vAlign w:val="center"/>
          </w:tcPr>
          <w:p w14:paraId="07428AD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410" w:type="dxa"/>
            <w:tcBorders>
              <w:top w:val="nil"/>
            </w:tcBorders>
            <w:vAlign w:val="center"/>
          </w:tcPr>
          <w:p w14:paraId="3E17C4E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tcBorders>
              <w:top w:val="nil"/>
            </w:tcBorders>
            <w:vAlign w:val="center"/>
          </w:tcPr>
          <w:p w14:paraId="451A1EE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560" w:type="dxa"/>
            <w:tcBorders>
              <w:top w:val="nil"/>
            </w:tcBorders>
            <w:vAlign w:val="center"/>
          </w:tcPr>
          <w:p w14:paraId="7ABE0D0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126" w:type="dxa"/>
            <w:tcBorders>
              <w:top w:val="nil"/>
            </w:tcBorders>
            <w:vAlign w:val="center"/>
          </w:tcPr>
          <w:p w14:paraId="4E3518A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tcBorders>
              <w:top w:val="nil"/>
            </w:tcBorders>
            <w:vAlign w:val="center"/>
          </w:tcPr>
          <w:p w14:paraId="6DE5E1A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tcBorders>
              <w:top w:val="nil"/>
            </w:tcBorders>
            <w:vAlign w:val="center"/>
          </w:tcPr>
          <w:p w14:paraId="4F1D623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tcBorders>
              <w:top w:val="nil"/>
            </w:tcBorders>
            <w:vAlign w:val="center"/>
          </w:tcPr>
          <w:p w14:paraId="50D7303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49E13A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5DD7AB8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843" w:type="dxa"/>
            <w:vAlign w:val="center"/>
          </w:tcPr>
          <w:p w14:paraId="458C54D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vAlign w:val="center"/>
          </w:tcPr>
          <w:p w14:paraId="080D18A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410" w:type="dxa"/>
            <w:vAlign w:val="center"/>
          </w:tcPr>
          <w:p w14:paraId="2F00345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vAlign w:val="center"/>
          </w:tcPr>
          <w:p w14:paraId="24C5463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560" w:type="dxa"/>
            <w:vAlign w:val="center"/>
          </w:tcPr>
          <w:p w14:paraId="016A6BB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126" w:type="dxa"/>
            <w:vAlign w:val="center"/>
          </w:tcPr>
          <w:p w14:paraId="799A977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vAlign w:val="center"/>
          </w:tcPr>
          <w:p w14:paraId="3F96BBB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5D849A9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vAlign w:val="center"/>
          </w:tcPr>
          <w:p w14:paraId="2AF04446">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150F15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38D4A5C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843" w:type="dxa"/>
            <w:tcBorders>
              <w:top w:val="nil"/>
            </w:tcBorders>
            <w:vAlign w:val="center"/>
          </w:tcPr>
          <w:p w14:paraId="6E95E96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tcBorders>
              <w:top w:val="nil"/>
            </w:tcBorders>
            <w:vAlign w:val="center"/>
          </w:tcPr>
          <w:p w14:paraId="0C14E0D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410" w:type="dxa"/>
            <w:tcBorders>
              <w:top w:val="nil"/>
            </w:tcBorders>
            <w:vAlign w:val="center"/>
          </w:tcPr>
          <w:p w14:paraId="5ECACC7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tcBorders>
              <w:top w:val="nil"/>
            </w:tcBorders>
            <w:vAlign w:val="center"/>
          </w:tcPr>
          <w:p w14:paraId="005CF19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560" w:type="dxa"/>
            <w:tcBorders>
              <w:top w:val="nil"/>
            </w:tcBorders>
            <w:vAlign w:val="center"/>
          </w:tcPr>
          <w:p w14:paraId="0AF6AE4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126" w:type="dxa"/>
            <w:tcBorders>
              <w:top w:val="nil"/>
            </w:tcBorders>
            <w:vAlign w:val="center"/>
          </w:tcPr>
          <w:p w14:paraId="1A5E9FE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tcBorders>
              <w:top w:val="nil"/>
            </w:tcBorders>
            <w:vAlign w:val="center"/>
          </w:tcPr>
          <w:p w14:paraId="51D7898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tcBorders>
              <w:top w:val="nil"/>
            </w:tcBorders>
            <w:vAlign w:val="center"/>
          </w:tcPr>
          <w:p w14:paraId="0911658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tcBorders>
              <w:top w:val="nil"/>
            </w:tcBorders>
            <w:vAlign w:val="center"/>
          </w:tcPr>
          <w:p w14:paraId="031EB8D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72A90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5BE3173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843" w:type="dxa"/>
            <w:tcBorders>
              <w:top w:val="nil"/>
            </w:tcBorders>
            <w:vAlign w:val="center"/>
          </w:tcPr>
          <w:p w14:paraId="5330389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tcBorders>
              <w:top w:val="nil"/>
            </w:tcBorders>
            <w:vAlign w:val="center"/>
          </w:tcPr>
          <w:p w14:paraId="3922D09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410" w:type="dxa"/>
            <w:tcBorders>
              <w:top w:val="nil"/>
            </w:tcBorders>
            <w:vAlign w:val="center"/>
          </w:tcPr>
          <w:p w14:paraId="29477D5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tcBorders>
              <w:top w:val="nil"/>
            </w:tcBorders>
            <w:vAlign w:val="center"/>
          </w:tcPr>
          <w:p w14:paraId="0BBD8C4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560" w:type="dxa"/>
            <w:tcBorders>
              <w:top w:val="nil"/>
            </w:tcBorders>
            <w:vAlign w:val="center"/>
          </w:tcPr>
          <w:p w14:paraId="7CB3F05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126" w:type="dxa"/>
            <w:tcBorders>
              <w:top w:val="nil"/>
            </w:tcBorders>
            <w:vAlign w:val="center"/>
          </w:tcPr>
          <w:p w14:paraId="1C9EBB4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tcBorders>
              <w:top w:val="nil"/>
            </w:tcBorders>
            <w:vAlign w:val="center"/>
          </w:tcPr>
          <w:p w14:paraId="638A548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tcBorders>
              <w:top w:val="nil"/>
            </w:tcBorders>
            <w:vAlign w:val="center"/>
          </w:tcPr>
          <w:p w14:paraId="0F77280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tcBorders>
              <w:top w:val="nil"/>
            </w:tcBorders>
            <w:vAlign w:val="center"/>
          </w:tcPr>
          <w:p w14:paraId="3757C2E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436BB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0772055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843" w:type="dxa"/>
            <w:vAlign w:val="center"/>
          </w:tcPr>
          <w:p w14:paraId="216C485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vAlign w:val="center"/>
          </w:tcPr>
          <w:p w14:paraId="03B8EC3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410" w:type="dxa"/>
            <w:vAlign w:val="center"/>
          </w:tcPr>
          <w:p w14:paraId="762DF07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vAlign w:val="center"/>
          </w:tcPr>
          <w:p w14:paraId="5EE75D1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560" w:type="dxa"/>
            <w:vAlign w:val="center"/>
          </w:tcPr>
          <w:p w14:paraId="2C1B3AA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126" w:type="dxa"/>
            <w:vAlign w:val="center"/>
          </w:tcPr>
          <w:p w14:paraId="1EF5C03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vAlign w:val="center"/>
          </w:tcPr>
          <w:p w14:paraId="60F437E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172F21B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vAlign w:val="center"/>
          </w:tcPr>
          <w:p w14:paraId="5BDDE1E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4D8635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71F8350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843" w:type="dxa"/>
            <w:tcBorders>
              <w:top w:val="nil"/>
            </w:tcBorders>
            <w:vAlign w:val="center"/>
          </w:tcPr>
          <w:p w14:paraId="4FD1FA6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tcBorders>
              <w:top w:val="nil"/>
            </w:tcBorders>
            <w:vAlign w:val="center"/>
          </w:tcPr>
          <w:p w14:paraId="7A038AA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410" w:type="dxa"/>
            <w:tcBorders>
              <w:top w:val="nil"/>
            </w:tcBorders>
            <w:vAlign w:val="center"/>
          </w:tcPr>
          <w:p w14:paraId="05F540C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tcBorders>
              <w:top w:val="nil"/>
            </w:tcBorders>
            <w:vAlign w:val="center"/>
          </w:tcPr>
          <w:p w14:paraId="17DE75F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560" w:type="dxa"/>
            <w:tcBorders>
              <w:top w:val="nil"/>
            </w:tcBorders>
            <w:vAlign w:val="center"/>
          </w:tcPr>
          <w:p w14:paraId="3AA9289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126" w:type="dxa"/>
            <w:tcBorders>
              <w:top w:val="nil"/>
            </w:tcBorders>
            <w:vAlign w:val="center"/>
          </w:tcPr>
          <w:p w14:paraId="45BBCF9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tcBorders>
              <w:top w:val="nil"/>
            </w:tcBorders>
            <w:vAlign w:val="center"/>
          </w:tcPr>
          <w:p w14:paraId="2CA5601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tcBorders>
              <w:top w:val="nil"/>
            </w:tcBorders>
            <w:vAlign w:val="center"/>
          </w:tcPr>
          <w:p w14:paraId="53B9A67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tcBorders>
              <w:top w:val="nil"/>
            </w:tcBorders>
            <w:vAlign w:val="center"/>
          </w:tcPr>
          <w:p w14:paraId="6F42FE6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352ABE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6CD3B24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843" w:type="dxa"/>
            <w:vAlign w:val="center"/>
          </w:tcPr>
          <w:p w14:paraId="1A4CB01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vAlign w:val="center"/>
          </w:tcPr>
          <w:p w14:paraId="6F9BF11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410" w:type="dxa"/>
            <w:vAlign w:val="center"/>
          </w:tcPr>
          <w:p w14:paraId="6E162FB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vAlign w:val="center"/>
          </w:tcPr>
          <w:p w14:paraId="08263BB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560" w:type="dxa"/>
            <w:vAlign w:val="center"/>
          </w:tcPr>
          <w:p w14:paraId="0BAF89E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2126" w:type="dxa"/>
            <w:vAlign w:val="center"/>
          </w:tcPr>
          <w:p w14:paraId="463CDC9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7" w:type="dxa"/>
            <w:vAlign w:val="center"/>
          </w:tcPr>
          <w:p w14:paraId="29EE658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2491950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0" w:type="dxa"/>
            <w:vAlign w:val="center"/>
          </w:tcPr>
          <w:p w14:paraId="2067E59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bl>
    <w:p w14:paraId="00DEC827">
      <w:pPr>
        <w:spacing w:line="440" w:lineRule="exact"/>
        <w:rPr>
          <w:rFonts w:hint="eastAsia" w:ascii="宋体" w:hAnsi="宋体" w:cs="宋体"/>
          <w:b/>
          <w:color w:val="000000" w:themeColor="text1"/>
          <w:szCs w:val="21"/>
          <w14:textFill>
            <w14:solidFill>
              <w14:schemeClr w14:val="tx1"/>
            </w14:solidFill>
          </w14:textFill>
        </w:rPr>
        <w:sectPr>
          <w:pgSz w:w="16838" w:h="11906" w:orient="landscape"/>
          <w:pgMar w:top="1554" w:right="1418" w:bottom="1531" w:left="1418" w:header="851" w:footer="992" w:gutter="0"/>
          <w:cols w:space="720" w:num="1"/>
          <w:titlePg/>
          <w:docGrid w:type="linesAndChars" w:linePitch="312" w:charSpace="0"/>
        </w:sectPr>
      </w:pPr>
    </w:p>
    <w:p w14:paraId="3427D0D6">
      <w:pPr>
        <w:spacing w:line="4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w:t>
      </w:r>
      <w:bookmarkStart w:id="1960" w:name="_Toc267261692"/>
      <w:bookmarkStart w:id="1961" w:name="_Toc296944564"/>
      <w:bookmarkStart w:id="1962" w:name="_Toc296891265"/>
      <w:bookmarkStart w:id="1963" w:name="_Toc296503225"/>
      <w:bookmarkStart w:id="1964" w:name="_Toc296346726"/>
      <w:bookmarkStart w:id="1965" w:name="_Toc296891053"/>
      <w:bookmarkStart w:id="1966" w:name="_Toc296347224"/>
      <w:r>
        <w:rPr>
          <w:rFonts w:hint="eastAsia" w:ascii="宋体" w:hAnsi="宋体" w:cs="宋体"/>
          <w:color w:val="000000" w:themeColor="text1"/>
          <w:szCs w:val="21"/>
          <w14:textFill>
            <w14:solidFill>
              <w14:schemeClr w14:val="tx1"/>
            </w14:solidFill>
          </w14:textFill>
        </w:rPr>
        <w:t>件2</w:t>
      </w:r>
    </w:p>
    <w:bookmarkEnd w:id="1960"/>
    <w:bookmarkEnd w:id="1961"/>
    <w:bookmarkEnd w:id="1962"/>
    <w:bookmarkEnd w:id="1963"/>
    <w:bookmarkEnd w:id="1964"/>
    <w:bookmarkEnd w:id="1965"/>
    <w:bookmarkEnd w:id="1966"/>
    <w:p w14:paraId="12D9D60F">
      <w:pPr>
        <w:spacing w:before="156" w:beforeLines="50" w:after="156" w:afterLines="50" w:line="44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发包人供应材料设备一览表</w:t>
      </w:r>
    </w:p>
    <w:tbl>
      <w:tblPr>
        <w:tblStyle w:val="45"/>
        <w:tblW w:w="107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257A6C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14:paraId="61C7096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276" w:type="dxa"/>
            <w:tcBorders>
              <w:top w:val="single" w:color="auto" w:sz="12" w:space="0"/>
              <w:bottom w:val="double" w:color="auto" w:sz="6" w:space="0"/>
            </w:tcBorders>
            <w:vAlign w:val="center"/>
          </w:tcPr>
          <w:p w14:paraId="479A6366">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材料、设备品种</w:t>
            </w:r>
          </w:p>
        </w:tc>
        <w:tc>
          <w:tcPr>
            <w:tcW w:w="1418" w:type="dxa"/>
            <w:tcBorders>
              <w:top w:val="single" w:color="auto" w:sz="12" w:space="0"/>
              <w:bottom w:val="double" w:color="auto" w:sz="6" w:space="0"/>
            </w:tcBorders>
            <w:vAlign w:val="center"/>
          </w:tcPr>
          <w:p w14:paraId="2DB3906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规格型号</w:t>
            </w:r>
          </w:p>
        </w:tc>
        <w:tc>
          <w:tcPr>
            <w:tcW w:w="940" w:type="dxa"/>
            <w:tcBorders>
              <w:top w:val="single" w:color="auto" w:sz="12" w:space="0"/>
              <w:bottom w:val="double" w:color="auto" w:sz="6" w:space="0"/>
            </w:tcBorders>
            <w:vAlign w:val="center"/>
          </w:tcPr>
          <w:p w14:paraId="2BA0CA4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w:t>
            </w:r>
          </w:p>
        </w:tc>
        <w:tc>
          <w:tcPr>
            <w:tcW w:w="851" w:type="dxa"/>
            <w:tcBorders>
              <w:top w:val="single" w:color="auto" w:sz="12" w:space="0"/>
              <w:bottom w:val="double" w:color="auto" w:sz="6" w:space="0"/>
            </w:tcBorders>
            <w:vAlign w:val="center"/>
          </w:tcPr>
          <w:p w14:paraId="2AE027E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w:t>
            </w:r>
          </w:p>
        </w:tc>
        <w:tc>
          <w:tcPr>
            <w:tcW w:w="1044" w:type="dxa"/>
            <w:tcBorders>
              <w:top w:val="single" w:color="auto" w:sz="12" w:space="0"/>
              <w:bottom w:val="double" w:color="auto" w:sz="6" w:space="0"/>
            </w:tcBorders>
            <w:vAlign w:val="center"/>
          </w:tcPr>
          <w:p w14:paraId="209E58A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单价（元）</w:t>
            </w:r>
          </w:p>
        </w:tc>
        <w:tc>
          <w:tcPr>
            <w:tcW w:w="992" w:type="dxa"/>
            <w:tcBorders>
              <w:top w:val="single" w:color="auto" w:sz="12" w:space="0"/>
              <w:bottom w:val="double" w:color="auto" w:sz="6" w:space="0"/>
            </w:tcBorders>
            <w:vAlign w:val="center"/>
          </w:tcPr>
          <w:p w14:paraId="6CAB865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质量等级</w:t>
            </w:r>
          </w:p>
        </w:tc>
        <w:tc>
          <w:tcPr>
            <w:tcW w:w="851" w:type="dxa"/>
            <w:tcBorders>
              <w:top w:val="single" w:color="auto" w:sz="12" w:space="0"/>
              <w:bottom w:val="double" w:color="auto" w:sz="6" w:space="0"/>
            </w:tcBorders>
            <w:vAlign w:val="center"/>
          </w:tcPr>
          <w:p w14:paraId="0C08E02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供应时间</w:t>
            </w:r>
          </w:p>
        </w:tc>
        <w:tc>
          <w:tcPr>
            <w:tcW w:w="1487" w:type="dxa"/>
            <w:tcBorders>
              <w:top w:val="single" w:color="auto" w:sz="12" w:space="0"/>
              <w:bottom w:val="double" w:color="auto" w:sz="6" w:space="0"/>
            </w:tcBorders>
            <w:vAlign w:val="center"/>
          </w:tcPr>
          <w:p w14:paraId="34EFEC5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送达地点</w:t>
            </w:r>
          </w:p>
        </w:tc>
        <w:tc>
          <w:tcPr>
            <w:tcW w:w="992" w:type="dxa"/>
            <w:tcBorders>
              <w:top w:val="single" w:color="auto" w:sz="12" w:space="0"/>
              <w:bottom w:val="double" w:color="auto" w:sz="6" w:space="0"/>
            </w:tcBorders>
            <w:vAlign w:val="center"/>
          </w:tcPr>
          <w:p w14:paraId="58BB064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14:paraId="313684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14:paraId="1EF207F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tcBorders>
              <w:top w:val="double" w:color="auto" w:sz="6" w:space="0"/>
              <w:bottom w:val="single" w:color="auto" w:sz="6" w:space="0"/>
            </w:tcBorders>
            <w:vAlign w:val="center"/>
          </w:tcPr>
          <w:p w14:paraId="0017EF7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8" w:type="dxa"/>
            <w:tcBorders>
              <w:top w:val="double" w:color="auto" w:sz="6" w:space="0"/>
              <w:bottom w:val="single" w:color="auto" w:sz="6" w:space="0"/>
            </w:tcBorders>
            <w:vAlign w:val="center"/>
          </w:tcPr>
          <w:p w14:paraId="2729487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40" w:type="dxa"/>
            <w:tcBorders>
              <w:top w:val="double" w:color="auto" w:sz="6" w:space="0"/>
              <w:bottom w:val="single" w:color="auto" w:sz="6" w:space="0"/>
            </w:tcBorders>
            <w:vAlign w:val="center"/>
          </w:tcPr>
          <w:p w14:paraId="5E21B91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tcBorders>
              <w:top w:val="double" w:color="auto" w:sz="6" w:space="0"/>
              <w:bottom w:val="single" w:color="auto" w:sz="6" w:space="0"/>
            </w:tcBorders>
            <w:vAlign w:val="center"/>
          </w:tcPr>
          <w:p w14:paraId="133049D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044" w:type="dxa"/>
            <w:tcBorders>
              <w:top w:val="double" w:color="auto" w:sz="6" w:space="0"/>
              <w:bottom w:val="single" w:color="auto" w:sz="6" w:space="0"/>
            </w:tcBorders>
            <w:vAlign w:val="center"/>
          </w:tcPr>
          <w:p w14:paraId="14C060F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tcBorders>
              <w:top w:val="double" w:color="auto" w:sz="6" w:space="0"/>
              <w:bottom w:val="single" w:color="auto" w:sz="6" w:space="0"/>
            </w:tcBorders>
            <w:vAlign w:val="center"/>
          </w:tcPr>
          <w:p w14:paraId="0CDE959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tcBorders>
              <w:top w:val="double" w:color="auto" w:sz="6" w:space="0"/>
              <w:bottom w:val="single" w:color="auto" w:sz="6" w:space="0"/>
            </w:tcBorders>
            <w:vAlign w:val="center"/>
          </w:tcPr>
          <w:p w14:paraId="301E15C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87" w:type="dxa"/>
            <w:tcBorders>
              <w:top w:val="double" w:color="auto" w:sz="6" w:space="0"/>
              <w:bottom w:val="single" w:color="auto" w:sz="6" w:space="0"/>
            </w:tcBorders>
            <w:vAlign w:val="center"/>
          </w:tcPr>
          <w:p w14:paraId="01B0810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tcBorders>
              <w:top w:val="double" w:color="auto" w:sz="6" w:space="0"/>
              <w:bottom w:val="single" w:color="auto" w:sz="6" w:space="0"/>
            </w:tcBorders>
            <w:vAlign w:val="center"/>
          </w:tcPr>
          <w:p w14:paraId="4A5D01C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495C0A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14:paraId="2A882D0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tcBorders>
              <w:top w:val="nil"/>
            </w:tcBorders>
            <w:vAlign w:val="center"/>
          </w:tcPr>
          <w:p w14:paraId="2D05354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8" w:type="dxa"/>
            <w:tcBorders>
              <w:top w:val="nil"/>
            </w:tcBorders>
            <w:vAlign w:val="center"/>
          </w:tcPr>
          <w:p w14:paraId="53B8E36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40" w:type="dxa"/>
            <w:tcBorders>
              <w:top w:val="nil"/>
            </w:tcBorders>
            <w:vAlign w:val="center"/>
          </w:tcPr>
          <w:p w14:paraId="5C31632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tcBorders>
              <w:top w:val="nil"/>
            </w:tcBorders>
            <w:vAlign w:val="center"/>
          </w:tcPr>
          <w:p w14:paraId="0E91BA8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044" w:type="dxa"/>
            <w:tcBorders>
              <w:top w:val="nil"/>
            </w:tcBorders>
            <w:vAlign w:val="center"/>
          </w:tcPr>
          <w:p w14:paraId="524FC03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tcBorders>
              <w:top w:val="nil"/>
            </w:tcBorders>
            <w:vAlign w:val="center"/>
          </w:tcPr>
          <w:p w14:paraId="638ECE2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tcBorders>
              <w:top w:val="nil"/>
            </w:tcBorders>
            <w:vAlign w:val="center"/>
          </w:tcPr>
          <w:p w14:paraId="652D1AE6">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87" w:type="dxa"/>
            <w:tcBorders>
              <w:top w:val="nil"/>
            </w:tcBorders>
            <w:vAlign w:val="center"/>
          </w:tcPr>
          <w:p w14:paraId="7E169B1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tcBorders>
              <w:top w:val="nil"/>
            </w:tcBorders>
            <w:vAlign w:val="center"/>
          </w:tcPr>
          <w:p w14:paraId="0AF78C4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1A43E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0A25CA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6117E91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1D2A76F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40" w:type="dxa"/>
            <w:vAlign w:val="center"/>
          </w:tcPr>
          <w:p w14:paraId="3D414BF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05E132D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044" w:type="dxa"/>
            <w:vAlign w:val="center"/>
          </w:tcPr>
          <w:p w14:paraId="423E122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712570B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5D54AEA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87" w:type="dxa"/>
            <w:vAlign w:val="center"/>
          </w:tcPr>
          <w:p w14:paraId="2E63306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3950BA8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6A7E63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236467A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4F2E7E8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7E7079D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40" w:type="dxa"/>
            <w:vAlign w:val="center"/>
          </w:tcPr>
          <w:p w14:paraId="0BF4ECC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32CB18E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044" w:type="dxa"/>
            <w:vAlign w:val="center"/>
          </w:tcPr>
          <w:p w14:paraId="02059E7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6C8DBBB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400E1F4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87" w:type="dxa"/>
            <w:vAlign w:val="center"/>
          </w:tcPr>
          <w:p w14:paraId="2865CD3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2523DA7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1C90A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4A52E6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526503B6">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6E4B373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40" w:type="dxa"/>
            <w:vAlign w:val="center"/>
          </w:tcPr>
          <w:p w14:paraId="7AF0DD7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5CF95D2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044" w:type="dxa"/>
            <w:vAlign w:val="center"/>
          </w:tcPr>
          <w:p w14:paraId="18B5017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2BDCD7B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7A5015A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87" w:type="dxa"/>
            <w:vAlign w:val="center"/>
          </w:tcPr>
          <w:p w14:paraId="47B883A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3D224EA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3C81E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0080016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1CC2A7A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365D44D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40" w:type="dxa"/>
            <w:vAlign w:val="center"/>
          </w:tcPr>
          <w:p w14:paraId="4997771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2001DF2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044" w:type="dxa"/>
            <w:vAlign w:val="center"/>
          </w:tcPr>
          <w:p w14:paraId="6B16C3E6">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084C20E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106DC30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87" w:type="dxa"/>
            <w:vAlign w:val="center"/>
          </w:tcPr>
          <w:p w14:paraId="4274343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19D2E5B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5F0114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6FA4C0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776A90C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7DD2A3C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40" w:type="dxa"/>
            <w:vAlign w:val="center"/>
          </w:tcPr>
          <w:p w14:paraId="58594EA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3CEF954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044" w:type="dxa"/>
            <w:vAlign w:val="center"/>
          </w:tcPr>
          <w:p w14:paraId="02E10C8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5F84C62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43F0851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87" w:type="dxa"/>
            <w:vAlign w:val="center"/>
          </w:tcPr>
          <w:p w14:paraId="6C6B8C9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3A91EFA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118201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D9331C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060D3D2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4E334A3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40" w:type="dxa"/>
            <w:vAlign w:val="center"/>
          </w:tcPr>
          <w:p w14:paraId="3FAC0E6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36AEF8C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044" w:type="dxa"/>
            <w:vAlign w:val="center"/>
          </w:tcPr>
          <w:p w14:paraId="7F0E337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19E9B8A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68FEB98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87" w:type="dxa"/>
            <w:vAlign w:val="center"/>
          </w:tcPr>
          <w:p w14:paraId="262B5B3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15480CC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18FB0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97995EC">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208AE399">
            <w:pPr>
              <w:spacing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662EBFBC">
            <w:pPr>
              <w:spacing w:line="400" w:lineRule="exact"/>
              <w:jc w:val="center"/>
              <w:rPr>
                <w:rFonts w:hint="eastAsia" w:ascii="宋体" w:hAnsi="宋体" w:cs="宋体"/>
                <w:color w:val="000000" w:themeColor="text1"/>
                <w:szCs w:val="21"/>
                <w14:textFill>
                  <w14:solidFill>
                    <w14:schemeClr w14:val="tx1"/>
                  </w14:solidFill>
                </w14:textFill>
              </w:rPr>
            </w:pPr>
          </w:p>
        </w:tc>
        <w:tc>
          <w:tcPr>
            <w:tcW w:w="940" w:type="dxa"/>
            <w:vAlign w:val="center"/>
          </w:tcPr>
          <w:p w14:paraId="5D9B04E5">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2123EBD0">
            <w:pPr>
              <w:spacing w:line="400" w:lineRule="exact"/>
              <w:jc w:val="center"/>
              <w:rPr>
                <w:rFonts w:hint="eastAsia" w:ascii="宋体" w:hAnsi="宋体" w:cs="宋体"/>
                <w:color w:val="000000" w:themeColor="text1"/>
                <w:szCs w:val="21"/>
                <w14:textFill>
                  <w14:solidFill>
                    <w14:schemeClr w14:val="tx1"/>
                  </w14:solidFill>
                </w14:textFill>
              </w:rPr>
            </w:pPr>
          </w:p>
        </w:tc>
        <w:tc>
          <w:tcPr>
            <w:tcW w:w="1044" w:type="dxa"/>
            <w:vAlign w:val="center"/>
          </w:tcPr>
          <w:p w14:paraId="5EFB0BA3">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50F5CB50">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6E2CD084">
            <w:pPr>
              <w:spacing w:line="400" w:lineRule="exact"/>
              <w:jc w:val="center"/>
              <w:rPr>
                <w:rFonts w:hint="eastAsia" w:ascii="宋体" w:hAnsi="宋体" w:cs="宋体"/>
                <w:color w:val="000000" w:themeColor="text1"/>
                <w:szCs w:val="21"/>
                <w14:textFill>
                  <w14:solidFill>
                    <w14:schemeClr w14:val="tx1"/>
                  </w14:solidFill>
                </w14:textFill>
              </w:rPr>
            </w:pPr>
          </w:p>
        </w:tc>
        <w:tc>
          <w:tcPr>
            <w:tcW w:w="1487" w:type="dxa"/>
            <w:vAlign w:val="center"/>
          </w:tcPr>
          <w:p w14:paraId="7E6A8E8A">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0C5C6FF9">
            <w:pPr>
              <w:spacing w:line="400" w:lineRule="exact"/>
              <w:jc w:val="center"/>
              <w:rPr>
                <w:rFonts w:hint="eastAsia" w:ascii="宋体" w:hAnsi="宋体" w:cs="宋体"/>
                <w:color w:val="000000" w:themeColor="text1"/>
                <w:szCs w:val="21"/>
                <w14:textFill>
                  <w14:solidFill>
                    <w14:schemeClr w14:val="tx1"/>
                  </w14:solidFill>
                </w14:textFill>
              </w:rPr>
            </w:pPr>
          </w:p>
        </w:tc>
      </w:tr>
      <w:tr w14:paraId="076AC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7FB5FB8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44CBD2B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387FCB2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40" w:type="dxa"/>
            <w:vAlign w:val="center"/>
          </w:tcPr>
          <w:p w14:paraId="3B1773A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3765471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044" w:type="dxa"/>
            <w:vAlign w:val="center"/>
          </w:tcPr>
          <w:p w14:paraId="7604383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09991E1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063E57F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87" w:type="dxa"/>
            <w:vAlign w:val="center"/>
          </w:tcPr>
          <w:p w14:paraId="41CF2F6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17135D0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00D5D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665843A">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6CD29DFB">
            <w:pPr>
              <w:spacing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19059F12">
            <w:pPr>
              <w:spacing w:line="400" w:lineRule="exact"/>
              <w:jc w:val="center"/>
              <w:rPr>
                <w:rFonts w:hint="eastAsia" w:ascii="宋体" w:hAnsi="宋体" w:cs="宋体"/>
                <w:color w:val="000000" w:themeColor="text1"/>
                <w:szCs w:val="21"/>
                <w14:textFill>
                  <w14:solidFill>
                    <w14:schemeClr w14:val="tx1"/>
                  </w14:solidFill>
                </w14:textFill>
              </w:rPr>
            </w:pPr>
          </w:p>
        </w:tc>
        <w:tc>
          <w:tcPr>
            <w:tcW w:w="940" w:type="dxa"/>
            <w:vAlign w:val="center"/>
          </w:tcPr>
          <w:p w14:paraId="4DD09294">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2E4F9023">
            <w:pPr>
              <w:spacing w:line="400" w:lineRule="exact"/>
              <w:jc w:val="center"/>
              <w:rPr>
                <w:rFonts w:hint="eastAsia" w:ascii="宋体" w:hAnsi="宋体" w:cs="宋体"/>
                <w:color w:val="000000" w:themeColor="text1"/>
                <w:szCs w:val="21"/>
                <w14:textFill>
                  <w14:solidFill>
                    <w14:schemeClr w14:val="tx1"/>
                  </w14:solidFill>
                </w14:textFill>
              </w:rPr>
            </w:pPr>
          </w:p>
        </w:tc>
        <w:tc>
          <w:tcPr>
            <w:tcW w:w="1044" w:type="dxa"/>
            <w:vAlign w:val="center"/>
          </w:tcPr>
          <w:p w14:paraId="5B08F8D2">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5BD7FBDC">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22B4661E">
            <w:pPr>
              <w:spacing w:line="400" w:lineRule="exact"/>
              <w:jc w:val="center"/>
              <w:rPr>
                <w:rFonts w:hint="eastAsia" w:ascii="宋体" w:hAnsi="宋体" w:cs="宋体"/>
                <w:color w:val="000000" w:themeColor="text1"/>
                <w:szCs w:val="21"/>
                <w14:textFill>
                  <w14:solidFill>
                    <w14:schemeClr w14:val="tx1"/>
                  </w14:solidFill>
                </w14:textFill>
              </w:rPr>
            </w:pPr>
          </w:p>
        </w:tc>
        <w:tc>
          <w:tcPr>
            <w:tcW w:w="1487" w:type="dxa"/>
            <w:vAlign w:val="center"/>
          </w:tcPr>
          <w:p w14:paraId="4A88BC3F">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02215C84">
            <w:pPr>
              <w:spacing w:line="400" w:lineRule="exact"/>
              <w:jc w:val="center"/>
              <w:rPr>
                <w:rFonts w:hint="eastAsia" w:ascii="宋体" w:hAnsi="宋体" w:cs="宋体"/>
                <w:color w:val="000000" w:themeColor="text1"/>
                <w:szCs w:val="21"/>
                <w14:textFill>
                  <w14:solidFill>
                    <w14:schemeClr w14:val="tx1"/>
                  </w14:solidFill>
                </w14:textFill>
              </w:rPr>
            </w:pPr>
          </w:p>
        </w:tc>
      </w:tr>
      <w:tr w14:paraId="77625E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7BC190C6">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226E780A">
            <w:pPr>
              <w:spacing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776B4909">
            <w:pPr>
              <w:spacing w:line="400" w:lineRule="exact"/>
              <w:jc w:val="center"/>
              <w:rPr>
                <w:rFonts w:hint="eastAsia" w:ascii="宋体" w:hAnsi="宋体" w:cs="宋体"/>
                <w:color w:val="000000" w:themeColor="text1"/>
                <w:szCs w:val="21"/>
                <w14:textFill>
                  <w14:solidFill>
                    <w14:schemeClr w14:val="tx1"/>
                  </w14:solidFill>
                </w14:textFill>
              </w:rPr>
            </w:pPr>
          </w:p>
        </w:tc>
        <w:tc>
          <w:tcPr>
            <w:tcW w:w="940" w:type="dxa"/>
            <w:vAlign w:val="center"/>
          </w:tcPr>
          <w:p w14:paraId="63C6C1BC">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5EEA6E4B">
            <w:pPr>
              <w:spacing w:line="400" w:lineRule="exact"/>
              <w:jc w:val="center"/>
              <w:rPr>
                <w:rFonts w:hint="eastAsia" w:ascii="宋体" w:hAnsi="宋体" w:cs="宋体"/>
                <w:color w:val="000000" w:themeColor="text1"/>
                <w:szCs w:val="21"/>
                <w14:textFill>
                  <w14:solidFill>
                    <w14:schemeClr w14:val="tx1"/>
                  </w14:solidFill>
                </w14:textFill>
              </w:rPr>
            </w:pPr>
          </w:p>
        </w:tc>
        <w:tc>
          <w:tcPr>
            <w:tcW w:w="1044" w:type="dxa"/>
            <w:vAlign w:val="center"/>
          </w:tcPr>
          <w:p w14:paraId="47C9214F">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109EECCA">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1D24061C">
            <w:pPr>
              <w:spacing w:line="400" w:lineRule="exact"/>
              <w:jc w:val="center"/>
              <w:rPr>
                <w:rFonts w:hint="eastAsia" w:ascii="宋体" w:hAnsi="宋体" w:cs="宋体"/>
                <w:color w:val="000000" w:themeColor="text1"/>
                <w:szCs w:val="21"/>
                <w14:textFill>
                  <w14:solidFill>
                    <w14:schemeClr w14:val="tx1"/>
                  </w14:solidFill>
                </w14:textFill>
              </w:rPr>
            </w:pPr>
          </w:p>
        </w:tc>
        <w:tc>
          <w:tcPr>
            <w:tcW w:w="1487" w:type="dxa"/>
            <w:vAlign w:val="center"/>
          </w:tcPr>
          <w:p w14:paraId="6B3586AB">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7367C833">
            <w:pPr>
              <w:spacing w:line="400" w:lineRule="exact"/>
              <w:jc w:val="center"/>
              <w:rPr>
                <w:rFonts w:hint="eastAsia" w:ascii="宋体" w:hAnsi="宋体" w:cs="宋体"/>
                <w:color w:val="000000" w:themeColor="text1"/>
                <w:szCs w:val="21"/>
                <w14:textFill>
                  <w14:solidFill>
                    <w14:schemeClr w14:val="tx1"/>
                  </w14:solidFill>
                </w14:textFill>
              </w:rPr>
            </w:pPr>
          </w:p>
        </w:tc>
      </w:tr>
      <w:tr w14:paraId="5522E7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B8423D4">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09459C79">
            <w:pPr>
              <w:spacing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37B9E1A6">
            <w:pPr>
              <w:spacing w:line="400" w:lineRule="exact"/>
              <w:jc w:val="center"/>
              <w:rPr>
                <w:rFonts w:hint="eastAsia" w:ascii="宋体" w:hAnsi="宋体" w:cs="宋体"/>
                <w:color w:val="000000" w:themeColor="text1"/>
                <w:szCs w:val="21"/>
                <w14:textFill>
                  <w14:solidFill>
                    <w14:schemeClr w14:val="tx1"/>
                  </w14:solidFill>
                </w14:textFill>
              </w:rPr>
            </w:pPr>
          </w:p>
        </w:tc>
        <w:tc>
          <w:tcPr>
            <w:tcW w:w="940" w:type="dxa"/>
            <w:vAlign w:val="center"/>
          </w:tcPr>
          <w:p w14:paraId="6553F4E4">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795C28C5">
            <w:pPr>
              <w:spacing w:line="400" w:lineRule="exact"/>
              <w:jc w:val="center"/>
              <w:rPr>
                <w:rFonts w:hint="eastAsia" w:ascii="宋体" w:hAnsi="宋体" w:cs="宋体"/>
                <w:color w:val="000000" w:themeColor="text1"/>
                <w:szCs w:val="21"/>
                <w14:textFill>
                  <w14:solidFill>
                    <w14:schemeClr w14:val="tx1"/>
                  </w14:solidFill>
                </w14:textFill>
              </w:rPr>
            </w:pPr>
          </w:p>
        </w:tc>
        <w:tc>
          <w:tcPr>
            <w:tcW w:w="1044" w:type="dxa"/>
            <w:vAlign w:val="center"/>
          </w:tcPr>
          <w:p w14:paraId="2219DE20">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1CB85533">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000CEB88">
            <w:pPr>
              <w:spacing w:line="400" w:lineRule="exact"/>
              <w:jc w:val="center"/>
              <w:rPr>
                <w:rFonts w:hint="eastAsia" w:ascii="宋体" w:hAnsi="宋体" w:cs="宋体"/>
                <w:color w:val="000000" w:themeColor="text1"/>
                <w:szCs w:val="21"/>
                <w14:textFill>
                  <w14:solidFill>
                    <w14:schemeClr w14:val="tx1"/>
                  </w14:solidFill>
                </w14:textFill>
              </w:rPr>
            </w:pPr>
          </w:p>
        </w:tc>
        <w:tc>
          <w:tcPr>
            <w:tcW w:w="1487" w:type="dxa"/>
            <w:vAlign w:val="center"/>
          </w:tcPr>
          <w:p w14:paraId="5DE08E70">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579CD996">
            <w:pPr>
              <w:spacing w:line="400" w:lineRule="exact"/>
              <w:jc w:val="center"/>
              <w:rPr>
                <w:rFonts w:hint="eastAsia" w:ascii="宋体" w:hAnsi="宋体" w:cs="宋体"/>
                <w:color w:val="000000" w:themeColor="text1"/>
                <w:szCs w:val="21"/>
                <w14:textFill>
                  <w14:solidFill>
                    <w14:schemeClr w14:val="tx1"/>
                  </w14:solidFill>
                </w14:textFill>
              </w:rPr>
            </w:pPr>
          </w:p>
        </w:tc>
      </w:tr>
      <w:tr w14:paraId="6B6D5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06B1FD9B">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7937A9A5">
            <w:pPr>
              <w:spacing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1F27C067">
            <w:pPr>
              <w:spacing w:line="400" w:lineRule="exact"/>
              <w:jc w:val="center"/>
              <w:rPr>
                <w:rFonts w:hint="eastAsia" w:ascii="宋体" w:hAnsi="宋体" w:cs="宋体"/>
                <w:color w:val="000000" w:themeColor="text1"/>
                <w:szCs w:val="21"/>
                <w14:textFill>
                  <w14:solidFill>
                    <w14:schemeClr w14:val="tx1"/>
                  </w14:solidFill>
                </w14:textFill>
              </w:rPr>
            </w:pPr>
          </w:p>
        </w:tc>
        <w:tc>
          <w:tcPr>
            <w:tcW w:w="940" w:type="dxa"/>
            <w:vAlign w:val="center"/>
          </w:tcPr>
          <w:p w14:paraId="50A54E00">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69653620">
            <w:pPr>
              <w:spacing w:line="400" w:lineRule="exact"/>
              <w:jc w:val="center"/>
              <w:rPr>
                <w:rFonts w:hint="eastAsia" w:ascii="宋体" w:hAnsi="宋体" w:cs="宋体"/>
                <w:color w:val="000000" w:themeColor="text1"/>
                <w:szCs w:val="21"/>
                <w14:textFill>
                  <w14:solidFill>
                    <w14:schemeClr w14:val="tx1"/>
                  </w14:solidFill>
                </w14:textFill>
              </w:rPr>
            </w:pPr>
          </w:p>
        </w:tc>
        <w:tc>
          <w:tcPr>
            <w:tcW w:w="1044" w:type="dxa"/>
            <w:vAlign w:val="center"/>
          </w:tcPr>
          <w:p w14:paraId="0AE78E80">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191740E9">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6D458341">
            <w:pPr>
              <w:spacing w:line="400" w:lineRule="exact"/>
              <w:jc w:val="center"/>
              <w:rPr>
                <w:rFonts w:hint="eastAsia" w:ascii="宋体" w:hAnsi="宋体" w:cs="宋体"/>
                <w:color w:val="000000" w:themeColor="text1"/>
                <w:szCs w:val="21"/>
                <w14:textFill>
                  <w14:solidFill>
                    <w14:schemeClr w14:val="tx1"/>
                  </w14:solidFill>
                </w14:textFill>
              </w:rPr>
            </w:pPr>
          </w:p>
        </w:tc>
        <w:tc>
          <w:tcPr>
            <w:tcW w:w="1487" w:type="dxa"/>
            <w:vAlign w:val="center"/>
          </w:tcPr>
          <w:p w14:paraId="3C6D4AC1">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5770EE95">
            <w:pPr>
              <w:spacing w:line="400" w:lineRule="exact"/>
              <w:jc w:val="center"/>
              <w:rPr>
                <w:rFonts w:hint="eastAsia" w:ascii="宋体" w:hAnsi="宋体" w:cs="宋体"/>
                <w:color w:val="000000" w:themeColor="text1"/>
                <w:szCs w:val="21"/>
                <w14:textFill>
                  <w14:solidFill>
                    <w14:schemeClr w14:val="tx1"/>
                  </w14:solidFill>
                </w14:textFill>
              </w:rPr>
            </w:pPr>
          </w:p>
        </w:tc>
      </w:tr>
      <w:tr w14:paraId="65AB1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6BAEACC">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6F87A02E">
            <w:pPr>
              <w:spacing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371C1B5E">
            <w:pPr>
              <w:spacing w:line="400" w:lineRule="exact"/>
              <w:jc w:val="center"/>
              <w:rPr>
                <w:rFonts w:hint="eastAsia" w:ascii="宋体" w:hAnsi="宋体" w:cs="宋体"/>
                <w:color w:val="000000" w:themeColor="text1"/>
                <w:szCs w:val="21"/>
                <w14:textFill>
                  <w14:solidFill>
                    <w14:schemeClr w14:val="tx1"/>
                  </w14:solidFill>
                </w14:textFill>
              </w:rPr>
            </w:pPr>
          </w:p>
        </w:tc>
        <w:tc>
          <w:tcPr>
            <w:tcW w:w="940" w:type="dxa"/>
            <w:vAlign w:val="center"/>
          </w:tcPr>
          <w:p w14:paraId="44E8D86D">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7C0C76D3">
            <w:pPr>
              <w:spacing w:line="400" w:lineRule="exact"/>
              <w:jc w:val="center"/>
              <w:rPr>
                <w:rFonts w:hint="eastAsia" w:ascii="宋体" w:hAnsi="宋体" w:cs="宋体"/>
                <w:color w:val="000000" w:themeColor="text1"/>
                <w:szCs w:val="21"/>
                <w14:textFill>
                  <w14:solidFill>
                    <w14:schemeClr w14:val="tx1"/>
                  </w14:solidFill>
                </w14:textFill>
              </w:rPr>
            </w:pPr>
          </w:p>
        </w:tc>
        <w:tc>
          <w:tcPr>
            <w:tcW w:w="1044" w:type="dxa"/>
            <w:vAlign w:val="center"/>
          </w:tcPr>
          <w:p w14:paraId="47528DA5">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45BD04E0">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24BB330C">
            <w:pPr>
              <w:spacing w:line="400" w:lineRule="exact"/>
              <w:jc w:val="center"/>
              <w:rPr>
                <w:rFonts w:hint="eastAsia" w:ascii="宋体" w:hAnsi="宋体" w:cs="宋体"/>
                <w:color w:val="000000" w:themeColor="text1"/>
                <w:szCs w:val="21"/>
                <w14:textFill>
                  <w14:solidFill>
                    <w14:schemeClr w14:val="tx1"/>
                  </w14:solidFill>
                </w14:textFill>
              </w:rPr>
            </w:pPr>
          </w:p>
        </w:tc>
        <w:tc>
          <w:tcPr>
            <w:tcW w:w="1487" w:type="dxa"/>
            <w:vAlign w:val="center"/>
          </w:tcPr>
          <w:p w14:paraId="431296C2">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1DB56AC2">
            <w:pPr>
              <w:spacing w:line="400" w:lineRule="exact"/>
              <w:jc w:val="center"/>
              <w:rPr>
                <w:rFonts w:hint="eastAsia" w:ascii="宋体" w:hAnsi="宋体" w:cs="宋体"/>
                <w:color w:val="000000" w:themeColor="text1"/>
                <w:szCs w:val="21"/>
                <w14:textFill>
                  <w14:solidFill>
                    <w14:schemeClr w14:val="tx1"/>
                  </w14:solidFill>
                </w14:textFill>
              </w:rPr>
            </w:pPr>
          </w:p>
        </w:tc>
      </w:tr>
      <w:tr w14:paraId="585E35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0A47C173">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0BE0F895">
            <w:pPr>
              <w:spacing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637CE9C9">
            <w:pPr>
              <w:spacing w:line="400" w:lineRule="exact"/>
              <w:jc w:val="center"/>
              <w:rPr>
                <w:rFonts w:hint="eastAsia" w:ascii="宋体" w:hAnsi="宋体" w:cs="宋体"/>
                <w:color w:val="000000" w:themeColor="text1"/>
                <w:szCs w:val="21"/>
                <w14:textFill>
                  <w14:solidFill>
                    <w14:schemeClr w14:val="tx1"/>
                  </w14:solidFill>
                </w14:textFill>
              </w:rPr>
            </w:pPr>
          </w:p>
        </w:tc>
        <w:tc>
          <w:tcPr>
            <w:tcW w:w="940" w:type="dxa"/>
            <w:vAlign w:val="center"/>
          </w:tcPr>
          <w:p w14:paraId="7BCED026">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042B211A">
            <w:pPr>
              <w:spacing w:line="400" w:lineRule="exact"/>
              <w:jc w:val="center"/>
              <w:rPr>
                <w:rFonts w:hint="eastAsia" w:ascii="宋体" w:hAnsi="宋体" w:cs="宋体"/>
                <w:color w:val="000000" w:themeColor="text1"/>
                <w:szCs w:val="21"/>
                <w14:textFill>
                  <w14:solidFill>
                    <w14:schemeClr w14:val="tx1"/>
                  </w14:solidFill>
                </w14:textFill>
              </w:rPr>
            </w:pPr>
          </w:p>
        </w:tc>
        <w:tc>
          <w:tcPr>
            <w:tcW w:w="1044" w:type="dxa"/>
            <w:vAlign w:val="center"/>
          </w:tcPr>
          <w:p w14:paraId="7183BF04">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5AA00C30">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736EC9CD">
            <w:pPr>
              <w:spacing w:line="400" w:lineRule="exact"/>
              <w:jc w:val="center"/>
              <w:rPr>
                <w:rFonts w:hint="eastAsia" w:ascii="宋体" w:hAnsi="宋体" w:cs="宋体"/>
                <w:color w:val="000000" w:themeColor="text1"/>
                <w:szCs w:val="21"/>
                <w14:textFill>
                  <w14:solidFill>
                    <w14:schemeClr w14:val="tx1"/>
                  </w14:solidFill>
                </w14:textFill>
              </w:rPr>
            </w:pPr>
          </w:p>
        </w:tc>
        <w:tc>
          <w:tcPr>
            <w:tcW w:w="1487" w:type="dxa"/>
            <w:vAlign w:val="center"/>
          </w:tcPr>
          <w:p w14:paraId="1FA0A56C">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69D8BDA3">
            <w:pPr>
              <w:spacing w:line="400" w:lineRule="exact"/>
              <w:jc w:val="center"/>
              <w:rPr>
                <w:rFonts w:hint="eastAsia" w:ascii="宋体" w:hAnsi="宋体" w:cs="宋体"/>
                <w:color w:val="000000" w:themeColor="text1"/>
                <w:szCs w:val="21"/>
                <w14:textFill>
                  <w14:solidFill>
                    <w14:schemeClr w14:val="tx1"/>
                  </w14:solidFill>
                </w14:textFill>
              </w:rPr>
            </w:pPr>
          </w:p>
        </w:tc>
      </w:tr>
      <w:tr w14:paraId="201E3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2C6C474F">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20AE8603">
            <w:pPr>
              <w:spacing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53326901">
            <w:pPr>
              <w:spacing w:line="400" w:lineRule="exact"/>
              <w:jc w:val="center"/>
              <w:rPr>
                <w:rFonts w:hint="eastAsia" w:ascii="宋体" w:hAnsi="宋体" w:cs="宋体"/>
                <w:color w:val="000000" w:themeColor="text1"/>
                <w:szCs w:val="21"/>
                <w14:textFill>
                  <w14:solidFill>
                    <w14:schemeClr w14:val="tx1"/>
                  </w14:solidFill>
                </w14:textFill>
              </w:rPr>
            </w:pPr>
          </w:p>
        </w:tc>
        <w:tc>
          <w:tcPr>
            <w:tcW w:w="940" w:type="dxa"/>
            <w:vAlign w:val="center"/>
          </w:tcPr>
          <w:p w14:paraId="7CA7BB33">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1EF70F8F">
            <w:pPr>
              <w:spacing w:line="400" w:lineRule="exact"/>
              <w:jc w:val="center"/>
              <w:rPr>
                <w:rFonts w:hint="eastAsia" w:ascii="宋体" w:hAnsi="宋体" w:cs="宋体"/>
                <w:color w:val="000000" w:themeColor="text1"/>
                <w:szCs w:val="21"/>
                <w14:textFill>
                  <w14:solidFill>
                    <w14:schemeClr w14:val="tx1"/>
                  </w14:solidFill>
                </w14:textFill>
              </w:rPr>
            </w:pPr>
          </w:p>
        </w:tc>
        <w:tc>
          <w:tcPr>
            <w:tcW w:w="1044" w:type="dxa"/>
            <w:vAlign w:val="center"/>
          </w:tcPr>
          <w:p w14:paraId="13EA61AB">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0EE161C1">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577F2B14">
            <w:pPr>
              <w:spacing w:line="400" w:lineRule="exact"/>
              <w:jc w:val="center"/>
              <w:rPr>
                <w:rFonts w:hint="eastAsia" w:ascii="宋体" w:hAnsi="宋体" w:cs="宋体"/>
                <w:color w:val="000000" w:themeColor="text1"/>
                <w:szCs w:val="21"/>
                <w14:textFill>
                  <w14:solidFill>
                    <w14:schemeClr w14:val="tx1"/>
                  </w14:solidFill>
                </w14:textFill>
              </w:rPr>
            </w:pPr>
          </w:p>
        </w:tc>
        <w:tc>
          <w:tcPr>
            <w:tcW w:w="1487" w:type="dxa"/>
            <w:vAlign w:val="center"/>
          </w:tcPr>
          <w:p w14:paraId="502F5F7E">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6A9596AA">
            <w:pPr>
              <w:spacing w:line="400" w:lineRule="exact"/>
              <w:jc w:val="center"/>
              <w:rPr>
                <w:rFonts w:hint="eastAsia" w:ascii="宋体" w:hAnsi="宋体" w:cs="宋体"/>
                <w:color w:val="000000" w:themeColor="text1"/>
                <w:szCs w:val="21"/>
                <w14:textFill>
                  <w14:solidFill>
                    <w14:schemeClr w14:val="tx1"/>
                  </w14:solidFill>
                </w14:textFill>
              </w:rPr>
            </w:pPr>
          </w:p>
        </w:tc>
      </w:tr>
      <w:tr w14:paraId="74BA3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4F0F1C2">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2BB378F7">
            <w:pPr>
              <w:spacing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79EEE477">
            <w:pPr>
              <w:spacing w:line="400" w:lineRule="exact"/>
              <w:jc w:val="center"/>
              <w:rPr>
                <w:rFonts w:hint="eastAsia" w:ascii="宋体" w:hAnsi="宋体" w:cs="宋体"/>
                <w:color w:val="000000" w:themeColor="text1"/>
                <w:szCs w:val="21"/>
                <w14:textFill>
                  <w14:solidFill>
                    <w14:schemeClr w14:val="tx1"/>
                  </w14:solidFill>
                </w14:textFill>
              </w:rPr>
            </w:pPr>
          </w:p>
        </w:tc>
        <w:tc>
          <w:tcPr>
            <w:tcW w:w="940" w:type="dxa"/>
            <w:vAlign w:val="center"/>
          </w:tcPr>
          <w:p w14:paraId="55E53808">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376B1A0B">
            <w:pPr>
              <w:spacing w:line="400" w:lineRule="exact"/>
              <w:jc w:val="center"/>
              <w:rPr>
                <w:rFonts w:hint="eastAsia" w:ascii="宋体" w:hAnsi="宋体" w:cs="宋体"/>
                <w:color w:val="000000" w:themeColor="text1"/>
                <w:szCs w:val="21"/>
                <w14:textFill>
                  <w14:solidFill>
                    <w14:schemeClr w14:val="tx1"/>
                  </w14:solidFill>
                </w14:textFill>
              </w:rPr>
            </w:pPr>
          </w:p>
        </w:tc>
        <w:tc>
          <w:tcPr>
            <w:tcW w:w="1044" w:type="dxa"/>
            <w:vAlign w:val="center"/>
          </w:tcPr>
          <w:p w14:paraId="4F673F2B">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53CCE7DB">
            <w:pPr>
              <w:spacing w:line="400" w:lineRule="exact"/>
              <w:jc w:val="center"/>
              <w:rPr>
                <w:rFonts w:hint="eastAsia" w:ascii="宋体" w:hAnsi="宋体" w:cs="宋体"/>
                <w:color w:val="000000" w:themeColor="text1"/>
                <w:szCs w:val="21"/>
                <w14:textFill>
                  <w14:solidFill>
                    <w14:schemeClr w14:val="tx1"/>
                  </w14:solidFill>
                </w14:textFill>
              </w:rPr>
            </w:pPr>
          </w:p>
        </w:tc>
        <w:tc>
          <w:tcPr>
            <w:tcW w:w="851" w:type="dxa"/>
            <w:vAlign w:val="center"/>
          </w:tcPr>
          <w:p w14:paraId="3DC2D092">
            <w:pPr>
              <w:spacing w:line="400" w:lineRule="exact"/>
              <w:jc w:val="center"/>
              <w:rPr>
                <w:rFonts w:hint="eastAsia" w:ascii="宋体" w:hAnsi="宋体" w:cs="宋体"/>
                <w:color w:val="000000" w:themeColor="text1"/>
                <w:szCs w:val="21"/>
                <w14:textFill>
                  <w14:solidFill>
                    <w14:schemeClr w14:val="tx1"/>
                  </w14:solidFill>
                </w14:textFill>
              </w:rPr>
            </w:pPr>
          </w:p>
        </w:tc>
        <w:tc>
          <w:tcPr>
            <w:tcW w:w="1487" w:type="dxa"/>
            <w:vAlign w:val="center"/>
          </w:tcPr>
          <w:p w14:paraId="524A3900">
            <w:pPr>
              <w:spacing w:line="400" w:lineRule="exact"/>
              <w:jc w:val="center"/>
              <w:rPr>
                <w:rFonts w:hint="eastAsia" w:ascii="宋体" w:hAnsi="宋体" w:cs="宋体"/>
                <w:color w:val="000000" w:themeColor="text1"/>
                <w:szCs w:val="21"/>
                <w14:textFill>
                  <w14:solidFill>
                    <w14:schemeClr w14:val="tx1"/>
                  </w14:solidFill>
                </w14:textFill>
              </w:rPr>
            </w:pPr>
          </w:p>
        </w:tc>
        <w:tc>
          <w:tcPr>
            <w:tcW w:w="992" w:type="dxa"/>
            <w:vAlign w:val="center"/>
          </w:tcPr>
          <w:p w14:paraId="2DCBD823">
            <w:pPr>
              <w:spacing w:line="400" w:lineRule="exact"/>
              <w:jc w:val="center"/>
              <w:rPr>
                <w:rFonts w:hint="eastAsia" w:ascii="宋体" w:hAnsi="宋体" w:cs="宋体"/>
                <w:color w:val="000000" w:themeColor="text1"/>
                <w:szCs w:val="21"/>
                <w14:textFill>
                  <w14:solidFill>
                    <w14:schemeClr w14:val="tx1"/>
                  </w14:solidFill>
                </w14:textFill>
              </w:rPr>
            </w:pPr>
          </w:p>
        </w:tc>
      </w:tr>
    </w:tbl>
    <w:p w14:paraId="13B05719">
      <w:pPr>
        <w:spacing w:line="440" w:lineRule="exact"/>
        <w:rPr>
          <w:rFonts w:hint="eastAsia" w:ascii="宋体" w:hAnsi="宋体" w:cs="宋体"/>
          <w:color w:val="000000" w:themeColor="text1"/>
          <w:szCs w:val="21"/>
          <w14:textFill>
            <w14:solidFill>
              <w14:schemeClr w14:val="tx1"/>
            </w14:solidFill>
          </w14:textFill>
        </w:rPr>
      </w:pPr>
    </w:p>
    <w:p w14:paraId="06A422FF">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200EA950">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w:t>
      </w:r>
      <w:bookmarkStart w:id="1967" w:name="_Toc296944565"/>
      <w:bookmarkStart w:id="1968" w:name="_Toc296347225"/>
      <w:bookmarkStart w:id="1969" w:name="_Toc296346727"/>
      <w:bookmarkStart w:id="1970" w:name="_Toc296891054"/>
      <w:bookmarkStart w:id="1971" w:name="_Toc267261693"/>
      <w:bookmarkStart w:id="1972" w:name="_Toc296891266"/>
      <w:bookmarkStart w:id="1973" w:name="_Toc296503226"/>
      <w:r>
        <w:rPr>
          <w:rFonts w:hint="eastAsia" w:ascii="宋体" w:hAnsi="宋体" w:cs="宋体"/>
          <w:color w:val="000000" w:themeColor="text1"/>
          <w:szCs w:val="21"/>
          <w14:textFill>
            <w14:solidFill>
              <w14:schemeClr w14:val="tx1"/>
            </w14:solidFill>
          </w14:textFill>
        </w:rPr>
        <w:t>件3</w:t>
      </w:r>
      <w:bookmarkEnd w:id="1967"/>
      <w:bookmarkEnd w:id="1968"/>
      <w:bookmarkEnd w:id="1969"/>
      <w:bookmarkEnd w:id="1970"/>
      <w:bookmarkEnd w:id="1971"/>
      <w:bookmarkEnd w:id="1972"/>
      <w:bookmarkEnd w:id="1973"/>
    </w:p>
    <w:p w14:paraId="6D5F3371">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工程质量保修书</w:t>
      </w:r>
    </w:p>
    <w:p w14:paraId="6CAF638C">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发包人（全称）：</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w:t>
      </w:r>
    </w:p>
    <w:p w14:paraId="3BFDCA2D">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承包人（全称）：</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w:t>
      </w:r>
    </w:p>
    <w:p w14:paraId="23292181">
      <w:pPr>
        <w:spacing w:line="360" w:lineRule="auto"/>
        <w:rPr>
          <w:rFonts w:hint="eastAsia" w:ascii="宋体" w:hAnsi="宋体" w:cs="宋体"/>
          <w:color w:val="000000" w:themeColor="text1"/>
          <w:szCs w:val="21"/>
          <w14:textFill>
            <w14:solidFill>
              <w14:schemeClr w14:val="tx1"/>
            </w14:solidFill>
          </w14:textFill>
        </w:rPr>
      </w:pPr>
    </w:p>
    <w:p w14:paraId="3A5441CA">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发包人和承包人根据《中华人民共和国建筑法》和《建设工程质量管理条例》，经协商一致就</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（工程全称）签订工程质量保修书。</w:t>
      </w:r>
    </w:p>
    <w:p w14:paraId="20ED0691">
      <w:pPr>
        <w:spacing w:line="360" w:lineRule="auto"/>
        <w:ind w:firstLine="420" w:firstLineChars="200"/>
        <w:outlineLvl w:val="0"/>
        <w:rPr>
          <w:rFonts w:hint="eastAsia" w:ascii="宋体" w:hAnsi="宋体" w:cs="宋体"/>
          <w:color w:val="000000" w:themeColor="text1"/>
          <w:szCs w:val="21"/>
          <w14:textFill>
            <w14:solidFill>
              <w14:schemeClr w14:val="tx1"/>
            </w14:solidFill>
          </w14:textFill>
        </w:rPr>
      </w:pPr>
      <w:bookmarkStart w:id="1974" w:name="_Toc226115593"/>
      <w:r>
        <w:rPr>
          <w:rFonts w:hint="eastAsia" w:ascii="宋体" w:hAnsi="宋体" w:cs="宋体"/>
          <w:color w:val="000000" w:themeColor="text1"/>
          <w:szCs w:val="21"/>
          <w14:textFill>
            <w14:solidFill>
              <w14:schemeClr w14:val="tx1"/>
            </w14:solidFill>
          </w14:textFill>
        </w:rPr>
        <w:t>一、工程质量保修范围和内容</w:t>
      </w:r>
      <w:bookmarkEnd w:id="1974"/>
    </w:p>
    <w:p w14:paraId="03391ABB">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承包人在质量保修期内，按照有关法律规定和合同约定，承担工程质量保修责任。</w:t>
      </w:r>
    </w:p>
    <w:p w14:paraId="64270337">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ACC7E0F">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p>
    <w:p w14:paraId="783CE88E">
      <w:pPr>
        <w:spacing w:line="360" w:lineRule="auto"/>
        <w:ind w:firstLine="420" w:firstLineChars="200"/>
        <w:outlineLvl w:val="0"/>
        <w:rPr>
          <w:rFonts w:hint="eastAsia" w:ascii="宋体" w:hAnsi="宋体" w:cs="宋体"/>
          <w:color w:val="000000" w:themeColor="text1"/>
          <w:szCs w:val="21"/>
          <w14:textFill>
            <w14:solidFill>
              <w14:schemeClr w14:val="tx1"/>
            </w14:solidFill>
          </w14:textFill>
        </w:rPr>
      </w:pPr>
      <w:bookmarkStart w:id="1975" w:name="_Toc226115594"/>
      <w:r>
        <w:rPr>
          <w:rFonts w:hint="eastAsia" w:ascii="宋体" w:hAnsi="宋体" w:cs="宋体"/>
          <w:color w:val="000000" w:themeColor="text1"/>
          <w:szCs w:val="21"/>
          <w14:textFill>
            <w14:solidFill>
              <w14:schemeClr w14:val="tx1"/>
            </w14:solidFill>
          </w14:textFill>
        </w:rPr>
        <w:t>二、质量保修期</w:t>
      </w:r>
      <w:bookmarkEnd w:id="1975"/>
    </w:p>
    <w:p w14:paraId="74502023">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根据《建设工程质量管理条例》及有关规定，工程的质量保修期如下：</w:t>
      </w:r>
    </w:p>
    <w:p w14:paraId="618224ED">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1．地基基础工程和主体结构工程为设计文件规定的工程合理使用年限；</w:t>
      </w:r>
    </w:p>
    <w:p w14:paraId="505E426E">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2．屋面防水工程、有防水要求的卫生间、房间和外墙面的防渗为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p>
    <w:p w14:paraId="07FB0629">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3．装修工程为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p>
    <w:p w14:paraId="0DC80CF9">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4．电气管线、给排水管道、设备安装工程为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p>
    <w:p w14:paraId="50F96D96">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5．供热与供冷系统为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个采暖期、供冷期；</w:t>
      </w:r>
    </w:p>
    <w:p w14:paraId="6079B87C">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6．住宅小区内的给排水设施、道路等配套工程为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p>
    <w:p w14:paraId="70D9A0EE">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7．其他项目保修期限约定如下：</w:t>
      </w:r>
    </w:p>
    <w:p w14:paraId="6312DE00">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p>
    <w:p w14:paraId="38BFECAF">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质量保修期自工程竣工验收合格之日起计算。</w:t>
      </w:r>
    </w:p>
    <w:p w14:paraId="6613335B">
      <w:pPr>
        <w:spacing w:line="360" w:lineRule="auto"/>
        <w:ind w:firstLine="420" w:firstLineChars="200"/>
        <w:outlineLvl w:val="0"/>
        <w:rPr>
          <w:rFonts w:hint="eastAsia" w:ascii="宋体" w:hAnsi="宋体" w:cs="宋体"/>
          <w:color w:val="000000" w:themeColor="text1"/>
          <w:szCs w:val="21"/>
          <w14:textFill>
            <w14:solidFill>
              <w14:schemeClr w14:val="tx1"/>
            </w14:solidFill>
          </w14:textFill>
        </w:rPr>
      </w:pPr>
      <w:bookmarkStart w:id="1976" w:name="_Toc226115595"/>
      <w:r>
        <w:rPr>
          <w:rFonts w:hint="eastAsia" w:ascii="宋体" w:hAnsi="宋体" w:cs="宋体"/>
          <w:color w:val="000000" w:themeColor="text1"/>
          <w:szCs w:val="21"/>
          <w14:textFill>
            <w14:solidFill>
              <w14:schemeClr w14:val="tx1"/>
            </w14:solidFill>
          </w14:textFill>
        </w:rPr>
        <w:t>三、缺陷责任期</w:t>
      </w:r>
      <w:bookmarkEnd w:id="1976"/>
    </w:p>
    <w:p w14:paraId="136D3B80">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工程缺陷责任期为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个月，缺陷责任期自工程通过竣工验收之日起计算。单位工程先于全部工程进行验收，单位工程缺陷责任期自单位工程验收合格之日起算。</w:t>
      </w:r>
    </w:p>
    <w:p w14:paraId="33FD12E3">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缺陷责任期终止后，发包人应退还剩余的质量保证金。</w:t>
      </w:r>
    </w:p>
    <w:p w14:paraId="0D38CB58">
      <w:pPr>
        <w:spacing w:line="360" w:lineRule="auto"/>
        <w:ind w:firstLine="420" w:firstLineChars="200"/>
        <w:outlineLvl w:val="0"/>
        <w:rPr>
          <w:rFonts w:hint="eastAsia" w:ascii="宋体" w:hAnsi="宋体" w:cs="宋体"/>
          <w:color w:val="000000" w:themeColor="text1"/>
          <w:szCs w:val="21"/>
          <w14:textFill>
            <w14:solidFill>
              <w14:schemeClr w14:val="tx1"/>
            </w14:solidFill>
          </w14:textFill>
        </w:rPr>
      </w:pPr>
      <w:bookmarkStart w:id="1977" w:name="_Toc226115596"/>
      <w:r>
        <w:rPr>
          <w:rFonts w:hint="eastAsia" w:ascii="宋体" w:hAnsi="宋体" w:cs="宋体"/>
          <w:color w:val="000000" w:themeColor="text1"/>
          <w:szCs w:val="21"/>
          <w14:textFill>
            <w14:solidFill>
              <w14:schemeClr w14:val="tx1"/>
            </w14:solidFill>
          </w14:textFill>
        </w:rPr>
        <w:t>四、质量保修责任</w:t>
      </w:r>
      <w:bookmarkEnd w:id="1977"/>
    </w:p>
    <w:p w14:paraId="7613099F">
      <w:pPr>
        <w:spacing w:line="360" w:lineRule="auto"/>
        <w:ind w:firstLine="430" w:firstLineChars="20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1．属于保修范围、内容的项目，承包人应当在接到保修通知之日起7天内派人保修。承包人不在约定期限内派人保修的，发包人可以委托他人修理。</w:t>
      </w:r>
    </w:p>
    <w:p w14:paraId="773265B6">
      <w:pPr>
        <w:spacing w:line="360" w:lineRule="auto"/>
        <w:ind w:firstLine="430" w:firstLineChars="20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2．发生紧急事故需抢修的，承包人在接到事故通知后，应当立即到达事故现场抢修。</w:t>
      </w:r>
    </w:p>
    <w:p w14:paraId="4E7078D4">
      <w:pPr>
        <w:spacing w:line="360" w:lineRule="auto"/>
        <w:ind w:firstLine="430" w:firstLineChars="20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144FE9E">
      <w:pPr>
        <w:spacing w:line="360" w:lineRule="auto"/>
        <w:ind w:firstLine="105" w:firstLineChars="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4．质量保修完成后，由发包人组织验收。</w:t>
      </w:r>
    </w:p>
    <w:p w14:paraId="2B4B70E0">
      <w:pPr>
        <w:spacing w:line="360" w:lineRule="auto"/>
        <w:ind w:firstLine="420" w:firstLineChars="200"/>
        <w:outlineLvl w:val="0"/>
        <w:rPr>
          <w:rFonts w:hint="eastAsia" w:ascii="宋体" w:hAnsi="宋体" w:cs="宋体"/>
          <w:color w:val="000000" w:themeColor="text1"/>
          <w:szCs w:val="21"/>
          <w14:textFill>
            <w14:solidFill>
              <w14:schemeClr w14:val="tx1"/>
            </w14:solidFill>
          </w14:textFill>
        </w:rPr>
      </w:pPr>
      <w:bookmarkStart w:id="1978" w:name="_Toc226115597"/>
      <w:r>
        <w:rPr>
          <w:rFonts w:hint="eastAsia" w:ascii="宋体" w:hAnsi="宋体" w:cs="宋体"/>
          <w:color w:val="000000" w:themeColor="text1"/>
          <w:szCs w:val="21"/>
          <w14:textFill>
            <w14:solidFill>
              <w14:schemeClr w14:val="tx1"/>
            </w14:solidFill>
          </w14:textFill>
        </w:rPr>
        <w:t>五、保修费用</w:t>
      </w:r>
      <w:bookmarkEnd w:id="1978"/>
    </w:p>
    <w:p w14:paraId="21BFB8F7">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保修费用由造成质量缺陷的责任方承担。</w:t>
      </w:r>
    </w:p>
    <w:p w14:paraId="32129C1F">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六、双</w:t>
      </w:r>
      <w:r>
        <w:rPr>
          <w:rFonts w:hint="eastAsia" w:ascii="宋体" w:hAnsi="宋体" w:cs="宋体"/>
          <w:color w:val="000000" w:themeColor="text1"/>
          <w:szCs w:val="21"/>
          <w14:textFill>
            <w14:solidFill>
              <w14:schemeClr w14:val="tx1"/>
            </w14:solidFill>
          </w14:textFill>
        </w:rPr>
        <w:t>方约定的其他工程质量保修事项：</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p>
    <w:p w14:paraId="5E574664">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工程质量保修书由发包人、承包人在工程竣工验收前共同签署，作为施工合同附件，其有效期限至保修期满。</w:t>
      </w:r>
    </w:p>
    <w:p w14:paraId="237065EA">
      <w:pPr>
        <w:spacing w:line="360" w:lineRule="auto"/>
        <w:ind w:firstLine="420"/>
        <w:rPr>
          <w:rFonts w:hint="eastAsia" w:ascii="宋体" w:hAnsi="宋体" w:cs="宋体"/>
          <w:color w:val="000000" w:themeColor="text1"/>
          <w:szCs w:val="21"/>
          <w14:textFill>
            <w14:solidFill>
              <w14:schemeClr w14:val="tx1"/>
            </w14:solidFill>
          </w14:textFill>
        </w:rPr>
      </w:pPr>
    </w:p>
    <w:p w14:paraId="6D9CE3F8">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发包人(公章)：</w:t>
      </w:r>
      <w:r>
        <w:rPr>
          <w:rFonts w:hint="eastAsia" w:ascii="宋体" w:hAnsi="宋体" w:cs="宋体"/>
          <w:color w:val="000000" w:themeColor="text1"/>
          <w:szCs w:val="21"/>
          <w:u w:val="single"/>
          <w14:textFill>
            <w14:solidFill>
              <w14:schemeClr w14:val="tx1"/>
            </w14:solidFill>
          </w14:textFill>
        </w:rPr>
        <w:t xml:space="preserve">        </w:t>
      </w:r>
      <w:r>
        <w:rPr>
          <w:rFonts w:hint="eastAsia" w:ascii="宋体" w:hAnsi="宋体" w:cs="宋体"/>
          <w:color w:val="000000" w:themeColor="text1"/>
          <w:szCs w:val="21"/>
          <w14:textFill>
            <w14:solidFill>
              <w14:schemeClr w14:val="tx1"/>
            </w14:solidFill>
          </w14:textFill>
        </w:rPr>
        <w:t xml:space="preserve"> 承包人(公章)：</w:t>
      </w:r>
      <w:r>
        <w:rPr>
          <w:rFonts w:hint="eastAsia" w:ascii="宋体" w:hAnsi="宋体" w:cs="宋体"/>
          <w:color w:val="000000" w:themeColor="text1"/>
          <w:szCs w:val="21"/>
          <w:u w:val="single"/>
          <w14:textFill>
            <w14:solidFill>
              <w14:schemeClr w14:val="tx1"/>
            </w14:solidFill>
          </w14:textFill>
        </w:rPr>
        <w:t xml:space="preserve">           </w:t>
      </w:r>
    </w:p>
    <w:p w14:paraId="6E8992EF">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w:t>
      </w:r>
      <w:r>
        <w:rPr>
          <w:rFonts w:hint="eastAsia" w:ascii="宋体" w:hAnsi="宋体" w:cs="宋体"/>
          <w:color w:val="000000" w:themeColor="text1"/>
          <w:szCs w:val="21"/>
          <w:u w:val="single"/>
          <w14:textFill>
            <w14:solidFill>
              <w14:schemeClr w14:val="tx1"/>
            </w14:solidFill>
          </w14:textFill>
        </w:rPr>
        <w:t xml:space="preserve">     </w:t>
      </w:r>
      <w:r>
        <w:rPr>
          <w:rFonts w:hint="eastAsia" w:ascii="宋体" w:hAnsi="宋体" w:cs="宋体"/>
          <w:color w:val="000000" w:themeColor="text1"/>
          <w:szCs w:val="21"/>
          <w14:textFill>
            <w14:solidFill>
              <w14:schemeClr w14:val="tx1"/>
            </w14:solidFill>
          </w14:textFill>
        </w:rPr>
        <w:t xml:space="preserve"> 地  址：</w:t>
      </w:r>
      <w:r>
        <w:rPr>
          <w:rFonts w:hint="eastAsia" w:ascii="宋体" w:hAnsi="宋体" w:cs="宋体"/>
          <w:color w:val="000000" w:themeColor="text1"/>
          <w:szCs w:val="21"/>
          <w:u w:val="single"/>
          <w14:textFill>
            <w14:solidFill>
              <w14:schemeClr w14:val="tx1"/>
            </w14:solidFill>
          </w14:textFill>
        </w:rPr>
        <w:t xml:space="preserve">       </w:t>
      </w:r>
    </w:p>
    <w:p w14:paraId="6D6A669E">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法定代表人(签名)：</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法定代表人(签名)：</w:t>
      </w:r>
      <w:r>
        <w:rPr>
          <w:rFonts w:hint="eastAsia" w:ascii="宋体" w:hAnsi="宋体" w:cs="宋体"/>
          <w:color w:val="000000" w:themeColor="text1"/>
          <w:szCs w:val="21"/>
          <w:u w:val="single"/>
          <w14:textFill>
            <w14:solidFill>
              <w14:schemeClr w14:val="tx1"/>
            </w14:solidFill>
          </w14:textFill>
        </w:rPr>
        <w:t xml:space="preserve">       </w:t>
      </w:r>
    </w:p>
    <w:p w14:paraId="6FAA540E">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委托代理人(签名)：</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委托代理人(签名)：</w:t>
      </w:r>
      <w:r>
        <w:rPr>
          <w:rFonts w:hint="eastAsia" w:ascii="宋体" w:hAnsi="宋体" w:cs="宋体"/>
          <w:color w:val="000000" w:themeColor="text1"/>
          <w:szCs w:val="21"/>
          <w:u w:val="single"/>
          <w14:textFill>
            <w14:solidFill>
              <w14:schemeClr w14:val="tx1"/>
            </w14:solidFill>
          </w14:textFill>
        </w:rPr>
        <w:t xml:space="preserve">       </w:t>
      </w:r>
    </w:p>
    <w:p w14:paraId="130334A0">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  话：</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电  话：</w:t>
      </w:r>
      <w:r>
        <w:rPr>
          <w:rFonts w:hint="eastAsia" w:ascii="宋体" w:hAnsi="宋体" w:cs="宋体"/>
          <w:color w:val="000000" w:themeColor="text1"/>
          <w:szCs w:val="21"/>
          <w:u w:val="single"/>
          <w14:textFill>
            <w14:solidFill>
              <w14:schemeClr w14:val="tx1"/>
            </w14:solidFill>
          </w14:textFill>
        </w:rPr>
        <w:t xml:space="preserve">     </w:t>
      </w:r>
    </w:p>
    <w:p w14:paraId="60181436">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传  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传  真：</w:t>
      </w:r>
      <w:r>
        <w:rPr>
          <w:rFonts w:hint="eastAsia" w:ascii="宋体" w:hAnsi="宋体" w:cs="宋体"/>
          <w:color w:val="000000" w:themeColor="text1"/>
          <w:szCs w:val="21"/>
          <w:u w:val="single"/>
          <w14:textFill>
            <w14:solidFill>
              <w14:schemeClr w14:val="tx1"/>
            </w14:solidFill>
          </w14:textFill>
        </w:rPr>
        <w:t xml:space="preserve">     </w:t>
      </w:r>
    </w:p>
    <w:p w14:paraId="73B82AD0">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开户银行：</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开户银行：</w:t>
      </w:r>
      <w:r>
        <w:rPr>
          <w:rFonts w:hint="eastAsia" w:ascii="宋体" w:hAnsi="宋体" w:cs="宋体"/>
          <w:color w:val="000000" w:themeColor="text1"/>
          <w:szCs w:val="21"/>
          <w:u w:val="single"/>
          <w14:textFill>
            <w14:solidFill>
              <w14:schemeClr w14:val="tx1"/>
            </w14:solidFill>
          </w14:textFill>
        </w:rPr>
        <w:t xml:space="preserve">   </w:t>
      </w:r>
    </w:p>
    <w:p w14:paraId="3C757B2C">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账  号：</w:t>
      </w:r>
      <w:r>
        <w:rPr>
          <w:rFonts w:hint="eastAsia" w:ascii="宋体" w:hAnsi="宋体" w:cs="宋体"/>
          <w:color w:val="000000" w:themeColor="text1"/>
          <w:szCs w:val="21"/>
          <w:u w:val="single"/>
          <w14:textFill>
            <w14:solidFill>
              <w14:schemeClr w14:val="tx1"/>
            </w14:solidFill>
          </w14:textFill>
        </w:rPr>
        <w:t xml:space="preserve">       </w:t>
      </w:r>
      <w:r>
        <w:rPr>
          <w:rFonts w:hint="eastAsia" w:ascii="宋体" w:hAnsi="宋体" w:cs="宋体"/>
          <w:color w:val="000000" w:themeColor="text1"/>
          <w:szCs w:val="21"/>
          <w14:textFill>
            <w14:solidFill>
              <w14:schemeClr w14:val="tx1"/>
            </w14:solidFill>
          </w14:textFill>
        </w:rPr>
        <w:t xml:space="preserve">  账  号：</w:t>
      </w:r>
      <w:r>
        <w:rPr>
          <w:rFonts w:hint="eastAsia" w:ascii="宋体" w:hAnsi="宋体" w:cs="宋体"/>
          <w:color w:val="000000" w:themeColor="text1"/>
          <w:szCs w:val="21"/>
          <w:u w:val="single"/>
          <w14:textFill>
            <w14:solidFill>
              <w14:schemeClr w14:val="tx1"/>
            </w14:solidFill>
          </w14:textFill>
        </w:rPr>
        <w:t xml:space="preserve">     </w:t>
      </w:r>
    </w:p>
    <w:p w14:paraId="1C19BDED">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邮政编码：</w:t>
      </w:r>
      <w:r>
        <w:rPr>
          <w:rFonts w:hint="eastAsia" w:ascii="宋体" w:hAnsi="宋体" w:cs="宋体"/>
          <w:color w:val="000000" w:themeColor="text1"/>
          <w:szCs w:val="21"/>
          <w:u w:val="single"/>
          <w14:textFill>
            <w14:solidFill>
              <w14:schemeClr w14:val="tx1"/>
            </w14:solidFill>
          </w14:textFill>
        </w:rPr>
        <w:t xml:space="preserve">     </w:t>
      </w:r>
      <w:r>
        <w:rPr>
          <w:rFonts w:hint="eastAsia" w:ascii="宋体" w:hAnsi="宋体" w:cs="宋体"/>
          <w:color w:val="000000" w:themeColor="text1"/>
          <w:szCs w:val="21"/>
          <w14:textFill>
            <w14:solidFill>
              <w14:schemeClr w14:val="tx1"/>
            </w14:solidFill>
          </w14:textFill>
        </w:rPr>
        <w:t xml:space="preserve"> 邮政编码：</w:t>
      </w:r>
      <w:r>
        <w:rPr>
          <w:rFonts w:hint="eastAsia" w:ascii="宋体" w:hAnsi="宋体" w:cs="宋体"/>
          <w:color w:val="000000" w:themeColor="text1"/>
          <w:szCs w:val="21"/>
          <w:u w:val="single"/>
          <w14:textFill>
            <w14:solidFill>
              <w14:schemeClr w14:val="tx1"/>
            </w14:solidFill>
          </w14:textFill>
        </w:rPr>
        <w:t xml:space="preserve">   </w:t>
      </w:r>
    </w:p>
    <w:p w14:paraId="084D62D1">
      <w:pPr>
        <w:spacing w:line="440" w:lineRule="exact"/>
        <w:rPr>
          <w:rFonts w:hint="eastAsia"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br w:type="page"/>
      </w:r>
      <w:r>
        <w:rPr>
          <w:rFonts w:hint="eastAsia" w:ascii="宋体" w:hAnsi="宋体" w:cs="宋体"/>
          <w:color w:val="000000" w:themeColor="text1"/>
          <w:szCs w:val="21"/>
          <w14:textFill>
            <w14:solidFill>
              <w14:schemeClr w14:val="tx1"/>
            </w14:solidFill>
          </w14:textFill>
        </w:rPr>
        <w:t>附件4</w:t>
      </w:r>
    </w:p>
    <w:p w14:paraId="40A80E1F">
      <w:pPr>
        <w:spacing w:before="156" w:beforeLines="50" w:after="156" w:afterLines="50" w:line="44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主要建设工程文件目录</w:t>
      </w:r>
    </w:p>
    <w:tbl>
      <w:tblPr>
        <w:tblStyle w:val="45"/>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794821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211BDBF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文件名称</w:t>
            </w:r>
          </w:p>
        </w:tc>
        <w:tc>
          <w:tcPr>
            <w:tcW w:w="1276" w:type="dxa"/>
            <w:tcBorders>
              <w:top w:val="single" w:color="auto" w:sz="12" w:space="0"/>
              <w:bottom w:val="double" w:color="auto" w:sz="6" w:space="0"/>
            </w:tcBorders>
            <w:vAlign w:val="center"/>
          </w:tcPr>
          <w:p w14:paraId="27038D7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套数</w:t>
            </w:r>
          </w:p>
        </w:tc>
        <w:tc>
          <w:tcPr>
            <w:tcW w:w="1450" w:type="dxa"/>
            <w:tcBorders>
              <w:top w:val="single" w:color="auto" w:sz="12" w:space="0"/>
              <w:bottom w:val="double" w:color="auto" w:sz="6" w:space="0"/>
            </w:tcBorders>
            <w:vAlign w:val="center"/>
          </w:tcPr>
          <w:p w14:paraId="382E672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费用（元）</w:t>
            </w:r>
          </w:p>
        </w:tc>
        <w:tc>
          <w:tcPr>
            <w:tcW w:w="1243" w:type="dxa"/>
            <w:tcBorders>
              <w:top w:val="single" w:color="auto" w:sz="12" w:space="0"/>
              <w:bottom w:val="double" w:color="auto" w:sz="6" w:space="0"/>
            </w:tcBorders>
            <w:vAlign w:val="center"/>
          </w:tcPr>
          <w:p w14:paraId="4A955FC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w:t>
            </w:r>
          </w:p>
        </w:tc>
        <w:tc>
          <w:tcPr>
            <w:tcW w:w="1450" w:type="dxa"/>
            <w:tcBorders>
              <w:top w:val="single" w:color="auto" w:sz="12" w:space="0"/>
              <w:bottom w:val="double" w:color="auto" w:sz="6" w:space="0"/>
            </w:tcBorders>
          </w:tcPr>
          <w:p w14:paraId="4C121918">
            <w:pP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移交时间</w:t>
            </w:r>
          </w:p>
        </w:tc>
        <w:tc>
          <w:tcPr>
            <w:tcW w:w="1667" w:type="dxa"/>
            <w:tcBorders>
              <w:top w:val="single" w:color="auto" w:sz="12" w:space="0"/>
              <w:bottom w:val="double" w:color="auto" w:sz="6" w:space="0"/>
            </w:tcBorders>
          </w:tcPr>
          <w:p w14:paraId="5370AB99">
            <w:pP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责任人</w:t>
            </w:r>
          </w:p>
        </w:tc>
      </w:tr>
      <w:tr w14:paraId="4CF87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080FF70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tcBorders>
              <w:top w:val="double" w:color="auto" w:sz="6" w:space="0"/>
              <w:bottom w:val="single" w:color="auto" w:sz="6" w:space="0"/>
            </w:tcBorders>
            <w:vAlign w:val="center"/>
          </w:tcPr>
          <w:p w14:paraId="52219966">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tcBorders>
              <w:top w:val="double" w:color="auto" w:sz="6" w:space="0"/>
              <w:bottom w:val="single" w:color="auto" w:sz="6" w:space="0"/>
            </w:tcBorders>
            <w:vAlign w:val="center"/>
          </w:tcPr>
          <w:p w14:paraId="22E8FEE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43" w:type="dxa"/>
            <w:tcBorders>
              <w:top w:val="double" w:color="auto" w:sz="6" w:space="0"/>
              <w:bottom w:val="single" w:color="auto" w:sz="6" w:space="0"/>
            </w:tcBorders>
            <w:vAlign w:val="center"/>
          </w:tcPr>
          <w:p w14:paraId="66BDB6E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tcBorders>
              <w:top w:val="double" w:color="auto" w:sz="6" w:space="0"/>
              <w:bottom w:val="single" w:color="auto" w:sz="6" w:space="0"/>
            </w:tcBorders>
            <w:vAlign w:val="center"/>
          </w:tcPr>
          <w:p w14:paraId="202B904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667" w:type="dxa"/>
            <w:tcBorders>
              <w:top w:val="double" w:color="auto" w:sz="6" w:space="0"/>
              <w:bottom w:val="single" w:color="auto" w:sz="6" w:space="0"/>
            </w:tcBorders>
            <w:vAlign w:val="center"/>
          </w:tcPr>
          <w:p w14:paraId="2F848DB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6C5908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512ABE0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tcBorders>
              <w:top w:val="nil"/>
            </w:tcBorders>
            <w:vAlign w:val="center"/>
          </w:tcPr>
          <w:p w14:paraId="157967B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tcBorders>
              <w:top w:val="nil"/>
            </w:tcBorders>
            <w:vAlign w:val="center"/>
          </w:tcPr>
          <w:p w14:paraId="07BE06A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43" w:type="dxa"/>
            <w:tcBorders>
              <w:top w:val="nil"/>
            </w:tcBorders>
            <w:vAlign w:val="center"/>
          </w:tcPr>
          <w:p w14:paraId="7A027F4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tcBorders>
              <w:top w:val="nil"/>
            </w:tcBorders>
            <w:vAlign w:val="center"/>
          </w:tcPr>
          <w:p w14:paraId="008D6CC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667" w:type="dxa"/>
            <w:tcBorders>
              <w:top w:val="nil"/>
            </w:tcBorders>
            <w:vAlign w:val="center"/>
          </w:tcPr>
          <w:p w14:paraId="6484B55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1E0196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D1DDF9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17D1104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vAlign w:val="center"/>
          </w:tcPr>
          <w:p w14:paraId="60BED47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43" w:type="dxa"/>
            <w:vAlign w:val="center"/>
          </w:tcPr>
          <w:p w14:paraId="2EF0204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vAlign w:val="center"/>
          </w:tcPr>
          <w:p w14:paraId="36A3423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667" w:type="dxa"/>
            <w:vAlign w:val="center"/>
          </w:tcPr>
          <w:p w14:paraId="1CDE070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372C4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66C443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746B2A4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vAlign w:val="center"/>
          </w:tcPr>
          <w:p w14:paraId="2E618BC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43" w:type="dxa"/>
            <w:vAlign w:val="center"/>
          </w:tcPr>
          <w:p w14:paraId="14C199B6">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vAlign w:val="center"/>
          </w:tcPr>
          <w:p w14:paraId="73FD46F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667" w:type="dxa"/>
            <w:vAlign w:val="center"/>
          </w:tcPr>
          <w:p w14:paraId="562BF74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7B881E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E7A7DE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4E02A8D6">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vAlign w:val="center"/>
          </w:tcPr>
          <w:p w14:paraId="0E55F2B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43" w:type="dxa"/>
            <w:vAlign w:val="center"/>
          </w:tcPr>
          <w:p w14:paraId="0F72823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vAlign w:val="center"/>
          </w:tcPr>
          <w:p w14:paraId="0F91457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667" w:type="dxa"/>
            <w:vAlign w:val="center"/>
          </w:tcPr>
          <w:p w14:paraId="65C40D9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574105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D05F9C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23D5337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vAlign w:val="center"/>
          </w:tcPr>
          <w:p w14:paraId="6F1B17D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43" w:type="dxa"/>
            <w:vAlign w:val="center"/>
          </w:tcPr>
          <w:p w14:paraId="71D7104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vAlign w:val="center"/>
          </w:tcPr>
          <w:p w14:paraId="512C76E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667" w:type="dxa"/>
            <w:vAlign w:val="center"/>
          </w:tcPr>
          <w:p w14:paraId="440B5F7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155211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7F7F6E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54BF3B6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vAlign w:val="center"/>
          </w:tcPr>
          <w:p w14:paraId="4E64DB4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43" w:type="dxa"/>
            <w:vAlign w:val="center"/>
          </w:tcPr>
          <w:p w14:paraId="2DF509D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vAlign w:val="center"/>
          </w:tcPr>
          <w:p w14:paraId="01F2AB5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667" w:type="dxa"/>
            <w:vAlign w:val="center"/>
          </w:tcPr>
          <w:p w14:paraId="0B735AA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4EFF8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414A9E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5F6B290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vAlign w:val="center"/>
          </w:tcPr>
          <w:p w14:paraId="45A5E34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43" w:type="dxa"/>
            <w:vAlign w:val="center"/>
          </w:tcPr>
          <w:p w14:paraId="78FF3C5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vAlign w:val="center"/>
          </w:tcPr>
          <w:p w14:paraId="377C442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667" w:type="dxa"/>
            <w:vAlign w:val="center"/>
          </w:tcPr>
          <w:p w14:paraId="259E5E16">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05AD6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87ED11C">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tcPr>
          <w:p w14:paraId="03F52C95">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2DEB9164">
            <w:pPr>
              <w:spacing w:line="400" w:lineRule="exact"/>
              <w:jc w:val="center"/>
              <w:rPr>
                <w:rFonts w:hint="eastAsia" w:ascii="宋体" w:hAnsi="宋体" w:cs="宋体"/>
                <w:color w:val="000000" w:themeColor="text1"/>
                <w:szCs w:val="21"/>
                <w14:textFill>
                  <w14:solidFill>
                    <w14:schemeClr w14:val="tx1"/>
                  </w14:solidFill>
                </w14:textFill>
              </w:rPr>
            </w:pPr>
          </w:p>
        </w:tc>
        <w:tc>
          <w:tcPr>
            <w:tcW w:w="1243" w:type="dxa"/>
          </w:tcPr>
          <w:p w14:paraId="55AC2BF8">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614CA837">
            <w:pPr>
              <w:spacing w:line="400" w:lineRule="exact"/>
              <w:jc w:val="center"/>
              <w:rPr>
                <w:rFonts w:hint="eastAsia" w:ascii="宋体" w:hAnsi="宋体" w:cs="宋体"/>
                <w:color w:val="000000" w:themeColor="text1"/>
                <w:szCs w:val="21"/>
                <w14:textFill>
                  <w14:solidFill>
                    <w14:schemeClr w14:val="tx1"/>
                  </w14:solidFill>
                </w14:textFill>
              </w:rPr>
            </w:pPr>
          </w:p>
        </w:tc>
        <w:tc>
          <w:tcPr>
            <w:tcW w:w="1667" w:type="dxa"/>
          </w:tcPr>
          <w:p w14:paraId="6DDE80D4">
            <w:pPr>
              <w:spacing w:line="400" w:lineRule="exact"/>
              <w:jc w:val="center"/>
              <w:rPr>
                <w:rFonts w:hint="eastAsia" w:ascii="宋体" w:hAnsi="宋体" w:cs="宋体"/>
                <w:color w:val="000000" w:themeColor="text1"/>
                <w:szCs w:val="21"/>
                <w14:textFill>
                  <w14:solidFill>
                    <w14:schemeClr w14:val="tx1"/>
                  </w14:solidFill>
                </w14:textFill>
              </w:rPr>
            </w:pPr>
          </w:p>
        </w:tc>
      </w:tr>
      <w:tr w14:paraId="7F6DD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A0536B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76" w:type="dxa"/>
            <w:vAlign w:val="center"/>
          </w:tcPr>
          <w:p w14:paraId="67C1E0A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vAlign w:val="center"/>
          </w:tcPr>
          <w:p w14:paraId="079B818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243" w:type="dxa"/>
            <w:vAlign w:val="center"/>
          </w:tcPr>
          <w:p w14:paraId="7DEAED0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50" w:type="dxa"/>
            <w:vAlign w:val="center"/>
          </w:tcPr>
          <w:p w14:paraId="46C9D0A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667" w:type="dxa"/>
            <w:vAlign w:val="center"/>
          </w:tcPr>
          <w:p w14:paraId="742EED3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060A6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69969CB">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tcPr>
          <w:p w14:paraId="114FFCF8">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4ED12AAF">
            <w:pPr>
              <w:spacing w:line="400" w:lineRule="exact"/>
              <w:jc w:val="center"/>
              <w:rPr>
                <w:rFonts w:hint="eastAsia" w:ascii="宋体" w:hAnsi="宋体" w:cs="宋体"/>
                <w:color w:val="000000" w:themeColor="text1"/>
                <w:szCs w:val="21"/>
                <w14:textFill>
                  <w14:solidFill>
                    <w14:schemeClr w14:val="tx1"/>
                  </w14:solidFill>
                </w14:textFill>
              </w:rPr>
            </w:pPr>
          </w:p>
        </w:tc>
        <w:tc>
          <w:tcPr>
            <w:tcW w:w="1243" w:type="dxa"/>
          </w:tcPr>
          <w:p w14:paraId="21609D29">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21810EAB">
            <w:pPr>
              <w:spacing w:line="400" w:lineRule="exact"/>
              <w:jc w:val="center"/>
              <w:rPr>
                <w:rFonts w:hint="eastAsia" w:ascii="宋体" w:hAnsi="宋体" w:cs="宋体"/>
                <w:color w:val="000000" w:themeColor="text1"/>
                <w:szCs w:val="21"/>
                <w14:textFill>
                  <w14:solidFill>
                    <w14:schemeClr w14:val="tx1"/>
                  </w14:solidFill>
                </w14:textFill>
              </w:rPr>
            </w:pPr>
          </w:p>
        </w:tc>
        <w:tc>
          <w:tcPr>
            <w:tcW w:w="1667" w:type="dxa"/>
          </w:tcPr>
          <w:p w14:paraId="13BB3AF3">
            <w:pPr>
              <w:spacing w:line="400" w:lineRule="exact"/>
              <w:jc w:val="center"/>
              <w:rPr>
                <w:rFonts w:hint="eastAsia" w:ascii="宋体" w:hAnsi="宋体" w:cs="宋体"/>
                <w:color w:val="000000" w:themeColor="text1"/>
                <w:szCs w:val="21"/>
                <w14:textFill>
                  <w14:solidFill>
                    <w14:schemeClr w14:val="tx1"/>
                  </w14:solidFill>
                </w14:textFill>
              </w:rPr>
            </w:pPr>
          </w:p>
        </w:tc>
      </w:tr>
      <w:tr w14:paraId="09B2ED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13BD42A">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tcPr>
          <w:p w14:paraId="37D69092">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5ACE9049">
            <w:pPr>
              <w:spacing w:line="400" w:lineRule="exact"/>
              <w:jc w:val="center"/>
              <w:rPr>
                <w:rFonts w:hint="eastAsia" w:ascii="宋体" w:hAnsi="宋体" w:cs="宋体"/>
                <w:color w:val="000000" w:themeColor="text1"/>
                <w:szCs w:val="21"/>
                <w14:textFill>
                  <w14:solidFill>
                    <w14:schemeClr w14:val="tx1"/>
                  </w14:solidFill>
                </w14:textFill>
              </w:rPr>
            </w:pPr>
          </w:p>
        </w:tc>
        <w:tc>
          <w:tcPr>
            <w:tcW w:w="1243" w:type="dxa"/>
          </w:tcPr>
          <w:p w14:paraId="167C3511">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7B693500">
            <w:pPr>
              <w:spacing w:line="400" w:lineRule="exact"/>
              <w:jc w:val="center"/>
              <w:rPr>
                <w:rFonts w:hint="eastAsia" w:ascii="宋体" w:hAnsi="宋体" w:cs="宋体"/>
                <w:color w:val="000000" w:themeColor="text1"/>
                <w:szCs w:val="21"/>
                <w14:textFill>
                  <w14:solidFill>
                    <w14:schemeClr w14:val="tx1"/>
                  </w14:solidFill>
                </w14:textFill>
              </w:rPr>
            </w:pPr>
          </w:p>
        </w:tc>
        <w:tc>
          <w:tcPr>
            <w:tcW w:w="1667" w:type="dxa"/>
          </w:tcPr>
          <w:p w14:paraId="52F6E100">
            <w:pPr>
              <w:spacing w:line="400" w:lineRule="exact"/>
              <w:jc w:val="center"/>
              <w:rPr>
                <w:rFonts w:hint="eastAsia" w:ascii="宋体" w:hAnsi="宋体" w:cs="宋体"/>
                <w:color w:val="000000" w:themeColor="text1"/>
                <w:szCs w:val="21"/>
                <w14:textFill>
                  <w14:solidFill>
                    <w14:schemeClr w14:val="tx1"/>
                  </w14:solidFill>
                </w14:textFill>
              </w:rPr>
            </w:pPr>
          </w:p>
        </w:tc>
      </w:tr>
      <w:tr w14:paraId="06E998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86C53A1">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tcPr>
          <w:p w14:paraId="6419D8F7">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30D8B963">
            <w:pPr>
              <w:spacing w:line="400" w:lineRule="exact"/>
              <w:jc w:val="center"/>
              <w:rPr>
                <w:rFonts w:hint="eastAsia" w:ascii="宋体" w:hAnsi="宋体" w:cs="宋体"/>
                <w:color w:val="000000" w:themeColor="text1"/>
                <w:szCs w:val="21"/>
                <w14:textFill>
                  <w14:solidFill>
                    <w14:schemeClr w14:val="tx1"/>
                  </w14:solidFill>
                </w14:textFill>
              </w:rPr>
            </w:pPr>
          </w:p>
        </w:tc>
        <w:tc>
          <w:tcPr>
            <w:tcW w:w="1243" w:type="dxa"/>
          </w:tcPr>
          <w:p w14:paraId="23208019">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6A2DFD6C">
            <w:pPr>
              <w:spacing w:line="400" w:lineRule="exact"/>
              <w:jc w:val="center"/>
              <w:rPr>
                <w:rFonts w:hint="eastAsia" w:ascii="宋体" w:hAnsi="宋体" w:cs="宋体"/>
                <w:color w:val="000000" w:themeColor="text1"/>
                <w:szCs w:val="21"/>
                <w14:textFill>
                  <w14:solidFill>
                    <w14:schemeClr w14:val="tx1"/>
                  </w14:solidFill>
                </w14:textFill>
              </w:rPr>
            </w:pPr>
          </w:p>
        </w:tc>
        <w:tc>
          <w:tcPr>
            <w:tcW w:w="1667" w:type="dxa"/>
          </w:tcPr>
          <w:p w14:paraId="459BC43A">
            <w:pPr>
              <w:spacing w:line="400" w:lineRule="exact"/>
              <w:jc w:val="center"/>
              <w:rPr>
                <w:rFonts w:hint="eastAsia" w:ascii="宋体" w:hAnsi="宋体" w:cs="宋体"/>
                <w:color w:val="000000" w:themeColor="text1"/>
                <w:szCs w:val="21"/>
                <w14:textFill>
                  <w14:solidFill>
                    <w14:schemeClr w14:val="tx1"/>
                  </w14:solidFill>
                </w14:textFill>
              </w:rPr>
            </w:pPr>
          </w:p>
        </w:tc>
      </w:tr>
      <w:tr w14:paraId="2AF5C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64A007B">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tcPr>
          <w:p w14:paraId="13CCBA5E">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0362CF27">
            <w:pPr>
              <w:spacing w:line="400" w:lineRule="exact"/>
              <w:jc w:val="center"/>
              <w:rPr>
                <w:rFonts w:hint="eastAsia" w:ascii="宋体" w:hAnsi="宋体" w:cs="宋体"/>
                <w:color w:val="000000" w:themeColor="text1"/>
                <w:szCs w:val="21"/>
                <w14:textFill>
                  <w14:solidFill>
                    <w14:schemeClr w14:val="tx1"/>
                  </w14:solidFill>
                </w14:textFill>
              </w:rPr>
            </w:pPr>
          </w:p>
        </w:tc>
        <w:tc>
          <w:tcPr>
            <w:tcW w:w="1243" w:type="dxa"/>
          </w:tcPr>
          <w:p w14:paraId="39C0531F">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6FE924C4">
            <w:pPr>
              <w:spacing w:line="400" w:lineRule="exact"/>
              <w:jc w:val="center"/>
              <w:rPr>
                <w:rFonts w:hint="eastAsia" w:ascii="宋体" w:hAnsi="宋体" w:cs="宋体"/>
                <w:color w:val="000000" w:themeColor="text1"/>
                <w:szCs w:val="21"/>
                <w14:textFill>
                  <w14:solidFill>
                    <w14:schemeClr w14:val="tx1"/>
                  </w14:solidFill>
                </w14:textFill>
              </w:rPr>
            </w:pPr>
          </w:p>
        </w:tc>
        <w:tc>
          <w:tcPr>
            <w:tcW w:w="1667" w:type="dxa"/>
          </w:tcPr>
          <w:p w14:paraId="454F4AA4">
            <w:pPr>
              <w:spacing w:line="400" w:lineRule="exact"/>
              <w:jc w:val="center"/>
              <w:rPr>
                <w:rFonts w:hint="eastAsia" w:ascii="宋体" w:hAnsi="宋体" w:cs="宋体"/>
                <w:color w:val="000000" w:themeColor="text1"/>
                <w:szCs w:val="21"/>
                <w14:textFill>
                  <w14:solidFill>
                    <w14:schemeClr w14:val="tx1"/>
                  </w14:solidFill>
                </w14:textFill>
              </w:rPr>
            </w:pPr>
          </w:p>
        </w:tc>
      </w:tr>
      <w:tr w14:paraId="7225D5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777955D">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tcPr>
          <w:p w14:paraId="4F9E0DBD">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6241BE24">
            <w:pPr>
              <w:spacing w:line="400" w:lineRule="exact"/>
              <w:jc w:val="center"/>
              <w:rPr>
                <w:rFonts w:hint="eastAsia" w:ascii="宋体" w:hAnsi="宋体" w:cs="宋体"/>
                <w:color w:val="000000" w:themeColor="text1"/>
                <w:szCs w:val="21"/>
                <w14:textFill>
                  <w14:solidFill>
                    <w14:schemeClr w14:val="tx1"/>
                  </w14:solidFill>
                </w14:textFill>
              </w:rPr>
            </w:pPr>
          </w:p>
        </w:tc>
        <w:tc>
          <w:tcPr>
            <w:tcW w:w="1243" w:type="dxa"/>
          </w:tcPr>
          <w:p w14:paraId="7DB13B12">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122DB4CC">
            <w:pPr>
              <w:spacing w:line="400" w:lineRule="exact"/>
              <w:jc w:val="center"/>
              <w:rPr>
                <w:rFonts w:hint="eastAsia" w:ascii="宋体" w:hAnsi="宋体" w:cs="宋体"/>
                <w:color w:val="000000" w:themeColor="text1"/>
                <w:szCs w:val="21"/>
                <w14:textFill>
                  <w14:solidFill>
                    <w14:schemeClr w14:val="tx1"/>
                  </w14:solidFill>
                </w14:textFill>
              </w:rPr>
            </w:pPr>
          </w:p>
        </w:tc>
        <w:tc>
          <w:tcPr>
            <w:tcW w:w="1667" w:type="dxa"/>
          </w:tcPr>
          <w:p w14:paraId="385B6FF6">
            <w:pPr>
              <w:spacing w:line="400" w:lineRule="exact"/>
              <w:jc w:val="center"/>
              <w:rPr>
                <w:rFonts w:hint="eastAsia" w:ascii="宋体" w:hAnsi="宋体" w:cs="宋体"/>
                <w:color w:val="000000" w:themeColor="text1"/>
                <w:szCs w:val="21"/>
                <w14:textFill>
                  <w14:solidFill>
                    <w14:schemeClr w14:val="tx1"/>
                  </w14:solidFill>
                </w14:textFill>
              </w:rPr>
            </w:pPr>
          </w:p>
        </w:tc>
      </w:tr>
      <w:tr w14:paraId="28AE3E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4A2DE6C">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tcPr>
          <w:p w14:paraId="242BCB2B">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26A07B57">
            <w:pPr>
              <w:spacing w:line="400" w:lineRule="exact"/>
              <w:jc w:val="center"/>
              <w:rPr>
                <w:rFonts w:hint="eastAsia" w:ascii="宋体" w:hAnsi="宋体" w:cs="宋体"/>
                <w:color w:val="000000" w:themeColor="text1"/>
                <w:szCs w:val="21"/>
                <w14:textFill>
                  <w14:solidFill>
                    <w14:schemeClr w14:val="tx1"/>
                  </w14:solidFill>
                </w14:textFill>
              </w:rPr>
            </w:pPr>
          </w:p>
        </w:tc>
        <w:tc>
          <w:tcPr>
            <w:tcW w:w="1243" w:type="dxa"/>
          </w:tcPr>
          <w:p w14:paraId="1C233895">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6577FE2B">
            <w:pPr>
              <w:spacing w:line="400" w:lineRule="exact"/>
              <w:jc w:val="center"/>
              <w:rPr>
                <w:rFonts w:hint="eastAsia" w:ascii="宋体" w:hAnsi="宋体" w:cs="宋体"/>
                <w:color w:val="000000" w:themeColor="text1"/>
                <w:szCs w:val="21"/>
                <w14:textFill>
                  <w14:solidFill>
                    <w14:schemeClr w14:val="tx1"/>
                  </w14:solidFill>
                </w14:textFill>
              </w:rPr>
            </w:pPr>
          </w:p>
        </w:tc>
        <w:tc>
          <w:tcPr>
            <w:tcW w:w="1667" w:type="dxa"/>
          </w:tcPr>
          <w:p w14:paraId="4AC6EA7E">
            <w:pPr>
              <w:spacing w:line="400" w:lineRule="exact"/>
              <w:jc w:val="center"/>
              <w:rPr>
                <w:rFonts w:hint="eastAsia" w:ascii="宋体" w:hAnsi="宋体" w:cs="宋体"/>
                <w:color w:val="000000" w:themeColor="text1"/>
                <w:szCs w:val="21"/>
                <w14:textFill>
                  <w14:solidFill>
                    <w14:schemeClr w14:val="tx1"/>
                  </w14:solidFill>
                </w14:textFill>
              </w:rPr>
            </w:pPr>
          </w:p>
        </w:tc>
      </w:tr>
      <w:tr w14:paraId="074093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854DF0E">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tcPr>
          <w:p w14:paraId="721D9271">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7BEFA0D0">
            <w:pPr>
              <w:spacing w:line="400" w:lineRule="exact"/>
              <w:jc w:val="center"/>
              <w:rPr>
                <w:rFonts w:hint="eastAsia" w:ascii="宋体" w:hAnsi="宋体" w:cs="宋体"/>
                <w:color w:val="000000" w:themeColor="text1"/>
                <w:szCs w:val="21"/>
                <w14:textFill>
                  <w14:solidFill>
                    <w14:schemeClr w14:val="tx1"/>
                  </w14:solidFill>
                </w14:textFill>
              </w:rPr>
            </w:pPr>
          </w:p>
        </w:tc>
        <w:tc>
          <w:tcPr>
            <w:tcW w:w="1243" w:type="dxa"/>
          </w:tcPr>
          <w:p w14:paraId="58E5B92F">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77E0DB25">
            <w:pPr>
              <w:spacing w:line="400" w:lineRule="exact"/>
              <w:jc w:val="center"/>
              <w:rPr>
                <w:rFonts w:hint="eastAsia" w:ascii="宋体" w:hAnsi="宋体" w:cs="宋体"/>
                <w:color w:val="000000" w:themeColor="text1"/>
                <w:szCs w:val="21"/>
                <w14:textFill>
                  <w14:solidFill>
                    <w14:schemeClr w14:val="tx1"/>
                  </w14:solidFill>
                </w14:textFill>
              </w:rPr>
            </w:pPr>
          </w:p>
        </w:tc>
        <w:tc>
          <w:tcPr>
            <w:tcW w:w="1667" w:type="dxa"/>
          </w:tcPr>
          <w:p w14:paraId="1B752B25">
            <w:pPr>
              <w:spacing w:line="400" w:lineRule="exact"/>
              <w:jc w:val="center"/>
              <w:rPr>
                <w:rFonts w:hint="eastAsia" w:ascii="宋体" w:hAnsi="宋体" w:cs="宋体"/>
                <w:color w:val="000000" w:themeColor="text1"/>
                <w:szCs w:val="21"/>
                <w14:textFill>
                  <w14:solidFill>
                    <w14:schemeClr w14:val="tx1"/>
                  </w14:solidFill>
                </w14:textFill>
              </w:rPr>
            </w:pPr>
          </w:p>
        </w:tc>
      </w:tr>
      <w:tr w14:paraId="7FBC1B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FB4D5ED">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tcPr>
          <w:p w14:paraId="06C37F0D">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6D1EDD1B">
            <w:pPr>
              <w:spacing w:line="400" w:lineRule="exact"/>
              <w:jc w:val="center"/>
              <w:rPr>
                <w:rFonts w:hint="eastAsia" w:ascii="宋体" w:hAnsi="宋体" w:cs="宋体"/>
                <w:color w:val="000000" w:themeColor="text1"/>
                <w:szCs w:val="21"/>
                <w14:textFill>
                  <w14:solidFill>
                    <w14:schemeClr w14:val="tx1"/>
                  </w14:solidFill>
                </w14:textFill>
              </w:rPr>
            </w:pPr>
          </w:p>
        </w:tc>
        <w:tc>
          <w:tcPr>
            <w:tcW w:w="1243" w:type="dxa"/>
          </w:tcPr>
          <w:p w14:paraId="3D41AEA6">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07E96DCE">
            <w:pPr>
              <w:spacing w:line="400" w:lineRule="exact"/>
              <w:jc w:val="center"/>
              <w:rPr>
                <w:rFonts w:hint="eastAsia" w:ascii="宋体" w:hAnsi="宋体" w:cs="宋体"/>
                <w:color w:val="000000" w:themeColor="text1"/>
                <w:szCs w:val="21"/>
                <w14:textFill>
                  <w14:solidFill>
                    <w14:schemeClr w14:val="tx1"/>
                  </w14:solidFill>
                </w14:textFill>
              </w:rPr>
            </w:pPr>
          </w:p>
        </w:tc>
        <w:tc>
          <w:tcPr>
            <w:tcW w:w="1667" w:type="dxa"/>
          </w:tcPr>
          <w:p w14:paraId="423A7F86">
            <w:pPr>
              <w:spacing w:line="400" w:lineRule="exact"/>
              <w:jc w:val="center"/>
              <w:rPr>
                <w:rFonts w:hint="eastAsia" w:ascii="宋体" w:hAnsi="宋体" w:cs="宋体"/>
                <w:color w:val="000000" w:themeColor="text1"/>
                <w:szCs w:val="21"/>
                <w14:textFill>
                  <w14:solidFill>
                    <w14:schemeClr w14:val="tx1"/>
                  </w14:solidFill>
                </w14:textFill>
              </w:rPr>
            </w:pPr>
          </w:p>
        </w:tc>
      </w:tr>
      <w:tr w14:paraId="6134D8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BF3A71B">
            <w:pPr>
              <w:spacing w:line="400" w:lineRule="exact"/>
              <w:jc w:val="center"/>
              <w:rPr>
                <w:rFonts w:hint="eastAsia" w:ascii="宋体" w:hAnsi="宋体" w:cs="宋体"/>
                <w:color w:val="000000" w:themeColor="text1"/>
                <w:szCs w:val="21"/>
                <w14:textFill>
                  <w14:solidFill>
                    <w14:schemeClr w14:val="tx1"/>
                  </w14:solidFill>
                </w14:textFill>
              </w:rPr>
            </w:pPr>
          </w:p>
        </w:tc>
        <w:tc>
          <w:tcPr>
            <w:tcW w:w="1276" w:type="dxa"/>
          </w:tcPr>
          <w:p w14:paraId="6D6C68E8">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46FA1AFD">
            <w:pPr>
              <w:spacing w:line="400" w:lineRule="exact"/>
              <w:jc w:val="center"/>
              <w:rPr>
                <w:rFonts w:hint="eastAsia" w:ascii="宋体" w:hAnsi="宋体" w:cs="宋体"/>
                <w:color w:val="000000" w:themeColor="text1"/>
                <w:szCs w:val="21"/>
                <w14:textFill>
                  <w14:solidFill>
                    <w14:schemeClr w14:val="tx1"/>
                  </w14:solidFill>
                </w14:textFill>
              </w:rPr>
            </w:pPr>
          </w:p>
        </w:tc>
        <w:tc>
          <w:tcPr>
            <w:tcW w:w="1243" w:type="dxa"/>
          </w:tcPr>
          <w:p w14:paraId="5FC07AC6">
            <w:pPr>
              <w:spacing w:line="400" w:lineRule="exact"/>
              <w:jc w:val="center"/>
              <w:rPr>
                <w:rFonts w:hint="eastAsia" w:ascii="宋体" w:hAnsi="宋体" w:cs="宋体"/>
                <w:color w:val="000000" w:themeColor="text1"/>
                <w:szCs w:val="21"/>
                <w14:textFill>
                  <w14:solidFill>
                    <w14:schemeClr w14:val="tx1"/>
                  </w14:solidFill>
                </w14:textFill>
              </w:rPr>
            </w:pPr>
          </w:p>
        </w:tc>
        <w:tc>
          <w:tcPr>
            <w:tcW w:w="1450" w:type="dxa"/>
          </w:tcPr>
          <w:p w14:paraId="7285F2C5">
            <w:pPr>
              <w:spacing w:line="400" w:lineRule="exact"/>
              <w:jc w:val="center"/>
              <w:rPr>
                <w:rFonts w:hint="eastAsia" w:ascii="宋体" w:hAnsi="宋体" w:cs="宋体"/>
                <w:color w:val="000000" w:themeColor="text1"/>
                <w:szCs w:val="21"/>
                <w14:textFill>
                  <w14:solidFill>
                    <w14:schemeClr w14:val="tx1"/>
                  </w14:solidFill>
                </w14:textFill>
              </w:rPr>
            </w:pPr>
          </w:p>
        </w:tc>
        <w:tc>
          <w:tcPr>
            <w:tcW w:w="1667" w:type="dxa"/>
          </w:tcPr>
          <w:p w14:paraId="7DBAE864">
            <w:pPr>
              <w:spacing w:line="400" w:lineRule="exact"/>
              <w:jc w:val="center"/>
              <w:rPr>
                <w:rFonts w:hint="eastAsia" w:ascii="宋体" w:hAnsi="宋体" w:cs="宋体"/>
                <w:color w:val="000000" w:themeColor="text1"/>
                <w:szCs w:val="21"/>
                <w14:textFill>
                  <w14:solidFill>
                    <w14:schemeClr w14:val="tx1"/>
                  </w14:solidFill>
                </w14:textFill>
              </w:rPr>
            </w:pPr>
          </w:p>
        </w:tc>
      </w:tr>
    </w:tbl>
    <w:p w14:paraId="185D3E42">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0154A80B">
      <w:pPr>
        <w:spacing w:line="4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w:t>
      </w:r>
      <w:bookmarkStart w:id="1979" w:name="_Toc296503227"/>
      <w:bookmarkStart w:id="1980" w:name="_Toc296346728"/>
      <w:bookmarkStart w:id="1981" w:name="_Toc296347226"/>
      <w:bookmarkStart w:id="1982" w:name="_Toc296944566"/>
      <w:bookmarkStart w:id="1983" w:name="_Toc296891267"/>
      <w:bookmarkStart w:id="1984" w:name="_Toc296891055"/>
      <w:bookmarkStart w:id="1985" w:name="_Toc267261698"/>
      <w:r>
        <w:rPr>
          <w:rFonts w:hint="eastAsia" w:ascii="宋体" w:hAnsi="宋体" w:cs="宋体"/>
          <w:color w:val="000000" w:themeColor="text1"/>
          <w:szCs w:val="21"/>
          <w14:textFill>
            <w14:solidFill>
              <w14:schemeClr w14:val="tx1"/>
            </w14:solidFill>
          </w14:textFill>
        </w:rPr>
        <w:t>件5</w:t>
      </w:r>
    </w:p>
    <w:p w14:paraId="1E4187EA">
      <w:pPr>
        <w:spacing w:line="44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承包人用于本工程施工的机械设备表</w:t>
      </w:r>
    </w:p>
    <w:bookmarkEnd w:id="1979"/>
    <w:bookmarkEnd w:id="1980"/>
    <w:bookmarkEnd w:id="1981"/>
    <w:bookmarkEnd w:id="1982"/>
    <w:bookmarkEnd w:id="1983"/>
    <w:bookmarkEnd w:id="1984"/>
    <w:bookmarkEnd w:id="1985"/>
    <w:tbl>
      <w:tblPr>
        <w:tblStyle w:val="45"/>
        <w:tblW w:w="980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16939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162" w:type="dxa"/>
            <w:tcBorders>
              <w:top w:val="single" w:color="auto" w:sz="12" w:space="0"/>
              <w:bottom w:val="double" w:color="auto" w:sz="6" w:space="0"/>
            </w:tcBorders>
            <w:vAlign w:val="center"/>
          </w:tcPr>
          <w:p w14:paraId="1B10FF09">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418" w:type="dxa"/>
            <w:tcBorders>
              <w:top w:val="single" w:color="auto" w:sz="12" w:space="0"/>
              <w:bottom w:val="double" w:color="auto" w:sz="6" w:space="0"/>
            </w:tcBorders>
            <w:vAlign w:val="center"/>
          </w:tcPr>
          <w:p w14:paraId="466ACCA6">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机械或设备名称</w:t>
            </w:r>
          </w:p>
        </w:tc>
        <w:tc>
          <w:tcPr>
            <w:tcW w:w="850" w:type="dxa"/>
            <w:tcBorders>
              <w:top w:val="single" w:color="auto" w:sz="12" w:space="0"/>
              <w:bottom w:val="double" w:color="auto" w:sz="6" w:space="0"/>
            </w:tcBorders>
            <w:vAlign w:val="center"/>
          </w:tcPr>
          <w:p w14:paraId="7824BFFD">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规格型号</w:t>
            </w:r>
          </w:p>
        </w:tc>
        <w:tc>
          <w:tcPr>
            <w:tcW w:w="1058" w:type="dxa"/>
            <w:tcBorders>
              <w:top w:val="single" w:color="auto" w:sz="12" w:space="0"/>
              <w:bottom w:val="double" w:color="auto" w:sz="6" w:space="0"/>
            </w:tcBorders>
            <w:vAlign w:val="center"/>
          </w:tcPr>
          <w:p w14:paraId="107505D8">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w:t>
            </w:r>
          </w:p>
        </w:tc>
        <w:tc>
          <w:tcPr>
            <w:tcW w:w="880" w:type="dxa"/>
            <w:tcBorders>
              <w:top w:val="single" w:color="auto" w:sz="12" w:space="0"/>
              <w:bottom w:val="double" w:color="auto" w:sz="6" w:space="0"/>
            </w:tcBorders>
            <w:vAlign w:val="center"/>
          </w:tcPr>
          <w:p w14:paraId="650E599D">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产地</w:t>
            </w:r>
          </w:p>
        </w:tc>
        <w:tc>
          <w:tcPr>
            <w:tcW w:w="1020" w:type="dxa"/>
            <w:tcBorders>
              <w:top w:val="single" w:color="auto" w:sz="12" w:space="0"/>
              <w:bottom w:val="double" w:color="auto" w:sz="6" w:space="0"/>
            </w:tcBorders>
            <w:vAlign w:val="center"/>
          </w:tcPr>
          <w:p w14:paraId="389B0CD6">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制造年份</w:t>
            </w:r>
          </w:p>
        </w:tc>
        <w:tc>
          <w:tcPr>
            <w:tcW w:w="1480" w:type="dxa"/>
            <w:tcBorders>
              <w:top w:val="single" w:color="auto" w:sz="12" w:space="0"/>
              <w:bottom w:val="double" w:color="auto" w:sz="6" w:space="0"/>
            </w:tcBorders>
            <w:vAlign w:val="center"/>
          </w:tcPr>
          <w:p w14:paraId="59628055">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额定功率(kW)</w:t>
            </w:r>
          </w:p>
        </w:tc>
        <w:tc>
          <w:tcPr>
            <w:tcW w:w="1020" w:type="dxa"/>
            <w:tcBorders>
              <w:top w:val="single" w:color="auto" w:sz="12" w:space="0"/>
              <w:bottom w:val="double" w:color="auto" w:sz="6" w:space="0"/>
            </w:tcBorders>
            <w:vAlign w:val="center"/>
          </w:tcPr>
          <w:p w14:paraId="4DA86AEF">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生产能力</w:t>
            </w:r>
          </w:p>
        </w:tc>
        <w:tc>
          <w:tcPr>
            <w:tcW w:w="921" w:type="dxa"/>
            <w:tcBorders>
              <w:top w:val="single" w:color="auto" w:sz="12" w:space="0"/>
              <w:bottom w:val="double" w:color="auto" w:sz="6" w:space="0"/>
            </w:tcBorders>
            <w:vAlign w:val="center"/>
          </w:tcPr>
          <w:p w14:paraId="647A0DB2">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14:paraId="329B96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double" w:color="auto" w:sz="6" w:space="0"/>
              <w:bottom w:val="single" w:color="auto" w:sz="6" w:space="0"/>
            </w:tcBorders>
            <w:vAlign w:val="center"/>
          </w:tcPr>
          <w:p w14:paraId="39120A52">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18" w:type="dxa"/>
            <w:tcBorders>
              <w:top w:val="double" w:color="auto" w:sz="6" w:space="0"/>
              <w:bottom w:val="single" w:color="auto" w:sz="6" w:space="0"/>
            </w:tcBorders>
            <w:vAlign w:val="center"/>
          </w:tcPr>
          <w:p w14:paraId="488CA93D">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50" w:type="dxa"/>
            <w:tcBorders>
              <w:top w:val="double" w:color="auto" w:sz="6" w:space="0"/>
              <w:bottom w:val="single" w:color="auto" w:sz="6" w:space="0"/>
            </w:tcBorders>
            <w:vAlign w:val="center"/>
          </w:tcPr>
          <w:p w14:paraId="477A5F1F">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58" w:type="dxa"/>
            <w:tcBorders>
              <w:top w:val="double" w:color="auto" w:sz="6" w:space="0"/>
              <w:bottom w:val="single" w:color="auto" w:sz="6" w:space="0"/>
            </w:tcBorders>
            <w:vAlign w:val="center"/>
          </w:tcPr>
          <w:p w14:paraId="19519B10">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80" w:type="dxa"/>
            <w:tcBorders>
              <w:top w:val="double" w:color="auto" w:sz="6" w:space="0"/>
              <w:bottom w:val="single" w:color="auto" w:sz="6" w:space="0"/>
            </w:tcBorders>
            <w:vAlign w:val="center"/>
          </w:tcPr>
          <w:p w14:paraId="27258ED9">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tcBorders>
              <w:top w:val="double" w:color="auto" w:sz="6" w:space="0"/>
              <w:bottom w:val="single" w:color="auto" w:sz="6" w:space="0"/>
            </w:tcBorders>
            <w:vAlign w:val="center"/>
          </w:tcPr>
          <w:p w14:paraId="4AE5D31D">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80" w:type="dxa"/>
            <w:tcBorders>
              <w:top w:val="double" w:color="auto" w:sz="6" w:space="0"/>
              <w:bottom w:val="single" w:color="auto" w:sz="6" w:space="0"/>
            </w:tcBorders>
            <w:vAlign w:val="center"/>
          </w:tcPr>
          <w:p w14:paraId="2C74F4BA">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tcBorders>
              <w:top w:val="double" w:color="auto" w:sz="6" w:space="0"/>
              <w:bottom w:val="single" w:color="auto" w:sz="6" w:space="0"/>
            </w:tcBorders>
            <w:vAlign w:val="center"/>
          </w:tcPr>
          <w:p w14:paraId="18828945">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921" w:type="dxa"/>
            <w:tcBorders>
              <w:top w:val="double" w:color="auto" w:sz="6" w:space="0"/>
              <w:bottom w:val="single" w:color="auto" w:sz="6" w:space="0"/>
            </w:tcBorders>
            <w:vAlign w:val="center"/>
          </w:tcPr>
          <w:p w14:paraId="11508B13">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r>
      <w:tr w14:paraId="6EFFB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nil"/>
            </w:tcBorders>
            <w:vAlign w:val="center"/>
          </w:tcPr>
          <w:p w14:paraId="26888580">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18" w:type="dxa"/>
            <w:tcBorders>
              <w:top w:val="nil"/>
            </w:tcBorders>
            <w:vAlign w:val="center"/>
          </w:tcPr>
          <w:p w14:paraId="5F74930C">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50" w:type="dxa"/>
            <w:tcBorders>
              <w:top w:val="nil"/>
            </w:tcBorders>
            <w:vAlign w:val="center"/>
          </w:tcPr>
          <w:p w14:paraId="5E17A456">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58" w:type="dxa"/>
            <w:tcBorders>
              <w:top w:val="nil"/>
            </w:tcBorders>
            <w:vAlign w:val="center"/>
          </w:tcPr>
          <w:p w14:paraId="1E1F1B6D">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80" w:type="dxa"/>
            <w:tcBorders>
              <w:top w:val="nil"/>
            </w:tcBorders>
            <w:vAlign w:val="center"/>
          </w:tcPr>
          <w:p w14:paraId="469D7343">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tcBorders>
              <w:top w:val="nil"/>
            </w:tcBorders>
            <w:vAlign w:val="center"/>
          </w:tcPr>
          <w:p w14:paraId="1D4B81E1">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80" w:type="dxa"/>
            <w:tcBorders>
              <w:top w:val="nil"/>
            </w:tcBorders>
            <w:vAlign w:val="center"/>
          </w:tcPr>
          <w:p w14:paraId="0901A2D4">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tcBorders>
              <w:top w:val="nil"/>
            </w:tcBorders>
            <w:vAlign w:val="center"/>
          </w:tcPr>
          <w:p w14:paraId="2C7014F4">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921" w:type="dxa"/>
            <w:tcBorders>
              <w:top w:val="nil"/>
            </w:tcBorders>
            <w:vAlign w:val="center"/>
          </w:tcPr>
          <w:p w14:paraId="32F0FD60">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r>
      <w:tr w14:paraId="0444EF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vAlign w:val="center"/>
          </w:tcPr>
          <w:p w14:paraId="70C21F10">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125D4920">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50" w:type="dxa"/>
            <w:vAlign w:val="center"/>
          </w:tcPr>
          <w:p w14:paraId="09F62768">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58" w:type="dxa"/>
            <w:vAlign w:val="center"/>
          </w:tcPr>
          <w:p w14:paraId="6FCA9219">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80" w:type="dxa"/>
            <w:vAlign w:val="center"/>
          </w:tcPr>
          <w:p w14:paraId="26D69849">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vAlign w:val="center"/>
          </w:tcPr>
          <w:p w14:paraId="04456B46">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80" w:type="dxa"/>
            <w:vAlign w:val="center"/>
          </w:tcPr>
          <w:p w14:paraId="1EF4B502">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vAlign w:val="center"/>
          </w:tcPr>
          <w:p w14:paraId="5CB5C1F8">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921" w:type="dxa"/>
            <w:vAlign w:val="center"/>
          </w:tcPr>
          <w:p w14:paraId="3AF0E314">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r>
      <w:tr w14:paraId="32BD2E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vAlign w:val="center"/>
          </w:tcPr>
          <w:p w14:paraId="3BE524AD">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614CE82F">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50" w:type="dxa"/>
            <w:vAlign w:val="center"/>
          </w:tcPr>
          <w:p w14:paraId="763AB3F5">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58" w:type="dxa"/>
            <w:vAlign w:val="center"/>
          </w:tcPr>
          <w:p w14:paraId="74460BFF">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80" w:type="dxa"/>
            <w:vAlign w:val="center"/>
          </w:tcPr>
          <w:p w14:paraId="7A4252D7">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vAlign w:val="center"/>
          </w:tcPr>
          <w:p w14:paraId="3B6A416F">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80" w:type="dxa"/>
            <w:vAlign w:val="center"/>
          </w:tcPr>
          <w:p w14:paraId="004F6360">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vAlign w:val="center"/>
          </w:tcPr>
          <w:p w14:paraId="37188901">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921" w:type="dxa"/>
            <w:vAlign w:val="center"/>
          </w:tcPr>
          <w:p w14:paraId="58548654">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r>
      <w:tr w14:paraId="15E7DC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vAlign w:val="center"/>
          </w:tcPr>
          <w:p w14:paraId="6827B9D7">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356B9689">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50" w:type="dxa"/>
            <w:vAlign w:val="center"/>
          </w:tcPr>
          <w:p w14:paraId="1026C43C">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58" w:type="dxa"/>
            <w:vAlign w:val="center"/>
          </w:tcPr>
          <w:p w14:paraId="778E85C8">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80" w:type="dxa"/>
            <w:vAlign w:val="center"/>
          </w:tcPr>
          <w:p w14:paraId="455CB174">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vAlign w:val="center"/>
          </w:tcPr>
          <w:p w14:paraId="360D5514">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80" w:type="dxa"/>
            <w:vAlign w:val="center"/>
          </w:tcPr>
          <w:p w14:paraId="0AA77178">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vAlign w:val="center"/>
          </w:tcPr>
          <w:p w14:paraId="54DDD321">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921" w:type="dxa"/>
            <w:vAlign w:val="center"/>
          </w:tcPr>
          <w:p w14:paraId="1A302031">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r>
      <w:tr w14:paraId="7CB4D8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vAlign w:val="center"/>
          </w:tcPr>
          <w:p w14:paraId="5EED026A">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1A727B49">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50" w:type="dxa"/>
            <w:vAlign w:val="center"/>
          </w:tcPr>
          <w:p w14:paraId="19B8D378">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58" w:type="dxa"/>
            <w:vAlign w:val="center"/>
          </w:tcPr>
          <w:p w14:paraId="7E0F1FAE">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80" w:type="dxa"/>
            <w:vAlign w:val="center"/>
          </w:tcPr>
          <w:p w14:paraId="47FB22C3">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vAlign w:val="center"/>
          </w:tcPr>
          <w:p w14:paraId="625B52DB">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80" w:type="dxa"/>
            <w:vAlign w:val="center"/>
          </w:tcPr>
          <w:p w14:paraId="7BF77FD2">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vAlign w:val="center"/>
          </w:tcPr>
          <w:p w14:paraId="0EFD07DD">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921" w:type="dxa"/>
            <w:vAlign w:val="center"/>
          </w:tcPr>
          <w:p w14:paraId="6060C786">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r>
      <w:tr w14:paraId="5560FF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vAlign w:val="center"/>
          </w:tcPr>
          <w:p w14:paraId="2A72A744">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37E7AA87">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50" w:type="dxa"/>
            <w:vAlign w:val="center"/>
          </w:tcPr>
          <w:p w14:paraId="437879E2">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58" w:type="dxa"/>
            <w:vAlign w:val="center"/>
          </w:tcPr>
          <w:p w14:paraId="0A49DE89">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80" w:type="dxa"/>
            <w:vAlign w:val="center"/>
          </w:tcPr>
          <w:p w14:paraId="1ED43779">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vAlign w:val="center"/>
          </w:tcPr>
          <w:p w14:paraId="5FC9292B">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80" w:type="dxa"/>
            <w:vAlign w:val="center"/>
          </w:tcPr>
          <w:p w14:paraId="5A366135">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vAlign w:val="center"/>
          </w:tcPr>
          <w:p w14:paraId="6B67E936">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921" w:type="dxa"/>
            <w:vAlign w:val="center"/>
          </w:tcPr>
          <w:p w14:paraId="46497B67">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r>
      <w:tr w14:paraId="1CD7A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vAlign w:val="center"/>
          </w:tcPr>
          <w:p w14:paraId="79BDAD14">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7E7B27D7">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50" w:type="dxa"/>
            <w:vAlign w:val="center"/>
          </w:tcPr>
          <w:p w14:paraId="66296297">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58" w:type="dxa"/>
            <w:vAlign w:val="center"/>
          </w:tcPr>
          <w:p w14:paraId="50DE6C22">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80" w:type="dxa"/>
            <w:vAlign w:val="center"/>
          </w:tcPr>
          <w:p w14:paraId="30CA1285">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vAlign w:val="center"/>
          </w:tcPr>
          <w:p w14:paraId="37DEFE77">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80" w:type="dxa"/>
            <w:vAlign w:val="center"/>
          </w:tcPr>
          <w:p w14:paraId="176B153F">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vAlign w:val="center"/>
          </w:tcPr>
          <w:p w14:paraId="298408E8">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921" w:type="dxa"/>
            <w:vAlign w:val="center"/>
          </w:tcPr>
          <w:p w14:paraId="19BEA0FB">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r>
      <w:tr w14:paraId="69C923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Pr>
          <w:p w14:paraId="5015A5EB">
            <w:pPr>
              <w:spacing w:line="300" w:lineRule="exact"/>
              <w:jc w:val="center"/>
              <w:rPr>
                <w:rFonts w:hint="eastAsia" w:ascii="宋体" w:hAnsi="宋体" w:cs="宋体"/>
                <w:color w:val="000000" w:themeColor="text1"/>
                <w:szCs w:val="21"/>
                <w14:textFill>
                  <w14:solidFill>
                    <w14:schemeClr w14:val="tx1"/>
                  </w14:solidFill>
                </w14:textFill>
              </w:rPr>
            </w:pPr>
          </w:p>
        </w:tc>
        <w:tc>
          <w:tcPr>
            <w:tcW w:w="1418" w:type="dxa"/>
          </w:tcPr>
          <w:p w14:paraId="00E58DAF">
            <w:pPr>
              <w:spacing w:line="300" w:lineRule="exact"/>
              <w:jc w:val="center"/>
              <w:rPr>
                <w:rFonts w:hint="eastAsia" w:ascii="宋体" w:hAnsi="宋体" w:cs="宋体"/>
                <w:color w:val="000000" w:themeColor="text1"/>
                <w:szCs w:val="21"/>
                <w14:textFill>
                  <w14:solidFill>
                    <w14:schemeClr w14:val="tx1"/>
                  </w14:solidFill>
                </w14:textFill>
              </w:rPr>
            </w:pPr>
          </w:p>
        </w:tc>
        <w:tc>
          <w:tcPr>
            <w:tcW w:w="850" w:type="dxa"/>
          </w:tcPr>
          <w:p w14:paraId="10DF2361">
            <w:pPr>
              <w:spacing w:line="300" w:lineRule="exact"/>
              <w:jc w:val="center"/>
              <w:rPr>
                <w:rFonts w:hint="eastAsia" w:ascii="宋体" w:hAnsi="宋体" w:cs="宋体"/>
                <w:color w:val="000000" w:themeColor="text1"/>
                <w:szCs w:val="21"/>
                <w14:textFill>
                  <w14:solidFill>
                    <w14:schemeClr w14:val="tx1"/>
                  </w14:solidFill>
                </w14:textFill>
              </w:rPr>
            </w:pPr>
          </w:p>
        </w:tc>
        <w:tc>
          <w:tcPr>
            <w:tcW w:w="1058" w:type="dxa"/>
          </w:tcPr>
          <w:p w14:paraId="398FDE63">
            <w:pPr>
              <w:spacing w:line="300" w:lineRule="exact"/>
              <w:jc w:val="center"/>
              <w:rPr>
                <w:rFonts w:hint="eastAsia" w:ascii="宋体" w:hAnsi="宋体" w:cs="宋体"/>
                <w:color w:val="000000" w:themeColor="text1"/>
                <w:szCs w:val="21"/>
                <w14:textFill>
                  <w14:solidFill>
                    <w14:schemeClr w14:val="tx1"/>
                  </w14:solidFill>
                </w14:textFill>
              </w:rPr>
            </w:pPr>
          </w:p>
        </w:tc>
        <w:tc>
          <w:tcPr>
            <w:tcW w:w="880" w:type="dxa"/>
          </w:tcPr>
          <w:p w14:paraId="09A0B52C">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5B4AA34A">
            <w:pPr>
              <w:spacing w:line="300" w:lineRule="exact"/>
              <w:jc w:val="center"/>
              <w:rPr>
                <w:rFonts w:hint="eastAsia" w:ascii="宋体" w:hAnsi="宋体" w:cs="宋体"/>
                <w:color w:val="000000" w:themeColor="text1"/>
                <w:szCs w:val="21"/>
                <w14:textFill>
                  <w14:solidFill>
                    <w14:schemeClr w14:val="tx1"/>
                  </w14:solidFill>
                </w14:textFill>
              </w:rPr>
            </w:pPr>
          </w:p>
        </w:tc>
        <w:tc>
          <w:tcPr>
            <w:tcW w:w="1480" w:type="dxa"/>
          </w:tcPr>
          <w:p w14:paraId="3F026851">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71CEBD89">
            <w:pPr>
              <w:spacing w:line="300" w:lineRule="exact"/>
              <w:jc w:val="center"/>
              <w:rPr>
                <w:rFonts w:hint="eastAsia" w:ascii="宋体" w:hAnsi="宋体" w:cs="宋体"/>
                <w:color w:val="000000" w:themeColor="text1"/>
                <w:szCs w:val="21"/>
                <w14:textFill>
                  <w14:solidFill>
                    <w14:schemeClr w14:val="tx1"/>
                  </w14:solidFill>
                </w14:textFill>
              </w:rPr>
            </w:pPr>
          </w:p>
        </w:tc>
        <w:tc>
          <w:tcPr>
            <w:tcW w:w="921" w:type="dxa"/>
          </w:tcPr>
          <w:p w14:paraId="465220F6">
            <w:pPr>
              <w:spacing w:line="300" w:lineRule="exact"/>
              <w:jc w:val="center"/>
              <w:rPr>
                <w:rFonts w:hint="eastAsia" w:ascii="宋体" w:hAnsi="宋体" w:cs="宋体"/>
                <w:color w:val="000000" w:themeColor="text1"/>
                <w:szCs w:val="21"/>
                <w14:textFill>
                  <w14:solidFill>
                    <w14:schemeClr w14:val="tx1"/>
                  </w14:solidFill>
                </w14:textFill>
              </w:rPr>
            </w:pPr>
          </w:p>
        </w:tc>
      </w:tr>
      <w:tr w14:paraId="61F62D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vAlign w:val="center"/>
          </w:tcPr>
          <w:p w14:paraId="23EC92EB">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6D678C50">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50" w:type="dxa"/>
            <w:vAlign w:val="center"/>
          </w:tcPr>
          <w:p w14:paraId="404CA3A3">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58" w:type="dxa"/>
            <w:vAlign w:val="center"/>
          </w:tcPr>
          <w:p w14:paraId="45DB432E">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880" w:type="dxa"/>
            <w:vAlign w:val="center"/>
          </w:tcPr>
          <w:p w14:paraId="4D7E4258">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vAlign w:val="center"/>
          </w:tcPr>
          <w:p w14:paraId="313EA6DD">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480" w:type="dxa"/>
            <w:vAlign w:val="center"/>
          </w:tcPr>
          <w:p w14:paraId="6FFCDC42">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1020" w:type="dxa"/>
            <w:vAlign w:val="center"/>
          </w:tcPr>
          <w:p w14:paraId="41082EFE">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c>
          <w:tcPr>
            <w:tcW w:w="921" w:type="dxa"/>
            <w:vAlign w:val="center"/>
          </w:tcPr>
          <w:p w14:paraId="62688B17">
            <w:pPr>
              <w:pStyle w:val="2"/>
              <w:keepNext/>
              <w:spacing w:after="0" w:line="300" w:lineRule="exact"/>
              <w:jc w:val="center"/>
              <w:rPr>
                <w:rFonts w:hint="eastAsia" w:ascii="宋体" w:hAnsi="宋体" w:cs="宋体"/>
                <w:color w:val="000000" w:themeColor="text1"/>
                <w:szCs w:val="21"/>
                <w14:textFill>
                  <w14:solidFill>
                    <w14:schemeClr w14:val="tx1"/>
                  </w14:solidFill>
                </w14:textFill>
              </w:rPr>
            </w:pPr>
          </w:p>
        </w:tc>
      </w:tr>
      <w:tr w14:paraId="4DB03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Pr>
          <w:p w14:paraId="143545F8">
            <w:pPr>
              <w:spacing w:line="300" w:lineRule="exact"/>
              <w:jc w:val="center"/>
              <w:rPr>
                <w:rFonts w:hint="eastAsia" w:ascii="宋体" w:hAnsi="宋体" w:cs="宋体"/>
                <w:color w:val="000000" w:themeColor="text1"/>
                <w:szCs w:val="21"/>
                <w14:textFill>
                  <w14:solidFill>
                    <w14:schemeClr w14:val="tx1"/>
                  </w14:solidFill>
                </w14:textFill>
              </w:rPr>
            </w:pPr>
          </w:p>
        </w:tc>
        <w:tc>
          <w:tcPr>
            <w:tcW w:w="1418" w:type="dxa"/>
          </w:tcPr>
          <w:p w14:paraId="0DE9602D">
            <w:pPr>
              <w:spacing w:line="300" w:lineRule="exact"/>
              <w:jc w:val="center"/>
              <w:rPr>
                <w:rFonts w:hint="eastAsia" w:ascii="宋体" w:hAnsi="宋体" w:cs="宋体"/>
                <w:color w:val="000000" w:themeColor="text1"/>
                <w:szCs w:val="21"/>
                <w14:textFill>
                  <w14:solidFill>
                    <w14:schemeClr w14:val="tx1"/>
                  </w14:solidFill>
                </w14:textFill>
              </w:rPr>
            </w:pPr>
          </w:p>
        </w:tc>
        <w:tc>
          <w:tcPr>
            <w:tcW w:w="850" w:type="dxa"/>
          </w:tcPr>
          <w:p w14:paraId="2740E07D">
            <w:pPr>
              <w:spacing w:line="300" w:lineRule="exact"/>
              <w:jc w:val="center"/>
              <w:rPr>
                <w:rFonts w:hint="eastAsia" w:ascii="宋体" w:hAnsi="宋体" w:cs="宋体"/>
                <w:color w:val="000000" w:themeColor="text1"/>
                <w:szCs w:val="21"/>
                <w14:textFill>
                  <w14:solidFill>
                    <w14:schemeClr w14:val="tx1"/>
                  </w14:solidFill>
                </w14:textFill>
              </w:rPr>
            </w:pPr>
          </w:p>
        </w:tc>
        <w:tc>
          <w:tcPr>
            <w:tcW w:w="1058" w:type="dxa"/>
          </w:tcPr>
          <w:p w14:paraId="521AC74A">
            <w:pPr>
              <w:spacing w:line="300" w:lineRule="exact"/>
              <w:jc w:val="center"/>
              <w:rPr>
                <w:rFonts w:hint="eastAsia" w:ascii="宋体" w:hAnsi="宋体" w:cs="宋体"/>
                <w:color w:val="000000" w:themeColor="text1"/>
                <w:szCs w:val="21"/>
                <w14:textFill>
                  <w14:solidFill>
                    <w14:schemeClr w14:val="tx1"/>
                  </w14:solidFill>
                </w14:textFill>
              </w:rPr>
            </w:pPr>
          </w:p>
        </w:tc>
        <w:tc>
          <w:tcPr>
            <w:tcW w:w="880" w:type="dxa"/>
          </w:tcPr>
          <w:p w14:paraId="4EB185AF">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56D424C2">
            <w:pPr>
              <w:spacing w:line="300" w:lineRule="exact"/>
              <w:jc w:val="center"/>
              <w:rPr>
                <w:rFonts w:hint="eastAsia" w:ascii="宋体" w:hAnsi="宋体" w:cs="宋体"/>
                <w:color w:val="000000" w:themeColor="text1"/>
                <w:szCs w:val="21"/>
                <w14:textFill>
                  <w14:solidFill>
                    <w14:schemeClr w14:val="tx1"/>
                  </w14:solidFill>
                </w14:textFill>
              </w:rPr>
            </w:pPr>
          </w:p>
        </w:tc>
        <w:tc>
          <w:tcPr>
            <w:tcW w:w="1480" w:type="dxa"/>
          </w:tcPr>
          <w:p w14:paraId="730F70F3">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2C1067DF">
            <w:pPr>
              <w:spacing w:line="300" w:lineRule="exact"/>
              <w:jc w:val="center"/>
              <w:rPr>
                <w:rFonts w:hint="eastAsia" w:ascii="宋体" w:hAnsi="宋体" w:cs="宋体"/>
                <w:color w:val="000000" w:themeColor="text1"/>
                <w:szCs w:val="21"/>
                <w14:textFill>
                  <w14:solidFill>
                    <w14:schemeClr w14:val="tx1"/>
                  </w14:solidFill>
                </w14:textFill>
              </w:rPr>
            </w:pPr>
          </w:p>
        </w:tc>
        <w:tc>
          <w:tcPr>
            <w:tcW w:w="921" w:type="dxa"/>
          </w:tcPr>
          <w:p w14:paraId="63C2198E">
            <w:pPr>
              <w:spacing w:line="300" w:lineRule="exact"/>
              <w:jc w:val="center"/>
              <w:rPr>
                <w:rFonts w:hint="eastAsia" w:ascii="宋体" w:hAnsi="宋体" w:cs="宋体"/>
                <w:color w:val="000000" w:themeColor="text1"/>
                <w:szCs w:val="21"/>
                <w14:textFill>
                  <w14:solidFill>
                    <w14:schemeClr w14:val="tx1"/>
                  </w14:solidFill>
                </w14:textFill>
              </w:rPr>
            </w:pPr>
          </w:p>
        </w:tc>
      </w:tr>
      <w:tr w14:paraId="0A3C9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Pr>
          <w:p w14:paraId="260D5B19">
            <w:pPr>
              <w:spacing w:line="300" w:lineRule="exact"/>
              <w:jc w:val="center"/>
              <w:rPr>
                <w:rFonts w:hint="eastAsia" w:ascii="宋体" w:hAnsi="宋体" w:cs="宋体"/>
                <w:color w:val="000000" w:themeColor="text1"/>
                <w:szCs w:val="21"/>
                <w14:textFill>
                  <w14:solidFill>
                    <w14:schemeClr w14:val="tx1"/>
                  </w14:solidFill>
                </w14:textFill>
              </w:rPr>
            </w:pPr>
          </w:p>
        </w:tc>
        <w:tc>
          <w:tcPr>
            <w:tcW w:w="1418" w:type="dxa"/>
          </w:tcPr>
          <w:p w14:paraId="58D65D2A">
            <w:pPr>
              <w:spacing w:line="300" w:lineRule="exact"/>
              <w:jc w:val="center"/>
              <w:rPr>
                <w:rFonts w:hint="eastAsia" w:ascii="宋体" w:hAnsi="宋体" w:cs="宋体"/>
                <w:color w:val="000000" w:themeColor="text1"/>
                <w:szCs w:val="21"/>
                <w14:textFill>
                  <w14:solidFill>
                    <w14:schemeClr w14:val="tx1"/>
                  </w14:solidFill>
                </w14:textFill>
              </w:rPr>
            </w:pPr>
          </w:p>
        </w:tc>
        <w:tc>
          <w:tcPr>
            <w:tcW w:w="850" w:type="dxa"/>
          </w:tcPr>
          <w:p w14:paraId="349FC375">
            <w:pPr>
              <w:spacing w:line="300" w:lineRule="exact"/>
              <w:jc w:val="center"/>
              <w:rPr>
                <w:rFonts w:hint="eastAsia" w:ascii="宋体" w:hAnsi="宋体" w:cs="宋体"/>
                <w:color w:val="000000" w:themeColor="text1"/>
                <w:szCs w:val="21"/>
                <w14:textFill>
                  <w14:solidFill>
                    <w14:schemeClr w14:val="tx1"/>
                  </w14:solidFill>
                </w14:textFill>
              </w:rPr>
            </w:pPr>
          </w:p>
        </w:tc>
        <w:tc>
          <w:tcPr>
            <w:tcW w:w="1058" w:type="dxa"/>
          </w:tcPr>
          <w:p w14:paraId="5DE0D0A3">
            <w:pPr>
              <w:spacing w:line="300" w:lineRule="exact"/>
              <w:jc w:val="center"/>
              <w:rPr>
                <w:rFonts w:hint="eastAsia" w:ascii="宋体" w:hAnsi="宋体" w:cs="宋体"/>
                <w:color w:val="000000" w:themeColor="text1"/>
                <w:szCs w:val="21"/>
                <w14:textFill>
                  <w14:solidFill>
                    <w14:schemeClr w14:val="tx1"/>
                  </w14:solidFill>
                </w14:textFill>
              </w:rPr>
            </w:pPr>
          </w:p>
        </w:tc>
        <w:tc>
          <w:tcPr>
            <w:tcW w:w="880" w:type="dxa"/>
          </w:tcPr>
          <w:p w14:paraId="0743EFCB">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25197574">
            <w:pPr>
              <w:spacing w:line="300" w:lineRule="exact"/>
              <w:jc w:val="center"/>
              <w:rPr>
                <w:rFonts w:hint="eastAsia" w:ascii="宋体" w:hAnsi="宋体" w:cs="宋体"/>
                <w:color w:val="000000" w:themeColor="text1"/>
                <w:szCs w:val="21"/>
                <w14:textFill>
                  <w14:solidFill>
                    <w14:schemeClr w14:val="tx1"/>
                  </w14:solidFill>
                </w14:textFill>
              </w:rPr>
            </w:pPr>
          </w:p>
        </w:tc>
        <w:tc>
          <w:tcPr>
            <w:tcW w:w="1480" w:type="dxa"/>
          </w:tcPr>
          <w:p w14:paraId="3E3D14FB">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046CC865">
            <w:pPr>
              <w:spacing w:line="300" w:lineRule="exact"/>
              <w:jc w:val="center"/>
              <w:rPr>
                <w:rFonts w:hint="eastAsia" w:ascii="宋体" w:hAnsi="宋体" w:cs="宋体"/>
                <w:color w:val="000000" w:themeColor="text1"/>
                <w:szCs w:val="21"/>
                <w14:textFill>
                  <w14:solidFill>
                    <w14:schemeClr w14:val="tx1"/>
                  </w14:solidFill>
                </w14:textFill>
              </w:rPr>
            </w:pPr>
          </w:p>
        </w:tc>
        <w:tc>
          <w:tcPr>
            <w:tcW w:w="921" w:type="dxa"/>
          </w:tcPr>
          <w:p w14:paraId="491936FB">
            <w:pPr>
              <w:spacing w:line="300" w:lineRule="exact"/>
              <w:jc w:val="center"/>
              <w:rPr>
                <w:rFonts w:hint="eastAsia" w:ascii="宋体" w:hAnsi="宋体" w:cs="宋体"/>
                <w:color w:val="000000" w:themeColor="text1"/>
                <w:szCs w:val="21"/>
                <w14:textFill>
                  <w14:solidFill>
                    <w14:schemeClr w14:val="tx1"/>
                  </w14:solidFill>
                </w14:textFill>
              </w:rPr>
            </w:pPr>
          </w:p>
        </w:tc>
      </w:tr>
      <w:tr w14:paraId="763D7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Pr>
          <w:p w14:paraId="0A035CFD">
            <w:pPr>
              <w:spacing w:line="300" w:lineRule="exact"/>
              <w:jc w:val="center"/>
              <w:rPr>
                <w:rFonts w:hint="eastAsia" w:ascii="宋体" w:hAnsi="宋体" w:cs="宋体"/>
                <w:color w:val="000000" w:themeColor="text1"/>
                <w:szCs w:val="21"/>
                <w14:textFill>
                  <w14:solidFill>
                    <w14:schemeClr w14:val="tx1"/>
                  </w14:solidFill>
                </w14:textFill>
              </w:rPr>
            </w:pPr>
          </w:p>
        </w:tc>
        <w:tc>
          <w:tcPr>
            <w:tcW w:w="1418" w:type="dxa"/>
          </w:tcPr>
          <w:p w14:paraId="58850942">
            <w:pPr>
              <w:spacing w:line="300" w:lineRule="exact"/>
              <w:jc w:val="center"/>
              <w:rPr>
                <w:rFonts w:hint="eastAsia" w:ascii="宋体" w:hAnsi="宋体" w:cs="宋体"/>
                <w:color w:val="000000" w:themeColor="text1"/>
                <w:szCs w:val="21"/>
                <w14:textFill>
                  <w14:solidFill>
                    <w14:schemeClr w14:val="tx1"/>
                  </w14:solidFill>
                </w14:textFill>
              </w:rPr>
            </w:pPr>
          </w:p>
        </w:tc>
        <w:tc>
          <w:tcPr>
            <w:tcW w:w="850" w:type="dxa"/>
          </w:tcPr>
          <w:p w14:paraId="6FC6677B">
            <w:pPr>
              <w:spacing w:line="300" w:lineRule="exact"/>
              <w:jc w:val="center"/>
              <w:rPr>
                <w:rFonts w:hint="eastAsia" w:ascii="宋体" w:hAnsi="宋体" w:cs="宋体"/>
                <w:color w:val="000000" w:themeColor="text1"/>
                <w:szCs w:val="21"/>
                <w14:textFill>
                  <w14:solidFill>
                    <w14:schemeClr w14:val="tx1"/>
                  </w14:solidFill>
                </w14:textFill>
              </w:rPr>
            </w:pPr>
          </w:p>
        </w:tc>
        <w:tc>
          <w:tcPr>
            <w:tcW w:w="1058" w:type="dxa"/>
          </w:tcPr>
          <w:p w14:paraId="3339BD8E">
            <w:pPr>
              <w:spacing w:line="300" w:lineRule="exact"/>
              <w:jc w:val="center"/>
              <w:rPr>
                <w:rFonts w:hint="eastAsia" w:ascii="宋体" w:hAnsi="宋体" w:cs="宋体"/>
                <w:color w:val="000000" w:themeColor="text1"/>
                <w:szCs w:val="21"/>
                <w14:textFill>
                  <w14:solidFill>
                    <w14:schemeClr w14:val="tx1"/>
                  </w14:solidFill>
                </w14:textFill>
              </w:rPr>
            </w:pPr>
          </w:p>
        </w:tc>
        <w:tc>
          <w:tcPr>
            <w:tcW w:w="880" w:type="dxa"/>
          </w:tcPr>
          <w:p w14:paraId="40E776F8">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0CE30BD8">
            <w:pPr>
              <w:spacing w:line="300" w:lineRule="exact"/>
              <w:jc w:val="center"/>
              <w:rPr>
                <w:rFonts w:hint="eastAsia" w:ascii="宋体" w:hAnsi="宋体" w:cs="宋体"/>
                <w:color w:val="000000" w:themeColor="text1"/>
                <w:szCs w:val="21"/>
                <w14:textFill>
                  <w14:solidFill>
                    <w14:schemeClr w14:val="tx1"/>
                  </w14:solidFill>
                </w14:textFill>
              </w:rPr>
            </w:pPr>
          </w:p>
        </w:tc>
        <w:tc>
          <w:tcPr>
            <w:tcW w:w="1480" w:type="dxa"/>
          </w:tcPr>
          <w:p w14:paraId="3182AA68">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1CCBE611">
            <w:pPr>
              <w:spacing w:line="300" w:lineRule="exact"/>
              <w:jc w:val="center"/>
              <w:rPr>
                <w:rFonts w:hint="eastAsia" w:ascii="宋体" w:hAnsi="宋体" w:cs="宋体"/>
                <w:color w:val="000000" w:themeColor="text1"/>
                <w:szCs w:val="21"/>
                <w14:textFill>
                  <w14:solidFill>
                    <w14:schemeClr w14:val="tx1"/>
                  </w14:solidFill>
                </w14:textFill>
              </w:rPr>
            </w:pPr>
          </w:p>
        </w:tc>
        <w:tc>
          <w:tcPr>
            <w:tcW w:w="921" w:type="dxa"/>
          </w:tcPr>
          <w:p w14:paraId="6B1FC48F">
            <w:pPr>
              <w:spacing w:line="300" w:lineRule="exact"/>
              <w:jc w:val="center"/>
              <w:rPr>
                <w:rFonts w:hint="eastAsia" w:ascii="宋体" w:hAnsi="宋体" w:cs="宋体"/>
                <w:color w:val="000000" w:themeColor="text1"/>
                <w:szCs w:val="21"/>
                <w14:textFill>
                  <w14:solidFill>
                    <w14:schemeClr w14:val="tx1"/>
                  </w14:solidFill>
                </w14:textFill>
              </w:rPr>
            </w:pPr>
          </w:p>
        </w:tc>
      </w:tr>
      <w:tr w14:paraId="0E9E7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Pr>
          <w:p w14:paraId="7A0371BF">
            <w:pPr>
              <w:spacing w:line="300" w:lineRule="exact"/>
              <w:jc w:val="center"/>
              <w:rPr>
                <w:rFonts w:hint="eastAsia" w:ascii="宋体" w:hAnsi="宋体" w:cs="宋体"/>
                <w:color w:val="000000" w:themeColor="text1"/>
                <w:szCs w:val="21"/>
                <w14:textFill>
                  <w14:solidFill>
                    <w14:schemeClr w14:val="tx1"/>
                  </w14:solidFill>
                </w14:textFill>
              </w:rPr>
            </w:pPr>
          </w:p>
        </w:tc>
        <w:tc>
          <w:tcPr>
            <w:tcW w:w="1418" w:type="dxa"/>
          </w:tcPr>
          <w:p w14:paraId="6CC9AAE7">
            <w:pPr>
              <w:spacing w:line="300" w:lineRule="exact"/>
              <w:jc w:val="center"/>
              <w:rPr>
                <w:rFonts w:hint="eastAsia" w:ascii="宋体" w:hAnsi="宋体" w:cs="宋体"/>
                <w:color w:val="000000" w:themeColor="text1"/>
                <w:szCs w:val="21"/>
                <w14:textFill>
                  <w14:solidFill>
                    <w14:schemeClr w14:val="tx1"/>
                  </w14:solidFill>
                </w14:textFill>
              </w:rPr>
            </w:pPr>
          </w:p>
        </w:tc>
        <w:tc>
          <w:tcPr>
            <w:tcW w:w="850" w:type="dxa"/>
          </w:tcPr>
          <w:p w14:paraId="1066ED99">
            <w:pPr>
              <w:spacing w:line="300" w:lineRule="exact"/>
              <w:jc w:val="center"/>
              <w:rPr>
                <w:rFonts w:hint="eastAsia" w:ascii="宋体" w:hAnsi="宋体" w:cs="宋体"/>
                <w:color w:val="000000" w:themeColor="text1"/>
                <w:szCs w:val="21"/>
                <w14:textFill>
                  <w14:solidFill>
                    <w14:schemeClr w14:val="tx1"/>
                  </w14:solidFill>
                </w14:textFill>
              </w:rPr>
            </w:pPr>
          </w:p>
        </w:tc>
        <w:tc>
          <w:tcPr>
            <w:tcW w:w="1058" w:type="dxa"/>
          </w:tcPr>
          <w:p w14:paraId="450EEB00">
            <w:pPr>
              <w:spacing w:line="300" w:lineRule="exact"/>
              <w:jc w:val="center"/>
              <w:rPr>
                <w:rFonts w:hint="eastAsia" w:ascii="宋体" w:hAnsi="宋体" w:cs="宋体"/>
                <w:color w:val="000000" w:themeColor="text1"/>
                <w:szCs w:val="21"/>
                <w14:textFill>
                  <w14:solidFill>
                    <w14:schemeClr w14:val="tx1"/>
                  </w14:solidFill>
                </w14:textFill>
              </w:rPr>
            </w:pPr>
          </w:p>
        </w:tc>
        <w:tc>
          <w:tcPr>
            <w:tcW w:w="880" w:type="dxa"/>
          </w:tcPr>
          <w:p w14:paraId="402D15FF">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4A076134">
            <w:pPr>
              <w:spacing w:line="300" w:lineRule="exact"/>
              <w:jc w:val="center"/>
              <w:rPr>
                <w:rFonts w:hint="eastAsia" w:ascii="宋体" w:hAnsi="宋体" w:cs="宋体"/>
                <w:color w:val="000000" w:themeColor="text1"/>
                <w:szCs w:val="21"/>
                <w14:textFill>
                  <w14:solidFill>
                    <w14:schemeClr w14:val="tx1"/>
                  </w14:solidFill>
                </w14:textFill>
              </w:rPr>
            </w:pPr>
          </w:p>
        </w:tc>
        <w:tc>
          <w:tcPr>
            <w:tcW w:w="1480" w:type="dxa"/>
          </w:tcPr>
          <w:p w14:paraId="14700520">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2FF98A43">
            <w:pPr>
              <w:spacing w:line="300" w:lineRule="exact"/>
              <w:jc w:val="center"/>
              <w:rPr>
                <w:rFonts w:hint="eastAsia" w:ascii="宋体" w:hAnsi="宋体" w:cs="宋体"/>
                <w:color w:val="000000" w:themeColor="text1"/>
                <w:szCs w:val="21"/>
                <w14:textFill>
                  <w14:solidFill>
                    <w14:schemeClr w14:val="tx1"/>
                  </w14:solidFill>
                </w14:textFill>
              </w:rPr>
            </w:pPr>
          </w:p>
        </w:tc>
        <w:tc>
          <w:tcPr>
            <w:tcW w:w="921" w:type="dxa"/>
          </w:tcPr>
          <w:p w14:paraId="3DE1D700">
            <w:pPr>
              <w:spacing w:line="300" w:lineRule="exact"/>
              <w:jc w:val="center"/>
              <w:rPr>
                <w:rFonts w:hint="eastAsia" w:ascii="宋体" w:hAnsi="宋体" w:cs="宋体"/>
                <w:color w:val="000000" w:themeColor="text1"/>
                <w:szCs w:val="21"/>
                <w14:textFill>
                  <w14:solidFill>
                    <w14:schemeClr w14:val="tx1"/>
                  </w14:solidFill>
                </w14:textFill>
              </w:rPr>
            </w:pPr>
          </w:p>
        </w:tc>
      </w:tr>
      <w:tr w14:paraId="0FAA0F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Pr>
          <w:p w14:paraId="18CBF915">
            <w:pPr>
              <w:spacing w:line="300" w:lineRule="exact"/>
              <w:jc w:val="center"/>
              <w:rPr>
                <w:rFonts w:hint="eastAsia" w:ascii="宋体" w:hAnsi="宋体" w:cs="宋体"/>
                <w:color w:val="000000" w:themeColor="text1"/>
                <w:szCs w:val="21"/>
                <w14:textFill>
                  <w14:solidFill>
                    <w14:schemeClr w14:val="tx1"/>
                  </w14:solidFill>
                </w14:textFill>
              </w:rPr>
            </w:pPr>
          </w:p>
        </w:tc>
        <w:tc>
          <w:tcPr>
            <w:tcW w:w="1418" w:type="dxa"/>
          </w:tcPr>
          <w:p w14:paraId="3C330822">
            <w:pPr>
              <w:spacing w:line="300" w:lineRule="exact"/>
              <w:jc w:val="center"/>
              <w:rPr>
                <w:rFonts w:hint="eastAsia" w:ascii="宋体" w:hAnsi="宋体" w:cs="宋体"/>
                <w:color w:val="000000" w:themeColor="text1"/>
                <w:szCs w:val="21"/>
                <w14:textFill>
                  <w14:solidFill>
                    <w14:schemeClr w14:val="tx1"/>
                  </w14:solidFill>
                </w14:textFill>
              </w:rPr>
            </w:pPr>
          </w:p>
        </w:tc>
        <w:tc>
          <w:tcPr>
            <w:tcW w:w="850" w:type="dxa"/>
          </w:tcPr>
          <w:p w14:paraId="3076C0E2">
            <w:pPr>
              <w:spacing w:line="300" w:lineRule="exact"/>
              <w:jc w:val="center"/>
              <w:rPr>
                <w:rFonts w:hint="eastAsia" w:ascii="宋体" w:hAnsi="宋体" w:cs="宋体"/>
                <w:color w:val="000000" w:themeColor="text1"/>
                <w:szCs w:val="21"/>
                <w14:textFill>
                  <w14:solidFill>
                    <w14:schemeClr w14:val="tx1"/>
                  </w14:solidFill>
                </w14:textFill>
              </w:rPr>
            </w:pPr>
          </w:p>
        </w:tc>
        <w:tc>
          <w:tcPr>
            <w:tcW w:w="1058" w:type="dxa"/>
          </w:tcPr>
          <w:p w14:paraId="26476B82">
            <w:pPr>
              <w:spacing w:line="300" w:lineRule="exact"/>
              <w:jc w:val="center"/>
              <w:rPr>
                <w:rFonts w:hint="eastAsia" w:ascii="宋体" w:hAnsi="宋体" w:cs="宋体"/>
                <w:color w:val="000000" w:themeColor="text1"/>
                <w:szCs w:val="21"/>
                <w14:textFill>
                  <w14:solidFill>
                    <w14:schemeClr w14:val="tx1"/>
                  </w14:solidFill>
                </w14:textFill>
              </w:rPr>
            </w:pPr>
          </w:p>
        </w:tc>
        <w:tc>
          <w:tcPr>
            <w:tcW w:w="880" w:type="dxa"/>
          </w:tcPr>
          <w:p w14:paraId="727F6AC7">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3F7C776C">
            <w:pPr>
              <w:spacing w:line="300" w:lineRule="exact"/>
              <w:jc w:val="center"/>
              <w:rPr>
                <w:rFonts w:hint="eastAsia" w:ascii="宋体" w:hAnsi="宋体" w:cs="宋体"/>
                <w:color w:val="000000" w:themeColor="text1"/>
                <w:szCs w:val="21"/>
                <w14:textFill>
                  <w14:solidFill>
                    <w14:schemeClr w14:val="tx1"/>
                  </w14:solidFill>
                </w14:textFill>
              </w:rPr>
            </w:pPr>
          </w:p>
        </w:tc>
        <w:tc>
          <w:tcPr>
            <w:tcW w:w="1480" w:type="dxa"/>
          </w:tcPr>
          <w:p w14:paraId="15720857">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49F49A21">
            <w:pPr>
              <w:spacing w:line="300" w:lineRule="exact"/>
              <w:jc w:val="center"/>
              <w:rPr>
                <w:rFonts w:hint="eastAsia" w:ascii="宋体" w:hAnsi="宋体" w:cs="宋体"/>
                <w:color w:val="000000" w:themeColor="text1"/>
                <w:szCs w:val="21"/>
                <w14:textFill>
                  <w14:solidFill>
                    <w14:schemeClr w14:val="tx1"/>
                  </w14:solidFill>
                </w14:textFill>
              </w:rPr>
            </w:pPr>
          </w:p>
        </w:tc>
        <w:tc>
          <w:tcPr>
            <w:tcW w:w="921" w:type="dxa"/>
          </w:tcPr>
          <w:p w14:paraId="0566A3FA">
            <w:pPr>
              <w:spacing w:line="300" w:lineRule="exact"/>
              <w:jc w:val="center"/>
              <w:rPr>
                <w:rFonts w:hint="eastAsia" w:ascii="宋体" w:hAnsi="宋体" w:cs="宋体"/>
                <w:color w:val="000000" w:themeColor="text1"/>
                <w:szCs w:val="21"/>
                <w14:textFill>
                  <w14:solidFill>
                    <w14:schemeClr w14:val="tx1"/>
                  </w14:solidFill>
                </w14:textFill>
              </w:rPr>
            </w:pPr>
          </w:p>
        </w:tc>
      </w:tr>
      <w:tr w14:paraId="0327A3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Pr>
          <w:p w14:paraId="3C4B5CC1">
            <w:pPr>
              <w:spacing w:line="300" w:lineRule="exact"/>
              <w:jc w:val="center"/>
              <w:rPr>
                <w:rFonts w:hint="eastAsia" w:ascii="宋体" w:hAnsi="宋体" w:cs="宋体"/>
                <w:color w:val="000000" w:themeColor="text1"/>
                <w:szCs w:val="21"/>
                <w14:textFill>
                  <w14:solidFill>
                    <w14:schemeClr w14:val="tx1"/>
                  </w14:solidFill>
                </w14:textFill>
              </w:rPr>
            </w:pPr>
          </w:p>
        </w:tc>
        <w:tc>
          <w:tcPr>
            <w:tcW w:w="1418" w:type="dxa"/>
          </w:tcPr>
          <w:p w14:paraId="36E90FF8">
            <w:pPr>
              <w:spacing w:line="300" w:lineRule="exact"/>
              <w:jc w:val="center"/>
              <w:rPr>
                <w:rFonts w:hint="eastAsia" w:ascii="宋体" w:hAnsi="宋体" w:cs="宋体"/>
                <w:color w:val="000000" w:themeColor="text1"/>
                <w:szCs w:val="21"/>
                <w14:textFill>
                  <w14:solidFill>
                    <w14:schemeClr w14:val="tx1"/>
                  </w14:solidFill>
                </w14:textFill>
              </w:rPr>
            </w:pPr>
          </w:p>
        </w:tc>
        <w:tc>
          <w:tcPr>
            <w:tcW w:w="850" w:type="dxa"/>
          </w:tcPr>
          <w:p w14:paraId="6451E160">
            <w:pPr>
              <w:spacing w:line="300" w:lineRule="exact"/>
              <w:jc w:val="center"/>
              <w:rPr>
                <w:rFonts w:hint="eastAsia" w:ascii="宋体" w:hAnsi="宋体" w:cs="宋体"/>
                <w:color w:val="000000" w:themeColor="text1"/>
                <w:szCs w:val="21"/>
                <w14:textFill>
                  <w14:solidFill>
                    <w14:schemeClr w14:val="tx1"/>
                  </w14:solidFill>
                </w14:textFill>
              </w:rPr>
            </w:pPr>
          </w:p>
        </w:tc>
        <w:tc>
          <w:tcPr>
            <w:tcW w:w="1058" w:type="dxa"/>
          </w:tcPr>
          <w:p w14:paraId="3A9EE69A">
            <w:pPr>
              <w:spacing w:line="300" w:lineRule="exact"/>
              <w:jc w:val="center"/>
              <w:rPr>
                <w:rFonts w:hint="eastAsia" w:ascii="宋体" w:hAnsi="宋体" w:cs="宋体"/>
                <w:color w:val="000000" w:themeColor="text1"/>
                <w:szCs w:val="21"/>
                <w14:textFill>
                  <w14:solidFill>
                    <w14:schemeClr w14:val="tx1"/>
                  </w14:solidFill>
                </w14:textFill>
              </w:rPr>
            </w:pPr>
          </w:p>
        </w:tc>
        <w:tc>
          <w:tcPr>
            <w:tcW w:w="880" w:type="dxa"/>
          </w:tcPr>
          <w:p w14:paraId="40C70BA6">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3CE97216">
            <w:pPr>
              <w:spacing w:line="300" w:lineRule="exact"/>
              <w:jc w:val="center"/>
              <w:rPr>
                <w:rFonts w:hint="eastAsia" w:ascii="宋体" w:hAnsi="宋体" w:cs="宋体"/>
                <w:color w:val="000000" w:themeColor="text1"/>
                <w:szCs w:val="21"/>
                <w14:textFill>
                  <w14:solidFill>
                    <w14:schemeClr w14:val="tx1"/>
                  </w14:solidFill>
                </w14:textFill>
              </w:rPr>
            </w:pPr>
          </w:p>
        </w:tc>
        <w:tc>
          <w:tcPr>
            <w:tcW w:w="1480" w:type="dxa"/>
          </w:tcPr>
          <w:p w14:paraId="73D68AEC">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1CA15598">
            <w:pPr>
              <w:spacing w:line="300" w:lineRule="exact"/>
              <w:jc w:val="center"/>
              <w:rPr>
                <w:rFonts w:hint="eastAsia" w:ascii="宋体" w:hAnsi="宋体" w:cs="宋体"/>
                <w:color w:val="000000" w:themeColor="text1"/>
                <w:szCs w:val="21"/>
                <w14:textFill>
                  <w14:solidFill>
                    <w14:schemeClr w14:val="tx1"/>
                  </w14:solidFill>
                </w14:textFill>
              </w:rPr>
            </w:pPr>
          </w:p>
        </w:tc>
        <w:tc>
          <w:tcPr>
            <w:tcW w:w="921" w:type="dxa"/>
          </w:tcPr>
          <w:p w14:paraId="2AEAF32C">
            <w:pPr>
              <w:spacing w:line="300" w:lineRule="exact"/>
              <w:jc w:val="center"/>
              <w:rPr>
                <w:rFonts w:hint="eastAsia" w:ascii="宋体" w:hAnsi="宋体" w:cs="宋体"/>
                <w:color w:val="000000" w:themeColor="text1"/>
                <w:szCs w:val="21"/>
                <w14:textFill>
                  <w14:solidFill>
                    <w14:schemeClr w14:val="tx1"/>
                  </w14:solidFill>
                </w14:textFill>
              </w:rPr>
            </w:pPr>
          </w:p>
        </w:tc>
      </w:tr>
      <w:tr w14:paraId="6C8A0F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Pr>
          <w:p w14:paraId="6A4B91DA">
            <w:pPr>
              <w:spacing w:line="300" w:lineRule="exact"/>
              <w:jc w:val="center"/>
              <w:rPr>
                <w:rFonts w:hint="eastAsia" w:ascii="宋体" w:hAnsi="宋体" w:cs="宋体"/>
                <w:color w:val="000000" w:themeColor="text1"/>
                <w:szCs w:val="21"/>
                <w14:textFill>
                  <w14:solidFill>
                    <w14:schemeClr w14:val="tx1"/>
                  </w14:solidFill>
                </w14:textFill>
              </w:rPr>
            </w:pPr>
          </w:p>
        </w:tc>
        <w:tc>
          <w:tcPr>
            <w:tcW w:w="1418" w:type="dxa"/>
          </w:tcPr>
          <w:p w14:paraId="547E6AC1">
            <w:pPr>
              <w:spacing w:line="300" w:lineRule="exact"/>
              <w:jc w:val="center"/>
              <w:rPr>
                <w:rFonts w:hint="eastAsia" w:ascii="宋体" w:hAnsi="宋体" w:cs="宋体"/>
                <w:color w:val="000000" w:themeColor="text1"/>
                <w:szCs w:val="21"/>
                <w14:textFill>
                  <w14:solidFill>
                    <w14:schemeClr w14:val="tx1"/>
                  </w14:solidFill>
                </w14:textFill>
              </w:rPr>
            </w:pPr>
          </w:p>
        </w:tc>
        <w:tc>
          <w:tcPr>
            <w:tcW w:w="850" w:type="dxa"/>
          </w:tcPr>
          <w:p w14:paraId="2AEF3AF3">
            <w:pPr>
              <w:spacing w:line="300" w:lineRule="exact"/>
              <w:jc w:val="center"/>
              <w:rPr>
                <w:rFonts w:hint="eastAsia" w:ascii="宋体" w:hAnsi="宋体" w:cs="宋体"/>
                <w:color w:val="000000" w:themeColor="text1"/>
                <w:szCs w:val="21"/>
                <w14:textFill>
                  <w14:solidFill>
                    <w14:schemeClr w14:val="tx1"/>
                  </w14:solidFill>
                </w14:textFill>
              </w:rPr>
            </w:pPr>
          </w:p>
        </w:tc>
        <w:tc>
          <w:tcPr>
            <w:tcW w:w="1058" w:type="dxa"/>
          </w:tcPr>
          <w:p w14:paraId="1981C89F">
            <w:pPr>
              <w:spacing w:line="300" w:lineRule="exact"/>
              <w:jc w:val="center"/>
              <w:rPr>
                <w:rFonts w:hint="eastAsia" w:ascii="宋体" w:hAnsi="宋体" w:cs="宋体"/>
                <w:color w:val="000000" w:themeColor="text1"/>
                <w:szCs w:val="21"/>
                <w14:textFill>
                  <w14:solidFill>
                    <w14:schemeClr w14:val="tx1"/>
                  </w14:solidFill>
                </w14:textFill>
              </w:rPr>
            </w:pPr>
          </w:p>
        </w:tc>
        <w:tc>
          <w:tcPr>
            <w:tcW w:w="880" w:type="dxa"/>
          </w:tcPr>
          <w:p w14:paraId="6B4CAE94">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00B73B8B">
            <w:pPr>
              <w:spacing w:line="300" w:lineRule="exact"/>
              <w:jc w:val="center"/>
              <w:rPr>
                <w:rFonts w:hint="eastAsia" w:ascii="宋体" w:hAnsi="宋体" w:cs="宋体"/>
                <w:color w:val="000000" w:themeColor="text1"/>
                <w:szCs w:val="21"/>
                <w14:textFill>
                  <w14:solidFill>
                    <w14:schemeClr w14:val="tx1"/>
                  </w14:solidFill>
                </w14:textFill>
              </w:rPr>
            </w:pPr>
          </w:p>
        </w:tc>
        <w:tc>
          <w:tcPr>
            <w:tcW w:w="1480" w:type="dxa"/>
          </w:tcPr>
          <w:p w14:paraId="13A9313C">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6B5B6A98">
            <w:pPr>
              <w:spacing w:line="300" w:lineRule="exact"/>
              <w:jc w:val="center"/>
              <w:rPr>
                <w:rFonts w:hint="eastAsia" w:ascii="宋体" w:hAnsi="宋体" w:cs="宋体"/>
                <w:color w:val="000000" w:themeColor="text1"/>
                <w:szCs w:val="21"/>
                <w14:textFill>
                  <w14:solidFill>
                    <w14:schemeClr w14:val="tx1"/>
                  </w14:solidFill>
                </w14:textFill>
              </w:rPr>
            </w:pPr>
          </w:p>
        </w:tc>
        <w:tc>
          <w:tcPr>
            <w:tcW w:w="921" w:type="dxa"/>
          </w:tcPr>
          <w:p w14:paraId="4F0AEB35">
            <w:pPr>
              <w:spacing w:line="300" w:lineRule="exact"/>
              <w:jc w:val="center"/>
              <w:rPr>
                <w:rFonts w:hint="eastAsia" w:ascii="宋体" w:hAnsi="宋体" w:cs="宋体"/>
                <w:color w:val="000000" w:themeColor="text1"/>
                <w:szCs w:val="21"/>
                <w14:textFill>
                  <w14:solidFill>
                    <w14:schemeClr w14:val="tx1"/>
                  </w14:solidFill>
                </w14:textFill>
              </w:rPr>
            </w:pPr>
          </w:p>
        </w:tc>
      </w:tr>
      <w:tr w14:paraId="35483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Pr>
          <w:p w14:paraId="141AE741">
            <w:pPr>
              <w:spacing w:line="300" w:lineRule="exact"/>
              <w:jc w:val="center"/>
              <w:rPr>
                <w:rFonts w:hint="eastAsia" w:ascii="宋体" w:hAnsi="宋体" w:cs="宋体"/>
                <w:color w:val="000000" w:themeColor="text1"/>
                <w:szCs w:val="21"/>
                <w14:textFill>
                  <w14:solidFill>
                    <w14:schemeClr w14:val="tx1"/>
                  </w14:solidFill>
                </w14:textFill>
              </w:rPr>
            </w:pPr>
          </w:p>
        </w:tc>
        <w:tc>
          <w:tcPr>
            <w:tcW w:w="1418" w:type="dxa"/>
          </w:tcPr>
          <w:p w14:paraId="2E952E5F">
            <w:pPr>
              <w:spacing w:line="300" w:lineRule="exact"/>
              <w:jc w:val="center"/>
              <w:rPr>
                <w:rFonts w:hint="eastAsia" w:ascii="宋体" w:hAnsi="宋体" w:cs="宋体"/>
                <w:color w:val="000000" w:themeColor="text1"/>
                <w:szCs w:val="21"/>
                <w14:textFill>
                  <w14:solidFill>
                    <w14:schemeClr w14:val="tx1"/>
                  </w14:solidFill>
                </w14:textFill>
              </w:rPr>
            </w:pPr>
          </w:p>
        </w:tc>
        <w:tc>
          <w:tcPr>
            <w:tcW w:w="850" w:type="dxa"/>
          </w:tcPr>
          <w:p w14:paraId="225D9124">
            <w:pPr>
              <w:spacing w:line="300" w:lineRule="exact"/>
              <w:jc w:val="center"/>
              <w:rPr>
                <w:rFonts w:hint="eastAsia" w:ascii="宋体" w:hAnsi="宋体" w:cs="宋体"/>
                <w:color w:val="000000" w:themeColor="text1"/>
                <w:szCs w:val="21"/>
                <w14:textFill>
                  <w14:solidFill>
                    <w14:schemeClr w14:val="tx1"/>
                  </w14:solidFill>
                </w14:textFill>
              </w:rPr>
            </w:pPr>
          </w:p>
        </w:tc>
        <w:tc>
          <w:tcPr>
            <w:tcW w:w="1058" w:type="dxa"/>
          </w:tcPr>
          <w:p w14:paraId="3BA99D2B">
            <w:pPr>
              <w:spacing w:line="300" w:lineRule="exact"/>
              <w:jc w:val="center"/>
              <w:rPr>
                <w:rFonts w:hint="eastAsia" w:ascii="宋体" w:hAnsi="宋体" w:cs="宋体"/>
                <w:color w:val="000000" w:themeColor="text1"/>
                <w:szCs w:val="21"/>
                <w14:textFill>
                  <w14:solidFill>
                    <w14:schemeClr w14:val="tx1"/>
                  </w14:solidFill>
                </w14:textFill>
              </w:rPr>
            </w:pPr>
          </w:p>
        </w:tc>
        <w:tc>
          <w:tcPr>
            <w:tcW w:w="880" w:type="dxa"/>
          </w:tcPr>
          <w:p w14:paraId="2D3336BC">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0B17B80B">
            <w:pPr>
              <w:spacing w:line="300" w:lineRule="exact"/>
              <w:jc w:val="center"/>
              <w:rPr>
                <w:rFonts w:hint="eastAsia" w:ascii="宋体" w:hAnsi="宋体" w:cs="宋体"/>
                <w:color w:val="000000" w:themeColor="text1"/>
                <w:szCs w:val="21"/>
                <w14:textFill>
                  <w14:solidFill>
                    <w14:schemeClr w14:val="tx1"/>
                  </w14:solidFill>
                </w14:textFill>
              </w:rPr>
            </w:pPr>
          </w:p>
        </w:tc>
        <w:tc>
          <w:tcPr>
            <w:tcW w:w="1480" w:type="dxa"/>
          </w:tcPr>
          <w:p w14:paraId="1540D3FF">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13CD426F">
            <w:pPr>
              <w:spacing w:line="300" w:lineRule="exact"/>
              <w:jc w:val="center"/>
              <w:rPr>
                <w:rFonts w:hint="eastAsia" w:ascii="宋体" w:hAnsi="宋体" w:cs="宋体"/>
                <w:color w:val="000000" w:themeColor="text1"/>
                <w:szCs w:val="21"/>
                <w14:textFill>
                  <w14:solidFill>
                    <w14:schemeClr w14:val="tx1"/>
                  </w14:solidFill>
                </w14:textFill>
              </w:rPr>
            </w:pPr>
          </w:p>
        </w:tc>
        <w:tc>
          <w:tcPr>
            <w:tcW w:w="921" w:type="dxa"/>
          </w:tcPr>
          <w:p w14:paraId="56F47C9A">
            <w:pPr>
              <w:spacing w:line="300" w:lineRule="exact"/>
              <w:jc w:val="center"/>
              <w:rPr>
                <w:rFonts w:hint="eastAsia" w:ascii="宋体" w:hAnsi="宋体" w:cs="宋体"/>
                <w:color w:val="000000" w:themeColor="text1"/>
                <w:szCs w:val="21"/>
                <w14:textFill>
                  <w14:solidFill>
                    <w14:schemeClr w14:val="tx1"/>
                  </w14:solidFill>
                </w14:textFill>
              </w:rPr>
            </w:pPr>
          </w:p>
        </w:tc>
      </w:tr>
      <w:tr w14:paraId="78556B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Pr>
          <w:p w14:paraId="70CEC6DF">
            <w:pPr>
              <w:spacing w:line="300" w:lineRule="exact"/>
              <w:jc w:val="center"/>
              <w:rPr>
                <w:rFonts w:hint="eastAsia" w:ascii="宋体" w:hAnsi="宋体" w:cs="宋体"/>
                <w:color w:val="000000" w:themeColor="text1"/>
                <w:szCs w:val="21"/>
                <w14:textFill>
                  <w14:solidFill>
                    <w14:schemeClr w14:val="tx1"/>
                  </w14:solidFill>
                </w14:textFill>
              </w:rPr>
            </w:pPr>
          </w:p>
        </w:tc>
        <w:tc>
          <w:tcPr>
            <w:tcW w:w="1418" w:type="dxa"/>
          </w:tcPr>
          <w:p w14:paraId="4124AAF5">
            <w:pPr>
              <w:spacing w:line="300" w:lineRule="exact"/>
              <w:jc w:val="center"/>
              <w:rPr>
                <w:rFonts w:hint="eastAsia" w:ascii="宋体" w:hAnsi="宋体" w:cs="宋体"/>
                <w:color w:val="000000" w:themeColor="text1"/>
                <w:szCs w:val="21"/>
                <w14:textFill>
                  <w14:solidFill>
                    <w14:schemeClr w14:val="tx1"/>
                  </w14:solidFill>
                </w14:textFill>
              </w:rPr>
            </w:pPr>
          </w:p>
        </w:tc>
        <w:tc>
          <w:tcPr>
            <w:tcW w:w="850" w:type="dxa"/>
          </w:tcPr>
          <w:p w14:paraId="786E16B6">
            <w:pPr>
              <w:spacing w:line="300" w:lineRule="exact"/>
              <w:jc w:val="center"/>
              <w:rPr>
                <w:rFonts w:hint="eastAsia" w:ascii="宋体" w:hAnsi="宋体" w:cs="宋体"/>
                <w:color w:val="000000" w:themeColor="text1"/>
                <w:szCs w:val="21"/>
                <w14:textFill>
                  <w14:solidFill>
                    <w14:schemeClr w14:val="tx1"/>
                  </w14:solidFill>
                </w14:textFill>
              </w:rPr>
            </w:pPr>
          </w:p>
        </w:tc>
        <w:tc>
          <w:tcPr>
            <w:tcW w:w="1058" w:type="dxa"/>
          </w:tcPr>
          <w:p w14:paraId="588B7914">
            <w:pPr>
              <w:spacing w:line="300" w:lineRule="exact"/>
              <w:jc w:val="center"/>
              <w:rPr>
                <w:rFonts w:hint="eastAsia" w:ascii="宋体" w:hAnsi="宋体" w:cs="宋体"/>
                <w:color w:val="000000" w:themeColor="text1"/>
                <w:szCs w:val="21"/>
                <w14:textFill>
                  <w14:solidFill>
                    <w14:schemeClr w14:val="tx1"/>
                  </w14:solidFill>
                </w14:textFill>
              </w:rPr>
            </w:pPr>
          </w:p>
        </w:tc>
        <w:tc>
          <w:tcPr>
            <w:tcW w:w="880" w:type="dxa"/>
          </w:tcPr>
          <w:p w14:paraId="7B3E7B71">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3AF81475">
            <w:pPr>
              <w:spacing w:line="300" w:lineRule="exact"/>
              <w:jc w:val="center"/>
              <w:rPr>
                <w:rFonts w:hint="eastAsia" w:ascii="宋体" w:hAnsi="宋体" w:cs="宋体"/>
                <w:color w:val="000000" w:themeColor="text1"/>
                <w:szCs w:val="21"/>
                <w14:textFill>
                  <w14:solidFill>
                    <w14:schemeClr w14:val="tx1"/>
                  </w14:solidFill>
                </w14:textFill>
              </w:rPr>
            </w:pPr>
          </w:p>
        </w:tc>
        <w:tc>
          <w:tcPr>
            <w:tcW w:w="1480" w:type="dxa"/>
          </w:tcPr>
          <w:p w14:paraId="1419F052">
            <w:pPr>
              <w:spacing w:line="300" w:lineRule="exact"/>
              <w:jc w:val="center"/>
              <w:rPr>
                <w:rFonts w:hint="eastAsia" w:ascii="宋体" w:hAnsi="宋体" w:cs="宋体"/>
                <w:color w:val="000000" w:themeColor="text1"/>
                <w:szCs w:val="21"/>
                <w14:textFill>
                  <w14:solidFill>
                    <w14:schemeClr w14:val="tx1"/>
                  </w14:solidFill>
                </w14:textFill>
              </w:rPr>
            </w:pPr>
          </w:p>
        </w:tc>
        <w:tc>
          <w:tcPr>
            <w:tcW w:w="1020" w:type="dxa"/>
          </w:tcPr>
          <w:p w14:paraId="3C1EA6A9">
            <w:pPr>
              <w:spacing w:line="300" w:lineRule="exact"/>
              <w:jc w:val="center"/>
              <w:rPr>
                <w:rFonts w:hint="eastAsia" w:ascii="宋体" w:hAnsi="宋体" w:cs="宋体"/>
                <w:color w:val="000000" w:themeColor="text1"/>
                <w:szCs w:val="21"/>
                <w14:textFill>
                  <w14:solidFill>
                    <w14:schemeClr w14:val="tx1"/>
                  </w14:solidFill>
                </w14:textFill>
              </w:rPr>
            </w:pPr>
          </w:p>
        </w:tc>
        <w:tc>
          <w:tcPr>
            <w:tcW w:w="921" w:type="dxa"/>
          </w:tcPr>
          <w:p w14:paraId="293955A7">
            <w:pPr>
              <w:spacing w:line="300" w:lineRule="exact"/>
              <w:jc w:val="center"/>
              <w:rPr>
                <w:rFonts w:hint="eastAsia" w:ascii="宋体" w:hAnsi="宋体" w:cs="宋体"/>
                <w:color w:val="000000" w:themeColor="text1"/>
                <w:szCs w:val="21"/>
                <w14:textFill>
                  <w14:solidFill>
                    <w14:schemeClr w14:val="tx1"/>
                  </w14:solidFill>
                </w14:textFill>
              </w:rPr>
            </w:pPr>
          </w:p>
        </w:tc>
      </w:tr>
    </w:tbl>
    <w:p w14:paraId="51ACF623">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50AE66C3">
      <w:pPr>
        <w:spacing w:line="4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w:t>
      </w:r>
      <w:bookmarkStart w:id="1986" w:name="_Toc296503228"/>
      <w:bookmarkStart w:id="1987" w:name="_Toc296347227"/>
      <w:bookmarkStart w:id="1988" w:name="_Toc296891268"/>
      <w:bookmarkStart w:id="1989" w:name="_Toc296891056"/>
      <w:bookmarkStart w:id="1990" w:name="_Toc267261699"/>
      <w:bookmarkStart w:id="1991" w:name="_Toc296346729"/>
      <w:bookmarkStart w:id="1992" w:name="_Toc296944567"/>
      <w:r>
        <w:rPr>
          <w:rFonts w:hint="eastAsia" w:ascii="宋体" w:hAnsi="宋体" w:cs="宋体"/>
          <w:color w:val="000000" w:themeColor="text1"/>
          <w:szCs w:val="21"/>
          <w14:textFill>
            <w14:solidFill>
              <w14:schemeClr w14:val="tx1"/>
            </w14:solidFill>
          </w14:textFill>
        </w:rPr>
        <w:t>件6</w:t>
      </w:r>
    </w:p>
    <w:bookmarkEnd w:id="1986"/>
    <w:bookmarkEnd w:id="1987"/>
    <w:bookmarkEnd w:id="1988"/>
    <w:bookmarkEnd w:id="1989"/>
    <w:bookmarkEnd w:id="1990"/>
    <w:bookmarkEnd w:id="1991"/>
    <w:bookmarkEnd w:id="1992"/>
    <w:p w14:paraId="672F319F">
      <w:pPr>
        <w:spacing w:before="156" w:beforeLines="50" w:after="156" w:afterLines="50" w:line="44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承包人主要施工管理人员表</w:t>
      </w:r>
    </w:p>
    <w:tbl>
      <w:tblPr>
        <w:tblStyle w:val="45"/>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7C780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09A87F0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    称</w:t>
            </w:r>
          </w:p>
        </w:tc>
        <w:tc>
          <w:tcPr>
            <w:tcW w:w="1418" w:type="dxa"/>
            <w:tcBorders>
              <w:top w:val="single" w:color="auto" w:sz="12" w:space="0"/>
              <w:bottom w:val="double" w:color="auto" w:sz="6" w:space="0"/>
            </w:tcBorders>
            <w:vAlign w:val="center"/>
          </w:tcPr>
          <w:p w14:paraId="6E48975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134" w:type="dxa"/>
            <w:tcBorders>
              <w:top w:val="single" w:color="auto" w:sz="12" w:space="0"/>
              <w:bottom w:val="double" w:color="auto" w:sz="6" w:space="0"/>
            </w:tcBorders>
            <w:vAlign w:val="center"/>
          </w:tcPr>
          <w:p w14:paraId="775E9C1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职务</w:t>
            </w:r>
          </w:p>
        </w:tc>
        <w:tc>
          <w:tcPr>
            <w:tcW w:w="1134" w:type="dxa"/>
            <w:tcBorders>
              <w:top w:val="single" w:color="auto" w:sz="12" w:space="0"/>
              <w:bottom w:val="double" w:color="auto" w:sz="6" w:space="0"/>
            </w:tcBorders>
            <w:vAlign w:val="center"/>
          </w:tcPr>
          <w:p w14:paraId="6D99F83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职称</w:t>
            </w:r>
          </w:p>
        </w:tc>
        <w:tc>
          <w:tcPr>
            <w:tcW w:w="4252" w:type="dxa"/>
            <w:tcBorders>
              <w:top w:val="single" w:color="auto" w:sz="12" w:space="0"/>
              <w:bottom w:val="double" w:color="auto" w:sz="6" w:space="0"/>
            </w:tcBorders>
            <w:vAlign w:val="center"/>
          </w:tcPr>
          <w:p w14:paraId="339E86A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主要资历、经验及承担过的项目</w:t>
            </w:r>
          </w:p>
        </w:tc>
      </w:tr>
      <w:tr w14:paraId="3AA23D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7859946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一、总部人员</w:t>
            </w:r>
          </w:p>
        </w:tc>
      </w:tr>
      <w:tr w14:paraId="6AAF8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5C21D4D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项目主管</w:t>
            </w:r>
          </w:p>
        </w:tc>
        <w:tc>
          <w:tcPr>
            <w:tcW w:w="1418" w:type="dxa"/>
            <w:tcBorders>
              <w:top w:val="nil"/>
            </w:tcBorders>
            <w:vAlign w:val="center"/>
          </w:tcPr>
          <w:p w14:paraId="02485FF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tcBorders>
              <w:top w:val="nil"/>
            </w:tcBorders>
            <w:vAlign w:val="center"/>
          </w:tcPr>
          <w:p w14:paraId="7E92C38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tcBorders>
              <w:top w:val="nil"/>
            </w:tcBorders>
            <w:vAlign w:val="center"/>
          </w:tcPr>
          <w:p w14:paraId="0351E0D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tcBorders>
              <w:top w:val="nil"/>
            </w:tcBorders>
            <w:vAlign w:val="center"/>
          </w:tcPr>
          <w:p w14:paraId="2F2AEDF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420143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13165A9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3B40E38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229FC87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064F280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vAlign w:val="center"/>
          </w:tcPr>
          <w:p w14:paraId="2E42257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782CC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04E15FA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其他人员</w:t>
            </w:r>
          </w:p>
        </w:tc>
        <w:tc>
          <w:tcPr>
            <w:tcW w:w="1418" w:type="dxa"/>
            <w:vAlign w:val="center"/>
          </w:tcPr>
          <w:p w14:paraId="623AF97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342454F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2889E41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vAlign w:val="center"/>
          </w:tcPr>
          <w:p w14:paraId="26800F3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71B73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6C1A7AB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2A02B5C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0B4BF90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0EED208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vAlign w:val="center"/>
          </w:tcPr>
          <w:p w14:paraId="64E9CF1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5853E1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2FC5E75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二、现场人员</w:t>
            </w:r>
          </w:p>
        </w:tc>
      </w:tr>
      <w:tr w14:paraId="615D4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313642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项目经理</w:t>
            </w:r>
          </w:p>
        </w:tc>
        <w:tc>
          <w:tcPr>
            <w:tcW w:w="1418" w:type="dxa"/>
            <w:vAlign w:val="center"/>
          </w:tcPr>
          <w:p w14:paraId="0EF5FB6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60ECC47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285B477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vAlign w:val="center"/>
          </w:tcPr>
          <w:p w14:paraId="6478B96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2AAC07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13A841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项目副经理</w:t>
            </w:r>
          </w:p>
        </w:tc>
        <w:tc>
          <w:tcPr>
            <w:tcW w:w="1418" w:type="dxa"/>
            <w:vAlign w:val="center"/>
          </w:tcPr>
          <w:p w14:paraId="3034259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3568AA5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65AE570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vAlign w:val="center"/>
          </w:tcPr>
          <w:p w14:paraId="3190E5D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72B9A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5228216">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技术负责人</w:t>
            </w:r>
          </w:p>
        </w:tc>
        <w:tc>
          <w:tcPr>
            <w:tcW w:w="1418" w:type="dxa"/>
            <w:vAlign w:val="center"/>
          </w:tcPr>
          <w:p w14:paraId="5471852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68B5A3D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3A2502A9">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vAlign w:val="center"/>
          </w:tcPr>
          <w:p w14:paraId="05F747C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3EA1E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C42DA4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造价管理</w:t>
            </w:r>
          </w:p>
        </w:tc>
        <w:tc>
          <w:tcPr>
            <w:tcW w:w="1418" w:type="dxa"/>
            <w:vAlign w:val="center"/>
          </w:tcPr>
          <w:p w14:paraId="580CF47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5332FCD6">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0C0CDA0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vAlign w:val="center"/>
          </w:tcPr>
          <w:p w14:paraId="28EAC26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6082BB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F0FE6C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质量管理</w:t>
            </w:r>
          </w:p>
        </w:tc>
        <w:tc>
          <w:tcPr>
            <w:tcW w:w="1418" w:type="dxa"/>
            <w:vAlign w:val="center"/>
          </w:tcPr>
          <w:p w14:paraId="1391A11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6BAE7F2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77027AB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vAlign w:val="center"/>
          </w:tcPr>
          <w:p w14:paraId="06C34A4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412D0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C226D7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材料管理</w:t>
            </w:r>
          </w:p>
        </w:tc>
        <w:tc>
          <w:tcPr>
            <w:tcW w:w="1418" w:type="dxa"/>
            <w:vAlign w:val="center"/>
          </w:tcPr>
          <w:p w14:paraId="167CE0E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5AFFA3F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0D4F70A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vAlign w:val="center"/>
          </w:tcPr>
          <w:p w14:paraId="732E67D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7D4296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7F1B55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计划管理</w:t>
            </w:r>
          </w:p>
        </w:tc>
        <w:tc>
          <w:tcPr>
            <w:tcW w:w="1418" w:type="dxa"/>
            <w:vAlign w:val="center"/>
          </w:tcPr>
          <w:p w14:paraId="4D3C6B5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736C123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08C2CDCD">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vAlign w:val="center"/>
          </w:tcPr>
          <w:p w14:paraId="592030C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6E4BC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A19FAFB">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安全管理</w:t>
            </w:r>
          </w:p>
        </w:tc>
        <w:tc>
          <w:tcPr>
            <w:tcW w:w="1418" w:type="dxa"/>
            <w:vAlign w:val="center"/>
          </w:tcPr>
          <w:p w14:paraId="1D4C1407">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2BA460EC">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14FE3C46">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vAlign w:val="center"/>
          </w:tcPr>
          <w:p w14:paraId="3D50B26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0C7E8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240DDED6">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其他人员</w:t>
            </w:r>
          </w:p>
        </w:tc>
        <w:tc>
          <w:tcPr>
            <w:tcW w:w="1418" w:type="dxa"/>
            <w:vAlign w:val="center"/>
          </w:tcPr>
          <w:p w14:paraId="2ECDDBF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7F806D1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2A3BA51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vAlign w:val="center"/>
          </w:tcPr>
          <w:p w14:paraId="4C885A1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45159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6B4B76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8" w:type="dxa"/>
            <w:tcBorders>
              <w:bottom w:val="nil"/>
            </w:tcBorders>
            <w:vAlign w:val="center"/>
          </w:tcPr>
          <w:p w14:paraId="117BF9A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tcBorders>
              <w:bottom w:val="nil"/>
            </w:tcBorders>
            <w:vAlign w:val="center"/>
          </w:tcPr>
          <w:p w14:paraId="2D8B1370">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tcBorders>
              <w:bottom w:val="nil"/>
            </w:tcBorders>
            <w:vAlign w:val="center"/>
          </w:tcPr>
          <w:p w14:paraId="41A7B08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tcBorders>
              <w:bottom w:val="nil"/>
            </w:tcBorders>
            <w:vAlign w:val="center"/>
          </w:tcPr>
          <w:p w14:paraId="0E15AD1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55922C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211BBA6">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430CBEA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178A206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5506B41E">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vAlign w:val="center"/>
          </w:tcPr>
          <w:p w14:paraId="3604495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72ACD3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35EB64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5BBAC8A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24222242">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3757D31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vAlign w:val="center"/>
          </w:tcPr>
          <w:p w14:paraId="6832234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7C3728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DFF0176">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8" w:type="dxa"/>
            <w:vAlign w:val="center"/>
          </w:tcPr>
          <w:p w14:paraId="4B61A2B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002EFB2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vAlign w:val="center"/>
          </w:tcPr>
          <w:p w14:paraId="226B15C3">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vAlign w:val="center"/>
          </w:tcPr>
          <w:p w14:paraId="294F4601">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r w14:paraId="0EC5F0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6D67A0D8">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418" w:type="dxa"/>
            <w:tcBorders>
              <w:bottom w:val="single" w:color="auto" w:sz="12" w:space="0"/>
            </w:tcBorders>
            <w:vAlign w:val="center"/>
          </w:tcPr>
          <w:p w14:paraId="559D8EBA">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tcBorders>
              <w:bottom w:val="single" w:color="auto" w:sz="12" w:space="0"/>
            </w:tcBorders>
            <w:vAlign w:val="center"/>
          </w:tcPr>
          <w:p w14:paraId="4BB2F2D5">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1134" w:type="dxa"/>
            <w:tcBorders>
              <w:bottom w:val="single" w:color="auto" w:sz="12" w:space="0"/>
            </w:tcBorders>
            <w:vAlign w:val="center"/>
          </w:tcPr>
          <w:p w14:paraId="07DB308F">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c>
          <w:tcPr>
            <w:tcW w:w="4252" w:type="dxa"/>
            <w:tcBorders>
              <w:bottom w:val="single" w:color="auto" w:sz="12" w:space="0"/>
            </w:tcBorders>
            <w:vAlign w:val="center"/>
          </w:tcPr>
          <w:p w14:paraId="5D1DE8F4">
            <w:pPr>
              <w:pStyle w:val="2"/>
              <w:keepNext/>
              <w:spacing w:after="0" w:line="400" w:lineRule="exact"/>
              <w:jc w:val="center"/>
              <w:rPr>
                <w:rFonts w:hint="eastAsia" w:ascii="宋体" w:hAnsi="宋体" w:cs="宋体"/>
                <w:color w:val="000000" w:themeColor="text1"/>
                <w:szCs w:val="21"/>
                <w14:textFill>
                  <w14:solidFill>
                    <w14:schemeClr w14:val="tx1"/>
                  </w14:solidFill>
                </w14:textFill>
              </w:rPr>
            </w:pPr>
          </w:p>
        </w:tc>
      </w:tr>
    </w:tbl>
    <w:p w14:paraId="56EDAC38">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70806206">
      <w:pPr>
        <w:spacing w:line="4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w:t>
      </w:r>
      <w:bookmarkStart w:id="1993" w:name="_Toc296891057"/>
      <w:bookmarkStart w:id="1994" w:name="_Toc296503229"/>
      <w:bookmarkStart w:id="1995" w:name="_Toc296891269"/>
      <w:bookmarkStart w:id="1996" w:name="_Toc296944568"/>
      <w:bookmarkStart w:id="1997" w:name="_Toc296347228"/>
      <w:bookmarkStart w:id="1998" w:name="_Toc296346730"/>
      <w:r>
        <w:rPr>
          <w:rFonts w:hint="eastAsia" w:ascii="宋体" w:hAnsi="宋体" w:cs="宋体"/>
          <w:color w:val="000000" w:themeColor="text1"/>
          <w:szCs w:val="21"/>
          <w14:textFill>
            <w14:solidFill>
              <w14:schemeClr w14:val="tx1"/>
            </w14:solidFill>
          </w14:textFill>
        </w:rPr>
        <w:t>件7</w:t>
      </w:r>
      <w:bookmarkEnd w:id="1993"/>
      <w:bookmarkEnd w:id="1994"/>
      <w:bookmarkEnd w:id="1995"/>
      <w:bookmarkEnd w:id="1996"/>
      <w:bookmarkEnd w:id="1997"/>
      <w:bookmarkEnd w:id="1998"/>
      <w:bookmarkStart w:id="1999" w:name="_Toc296944570"/>
      <w:bookmarkStart w:id="2000" w:name="_Toc296347230"/>
      <w:bookmarkStart w:id="2001" w:name="_Toc296346732"/>
      <w:bookmarkStart w:id="2002" w:name="_Toc267261701"/>
      <w:bookmarkStart w:id="2003" w:name="_Toc296503231"/>
      <w:bookmarkStart w:id="2004" w:name="_Toc296891271"/>
      <w:bookmarkStart w:id="2005" w:name="_Toc296891059"/>
      <w:r>
        <w:rPr>
          <w:rFonts w:hint="eastAsia" w:ascii="宋体" w:hAnsi="宋体" w:cs="宋体"/>
          <w:color w:val="000000" w:themeColor="text1"/>
          <w:szCs w:val="21"/>
          <w14:textFill>
            <w14:solidFill>
              <w14:schemeClr w14:val="tx1"/>
            </w14:solidFill>
          </w14:textFill>
        </w:rPr>
        <w:t xml:space="preserve"> </w:t>
      </w:r>
      <w:bookmarkEnd w:id="1999"/>
      <w:bookmarkEnd w:id="2000"/>
      <w:bookmarkEnd w:id="2001"/>
      <w:bookmarkEnd w:id="2002"/>
      <w:bookmarkEnd w:id="2003"/>
      <w:bookmarkEnd w:id="2004"/>
      <w:bookmarkEnd w:id="2005"/>
      <w:bookmarkStart w:id="2006" w:name="_Toc296503232"/>
      <w:bookmarkStart w:id="2007" w:name="_Toc296944571"/>
      <w:bookmarkStart w:id="2008" w:name="_Toc267261702"/>
      <w:bookmarkStart w:id="2009" w:name="_Toc296891272"/>
      <w:bookmarkStart w:id="2010" w:name="_Toc296347231"/>
      <w:bookmarkStart w:id="2011" w:name="_Toc296891060"/>
      <w:bookmarkStart w:id="2012" w:name="_Toc296346733"/>
    </w:p>
    <w:bookmarkEnd w:id="2006"/>
    <w:bookmarkEnd w:id="2007"/>
    <w:bookmarkEnd w:id="2008"/>
    <w:bookmarkEnd w:id="2009"/>
    <w:bookmarkEnd w:id="2010"/>
    <w:bookmarkEnd w:id="2011"/>
    <w:bookmarkEnd w:id="2012"/>
    <w:p w14:paraId="1662C8A8">
      <w:pPr>
        <w:spacing w:line="44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7-1：材料暂估价表</w:t>
      </w:r>
    </w:p>
    <w:tbl>
      <w:tblPr>
        <w:tblStyle w:val="45"/>
        <w:tblW w:w="907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5FADBF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68AEC3B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984" w:type="dxa"/>
            <w:tcBorders>
              <w:top w:val="single" w:color="auto" w:sz="12" w:space="0"/>
              <w:bottom w:val="double" w:color="auto" w:sz="6" w:space="0"/>
            </w:tcBorders>
          </w:tcPr>
          <w:p w14:paraId="6518321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w:t>
            </w:r>
          </w:p>
        </w:tc>
        <w:tc>
          <w:tcPr>
            <w:tcW w:w="851" w:type="dxa"/>
            <w:tcBorders>
              <w:top w:val="single" w:color="auto" w:sz="12" w:space="0"/>
              <w:bottom w:val="double" w:color="auto" w:sz="6" w:space="0"/>
            </w:tcBorders>
          </w:tcPr>
          <w:p w14:paraId="2B86524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w:t>
            </w:r>
          </w:p>
        </w:tc>
        <w:tc>
          <w:tcPr>
            <w:tcW w:w="774" w:type="dxa"/>
            <w:tcBorders>
              <w:top w:val="single" w:color="auto" w:sz="12" w:space="0"/>
              <w:bottom w:val="double" w:color="auto" w:sz="6" w:space="0"/>
            </w:tcBorders>
          </w:tcPr>
          <w:p w14:paraId="31AA382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w:t>
            </w:r>
          </w:p>
        </w:tc>
        <w:tc>
          <w:tcPr>
            <w:tcW w:w="1352" w:type="dxa"/>
            <w:tcBorders>
              <w:top w:val="single" w:color="auto" w:sz="12" w:space="0"/>
              <w:bottom w:val="double" w:color="auto" w:sz="6" w:space="0"/>
            </w:tcBorders>
          </w:tcPr>
          <w:p w14:paraId="0023444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单价（元）</w:t>
            </w:r>
          </w:p>
        </w:tc>
        <w:tc>
          <w:tcPr>
            <w:tcW w:w="1418" w:type="dxa"/>
            <w:tcBorders>
              <w:top w:val="single" w:color="auto" w:sz="12" w:space="0"/>
              <w:bottom w:val="double" w:color="auto" w:sz="6" w:space="0"/>
            </w:tcBorders>
          </w:tcPr>
          <w:p w14:paraId="39B3214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合价（元）</w:t>
            </w:r>
          </w:p>
        </w:tc>
        <w:tc>
          <w:tcPr>
            <w:tcW w:w="1701" w:type="dxa"/>
            <w:tcBorders>
              <w:top w:val="single" w:color="auto" w:sz="12" w:space="0"/>
              <w:bottom w:val="double" w:color="auto" w:sz="6" w:space="0"/>
            </w:tcBorders>
          </w:tcPr>
          <w:p w14:paraId="2DE2403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14:paraId="1289B6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144C40D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Borders>
              <w:top w:val="double" w:color="auto" w:sz="6" w:space="0"/>
              <w:bottom w:val="single" w:color="auto" w:sz="6" w:space="0"/>
            </w:tcBorders>
          </w:tcPr>
          <w:p w14:paraId="42CC4F7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Borders>
              <w:top w:val="double" w:color="auto" w:sz="6" w:space="0"/>
              <w:bottom w:val="single" w:color="auto" w:sz="6" w:space="0"/>
            </w:tcBorders>
          </w:tcPr>
          <w:p w14:paraId="51285A2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Borders>
              <w:top w:val="double" w:color="auto" w:sz="6" w:space="0"/>
              <w:bottom w:val="single" w:color="auto" w:sz="6" w:space="0"/>
            </w:tcBorders>
          </w:tcPr>
          <w:p w14:paraId="73B4AB6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Borders>
              <w:top w:val="double" w:color="auto" w:sz="6" w:space="0"/>
              <w:bottom w:val="single" w:color="auto" w:sz="6" w:space="0"/>
            </w:tcBorders>
          </w:tcPr>
          <w:p w14:paraId="72DB74B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Borders>
              <w:top w:val="double" w:color="auto" w:sz="6" w:space="0"/>
              <w:bottom w:val="single" w:color="auto" w:sz="6" w:space="0"/>
            </w:tcBorders>
          </w:tcPr>
          <w:p w14:paraId="2DEC489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Borders>
              <w:top w:val="double" w:color="auto" w:sz="6" w:space="0"/>
              <w:bottom w:val="single" w:color="auto" w:sz="6" w:space="0"/>
            </w:tcBorders>
          </w:tcPr>
          <w:p w14:paraId="7C9ECF9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1F1B6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1217813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Borders>
              <w:top w:val="nil"/>
            </w:tcBorders>
          </w:tcPr>
          <w:p w14:paraId="5C13D45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Borders>
              <w:top w:val="nil"/>
            </w:tcBorders>
          </w:tcPr>
          <w:p w14:paraId="2417577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Borders>
              <w:top w:val="nil"/>
            </w:tcBorders>
          </w:tcPr>
          <w:p w14:paraId="5EE49EB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Borders>
              <w:top w:val="nil"/>
            </w:tcBorders>
          </w:tcPr>
          <w:p w14:paraId="47564B5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Borders>
              <w:top w:val="nil"/>
            </w:tcBorders>
          </w:tcPr>
          <w:p w14:paraId="7F5E75C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Borders>
              <w:top w:val="nil"/>
            </w:tcBorders>
          </w:tcPr>
          <w:p w14:paraId="3998F06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15D58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B4D2C8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4B36375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5ED35B6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27E695C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73E526E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0064DC4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49561A9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34684B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1634B8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4857845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749E7DF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40AE28F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59E35C5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4FF8178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6C090CA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72F176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A2D784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3C3BBC9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1F12E53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1CCB771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1100328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6E5BF1D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0C8B2E6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2525A1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0D0121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5E5EBF4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2D33681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6E8BDF0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12B08E3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7016E39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54F06EC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751F6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ABDEFB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584F4CC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0F5EE22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3CBA2E1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4F04347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3C348CE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677F3F4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48053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7ED8E3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5BA66CF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4017282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0FF5CD8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5127FA1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4138FAB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59A1DFE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337039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DBD553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23207C7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61B69CD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2FB9989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443821D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318B86E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111AD36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75801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E11B34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37F8769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236E132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2AA343D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19D8DE3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210A253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37F57C3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53A0F9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3DF93A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74BF1DC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7FD53B7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4C83D9E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67E772E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5196278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625A012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572D7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97C3EE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2F4A602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617A85A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219C7CF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102562E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3B1C57C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78492F1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1968C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7CA709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3E499BC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21ABC7D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3B34265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464CB7E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61D809E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4CCC32A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1EC5A9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BA3D6D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271DE90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09DB034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47BC2F8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7E136EB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4154541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133920D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6DDE99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53549B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601E727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6985787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7C53DBA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140767C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51019B5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2B86F7A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46D0D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941ED3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79ECB79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657A0D9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70DB5F6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25D7769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7C0AB98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6622ED3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539CB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33D039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1F23D05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3700A37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2CF2ECD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7108080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7F12E4B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71428DA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008EA0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37DA7C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4D7C7EC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3B9C69C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00B83B3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188D40D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35578E2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045AE92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60C86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107626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6C55967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3369055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326AEF1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678FACB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26F1822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2E584F7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395AB5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FB03F8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417940F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1E98ED0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2BCCC00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35D70B9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44CB37F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5FAF295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45B19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8A30EB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6223A45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6269990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533A247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2F3E889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25E32B9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119E6F1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53DF69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9E244D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59E1DDE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6E2CFCD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36CDA90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6F91323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7FF2803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33417C4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290EF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7843AC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5140769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1948D66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4E7DA98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174F123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4C9E0AF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5B5EA5D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6EBB9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8EDA94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3A9DCB1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2F58B8C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5572BAE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75F57A3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1DDA21B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7AA8C65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1707C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54DA6B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7322FA8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2214022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0CF3E7B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2A91FFF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0AEA38A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23E1231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bl>
    <w:p w14:paraId="1F5FB399">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622A8F73">
      <w:pPr>
        <w:pStyle w:val="2"/>
        <w:rPr>
          <w:color w:val="000000" w:themeColor="text1"/>
          <w14:textFill>
            <w14:solidFill>
              <w14:schemeClr w14:val="tx1"/>
            </w14:solidFill>
          </w14:textFill>
        </w:rPr>
      </w:pPr>
    </w:p>
    <w:p w14:paraId="520F8ABF">
      <w:pPr>
        <w:spacing w:before="156" w:beforeLines="50" w:after="156" w:afterLines="50" w:line="44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7-2：工程设备暂估价表</w:t>
      </w:r>
    </w:p>
    <w:tbl>
      <w:tblPr>
        <w:tblStyle w:val="45"/>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8D21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467B0F1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984" w:type="dxa"/>
            <w:tcBorders>
              <w:top w:val="single" w:color="auto" w:sz="12" w:space="0"/>
              <w:bottom w:val="double" w:color="auto" w:sz="6" w:space="0"/>
            </w:tcBorders>
          </w:tcPr>
          <w:p w14:paraId="3B55DE5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w:t>
            </w:r>
          </w:p>
        </w:tc>
        <w:tc>
          <w:tcPr>
            <w:tcW w:w="851" w:type="dxa"/>
            <w:tcBorders>
              <w:top w:val="single" w:color="auto" w:sz="12" w:space="0"/>
              <w:bottom w:val="double" w:color="auto" w:sz="6" w:space="0"/>
            </w:tcBorders>
          </w:tcPr>
          <w:p w14:paraId="462FD77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w:t>
            </w:r>
          </w:p>
        </w:tc>
        <w:tc>
          <w:tcPr>
            <w:tcW w:w="774" w:type="dxa"/>
            <w:tcBorders>
              <w:top w:val="single" w:color="auto" w:sz="12" w:space="0"/>
              <w:bottom w:val="double" w:color="auto" w:sz="6" w:space="0"/>
            </w:tcBorders>
          </w:tcPr>
          <w:p w14:paraId="0D0D596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w:t>
            </w:r>
          </w:p>
        </w:tc>
        <w:tc>
          <w:tcPr>
            <w:tcW w:w="1352" w:type="dxa"/>
            <w:tcBorders>
              <w:top w:val="single" w:color="auto" w:sz="12" w:space="0"/>
              <w:bottom w:val="double" w:color="auto" w:sz="6" w:space="0"/>
            </w:tcBorders>
          </w:tcPr>
          <w:p w14:paraId="363761C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单价（元）</w:t>
            </w:r>
          </w:p>
        </w:tc>
        <w:tc>
          <w:tcPr>
            <w:tcW w:w="1418" w:type="dxa"/>
            <w:tcBorders>
              <w:top w:val="single" w:color="auto" w:sz="12" w:space="0"/>
              <w:bottom w:val="double" w:color="auto" w:sz="6" w:space="0"/>
            </w:tcBorders>
          </w:tcPr>
          <w:p w14:paraId="132B085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合价（元）</w:t>
            </w:r>
          </w:p>
        </w:tc>
        <w:tc>
          <w:tcPr>
            <w:tcW w:w="1701" w:type="dxa"/>
            <w:tcBorders>
              <w:top w:val="single" w:color="auto" w:sz="12" w:space="0"/>
              <w:bottom w:val="double" w:color="auto" w:sz="6" w:space="0"/>
            </w:tcBorders>
          </w:tcPr>
          <w:p w14:paraId="77205D5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14:paraId="44559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48D0557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Borders>
              <w:top w:val="double" w:color="auto" w:sz="6" w:space="0"/>
              <w:bottom w:val="single" w:color="auto" w:sz="6" w:space="0"/>
            </w:tcBorders>
          </w:tcPr>
          <w:p w14:paraId="31326FD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Borders>
              <w:top w:val="double" w:color="auto" w:sz="6" w:space="0"/>
              <w:bottom w:val="single" w:color="auto" w:sz="6" w:space="0"/>
            </w:tcBorders>
          </w:tcPr>
          <w:p w14:paraId="7D17D48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Borders>
              <w:top w:val="double" w:color="auto" w:sz="6" w:space="0"/>
              <w:bottom w:val="single" w:color="auto" w:sz="6" w:space="0"/>
            </w:tcBorders>
          </w:tcPr>
          <w:p w14:paraId="36F4923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Borders>
              <w:top w:val="double" w:color="auto" w:sz="6" w:space="0"/>
              <w:bottom w:val="single" w:color="auto" w:sz="6" w:space="0"/>
            </w:tcBorders>
          </w:tcPr>
          <w:p w14:paraId="0678231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Borders>
              <w:top w:val="double" w:color="auto" w:sz="6" w:space="0"/>
              <w:bottom w:val="single" w:color="auto" w:sz="6" w:space="0"/>
            </w:tcBorders>
          </w:tcPr>
          <w:p w14:paraId="375C513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Borders>
              <w:top w:val="double" w:color="auto" w:sz="6" w:space="0"/>
              <w:bottom w:val="single" w:color="auto" w:sz="6" w:space="0"/>
            </w:tcBorders>
          </w:tcPr>
          <w:p w14:paraId="2C722CE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602414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227C07A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Borders>
              <w:top w:val="nil"/>
            </w:tcBorders>
          </w:tcPr>
          <w:p w14:paraId="268B991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Borders>
              <w:top w:val="nil"/>
            </w:tcBorders>
          </w:tcPr>
          <w:p w14:paraId="0E69A96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Borders>
              <w:top w:val="nil"/>
            </w:tcBorders>
          </w:tcPr>
          <w:p w14:paraId="45C4B6E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Borders>
              <w:top w:val="nil"/>
            </w:tcBorders>
          </w:tcPr>
          <w:p w14:paraId="3F6894D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Borders>
              <w:top w:val="nil"/>
            </w:tcBorders>
          </w:tcPr>
          <w:p w14:paraId="02FD98D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Borders>
              <w:top w:val="nil"/>
            </w:tcBorders>
          </w:tcPr>
          <w:p w14:paraId="4E9DFD4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04E6B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DEE1CD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0EB90C6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21024C4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5F24B3B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23ACCEF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65F1926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4328973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545DB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BF3FAA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3B228B2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041EF4E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114EB35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530C5D3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73E3356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2545916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2D8EB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09FDF1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527992F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7808360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27DF495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383B148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46616DC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721F965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703D5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0CD0D0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47FB2C9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13A1428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499C17A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1CF4F39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0EED5BF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291EA93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51AD97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884142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098D080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1556D3C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0B03426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631E2A1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0FDBB7B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56C3D4B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24C05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F9BA11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27FC771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1645BD8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64ED83B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55E842F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2EDDADE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41DA945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4A5126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05B8BB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7787861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0DECC9F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06DAF5E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0984F8C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124F517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5E447E8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2AB21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817780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440ED39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24E0597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76C42B7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2188414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151F48E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4EE22A1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448C7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5ABD4A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64FB3F3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1165F71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403AD06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1186440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0F11A0D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2BBDFDC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4B2CF4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D31892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5A3C7C2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5BFCC7F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360D06A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119936F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6B37BF0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18A1D4F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519D7A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B3D390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1B947B0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26E2B79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2682637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55D5FBD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7B9C211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394B4C4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67D821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68EACF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01D8FEF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77BDCBB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70B2EA0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2532DA9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623C5D9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1E15D93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43DA2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3614EC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2712FEF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2E9C858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5FB95E7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195423D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2034AD8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5BEFB4E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0DC98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8BD937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5B9EB2F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3F9519B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57663EF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3AD49A5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54A4409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2A8C67E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5C1A1A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F95482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23ADA8A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7D944D0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0ED525B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67A8811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3FA5FB4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4D3AD14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5CE43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DB12F9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58C5335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6914962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682F542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481FC62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17B9754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2AAEE13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0EC9E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07E053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3550D26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513221D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0D1EAEE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5302F1E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42C3E87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5F9C9F7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6D91F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8DD055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6BB8A34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14A473E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5DC96B3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0C1B2BD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20A73EE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20694C2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4A6CA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C14FDD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097EA37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37CBE55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0C91614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0678CDB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59266EF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442C62D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68E33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715015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06EA30C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623058A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2960FE6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55A5BE4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6B593EB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0EA9A66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56563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81E72D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10F9A9F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61EAE0E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799EC9D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5926195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1AF842A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440415D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49D85B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281596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07770A9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05E4151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42F71AC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13DC5E5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2A8DC7D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7977189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622EE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1E6891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452AA2E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851" w:type="dxa"/>
          </w:tcPr>
          <w:p w14:paraId="71D55CE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774" w:type="dxa"/>
          </w:tcPr>
          <w:p w14:paraId="7011C7E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352" w:type="dxa"/>
          </w:tcPr>
          <w:p w14:paraId="6E21E0F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418" w:type="dxa"/>
          </w:tcPr>
          <w:p w14:paraId="66B3717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701" w:type="dxa"/>
          </w:tcPr>
          <w:p w14:paraId="283599F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bl>
    <w:p w14:paraId="75D3AD5E">
      <w:pPr>
        <w:spacing w:before="156" w:beforeLines="50" w:after="156" w:afterLines="50" w:line="440" w:lineRule="exact"/>
        <w:rPr>
          <w:rFonts w:hint="eastAsia" w:ascii="宋体" w:hAnsi="宋体" w:cs="宋体"/>
          <w:color w:val="000000" w:themeColor="text1"/>
          <w:szCs w:val="21"/>
          <w14:textFill>
            <w14:solidFill>
              <w14:schemeClr w14:val="tx1"/>
            </w14:solidFill>
          </w14:textFill>
        </w:rPr>
      </w:pPr>
    </w:p>
    <w:p w14:paraId="07D43101">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636FDFB4">
      <w:pPr>
        <w:spacing w:before="156" w:beforeLines="50" w:after="156" w:afterLines="50" w:line="44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7-3：专业工程暂估价表</w:t>
      </w:r>
    </w:p>
    <w:tbl>
      <w:tblPr>
        <w:tblStyle w:val="45"/>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72E13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single" w:color="auto" w:sz="12" w:space="0"/>
              <w:bottom w:val="double" w:color="auto" w:sz="6" w:space="0"/>
            </w:tcBorders>
          </w:tcPr>
          <w:p w14:paraId="418A24E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984" w:type="dxa"/>
            <w:tcBorders>
              <w:top w:val="single" w:color="auto" w:sz="12" w:space="0"/>
              <w:bottom w:val="double" w:color="auto" w:sz="6" w:space="0"/>
            </w:tcBorders>
          </w:tcPr>
          <w:p w14:paraId="3AA107F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专业工程名称</w:t>
            </w:r>
          </w:p>
        </w:tc>
        <w:tc>
          <w:tcPr>
            <w:tcW w:w="4678" w:type="dxa"/>
            <w:tcBorders>
              <w:top w:val="single" w:color="auto" w:sz="12" w:space="0"/>
              <w:bottom w:val="double" w:color="auto" w:sz="6" w:space="0"/>
            </w:tcBorders>
          </w:tcPr>
          <w:p w14:paraId="6AB4C62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工程内容</w:t>
            </w:r>
          </w:p>
        </w:tc>
        <w:tc>
          <w:tcPr>
            <w:tcW w:w="1276" w:type="dxa"/>
            <w:tcBorders>
              <w:top w:val="single" w:color="auto" w:sz="12" w:space="0"/>
              <w:bottom w:val="double" w:color="auto" w:sz="6" w:space="0"/>
            </w:tcBorders>
          </w:tcPr>
          <w:p w14:paraId="4F449F3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金额</w:t>
            </w:r>
          </w:p>
        </w:tc>
      </w:tr>
      <w:tr w14:paraId="2E8BC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14:paraId="37401D2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Borders>
              <w:top w:val="double" w:color="auto" w:sz="6" w:space="0"/>
              <w:bottom w:val="single" w:color="auto" w:sz="6" w:space="0"/>
            </w:tcBorders>
          </w:tcPr>
          <w:p w14:paraId="0D5AEF8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Borders>
              <w:top w:val="double" w:color="auto" w:sz="6" w:space="0"/>
              <w:bottom w:val="single" w:color="auto" w:sz="6" w:space="0"/>
            </w:tcBorders>
          </w:tcPr>
          <w:p w14:paraId="7D3B191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Borders>
              <w:top w:val="double" w:color="auto" w:sz="6" w:space="0"/>
              <w:bottom w:val="single" w:color="auto" w:sz="6" w:space="0"/>
            </w:tcBorders>
          </w:tcPr>
          <w:p w14:paraId="66261FA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498022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14:paraId="45ABD63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Borders>
              <w:top w:val="nil"/>
            </w:tcBorders>
          </w:tcPr>
          <w:p w14:paraId="10C8D6C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Borders>
              <w:top w:val="nil"/>
            </w:tcBorders>
          </w:tcPr>
          <w:p w14:paraId="3678B6F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Borders>
              <w:top w:val="nil"/>
            </w:tcBorders>
          </w:tcPr>
          <w:p w14:paraId="68DA32D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48FD0F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14:paraId="371E3C7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Borders>
              <w:top w:val="nil"/>
            </w:tcBorders>
          </w:tcPr>
          <w:p w14:paraId="657CCE3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Borders>
              <w:top w:val="nil"/>
            </w:tcBorders>
          </w:tcPr>
          <w:p w14:paraId="529056F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Borders>
              <w:top w:val="nil"/>
            </w:tcBorders>
          </w:tcPr>
          <w:p w14:paraId="7262750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151A7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091B88D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4BAE47D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44B0D1C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74CDF87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23682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6D8886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4907242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19CB1B6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7C77422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119C2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08C721F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7924F89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2F3C51B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5B45634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16753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AEE004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34ADAA3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41059C0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2291F3E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300180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324CAC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3B7AD8A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3846B92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51F38FD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40B91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C543EB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60F49C7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2CB1B4D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347DB88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752B7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C1D0F8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7592E34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2577669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254A209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64CDFF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E00E74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47894D7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2663C14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4DC3AAE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124771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DD1A38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4DCBBE3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5B55086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47A6288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080B9C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5AA27D1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2CEA1EE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3009056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20F4643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19936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94DE74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2891E5D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2097FA7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6AE48F0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3AA24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B3EBCBF">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00B31D2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3ADE4AC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5A69BEC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4E83F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8017E3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2A273DA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7D37BD5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13072AD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522111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FABBA2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70681A9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24BDE71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04AED33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691EC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2C00964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0D2F90B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3A066763">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11F328F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6D98A4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0DF8E68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1B07099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3492683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35C157C2">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26221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5CCE980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0F8F4AF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7EFF2DC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1DDA82D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2C56B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C329556">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2D753A1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4E1011F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1352BE0E">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05081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F59969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73152D0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08D0870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735DD349">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5A59F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FC9442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6910C5D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6E89F604">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03459B6C">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25AAA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2843C4C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42759CE7">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5ABCED71">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43BB748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6CA725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20870E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3971489A">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2C69374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7E85BA0D">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004CBF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5E561E8">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984" w:type="dxa"/>
          </w:tcPr>
          <w:p w14:paraId="604A84A0">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4678" w:type="dxa"/>
          </w:tcPr>
          <w:p w14:paraId="5EC44DB5">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c>
          <w:tcPr>
            <w:tcW w:w="1276" w:type="dxa"/>
          </w:tcPr>
          <w:p w14:paraId="79C5691B">
            <w:pPr>
              <w:pStyle w:val="2"/>
              <w:keepNext/>
              <w:spacing w:after="0" w:line="440" w:lineRule="exact"/>
              <w:ind w:left="63" w:right="63"/>
              <w:jc w:val="center"/>
              <w:rPr>
                <w:rFonts w:hint="eastAsia" w:ascii="宋体" w:hAnsi="宋体" w:cs="宋体"/>
                <w:color w:val="000000" w:themeColor="text1"/>
                <w:szCs w:val="21"/>
                <w14:textFill>
                  <w14:solidFill>
                    <w14:schemeClr w14:val="tx1"/>
                  </w14:solidFill>
                </w14:textFill>
              </w:rPr>
            </w:pPr>
          </w:p>
        </w:tc>
      </w:tr>
      <w:tr w14:paraId="3B607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14:paraId="4EAC7F3F">
            <w:pPr>
              <w:pStyle w:val="2"/>
              <w:keepNext/>
              <w:spacing w:after="0" w:line="440" w:lineRule="exact"/>
              <w:ind w:left="63" w:right="63"/>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小计：</w:t>
            </w:r>
          </w:p>
        </w:tc>
      </w:tr>
    </w:tbl>
    <w:p w14:paraId="46FF3BB9">
      <w:pPr>
        <w:spacing w:line="240" w:lineRule="exact"/>
        <w:rPr>
          <w:color w:val="000000" w:themeColor="text1"/>
          <w14:textFill>
            <w14:solidFill>
              <w14:schemeClr w14:val="tx1"/>
            </w14:solidFill>
          </w14:textFill>
        </w:rPr>
      </w:pPr>
    </w:p>
    <w:p w14:paraId="14AB2057">
      <w:pPr>
        <w:spacing w:line="240" w:lineRule="exact"/>
        <w:ind w:firstLine="420" w:firstLineChars="200"/>
        <w:rPr>
          <w:rFonts w:hint="eastAsia" w:ascii="宋体" w:hAnsi="宋体"/>
          <w:color w:val="000000" w:themeColor="text1"/>
          <w:szCs w:val="20"/>
          <w14:textFill>
            <w14:solidFill>
              <w14:schemeClr w14:val="tx1"/>
            </w14:solidFill>
          </w14:textFill>
        </w:rPr>
      </w:pPr>
    </w:p>
    <w:p w14:paraId="0B424D55">
      <w:pPr>
        <w:pStyle w:val="3"/>
        <w:spacing w:before="0" w:after="0" w:line="360" w:lineRule="auto"/>
        <w:jc w:val="center"/>
        <w:rPr>
          <w:rFonts w:hint="eastAsia" w:ascii="宋体" w:hAnsi="宋体"/>
          <w:color w:val="000000" w:themeColor="text1"/>
          <w14:textFill>
            <w14:solidFill>
              <w14:schemeClr w14:val="tx1"/>
            </w14:solidFill>
          </w14:textFill>
        </w:rPr>
      </w:pPr>
      <w:bookmarkStart w:id="2013" w:name="_Toc287607855"/>
      <w:bookmarkStart w:id="2014" w:name="_Toc287620797"/>
      <w:bookmarkStart w:id="2015" w:name="_Toc17058"/>
      <w:bookmarkStart w:id="2016" w:name="_Toc509218843"/>
      <w:bookmarkStart w:id="2017" w:name="_Toc430530513"/>
      <w:bookmarkStart w:id="2018" w:name="_Toc534185822"/>
      <w:bookmarkStart w:id="2019" w:name="_Toc226115598"/>
      <w:r>
        <w:rPr>
          <w:rFonts w:hint="eastAsia" w:ascii="宋体" w:hAnsi="宋体"/>
          <w:color w:val="000000" w:themeColor="text1"/>
          <w14:textFill>
            <w14:solidFill>
              <w14:schemeClr w14:val="tx1"/>
            </w14:solidFill>
          </w14:textFill>
        </w:rPr>
        <w:t>第五章  工程量清单</w:t>
      </w:r>
      <w:bookmarkEnd w:id="2013"/>
      <w:bookmarkEnd w:id="2014"/>
      <w:bookmarkEnd w:id="2015"/>
      <w:bookmarkEnd w:id="2016"/>
      <w:bookmarkEnd w:id="2017"/>
      <w:bookmarkEnd w:id="2018"/>
      <w:bookmarkEnd w:id="2019"/>
      <w:bookmarkStart w:id="2020" w:name="招标文件05章工程量清单01"/>
      <w:bookmarkEnd w:id="2020"/>
      <w:bookmarkStart w:id="2021" w:name="_Toc224103477"/>
      <w:bookmarkStart w:id="2022" w:name="_Toc287620798"/>
      <w:bookmarkStart w:id="2023" w:name="_Toc277082638"/>
      <w:bookmarkStart w:id="2024" w:name="_Toc287607856"/>
      <w:bookmarkStart w:id="2025" w:name="_Toc430530514"/>
    </w:p>
    <w:bookmarkEnd w:id="2021"/>
    <w:bookmarkEnd w:id="2022"/>
    <w:bookmarkEnd w:id="2023"/>
    <w:bookmarkEnd w:id="2024"/>
    <w:bookmarkEnd w:id="2025"/>
    <w:p w14:paraId="06A88AC4">
      <w:pPr>
        <w:snapToGrid w:val="0"/>
        <w:spacing w:line="360" w:lineRule="auto"/>
        <w:jc w:val="center"/>
        <w:rPr>
          <w:rFonts w:hint="eastAsia" w:ascii="宋体" w:hAnsi="宋体"/>
          <w:color w:val="000000" w:themeColor="text1"/>
          <w:sz w:val="24"/>
          <w14:textFill>
            <w14:solidFill>
              <w14:schemeClr w14:val="tx1"/>
            </w14:solidFill>
          </w14:textFill>
        </w:rPr>
      </w:pPr>
    </w:p>
    <w:p w14:paraId="3BE89F9C">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0"/>
          <w14:textFill>
            <w14:solidFill>
              <w14:schemeClr w14:val="tx1"/>
            </w14:solidFill>
          </w14:textFill>
        </w:rPr>
        <w:t>在</w:t>
      </w:r>
      <w:r>
        <w:rPr>
          <w:rFonts w:hint="eastAsia" w:ascii="宋体" w:hAnsi="宋体"/>
          <w:color w:val="000000" w:themeColor="text1"/>
          <w:szCs w:val="20"/>
          <w:u w:val="single"/>
          <w14:textFill>
            <w14:solidFill>
              <w14:schemeClr w14:val="tx1"/>
            </w14:solidFill>
          </w14:textFill>
        </w:rPr>
        <w:t>垫江县人民政府官网</w:t>
      </w:r>
      <w:r>
        <w:rPr>
          <w:rFonts w:hint="eastAsia" w:ascii="宋体" w:hAnsi="宋体"/>
          <w:color w:val="000000" w:themeColor="text1"/>
          <w:szCs w:val="20"/>
          <w14:textFill>
            <w14:solidFill>
              <w14:schemeClr w14:val="tx1"/>
            </w14:solidFill>
          </w14:textFill>
        </w:rPr>
        <w:t>下载。</w:t>
      </w:r>
    </w:p>
    <w:p w14:paraId="1803D5E2">
      <w:pPr>
        <w:ind w:right="561"/>
        <w:rPr>
          <w:rFonts w:hint="eastAsia" w:ascii="宋体" w:hAnsi="宋体"/>
          <w:color w:val="000000" w:themeColor="text1"/>
          <w:szCs w:val="21"/>
          <w14:textFill>
            <w14:solidFill>
              <w14:schemeClr w14:val="tx1"/>
            </w14:solidFill>
          </w14:textFill>
        </w:rPr>
      </w:pPr>
      <w:r>
        <w:rPr>
          <w:rFonts w:ascii="宋体" w:hAnsi="宋体"/>
          <w:color w:val="000000" w:themeColor="text1"/>
          <w:sz w:val="24"/>
          <w14:textFill>
            <w14:solidFill>
              <w14:schemeClr w14:val="tx1"/>
            </w14:solidFill>
          </w14:textFill>
        </w:rPr>
        <w:br w:type="page"/>
      </w:r>
    </w:p>
    <w:p w14:paraId="4FA422C5">
      <w:pPr>
        <w:pStyle w:val="3"/>
        <w:spacing w:before="0" w:after="0" w:line="360" w:lineRule="auto"/>
        <w:jc w:val="center"/>
        <w:rPr>
          <w:rFonts w:hint="eastAsia" w:ascii="宋体" w:hAnsi="宋体"/>
          <w:color w:val="000000" w:themeColor="text1"/>
          <w:sz w:val="52"/>
          <w:szCs w:val="52"/>
          <w14:textFill>
            <w14:solidFill>
              <w14:schemeClr w14:val="tx1"/>
            </w14:solidFill>
          </w14:textFill>
        </w:rPr>
      </w:pPr>
      <w:bookmarkStart w:id="2026" w:name="_Toc226115599"/>
      <w:bookmarkStart w:id="2027" w:name="_Toc534185823"/>
      <w:bookmarkStart w:id="2028" w:name="_Toc509218844"/>
      <w:bookmarkStart w:id="2029" w:name="_Toc14382"/>
      <w:r>
        <w:rPr>
          <w:rFonts w:ascii="宋体" w:hAnsi="宋体"/>
          <w:color w:val="000000" w:themeColor="text1"/>
          <w:sz w:val="52"/>
          <w:szCs w:val="52"/>
          <w14:textFill>
            <w14:solidFill>
              <w14:schemeClr w14:val="tx1"/>
            </w14:solidFill>
          </w14:textFill>
        </w:rPr>
        <w:t>第 二 卷</w:t>
      </w:r>
      <w:bookmarkEnd w:id="2026"/>
      <w:bookmarkEnd w:id="2027"/>
      <w:bookmarkEnd w:id="2028"/>
      <w:bookmarkEnd w:id="2029"/>
    </w:p>
    <w:p w14:paraId="09522AD1">
      <w:pPr>
        <w:spacing w:line="360" w:lineRule="auto"/>
        <w:rPr>
          <w:rFonts w:hint="eastAsia" w:ascii="宋体" w:hAnsi="宋体"/>
          <w:color w:val="000000" w:themeColor="text1"/>
          <w:szCs w:val="20"/>
          <w14:textFill>
            <w14:solidFill>
              <w14:schemeClr w14:val="tx1"/>
            </w14:solidFill>
          </w14:textFill>
        </w:rPr>
      </w:pPr>
      <w:r>
        <w:rPr>
          <w:rFonts w:ascii="宋体" w:hAnsi="宋体"/>
          <w:color w:val="000000" w:themeColor="text1"/>
          <w:szCs w:val="20"/>
          <w14:textFill>
            <w14:solidFill>
              <w14:schemeClr w14:val="tx1"/>
            </w14:solidFill>
          </w14:textFill>
        </w:rPr>
        <w:br w:type="page"/>
      </w:r>
    </w:p>
    <w:p w14:paraId="411A91AA">
      <w:pPr>
        <w:pStyle w:val="3"/>
        <w:spacing w:before="0" w:line="360" w:lineRule="auto"/>
        <w:jc w:val="center"/>
        <w:rPr>
          <w:rFonts w:hint="eastAsia" w:ascii="宋体" w:hAnsi="宋体"/>
          <w:color w:val="000000" w:themeColor="text1"/>
          <w14:textFill>
            <w14:solidFill>
              <w14:schemeClr w14:val="tx1"/>
            </w14:solidFill>
          </w14:textFill>
        </w:rPr>
      </w:pPr>
      <w:bookmarkStart w:id="2030" w:name="招标文件06章图纸"/>
      <w:bookmarkEnd w:id="2030"/>
      <w:bookmarkStart w:id="2031" w:name="_Toc534185825"/>
      <w:bookmarkStart w:id="2032" w:name="_Toc430530519"/>
      <w:bookmarkStart w:id="2033" w:name="_Toc226115600"/>
      <w:bookmarkStart w:id="2034" w:name="_Toc509218846"/>
      <w:bookmarkStart w:id="2035" w:name="_Toc287620803"/>
      <w:bookmarkStart w:id="2036" w:name="_Toc27908"/>
      <w:bookmarkStart w:id="2037" w:name="_Toc287607861"/>
      <w:r>
        <w:rPr>
          <w:rFonts w:hint="eastAsia" w:ascii="宋体" w:hAnsi="宋体"/>
          <w:color w:val="000000" w:themeColor="text1"/>
          <w14:textFill>
            <w14:solidFill>
              <w14:schemeClr w14:val="tx1"/>
            </w14:solidFill>
          </w14:textFill>
        </w:rPr>
        <w:t>第六章  图纸</w:t>
      </w:r>
      <w:bookmarkEnd w:id="2031"/>
      <w:bookmarkEnd w:id="2032"/>
      <w:bookmarkEnd w:id="2033"/>
      <w:bookmarkEnd w:id="2034"/>
      <w:bookmarkEnd w:id="2035"/>
      <w:bookmarkEnd w:id="2036"/>
      <w:bookmarkEnd w:id="2037"/>
    </w:p>
    <w:p w14:paraId="681E65BF">
      <w:pPr>
        <w:spacing w:line="360" w:lineRule="auto"/>
        <w:jc w:val="center"/>
        <w:rPr>
          <w:rFonts w:hint="eastAsia" w:ascii="宋体" w:hAnsi="宋体"/>
          <w:color w:val="000000" w:themeColor="text1"/>
          <w:szCs w:val="20"/>
          <w14:textFill>
            <w14:solidFill>
              <w14:schemeClr w14:val="tx1"/>
            </w14:solidFill>
          </w14:textFill>
        </w:rPr>
      </w:pPr>
      <w:r>
        <w:rPr>
          <w:rFonts w:hint="eastAsia" w:ascii="宋体" w:hAnsi="宋体"/>
          <w:color w:val="000000" w:themeColor="text1"/>
          <w:szCs w:val="20"/>
          <w14:textFill>
            <w14:solidFill>
              <w14:schemeClr w14:val="tx1"/>
            </w14:solidFill>
          </w14:textFill>
        </w:rPr>
        <w:t>在</w:t>
      </w:r>
      <w:r>
        <w:rPr>
          <w:rFonts w:hint="eastAsia" w:ascii="宋体" w:hAnsi="宋体"/>
          <w:color w:val="000000" w:themeColor="text1"/>
          <w:szCs w:val="20"/>
          <w:u w:val="single"/>
          <w14:textFill>
            <w14:solidFill>
              <w14:schemeClr w14:val="tx1"/>
            </w14:solidFill>
          </w14:textFill>
        </w:rPr>
        <w:t>垫江县人民政府官网</w:t>
      </w:r>
      <w:r>
        <w:rPr>
          <w:rFonts w:hint="eastAsia" w:ascii="宋体" w:hAnsi="宋体"/>
          <w:color w:val="000000" w:themeColor="text1"/>
          <w:szCs w:val="20"/>
          <w14:textFill>
            <w14:solidFill>
              <w14:schemeClr w14:val="tx1"/>
            </w14:solidFill>
          </w14:textFill>
        </w:rPr>
        <w:t>下载。</w:t>
      </w:r>
    </w:p>
    <w:p w14:paraId="26DF1AFD">
      <w:pPr>
        <w:spacing w:line="360" w:lineRule="auto"/>
        <w:rPr>
          <w:rFonts w:hint="eastAsia" w:ascii="宋体" w:hAnsi="宋体"/>
          <w:color w:val="000000" w:themeColor="text1"/>
          <w:szCs w:val="20"/>
          <w14:textFill>
            <w14:solidFill>
              <w14:schemeClr w14:val="tx1"/>
            </w14:solidFill>
          </w14:textFill>
        </w:rPr>
      </w:pPr>
      <w:bookmarkStart w:id="2038" w:name="招标文件06章图纸01"/>
      <w:bookmarkEnd w:id="2038"/>
      <w:bookmarkStart w:id="2039" w:name="_Toc430530520"/>
      <w:bookmarkStart w:id="2040" w:name="_Toc287620804"/>
    </w:p>
    <w:bookmarkEnd w:id="2039"/>
    <w:bookmarkEnd w:id="2040"/>
    <w:p w14:paraId="531EBADD">
      <w:pPr>
        <w:spacing w:line="360" w:lineRule="auto"/>
        <w:rPr>
          <w:rFonts w:hint="eastAsia" w:ascii="宋体" w:hAnsi="宋体"/>
          <w:color w:val="000000" w:themeColor="text1"/>
          <w14:textFill>
            <w14:solidFill>
              <w14:schemeClr w14:val="tx1"/>
            </w14:solidFill>
          </w14:textFill>
        </w:rPr>
      </w:pPr>
      <w:r>
        <w:rPr>
          <w:rFonts w:ascii="宋体" w:hAnsi="宋体"/>
          <w:color w:val="000000" w:themeColor="text1"/>
          <w:szCs w:val="20"/>
          <w14:textFill>
            <w14:solidFill>
              <w14:schemeClr w14:val="tx1"/>
            </w14:solidFill>
          </w14:textFill>
        </w:rPr>
        <w:br w:type="page"/>
      </w:r>
    </w:p>
    <w:p w14:paraId="3EB7E302">
      <w:pPr>
        <w:pStyle w:val="3"/>
        <w:spacing w:before="0" w:after="0" w:line="360" w:lineRule="auto"/>
        <w:jc w:val="center"/>
        <w:rPr>
          <w:rFonts w:hint="eastAsia" w:ascii="宋体" w:hAnsi="宋体"/>
          <w:color w:val="000000" w:themeColor="text1"/>
          <w:sz w:val="52"/>
          <w:szCs w:val="52"/>
          <w14:textFill>
            <w14:solidFill>
              <w14:schemeClr w14:val="tx1"/>
            </w14:solidFill>
          </w14:textFill>
        </w:rPr>
      </w:pPr>
      <w:bookmarkStart w:id="2041" w:name="_Toc7492"/>
      <w:bookmarkStart w:id="2042" w:name="_Toc226115601"/>
      <w:r>
        <w:rPr>
          <w:rFonts w:hint="eastAsia" w:ascii="宋体" w:hAnsi="宋体"/>
          <w:color w:val="000000" w:themeColor="text1"/>
          <w:sz w:val="52"/>
          <w:szCs w:val="52"/>
          <w14:textFill>
            <w14:solidFill>
              <w14:schemeClr w14:val="tx1"/>
            </w14:solidFill>
          </w14:textFill>
        </w:rPr>
        <w:t>第 三 卷</w:t>
      </w:r>
      <w:bookmarkEnd w:id="2041"/>
      <w:bookmarkEnd w:id="2042"/>
      <w:bookmarkStart w:id="2043" w:name="_Toc509218847"/>
      <w:bookmarkStart w:id="2044" w:name="_Toc536797121"/>
      <w:bookmarkStart w:id="2045" w:name="_Toc13211206"/>
      <w:bookmarkStart w:id="2046" w:name="_Toc536796850"/>
      <w:bookmarkStart w:id="2047" w:name="_Toc536621880"/>
      <w:bookmarkStart w:id="2048" w:name="_Toc536796986"/>
      <w:bookmarkStart w:id="2049" w:name="_Toc536797255"/>
      <w:bookmarkStart w:id="2050" w:name="_Toc13210772"/>
      <w:bookmarkStart w:id="2051" w:name="_Toc536619968"/>
      <w:bookmarkStart w:id="2052" w:name="_Toc13211764"/>
      <w:bookmarkStart w:id="2053" w:name="_Toc536797390"/>
      <w:bookmarkStart w:id="2054" w:name="_Toc534185826"/>
      <w:bookmarkStart w:id="2055" w:name="_Toc536620100"/>
      <w:bookmarkStart w:id="2056" w:name="_Toc536628344"/>
    </w:p>
    <w:bookmarkEnd w:id="2043"/>
    <w:p w14:paraId="2187B284">
      <w:pPr>
        <w:rPr>
          <w:color w:val="000000" w:themeColor="text1"/>
          <w14:textFill>
            <w14:solidFill>
              <w14:schemeClr w14:val="tx1"/>
            </w14:solidFill>
          </w14:textFill>
        </w:rPr>
      </w:pPr>
      <w:r>
        <w:rPr>
          <w:color w:val="000000" w:themeColor="text1"/>
          <w14:textFill>
            <w14:solidFill>
              <w14:schemeClr w14:val="tx1"/>
            </w14:solidFill>
          </w14:textFill>
        </w:rPr>
        <w:br w:type="page"/>
      </w:r>
      <w:bookmarkEnd w:id="2044"/>
      <w:bookmarkEnd w:id="2045"/>
      <w:bookmarkEnd w:id="2046"/>
      <w:bookmarkEnd w:id="2047"/>
      <w:bookmarkEnd w:id="2048"/>
      <w:bookmarkEnd w:id="2049"/>
      <w:bookmarkEnd w:id="2050"/>
      <w:bookmarkEnd w:id="2051"/>
      <w:bookmarkEnd w:id="2052"/>
      <w:bookmarkEnd w:id="2053"/>
      <w:bookmarkEnd w:id="2054"/>
      <w:bookmarkEnd w:id="2055"/>
      <w:bookmarkEnd w:id="2056"/>
    </w:p>
    <w:p w14:paraId="4018AB2E">
      <w:pPr>
        <w:pStyle w:val="3"/>
        <w:spacing w:before="0" w:line="360" w:lineRule="auto"/>
        <w:jc w:val="center"/>
        <w:rPr>
          <w:rFonts w:hint="eastAsia" w:ascii="宋体" w:hAnsi="宋体"/>
          <w:color w:val="000000" w:themeColor="text1"/>
          <w14:textFill>
            <w14:solidFill>
              <w14:schemeClr w14:val="tx1"/>
            </w14:solidFill>
          </w14:textFill>
        </w:rPr>
      </w:pPr>
      <w:bookmarkStart w:id="2057" w:name="招标文件07章技术标准和要求"/>
      <w:bookmarkEnd w:id="2057"/>
      <w:bookmarkStart w:id="2058" w:name="_Toc12972"/>
      <w:bookmarkStart w:id="2059" w:name="_Toc226115602"/>
      <w:r>
        <w:rPr>
          <w:rFonts w:ascii="宋体" w:hAnsi="宋体"/>
          <w:color w:val="000000" w:themeColor="text1"/>
          <w14:textFill>
            <w14:solidFill>
              <w14:schemeClr w14:val="tx1"/>
            </w14:solidFill>
          </w14:textFill>
        </w:rPr>
        <w:t>第七章</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技术标准和要求</w:t>
      </w:r>
      <w:bookmarkEnd w:id="2058"/>
      <w:bookmarkEnd w:id="2059"/>
      <w:bookmarkStart w:id="2060" w:name="招标文件07章技术标准和要求01"/>
      <w:bookmarkEnd w:id="2060"/>
      <w:bookmarkStart w:id="2061" w:name="_Toc430530524"/>
      <w:bookmarkStart w:id="2062" w:name="_Toc287620808"/>
    </w:p>
    <w:bookmarkEnd w:id="2061"/>
    <w:bookmarkEnd w:id="2062"/>
    <w:p w14:paraId="3A1FA794">
      <w:pPr>
        <w:spacing w:line="360" w:lineRule="auto"/>
        <w:jc w:val="center"/>
        <w:rPr>
          <w:rStyle w:val="54"/>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由招标人根据招标项目的实际情况编写</w:t>
      </w:r>
      <w:r>
        <w:rPr>
          <w:rFonts w:hint="eastAsia" w:ascii="宋体" w:hAnsi="宋体"/>
          <w:color w:val="000000" w:themeColor="text1"/>
          <w:szCs w:val="21"/>
          <w14:textFill>
            <w14:solidFill>
              <w14:schemeClr w14:val="tx1"/>
            </w14:solidFill>
          </w14:textFill>
        </w:rPr>
        <w:t>（如有）。</w:t>
      </w:r>
    </w:p>
    <w:p w14:paraId="1C7540C8">
      <w:pPr>
        <w:spacing w:line="360" w:lineRule="auto"/>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3628ACB0">
      <w:pPr>
        <w:pStyle w:val="3"/>
        <w:spacing w:before="0" w:after="0" w:line="360" w:lineRule="auto"/>
        <w:jc w:val="center"/>
        <w:rPr>
          <w:rFonts w:hint="eastAsia" w:ascii="宋体" w:hAnsi="宋体"/>
          <w:color w:val="000000" w:themeColor="text1"/>
          <w:sz w:val="52"/>
          <w:szCs w:val="52"/>
          <w14:textFill>
            <w14:solidFill>
              <w14:schemeClr w14:val="tx1"/>
            </w14:solidFill>
          </w14:textFill>
        </w:rPr>
      </w:pPr>
      <w:bookmarkStart w:id="2063" w:name="_Toc509218849"/>
      <w:bookmarkStart w:id="2064" w:name="_Toc226115603"/>
      <w:bookmarkStart w:id="2065" w:name="_Toc534185827"/>
      <w:bookmarkStart w:id="2066" w:name="_Toc2213"/>
      <w:r>
        <w:rPr>
          <w:rFonts w:ascii="宋体" w:hAnsi="宋体"/>
          <w:color w:val="000000" w:themeColor="text1"/>
          <w:sz w:val="52"/>
          <w:szCs w:val="52"/>
          <w14:textFill>
            <w14:solidFill>
              <w14:schemeClr w14:val="tx1"/>
            </w14:solidFill>
          </w14:textFill>
        </w:rPr>
        <w:t>第 四 卷</w:t>
      </w:r>
      <w:bookmarkEnd w:id="2063"/>
      <w:bookmarkEnd w:id="2064"/>
      <w:bookmarkEnd w:id="2065"/>
      <w:bookmarkEnd w:id="2066"/>
      <w:bookmarkStart w:id="2067" w:name="_Toc13211767"/>
      <w:bookmarkStart w:id="2068" w:name="_Toc509218850"/>
      <w:bookmarkStart w:id="2069" w:name="_Toc536797124"/>
      <w:bookmarkStart w:id="2070" w:name="_Toc536621883"/>
      <w:bookmarkStart w:id="2071" w:name="_Toc13210775"/>
      <w:bookmarkStart w:id="2072" w:name="_Toc536620102"/>
      <w:bookmarkStart w:id="2073" w:name="_Toc536619970"/>
      <w:bookmarkStart w:id="2074" w:name="_Toc536796853"/>
      <w:bookmarkStart w:id="2075" w:name="_Toc536797393"/>
      <w:bookmarkStart w:id="2076" w:name="_Toc13211209"/>
      <w:bookmarkStart w:id="2077" w:name="_Toc536797258"/>
      <w:bookmarkStart w:id="2078" w:name="_Toc536628347"/>
      <w:bookmarkStart w:id="2079" w:name="_Toc534185828"/>
      <w:bookmarkStart w:id="2080" w:name="_Toc536796989"/>
    </w:p>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p w14:paraId="00D648BA">
      <w:pPr>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2081" w:name="招标文件08章投标文件格式"/>
      <w:bookmarkEnd w:id="2081"/>
      <w:bookmarkStart w:id="2082" w:name="_Toc287607865"/>
      <w:bookmarkStart w:id="2083" w:name="_Toc287620812"/>
    </w:p>
    <w:p w14:paraId="0984C698">
      <w:pPr>
        <w:pStyle w:val="3"/>
        <w:spacing w:before="0" w:line="360" w:lineRule="auto"/>
        <w:jc w:val="center"/>
        <w:rPr>
          <w:rFonts w:hint="eastAsia" w:ascii="宋体" w:hAnsi="宋体"/>
          <w:color w:val="000000" w:themeColor="text1"/>
          <w14:textFill>
            <w14:solidFill>
              <w14:schemeClr w14:val="tx1"/>
            </w14:solidFill>
          </w14:textFill>
        </w:rPr>
      </w:pPr>
      <w:bookmarkStart w:id="2084" w:name="_Toc430530528"/>
      <w:bookmarkStart w:id="2085" w:name="_Toc27161"/>
      <w:bookmarkStart w:id="2086" w:name="_Toc226115604"/>
      <w:bookmarkStart w:id="2087" w:name="_Toc509218852"/>
      <w:bookmarkStart w:id="2088" w:name="_Toc534185829"/>
      <w:r>
        <w:rPr>
          <w:rFonts w:hint="eastAsia" w:ascii="宋体" w:hAnsi="宋体"/>
          <w:color w:val="000000" w:themeColor="text1"/>
          <w14:textFill>
            <w14:solidFill>
              <w14:schemeClr w14:val="tx1"/>
            </w14:solidFill>
          </w14:textFill>
        </w:rPr>
        <w:t>第八章  投标文件格式</w:t>
      </w:r>
      <w:bookmarkEnd w:id="2082"/>
      <w:bookmarkEnd w:id="2083"/>
      <w:bookmarkEnd w:id="2084"/>
      <w:bookmarkEnd w:id="2085"/>
      <w:bookmarkEnd w:id="2086"/>
      <w:bookmarkEnd w:id="2087"/>
      <w:bookmarkEnd w:id="2088"/>
    </w:p>
    <w:p w14:paraId="7F4775F0">
      <w:pPr>
        <w:spacing w:line="360" w:lineRule="auto"/>
        <w:rPr>
          <w:rFonts w:hint="eastAsia" w:ascii="宋体" w:hAnsi="宋体"/>
          <w:color w:val="000000" w:themeColor="text1"/>
          <w:sz w:val="32"/>
          <w:szCs w:val="32"/>
          <w14:textFill>
            <w14:solidFill>
              <w14:schemeClr w14:val="tx1"/>
            </w14:solidFill>
          </w14:textFill>
        </w:rPr>
      </w:pPr>
    </w:p>
    <w:p w14:paraId="6A79F7C0">
      <w:pPr>
        <w:spacing w:line="360" w:lineRule="auto"/>
        <w:jc w:val="center"/>
        <w:rPr>
          <w:rFonts w:hint="eastAsia" w:ascii="宋体" w:hAnsi="宋体"/>
          <w:color w:val="000000" w:themeColor="text1"/>
          <w:sz w:val="36"/>
          <w:szCs w:val="36"/>
          <w14:textFill>
            <w14:solidFill>
              <w14:schemeClr w14:val="tx1"/>
            </w14:solidFill>
          </w14:textFill>
        </w:rPr>
      </w:pPr>
      <w:r>
        <w:rPr>
          <w:rFonts w:ascii="宋体" w:hAnsi="宋体"/>
          <w:color w:val="000000" w:themeColor="text1"/>
          <w:szCs w:val="20"/>
          <w14:textFill>
            <w14:solidFill>
              <w14:schemeClr w14:val="tx1"/>
            </w14:solidFill>
          </w14:textFill>
        </w:rPr>
        <w:br w:type="page"/>
      </w:r>
      <w:bookmarkStart w:id="2089" w:name="_Toc224103493"/>
      <w:r>
        <w:rPr>
          <w:rFonts w:hint="eastAsia" w:ascii="宋体" w:hAnsi="宋体"/>
          <w:color w:val="000000" w:themeColor="text1"/>
          <w:sz w:val="36"/>
          <w:szCs w:val="36"/>
          <w14:textFill>
            <w14:solidFill>
              <w14:schemeClr w14:val="tx1"/>
            </w14:solidFill>
          </w14:textFill>
        </w:rPr>
        <w:t>目  录</w:t>
      </w:r>
      <w:bookmarkEnd w:id="2089"/>
    </w:p>
    <w:p w14:paraId="0FEC5672">
      <w:pPr>
        <w:spacing w:line="360" w:lineRule="auto"/>
        <w:jc w:val="center"/>
        <w:rPr>
          <w:rFonts w:hint="eastAsia" w:ascii="宋体" w:hAnsi="宋体"/>
          <w:color w:val="000000" w:themeColor="text1"/>
          <w:szCs w:val="20"/>
          <w14:textFill>
            <w14:solidFill>
              <w14:schemeClr w14:val="tx1"/>
            </w14:solidFill>
          </w14:textFill>
        </w:rPr>
      </w:pPr>
    </w:p>
    <w:p w14:paraId="5EB98F3C">
      <w:pPr>
        <w:spacing w:line="360" w:lineRule="auto"/>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一</w:t>
      </w:r>
      <w:r>
        <w:rPr>
          <w:rFonts w:ascii="宋体" w:hAnsi="宋体"/>
          <w:b/>
          <w:color w:val="000000" w:themeColor="text1"/>
          <w14:textFill>
            <w14:solidFill>
              <w14:schemeClr w14:val="tx1"/>
            </w14:solidFill>
          </w14:textFill>
        </w:rPr>
        <w:t>、投标函部分</w:t>
      </w:r>
    </w:p>
    <w:p w14:paraId="30DC3D08">
      <w:pPr>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（一）投标函</w:t>
      </w:r>
    </w:p>
    <w:p w14:paraId="2295D5F3">
      <w:pPr>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（二）投标函附录</w:t>
      </w:r>
    </w:p>
    <w:p w14:paraId="3CC317DB">
      <w:pPr>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三</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投标报价合理性说明（如有）</w:t>
      </w:r>
    </w:p>
    <w:p w14:paraId="0197485B">
      <w:pPr>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四</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法定代表人身份证明或授权委托书</w:t>
      </w:r>
    </w:p>
    <w:p w14:paraId="017480F2">
      <w:pPr>
        <w:spacing w:line="360" w:lineRule="auto"/>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二</w:t>
      </w:r>
      <w:r>
        <w:rPr>
          <w:rFonts w:ascii="宋体" w:hAnsi="宋体"/>
          <w:b/>
          <w:color w:val="000000" w:themeColor="text1"/>
          <w14:textFill>
            <w14:solidFill>
              <w14:schemeClr w14:val="tx1"/>
            </w14:solidFill>
          </w14:textFill>
        </w:rPr>
        <w:t>、</w:t>
      </w:r>
      <w:r>
        <w:rPr>
          <w:rFonts w:hint="eastAsia" w:ascii="宋体" w:hAnsi="宋体"/>
          <w:b/>
          <w:color w:val="000000" w:themeColor="text1"/>
          <w14:textFill>
            <w14:solidFill>
              <w14:schemeClr w14:val="tx1"/>
            </w14:solidFill>
          </w14:textFill>
        </w:rPr>
        <w:t>报价</w:t>
      </w:r>
      <w:r>
        <w:rPr>
          <w:rFonts w:ascii="宋体" w:hAnsi="宋体"/>
          <w:b/>
          <w:color w:val="000000" w:themeColor="text1"/>
          <w14:textFill>
            <w14:solidFill>
              <w14:schemeClr w14:val="tx1"/>
            </w14:solidFill>
          </w14:textFill>
        </w:rPr>
        <w:t>部分</w:t>
      </w:r>
    </w:p>
    <w:p w14:paraId="6CD0039F">
      <w:pPr>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已标价工程量清单</w:t>
      </w:r>
    </w:p>
    <w:p w14:paraId="55DC7AA8">
      <w:pPr>
        <w:spacing w:line="360" w:lineRule="auto"/>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三</w:t>
      </w:r>
      <w:r>
        <w:rPr>
          <w:rFonts w:ascii="宋体" w:hAnsi="宋体"/>
          <w:b/>
          <w:color w:val="000000" w:themeColor="text1"/>
          <w14:textFill>
            <w14:solidFill>
              <w14:schemeClr w14:val="tx1"/>
            </w14:solidFill>
          </w14:textFill>
        </w:rPr>
        <w:t>、</w:t>
      </w:r>
      <w:r>
        <w:rPr>
          <w:rFonts w:hint="eastAsia" w:ascii="宋体" w:hAnsi="宋体"/>
          <w:b/>
          <w:color w:val="000000" w:themeColor="text1"/>
          <w14:textFill>
            <w14:solidFill>
              <w14:schemeClr w14:val="tx1"/>
            </w14:solidFill>
          </w14:textFill>
        </w:rPr>
        <w:t>资格审查部分</w:t>
      </w:r>
    </w:p>
    <w:p w14:paraId="35D49CD2">
      <w:pPr>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（一）</w:t>
      </w:r>
      <w:r>
        <w:rPr>
          <w:rFonts w:hint="eastAsia" w:ascii="宋体" w:hAnsi="宋体"/>
          <w:color w:val="000000" w:themeColor="text1"/>
          <w14:textFill>
            <w14:solidFill>
              <w14:schemeClr w14:val="tx1"/>
            </w14:solidFill>
          </w14:textFill>
        </w:rPr>
        <w:t>法定代表人身份证明或授权委托书</w:t>
      </w:r>
    </w:p>
    <w:p w14:paraId="45F826CE">
      <w:pPr>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（二）</w:t>
      </w:r>
      <w:r>
        <w:rPr>
          <w:rFonts w:hint="eastAsia" w:ascii="宋体" w:hAnsi="宋体"/>
          <w:color w:val="000000" w:themeColor="text1"/>
          <w14:textFill>
            <w14:solidFill>
              <w14:schemeClr w14:val="tx1"/>
            </w14:solidFill>
          </w14:textFill>
        </w:rPr>
        <w:t>承诺</w:t>
      </w:r>
    </w:p>
    <w:p w14:paraId="372A2EE9">
      <w:pPr>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三</w:t>
      </w:r>
      <w:r>
        <w:rPr>
          <w:rFonts w:ascii="宋体" w:hAnsi="宋体"/>
          <w:color w:val="000000" w:themeColor="text1"/>
          <w14:textFill>
            <w14:solidFill>
              <w14:schemeClr w14:val="tx1"/>
            </w14:solidFill>
          </w14:textFill>
        </w:rPr>
        <w:t>）其他资料</w:t>
      </w:r>
    </w:p>
    <w:p w14:paraId="6094C9D5">
      <w:pPr>
        <w:autoSpaceDE w:val="0"/>
        <w:autoSpaceDN w:val="0"/>
        <w:adjustRightInd w:val="0"/>
        <w:spacing w:line="276" w:lineRule="auto"/>
        <w:ind w:right="-23"/>
        <w:jc w:val="left"/>
        <w:rPr>
          <w:rFonts w:hint="eastAsia" w:ascii="宋体" w:hAnsi="宋体"/>
          <w:color w:val="000000" w:themeColor="text1"/>
          <w:kern w:val="0"/>
          <w:szCs w:val="21"/>
          <w:u w:val="single"/>
          <w14:textFill>
            <w14:solidFill>
              <w14:schemeClr w14:val="tx1"/>
            </w14:solidFill>
          </w14:textFill>
        </w:rPr>
      </w:pPr>
      <w:r>
        <w:rPr>
          <w:rFonts w:ascii="宋体" w:hAnsi="宋体"/>
          <w:b/>
          <w:color w:val="000000" w:themeColor="text1"/>
          <w:kern w:val="0"/>
          <w:sz w:val="24"/>
          <w14:textFill>
            <w14:solidFill>
              <w14:schemeClr w14:val="tx1"/>
            </w14:solidFill>
          </w14:textFill>
        </w:rPr>
        <w:br w:type="page"/>
      </w:r>
      <w:bookmarkStart w:id="2090" w:name="_Toc277082642"/>
      <w:bookmarkStart w:id="2091" w:name="_Toc287607866"/>
      <w:bookmarkStart w:id="2092" w:name="_Toc287620813"/>
      <w:bookmarkStart w:id="2093" w:name="_Toc430530529"/>
      <w:bookmarkStart w:id="2094" w:name="_Toc224103494"/>
    </w:p>
    <w:p w14:paraId="4C31EC52">
      <w:pPr>
        <w:pStyle w:val="4"/>
        <w:spacing w:before="0" w:line="360" w:lineRule="auto"/>
        <w:jc w:val="center"/>
        <w:rPr>
          <w:rFonts w:hint="eastAsia" w:ascii="宋体" w:hAnsi="宋体"/>
          <w:b w:val="0"/>
          <w:bCs w:val="0"/>
          <w:color w:val="000000" w:themeColor="text1"/>
          <w:sz w:val="44"/>
          <w:szCs w:val="44"/>
          <w14:textFill>
            <w14:solidFill>
              <w14:schemeClr w14:val="tx1"/>
            </w14:solidFill>
          </w14:textFill>
        </w:rPr>
      </w:pPr>
      <w:bookmarkStart w:id="2095" w:name="_Toc27093"/>
      <w:bookmarkStart w:id="2096" w:name="_Toc226115605"/>
      <w:r>
        <w:rPr>
          <w:rFonts w:hint="eastAsia" w:ascii="宋体" w:hAnsi="宋体"/>
          <w:b w:val="0"/>
          <w:bCs w:val="0"/>
          <w:color w:val="000000" w:themeColor="text1"/>
          <w:sz w:val="44"/>
          <w:szCs w:val="44"/>
          <w14:textFill>
            <w14:solidFill>
              <w14:schemeClr w14:val="tx1"/>
            </w14:solidFill>
          </w14:textFill>
        </w:rPr>
        <w:t>一、投标函部分</w:t>
      </w:r>
      <w:bookmarkEnd w:id="2090"/>
      <w:bookmarkEnd w:id="2091"/>
      <w:bookmarkEnd w:id="2092"/>
      <w:bookmarkEnd w:id="2093"/>
      <w:bookmarkEnd w:id="2094"/>
      <w:bookmarkEnd w:id="2095"/>
      <w:bookmarkEnd w:id="2096"/>
    </w:p>
    <w:p w14:paraId="78EB2F8B">
      <w:pPr>
        <w:tabs>
          <w:tab w:val="left" w:pos="2580"/>
          <w:tab w:val="left" w:pos="5940"/>
        </w:tabs>
        <w:autoSpaceDE w:val="0"/>
        <w:autoSpaceDN w:val="0"/>
        <w:adjustRightInd w:val="0"/>
        <w:snapToGrid w:val="0"/>
        <w:spacing w:line="360" w:lineRule="auto"/>
        <w:jc w:val="left"/>
        <w:rPr>
          <w:rFonts w:hint="eastAsia" w:ascii="宋体" w:hAnsi="宋体"/>
          <w:color w:val="000000" w:themeColor="text1"/>
          <w:kern w:val="0"/>
          <w:sz w:val="28"/>
          <w:szCs w:val="28"/>
          <w14:textFill>
            <w14:solidFill>
              <w14:schemeClr w14:val="tx1"/>
            </w14:solidFill>
          </w14:textFill>
        </w:rPr>
      </w:pPr>
      <w:r>
        <w:rPr>
          <w:rFonts w:ascii="宋体" w:hAnsi="宋体"/>
          <w:color w:val="000000" w:themeColor="text1"/>
          <w:kern w:val="0"/>
          <w:sz w:val="28"/>
          <w:szCs w:val="28"/>
          <w14:textFill>
            <w14:solidFill>
              <w14:schemeClr w14:val="tx1"/>
            </w14:solidFill>
          </w14:textFill>
        </w:rPr>
        <w:br w:type="page"/>
      </w:r>
    </w:p>
    <w:p w14:paraId="3F010740">
      <w:pPr>
        <w:spacing w:line="360" w:lineRule="auto"/>
        <w:jc w:val="center"/>
        <w:rPr>
          <w:rFonts w:hint="eastAsia" w:ascii="宋体" w:hAnsi="宋体"/>
          <w:color w:val="000000" w:themeColor="text1"/>
          <w:kern w:val="0"/>
          <w:sz w:val="32"/>
          <w:szCs w:val="32"/>
          <w14:textFill>
            <w14:solidFill>
              <w14:schemeClr w14:val="tx1"/>
            </w14:solidFill>
          </w14:textFill>
        </w:rPr>
      </w:pPr>
      <w:r>
        <w:rPr>
          <w:rFonts w:hint="eastAsia" w:ascii="宋体" w:hAnsi="宋体"/>
          <w:color w:val="000000" w:themeColor="text1"/>
          <w:kern w:val="0"/>
          <w:sz w:val="32"/>
          <w:szCs w:val="32"/>
          <w:u w:val="single"/>
          <w14:textFill>
            <w14:solidFill>
              <w14:schemeClr w14:val="tx1"/>
            </w14:solidFill>
          </w14:textFill>
        </w:rPr>
        <w:t xml:space="preserve">                   （项目名称）</w:t>
      </w:r>
    </w:p>
    <w:p w14:paraId="7C265DC0">
      <w:pPr>
        <w:tabs>
          <w:tab w:val="left" w:pos="3600"/>
          <w:tab w:val="left" w:pos="4480"/>
          <w:tab w:val="left" w:pos="5360"/>
        </w:tabs>
        <w:autoSpaceDE w:val="0"/>
        <w:autoSpaceDN w:val="0"/>
        <w:adjustRightInd w:val="0"/>
        <w:snapToGrid w:val="0"/>
        <w:spacing w:line="360" w:lineRule="auto"/>
        <w:jc w:val="left"/>
        <w:rPr>
          <w:rFonts w:hint="eastAsia" w:ascii="宋体" w:hAnsi="宋体"/>
          <w:color w:val="000000" w:themeColor="text1"/>
          <w:kern w:val="0"/>
          <w:sz w:val="44"/>
          <w:szCs w:val="44"/>
          <w14:textFill>
            <w14:solidFill>
              <w14:schemeClr w14:val="tx1"/>
            </w14:solidFill>
          </w14:textFill>
        </w:rPr>
      </w:pPr>
    </w:p>
    <w:p w14:paraId="307FBC8E">
      <w:pPr>
        <w:tabs>
          <w:tab w:val="left" w:pos="3600"/>
          <w:tab w:val="left" w:pos="4480"/>
          <w:tab w:val="left" w:pos="5360"/>
        </w:tabs>
        <w:autoSpaceDE w:val="0"/>
        <w:autoSpaceDN w:val="0"/>
        <w:adjustRightInd w:val="0"/>
        <w:snapToGrid w:val="0"/>
        <w:spacing w:line="360" w:lineRule="auto"/>
        <w:jc w:val="left"/>
        <w:rPr>
          <w:rFonts w:hint="eastAsia" w:ascii="宋体" w:hAnsi="宋体"/>
          <w:color w:val="000000" w:themeColor="text1"/>
          <w:kern w:val="0"/>
          <w:sz w:val="44"/>
          <w:szCs w:val="44"/>
          <w14:textFill>
            <w14:solidFill>
              <w14:schemeClr w14:val="tx1"/>
            </w14:solidFill>
          </w14:textFill>
        </w:rPr>
      </w:pPr>
    </w:p>
    <w:p w14:paraId="282FA2CB">
      <w:pPr>
        <w:tabs>
          <w:tab w:val="left" w:pos="3600"/>
          <w:tab w:val="left" w:pos="4480"/>
          <w:tab w:val="left" w:pos="5360"/>
        </w:tabs>
        <w:autoSpaceDE w:val="0"/>
        <w:autoSpaceDN w:val="0"/>
        <w:adjustRightInd w:val="0"/>
        <w:snapToGrid w:val="0"/>
        <w:spacing w:line="360" w:lineRule="auto"/>
        <w:jc w:val="left"/>
        <w:rPr>
          <w:rFonts w:hint="eastAsia" w:ascii="宋体" w:hAnsi="宋体"/>
          <w:color w:val="000000" w:themeColor="text1"/>
          <w:kern w:val="0"/>
          <w:sz w:val="44"/>
          <w:szCs w:val="44"/>
          <w14:textFill>
            <w14:solidFill>
              <w14:schemeClr w14:val="tx1"/>
            </w14:solidFill>
          </w14:textFill>
        </w:rPr>
      </w:pPr>
    </w:p>
    <w:p w14:paraId="4D03A775">
      <w:pPr>
        <w:tabs>
          <w:tab w:val="left" w:pos="3600"/>
          <w:tab w:val="left" w:pos="4480"/>
          <w:tab w:val="left" w:pos="5360"/>
        </w:tabs>
        <w:autoSpaceDE w:val="0"/>
        <w:autoSpaceDN w:val="0"/>
        <w:adjustRightInd w:val="0"/>
        <w:snapToGrid w:val="0"/>
        <w:spacing w:line="360" w:lineRule="auto"/>
        <w:jc w:val="left"/>
        <w:rPr>
          <w:rFonts w:hint="eastAsia" w:ascii="宋体" w:hAnsi="宋体"/>
          <w:color w:val="000000" w:themeColor="text1"/>
          <w:kern w:val="0"/>
          <w:sz w:val="44"/>
          <w:szCs w:val="44"/>
          <w14:textFill>
            <w14:solidFill>
              <w14:schemeClr w14:val="tx1"/>
            </w14:solidFill>
          </w14:textFill>
        </w:rPr>
      </w:pPr>
    </w:p>
    <w:p w14:paraId="4D802076">
      <w:pPr>
        <w:tabs>
          <w:tab w:val="left" w:pos="3600"/>
          <w:tab w:val="left" w:pos="4480"/>
          <w:tab w:val="left" w:pos="5360"/>
        </w:tabs>
        <w:autoSpaceDE w:val="0"/>
        <w:autoSpaceDN w:val="0"/>
        <w:adjustRightInd w:val="0"/>
        <w:snapToGrid w:val="0"/>
        <w:spacing w:line="360" w:lineRule="auto"/>
        <w:jc w:val="left"/>
        <w:rPr>
          <w:rFonts w:hint="eastAsia" w:ascii="宋体" w:hAnsi="宋体"/>
          <w:color w:val="000000" w:themeColor="text1"/>
          <w:kern w:val="0"/>
          <w:sz w:val="44"/>
          <w:szCs w:val="44"/>
          <w14:textFill>
            <w14:solidFill>
              <w14:schemeClr w14:val="tx1"/>
            </w14:solidFill>
          </w14:textFill>
        </w:rPr>
      </w:pPr>
    </w:p>
    <w:p w14:paraId="0446FDAA">
      <w:pPr>
        <w:tabs>
          <w:tab w:val="left" w:pos="3600"/>
          <w:tab w:val="left" w:pos="4480"/>
          <w:tab w:val="left" w:pos="5360"/>
        </w:tabs>
        <w:autoSpaceDE w:val="0"/>
        <w:autoSpaceDN w:val="0"/>
        <w:adjustRightInd w:val="0"/>
        <w:snapToGrid w:val="0"/>
        <w:spacing w:line="360" w:lineRule="auto"/>
        <w:jc w:val="center"/>
        <w:rPr>
          <w:rFonts w:hint="eastAsia" w:ascii="宋体" w:hAnsi="宋体"/>
          <w:color w:val="000000" w:themeColor="text1"/>
          <w:kern w:val="0"/>
          <w:sz w:val="72"/>
          <w:szCs w:val="72"/>
          <w14:textFill>
            <w14:solidFill>
              <w14:schemeClr w14:val="tx1"/>
            </w14:solidFill>
          </w14:textFill>
        </w:rPr>
      </w:pPr>
      <w:r>
        <w:rPr>
          <w:rFonts w:hint="eastAsia" w:ascii="宋体" w:hAnsi="宋体"/>
          <w:color w:val="000000" w:themeColor="text1"/>
          <w:kern w:val="0"/>
          <w:sz w:val="72"/>
          <w:szCs w:val="72"/>
          <w14:textFill>
            <w14:solidFill>
              <w14:schemeClr w14:val="tx1"/>
            </w14:solidFill>
          </w14:textFill>
        </w:rPr>
        <w:t>投 标 文 件</w:t>
      </w:r>
    </w:p>
    <w:p w14:paraId="7670F14B">
      <w:pPr>
        <w:autoSpaceDE w:val="0"/>
        <w:autoSpaceDN w:val="0"/>
        <w:adjustRightInd w:val="0"/>
        <w:snapToGrid w:val="0"/>
        <w:spacing w:line="360" w:lineRule="auto"/>
        <w:jc w:val="left"/>
        <w:rPr>
          <w:rFonts w:hint="eastAsia" w:ascii="宋体" w:hAnsi="宋体"/>
          <w:color w:val="000000" w:themeColor="text1"/>
          <w:kern w:val="0"/>
          <w:sz w:val="16"/>
          <w:szCs w:val="16"/>
          <w14:textFill>
            <w14:solidFill>
              <w14:schemeClr w14:val="tx1"/>
            </w14:solidFill>
          </w14:textFill>
        </w:rPr>
      </w:pPr>
    </w:p>
    <w:p w14:paraId="6684ACE4">
      <w:pPr>
        <w:autoSpaceDE w:val="0"/>
        <w:autoSpaceDN w:val="0"/>
        <w:adjustRightInd w:val="0"/>
        <w:snapToGrid w:val="0"/>
        <w:spacing w:line="360" w:lineRule="auto"/>
        <w:jc w:val="center"/>
        <w:rPr>
          <w:rFonts w:hint="eastAsia" w:ascii="宋体" w:hAnsi="宋体"/>
          <w:color w:val="000000" w:themeColor="text1"/>
          <w:kern w:val="0"/>
          <w:sz w:val="36"/>
          <w:szCs w:val="36"/>
          <w14:textFill>
            <w14:solidFill>
              <w14:schemeClr w14:val="tx1"/>
            </w14:solidFill>
          </w14:textFill>
        </w:rPr>
      </w:pPr>
      <w:r>
        <w:rPr>
          <w:rFonts w:hint="eastAsia" w:ascii="宋体" w:hAnsi="宋体"/>
          <w:color w:val="000000" w:themeColor="text1"/>
          <w:kern w:val="0"/>
          <w:sz w:val="36"/>
          <w:szCs w:val="36"/>
          <w14:textFill>
            <w14:solidFill>
              <w14:schemeClr w14:val="tx1"/>
            </w14:solidFill>
          </w14:textFill>
        </w:rPr>
        <w:t>投标函部分</w:t>
      </w:r>
    </w:p>
    <w:p w14:paraId="67BA5C1C">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28A5BF7C">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57902422">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50EBCC70">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735B54D5">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053DED95">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291B7DA3">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4A34FD58">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2A87B939">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468C7197">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08F054D8">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4ABBED47">
      <w:pPr>
        <w:tabs>
          <w:tab w:val="left" w:pos="6080"/>
          <w:tab w:val="left" w:pos="6640"/>
        </w:tabs>
        <w:autoSpaceDE w:val="0"/>
        <w:autoSpaceDN w:val="0"/>
        <w:adjustRightInd w:val="0"/>
        <w:snapToGrid w:val="0"/>
        <w:spacing w:after="156" w:afterLines="50" w:line="360" w:lineRule="auto"/>
        <w:jc w:val="center"/>
        <w:rPr>
          <w:rFonts w:hint="eastAsia" w:ascii="宋体" w:hAnsi="宋体"/>
          <w:color w:val="000000" w:themeColor="text1"/>
          <w:w w:val="99"/>
          <w:kern w:val="0"/>
          <w:sz w:val="28"/>
          <w:szCs w:val="28"/>
          <w14:textFill>
            <w14:solidFill>
              <w14:schemeClr w14:val="tx1"/>
            </w14:solidFill>
          </w14:textFill>
        </w:rPr>
      </w:pPr>
      <w:r>
        <w:rPr>
          <w:rFonts w:ascii="宋体" w:hAnsi="宋体"/>
          <w:color w:val="000000" w:themeColor="text1"/>
          <w:w w:val="99"/>
          <w:kern w:val="0"/>
          <w:sz w:val="28"/>
          <w:szCs w:val="28"/>
          <w14:textFill>
            <w14:solidFill>
              <w14:schemeClr w14:val="tx1"/>
            </w14:solidFill>
          </w14:textFill>
        </w:rPr>
        <w:t>投标人</w:t>
      </w:r>
      <w:r>
        <w:rPr>
          <w:rFonts w:ascii="宋体" w:hAnsi="宋体"/>
          <w:color w:val="000000" w:themeColor="text1"/>
          <w:spacing w:val="1"/>
          <w:w w:val="99"/>
          <w:kern w:val="0"/>
          <w:sz w:val="28"/>
          <w:szCs w:val="28"/>
          <w14:textFill>
            <w14:solidFill>
              <w14:schemeClr w14:val="tx1"/>
            </w14:solidFill>
          </w14:textFill>
        </w:rPr>
        <w:t>：</w:t>
      </w:r>
      <w:r>
        <w:rPr>
          <w:rFonts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99"/>
          <w:kern w:val="0"/>
          <w:sz w:val="28"/>
          <w:szCs w:val="28"/>
          <w14:textFill>
            <w14:solidFill>
              <w14:schemeClr w14:val="tx1"/>
            </w14:solidFill>
          </w14:textFill>
        </w:rPr>
        <w:t>（盖单位法人章）</w:t>
      </w:r>
    </w:p>
    <w:p w14:paraId="14C80DFE">
      <w:pPr>
        <w:tabs>
          <w:tab w:val="left" w:pos="6080"/>
          <w:tab w:val="left" w:pos="6640"/>
        </w:tabs>
        <w:autoSpaceDE w:val="0"/>
        <w:autoSpaceDN w:val="0"/>
        <w:adjustRightInd w:val="0"/>
        <w:snapToGrid w:val="0"/>
        <w:spacing w:after="156" w:afterLines="50" w:line="360" w:lineRule="auto"/>
        <w:jc w:val="center"/>
        <w:rPr>
          <w:rFonts w:hint="eastAsia" w:ascii="宋体" w:hAnsi="宋体"/>
          <w:color w:val="000000" w:themeColor="text1"/>
          <w:kern w:val="0"/>
          <w:sz w:val="28"/>
          <w:szCs w:val="28"/>
          <w14:textFill>
            <w14:solidFill>
              <w14:schemeClr w14:val="tx1"/>
            </w14:solidFill>
          </w14:textFill>
        </w:rPr>
      </w:pPr>
      <w:r>
        <w:rPr>
          <w:rFonts w:ascii="宋体" w:hAnsi="宋体"/>
          <w:color w:val="000000" w:themeColor="text1"/>
          <w:w w:val="99"/>
          <w:kern w:val="0"/>
          <w:sz w:val="28"/>
          <w:szCs w:val="28"/>
          <w14:textFill>
            <w14:solidFill>
              <w14:schemeClr w14:val="tx1"/>
            </w14:solidFill>
          </w14:textFill>
        </w:rPr>
        <w:t>法定代表人或其委托代理人：</w:t>
      </w:r>
      <w:r>
        <w:rPr>
          <w:rFonts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99"/>
          <w:kern w:val="0"/>
          <w:sz w:val="28"/>
          <w:szCs w:val="28"/>
          <w14:textFill>
            <w14:solidFill>
              <w14:schemeClr w14:val="tx1"/>
            </w14:solidFill>
          </w14:textFill>
        </w:rPr>
        <w:t>（</w:t>
      </w:r>
      <w:r>
        <w:rPr>
          <w:rFonts w:hint="eastAsia" w:ascii="宋体" w:hAnsi="宋体"/>
          <w:color w:val="000000" w:themeColor="text1"/>
          <w:w w:val="99"/>
          <w:kern w:val="0"/>
          <w:sz w:val="28"/>
          <w:szCs w:val="28"/>
          <w14:textFill>
            <w14:solidFill>
              <w14:schemeClr w14:val="tx1"/>
            </w14:solidFill>
          </w14:textFill>
        </w:rPr>
        <w:t>签名</w:t>
      </w:r>
      <w:r>
        <w:rPr>
          <w:rFonts w:ascii="宋体" w:hAnsi="宋体"/>
          <w:color w:val="000000" w:themeColor="text1"/>
          <w:w w:val="99"/>
          <w:kern w:val="0"/>
          <w:sz w:val="28"/>
          <w:szCs w:val="28"/>
          <w14:textFill>
            <w14:solidFill>
              <w14:schemeClr w14:val="tx1"/>
            </w14:solidFill>
          </w14:textFill>
        </w:rPr>
        <w:t>或盖章）</w:t>
      </w:r>
    </w:p>
    <w:p w14:paraId="570E6A76">
      <w:pPr>
        <w:autoSpaceDE w:val="0"/>
        <w:autoSpaceDN w:val="0"/>
        <w:adjustRightInd w:val="0"/>
        <w:snapToGrid w:val="0"/>
        <w:spacing w:line="360" w:lineRule="auto"/>
        <w:jc w:val="center"/>
        <w:rPr>
          <w:rFonts w:hint="eastAsia" w:ascii="宋体" w:hAnsi="宋体"/>
          <w:color w:val="000000" w:themeColor="text1"/>
          <w:kern w:val="0"/>
          <w:sz w:val="24"/>
          <w:szCs w:val="21"/>
          <w14:textFill>
            <w14:solidFill>
              <w14:schemeClr w14:val="tx1"/>
            </w14:solidFill>
          </w14:textFill>
        </w:rPr>
      </w:pPr>
      <w:r>
        <w:rPr>
          <w:rFonts w:hint="eastAsia" w:ascii="宋体" w:hAnsi="宋体"/>
          <w:color w:val="000000" w:themeColor="text1"/>
          <w:w w:val="99"/>
          <w:kern w:val="0"/>
          <w:sz w:val="28"/>
          <w:szCs w:val="28"/>
          <w:u w:val="single"/>
          <w14:textFill>
            <w14:solidFill>
              <w14:schemeClr w14:val="tx1"/>
            </w14:solidFill>
          </w14:textFill>
        </w:rPr>
        <w:t xml:space="preserve">    </w:t>
      </w:r>
      <w:r>
        <w:rPr>
          <w:rFonts w:hint="eastAsia" w:ascii="宋体" w:hAnsi="宋体"/>
          <w:color w:val="000000" w:themeColor="text1"/>
          <w:w w:val="99"/>
          <w:kern w:val="0"/>
          <w:sz w:val="28"/>
          <w:szCs w:val="28"/>
          <w14:textFill>
            <w14:solidFill>
              <w14:schemeClr w14:val="tx1"/>
            </w14:solidFill>
          </w14:textFill>
        </w:rPr>
        <w:t>年</w:t>
      </w:r>
      <w:r>
        <w:rPr>
          <w:rFonts w:hint="eastAsia" w:ascii="宋体" w:hAnsi="宋体"/>
          <w:color w:val="000000" w:themeColor="text1"/>
          <w:w w:val="99"/>
          <w:kern w:val="0"/>
          <w:sz w:val="28"/>
          <w:szCs w:val="28"/>
          <w:u w:val="single"/>
          <w14:textFill>
            <w14:solidFill>
              <w14:schemeClr w14:val="tx1"/>
            </w14:solidFill>
          </w14:textFill>
        </w:rPr>
        <w:t xml:space="preserve">    </w:t>
      </w:r>
      <w:r>
        <w:rPr>
          <w:rFonts w:hint="eastAsia" w:ascii="宋体" w:hAnsi="宋体"/>
          <w:color w:val="000000" w:themeColor="text1"/>
          <w:w w:val="99"/>
          <w:kern w:val="0"/>
          <w:sz w:val="28"/>
          <w:szCs w:val="28"/>
          <w14:textFill>
            <w14:solidFill>
              <w14:schemeClr w14:val="tx1"/>
            </w14:solidFill>
          </w14:textFill>
        </w:rPr>
        <w:t>月</w:t>
      </w:r>
      <w:r>
        <w:rPr>
          <w:rFonts w:hint="eastAsia" w:ascii="宋体" w:hAnsi="宋体"/>
          <w:color w:val="000000" w:themeColor="text1"/>
          <w:w w:val="99"/>
          <w:kern w:val="0"/>
          <w:sz w:val="28"/>
          <w:szCs w:val="28"/>
          <w:u w:val="single"/>
          <w14:textFill>
            <w14:solidFill>
              <w14:schemeClr w14:val="tx1"/>
            </w14:solidFill>
          </w14:textFill>
        </w:rPr>
        <w:t xml:space="preserve">    </w:t>
      </w:r>
      <w:r>
        <w:rPr>
          <w:rFonts w:hint="eastAsia" w:ascii="宋体" w:hAnsi="宋体"/>
          <w:color w:val="000000" w:themeColor="text1"/>
          <w:w w:val="99"/>
          <w:kern w:val="0"/>
          <w:sz w:val="28"/>
          <w:szCs w:val="28"/>
          <w14:textFill>
            <w14:solidFill>
              <w14:schemeClr w14:val="tx1"/>
            </w14:solidFill>
          </w14:textFill>
        </w:rPr>
        <w:t>日</w:t>
      </w:r>
      <w:r>
        <w:rPr>
          <w:rFonts w:ascii="宋体" w:hAnsi="宋体"/>
          <w:color w:val="000000" w:themeColor="text1"/>
          <w:kern w:val="0"/>
          <w:sz w:val="24"/>
          <w:szCs w:val="21"/>
          <w14:textFill>
            <w14:solidFill>
              <w14:schemeClr w14:val="tx1"/>
            </w14:solidFill>
          </w14:textFill>
        </w:rPr>
        <w:br w:type="page"/>
      </w:r>
    </w:p>
    <w:p w14:paraId="57FC4B54">
      <w:pPr>
        <w:autoSpaceDE w:val="0"/>
        <w:autoSpaceDN w:val="0"/>
        <w:adjustRightInd w:val="0"/>
        <w:snapToGrid w:val="0"/>
        <w:spacing w:line="360" w:lineRule="auto"/>
        <w:jc w:val="center"/>
        <w:rPr>
          <w:rFonts w:hint="eastAsia" w:ascii="宋体" w:hAnsi="宋体"/>
          <w:color w:val="000000" w:themeColor="text1"/>
          <w:kern w:val="0"/>
          <w:sz w:val="36"/>
          <w:szCs w:val="36"/>
          <w14:textFill>
            <w14:solidFill>
              <w14:schemeClr w14:val="tx1"/>
            </w14:solidFill>
          </w14:textFill>
        </w:rPr>
      </w:pPr>
      <w:r>
        <w:rPr>
          <w:rFonts w:hint="eastAsia" w:ascii="宋体" w:hAnsi="宋体"/>
          <w:color w:val="000000" w:themeColor="text1"/>
          <w:kern w:val="0"/>
          <w:sz w:val="36"/>
          <w:szCs w:val="36"/>
          <w14:textFill>
            <w14:solidFill>
              <w14:schemeClr w14:val="tx1"/>
            </w14:solidFill>
          </w14:textFill>
        </w:rPr>
        <w:t>目  录</w:t>
      </w:r>
    </w:p>
    <w:p w14:paraId="78F4D3B1">
      <w:pPr>
        <w:autoSpaceDE w:val="0"/>
        <w:autoSpaceDN w:val="0"/>
        <w:adjustRightInd w:val="0"/>
        <w:snapToGrid w:val="0"/>
        <w:spacing w:line="360" w:lineRule="auto"/>
        <w:jc w:val="left"/>
        <w:rPr>
          <w:rFonts w:hint="eastAsia" w:ascii="宋体" w:hAnsi="宋体"/>
          <w:color w:val="000000" w:themeColor="text1"/>
          <w:kern w:val="0"/>
          <w:sz w:val="24"/>
          <w:szCs w:val="21"/>
          <w14:textFill>
            <w14:solidFill>
              <w14:schemeClr w14:val="tx1"/>
            </w14:solidFill>
          </w14:textFill>
        </w:rPr>
      </w:pPr>
    </w:p>
    <w:p w14:paraId="3379A0AB">
      <w:pPr>
        <w:autoSpaceDE w:val="0"/>
        <w:autoSpaceDN w:val="0"/>
        <w:adjustRightInd w:val="0"/>
        <w:spacing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（一）投标函</w:t>
      </w:r>
    </w:p>
    <w:p w14:paraId="1503EC42">
      <w:pPr>
        <w:autoSpaceDE w:val="0"/>
        <w:autoSpaceDN w:val="0"/>
        <w:adjustRightInd w:val="0"/>
        <w:spacing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（二）投标函附录</w:t>
      </w:r>
    </w:p>
    <w:p w14:paraId="1F6853BC">
      <w:pPr>
        <w:autoSpaceDE w:val="0"/>
        <w:autoSpaceDN w:val="0"/>
        <w:adjustRightInd w:val="0"/>
        <w:spacing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三</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投标报价合理性说明（如有）</w:t>
      </w:r>
    </w:p>
    <w:p w14:paraId="79359887">
      <w:pPr>
        <w:autoSpaceDE w:val="0"/>
        <w:autoSpaceDN w:val="0"/>
        <w:adjustRightInd w:val="0"/>
        <w:spacing w:line="360" w:lineRule="auto"/>
        <w:ind w:firstLine="480" w:firstLineChars="200"/>
        <w:jc w:val="left"/>
        <w:rPr>
          <w:rFonts w:hint="eastAsia"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四</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法定代表人身份证明或授权委托书</w:t>
      </w:r>
    </w:p>
    <w:p w14:paraId="15C95549">
      <w:pPr>
        <w:pStyle w:val="5"/>
        <w:spacing w:before="0" w:after="0" w:line="240" w:lineRule="auto"/>
        <w:jc w:val="center"/>
        <w:rPr>
          <w:rFonts w:hint="eastAsia" w:ascii="宋体" w:hAnsi="宋体"/>
          <w:b w:val="0"/>
          <w:color w:val="000000" w:themeColor="text1"/>
          <w14:textFill>
            <w14:solidFill>
              <w14:schemeClr w14:val="tx1"/>
            </w14:solidFill>
          </w14:textFill>
        </w:rPr>
      </w:pPr>
      <w:bookmarkStart w:id="2097" w:name="_Toc509218854"/>
      <w:bookmarkStart w:id="2098" w:name="_Toc277082643"/>
      <w:bookmarkStart w:id="2099" w:name="_Toc224103495"/>
      <w:bookmarkStart w:id="2100" w:name="_Toc287607867"/>
      <w:bookmarkStart w:id="2101" w:name="_Toc430530530"/>
      <w:bookmarkStart w:id="2102" w:name="_Toc534185831"/>
      <w:bookmarkStart w:id="2103" w:name="_Toc287620814"/>
      <w:r>
        <w:rPr>
          <w:rFonts w:ascii="宋体" w:hAnsi="宋体"/>
          <w:color w:val="000000" w:themeColor="text1"/>
          <w14:textFill>
            <w14:solidFill>
              <w14:schemeClr w14:val="tx1"/>
            </w14:solidFill>
          </w14:textFill>
        </w:rPr>
        <w:br w:type="page"/>
      </w:r>
      <w:bookmarkStart w:id="2104" w:name="_Toc21453"/>
      <w:bookmarkStart w:id="2105" w:name="_Toc226115606"/>
      <w:r>
        <w:rPr>
          <w:rFonts w:hint="eastAsia" w:ascii="宋体" w:hAnsi="宋体"/>
          <w:b w:val="0"/>
          <w:bCs w:val="0"/>
          <w:color w:val="000000" w:themeColor="text1"/>
          <w14:textFill>
            <w14:solidFill>
              <w14:schemeClr w14:val="tx1"/>
            </w14:solidFill>
          </w14:textFill>
        </w:rPr>
        <w:t>（一）投标函</w:t>
      </w:r>
      <w:bookmarkEnd w:id="2097"/>
      <w:bookmarkEnd w:id="2098"/>
      <w:bookmarkEnd w:id="2099"/>
      <w:bookmarkEnd w:id="2100"/>
      <w:bookmarkEnd w:id="2101"/>
      <w:bookmarkEnd w:id="2102"/>
      <w:bookmarkEnd w:id="2103"/>
      <w:bookmarkEnd w:id="2104"/>
      <w:bookmarkEnd w:id="2105"/>
    </w:p>
    <w:p w14:paraId="43A5A54E">
      <w:pPr>
        <w:tabs>
          <w:tab w:val="left" w:pos="2640"/>
        </w:tabs>
        <w:autoSpaceDE w:val="0"/>
        <w:autoSpaceDN w:val="0"/>
        <w:adjustRightInd w:val="0"/>
        <w:spacing w:line="400" w:lineRule="exact"/>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u w:val="single"/>
          <w14:textFill>
            <w14:solidFill>
              <w14:schemeClr w14:val="tx1"/>
            </w14:solidFill>
          </w14:textFill>
        </w:rPr>
        <w:tab/>
      </w:r>
      <w:r>
        <w:rPr>
          <w:rFonts w:ascii="宋体" w:hAnsi="宋体"/>
          <w:snapToGrid w:val="0"/>
          <w:color w:val="000000" w:themeColor="text1"/>
          <w:kern w:val="0"/>
          <w:szCs w:val="21"/>
          <w:u w:val="single"/>
          <w14:textFill>
            <w14:solidFill>
              <w14:schemeClr w14:val="tx1"/>
            </w14:solidFill>
          </w14:textFill>
        </w:rPr>
        <w:t>（招标人名称）</w:t>
      </w:r>
      <w:r>
        <w:rPr>
          <w:rFonts w:ascii="宋体" w:hAnsi="宋体"/>
          <w:snapToGrid w:val="0"/>
          <w:color w:val="000000" w:themeColor="text1"/>
          <w:kern w:val="0"/>
          <w:szCs w:val="21"/>
          <w14:textFill>
            <w14:solidFill>
              <w14:schemeClr w14:val="tx1"/>
            </w14:solidFill>
          </w14:textFill>
        </w:rPr>
        <w:t>：</w:t>
      </w:r>
    </w:p>
    <w:p w14:paraId="28C60D6F">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w:t>
      </w:r>
      <w:r>
        <w:rPr>
          <w:rFonts w:hint="eastAsia" w:ascii="宋体" w:hAnsi="宋体"/>
          <w:snapToGrid w:val="0"/>
          <w:color w:val="000000" w:themeColor="text1"/>
          <w:kern w:val="0"/>
          <w:szCs w:val="21"/>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我方已仔细研究了</w:t>
      </w:r>
      <w:r>
        <w:rPr>
          <w:rFonts w:ascii="宋体" w:hAnsi="宋体"/>
          <w:snapToGrid w:val="0"/>
          <w:color w:val="000000" w:themeColor="text1"/>
          <w:kern w:val="0"/>
          <w:szCs w:val="21"/>
          <w:u w:val="single"/>
          <w14:textFill>
            <w14:solidFill>
              <w14:schemeClr w14:val="tx1"/>
            </w14:solidFill>
          </w14:textFill>
        </w:rPr>
        <w:tab/>
      </w:r>
      <w:r>
        <w:rPr>
          <w:rFonts w:ascii="宋体" w:hAnsi="宋体"/>
          <w:snapToGrid w:val="0"/>
          <w:color w:val="000000" w:themeColor="text1"/>
          <w:kern w:val="0"/>
          <w:szCs w:val="21"/>
          <w:u w:val="single"/>
          <w14:textFill>
            <w14:solidFill>
              <w14:schemeClr w14:val="tx1"/>
            </w14:solidFill>
          </w14:textFill>
        </w:rPr>
        <w:tab/>
      </w:r>
      <w:r>
        <w:rPr>
          <w:rFonts w:ascii="宋体" w:hAnsi="宋体"/>
          <w:snapToGrid w:val="0"/>
          <w:color w:val="000000" w:themeColor="text1"/>
          <w:kern w:val="0"/>
          <w:szCs w:val="21"/>
          <w:u w:val="single"/>
          <w14:textFill>
            <w14:solidFill>
              <w14:schemeClr w14:val="tx1"/>
            </w14:solidFill>
          </w14:textFill>
        </w:rPr>
        <w:t>（项目名称）</w:t>
      </w:r>
      <w:r>
        <w:rPr>
          <w:rFonts w:ascii="宋体" w:hAnsi="宋体"/>
          <w:snapToGrid w:val="0"/>
          <w:color w:val="000000" w:themeColor="text1"/>
          <w:kern w:val="0"/>
          <w:szCs w:val="21"/>
          <w14:textFill>
            <w14:solidFill>
              <w14:schemeClr w14:val="tx1"/>
            </w14:solidFill>
          </w14:textFill>
        </w:rPr>
        <w:t>竞争性比选文件的全部内容，愿意以人民币（大写）</w:t>
      </w:r>
      <w:r>
        <w:rPr>
          <w:rFonts w:ascii="宋体" w:hAnsi="宋体"/>
          <w:snapToGrid w:val="0"/>
          <w:color w:val="000000" w:themeColor="text1"/>
          <w:kern w:val="0"/>
          <w:szCs w:val="21"/>
          <w:u w:val="single"/>
          <w14:textFill>
            <w14:solidFill>
              <w14:schemeClr w14:val="tx1"/>
            </w14:solidFill>
          </w14:textFill>
        </w:rPr>
        <w:tab/>
      </w:r>
      <w:r>
        <w:rPr>
          <w:rFonts w:ascii="宋体" w:hAnsi="宋体"/>
          <w:snapToGrid w:val="0"/>
          <w:color w:val="000000" w:themeColor="text1"/>
          <w:kern w:val="0"/>
          <w:szCs w:val="21"/>
          <w14:textFill>
            <w14:solidFill>
              <w14:schemeClr w14:val="tx1"/>
            </w14:solidFill>
          </w14:textFill>
        </w:rPr>
        <w:t>（¥</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）的投标总报价进行报价，其中</w:t>
      </w:r>
      <w:r>
        <w:rPr>
          <w:rFonts w:ascii="宋体" w:hAnsi="宋体"/>
          <w:snapToGrid w:val="0"/>
          <w:color w:val="000000" w:themeColor="text1"/>
          <w:kern w:val="0"/>
          <w14:textFill>
            <w14:solidFill>
              <w14:schemeClr w14:val="tx1"/>
            </w14:solidFill>
          </w14:textFill>
        </w:rPr>
        <w:t>安全文明施工费暂定金额为人民币</w:t>
      </w:r>
      <w:r>
        <w:rPr>
          <w:rFonts w:ascii="宋体" w:hAnsi="宋体"/>
          <w:snapToGrid w:val="0"/>
          <w:color w:val="000000" w:themeColor="text1"/>
          <w:kern w:val="0"/>
          <w:szCs w:val="21"/>
          <w14:textFill>
            <w14:solidFill>
              <w14:schemeClr w14:val="tx1"/>
            </w14:solidFill>
          </w14:textFill>
        </w:rPr>
        <w:t>（大写）</w:t>
      </w:r>
      <w:r>
        <w:rPr>
          <w:rFonts w:ascii="宋体" w:hAnsi="宋体"/>
          <w:snapToGrid w:val="0"/>
          <w:color w:val="000000" w:themeColor="text1"/>
          <w:kern w:val="0"/>
          <w:szCs w:val="21"/>
          <w:u w:val="single"/>
          <w14:textFill>
            <w14:solidFill>
              <w14:schemeClr w14:val="tx1"/>
            </w14:solidFill>
          </w14:textFill>
        </w:rPr>
        <w:tab/>
      </w:r>
      <w:r>
        <w:rPr>
          <w:rFonts w:ascii="宋体" w:hAnsi="宋体"/>
          <w:snapToGrid w:val="0"/>
          <w:color w:val="000000" w:themeColor="text1"/>
          <w:kern w:val="0"/>
          <w:szCs w:val="21"/>
          <w14:textFill>
            <w14:solidFill>
              <w14:schemeClr w14:val="tx1"/>
            </w14:solidFill>
          </w14:textFill>
        </w:rPr>
        <w:t>（¥</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），该工程</w:t>
      </w:r>
      <w:r>
        <w:rPr>
          <w:rFonts w:ascii="宋体" w:hAnsi="宋体"/>
          <w:snapToGrid w:val="0"/>
          <w:color w:val="000000" w:themeColor="text1"/>
          <w:kern w:val="0"/>
          <w14:textFill>
            <w14:solidFill>
              <w14:schemeClr w14:val="tx1"/>
            </w14:solidFill>
          </w14:textFill>
        </w:rPr>
        <w:t>项目经理为</w:t>
      </w:r>
      <w:r>
        <w:rPr>
          <w:rFonts w:hint="eastAsia" w:ascii="宋体" w:hAnsi="宋体"/>
          <w:snapToGrid w:val="0"/>
          <w:color w:val="000000" w:themeColor="text1"/>
          <w:kern w:val="0"/>
          <w:u w:val="single"/>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。工期</w:t>
      </w:r>
      <w:r>
        <w:rPr>
          <w:rFonts w:hint="eastAsia" w:ascii="宋体" w:hAnsi="宋体"/>
          <w:snapToGrid w:val="0"/>
          <w:color w:val="000000" w:themeColor="text1"/>
          <w:kern w:val="0"/>
          <w:szCs w:val="21"/>
          <w:u w:val="single"/>
          <w14:textFill>
            <w14:solidFill>
              <w14:schemeClr w14:val="tx1"/>
            </w14:solidFill>
          </w14:textFill>
        </w:rPr>
        <w:t>达到竞争性比选文件的要求</w:t>
      </w:r>
      <w:r>
        <w:rPr>
          <w:rFonts w:ascii="宋体" w:hAnsi="宋体"/>
          <w:snapToGrid w:val="0"/>
          <w:color w:val="000000" w:themeColor="text1"/>
          <w:kern w:val="0"/>
          <w:szCs w:val="21"/>
          <w14:textFill>
            <w14:solidFill>
              <w14:schemeClr w14:val="tx1"/>
            </w14:solidFill>
          </w14:textFill>
        </w:rPr>
        <w:t>，</w:t>
      </w:r>
      <w:r>
        <w:rPr>
          <w:rFonts w:hint="eastAsia" w:ascii="宋体" w:hAnsi="宋体"/>
          <w:snapToGrid w:val="0"/>
          <w:color w:val="000000" w:themeColor="text1"/>
          <w:kern w:val="0"/>
          <w:szCs w:val="21"/>
          <w14:textFill>
            <w14:solidFill>
              <w14:schemeClr w14:val="tx1"/>
            </w14:solidFill>
          </w14:textFill>
        </w:rPr>
        <w:t>缺陷责任期</w:t>
      </w:r>
      <w:r>
        <w:rPr>
          <w:rFonts w:hint="eastAsia"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14:textFill>
            <w14:solidFill>
              <w14:schemeClr w14:val="tx1"/>
            </w14:solidFill>
          </w14:textFill>
        </w:rPr>
        <w:t>，</w:t>
      </w:r>
      <w:r>
        <w:rPr>
          <w:rFonts w:ascii="宋体" w:hAnsi="宋体"/>
          <w:snapToGrid w:val="0"/>
          <w:color w:val="000000" w:themeColor="text1"/>
          <w:kern w:val="0"/>
          <w:szCs w:val="21"/>
          <w14:textFill>
            <w14:solidFill>
              <w14:schemeClr w14:val="tx1"/>
            </w14:solidFill>
          </w14:textFill>
        </w:rPr>
        <w:t xml:space="preserve"> 按合同约定实施和完成承包工程，修补工程中的任何缺陷，工程质量</w:t>
      </w:r>
      <w:r>
        <w:rPr>
          <w:rFonts w:hint="eastAsia" w:ascii="宋体" w:hAnsi="宋体"/>
          <w:snapToGrid w:val="0"/>
          <w:color w:val="000000" w:themeColor="text1"/>
          <w:kern w:val="0"/>
          <w:szCs w:val="21"/>
          <w:u w:val="single"/>
          <w14:textFill>
            <w14:solidFill>
              <w14:schemeClr w14:val="tx1"/>
            </w14:solidFill>
          </w14:textFill>
        </w:rPr>
        <w:t>达到竞争性比选文件的要求</w:t>
      </w:r>
      <w:r>
        <w:rPr>
          <w:rFonts w:ascii="宋体" w:hAnsi="宋体"/>
          <w:snapToGrid w:val="0"/>
          <w:color w:val="000000" w:themeColor="text1"/>
          <w:kern w:val="0"/>
          <w:szCs w:val="21"/>
          <w14:textFill>
            <w14:solidFill>
              <w14:schemeClr w14:val="tx1"/>
            </w14:solidFill>
          </w14:textFill>
        </w:rPr>
        <w:t>。</w:t>
      </w:r>
    </w:p>
    <w:p w14:paraId="4CB98314">
      <w:pPr>
        <w:autoSpaceDE w:val="0"/>
        <w:autoSpaceDN w:val="0"/>
        <w:adjustRightInd w:val="0"/>
        <w:spacing w:line="400" w:lineRule="exact"/>
        <w:ind w:firstLine="420" w:firstLineChars="200"/>
        <w:rPr>
          <w:rFonts w:hint="eastAsia" w:ascii="宋体" w:hAnsi="宋体"/>
          <w:snapToGrid w:val="0"/>
          <w:color w:val="000000" w:themeColor="text1"/>
          <w:kern w:val="0"/>
          <w:sz w:val="10"/>
          <w:szCs w:val="10"/>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2</w:t>
      </w:r>
      <w:r>
        <w:rPr>
          <w:rFonts w:hint="eastAsia" w:ascii="宋体" w:hAnsi="宋体"/>
          <w:snapToGrid w:val="0"/>
          <w:color w:val="000000" w:themeColor="text1"/>
          <w:kern w:val="0"/>
          <w:szCs w:val="21"/>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我方承诺</w:t>
      </w:r>
      <w:r>
        <w:rPr>
          <w:rFonts w:hint="eastAsia" w:ascii="宋体" w:hAnsi="宋体"/>
          <w:snapToGrid w:val="0"/>
          <w:color w:val="000000" w:themeColor="text1"/>
          <w:kern w:val="0"/>
          <w:szCs w:val="21"/>
          <w14:textFill>
            <w14:solidFill>
              <w14:schemeClr w14:val="tx1"/>
            </w14:solidFill>
          </w14:textFill>
        </w:rPr>
        <w:t>响应竞争性比选文件规定的投标有效期，</w:t>
      </w:r>
      <w:r>
        <w:rPr>
          <w:rFonts w:ascii="宋体" w:hAnsi="宋体"/>
          <w:snapToGrid w:val="0"/>
          <w:color w:val="000000" w:themeColor="text1"/>
          <w:kern w:val="0"/>
          <w:szCs w:val="21"/>
          <w14:textFill>
            <w14:solidFill>
              <w14:schemeClr w14:val="tx1"/>
            </w14:solidFill>
          </w14:textFill>
        </w:rPr>
        <w:t>在投标有效期内不修改、撤销投标文件。</w:t>
      </w:r>
    </w:p>
    <w:p w14:paraId="3DDD2947">
      <w:pPr>
        <w:tabs>
          <w:tab w:val="left" w:pos="2730"/>
          <w:tab w:val="left" w:pos="7980"/>
        </w:tabs>
        <w:autoSpaceDE w:val="0"/>
        <w:autoSpaceDN w:val="0"/>
        <w:adjustRightInd w:val="0"/>
        <w:spacing w:line="400" w:lineRule="exact"/>
        <w:ind w:firstLine="420" w:firstLineChars="200"/>
        <w:rPr>
          <w:rFonts w:hint="eastAsia" w:ascii="宋体" w:hAnsi="宋体"/>
          <w:snapToGrid w:val="0"/>
          <w:color w:val="000000" w:themeColor="text1"/>
          <w:kern w:val="0"/>
          <w:sz w:val="10"/>
          <w:szCs w:val="10"/>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w:t>
      </w:r>
      <w:r>
        <w:rPr>
          <w:rFonts w:hint="eastAsia" w:ascii="宋体" w:hAnsi="宋体"/>
          <w:snapToGrid w:val="0"/>
          <w:color w:val="000000" w:themeColor="text1"/>
          <w:kern w:val="0"/>
          <w:szCs w:val="21"/>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随同本投标函提交投标保证金一份，金额为人民币（大写）</w:t>
      </w:r>
      <w:r>
        <w:rPr>
          <w:rFonts w:ascii="宋体" w:hAnsi="宋体"/>
          <w:snapToGrid w:val="0"/>
          <w:color w:val="000000" w:themeColor="text1"/>
          <w:kern w:val="0"/>
          <w:szCs w:val="21"/>
          <w:u w:val="single"/>
          <w14:textFill>
            <w14:solidFill>
              <w14:schemeClr w14:val="tx1"/>
            </w14:solidFill>
          </w14:textFill>
        </w:rPr>
        <w:tab/>
      </w:r>
      <w:r>
        <w:rPr>
          <w:rFonts w:ascii="宋体" w:hAnsi="宋体"/>
          <w:snapToGrid w:val="0"/>
          <w:color w:val="000000" w:themeColor="text1"/>
          <w:kern w:val="0"/>
          <w:szCs w:val="21"/>
          <w14:textFill>
            <w14:solidFill>
              <w14:schemeClr w14:val="tx1"/>
            </w14:solidFill>
          </w14:textFill>
        </w:rPr>
        <w:t>（¥</w:t>
      </w:r>
      <w:r>
        <w:rPr>
          <w:rFonts w:ascii="宋体" w:hAnsi="宋体"/>
          <w:snapToGrid w:val="0"/>
          <w:color w:val="000000" w:themeColor="text1"/>
          <w:kern w:val="0"/>
          <w:szCs w:val="21"/>
          <w:u w:val="single"/>
          <w14:textFill>
            <w14:solidFill>
              <w14:schemeClr w14:val="tx1"/>
            </w14:solidFill>
          </w14:textFill>
        </w:rPr>
        <w:tab/>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w:t>
      </w:r>
      <w:r>
        <w:rPr>
          <w:rFonts w:hint="eastAsia" w:ascii="宋体" w:hAnsi="宋体"/>
          <w:snapToGrid w:val="0"/>
          <w:color w:val="000000" w:themeColor="text1"/>
          <w:kern w:val="0"/>
          <w:szCs w:val="21"/>
          <w14:textFill>
            <w14:solidFill>
              <w14:schemeClr w14:val="tx1"/>
            </w14:solidFill>
          </w14:textFill>
        </w:rPr>
        <w:t>投标保证金有效期</w:t>
      </w:r>
      <w:r>
        <w:rPr>
          <w:rFonts w:ascii="宋体" w:hAnsi="宋体"/>
          <w:snapToGrid w:val="0"/>
          <w:color w:val="000000" w:themeColor="text1"/>
          <w:kern w:val="0"/>
          <w:szCs w:val="21"/>
          <w14:textFill>
            <w14:solidFill>
              <w14:schemeClr w14:val="tx1"/>
            </w14:solidFill>
          </w14:textFill>
        </w:rPr>
        <w:t>与</w:t>
      </w:r>
      <w:r>
        <w:rPr>
          <w:rFonts w:hint="eastAsia" w:ascii="宋体" w:hAnsi="宋体"/>
          <w:snapToGrid w:val="0"/>
          <w:color w:val="000000" w:themeColor="text1"/>
          <w:kern w:val="0"/>
          <w:szCs w:val="21"/>
          <w14:textFill>
            <w14:solidFill>
              <w14:schemeClr w14:val="tx1"/>
            </w14:solidFill>
          </w14:textFill>
        </w:rPr>
        <w:t>投标有效期</w:t>
      </w:r>
      <w:r>
        <w:rPr>
          <w:rFonts w:ascii="宋体" w:hAnsi="宋体"/>
          <w:snapToGrid w:val="0"/>
          <w:color w:val="000000" w:themeColor="text1"/>
          <w:kern w:val="0"/>
          <w:szCs w:val="21"/>
          <w14:textFill>
            <w14:solidFill>
              <w14:schemeClr w14:val="tx1"/>
            </w14:solidFill>
          </w14:textFill>
        </w:rPr>
        <w:t>一致，在此期间，若我方违反招投标有关法律、法规及本竞争性比选文件的相关规定，投标保证金的受益人为招标人。</w:t>
      </w:r>
    </w:p>
    <w:p w14:paraId="4EBAC3AE">
      <w:pPr>
        <w:autoSpaceDE w:val="0"/>
        <w:autoSpaceDN w:val="0"/>
        <w:adjustRightInd w:val="0"/>
        <w:spacing w:line="400" w:lineRule="exact"/>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4</w:t>
      </w:r>
      <w:r>
        <w:rPr>
          <w:rFonts w:hint="eastAsia" w:ascii="宋体" w:hAnsi="宋体"/>
          <w:snapToGrid w:val="0"/>
          <w:color w:val="000000" w:themeColor="text1"/>
          <w:kern w:val="0"/>
          <w:szCs w:val="21"/>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如我方中标：</w:t>
      </w:r>
    </w:p>
    <w:p w14:paraId="2CA53038">
      <w:pPr>
        <w:autoSpaceDE w:val="0"/>
        <w:autoSpaceDN w:val="0"/>
        <w:adjustRightInd w:val="0"/>
        <w:spacing w:line="400" w:lineRule="exact"/>
        <w:ind w:firstLine="420" w:firstLineChars="200"/>
        <w:rPr>
          <w:rFonts w:hint="eastAsia" w:ascii="宋体" w:hAnsi="宋体"/>
          <w:snapToGrid w:val="0"/>
          <w:color w:val="000000" w:themeColor="text1"/>
          <w:kern w:val="0"/>
          <w:sz w:val="10"/>
          <w:szCs w:val="10"/>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（1）我方承诺在收到中标通知书后，在中标通知书规定的期限内与你方签订合同。</w:t>
      </w:r>
    </w:p>
    <w:p w14:paraId="3D934880">
      <w:pPr>
        <w:autoSpaceDE w:val="0"/>
        <w:autoSpaceDN w:val="0"/>
        <w:adjustRightInd w:val="0"/>
        <w:spacing w:line="400" w:lineRule="exact"/>
        <w:ind w:firstLine="420" w:firstLineChars="200"/>
        <w:rPr>
          <w:rFonts w:hint="eastAsia" w:ascii="宋体" w:hAnsi="宋体"/>
          <w:snapToGrid w:val="0"/>
          <w:color w:val="000000" w:themeColor="text1"/>
          <w:kern w:val="0"/>
          <w:sz w:val="10"/>
          <w:szCs w:val="10"/>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（2）随同本投标函递交的投标函附录属于合同文件的组成部分。</w:t>
      </w:r>
    </w:p>
    <w:p w14:paraId="2874FA9E">
      <w:pPr>
        <w:autoSpaceDE w:val="0"/>
        <w:autoSpaceDN w:val="0"/>
        <w:adjustRightInd w:val="0"/>
        <w:spacing w:line="400" w:lineRule="exact"/>
        <w:ind w:firstLine="420" w:firstLineChars="200"/>
        <w:rPr>
          <w:rFonts w:hint="eastAsia" w:ascii="宋体" w:hAnsi="宋体"/>
          <w:snapToGrid w:val="0"/>
          <w:color w:val="000000" w:themeColor="text1"/>
          <w:kern w:val="0"/>
          <w:sz w:val="10"/>
          <w:szCs w:val="10"/>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（3）我方承诺按照竞争性比选文件规定向你方递交履约担保。</w:t>
      </w:r>
    </w:p>
    <w:p w14:paraId="2D821E97">
      <w:pPr>
        <w:autoSpaceDE w:val="0"/>
        <w:autoSpaceDN w:val="0"/>
        <w:adjustRightInd w:val="0"/>
        <w:spacing w:line="400" w:lineRule="exact"/>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（4）我方承诺在合同约定的期限内完成并移交全部合同工程。</w:t>
      </w:r>
    </w:p>
    <w:p w14:paraId="38BEFA83">
      <w:pPr>
        <w:autoSpaceDE w:val="0"/>
        <w:autoSpaceDN w:val="0"/>
        <w:adjustRightInd w:val="0"/>
        <w:spacing w:line="400" w:lineRule="exact"/>
        <w:ind w:firstLine="420" w:firstLineChars="200"/>
        <w:rPr>
          <w:rFonts w:hint="eastAsia" w:ascii="宋体" w:hAnsi="宋体"/>
          <w:snapToGrid w:val="0"/>
          <w:color w:val="000000" w:themeColor="text1"/>
          <w:kern w:val="0"/>
          <w:sz w:val="10"/>
          <w:szCs w:val="10"/>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（5）我方承诺以不低于竞争性比选文件第七章 技术标准和要求中所列的技术指标和参数要求完成全部合同工程。</w:t>
      </w:r>
    </w:p>
    <w:p w14:paraId="2F5CC53C">
      <w:pPr>
        <w:autoSpaceDE w:val="0"/>
        <w:autoSpaceDN w:val="0"/>
        <w:adjustRightInd w:val="0"/>
        <w:spacing w:line="400" w:lineRule="exact"/>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5</w:t>
      </w:r>
      <w:r>
        <w:rPr>
          <w:rFonts w:hint="eastAsia" w:ascii="宋体" w:hAnsi="宋体"/>
          <w:snapToGrid w:val="0"/>
          <w:color w:val="000000" w:themeColor="text1"/>
          <w:kern w:val="0"/>
          <w:szCs w:val="21"/>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我方</w:t>
      </w:r>
      <w:r>
        <w:rPr>
          <w:rFonts w:ascii="宋体" w:hAnsi="宋体"/>
          <w:snapToGrid w:val="0"/>
          <w:color w:val="000000" w:themeColor="text1"/>
          <w:spacing w:val="-2"/>
          <w:kern w:val="0"/>
          <w:szCs w:val="21"/>
          <w14:textFill>
            <w14:solidFill>
              <w14:schemeClr w14:val="tx1"/>
            </w14:solidFill>
          </w14:textFill>
        </w:rPr>
        <w:t>在此声明，所递交的投标文件及有关资料内容完整、真实和准确，</w:t>
      </w:r>
      <w:r>
        <w:rPr>
          <w:rFonts w:ascii="宋体" w:hAnsi="宋体"/>
          <w:snapToGrid w:val="0"/>
          <w:color w:val="000000" w:themeColor="text1"/>
          <w:kern w:val="0"/>
          <w:szCs w:val="21"/>
          <w14:textFill>
            <w14:solidFill>
              <w14:schemeClr w14:val="tx1"/>
            </w14:solidFill>
          </w14:textFill>
        </w:rPr>
        <w:t>同时我方承诺接受竞争性比选文件及附件、</w:t>
      </w:r>
      <w:r>
        <w:rPr>
          <w:rFonts w:hint="eastAsia" w:ascii="宋体" w:hAnsi="宋体"/>
          <w:snapToGrid w:val="0"/>
          <w:color w:val="000000" w:themeColor="text1"/>
          <w:kern w:val="0"/>
          <w:szCs w:val="21"/>
          <w14:textFill>
            <w14:solidFill>
              <w14:schemeClr w14:val="tx1"/>
            </w14:solidFill>
          </w14:textFill>
        </w:rPr>
        <w:t>澄清</w:t>
      </w:r>
      <w:r>
        <w:rPr>
          <w:rFonts w:ascii="宋体" w:hAnsi="宋体"/>
          <w:snapToGrid w:val="0"/>
          <w:color w:val="000000" w:themeColor="text1"/>
          <w:kern w:val="0"/>
          <w:szCs w:val="21"/>
          <w14:textFill>
            <w14:solidFill>
              <w14:schemeClr w14:val="tx1"/>
            </w14:solidFill>
          </w14:textFill>
        </w:rPr>
        <w:t>及</w:t>
      </w:r>
      <w:r>
        <w:rPr>
          <w:rFonts w:hint="eastAsia" w:ascii="宋体" w:hAnsi="宋体"/>
          <w:snapToGrid w:val="0"/>
          <w:color w:val="000000" w:themeColor="text1"/>
          <w:kern w:val="0"/>
          <w:szCs w:val="21"/>
          <w14:textFill>
            <w14:solidFill>
              <w14:schemeClr w14:val="tx1"/>
            </w14:solidFill>
          </w14:textFill>
        </w:rPr>
        <w:t>修改</w:t>
      </w:r>
      <w:r>
        <w:rPr>
          <w:rFonts w:ascii="宋体" w:hAnsi="宋体"/>
          <w:snapToGrid w:val="0"/>
          <w:color w:val="000000" w:themeColor="text1"/>
          <w:kern w:val="0"/>
          <w:szCs w:val="21"/>
          <w14:textFill>
            <w14:solidFill>
              <w14:schemeClr w14:val="tx1"/>
            </w14:solidFill>
          </w14:textFill>
        </w:rPr>
        <w:t>通知中所有的内容。</w:t>
      </w:r>
    </w:p>
    <w:p w14:paraId="769125D5">
      <w:pPr>
        <w:tabs>
          <w:tab w:val="left" w:pos="5985"/>
        </w:tabs>
        <w:autoSpaceDE w:val="0"/>
        <w:autoSpaceDN w:val="0"/>
        <w:adjustRightInd w:val="0"/>
        <w:spacing w:line="400" w:lineRule="exact"/>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6</w:t>
      </w:r>
      <w:r>
        <w:rPr>
          <w:rFonts w:hint="eastAsia" w:ascii="宋体" w:hAnsi="宋体"/>
          <w:snapToGrid w:val="0"/>
          <w:color w:val="000000" w:themeColor="text1"/>
          <w:kern w:val="0"/>
          <w:szCs w:val="21"/>
          <w14:textFill>
            <w14:solidFill>
              <w14:schemeClr w14:val="tx1"/>
            </w14:solidFill>
          </w14:textFill>
        </w:rPr>
        <w:t xml:space="preserve">. </w:t>
      </w:r>
      <w:r>
        <w:rPr>
          <w:rFonts w:ascii="宋体" w:hAnsi="宋体"/>
          <w:snapToGrid w:val="0"/>
          <w:color w:val="000000" w:themeColor="text1"/>
          <w:w w:val="200"/>
          <w:kern w:val="0"/>
          <w:szCs w:val="21"/>
          <w:u w:val="single"/>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ab/>
      </w:r>
      <w:r>
        <w:rPr>
          <w:rFonts w:ascii="宋体" w:hAnsi="宋体"/>
          <w:snapToGrid w:val="0"/>
          <w:color w:val="000000" w:themeColor="text1"/>
          <w:kern w:val="0"/>
          <w:szCs w:val="21"/>
          <w:u w:val="single"/>
          <w14:textFill>
            <w14:solidFill>
              <w14:schemeClr w14:val="tx1"/>
            </w14:solidFill>
          </w14:textFill>
        </w:rPr>
        <w:t>（其他补充说明）</w:t>
      </w:r>
      <w:r>
        <w:rPr>
          <w:rFonts w:ascii="宋体" w:hAnsi="宋体"/>
          <w:snapToGrid w:val="0"/>
          <w:color w:val="000000" w:themeColor="text1"/>
          <w:kern w:val="0"/>
          <w:szCs w:val="21"/>
          <w14:textFill>
            <w14:solidFill>
              <w14:schemeClr w14:val="tx1"/>
            </w14:solidFill>
          </w14:textFill>
        </w:rPr>
        <w:t>。</w:t>
      </w:r>
    </w:p>
    <w:p w14:paraId="264F6C77">
      <w:pPr>
        <w:tabs>
          <w:tab w:val="left" w:pos="7140"/>
          <w:tab w:val="left" w:pos="7560"/>
          <w:tab w:val="left" w:pos="8300"/>
        </w:tabs>
        <w:autoSpaceDE w:val="0"/>
        <w:autoSpaceDN w:val="0"/>
        <w:adjustRightInd w:val="0"/>
        <w:spacing w:line="400" w:lineRule="exact"/>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投  标  人：</w:t>
      </w:r>
      <w:r>
        <w:rPr>
          <w:rFonts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 xml:space="preserve">（盖单位法人章） </w:t>
      </w:r>
    </w:p>
    <w:p w14:paraId="452205F4">
      <w:pPr>
        <w:tabs>
          <w:tab w:val="left" w:pos="7140"/>
          <w:tab w:val="left" w:pos="7560"/>
          <w:tab w:val="left" w:pos="8300"/>
        </w:tabs>
        <w:autoSpaceDE w:val="0"/>
        <w:autoSpaceDN w:val="0"/>
        <w:adjustRightInd w:val="0"/>
        <w:spacing w:line="400" w:lineRule="exact"/>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法定代表人</w:t>
      </w:r>
      <w:r>
        <w:rPr>
          <w:rFonts w:hint="eastAsia" w:ascii="宋体" w:hAnsi="宋体"/>
          <w:snapToGrid w:val="0"/>
          <w:color w:val="000000" w:themeColor="text1"/>
          <w:kern w:val="0"/>
          <w:szCs w:val="21"/>
          <w14:textFill>
            <w14:solidFill>
              <w14:schemeClr w14:val="tx1"/>
            </w14:solidFill>
          </w14:textFill>
        </w:rPr>
        <w:t>或其委托代理人</w:t>
      </w:r>
      <w:r>
        <w:rPr>
          <w:rFonts w:ascii="宋体" w:hAnsi="宋体"/>
          <w:snapToGrid w:val="0"/>
          <w:color w:val="000000" w:themeColor="text1"/>
          <w:kern w:val="0"/>
          <w:szCs w:val="21"/>
          <w14:textFill>
            <w14:solidFill>
              <w14:schemeClr w14:val="tx1"/>
            </w14:solidFill>
          </w14:textFill>
        </w:rPr>
        <w:t>：</w:t>
      </w:r>
      <w:r>
        <w:rPr>
          <w:rFonts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w:t>
      </w:r>
      <w:r>
        <w:rPr>
          <w:rFonts w:hint="eastAsia" w:ascii="宋体" w:hAnsi="宋体"/>
          <w:snapToGrid w:val="0"/>
          <w:color w:val="000000" w:themeColor="text1"/>
          <w:kern w:val="0"/>
          <w:szCs w:val="21"/>
          <w14:textFill>
            <w14:solidFill>
              <w14:schemeClr w14:val="tx1"/>
            </w14:solidFill>
          </w14:textFill>
        </w:rPr>
        <w:t>签名</w:t>
      </w:r>
      <w:r>
        <w:rPr>
          <w:rFonts w:ascii="宋体" w:hAnsi="宋体"/>
          <w:snapToGrid w:val="0"/>
          <w:color w:val="000000" w:themeColor="text1"/>
          <w:kern w:val="0"/>
          <w:szCs w:val="21"/>
          <w14:textFill>
            <w14:solidFill>
              <w14:schemeClr w14:val="tx1"/>
            </w14:solidFill>
          </w14:textFill>
        </w:rPr>
        <w:t>或盖章）</w:t>
      </w:r>
    </w:p>
    <w:p w14:paraId="7224FA2A">
      <w:pPr>
        <w:tabs>
          <w:tab w:val="left" w:pos="7035"/>
          <w:tab w:val="left" w:pos="7560"/>
          <w:tab w:val="left" w:pos="8300"/>
        </w:tabs>
        <w:autoSpaceDE w:val="0"/>
        <w:autoSpaceDN w:val="0"/>
        <w:adjustRightInd w:val="0"/>
        <w:spacing w:line="400" w:lineRule="exact"/>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地</w:t>
      </w:r>
      <w:r>
        <w:rPr>
          <w:rFonts w:hint="eastAsia" w:ascii="宋体" w:hAnsi="宋体"/>
          <w:snapToGrid w:val="0"/>
          <w:color w:val="000000" w:themeColor="text1"/>
          <w:kern w:val="0"/>
          <w:szCs w:val="21"/>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址：</w:t>
      </w:r>
      <w:r>
        <w:rPr>
          <w:rFonts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p>
    <w:p w14:paraId="56D0E8D3">
      <w:pPr>
        <w:tabs>
          <w:tab w:val="left" w:pos="8300"/>
        </w:tabs>
        <w:autoSpaceDE w:val="0"/>
        <w:autoSpaceDN w:val="0"/>
        <w:adjustRightInd w:val="0"/>
        <w:spacing w:line="400" w:lineRule="exact"/>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网</w:t>
      </w:r>
      <w:r>
        <w:rPr>
          <w:rFonts w:hint="eastAsia" w:ascii="宋体" w:hAnsi="宋体"/>
          <w:snapToGrid w:val="0"/>
          <w:color w:val="000000" w:themeColor="text1"/>
          <w:kern w:val="0"/>
          <w:szCs w:val="21"/>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址：</w:t>
      </w:r>
      <w:r>
        <w:rPr>
          <w:rFonts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p>
    <w:p w14:paraId="43AC8C23">
      <w:pPr>
        <w:tabs>
          <w:tab w:val="left" w:pos="8300"/>
        </w:tabs>
        <w:autoSpaceDE w:val="0"/>
        <w:autoSpaceDN w:val="0"/>
        <w:adjustRightInd w:val="0"/>
        <w:spacing w:line="400" w:lineRule="exact"/>
        <w:ind w:firstLine="420" w:firstLineChars="200"/>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单位电话（座机）：</w:t>
      </w:r>
      <w:r>
        <w:rPr>
          <w:rFonts w:hint="eastAsia"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14:textFill>
            <w14:solidFill>
              <w14:schemeClr w14:val="tx1"/>
            </w14:solidFill>
          </w14:textFill>
        </w:rPr>
        <w:t>委托代理人电话（手机）：</w:t>
      </w:r>
      <w:r>
        <w:rPr>
          <w:rFonts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u w:val="single"/>
          <w14:textFill>
            <w14:solidFill>
              <w14:schemeClr w14:val="tx1"/>
            </w14:solidFill>
          </w14:textFill>
        </w:rPr>
        <w:t xml:space="preserve">                 </w:t>
      </w:r>
    </w:p>
    <w:p w14:paraId="3370069D">
      <w:pPr>
        <w:tabs>
          <w:tab w:val="left" w:pos="8300"/>
        </w:tabs>
        <w:autoSpaceDE w:val="0"/>
        <w:autoSpaceDN w:val="0"/>
        <w:adjustRightInd w:val="0"/>
        <w:spacing w:line="400" w:lineRule="exact"/>
        <w:ind w:firstLine="420" w:firstLineChars="20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传</w:t>
      </w:r>
      <w:r>
        <w:rPr>
          <w:rFonts w:hint="eastAsia" w:ascii="宋体" w:hAnsi="宋体"/>
          <w:snapToGrid w:val="0"/>
          <w:color w:val="000000" w:themeColor="text1"/>
          <w:kern w:val="0"/>
          <w:szCs w:val="21"/>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真：</w:t>
      </w:r>
      <w:r>
        <w:rPr>
          <w:rFonts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p>
    <w:p w14:paraId="4A474B4F">
      <w:pPr>
        <w:tabs>
          <w:tab w:val="left" w:pos="8300"/>
        </w:tabs>
        <w:autoSpaceDE w:val="0"/>
        <w:autoSpaceDN w:val="0"/>
        <w:adjustRightInd w:val="0"/>
        <w:spacing w:line="400" w:lineRule="exact"/>
        <w:ind w:firstLine="420" w:firstLineChars="200"/>
        <w:rPr>
          <w:rFonts w:hint="eastAsia" w:ascii="宋体" w:hAnsi="宋体"/>
          <w:snapToGrid w:val="0"/>
          <w:color w:val="000000" w:themeColor="text1"/>
          <w:kern w:val="0"/>
          <w:szCs w:val="21"/>
          <w:u w:val="single"/>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邮政编码：</w:t>
      </w:r>
      <w:r>
        <w:rPr>
          <w:rFonts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p>
    <w:p w14:paraId="0DE79512">
      <w:pPr>
        <w:tabs>
          <w:tab w:val="left" w:pos="8300"/>
        </w:tabs>
        <w:autoSpaceDE w:val="0"/>
        <w:autoSpaceDN w:val="0"/>
        <w:adjustRightInd w:val="0"/>
        <w:spacing w:line="400" w:lineRule="exact"/>
        <w:ind w:firstLine="400" w:firstLineChars="200"/>
        <w:rPr>
          <w:rFonts w:hint="eastAsia" w:ascii="宋体" w:hAnsi="宋体"/>
          <w:snapToGrid w:val="0"/>
          <w:color w:val="000000" w:themeColor="text1"/>
          <w:kern w:val="0"/>
          <w:sz w:val="20"/>
          <w:szCs w:val="20"/>
          <w14:textFill>
            <w14:solidFill>
              <w14:schemeClr w14:val="tx1"/>
            </w14:solidFill>
          </w14:textFill>
        </w:rPr>
      </w:pPr>
    </w:p>
    <w:p w14:paraId="6CCD956F">
      <w:pPr>
        <w:tabs>
          <w:tab w:val="left" w:pos="8300"/>
        </w:tabs>
        <w:autoSpaceDE w:val="0"/>
        <w:autoSpaceDN w:val="0"/>
        <w:adjustRightInd w:val="0"/>
        <w:spacing w:line="400" w:lineRule="exact"/>
        <w:ind w:firstLine="420" w:firstLineChars="200"/>
        <w:jc w:val="righ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年</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月</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日</w:t>
      </w:r>
    </w:p>
    <w:p w14:paraId="307C7F36">
      <w:pPr>
        <w:tabs>
          <w:tab w:val="left" w:pos="8300"/>
        </w:tabs>
        <w:autoSpaceDE w:val="0"/>
        <w:autoSpaceDN w:val="0"/>
        <w:adjustRightInd w:val="0"/>
        <w:spacing w:line="400" w:lineRule="exact"/>
        <w:ind w:firstLine="420" w:firstLineChars="200"/>
        <w:jc w:val="right"/>
        <w:rPr>
          <w:rFonts w:hint="eastAsia" w:ascii="宋体" w:hAnsi="宋体"/>
          <w:color w:val="000000" w:themeColor="text1"/>
          <w:kern w:val="0"/>
          <w:szCs w:val="21"/>
          <w14:textFill>
            <w14:solidFill>
              <w14:schemeClr w14:val="tx1"/>
            </w14:solidFill>
          </w14:textFill>
        </w:rPr>
      </w:pPr>
    </w:p>
    <w:p w14:paraId="70C6D82A">
      <w:pPr>
        <w:pStyle w:val="5"/>
        <w:spacing w:before="0" w:after="0" w:line="240" w:lineRule="auto"/>
        <w:jc w:val="center"/>
        <w:rPr>
          <w:rFonts w:hint="eastAsia" w:ascii="宋体" w:hAnsi="宋体"/>
          <w:snapToGrid w:val="0"/>
          <w:color w:val="000000" w:themeColor="text1"/>
          <w:kern w:val="0"/>
          <w:szCs w:val="21"/>
          <w14:textFill>
            <w14:solidFill>
              <w14:schemeClr w14:val="tx1"/>
            </w14:solidFill>
          </w14:textFill>
        </w:rPr>
      </w:pPr>
      <w:bookmarkStart w:id="2106" w:name="_Toc430530531"/>
      <w:bookmarkStart w:id="2107" w:name="_Toc224103496"/>
      <w:bookmarkStart w:id="2108" w:name="_Toc287620815"/>
      <w:bookmarkStart w:id="2109" w:name="_Toc287607868"/>
      <w:bookmarkStart w:id="2110" w:name="_Toc277082644"/>
      <w:r>
        <w:rPr>
          <w:rFonts w:ascii="宋体" w:hAnsi="宋体"/>
          <w:color w:val="000000" w:themeColor="text1"/>
          <w:sz w:val="28"/>
          <w14:textFill>
            <w14:solidFill>
              <w14:schemeClr w14:val="tx1"/>
            </w14:solidFill>
          </w14:textFill>
        </w:rPr>
        <w:br w:type="page"/>
      </w:r>
      <w:bookmarkStart w:id="2111" w:name="_Toc6673"/>
      <w:bookmarkStart w:id="2112" w:name="_Toc226115607"/>
      <w:bookmarkStart w:id="2113" w:name="_Toc509218855"/>
      <w:bookmarkStart w:id="2114" w:name="_Toc534185832"/>
      <w:r>
        <w:rPr>
          <w:rFonts w:ascii="宋体" w:hAnsi="宋体"/>
          <w:b w:val="0"/>
          <w:bCs w:val="0"/>
          <w:color w:val="000000" w:themeColor="text1"/>
          <w14:textFill>
            <w14:solidFill>
              <w14:schemeClr w14:val="tx1"/>
            </w14:solidFill>
          </w14:textFill>
        </w:rPr>
        <w:t>（二）投标函附录</w:t>
      </w:r>
      <w:bookmarkEnd w:id="2106"/>
      <w:bookmarkEnd w:id="2107"/>
      <w:bookmarkEnd w:id="2108"/>
      <w:bookmarkEnd w:id="2109"/>
      <w:bookmarkEnd w:id="2110"/>
      <w:bookmarkEnd w:id="2111"/>
      <w:bookmarkEnd w:id="2112"/>
      <w:bookmarkEnd w:id="2113"/>
      <w:bookmarkEnd w:id="2114"/>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08A0AB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10" w:hRule="exact"/>
        </w:trPr>
        <w:tc>
          <w:tcPr>
            <w:tcW w:w="720" w:type="dxa"/>
            <w:vAlign w:val="center"/>
          </w:tcPr>
          <w:p w14:paraId="26BC6505">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序号</w:t>
            </w:r>
          </w:p>
        </w:tc>
        <w:tc>
          <w:tcPr>
            <w:tcW w:w="2582" w:type="dxa"/>
            <w:vAlign w:val="center"/>
          </w:tcPr>
          <w:p w14:paraId="109B925C">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条款名称</w:t>
            </w:r>
          </w:p>
        </w:tc>
        <w:tc>
          <w:tcPr>
            <w:tcW w:w="2388" w:type="dxa"/>
            <w:vAlign w:val="center"/>
          </w:tcPr>
          <w:p w14:paraId="30FF183D">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合同条款号</w:t>
            </w:r>
          </w:p>
        </w:tc>
        <w:tc>
          <w:tcPr>
            <w:tcW w:w="2987" w:type="dxa"/>
            <w:vAlign w:val="center"/>
          </w:tcPr>
          <w:p w14:paraId="000F7DE0">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约定内容</w:t>
            </w:r>
          </w:p>
        </w:tc>
        <w:tc>
          <w:tcPr>
            <w:tcW w:w="792" w:type="dxa"/>
            <w:vAlign w:val="center"/>
          </w:tcPr>
          <w:p w14:paraId="5523F448">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备注</w:t>
            </w:r>
          </w:p>
        </w:tc>
      </w:tr>
      <w:tr w14:paraId="338E89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150614B3">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1</w:t>
            </w:r>
          </w:p>
        </w:tc>
        <w:tc>
          <w:tcPr>
            <w:tcW w:w="2582" w:type="dxa"/>
            <w:vAlign w:val="center"/>
          </w:tcPr>
          <w:p w14:paraId="797D848D">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工期</w:t>
            </w:r>
          </w:p>
        </w:tc>
        <w:tc>
          <w:tcPr>
            <w:tcW w:w="2388" w:type="dxa"/>
            <w:vAlign w:val="center"/>
          </w:tcPr>
          <w:p w14:paraId="3EB526E4">
            <w:pPr>
              <w:tabs>
                <w:tab w:val="left" w:pos="2051"/>
              </w:tabs>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1.1.4.3</w:t>
            </w:r>
          </w:p>
        </w:tc>
        <w:tc>
          <w:tcPr>
            <w:tcW w:w="2987" w:type="dxa"/>
            <w:vAlign w:val="center"/>
          </w:tcPr>
          <w:p w14:paraId="1CF7411F">
            <w:pPr>
              <w:tabs>
                <w:tab w:val="left" w:pos="1560"/>
              </w:tabs>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p>
        </w:tc>
        <w:tc>
          <w:tcPr>
            <w:tcW w:w="792" w:type="dxa"/>
            <w:vAlign w:val="center"/>
          </w:tcPr>
          <w:p w14:paraId="53C718CB">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p>
        </w:tc>
      </w:tr>
      <w:tr w14:paraId="76B3C8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36B1C05">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2</w:t>
            </w:r>
          </w:p>
        </w:tc>
        <w:tc>
          <w:tcPr>
            <w:tcW w:w="2582" w:type="dxa"/>
            <w:vAlign w:val="center"/>
          </w:tcPr>
          <w:p w14:paraId="57B7481E">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分包</w:t>
            </w:r>
          </w:p>
        </w:tc>
        <w:tc>
          <w:tcPr>
            <w:tcW w:w="2388" w:type="dxa"/>
            <w:vAlign w:val="center"/>
          </w:tcPr>
          <w:p w14:paraId="7C3B0366">
            <w:pPr>
              <w:tabs>
                <w:tab w:val="left" w:pos="2051"/>
              </w:tabs>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3.5</w:t>
            </w:r>
          </w:p>
        </w:tc>
        <w:tc>
          <w:tcPr>
            <w:tcW w:w="2987" w:type="dxa"/>
            <w:vAlign w:val="center"/>
          </w:tcPr>
          <w:p w14:paraId="697DF611">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p>
        </w:tc>
        <w:tc>
          <w:tcPr>
            <w:tcW w:w="792" w:type="dxa"/>
            <w:vAlign w:val="center"/>
          </w:tcPr>
          <w:p w14:paraId="75A088B0">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p>
        </w:tc>
      </w:tr>
      <w:tr w14:paraId="44A9AE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1809AD0">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3</w:t>
            </w:r>
          </w:p>
        </w:tc>
        <w:tc>
          <w:tcPr>
            <w:tcW w:w="2582" w:type="dxa"/>
            <w:vAlign w:val="center"/>
          </w:tcPr>
          <w:p w14:paraId="70A30ADF">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工程质量</w:t>
            </w:r>
          </w:p>
        </w:tc>
        <w:tc>
          <w:tcPr>
            <w:tcW w:w="2388" w:type="dxa"/>
            <w:vAlign w:val="center"/>
          </w:tcPr>
          <w:p w14:paraId="415E72F0">
            <w:pPr>
              <w:tabs>
                <w:tab w:val="left" w:pos="2051"/>
              </w:tabs>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5.1</w:t>
            </w:r>
          </w:p>
        </w:tc>
        <w:tc>
          <w:tcPr>
            <w:tcW w:w="2987" w:type="dxa"/>
            <w:vAlign w:val="center"/>
          </w:tcPr>
          <w:p w14:paraId="5A1270BC">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p>
        </w:tc>
        <w:tc>
          <w:tcPr>
            <w:tcW w:w="792" w:type="dxa"/>
            <w:vAlign w:val="center"/>
          </w:tcPr>
          <w:p w14:paraId="3D75ED13">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p>
        </w:tc>
      </w:tr>
      <w:tr w14:paraId="385BE1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664CF08">
            <w:pPr>
              <w:tabs>
                <w:tab w:val="left" w:pos="2051"/>
              </w:tabs>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w:t>
            </w:r>
          </w:p>
        </w:tc>
        <w:tc>
          <w:tcPr>
            <w:tcW w:w="2582" w:type="dxa"/>
            <w:vAlign w:val="center"/>
          </w:tcPr>
          <w:p w14:paraId="7D66EAD8">
            <w:pPr>
              <w:tabs>
                <w:tab w:val="left" w:pos="2051"/>
              </w:tabs>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w:t>
            </w:r>
          </w:p>
        </w:tc>
        <w:tc>
          <w:tcPr>
            <w:tcW w:w="2388" w:type="dxa"/>
            <w:vAlign w:val="center"/>
          </w:tcPr>
          <w:p w14:paraId="58C65371">
            <w:pPr>
              <w:tabs>
                <w:tab w:val="left" w:pos="2051"/>
              </w:tabs>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w:t>
            </w:r>
          </w:p>
        </w:tc>
        <w:tc>
          <w:tcPr>
            <w:tcW w:w="2987" w:type="dxa"/>
            <w:vAlign w:val="center"/>
          </w:tcPr>
          <w:p w14:paraId="746A3ED0">
            <w:pPr>
              <w:tabs>
                <w:tab w:val="left" w:pos="2051"/>
              </w:tabs>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w:t>
            </w:r>
          </w:p>
        </w:tc>
        <w:tc>
          <w:tcPr>
            <w:tcW w:w="792" w:type="dxa"/>
            <w:vAlign w:val="center"/>
          </w:tcPr>
          <w:p w14:paraId="4374809D">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p>
        </w:tc>
      </w:tr>
      <w:tr w14:paraId="27FDAE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D0A4E10">
            <w:pPr>
              <w:tabs>
                <w:tab w:val="left" w:pos="2051"/>
              </w:tabs>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w:t>
            </w:r>
          </w:p>
        </w:tc>
        <w:tc>
          <w:tcPr>
            <w:tcW w:w="2582" w:type="dxa"/>
            <w:vAlign w:val="center"/>
          </w:tcPr>
          <w:p w14:paraId="09F393BA">
            <w:pPr>
              <w:tabs>
                <w:tab w:val="left" w:pos="2051"/>
              </w:tabs>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w:t>
            </w:r>
          </w:p>
        </w:tc>
        <w:tc>
          <w:tcPr>
            <w:tcW w:w="2388" w:type="dxa"/>
            <w:vAlign w:val="center"/>
          </w:tcPr>
          <w:p w14:paraId="2AE5F888">
            <w:pPr>
              <w:tabs>
                <w:tab w:val="left" w:pos="2051"/>
              </w:tabs>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w:t>
            </w:r>
          </w:p>
        </w:tc>
        <w:tc>
          <w:tcPr>
            <w:tcW w:w="2987" w:type="dxa"/>
            <w:vAlign w:val="center"/>
          </w:tcPr>
          <w:p w14:paraId="7DCDEC12">
            <w:pPr>
              <w:tabs>
                <w:tab w:val="left" w:pos="2051"/>
              </w:tabs>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w:t>
            </w:r>
          </w:p>
        </w:tc>
        <w:tc>
          <w:tcPr>
            <w:tcW w:w="792" w:type="dxa"/>
            <w:vAlign w:val="center"/>
          </w:tcPr>
          <w:p w14:paraId="79799867">
            <w:pPr>
              <w:autoSpaceDE w:val="0"/>
              <w:autoSpaceDN w:val="0"/>
              <w:adjustRightInd w:val="0"/>
              <w:jc w:val="center"/>
              <w:rPr>
                <w:rFonts w:hint="eastAsia" w:ascii="宋体" w:hAnsi="宋体"/>
                <w:snapToGrid w:val="0"/>
                <w:color w:val="000000" w:themeColor="text1"/>
                <w:kern w:val="0"/>
                <w:szCs w:val="21"/>
                <w14:textFill>
                  <w14:solidFill>
                    <w14:schemeClr w14:val="tx1"/>
                  </w14:solidFill>
                </w14:textFill>
              </w:rPr>
            </w:pPr>
          </w:p>
        </w:tc>
      </w:tr>
    </w:tbl>
    <w:p w14:paraId="4D72CB96">
      <w:pPr>
        <w:spacing w:line="360" w:lineRule="auto"/>
        <w:rPr>
          <w:rFonts w:hint="eastAsia" w:ascii="宋体" w:hAnsi="宋体"/>
          <w:snapToGrid w:val="0"/>
          <w:color w:val="000000" w:themeColor="text1"/>
          <w:w w:val="99"/>
          <w14:textFill>
            <w14:solidFill>
              <w14:schemeClr w14:val="tx1"/>
            </w14:solidFill>
          </w14:textFill>
        </w:rPr>
      </w:pPr>
    </w:p>
    <w:p w14:paraId="5263B9B7">
      <w:pPr>
        <w:spacing w:line="360" w:lineRule="auto"/>
        <w:rPr>
          <w:rFonts w:hint="eastAsia" w:ascii="宋体" w:hAnsi="宋体"/>
          <w:snapToGrid w:val="0"/>
          <w:color w:val="000000" w:themeColor="text1"/>
          <w:kern w:val="0"/>
          <w:sz w:val="32"/>
          <w:szCs w:val="32"/>
          <w14:textFill>
            <w14:solidFill>
              <w14:schemeClr w14:val="tx1"/>
            </w14:solidFill>
          </w14:textFill>
        </w:rPr>
      </w:pPr>
    </w:p>
    <w:p w14:paraId="4B4AFBEC">
      <w:pPr>
        <w:spacing w:line="360" w:lineRule="auto"/>
        <w:rPr>
          <w:rFonts w:hint="eastAsia" w:ascii="宋体" w:hAnsi="宋体"/>
          <w:snapToGrid w:val="0"/>
          <w:color w:val="000000" w:themeColor="text1"/>
          <w14:textFill>
            <w14:solidFill>
              <w14:schemeClr w14:val="tx1"/>
            </w14:solidFill>
          </w14:textFill>
        </w:rPr>
      </w:pPr>
    </w:p>
    <w:p w14:paraId="36C4EABB">
      <w:pPr>
        <w:tabs>
          <w:tab w:val="left" w:pos="7140"/>
          <w:tab w:val="left" w:pos="7560"/>
          <w:tab w:val="left" w:pos="8300"/>
        </w:tabs>
        <w:autoSpaceDE w:val="0"/>
        <w:autoSpaceDN w:val="0"/>
        <w:adjustRightInd w:val="0"/>
        <w:spacing w:line="360" w:lineRule="auto"/>
        <w:ind w:right="210" w:firstLine="2396" w:firstLineChars="1141"/>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投  标  人：</w:t>
      </w:r>
      <w:r>
        <w:rPr>
          <w:rFonts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 xml:space="preserve">（盖单位法人章） </w:t>
      </w:r>
    </w:p>
    <w:p w14:paraId="7C5C5C4E">
      <w:pPr>
        <w:tabs>
          <w:tab w:val="left" w:pos="7140"/>
          <w:tab w:val="left" w:pos="7560"/>
          <w:tab w:val="left" w:pos="8300"/>
        </w:tabs>
        <w:autoSpaceDE w:val="0"/>
        <w:autoSpaceDN w:val="0"/>
        <w:adjustRightInd w:val="0"/>
        <w:spacing w:line="360" w:lineRule="auto"/>
        <w:ind w:right="210" w:firstLine="1984" w:firstLineChars="945"/>
        <w:rPr>
          <w:rFonts w:hint="eastAsia"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 xml:space="preserve">   </w:t>
      </w:r>
    </w:p>
    <w:p w14:paraId="56ABAFD1">
      <w:pPr>
        <w:tabs>
          <w:tab w:val="left" w:pos="7140"/>
          <w:tab w:val="left" w:pos="7560"/>
          <w:tab w:val="left" w:pos="8300"/>
        </w:tabs>
        <w:autoSpaceDE w:val="0"/>
        <w:autoSpaceDN w:val="0"/>
        <w:adjustRightInd w:val="0"/>
        <w:spacing w:line="360" w:lineRule="auto"/>
        <w:ind w:right="210" w:firstLine="2415" w:firstLineChars="1150"/>
        <w:rPr>
          <w:rFonts w:hint="eastAsia"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法定代表人或其委托代理人：</w:t>
      </w:r>
      <w:r>
        <w:rPr>
          <w:rFonts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w:t>
      </w:r>
      <w:r>
        <w:rPr>
          <w:rFonts w:hint="eastAsia" w:ascii="宋体" w:hAnsi="宋体"/>
          <w:snapToGrid w:val="0"/>
          <w:color w:val="000000" w:themeColor="text1"/>
          <w:kern w:val="0"/>
          <w:szCs w:val="21"/>
          <w14:textFill>
            <w14:solidFill>
              <w14:schemeClr w14:val="tx1"/>
            </w14:solidFill>
          </w14:textFill>
        </w:rPr>
        <w:t>签名</w:t>
      </w:r>
      <w:r>
        <w:rPr>
          <w:rFonts w:ascii="宋体" w:hAnsi="宋体"/>
          <w:snapToGrid w:val="0"/>
          <w:color w:val="000000" w:themeColor="text1"/>
          <w:kern w:val="0"/>
          <w:szCs w:val="21"/>
          <w14:textFill>
            <w14:solidFill>
              <w14:schemeClr w14:val="tx1"/>
            </w14:solidFill>
          </w14:textFill>
        </w:rPr>
        <w:t xml:space="preserve">或盖章） </w:t>
      </w:r>
    </w:p>
    <w:p w14:paraId="44CC9BFF">
      <w:pPr>
        <w:tabs>
          <w:tab w:val="left" w:pos="7140"/>
          <w:tab w:val="left" w:pos="7560"/>
          <w:tab w:val="left" w:pos="8300"/>
        </w:tabs>
        <w:autoSpaceDE w:val="0"/>
        <w:autoSpaceDN w:val="0"/>
        <w:adjustRightInd w:val="0"/>
        <w:spacing w:line="360" w:lineRule="auto"/>
        <w:ind w:right="210" w:firstLine="1995" w:firstLineChars="950"/>
        <w:rPr>
          <w:rFonts w:hint="eastAsia" w:ascii="宋体" w:hAnsi="宋体"/>
          <w:snapToGrid w:val="0"/>
          <w:color w:val="000000" w:themeColor="text1"/>
          <w:kern w:val="0"/>
          <w:szCs w:val="21"/>
          <w14:textFill>
            <w14:solidFill>
              <w14:schemeClr w14:val="tx1"/>
            </w14:solidFill>
          </w14:textFill>
        </w:rPr>
      </w:pPr>
    </w:p>
    <w:p w14:paraId="0466BEA7">
      <w:pPr>
        <w:pStyle w:val="5"/>
        <w:spacing w:before="0" w:after="0" w:line="240" w:lineRule="auto"/>
        <w:jc w:val="center"/>
        <w:rPr>
          <w:rFonts w:hint="eastAsia" w:ascii="宋体" w:hAnsi="宋体"/>
          <w:b w:val="0"/>
          <w:bCs w:val="0"/>
          <w:color w:val="000000" w:themeColor="text1"/>
          <w14:textFill>
            <w14:solidFill>
              <w14:schemeClr w14:val="tx1"/>
            </w14:solidFill>
          </w14:textFill>
        </w:rPr>
      </w:pPr>
      <w:r>
        <w:rPr>
          <w:rFonts w:ascii="宋体" w:hAnsi="宋体"/>
          <w:snapToGrid w:val="0"/>
          <w:color w:val="000000" w:themeColor="text1"/>
          <w14:textFill>
            <w14:solidFill>
              <w14:schemeClr w14:val="tx1"/>
            </w14:solidFill>
          </w14:textFill>
        </w:rPr>
        <w:br w:type="page"/>
      </w:r>
      <w:bookmarkStart w:id="2115" w:name="_Toc226115608"/>
      <w:bookmarkStart w:id="2116" w:name="_Toc430530532"/>
      <w:bookmarkStart w:id="2117" w:name="_Toc277082645"/>
      <w:bookmarkStart w:id="2118" w:name="_Toc224103497"/>
      <w:bookmarkStart w:id="2119" w:name="_Toc287607869"/>
      <w:bookmarkStart w:id="2120" w:name="_Toc15282"/>
      <w:bookmarkStart w:id="2121" w:name="_Toc287620816"/>
      <w:r>
        <w:rPr>
          <w:rFonts w:ascii="宋体" w:hAnsi="宋体"/>
          <w:b w:val="0"/>
          <w:bCs w:val="0"/>
          <w:color w:val="000000" w:themeColor="text1"/>
          <w14:textFill>
            <w14:solidFill>
              <w14:schemeClr w14:val="tx1"/>
            </w14:solidFill>
          </w14:textFill>
        </w:rPr>
        <w:t>（</w:t>
      </w:r>
      <w:r>
        <w:rPr>
          <w:rFonts w:hint="eastAsia" w:ascii="宋体" w:hAnsi="宋体"/>
          <w:b w:val="0"/>
          <w:bCs w:val="0"/>
          <w:color w:val="000000" w:themeColor="text1"/>
          <w14:textFill>
            <w14:solidFill>
              <w14:schemeClr w14:val="tx1"/>
            </w14:solidFill>
          </w14:textFill>
        </w:rPr>
        <w:t>三</w:t>
      </w:r>
      <w:r>
        <w:rPr>
          <w:rFonts w:ascii="宋体" w:hAnsi="宋体"/>
          <w:b w:val="0"/>
          <w:bCs w:val="0"/>
          <w:color w:val="000000" w:themeColor="text1"/>
          <w14:textFill>
            <w14:solidFill>
              <w14:schemeClr w14:val="tx1"/>
            </w14:solidFill>
          </w14:textFill>
        </w:rPr>
        <w:t>）</w:t>
      </w:r>
      <w:r>
        <w:rPr>
          <w:rFonts w:hint="eastAsia" w:ascii="宋体" w:hAnsi="宋体"/>
          <w:b w:val="0"/>
          <w:bCs w:val="0"/>
          <w:color w:val="000000" w:themeColor="text1"/>
          <w14:textFill>
            <w14:solidFill>
              <w14:schemeClr w14:val="tx1"/>
            </w14:solidFill>
          </w14:textFill>
        </w:rPr>
        <w:t>投标报价合理性说明（如有）</w:t>
      </w:r>
      <w:bookmarkEnd w:id="2115"/>
    </w:p>
    <w:p w14:paraId="19685F17">
      <w:pPr>
        <w:autoSpaceDE w:val="0"/>
        <w:autoSpaceDN w:val="0"/>
        <w:adjustRightInd w:val="0"/>
        <w:snapToGrid w:val="0"/>
        <w:spacing w:line="360" w:lineRule="auto"/>
        <w:jc w:val="center"/>
        <w:rPr>
          <w:rFonts w:hint="eastAsia" w:ascii="宋体" w:hAnsi="宋体"/>
          <w:snapToGrid w:val="0"/>
          <w:color w:val="000000" w:themeColor="text1"/>
          <w:kern w:val="0"/>
          <w:sz w:val="32"/>
          <w:szCs w:val="32"/>
          <w14:textFill>
            <w14:solidFill>
              <w14:schemeClr w14:val="tx1"/>
            </w14:solidFill>
          </w14:textFill>
        </w:rPr>
      </w:pPr>
    </w:p>
    <w:p w14:paraId="5CE06611">
      <w:pPr>
        <w:autoSpaceDE w:val="0"/>
        <w:autoSpaceDN w:val="0"/>
        <w:adjustRightInd w:val="0"/>
        <w:snapToGrid w:val="0"/>
        <w:spacing w:line="360" w:lineRule="auto"/>
        <w:ind w:firstLine="420" w:firstLineChars="200"/>
        <w:jc w:val="left"/>
        <w:rPr>
          <w:rFonts w:hint="eastAsia" w:ascii="宋体" w:hAnsi="宋体"/>
          <w:snapToGrid w:val="0"/>
          <w:color w:val="000000" w:themeColor="text1"/>
          <w:kern w:val="0"/>
          <w:sz w:val="32"/>
          <w:szCs w:val="32"/>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（注：投标报价</w:t>
      </w:r>
      <w:r>
        <w:rPr>
          <w:rFonts w:hint="eastAsia" w:ascii="宋体" w:hAnsi="宋体"/>
          <w:color w:val="000000" w:themeColor="text1"/>
          <w14:textFill>
            <w14:solidFill>
              <w14:schemeClr w14:val="tx1"/>
            </w14:solidFill>
          </w14:textFill>
        </w:rPr>
        <w:t>低于异常低价警戒线</w:t>
      </w:r>
      <w:r>
        <w:rPr>
          <w:rFonts w:hint="eastAsia" w:ascii="宋体" w:hAnsi="宋体"/>
          <w:snapToGrid w:val="0"/>
          <w:color w:val="000000" w:themeColor="text1"/>
          <w:kern w:val="0"/>
          <w:szCs w:val="21"/>
          <w14:textFill>
            <w14:solidFill>
              <w14:schemeClr w14:val="tx1"/>
            </w14:solidFill>
          </w14:textFill>
        </w:rPr>
        <w:t>时提供，格式自拟，并提供必要的佐证材料。</w:t>
      </w:r>
      <w:r>
        <w:rPr>
          <w:rFonts w:hint="eastAsia" w:ascii="宋体" w:hAnsi="宋体" w:cs="宋体"/>
          <w:color w:val="000000" w:themeColor="text1"/>
          <w:szCs w:val="21"/>
          <w14:textFill>
            <w14:solidFill>
              <w14:schemeClr w14:val="tx1"/>
            </w14:solidFill>
          </w14:textFill>
        </w:rPr>
        <w:t>投标人提供的说明不得降低或者改变原设计方案、技术工艺、施工标准，不得影响项目的质量、安全、工期、结算等正常履约</w:t>
      </w:r>
      <w:r>
        <w:rPr>
          <w:rFonts w:hint="eastAsia" w:ascii="宋体" w:hAnsi="宋体"/>
          <w:snapToGrid w:val="0"/>
          <w:color w:val="000000" w:themeColor="text1"/>
          <w:kern w:val="0"/>
          <w:szCs w:val="21"/>
          <w14:textFill>
            <w14:solidFill>
              <w14:schemeClr w14:val="tx1"/>
            </w14:solidFill>
          </w14:textFill>
        </w:rPr>
        <w:t>。）</w:t>
      </w:r>
    </w:p>
    <w:p w14:paraId="0BD20881">
      <w:pPr>
        <w:autoSpaceDE w:val="0"/>
        <w:autoSpaceDN w:val="0"/>
        <w:adjustRightInd w:val="0"/>
        <w:snapToGrid w:val="0"/>
        <w:spacing w:line="360" w:lineRule="auto"/>
        <w:jc w:val="center"/>
        <w:rPr>
          <w:rFonts w:hint="eastAsia" w:ascii="宋体" w:hAnsi="宋体"/>
          <w:snapToGrid w:val="0"/>
          <w:color w:val="000000" w:themeColor="text1"/>
          <w:kern w:val="0"/>
          <w:sz w:val="32"/>
          <w:szCs w:val="32"/>
          <w14:textFill>
            <w14:solidFill>
              <w14:schemeClr w14:val="tx1"/>
            </w14:solidFill>
          </w14:textFill>
        </w:rPr>
      </w:pPr>
    </w:p>
    <w:p w14:paraId="6A2C86B3">
      <w:pPr>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08494AD3">
      <w:pPr>
        <w:pStyle w:val="5"/>
        <w:spacing w:before="0" w:after="0" w:line="240" w:lineRule="auto"/>
        <w:jc w:val="center"/>
        <w:rPr>
          <w:rFonts w:hint="eastAsia" w:ascii="宋体" w:hAnsi="宋体"/>
          <w:snapToGrid w:val="0"/>
          <w:color w:val="000000" w:themeColor="text1"/>
          <w:kern w:val="0"/>
          <w:szCs w:val="21"/>
          <w14:textFill>
            <w14:solidFill>
              <w14:schemeClr w14:val="tx1"/>
            </w14:solidFill>
          </w14:textFill>
        </w:rPr>
      </w:pPr>
      <w:bookmarkStart w:id="2122" w:name="_Toc226115609"/>
      <w:r>
        <w:rPr>
          <w:rFonts w:ascii="宋体" w:hAnsi="宋体"/>
          <w:b w:val="0"/>
          <w:bCs w:val="0"/>
          <w:color w:val="000000" w:themeColor="text1"/>
          <w14:textFill>
            <w14:solidFill>
              <w14:schemeClr w14:val="tx1"/>
            </w14:solidFill>
          </w14:textFill>
        </w:rPr>
        <w:t>（</w:t>
      </w:r>
      <w:r>
        <w:rPr>
          <w:rFonts w:hint="eastAsia" w:ascii="宋体" w:hAnsi="宋体"/>
          <w:b w:val="0"/>
          <w:bCs w:val="0"/>
          <w:color w:val="000000" w:themeColor="text1"/>
          <w14:textFill>
            <w14:solidFill>
              <w14:schemeClr w14:val="tx1"/>
            </w14:solidFill>
          </w14:textFill>
        </w:rPr>
        <w:t>四</w:t>
      </w:r>
      <w:r>
        <w:rPr>
          <w:rFonts w:ascii="宋体" w:hAnsi="宋体"/>
          <w:b w:val="0"/>
          <w:bCs w:val="0"/>
          <w:color w:val="000000" w:themeColor="text1"/>
          <w14:textFill>
            <w14:solidFill>
              <w14:schemeClr w14:val="tx1"/>
            </w14:solidFill>
          </w14:textFill>
        </w:rPr>
        <w:t>）</w:t>
      </w:r>
      <w:r>
        <w:rPr>
          <w:rFonts w:hint="eastAsia" w:ascii="宋体" w:hAnsi="宋体"/>
          <w:b w:val="0"/>
          <w:bCs w:val="0"/>
          <w:color w:val="000000" w:themeColor="text1"/>
          <w14:textFill>
            <w14:solidFill>
              <w14:schemeClr w14:val="tx1"/>
            </w14:solidFill>
          </w14:textFill>
        </w:rPr>
        <w:t>法定代表人身份证明或授权委托书</w:t>
      </w:r>
      <w:bookmarkEnd w:id="2116"/>
      <w:bookmarkEnd w:id="2117"/>
      <w:bookmarkEnd w:id="2118"/>
      <w:bookmarkEnd w:id="2119"/>
      <w:bookmarkEnd w:id="2120"/>
      <w:bookmarkEnd w:id="2121"/>
      <w:bookmarkEnd w:id="2122"/>
    </w:p>
    <w:p w14:paraId="0E9E2DCA">
      <w:pPr>
        <w:spacing w:line="480" w:lineRule="auto"/>
        <w:jc w:val="center"/>
        <w:rPr>
          <w:rFonts w:hint="eastAsia"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法定代表人身份证明</w:t>
      </w:r>
    </w:p>
    <w:p w14:paraId="3ACFC864">
      <w:pPr>
        <w:spacing w:line="480" w:lineRule="auto"/>
        <w:jc w:val="center"/>
        <w:rPr>
          <w:rFonts w:hint="eastAsia" w:ascii="宋体" w:hAnsi="宋体"/>
          <w:color w:val="000000" w:themeColor="text1"/>
          <w14:textFill>
            <w14:solidFill>
              <w14:schemeClr w14:val="tx1"/>
            </w14:solidFill>
          </w14:textFill>
        </w:rPr>
      </w:pPr>
    </w:p>
    <w:p w14:paraId="03A6BEB1">
      <w:pPr>
        <w:tabs>
          <w:tab w:val="left" w:pos="5565"/>
        </w:tabs>
        <w:autoSpaceDE w:val="0"/>
        <w:autoSpaceDN w:val="0"/>
        <w:adjustRightInd w:val="0"/>
        <w:snapToGrid w:val="0"/>
        <w:spacing w:line="480" w:lineRule="auto"/>
        <w:ind w:firstLine="390" w:firstLineChars="186"/>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投标人名称：</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p>
    <w:p w14:paraId="1B92C74A">
      <w:pPr>
        <w:tabs>
          <w:tab w:val="left" w:pos="5475"/>
        </w:tabs>
        <w:autoSpaceDE w:val="0"/>
        <w:autoSpaceDN w:val="0"/>
        <w:adjustRightInd w:val="0"/>
        <w:snapToGrid w:val="0"/>
        <w:spacing w:line="480" w:lineRule="auto"/>
        <w:ind w:firstLine="390" w:firstLineChars="186"/>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单位性质：</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p>
    <w:p w14:paraId="541FE265">
      <w:pPr>
        <w:tabs>
          <w:tab w:val="left" w:pos="5475"/>
        </w:tabs>
        <w:autoSpaceDE w:val="0"/>
        <w:autoSpaceDN w:val="0"/>
        <w:adjustRightInd w:val="0"/>
        <w:snapToGrid w:val="0"/>
        <w:spacing w:line="480" w:lineRule="auto"/>
        <w:ind w:firstLine="390" w:firstLineChars="186"/>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地</w:t>
      </w:r>
      <w:r>
        <w:rPr>
          <w:rFonts w:hint="eastAsia" w:ascii="宋体" w:hAnsi="宋体"/>
          <w:color w:val="000000" w:themeColor="text1"/>
          <w:kern w:val="0"/>
          <w:szCs w:val="21"/>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址：</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p>
    <w:p w14:paraId="197D7B09">
      <w:pPr>
        <w:tabs>
          <w:tab w:val="left" w:pos="5475"/>
        </w:tabs>
        <w:autoSpaceDE w:val="0"/>
        <w:autoSpaceDN w:val="0"/>
        <w:adjustRightInd w:val="0"/>
        <w:snapToGrid w:val="0"/>
        <w:spacing w:line="480" w:lineRule="auto"/>
        <w:ind w:firstLine="390" w:firstLineChars="186"/>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成立时间：</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年</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月</w:t>
      </w:r>
      <w:r>
        <w:rPr>
          <w:rFonts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日</w:t>
      </w:r>
    </w:p>
    <w:p w14:paraId="0FC100C1">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姓名：</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性别</w:t>
      </w:r>
      <w:r>
        <w:rPr>
          <w:rFonts w:ascii="宋体" w:hAnsi="宋体"/>
          <w:color w:val="000000" w:themeColor="text1"/>
          <w:spacing w:val="-1"/>
          <w:kern w:val="0"/>
          <w:szCs w:val="21"/>
          <w14:textFill>
            <w14:solidFill>
              <w14:schemeClr w14:val="tx1"/>
            </w14:solidFill>
          </w14:textFill>
        </w:rPr>
        <w:t>：</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spacing w:val="-1"/>
          <w:kern w:val="0"/>
          <w:szCs w:val="21"/>
          <w14:textFill>
            <w14:solidFill>
              <w14:schemeClr w14:val="tx1"/>
            </w14:solidFill>
          </w14:textFill>
        </w:rPr>
        <w:t>年</w:t>
      </w:r>
      <w:r>
        <w:rPr>
          <w:rFonts w:ascii="宋体" w:hAnsi="宋体"/>
          <w:color w:val="000000" w:themeColor="text1"/>
          <w:kern w:val="0"/>
          <w:szCs w:val="21"/>
          <w14:textFill>
            <w14:solidFill>
              <w14:schemeClr w14:val="tx1"/>
            </w14:solidFill>
          </w14:textFill>
        </w:rPr>
        <w:t>龄：</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职务：</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w:t>
      </w:r>
    </w:p>
    <w:p w14:paraId="25D26E03">
      <w:pPr>
        <w:tabs>
          <w:tab w:val="left" w:pos="3360"/>
        </w:tabs>
        <w:autoSpaceDE w:val="0"/>
        <w:autoSpaceDN w:val="0"/>
        <w:adjustRightInd w:val="0"/>
        <w:snapToGrid w:val="0"/>
        <w:spacing w:line="480" w:lineRule="auto"/>
        <w:ind w:firstLine="390" w:firstLineChars="186"/>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系</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（投标人名称）</w:t>
      </w:r>
      <w:r>
        <w:rPr>
          <w:rFonts w:ascii="宋体" w:hAnsi="宋体"/>
          <w:color w:val="000000" w:themeColor="text1"/>
          <w:kern w:val="0"/>
          <w:szCs w:val="21"/>
          <w14:textFill>
            <w14:solidFill>
              <w14:schemeClr w14:val="tx1"/>
            </w14:solidFill>
          </w14:textFill>
        </w:rPr>
        <w:t>的法定代表人。</w:t>
      </w:r>
    </w:p>
    <w:p w14:paraId="632BBF3D">
      <w:pPr>
        <w:tabs>
          <w:tab w:val="left" w:pos="3360"/>
        </w:tabs>
        <w:autoSpaceDE w:val="0"/>
        <w:autoSpaceDN w:val="0"/>
        <w:adjustRightInd w:val="0"/>
        <w:snapToGrid w:val="0"/>
        <w:spacing w:line="480" w:lineRule="auto"/>
        <w:ind w:firstLine="390" w:firstLineChars="186"/>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特此证明。</w:t>
      </w:r>
    </w:p>
    <w:p w14:paraId="4AF94CF9">
      <w:pPr>
        <w:autoSpaceDE w:val="0"/>
        <w:autoSpaceDN w:val="0"/>
        <w:adjustRightInd w:val="0"/>
        <w:snapToGrid w:val="0"/>
        <w:spacing w:line="480" w:lineRule="auto"/>
        <w:ind w:firstLine="810" w:firstLineChars="386"/>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附：法定代表人身份证明扫描件（双面）</w:t>
      </w:r>
    </w:p>
    <w:p w14:paraId="0DF9632E">
      <w:pPr>
        <w:autoSpaceDE w:val="0"/>
        <w:autoSpaceDN w:val="0"/>
        <w:adjustRightInd w:val="0"/>
        <w:snapToGrid w:val="0"/>
        <w:spacing w:line="360" w:lineRule="auto"/>
        <w:jc w:val="left"/>
        <w:rPr>
          <w:rFonts w:hint="eastAsia" w:ascii="宋体" w:hAnsi="宋体"/>
          <w:color w:val="000000" w:themeColor="text1"/>
          <w:szCs w:val="21"/>
          <w14:textFill>
            <w14:solidFill>
              <w14:schemeClr w14:val="tx1"/>
            </w14:solidFill>
          </w14:textFill>
        </w:rPr>
      </w:pPr>
    </w:p>
    <w:p w14:paraId="088C6F86">
      <w:pPr>
        <w:pStyle w:val="2"/>
        <w:spacing w:after="0" w:line="360" w:lineRule="auto"/>
        <w:rPr>
          <w:rFonts w:hint="eastAsia" w:ascii="宋体" w:hAnsi="宋体"/>
          <w:color w:val="000000" w:themeColor="text1"/>
          <w:szCs w:val="21"/>
          <w14:textFill>
            <w14:solidFill>
              <w14:schemeClr w14:val="tx1"/>
            </w14:solidFill>
          </w14:textFill>
        </w:rPr>
      </w:pPr>
    </w:p>
    <w:p w14:paraId="13468585">
      <w:pPr>
        <w:pStyle w:val="2"/>
        <w:spacing w:after="0" w:line="360" w:lineRule="auto"/>
        <w:rPr>
          <w:rFonts w:hint="eastAsia" w:ascii="宋体" w:hAnsi="宋体"/>
          <w:color w:val="000000" w:themeColor="text1"/>
          <w:szCs w:val="21"/>
          <w14:textFill>
            <w14:solidFill>
              <w14:schemeClr w14:val="tx1"/>
            </w14:solidFill>
          </w14:textFill>
        </w:rPr>
      </w:pPr>
    </w:p>
    <w:p w14:paraId="757DF3C2">
      <w:pPr>
        <w:pStyle w:val="2"/>
        <w:spacing w:after="0" w:line="360" w:lineRule="auto"/>
        <w:rPr>
          <w:rFonts w:hint="eastAsia" w:ascii="宋体" w:hAnsi="宋体"/>
          <w:color w:val="000000" w:themeColor="text1"/>
          <w:szCs w:val="21"/>
          <w14:textFill>
            <w14:solidFill>
              <w14:schemeClr w14:val="tx1"/>
            </w14:solidFill>
          </w14:textFill>
        </w:rPr>
      </w:pPr>
    </w:p>
    <w:p w14:paraId="5CD52249">
      <w:pPr>
        <w:pStyle w:val="2"/>
        <w:spacing w:after="0" w:line="360" w:lineRule="auto"/>
        <w:rPr>
          <w:rFonts w:hint="eastAsia" w:ascii="宋体" w:hAnsi="宋体"/>
          <w:color w:val="000000" w:themeColor="text1"/>
          <w:szCs w:val="21"/>
          <w14:textFill>
            <w14:solidFill>
              <w14:schemeClr w14:val="tx1"/>
            </w14:solidFill>
          </w14:textFill>
        </w:rPr>
      </w:pPr>
    </w:p>
    <w:p w14:paraId="12641858">
      <w:pPr>
        <w:pStyle w:val="2"/>
        <w:spacing w:after="0" w:line="360" w:lineRule="auto"/>
        <w:rPr>
          <w:rFonts w:hint="eastAsia" w:ascii="宋体" w:hAnsi="宋体"/>
          <w:color w:val="000000" w:themeColor="text1"/>
          <w:szCs w:val="21"/>
          <w14:textFill>
            <w14:solidFill>
              <w14:schemeClr w14:val="tx1"/>
            </w14:solidFill>
          </w14:textFill>
        </w:rPr>
      </w:pPr>
    </w:p>
    <w:p w14:paraId="3C8D2BCD">
      <w:pPr>
        <w:tabs>
          <w:tab w:val="left" w:pos="5475"/>
        </w:tabs>
        <w:autoSpaceDE w:val="0"/>
        <w:autoSpaceDN w:val="0"/>
        <w:adjustRightInd w:val="0"/>
        <w:snapToGrid w:val="0"/>
        <w:spacing w:line="480" w:lineRule="auto"/>
        <w:ind w:firstLine="372" w:firstLineChars="186"/>
        <w:jc w:val="left"/>
        <w:rPr>
          <w:rFonts w:hint="eastAsia" w:ascii="宋体" w:hAnsi="宋体"/>
          <w:color w:val="000000" w:themeColor="text1"/>
          <w:kern w:val="0"/>
          <w:sz w:val="20"/>
          <w:szCs w:val="20"/>
          <w14:textFill>
            <w14:solidFill>
              <w14:schemeClr w14:val="tx1"/>
            </w14:solidFill>
          </w14:textFill>
        </w:rPr>
      </w:pPr>
    </w:p>
    <w:p w14:paraId="6E23CE01">
      <w:pPr>
        <w:tabs>
          <w:tab w:val="left" w:pos="5460"/>
        </w:tabs>
        <w:autoSpaceDE w:val="0"/>
        <w:autoSpaceDN w:val="0"/>
        <w:adjustRightInd w:val="0"/>
        <w:snapToGrid w:val="0"/>
        <w:spacing w:line="480" w:lineRule="auto"/>
        <w:ind w:firstLine="2100"/>
        <w:jc w:val="righ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w:t>
      </w:r>
      <w:r>
        <w:rPr>
          <w:rFonts w:ascii="宋体" w:hAnsi="宋体"/>
          <w:color w:val="000000" w:themeColor="text1"/>
          <w:spacing w:val="-1"/>
          <w:kern w:val="0"/>
          <w:szCs w:val="21"/>
          <w14:textFill>
            <w14:solidFill>
              <w14:schemeClr w14:val="tx1"/>
            </w14:solidFill>
          </w14:textFill>
        </w:rPr>
        <w:t>人</w:t>
      </w:r>
      <w:r>
        <w:rPr>
          <w:rFonts w:ascii="宋体" w:hAnsi="宋体"/>
          <w:color w:val="000000" w:themeColor="text1"/>
          <w:kern w:val="0"/>
          <w:szCs w:val="21"/>
          <w14:textFill>
            <w14:solidFill>
              <w14:schemeClr w14:val="tx1"/>
            </w14:solidFill>
          </w14:textFill>
        </w:rPr>
        <w:t>：</w:t>
      </w:r>
      <w:r>
        <w:rPr>
          <w:rFonts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ab/>
      </w:r>
      <w:r>
        <w:rPr>
          <w:rFonts w:ascii="宋体" w:hAnsi="宋体"/>
          <w:color w:val="000000" w:themeColor="text1"/>
          <w:spacing w:val="-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盖单位法人章）</w:t>
      </w:r>
    </w:p>
    <w:p w14:paraId="0DD434B1">
      <w:pPr>
        <w:autoSpaceDE w:val="0"/>
        <w:autoSpaceDN w:val="0"/>
        <w:adjustRightInd w:val="0"/>
        <w:snapToGrid w:val="0"/>
        <w:spacing w:line="480" w:lineRule="auto"/>
        <w:jc w:val="left"/>
        <w:rPr>
          <w:rFonts w:hint="eastAsia" w:ascii="宋体" w:hAnsi="宋体"/>
          <w:color w:val="000000" w:themeColor="text1"/>
          <w:kern w:val="0"/>
          <w:sz w:val="20"/>
          <w:szCs w:val="20"/>
          <w14:textFill>
            <w14:solidFill>
              <w14:schemeClr w14:val="tx1"/>
            </w14:solidFill>
          </w14:textFill>
        </w:rPr>
      </w:pPr>
    </w:p>
    <w:p w14:paraId="5DAF75B1">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年</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月</w:t>
      </w:r>
      <w:r>
        <w:rPr>
          <w:rFonts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日</w:t>
      </w:r>
      <w:r>
        <w:rPr>
          <w:rFonts w:hint="eastAsia" w:ascii="宋体" w:hAnsi="宋体"/>
          <w:color w:val="000000" w:themeColor="text1"/>
          <w:kern w:val="0"/>
          <w:szCs w:val="21"/>
          <w14:textFill>
            <w14:solidFill>
              <w14:schemeClr w14:val="tx1"/>
            </w14:solidFill>
          </w14:textFill>
        </w:rPr>
        <w:t xml:space="preserve">  </w:t>
      </w:r>
    </w:p>
    <w:p w14:paraId="40285140">
      <w:pPr>
        <w:autoSpaceDE w:val="0"/>
        <w:autoSpaceDN w:val="0"/>
        <w:adjustRightInd w:val="0"/>
        <w:snapToGrid w:val="0"/>
        <w:spacing w:line="360" w:lineRule="auto"/>
        <w:jc w:val="left"/>
        <w:rPr>
          <w:rFonts w:hint="eastAsia" w:ascii="宋体" w:hAnsi="宋体"/>
          <w:color w:val="000000" w:themeColor="text1"/>
          <w:kern w:val="0"/>
          <w14:textFill>
            <w14:solidFill>
              <w14:schemeClr w14:val="tx1"/>
            </w14:solidFill>
          </w14:textFill>
        </w:rPr>
      </w:pPr>
    </w:p>
    <w:p w14:paraId="0B688D4E">
      <w:pPr>
        <w:autoSpaceDE w:val="0"/>
        <w:autoSpaceDN w:val="0"/>
        <w:adjustRightInd w:val="0"/>
        <w:snapToGrid w:val="0"/>
        <w:spacing w:line="360" w:lineRule="auto"/>
        <w:jc w:val="left"/>
        <w:rPr>
          <w:rFonts w:hint="eastAsia" w:ascii="宋体" w:hAnsi="宋体"/>
          <w:color w:val="000000" w:themeColor="text1"/>
          <w:kern w:val="0"/>
          <w14:textFill>
            <w14:solidFill>
              <w14:schemeClr w14:val="tx1"/>
            </w14:solidFill>
          </w14:textFill>
        </w:rPr>
      </w:pPr>
    </w:p>
    <w:p w14:paraId="4FD8B73E">
      <w:pPr>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注：法定代表人身份证明需按上述格式填写完整，不可缺少内容。在此基础上增加内容的不影响其有效性。</w:t>
      </w:r>
    </w:p>
    <w:p w14:paraId="1EDC7F93">
      <w:pPr>
        <w:spacing w:line="360" w:lineRule="auto"/>
        <w:ind w:firstLine="420" w:firstLineChars="200"/>
        <w:rPr>
          <w:rFonts w:hint="eastAsia" w:ascii="宋体" w:hAnsi="宋体"/>
          <w:color w:val="000000" w:themeColor="text1"/>
          <w14:textFill>
            <w14:solidFill>
              <w14:schemeClr w14:val="tx1"/>
            </w14:solidFill>
          </w14:textFill>
        </w:rPr>
      </w:pPr>
    </w:p>
    <w:p w14:paraId="63F2E8E5">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olor w:val="000000" w:themeColor="text1"/>
          <w:kern w:val="0"/>
          <w:sz w:val="28"/>
          <w:szCs w:val="28"/>
          <w14:textFill>
            <w14:solidFill>
              <w14:schemeClr w14:val="tx1"/>
            </w14:solidFill>
          </w14:textFill>
        </w:rPr>
      </w:pPr>
      <w:r>
        <w:rPr>
          <w:rFonts w:ascii="宋体" w:hAnsi="宋体"/>
          <w:color w:val="000000" w:themeColor="text1"/>
          <w:kern w:val="0"/>
          <w14:textFill>
            <w14:solidFill>
              <w14:schemeClr w14:val="tx1"/>
            </w14:solidFill>
          </w14:textFill>
        </w:rPr>
        <w:br w:type="page"/>
      </w:r>
      <w:r>
        <w:rPr>
          <w:rFonts w:ascii="宋体" w:hAnsi="宋体"/>
          <w:snapToGrid w:val="0"/>
          <w:color w:val="000000" w:themeColor="text1"/>
          <w:kern w:val="0"/>
          <w:sz w:val="32"/>
          <w:szCs w:val="32"/>
          <w14:textFill>
            <w14:solidFill>
              <w14:schemeClr w14:val="tx1"/>
            </w14:solidFill>
          </w14:textFill>
        </w:rPr>
        <w:t>授权委托书</w:t>
      </w:r>
    </w:p>
    <w:p w14:paraId="49D76DD2">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本人</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（姓名）</w:t>
      </w:r>
      <w:r>
        <w:rPr>
          <w:rFonts w:ascii="宋体" w:hAnsi="宋体"/>
          <w:color w:val="000000" w:themeColor="text1"/>
          <w:kern w:val="0"/>
          <w:szCs w:val="21"/>
          <w14:textFill>
            <w14:solidFill>
              <w14:schemeClr w14:val="tx1"/>
            </w14:solidFill>
          </w14:textFill>
        </w:rPr>
        <w:t>系</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w:t>
      </w:r>
      <w:r>
        <w:rPr>
          <w:rFonts w:ascii="宋体" w:hAnsi="宋体"/>
          <w:color w:val="000000" w:themeColor="text1"/>
          <w:spacing w:val="-1"/>
          <w:kern w:val="0"/>
          <w:szCs w:val="21"/>
          <w:u w:val="single"/>
          <w14:textFill>
            <w14:solidFill>
              <w14:schemeClr w14:val="tx1"/>
            </w14:solidFill>
          </w14:textFill>
        </w:rPr>
        <w:t>投</w:t>
      </w:r>
      <w:r>
        <w:rPr>
          <w:rFonts w:ascii="宋体" w:hAnsi="宋体"/>
          <w:color w:val="000000" w:themeColor="text1"/>
          <w:kern w:val="0"/>
          <w:szCs w:val="21"/>
          <w:u w:val="single"/>
          <w14:textFill>
            <w14:solidFill>
              <w14:schemeClr w14:val="tx1"/>
            </w14:solidFill>
          </w14:textFill>
        </w:rPr>
        <w:t>标人名称</w:t>
      </w:r>
      <w:r>
        <w:rPr>
          <w:rFonts w:ascii="宋体" w:hAnsi="宋体"/>
          <w:color w:val="000000" w:themeColor="text1"/>
          <w:spacing w:val="1"/>
          <w:kern w:val="0"/>
          <w:szCs w:val="21"/>
          <w:u w:val="single"/>
          <w14:textFill>
            <w14:solidFill>
              <w14:schemeClr w14:val="tx1"/>
            </w14:solidFill>
          </w14:textFill>
        </w:rPr>
        <w:t>）</w:t>
      </w:r>
      <w:r>
        <w:rPr>
          <w:rFonts w:ascii="宋体" w:hAnsi="宋体"/>
          <w:color w:val="000000" w:themeColor="text1"/>
          <w:kern w:val="0"/>
          <w:szCs w:val="21"/>
          <w14:textFill>
            <w14:solidFill>
              <w14:schemeClr w14:val="tx1"/>
            </w14:solidFill>
          </w14:textFill>
        </w:rPr>
        <w:t>的法定代</w:t>
      </w:r>
      <w:r>
        <w:rPr>
          <w:rFonts w:ascii="宋体" w:hAnsi="宋体"/>
          <w:color w:val="000000" w:themeColor="text1"/>
          <w:spacing w:val="1"/>
          <w:kern w:val="0"/>
          <w:szCs w:val="21"/>
          <w14:textFill>
            <w14:solidFill>
              <w14:schemeClr w14:val="tx1"/>
            </w14:solidFill>
          </w14:textFill>
        </w:rPr>
        <w:t>表</w:t>
      </w:r>
      <w:r>
        <w:rPr>
          <w:rFonts w:ascii="宋体" w:hAnsi="宋体"/>
          <w:color w:val="000000" w:themeColor="text1"/>
          <w:kern w:val="0"/>
          <w:szCs w:val="21"/>
          <w14:textFill>
            <w14:solidFill>
              <w14:schemeClr w14:val="tx1"/>
            </w14:solidFill>
          </w14:textFill>
        </w:rPr>
        <w:t>人，现委托</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（姓名）</w:t>
      </w:r>
      <w:r>
        <w:rPr>
          <w:rFonts w:ascii="宋体" w:hAnsi="宋体"/>
          <w:color w:val="000000" w:themeColor="text1"/>
          <w:kern w:val="0"/>
          <w:szCs w:val="21"/>
          <w14:textFill>
            <w14:solidFill>
              <w14:schemeClr w14:val="tx1"/>
            </w14:solidFill>
          </w14:textFill>
        </w:rPr>
        <w:t>为我方代理人。代理人根据授权，</w:t>
      </w:r>
      <w:r>
        <w:rPr>
          <w:rFonts w:hint="eastAsia" w:ascii="宋体" w:hAnsi="宋体"/>
          <w:color w:val="000000" w:themeColor="text1"/>
          <w:kern w:val="0"/>
          <w:szCs w:val="21"/>
          <w14:textFill>
            <w14:solidFill>
              <w14:schemeClr w14:val="tx1"/>
            </w14:solidFill>
          </w14:textFill>
        </w:rPr>
        <w:t>代表我方</w:t>
      </w:r>
      <w:r>
        <w:rPr>
          <w:rFonts w:ascii="宋体" w:hAnsi="宋体"/>
          <w:color w:val="000000" w:themeColor="text1"/>
          <w:kern w:val="0"/>
          <w:szCs w:val="21"/>
          <w14:textFill>
            <w14:solidFill>
              <w14:schemeClr w14:val="tx1"/>
            </w14:solidFill>
          </w14:textFill>
        </w:rPr>
        <w:t>签署、澄清、说明、补正、递交、撤回、 修改</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（项</w:t>
      </w:r>
      <w:r>
        <w:rPr>
          <w:rFonts w:ascii="宋体" w:hAnsi="宋体"/>
          <w:color w:val="000000" w:themeColor="text1"/>
          <w:spacing w:val="-1"/>
          <w:kern w:val="0"/>
          <w:szCs w:val="21"/>
          <w:u w:val="single"/>
          <w14:textFill>
            <w14:solidFill>
              <w14:schemeClr w14:val="tx1"/>
            </w14:solidFill>
          </w14:textFill>
        </w:rPr>
        <w:t>目</w:t>
      </w:r>
      <w:r>
        <w:rPr>
          <w:rFonts w:ascii="宋体" w:hAnsi="宋体"/>
          <w:color w:val="000000" w:themeColor="text1"/>
          <w:kern w:val="0"/>
          <w:szCs w:val="21"/>
          <w:u w:val="single"/>
          <w14:textFill>
            <w14:solidFill>
              <w14:schemeClr w14:val="tx1"/>
            </w14:solidFill>
          </w14:textFill>
        </w:rPr>
        <w:t>名称）</w:t>
      </w:r>
      <w:r>
        <w:rPr>
          <w:rFonts w:ascii="宋体" w:hAnsi="宋体"/>
          <w:color w:val="000000" w:themeColor="text1"/>
          <w:kern w:val="0"/>
          <w:szCs w:val="21"/>
          <w14:textFill>
            <w14:solidFill>
              <w14:schemeClr w14:val="tx1"/>
            </w14:solidFill>
          </w14:textFill>
        </w:rPr>
        <w:t>投标文件、签订合同和处理有关事宜， 其法律后果由我方承担。</w:t>
      </w:r>
    </w:p>
    <w:p w14:paraId="629284C9">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委托</w:t>
      </w:r>
      <w:r>
        <w:rPr>
          <w:rFonts w:ascii="宋体" w:hAnsi="宋体"/>
          <w:color w:val="000000" w:themeColor="text1"/>
          <w:spacing w:val="-1"/>
          <w:kern w:val="0"/>
          <w:szCs w:val="21"/>
          <w14:textFill>
            <w14:solidFill>
              <w14:schemeClr w14:val="tx1"/>
            </w14:solidFill>
          </w14:textFill>
        </w:rPr>
        <w:t>期</w:t>
      </w:r>
      <w:r>
        <w:rPr>
          <w:rFonts w:ascii="宋体" w:hAnsi="宋体"/>
          <w:color w:val="000000" w:themeColor="text1"/>
          <w:kern w:val="0"/>
          <w:szCs w:val="21"/>
          <w14:textFill>
            <w14:solidFill>
              <w14:schemeClr w14:val="tx1"/>
            </w14:solidFill>
          </w14:textFill>
        </w:rPr>
        <w:t>限：</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 xml:space="preserve">。 </w:t>
      </w:r>
    </w:p>
    <w:p w14:paraId="5B40DAA9">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代理人无转委托权。</w:t>
      </w:r>
    </w:p>
    <w:p w14:paraId="60C1BE34">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olor w:val="000000" w:themeColor="text1"/>
          <w:kern w:val="0"/>
          <w:szCs w:val="21"/>
          <w14:textFill>
            <w14:solidFill>
              <w14:schemeClr w14:val="tx1"/>
            </w14:solidFill>
          </w14:textFill>
        </w:rPr>
      </w:pPr>
    </w:p>
    <w:p w14:paraId="193D2487">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  标  人：</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w:t>
      </w:r>
      <w:r>
        <w:rPr>
          <w:rFonts w:ascii="宋体" w:hAnsi="宋体"/>
          <w:color w:val="000000" w:themeColor="text1"/>
          <w:spacing w:val="-1"/>
          <w:kern w:val="0"/>
          <w:szCs w:val="21"/>
          <w14:textFill>
            <w14:solidFill>
              <w14:schemeClr w14:val="tx1"/>
            </w14:solidFill>
          </w14:textFill>
        </w:rPr>
        <w:t>盖单位法人章</w:t>
      </w:r>
      <w:r>
        <w:rPr>
          <w:rFonts w:ascii="宋体" w:hAnsi="宋体"/>
          <w:color w:val="000000" w:themeColor="text1"/>
          <w:kern w:val="0"/>
          <w:szCs w:val="21"/>
          <w14:textFill>
            <w14:solidFill>
              <w14:schemeClr w14:val="tx1"/>
            </w14:solidFill>
          </w14:textFill>
        </w:rPr>
        <w:t>）</w:t>
      </w:r>
    </w:p>
    <w:p w14:paraId="3FD9D771">
      <w:pPr>
        <w:tabs>
          <w:tab w:val="left" w:pos="6300"/>
        </w:tabs>
        <w:autoSpaceDE w:val="0"/>
        <w:autoSpaceDN w:val="0"/>
        <w:adjustRightInd w:val="0"/>
        <w:snapToGrid w:val="0"/>
        <w:spacing w:line="48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法定代表人：</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签名</w:t>
      </w:r>
      <w:r>
        <w:rPr>
          <w:rFonts w:ascii="宋体" w:hAnsi="宋体"/>
          <w:color w:val="000000" w:themeColor="text1"/>
          <w:kern w:val="0"/>
          <w:szCs w:val="21"/>
          <w14:textFill>
            <w14:solidFill>
              <w14:schemeClr w14:val="tx1"/>
            </w14:solidFill>
          </w14:textFill>
        </w:rPr>
        <w:t>或盖章）</w:t>
      </w:r>
    </w:p>
    <w:p w14:paraId="7D20490A">
      <w:pPr>
        <w:tabs>
          <w:tab w:val="left" w:pos="5260"/>
        </w:tabs>
        <w:autoSpaceDE w:val="0"/>
        <w:autoSpaceDN w:val="0"/>
        <w:adjustRightInd w:val="0"/>
        <w:snapToGrid w:val="0"/>
        <w:spacing w:line="480" w:lineRule="auto"/>
        <w:ind w:firstLine="420" w:firstLineChars="200"/>
        <w:jc w:val="left"/>
        <w:rPr>
          <w:rFonts w:hint="eastAsia" w:ascii="宋体" w:hAnsi="宋体"/>
          <w:color w:val="000000" w:themeColor="text1"/>
          <w:kern w:val="0"/>
          <w:szCs w:val="21"/>
          <w:u w:val="single"/>
          <w14:textFill>
            <w14:solidFill>
              <w14:schemeClr w14:val="tx1"/>
            </w14:solidFill>
          </w14:textFill>
        </w:rPr>
      </w:pPr>
      <w:r>
        <w:rPr>
          <w:rFonts w:ascii="宋体" w:hAnsi="宋体"/>
          <w:color w:val="000000" w:themeColor="text1"/>
          <w:kern w:val="0"/>
          <w:szCs w:val="21"/>
          <w14:textFill>
            <w14:solidFill>
              <w14:schemeClr w14:val="tx1"/>
            </w14:solidFill>
          </w14:textFill>
        </w:rPr>
        <w:t>身份证号码：</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p>
    <w:p w14:paraId="155273A8">
      <w:pPr>
        <w:tabs>
          <w:tab w:val="left" w:pos="5260"/>
        </w:tabs>
        <w:autoSpaceDE w:val="0"/>
        <w:autoSpaceDN w:val="0"/>
        <w:adjustRightInd w:val="0"/>
        <w:snapToGrid w:val="0"/>
        <w:spacing w:line="48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委托代理人：</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签名</w:t>
      </w:r>
      <w:r>
        <w:rPr>
          <w:rFonts w:ascii="宋体" w:hAnsi="宋体"/>
          <w:color w:val="000000" w:themeColor="text1"/>
          <w:kern w:val="0"/>
          <w:szCs w:val="21"/>
          <w14:textFill>
            <w14:solidFill>
              <w14:schemeClr w14:val="tx1"/>
            </w14:solidFill>
          </w14:textFill>
        </w:rPr>
        <w:t>）</w:t>
      </w:r>
    </w:p>
    <w:p w14:paraId="6DB1F31F">
      <w:pPr>
        <w:tabs>
          <w:tab w:val="left" w:pos="6825"/>
        </w:tabs>
        <w:autoSpaceDE w:val="0"/>
        <w:autoSpaceDN w:val="0"/>
        <w:adjustRightInd w:val="0"/>
        <w:snapToGrid w:val="0"/>
        <w:spacing w:line="480" w:lineRule="auto"/>
        <w:ind w:firstLine="420" w:firstLineChars="200"/>
        <w:jc w:val="left"/>
        <w:rPr>
          <w:rFonts w:hint="eastAsia" w:ascii="宋体" w:hAnsi="宋体"/>
          <w:color w:val="000000" w:themeColor="text1"/>
          <w:w w:val="200"/>
          <w:kern w:val="0"/>
          <w:szCs w:val="21"/>
          <w:u w:val="single"/>
          <w14:textFill>
            <w14:solidFill>
              <w14:schemeClr w14:val="tx1"/>
            </w14:solidFill>
          </w14:textFill>
        </w:rPr>
      </w:pPr>
      <w:r>
        <w:rPr>
          <w:rFonts w:ascii="宋体" w:hAnsi="宋体"/>
          <w:color w:val="000000" w:themeColor="text1"/>
          <w:kern w:val="0"/>
          <w:szCs w:val="21"/>
          <w14:textFill>
            <w14:solidFill>
              <w14:schemeClr w14:val="tx1"/>
            </w14:solidFill>
          </w14:textFill>
        </w:rPr>
        <w:t>身份证号码：</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p>
    <w:p w14:paraId="6ED616B8">
      <w:pPr>
        <w:tabs>
          <w:tab w:val="left" w:pos="6825"/>
        </w:tabs>
        <w:autoSpaceDE w:val="0"/>
        <w:autoSpaceDN w:val="0"/>
        <w:adjustRightInd w:val="0"/>
        <w:snapToGrid w:val="0"/>
        <w:spacing w:line="480" w:lineRule="auto"/>
        <w:ind w:firstLine="420" w:firstLineChars="200"/>
        <w:jc w:val="left"/>
        <w:rPr>
          <w:rFonts w:hint="eastAsia" w:ascii="宋体" w:hAnsi="宋体"/>
          <w:color w:val="000000" w:themeColor="text1"/>
          <w:kern w:val="0"/>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单位电话（座机）：</w:t>
      </w:r>
      <w:r>
        <w:rPr>
          <w:rFonts w:hint="eastAsia" w:ascii="宋体" w:hAnsi="宋体"/>
          <w:color w:val="000000" w:themeColor="text1"/>
          <w:kern w:val="0"/>
          <w:szCs w:val="21"/>
          <w:u w:val="single"/>
          <w14:textFill>
            <w14:solidFill>
              <w14:schemeClr w14:val="tx1"/>
            </w14:solidFill>
          </w14:textFill>
        </w:rPr>
        <w:t xml:space="preserve">                              </w:t>
      </w:r>
    </w:p>
    <w:p w14:paraId="0FA36A12">
      <w:pPr>
        <w:tabs>
          <w:tab w:val="left" w:pos="5260"/>
        </w:tabs>
        <w:autoSpaceDE w:val="0"/>
        <w:autoSpaceDN w:val="0"/>
        <w:adjustRightInd w:val="0"/>
        <w:snapToGrid w:val="0"/>
        <w:spacing w:line="48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委托代理人电话（手机）：                                          </w:t>
      </w:r>
    </w:p>
    <w:p w14:paraId="22EF72B4">
      <w:pPr>
        <w:autoSpaceDE w:val="0"/>
        <w:autoSpaceDN w:val="0"/>
        <w:adjustRightInd w:val="0"/>
        <w:snapToGrid w:val="0"/>
        <w:spacing w:line="480" w:lineRule="auto"/>
        <w:ind w:firstLine="810" w:firstLineChars="386"/>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附：法定代表人和委托代理人身份证明扫描件（双面）</w:t>
      </w:r>
    </w:p>
    <w:p w14:paraId="0B93AE14">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000000" w:themeColor="text1"/>
          <w:w w:val="200"/>
          <w:kern w:val="0"/>
          <w:szCs w:val="21"/>
          <w:u w:val="single"/>
          <w14:textFill>
            <w14:solidFill>
              <w14:schemeClr w14:val="tx1"/>
            </w14:solidFill>
          </w14:textFill>
        </w:rPr>
      </w:pPr>
    </w:p>
    <w:p w14:paraId="3723C1DD">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000000" w:themeColor="text1"/>
          <w:w w:val="200"/>
          <w:kern w:val="0"/>
          <w:szCs w:val="21"/>
          <w:u w:val="single"/>
          <w14:textFill>
            <w14:solidFill>
              <w14:schemeClr w14:val="tx1"/>
            </w14:solidFill>
          </w14:textFill>
        </w:rPr>
      </w:pPr>
    </w:p>
    <w:p w14:paraId="13965A9D">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000000" w:themeColor="text1"/>
          <w:w w:val="200"/>
          <w:kern w:val="0"/>
          <w:szCs w:val="21"/>
          <w:u w:val="single"/>
          <w14:textFill>
            <w14:solidFill>
              <w14:schemeClr w14:val="tx1"/>
            </w14:solidFill>
          </w14:textFill>
        </w:rPr>
      </w:pPr>
    </w:p>
    <w:p w14:paraId="31999B8F">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000000" w:themeColor="text1"/>
          <w:w w:val="200"/>
          <w:kern w:val="0"/>
          <w:szCs w:val="21"/>
          <w:u w:val="single"/>
          <w14:textFill>
            <w14:solidFill>
              <w14:schemeClr w14:val="tx1"/>
            </w14:solidFill>
          </w14:textFill>
        </w:rPr>
      </w:pPr>
    </w:p>
    <w:p w14:paraId="0C3BB262">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000000" w:themeColor="text1"/>
          <w:w w:val="200"/>
          <w:kern w:val="0"/>
          <w:szCs w:val="21"/>
          <w:u w:val="single"/>
          <w14:textFill>
            <w14:solidFill>
              <w14:schemeClr w14:val="tx1"/>
            </w14:solidFill>
          </w14:textFill>
        </w:rPr>
      </w:pPr>
    </w:p>
    <w:p w14:paraId="745F6489">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000000" w:themeColor="text1"/>
          <w:w w:val="200"/>
          <w:kern w:val="0"/>
          <w:szCs w:val="21"/>
          <w:u w:val="single"/>
          <w14:textFill>
            <w14:solidFill>
              <w14:schemeClr w14:val="tx1"/>
            </w14:solidFill>
          </w14:textFill>
        </w:rPr>
      </w:pPr>
    </w:p>
    <w:p w14:paraId="6F8B2728">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000000" w:themeColor="text1"/>
          <w:w w:val="200"/>
          <w:kern w:val="0"/>
          <w:szCs w:val="21"/>
          <w:u w:val="single"/>
          <w14:textFill>
            <w14:solidFill>
              <w14:schemeClr w14:val="tx1"/>
            </w14:solidFill>
          </w14:textFill>
        </w:rPr>
      </w:pPr>
    </w:p>
    <w:p w14:paraId="70864D23">
      <w:pPr>
        <w:tabs>
          <w:tab w:val="left" w:pos="6825"/>
        </w:tabs>
        <w:autoSpaceDE w:val="0"/>
        <w:autoSpaceDN w:val="0"/>
        <w:adjustRightInd w:val="0"/>
        <w:snapToGrid w:val="0"/>
        <w:spacing w:line="480" w:lineRule="auto"/>
        <w:ind w:firstLine="420" w:firstLineChars="200"/>
        <w:jc w:val="left"/>
        <w:rPr>
          <w:rFonts w:hint="eastAsia" w:ascii="宋体" w:hAnsi="宋体"/>
          <w:color w:val="000000" w:themeColor="text1"/>
          <w:kern w:val="0"/>
          <w:szCs w:val="21"/>
          <w14:textFill>
            <w14:solidFill>
              <w14:schemeClr w14:val="tx1"/>
            </w14:solidFill>
          </w14:textFill>
        </w:rPr>
      </w:pPr>
    </w:p>
    <w:p w14:paraId="2A9A4B15">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年</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月</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日</w:t>
      </w:r>
      <w:r>
        <w:rPr>
          <w:rFonts w:hint="eastAsia" w:ascii="宋体" w:hAnsi="宋体"/>
          <w:color w:val="000000" w:themeColor="text1"/>
          <w:kern w:val="0"/>
          <w:szCs w:val="21"/>
          <w14:textFill>
            <w14:solidFill>
              <w14:schemeClr w14:val="tx1"/>
            </w14:solidFill>
          </w14:textFill>
        </w:rPr>
        <w:t xml:space="preserve"> </w:t>
      </w:r>
    </w:p>
    <w:p w14:paraId="421CDCE0">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000000" w:themeColor="text1"/>
          <w:kern w:val="0"/>
          <w:szCs w:val="21"/>
          <w14:textFill>
            <w14:solidFill>
              <w14:schemeClr w14:val="tx1"/>
            </w14:solidFill>
          </w14:textFill>
        </w:rPr>
      </w:pPr>
    </w:p>
    <w:p w14:paraId="76B5EA1A">
      <w:pPr>
        <w:tabs>
          <w:tab w:val="left" w:pos="5760"/>
        </w:tabs>
        <w:autoSpaceDE w:val="0"/>
        <w:autoSpaceDN w:val="0"/>
        <w:adjustRightInd w:val="0"/>
        <w:spacing w:line="360" w:lineRule="auto"/>
        <w:ind w:firstLine="420" w:firstLineChars="200"/>
        <w:rPr>
          <w:rFonts w:hint="eastAsia" w:ascii="宋体" w:hAnsi="宋体"/>
          <w:color w:val="000000" w:themeColor="text1"/>
          <w:kern w:val="0"/>
          <w14:textFill>
            <w14:solidFill>
              <w14:schemeClr w14:val="tx1"/>
            </w14:solidFill>
          </w14:textFill>
        </w:rPr>
      </w:pPr>
    </w:p>
    <w:p w14:paraId="790E0EC7">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注：1、法定代表人参加投标活动并签署文件的不需要授权委托书，只需提供法定代表人身份证明；非法定代表人参加投标活动及签署文件的除提供法定代表人身份证明外还须提供授权委托书。</w:t>
      </w:r>
    </w:p>
    <w:p w14:paraId="4729738A">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w:t>
      </w:r>
      <w:r>
        <w:rPr>
          <w:rFonts w:hint="eastAsia" w:ascii="宋体" w:hAnsi="宋体"/>
          <w:color w:val="000000" w:themeColor="text1"/>
          <w14:textFill>
            <w14:solidFill>
              <w14:schemeClr w14:val="tx1"/>
            </w14:solidFill>
          </w14:textFill>
        </w:rPr>
        <w:t>授权委托书</w:t>
      </w:r>
      <w:r>
        <w:rPr>
          <w:rFonts w:ascii="宋体" w:hAnsi="宋体"/>
          <w:color w:val="000000" w:themeColor="text1"/>
          <w14:textFill>
            <w14:solidFill>
              <w14:schemeClr w14:val="tx1"/>
            </w14:solidFill>
          </w14:textFill>
        </w:rPr>
        <w:t>需按上述格式填写完整，不可缺少内容。在此基础上增加内容的不影响其有效性。</w:t>
      </w:r>
      <w:r>
        <w:rPr>
          <w:rFonts w:ascii="宋体" w:hAnsi="宋体"/>
          <w:color w:val="000000" w:themeColor="text1"/>
          <w14:textFill>
            <w14:solidFill>
              <w14:schemeClr w14:val="tx1"/>
            </w14:solidFill>
          </w14:textFill>
        </w:rPr>
        <w:br w:type="page"/>
      </w:r>
    </w:p>
    <w:p w14:paraId="4BE4018B">
      <w:pPr>
        <w:pStyle w:val="4"/>
        <w:spacing w:before="0" w:line="360" w:lineRule="auto"/>
        <w:jc w:val="center"/>
        <w:rPr>
          <w:rFonts w:hint="eastAsia" w:ascii="宋体" w:hAnsi="宋体"/>
          <w:b w:val="0"/>
          <w:bCs w:val="0"/>
          <w:color w:val="000000" w:themeColor="text1"/>
          <w:sz w:val="44"/>
          <w:szCs w:val="44"/>
          <w14:textFill>
            <w14:solidFill>
              <w14:schemeClr w14:val="tx1"/>
            </w14:solidFill>
          </w14:textFill>
        </w:rPr>
      </w:pPr>
      <w:bookmarkStart w:id="2123" w:name="_Toc11873"/>
      <w:bookmarkStart w:id="2124" w:name="_Toc224103500"/>
      <w:bookmarkStart w:id="2125" w:name="_Toc287620819"/>
      <w:bookmarkStart w:id="2126" w:name="_Toc226115610"/>
      <w:bookmarkStart w:id="2127" w:name="_Toc287607872"/>
      <w:bookmarkStart w:id="2128" w:name="_Toc430530534"/>
      <w:r>
        <w:rPr>
          <w:rFonts w:hint="eastAsia" w:ascii="宋体" w:hAnsi="宋体"/>
          <w:b w:val="0"/>
          <w:bCs w:val="0"/>
          <w:color w:val="000000" w:themeColor="text1"/>
          <w:sz w:val="44"/>
          <w:szCs w:val="44"/>
          <w14:textFill>
            <w14:solidFill>
              <w14:schemeClr w14:val="tx1"/>
            </w14:solidFill>
          </w14:textFill>
        </w:rPr>
        <w:t>二、报价部分</w:t>
      </w:r>
      <w:bookmarkEnd w:id="2123"/>
      <w:bookmarkEnd w:id="2124"/>
      <w:bookmarkEnd w:id="2125"/>
      <w:bookmarkEnd w:id="2126"/>
      <w:bookmarkEnd w:id="2127"/>
      <w:bookmarkEnd w:id="2128"/>
    </w:p>
    <w:p w14:paraId="201B8D66">
      <w:pPr>
        <w:spacing w:line="360" w:lineRule="auto"/>
        <w:jc w:val="center"/>
        <w:rPr>
          <w:rFonts w:hint="eastAsia" w:ascii="宋体" w:hAnsi="宋体"/>
          <w:color w:val="000000" w:themeColor="text1"/>
          <w:kern w:val="0"/>
          <w:sz w:val="32"/>
          <w:szCs w:val="32"/>
          <w14:textFill>
            <w14:solidFill>
              <w14:schemeClr w14:val="tx1"/>
            </w14:solidFill>
          </w14:textFill>
        </w:rPr>
      </w:pPr>
      <w:r>
        <w:rPr>
          <w:rFonts w:ascii="宋体" w:hAnsi="宋体"/>
          <w:color w:val="000000" w:themeColor="text1"/>
          <w:kern w:val="0"/>
          <w:sz w:val="28"/>
          <w:szCs w:val="28"/>
          <w14:textFill>
            <w14:solidFill>
              <w14:schemeClr w14:val="tx1"/>
            </w14:solidFill>
          </w14:textFill>
        </w:rPr>
        <w:br w:type="page"/>
      </w:r>
      <w:r>
        <w:rPr>
          <w:rFonts w:hint="eastAsia" w:ascii="宋体" w:hAnsi="宋体"/>
          <w:color w:val="000000" w:themeColor="text1"/>
          <w:kern w:val="0"/>
          <w:sz w:val="32"/>
          <w:szCs w:val="32"/>
          <w:u w:val="single"/>
          <w14:textFill>
            <w14:solidFill>
              <w14:schemeClr w14:val="tx1"/>
            </w14:solidFill>
          </w14:textFill>
        </w:rPr>
        <w:t xml:space="preserve">                   （项目名称）</w:t>
      </w:r>
    </w:p>
    <w:p w14:paraId="0C571DB2">
      <w:pPr>
        <w:tabs>
          <w:tab w:val="left" w:pos="3600"/>
          <w:tab w:val="left" w:pos="4480"/>
          <w:tab w:val="left" w:pos="5360"/>
        </w:tabs>
        <w:autoSpaceDE w:val="0"/>
        <w:autoSpaceDN w:val="0"/>
        <w:adjustRightInd w:val="0"/>
        <w:snapToGrid w:val="0"/>
        <w:spacing w:line="360" w:lineRule="auto"/>
        <w:jc w:val="left"/>
        <w:rPr>
          <w:rFonts w:hint="eastAsia" w:ascii="宋体" w:hAnsi="宋体"/>
          <w:color w:val="000000" w:themeColor="text1"/>
          <w:kern w:val="0"/>
          <w:sz w:val="44"/>
          <w:szCs w:val="44"/>
          <w14:textFill>
            <w14:solidFill>
              <w14:schemeClr w14:val="tx1"/>
            </w14:solidFill>
          </w14:textFill>
        </w:rPr>
      </w:pPr>
    </w:p>
    <w:p w14:paraId="73B9C0B6">
      <w:pPr>
        <w:tabs>
          <w:tab w:val="left" w:pos="3600"/>
          <w:tab w:val="left" w:pos="4480"/>
          <w:tab w:val="left" w:pos="5360"/>
        </w:tabs>
        <w:autoSpaceDE w:val="0"/>
        <w:autoSpaceDN w:val="0"/>
        <w:adjustRightInd w:val="0"/>
        <w:snapToGrid w:val="0"/>
        <w:spacing w:line="360" w:lineRule="auto"/>
        <w:jc w:val="left"/>
        <w:rPr>
          <w:rFonts w:hint="eastAsia" w:ascii="宋体" w:hAnsi="宋体"/>
          <w:color w:val="000000" w:themeColor="text1"/>
          <w:kern w:val="0"/>
          <w:sz w:val="44"/>
          <w:szCs w:val="44"/>
          <w14:textFill>
            <w14:solidFill>
              <w14:schemeClr w14:val="tx1"/>
            </w14:solidFill>
          </w14:textFill>
        </w:rPr>
      </w:pPr>
    </w:p>
    <w:p w14:paraId="48DEAA00">
      <w:pPr>
        <w:tabs>
          <w:tab w:val="left" w:pos="3600"/>
          <w:tab w:val="left" w:pos="4480"/>
          <w:tab w:val="left" w:pos="5360"/>
        </w:tabs>
        <w:autoSpaceDE w:val="0"/>
        <w:autoSpaceDN w:val="0"/>
        <w:adjustRightInd w:val="0"/>
        <w:snapToGrid w:val="0"/>
        <w:spacing w:line="360" w:lineRule="auto"/>
        <w:jc w:val="left"/>
        <w:rPr>
          <w:rFonts w:hint="eastAsia" w:ascii="宋体" w:hAnsi="宋体"/>
          <w:color w:val="000000" w:themeColor="text1"/>
          <w:kern w:val="0"/>
          <w:sz w:val="44"/>
          <w:szCs w:val="44"/>
          <w14:textFill>
            <w14:solidFill>
              <w14:schemeClr w14:val="tx1"/>
            </w14:solidFill>
          </w14:textFill>
        </w:rPr>
      </w:pPr>
    </w:p>
    <w:p w14:paraId="7C49F6C5">
      <w:pPr>
        <w:tabs>
          <w:tab w:val="left" w:pos="3600"/>
          <w:tab w:val="left" w:pos="4480"/>
          <w:tab w:val="left" w:pos="5360"/>
        </w:tabs>
        <w:autoSpaceDE w:val="0"/>
        <w:autoSpaceDN w:val="0"/>
        <w:adjustRightInd w:val="0"/>
        <w:snapToGrid w:val="0"/>
        <w:spacing w:line="360" w:lineRule="auto"/>
        <w:jc w:val="left"/>
        <w:rPr>
          <w:rFonts w:hint="eastAsia" w:ascii="宋体" w:hAnsi="宋体"/>
          <w:color w:val="000000" w:themeColor="text1"/>
          <w:kern w:val="0"/>
          <w:sz w:val="44"/>
          <w:szCs w:val="44"/>
          <w14:textFill>
            <w14:solidFill>
              <w14:schemeClr w14:val="tx1"/>
            </w14:solidFill>
          </w14:textFill>
        </w:rPr>
      </w:pPr>
    </w:p>
    <w:p w14:paraId="325CB4B2">
      <w:pPr>
        <w:tabs>
          <w:tab w:val="left" w:pos="3600"/>
          <w:tab w:val="left" w:pos="4480"/>
          <w:tab w:val="left" w:pos="5360"/>
        </w:tabs>
        <w:autoSpaceDE w:val="0"/>
        <w:autoSpaceDN w:val="0"/>
        <w:adjustRightInd w:val="0"/>
        <w:snapToGrid w:val="0"/>
        <w:spacing w:line="360" w:lineRule="auto"/>
        <w:jc w:val="center"/>
        <w:rPr>
          <w:rFonts w:hint="eastAsia" w:ascii="宋体" w:hAnsi="宋体"/>
          <w:color w:val="000000" w:themeColor="text1"/>
          <w:kern w:val="0"/>
          <w:sz w:val="72"/>
          <w:szCs w:val="72"/>
          <w14:textFill>
            <w14:solidFill>
              <w14:schemeClr w14:val="tx1"/>
            </w14:solidFill>
          </w14:textFill>
        </w:rPr>
      </w:pPr>
      <w:r>
        <w:rPr>
          <w:rFonts w:hint="eastAsia" w:ascii="宋体" w:hAnsi="宋体"/>
          <w:color w:val="000000" w:themeColor="text1"/>
          <w:kern w:val="0"/>
          <w:sz w:val="72"/>
          <w:szCs w:val="72"/>
          <w14:textFill>
            <w14:solidFill>
              <w14:schemeClr w14:val="tx1"/>
            </w14:solidFill>
          </w14:textFill>
        </w:rPr>
        <w:t>投 标 文 件</w:t>
      </w:r>
    </w:p>
    <w:p w14:paraId="1DD283A2">
      <w:pPr>
        <w:autoSpaceDE w:val="0"/>
        <w:autoSpaceDN w:val="0"/>
        <w:adjustRightInd w:val="0"/>
        <w:snapToGrid w:val="0"/>
        <w:spacing w:line="360" w:lineRule="auto"/>
        <w:jc w:val="left"/>
        <w:rPr>
          <w:rFonts w:hint="eastAsia" w:ascii="宋体" w:hAnsi="宋体"/>
          <w:color w:val="000000" w:themeColor="text1"/>
          <w:kern w:val="0"/>
          <w:sz w:val="16"/>
          <w:szCs w:val="16"/>
          <w14:textFill>
            <w14:solidFill>
              <w14:schemeClr w14:val="tx1"/>
            </w14:solidFill>
          </w14:textFill>
        </w:rPr>
      </w:pPr>
    </w:p>
    <w:p w14:paraId="62064CBF">
      <w:pPr>
        <w:autoSpaceDE w:val="0"/>
        <w:autoSpaceDN w:val="0"/>
        <w:adjustRightInd w:val="0"/>
        <w:snapToGrid w:val="0"/>
        <w:spacing w:line="360" w:lineRule="auto"/>
        <w:jc w:val="center"/>
        <w:rPr>
          <w:rFonts w:hint="eastAsia" w:ascii="宋体" w:hAnsi="宋体"/>
          <w:color w:val="000000" w:themeColor="text1"/>
          <w:kern w:val="0"/>
          <w:sz w:val="36"/>
          <w:szCs w:val="36"/>
          <w14:textFill>
            <w14:solidFill>
              <w14:schemeClr w14:val="tx1"/>
            </w14:solidFill>
          </w14:textFill>
        </w:rPr>
      </w:pPr>
      <w:r>
        <w:rPr>
          <w:rFonts w:hint="eastAsia" w:ascii="宋体" w:hAnsi="宋体"/>
          <w:color w:val="000000" w:themeColor="text1"/>
          <w:kern w:val="0"/>
          <w:sz w:val="36"/>
          <w:szCs w:val="36"/>
          <w14:textFill>
            <w14:solidFill>
              <w14:schemeClr w14:val="tx1"/>
            </w14:solidFill>
          </w14:textFill>
        </w:rPr>
        <w:t>报价部分</w:t>
      </w:r>
    </w:p>
    <w:p w14:paraId="4EDCA673">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0E6545B1">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591E41C7">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2232D33E">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5985CA11">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679D1D2C">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2F28A3E5">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513F447B">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60E87EAC">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7A515463">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30DA35AA">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4BB4CD0E">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4CB4C24C">
      <w:pPr>
        <w:autoSpaceDE w:val="0"/>
        <w:autoSpaceDN w:val="0"/>
        <w:adjustRightInd w:val="0"/>
        <w:snapToGrid w:val="0"/>
        <w:spacing w:line="360" w:lineRule="auto"/>
        <w:jc w:val="left"/>
        <w:rPr>
          <w:rFonts w:hint="eastAsia" w:ascii="宋体" w:hAnsi="宋体"/>
          <w:b/>
          <w:color w:val="000000" w:themeColor="text1"/>
          <w:kern w:val="0"/>
          <w:sz w:val="20"/>
          <w:szCs w:val="20"/>
          <w14:textFill>
            <w14:solidFill>
              <w14:schemeClr w14:val="tx1"/>
            </w14:solidFill>
          </w14:textFill>
        </w:rPr>
      </w:pPr>
    </w:p>
    <w:p w14:paraId="04750F57">
      <w:pPr>
        <w:tabs>
          <w:tab w:val="left" w:pos="6080"/>
          <w:tab w:val="left" w:pos="6640"/>
        </w:tabs>
        <w:autoSpaceDE w:val="0"/>
        <w:autoSpaceDN w:val="0"/>
        <w:adjustRightInd w:val="0"/>
        <w:snapToGrid w:val="0"/>
        <w:spacing w:after="156" w:afterLines="50" w:line="360" w:lineRule="auto"/>
        <w:jc w:val="center"/>
        <w:rPr>
          <w:rFonts w:hint="eastAsia" w:ascii="宋体" w:hAnsi="宋体"/>
          <w:color w:val="000000" w:themeColor="text1"/>
          <w:w w:val="99"/>
          <w:kern w:val="0"/>
          <w:sz w:val="28"/>
          <w:szCs w:val="28"/>
          <w14:textFill>
            <w14:solidFill>
              <w14:schemeClr w14:val="tx1"/>
            </w14:solidFill>
          </w14:textFill>
        </w:rPr>
      </w:pPr>
      <w:r>
        <w:rPr>
          <w:rFonts w:ascii="宋体" w:hAnsi="宋体"/>
          <w:color w:val="000000" w:themeColor="text1"/>
          <w:w w:val="99"/>
          <w:kern w:val="0"/>
          <w:sz w:val="28"/>
          <w:szCs w:val="28"/>
          <w14:textFill>
            <w14:solidFill>
              <w14:schemeClr w14:val="tx1"/>
            </w14:solidFill>
          </w14:textFill>
        </w:rPr>
        <w:t>投标人</w:t>
      </w:r>
      <w:r>
        <w:rPr>
          <w:rFonts w:ascii="宋体" w:hAnsi="宋体"/>
          <w:color w:val="000000" w:themeColor="text1"/>
          <w:spacing w:val="1"/>
          <w:w w:val="99"/>
          <w:kern w:val="0"/>
          <w:sz w:val="28"/>
          <w:szCs w:val="28"/>
          <w14:textFill>
            <w14:solidFill>
              <w14:schemeClr w14:val="tx1"/>
            </w14:solidFill>
          </w14:textFill>
        </w:rPr>
        <w:t>：</w:t>
      </w:r>
      <w:r>
        <w:rPr>
          <w:rFonts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99"/>
          <w:kern w:val="0"/>
          <w:sz w:val="28"/>
          <w:szCs w:val="28"/>
          <w14:textFill>
            <w14:solidFill>
              <w14:schemeClr w14:val="tx1"/>
            </w14:solidFill>
          </w14:textFill>
        </w:rPr>
        <w:t>（盖单位法人章）</w:t>
      </w:r>
    </w:p>
    <w:p w14:paraId="1500AECE">
      <w:pPr>
        <w:tabs>
          <w:tab w:val="left" w:pos="6080"/>
          <w:tab w:val="left" w:pos="6640"/>
        </w:tabs>
        <w:autoSpaceDE w:val="0"/>
        <w:autoSpaceDN w:val="0"/>
        <w:adjustRightInd w:val="0"/>
        <w:snapToGrid w:val="0"/>
        <w:spacing w:after="156" w:afterLines="50" w:line="360" w:lineRule="auto"/>
        <w:jc w:val="center"/>
        <w:rPr>
          <w:rFonts w:hint="eastAsia" w:ascii="宋体" w:hAnsi="宋体"/>
          <w:b/>
          <w:color w:val="000000" w:themeColor="text1"/>
          <w:kern w:val="0"/>
          <w:sz w:val="28"/>
          <w:szCs w:val="28"/>
          <w14:textFill>
            <w14:solidFill>
              <w14:schemeClr w14:val="tx1"/>
            </w14:solidFill>
          </w14:textFill>
        </w:rPr>
      </w:pPr>
      <w:r>
        <w:rPr>
          <w:rFonts w:ascii="宋体" w:hAnsi="宋体"/>
          <w:color w:val="000000" w:themeColor="text1"/>
          <w:w w:val="99"/>
          <w:kern w:val="0"/>
          <w:sz w:val="28"/>
          <w:szCs w:val="28"/>
          <w14:textFill>
            <w14:solidFill>
              <w14:schemeClr w14:val="tx1"/>
            </w14:solidFill>
          </w14:textFill>
        </w:rPr>
        <w:t>法定代表人或其委托代理人：</w:t>
      </w:r>
      <w:r>
        <w:rPr>
          <w:rFonts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99"/>
          <w:kern w:val="0"/>
          <w:sz w:val="28"/>
          <w:szCs w:val="28"/>
          <w14:textFill>
            <w14:solidFill>
              <w14:schemeClr w14:val="tx1"/>
            </w14:solidFill>
          </w14:textFill>
        </w:rPr>
        <w:t>（</w:t>
      </w:r>
      <w:r>
        <w:rPr>
          <w:rFonts w:hint="eastAsia" w:ascii="宋体" w:hAnsi="宋体"/>
          <w:color w:val="000000" w:themeColor="text1"/>
          <w:w w:val="99"/>
          <w:kern w:val="0"/>
          <w:sz w:val="28"/>
          <w:szCs w:val="28"/>
          <w14:textFill>
            <w14:solidFill>
              <w14:schemeClr w14:val="tx1"/>
            </w14:solidFill>
          </w14:textFill>
        </w:rPr>
        <w:t>签名</w:t>
      </w:r>
      <w:r>
        <w:rPr>
          <w:rFonts w:ascii="宋体" w:hAnsi="宋体"/>
          <w:color w:val="000000" w:themeColor="text1"/>
          <w:w w:val="99"/>
          <w:kern w:val="0"/>
          <w:sz w:val="28"/>
          <w:szCs w:val="28"/>
          <w14:textFill>
            <w14:solidFill>
              <w14:schemeClr w14:val="tx1"/>
            </w14:solidFill>
          </w14:textFill>
        </w:rPr>
        <w:t>或盖章）</w:t>
      </w:r>
    </w:p>
    <w:p w14:paraId="611E71D1">
      <w:pPr>
        <w:tabs>
          <w:tab w:val="left" w:pos="3280"/>
          <w:tab w:val="left" w:pos="4680"/>
          <w:tab w:val="left" w:pos="6080"/>
        </w:tabs>
        <w:autoSpaceDE w:val="0"/>
        <w:autoSpaceDN w:val="0"/>
        <w:adjustRightInd w:val="0"/>
        <w:snapToGrid w:val="0"/>
        <w:spacing w:after="156" w:afterLines="50" w:line="360" w:lineRule="auto"/>
        <w:jc w:val="center"/>
        <w:rPr>
          <w:rFonts w:hint="eastAsia" w:ascii="宋体" w:hAnsi="宋体"/>
          <w:color w:val="000000" w:themeColor="text1"/>
          <w:kern w:val="0"/>
          <w:sz w:val="28"/>
          <w:szCs w:val="28"/>
          <w14:textFill>
            <w14:solidFill>
              <w14:schemeClr w14:val="tx1"/>
            </w14:solidFill>
          </w14:textFill>
        </w:rPr>
      </w:pPr>
      <w:r>
        <w:rPr>
          <w:rFonts w:ascii="宋体" w:hAnsi="宋体"/>
          <w:color w:val="000000" w:themeColor="text1"/>
          <w:w w:val="198"/>
          <w:kern w:val="0"/>
          <w:sz w:val="28"/>
          <w:szCs w:val="28"/>
          <w:u w:val="single"/>
          <w14:textFill>
            <w14:solidFill>
              <w14:schemeClr w14:val="tx1"/>
            </w14:solidFill>
          </w14:textFill>
        </w:rPr>
        <w:t xml:space="preserve"> </w:t>
      </w:r>
      <w:r>
        <w:rPr>
          <w:rFonts w:hint="eastAsia"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99"/>
          <w:kern w:val="0"/>
          <w:sz w:val="28"/>
          <w:szCs w:val="28"/>
          <w14:textFill>
            <w14:solidFill>
              <w14:schemeClr w14:val="tx1"/>
            </w14:solidFill>
          </w14:textFill>
        </w:rPr>
        <w:t>年</w:t>
      </w:r>
      <w:r>
        <w:rPr>
          <w:rFonts w:ascii="宋体" w:hAnsi="宋体"/>
          <w:color w:val="000000" w:themeColor="text1"/>
          <w:w w:val="198"/>
          <w:kern w:val="0"/>
          <w:sz w:val="28"/>
          <w:szCs w:val="28"/>
          <w:u w:val="single"/>
          <w14:textFill>
            <w14:solidFill>
              <w14:schemeClr w14:val="tx1"/>
            </w14:solidFill>
          </w14:textFill>
        </w:rPr>
        <w:t xml:space="preserve"> </w:t>
      </w:r>
      <w:r>
        <w:rPr>
          <w:rFonts w:hint="eastAsia"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99"/>
          <w:kern w:val="0"/>
          <w:sz w:val="28"/>
          <w:szCs w:val="28"/>
          <w14:textFill>
            <w14:solidFill>
              <w14:schemeClr w14:val="tx1"/>
            </w14:solidFill>
          </w14:textFill>
        </w:rPr>
        <w:t>月</w:t>
      </w:r>
      <w:r>
        <w:rPr>
          <w:rFonts w:ascii="宋体" w:hAnsi="宋体"/>
          <w:color w:val="000000" w:themeColor="text1"/>
          <w:w w:val="198"/>
          <w:kern w:val="0"/>
          <w:sz w:val="28"/>
          <w:szCs w:val="28"/>
          <w:u w:val="single"/>
          <w14:textFill>
            <w14:solidFill>
              <w14:schemeClr w14:val="tx1"/>
            </w14:solidFill>
          </w14:textFill>
        </w:rPr>
        <w:t xml:space="preserve"> </w:t>
      </w:r>
      <w:r>
        <w:rPr>
          <w:rFonts w:hint="eastAsia"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99"/>
          <w:kern w:val="0"/>
          <w:sz w:val="28"/>
          <w:szCs w:val="28"/>
          <w14:textFill>
            <w14:solidFill>
              <w14:schemeClr w14:val="tx1"/>
            </w14:solidFill>
          </w14:textFill>
        </w:rPr>
        <w:t>日</w:t>
      </w:r>
    </w:p>
    <w:p w14:paraId="0281547A">
      <w:pPr>
        <w:autoSpaceDE w:val="0"/>
        <w:autoSpaceDN w:val="0"/>
        <w:adjustRightInd w:val="0"/>
        <w:snapToGrid w:val="0"/>
        <w:spacing w:line="360" w:lineRule="auto"/>
        <w:jc w:val="left"/>
        <w:rPr>
          <w:rFonts w:hint="eastAsia" w:ascii="宋体" w:hAnsi="宋体"/>
          <w:color w:val="000000" w:themeColor="text1"/>
          <w:kern w:val="0"/>
          <w:sz w:val="24"/>
          <w:szCs w:val="21"/>
          <w14:textFill>
            <w14:solidFill>
              <w14:schemeClr w14:val="tx1"/>
            </w14:solidFill>
          </w14:textFill>
        </w:rPr>
      </w:pPr>
      <w:r>
        <w:rPr>
          <w:rFonts w:ascii="宋体" w:hAnsi="宋体"/>
          <w:color w:val="000000" w:themeColor="text1"/>
          <w:kern w:val="0"/>
          <w:sz w:val="24"/>
          <w:szCs w:val="21"/>
          <w14:textFill>
            <w14:solidFill>
              <w14:schemeClr w14:val="tx1"/>
            </w14:solidFill>
          </w14:textFill>
        </w:rPr>
        <w:br w:type="page"/>
      </w:r>
    </w:p>
    <w:p w14:paraId="69A8888C">
      <w:pPr>
        <w:autoSpaceDE w:val="0"/>
        <w:autoSpaceDN w:val="0"/>
        <w:adjustRightInd w:val="0"/>
        <w:snapToGrid w:val="0"/>
        <w:spacing w:line="360" w:lineRule="auto"/>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 w:val="36"/>
          <w:szCs w:val="36"/>
          <w14:textFill>
            <w14:solidFill>
              <w14:schemeClr w14:val="tx1"/>
            </w14:solidFill>
          </w14:textFill>
        </w:rPr>
        <w:t>目  录</w:t>
      </w:r>
    </w:p>
    <w:p w14:paraId="4D7EF78D">
      <w:pPr>
        <w:autoSpaceDE w:val="0"/>
        <w:autoSpaceDN w:val="0"/>
        <w:adjustRightInd w:val="0"/>
        <w:snapToGrid w:val="0"/>
        <w:spacing w:line="360" w:lineRule="auto"/>
        <w:jc w:val="left"/>
        <w:rPr>
          <w:rFonts w:hint="eastAsia" w:ascii="宋体" w:hAnsi="宋体"/>
          <w:color w:val="000000" w:themeColor="text1"/>
          <w:kern w:val="0"/>
          <w:szCs w:val="21"/>
          <w14:textFill>
            <w14:solidFill>
              <w14:schemeClr w14:val="tx1"/>
            </w14:solidFill>
          </w14:textFill>
        </w:rPr>
      </w:pPr>
    </w:p>
    <w:p w14:paraId="688E5699">
      <w:pPr>
        <w:autoSpaceDE w:val="0"/>
        <w:autoSpaceDN w:val="0"/>
        <w:adjustRightInd w:val="0"/>
        <w:snapToGrid w:val="0"/>
        <w:spacing w:line="360" w:lineRule="auto"/>
        <w:jc w:val="center"/>
        <w:rPr>
          <w:rFonts w:hint="eastAsia" w:ascii="宋体" w:hAnsi="宋体"/>
          <w:i/>
          <w:iCs/>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（注：</w:t>
      </w:r>
      <w:r>
        <w:rPr>
          <w:rFonts w:ascii="宋体" w:hAnsi="宋体"/>
          <w:color w:val="000000" w:themeColor="text1"/>
          <w:kern w:val="0"/>
          <w:szCs w:val="21"/>
          <w14:textFill>
            <w14:solidFill>
              <w14:schemeClr w14:val="tx1"/>
            </w14:solidFill>
          </w14:textFill>
        </w:rPr>
        <w:t>目录由投标人自行编制</w:t>
      </w:r>
      <w:r>
        <w:rPr>
          <w:rFonts w:hint="eastAsia" w:ascii="宋体" w:hAnsi="宋体"/>
          <w:color w:val="000000" w:themeColor="text1"/>
          <w:kern w:val="0"/>
          <w:szCs w:val="21"/>
          <w14:textFill>
            <w14:solidFill>
              <w14:schemeClr w14:val="tx1"/>
            </w14:solidFill>
          </w14:textFill>
        </w:rPr>
        <w:t>）</w:t>
      </w:r>
    </w:p>
    <w:p w14:paraId="2697DB2A">
      <w:pPr>
        <w:pStyle w:val="5"/>
        <w:spacing w:before="0" w:after="0" w:line="240" w:lineRule="auto"/>
        <w:jc w:val="center"/>
        <w:rPr>
          <w:rFonts w:hint="eastAsia" w:ascii="宋体" w:hAnsi="宋体"/>
          <w:b w:val="0"/>
          <w:bCs w:val="0"/>
          <w:color w:val="000000" w:themeColor="text1"/>
          <w14:textFill>
            <w14:solidFill>
              <w14:schemeClr w14:val="tx1"/>
            </w14:solidFill>
          </w14:textFill>
        </w:rPr>
      </w:pPr>
      <w:bookmarkStart w:id="2129" w:name="_Toc430530535"/>
      <w:bookmarkStart w:id="2130" w:name="_Toc277082648"/>
      <w:bookmarkStart w:id="2131" w:name="_Toc287620820"/>
      <w:bookmarkStart w:id="2132" w:name="_Toc224103501"/>
      <w:bookmarkStart w:id="2133" w:name="_Toc287607873"/>
      <w:r>
        <w:rPr>
          <w:rFonts w:ascii="宋体" w:hAnsi="宋体"/>
          <w:b w:val="0"/>
          <w:bCs w:val="0"/>
          <w:color w:val="000000" w:themeColor="text1"/>
          <w:kern w:val="0"/>
          <w:sz w:val="21"/>
          <w:szCs w:val="21"/>
          <w14:textFill>
            <w14:solidFill>
              <w14:schemeClr w14:val="tx1"/>
            </w14:solidFill>
          </w14:textFill>
        </w:rPr>
        <w:br w:type="page"/>
      </w:r>
      <w:bookmarkStart w:id="2134" w:name="_Toc226115611"/>
      <w:bookmarkStart w:id="2135" w:name="_Toc13284"/>
      <w:r>
        <w:rPr>
          <w:rFonts w:hint="eastAsia" w:ascii="宋体" w:hAnsi="宋体"/>
          <w:b w:val="0"/>
          <w:bCs w:val="0"/>
          <w:color w:val="000000" w:themeColor="text1"/>
          <w14:textFill>
            <w14:solidFill>
              <w14:schemeClr w14:val="tx1"/>
            </w14:solidFill>
          </w14:textFill>
        </w:rPr>
        <w:t>（一）已标价工程量清单</w:t>
      </w:r>
      <w:bookmarkEnd w:id="2129"/>
      <w:bookmarkEnd w:id="2130"/>
      <w:bookmarkEnd w:id="2131"/>
      <w:bookmarkEnd w:id="2132"/>
      <w:bookmarkEnd w:id="2133"/>
      <w:bookmarkEnd w:id="2134"/>
      <w:bookmarkEnd w:id="2135"/>
    </w:p>
    <w:p w14:paraId="42F5BC4E">
      <w:pPr>
        <w:tabs>
          <w:tab w:val="left" w:pos="2580"/>
          <w:tab w:val="left" w:pos="5940"/>
        </w:tabs>
        <w:autoSpaceDE w:val="0"/>
        <w:autoSpaceDN w:val="0"/>
        <w:adjustRightInd w:val="0"/>
        <w:snapToGrid w:val="0"/>
        <w:spacing w:line="360" w:lineRule="auto"/>
        <w:ind w:firstLine="2940"/>
        <w:jc w:val="left"/>
        <w:rPr>
          <w:rFonts w:hint="eastAsia" w:ascii="宋体" w:hAnsi="宋体"/>
          <w:color w:val="000000" w:themeColor="text1"/>
          <w:kern w:val="0"/>
          <w:sz w:val="28"/>
          <w:szCs w:val="28"/>
          <w14:textFill>
            <w14:solidFill>
              <w14:schemeClr w14:val="tx1"/>
            </w14:solidFill>
          </w14:textFill>
        </w:rPr>
      </w:pPr>
    </w:p>
    <w:p w14:paraId="1C79879C">
      <w:pPr>
        <w:pStyle w:val="4"/>
        <w:spacing w:before="0" w:line="360" w:lineRule="auto"/>
        <w:rPr>
          <w:rFonts w:hint="eastAsia" w:ascii="宋体" w:hAnsi="宋体"/>
          <w:color w:val="000000" w:themeColor="text1"/>
          <w:kern w:val="0"/>
          <w:sz w:val="24"/>
          <w:szCs w:val="21"/>
          <w14:textFill>
            <w14:solidFill>
              <w14:schemeClr w14:val="tx1"/>
            </w14:solidFill>
          </w14:textFill>
        </w:rPr>
      </w:pPr>
      <w:bookmarkStart w:id="2136" w:name="_Toc287607874"/>
      <w:bookmarkStart w:id="2137" w:name="_Toc287620821"/>
      <w:bookmarkStart w:id="2138" w:name="_Toc430530536"/>
      <w:bookmarkStart w:id="2139" w:name="_Toc224103502"/>
      <w:r>
        <w:rPr>
          <w:rFonts w:ascii="宋体" w:hAnsi="宋体"/>
          <w:color w:val="000000" w:themeColor="text1"/>
          <w14:textFill>
            <w14:solidFill>
              <w14:schemeClr w14:val="tx1"/>
            </w14:solidFill>
          </w14:textFill>
        </w:rPr>
        <w:br w:type="page"/>
      </w:r>
    </w:p>
    <w:p w14:paraId="6C527486">
      <w:pPr>
        <w:pStyle w:val="4"/>
        <w:spacing w:before="0" w:line="360" w:lineRule="auto"/>
        <w:jc w:val="center"/>
        <w:rPr>
          <w:rFonts w:hint="eastAsia" w:ascii="宋体" w:hAnsi="宋体"/>
          <w:b w:val="0"/>
          <w:bCs w:val="0"/>
          <w:color w:val="000000" w:themeColor="text1"/>
          <w:sz w:val="44"/>
          <w:szCs w:val="44"/>
          <w14:textFill>
            <w14:solidFill>
              <w14:schemeClr w14:val="tx1"/>
            </w14:solidFill>
          </w14:textFill>
        </w:rPr>
      </w:pPr>
      <w:bookmarkStart w:id="2140" w:name="_Toc57796015"/>
      <w:bookmarkStart w:id="2141" w:name="_Toc10692"/>
      <w:bookmarkStart w:id="2142" w:name="_Toc226115612"/>
      <w:r>
        <w:rPr>
          <w:rFonts w:hint="eastAsia" w:ascii="宋体" w:hAnsi="宋体"/>
          <w:b w:val="0"/>
          <w:bCs w:val="0"/>
          <w:color w:val="000000" w:themeColor="text1"/>
          <w:sz w:val="44"/>
          <w:szCs w:val="44"/>
          <w14:textFill>
            <w14:solidFill>
              <w14:schemeClr w14:val="tx1"/>
            </w14:solidFill>
          </w14:textFill>
        </w:rPr>
        <w:t>三、</w:t>
      </w:r>
      <w:bookmarkEnd w:id="2136"/>
      <w:bookmarkEnd w:id="2137"/>
      <w:bookmarkEnd w:id="2138"/>
      <w:bookmarkEnd w:id="2139"/>
      <w:bookmarkEnd w:id="2140"/>
      <w:bookmarkEnd w:id="2141"/>
      <w:bookmarkStart w:id="2143" w:name="_Toc32055"/>
      <w:r>
        <w:rPr>
          <w:rFonts w:hint="eastAsia" w:ascii="宋体" w:hAnsi="宋体"/>
          <w:b w:val="0"/>
          <w:bCs w:val="0"/>
          <w:color w:val="000000" w:themeColor="text1"/>
          <w:sz w:val="44"/>
          <w:szCs w:val="44"/>
          <w14:textFill>
            <w14:solidFill>
              <w14:schemeClr w14:val="tx1"/>
            </w14:solidFill>
          </w14:textFill>
        </w:rPr>
        <w:t>资格审查部分</w:t>
      </w:r>
      <w:bookmarkEnd w:id="2142"/>
      <w:bookmarkEnd w:id="2143"/>
    </w:p>
    <w:p w14:paraId="25B21E94">
      <w:pPr>
        <w:spacing w:line="360" w:lineRule="auto"/>
        <w:jc w:val="center"/>
        <w:rPr>
          <w:rFonts w:hint="eastAsia" w:ascii="宋体" w:hAnsi="宋体"/>
          <w:color w:val="000000" w:themeColor="text1"/>
          <w:kern w:val="0"/>
          <w:sz w:val="32"/>
          <w:szCs w:val="32"/>
          <w14:textFill>
            <w14:solidFill>
              <w14:schemeClr w14:val="tx1"/>
            </w14:solidFill>
          </w14:textFill>
        </w:rPr>
      </w:pPr>
      <w:r>
        <w:rPr>
          <w:rFonts w:ascii="宋体" w:hAnsi="宋体"/>
          <w:color w:val="000000" w:themeColor="text1"/>
          <w:sz w:val="32"/>
          <w:szCs w:val="32"/>
          <w14:textFill>
            <w14:solidFill>
              <w14:schemeClr w14:val="tx1"/>
            </w14:solidFill>
          </w14:textFill>
        </w:rPr>
        <w:br w:type="page"/>
      </w:r>
      <w:r>
        <w:rPr>
          <w:rFonts w:hint="eastAsia" w:ascii="宋体" w:hAnsi="宋体"/>
          <w:color w:val="000000" w:themeColor="text1"/>
          <w:kern w:val="0"/>
          <w:sz w:val="32"/>
          <w:szCs w:val="32"/>
          <w:u w:val="single"/>
          <w14:textFill>
            <w14:solidFill>
              <w14:schemeClr w14:val="tx1"/>
            </w14:solidFill>
          </w14:textFill>
        </w:rPr>
        <w:t xml:space="preserve">                   （项目名称）</w:t>
      </w:r>
    </w:p>
    <w:p w14:paraId="3A528883">
      <w:pPr>
        <w:tabs>
          <w:tab w:val="left" w:pos="3600"/>
          <w:tab w:val="left" w:pos="4480"/>
          <w:tab w:val="left" w:pos="5360"/>
        </w:tabs>
        <w:autoSpaceDE w:val="0"/>
        <w:autoSpaceDN w:val="0"/>
        <w:adjustRightInd w:val="0"/>
        <w:snapToGrid w:val="0"/>
        <w:spacing w:line="360" w:lineRule="auto"/>
        <w:jc w:val="left"/>
        <w:rPr>
          <w:rFonts w:hint="eastAsia" w:ascii="宋体" w:hAnsi="宋体" w:cs="MingLiU"/>
          <w:color w:val="000000" w:themeColor="text1"/>
          <w:kern w:val="0"/>
          <w:sz w:val="44"/>
          <w:szCs w:val="44"/>
          <w14:textFill>
            <w14:solidFill>
              <w14:schemeClr w14:val="tx1"/>
            </w14:solidFill>
          </w14:textFill>
        </w:rPr>
      </w:pPr>
    </w:p>
    <w:p w14:paraId="26AE8AA5">
      <w:pPr>
        <w:tabs>
          <w:tab w:val="left" w:pos="3600"/>
          <w:tab w:val="left" w:pos="4480"/>
          <w:tab w:val="left" w:pos="5360"/>
        </w:tabs>
        <w:autoSpaceDE w:val="0"/>
        <w:autoSpaceDN w:val="0"/>
        <w:adjustRightInd w:val="0"/>
        <w:snapToGrid w:val="0"/>
        <w:spacing w:line="360" w:lineRule="auto"/>
        <w:jc w:val="left"/>
        <w:rPr>
          <w:rFonts w:hint="eastAsia" w:ascii="宋体" w:hAnsi="宋体" w:cs="MingLiU"/>
          <w:color w:val="000000" w:themeColor="text1"/>
          <w:kern w:val="0"/>
          <w:sz w:val="44"/>
          <w:szCs w:val="44"/>
          <w14:textFill>
            <w14:solidFill>
              <w14:schemeClr w14:val="tx1"/>
            </w14:solidFill>
          </w14:textFill>
        </w:rPr>
      </w:pPr>
    </w:p>
    <w:p w14:paraId="2AD88D65">
      <w:pPr>
        <w:tabs>
          <w:tab w:val="left" w:pos="3600"/>
          <w:tab w:val="left" w:pos="4480"/>
          <w:tab w:val="left" w:pos="5360"/>
        </w:tabs>
        <w:autoSpaceDE w:val="0"/>
        <w:autoSpaceDN w:val="0"/>
        <w:adjustRightInd w:val="0"/>
        <w:snapToGrid w:val="0"/>
        <w:spacing w:line="360" w:lineRule="auto"/>
        <w:jc w:val="left"/>
        <w:rPr>
          <w:rFonts w:hint="eastAsia" w:ascii="宋体" w:hAnsi="宋体" w:cs="MingLiU"/>
          <w:color w:val="000000" w:themeColor="text1"/>
          <w:kern w:val="0"/>
          <w:sz w:val="44"/>
          <w:szCs w:val="44"/>
          <w14:textFill>
            <w14:solidFill>
              <w14:schemeClr w14:val="tx1"/>
            </w14:solidFill>
          </w14:textFill>
        </w:rPr>
      </w:pPr>
    </w:p>
    <w:p w14:paraId="1E087B2D">
      <w:pPr>
        <w:tabs>
          <w:tab w:val="left" w:pos="3600"/>
          <w:tab w:val="left" w:pos="4480"/>
          <w:tab w:val="left" w:pos="5360"/>
        </w:tabs>
        <w:autoSpaceDE w:val="0"/>
        <w:autoSpaceDN w:val="0"/>
        <w:adjustRightInd w:val="0"/>
        <w:snapToGrid w:val="0"/>
        <w:spacing w:line="360" w:lineRule="auto"/>
        <w:jc w:val="center"/>
        <w:rPr>
          <w:rFonts w:hint="eastAsia" w:ascii="宋体" w:hAnsi="宋体"/>
          <w:color w:val="000000" w:themeColor="text1"/>
          <w:kern w:val="0"/>
          <w:sz w:val="72"/>
          <w:szCs w:val="72"/>
          <w14:textFill>
            <w14:solidFill>
              <w14:schemeClr w14:val="tx1"/>
            </w14:solidFill>
          </w14:textFill>
        </w:rPr>
      </w:pPr>
      <w:r>
        <w:rPr>
          <w:rFonts w:hint="eastAsia" w:ascii="宋体" w:hAnsi="宋体"/>
          <w:color w:val="000000" w:themeColor="text1"/>
          <w:kern w:val="0"/>
          <w:sz w:val="72"/>
          <w:szCs w:val="72"/>
          <w14:textFill>
            <w14:solidFill>
              <w14:schemeClr w14:val="tx1"/>
            </w14:solidFill>
          </w14:textFill>
        </w:rPr>
        <w:t>投 标 文 件</w:t>
      </w:r>
    </w:p>
    <w:p w14:paraId="3112F00E">
      <w:pPr>
        <w:autoSpaceDE w:val="0"/>
        <w:autoSpaceDN w:val="0"/>
        <w:adjustRightInd w:val="0"/>
        <w:snapToGrid w:val="0"/>
        <w:spacing w:line="360" w:lineRule="auto"/>
        <w:jc w:val="left"/>
        <w:rPr>
          <w:rFonts w:hint="eastAsia" w:ascii="宋体" w:hAnsi="宋体"/>
          <w:color w:val="000000" w:themeColor="text1"/>
          <w:kern w:val="0"/>
          <w:sz w:val="16"/>
          <w:szCs w:val="16"/>
          <w14:textFill>
            <w14:solidFill>
              <w14:schemeClr w14:val="tx1"/>
            </w14:solidFill>
          </w14:textFill>
        </w:rPr>
      </w:pPr>
    </w:p>
    <w:p w14:paraId="5B8F0212">
      <w:pPr>
        <w:autoSpaceDE w:val="0"/>
        <w:autoSpaceDN w:val="0"/>
        <w:adjustRightInd w:val="0"/>
        <w:snapToGrid w:val="0"/>
        <w:spacing w:line="360" w:lineRule="auto"/>
        <w:jc w:val="center"/>
        <w:rPr>
          <w:rFonts w:hint="eastAsia" w:ascii="宋体" w:hAnsi="宋体"/>
          <w:color w:val="000000" w:themeColor="text1"/>
          <w:kern w:val="0"/>
          <w:sz w:val="36"/>
          <w:szCs w:val="36"/>
          <w14:textFill>
            <w14:solidFill>
              <w14:schemeClr w14:val="tx1"/>
            </w14:solidFill>
          </w14:textFill>
        </w:rPr>
      </w:pPr>
      <w:r>
        <w:rPr>
          <w:rFonts w:hint="eastAsia" w:ascii="宋体" w:hAnsi="宋体"/>
          <w:color w:val="000000" w:themeColor="text1"/>
          <w:kern w:val="0"/>
          <w:sz w:val="36"/>
          <w:szCs w:val="36"/>
          <w14:textFill>
            <w14:solidFill>
              <w14:schemeClr w14:val="tx1"/>
            </w14:solidFill>
          </w14:textFill>
        </w:rPr>
        <w:t>资格审查部分</w:t>
      </w:r>
    </w:p>
    <w:p w14:paraId="1F258CF1">
      <w:pPr>
        <w:autoSpaceDE w:val="0"/>
        <w:autoSpaceDN w:val="0"/>
        <w:adjustRightInd w:val="0"/>
        <w:snapToGrid w:val="0"/>
        <w:spacing w:line="360" w:lineRule="auto"/>
        <w:jc w:val="left"/>
        <w:rPr>
          <w:rFonts w:hint="eastAsia" w:ascii="宋体" w:hAnsi="宋体" w:cs="MingLiU"/>
          <w:color w:val="000000" w:themeColor="text1"/>
          <w:kern w:val="0"/>
          <w:sz w:val="20"/>
          <w:szCs w:val="20"/>
          <w14:textFill>
            <w14:solidFill>
              <w14:schemeClr w14:val="tx1"/>
            </w14:solidFill>
          </w14:textFill>
        </w:rPr>
      </w:pPr>
    </w:p>
    <w:p w14:paraId="6DDBB511">
      <w:pPr>
        <w:adjustRightInd w:val="0"/>
        <w:snapToGrid w:val="0"/>
        <w:spacing w:line="264" w:lineRule="auto"/>
        <w:rPr>
          <w:rFonts w:hint="eastAsia" w:ascii="宋体" w:hAnsi="宋体"/>
          <w:color w:val="000000" w:themeColor="text1"/>
          <w:szCs w:val="21"/>
          <w14:textFill>
            <w14:solidFill>
              <w14:schemeClr w14:val="tx1"/>
            </w14:solidFill>
          </w14:textFill>
        </w:rPr>
      </w:pPr>
    </w:p>
    <w:p w14:paraId="11717312">
      <w:pPr>
        <w:autoSpaceDE w:val="0"/>
        <w:autoSpaceDN w:val="0"/>
        <w:adjustRightInd w:val="0"/>
        <w:snapToGrid w:val="0"/>
        <w:spacing w:line="360" w:lineRule="auto"/>
        <w:jc w:val="left"/>
        <w:rPr>
          <w:rFonts w:hint="eastAsia" w:ascii="宋体" w:hAnsi="宋体" w:cs="MingLiU"/>
          <w:color w:val="000000" w:themeColor="text1"/>
          <w:kern w:val="0"/>
          <w:sz w:val="20"/>
          <w:szCs w:val="20"/>
          <w14:textFill>
            <w14:solidFill>
              <w14:schemeClr w14:val="tx1"/>
            </w14:solidFill>
          </w14:textFill>
        </w:rPr>
      </w:pPr>
    </w:p>
    <w:p w14:paraId="18433A37">
      <w:pPr>
        <w:autoSpaceDE w:val="0"/>
        <w:autoSpaceDN w:val="0"/>
        <w:adjustRightInd w:val="0"/>
        <w:snapToGrid w:val="0"/>
        <w:spacing w:line="360" w:lineRule="auto"/>
        <w:jc w:val="left"/>
        <w:rPr>
          <w:rFonts w:hint="eastAsia" w:ascii="宋体" w:hAnsi="宋体" w:cs="MingLiU"/>
          <w:color w:val="000000" w:themeColor="text1"/>
          <w:kern w:val="0"/>
          <w:sz w:val="20"/>
          <w:szCs w:val="20"/>
          <w14:textFill>
            <w14:solidFill>
              <w14:schemeClr w14:val="tx1"/>
            </w14:solidFill>
          </w14:textFill>
        </w:rPr>
      </w:pPr>
    </w:p>
    <w:p w14:paraId="21BBC744">
      <w:pPr>
        <w:autoSpaceDE w:val="0"/>
        <w:autoSpaceDN w:val="0"/>
        <w:adjustRightInd w:val="0"/>
        <w:snapToGrid w:val="0"/>
        <w:spacing w:line="360" w:lineRule="auto"/>
        <w:jc w:val="left"/>
        <w:rPr>
          <w:rFonts w:hint="eastAsia" w:ascii="宋体" w:hAnsi="宋体" w:cs="MingLiU"/>
          <w:color w:val="000000" w:themeColor="text1"/>
          <w:kern w:val="0"/>
          <w:sz w:val="20"/>
          <w:szCs w:val="20"/>
          <w14:textFill>
            <w14:solidFill>
              <w14:schemeClr w14:val="tx1"/>
            </w14:solidFill>
          </w14:textFill>
        </w:rPr>
      </w:pPr>
    </w:p>
    <w:p w14:paraId="3F30409A">
      <w:pPr>
        <w:autoSpaceDE w:val="0"/>
        <w:autoSpaceDN w:val="0"/>
        <w:adjustRightInd w:val="0"/>
        <w:snapToGrid w:val="0"/>
        <w:spacing w:line="360" w:lineRule="auto"/>
        <w:jc w:val="left"/>
        <w:rPr>
          <w:rFonts w:hint="eastAsia" w:ascii="宋体" w:hAnsi="宋体" w:cs="MingLiU"/>
          <w:color w:val="000000" w:themeColor="text1"/>
          <w:kern w:val="0"/>
          <w:sz w:val="20"/>
          <w:szCs w:val="20"/>
          <w14:textFill>
            <w14:solidFill>
              <w14:schemeClr w14:val="tx1"/>
            </w14:solidFill>
          </w14:textFill>
        </w:rPr>
      </w:pPr>
    </w:p>
    <w:p w14:paraId="72771E46">
      <w:pPr>
        <w:autoSpaceDE w:val="0"/>
        <w:autoSpaceDN w:val="0"/>
        <w:adjustRightInd w:val="0"/>
        <w:snapToGrid w:val="0"/>
        <w:spacing w:line="360" w:lineRule="auto"/>
        <w:jc w:val="left"/>
        <w:rPr>
          <w:rFonts w:hint="eastAsia" w:ascii="宋体" w:hAnsi="宋体" w:cs="MingLiU"/>
          <w:color w:val="000000" w:themeColor="text1"/>
          <w:kern w:val="0"/>
          <w:sz w:val="20"/>
          <w:szCs w:val="20"/>
          <w14:textFill>
            <w14:solidFill>
              <w14:schemeClr w14:val="tx1"/>
            </w14:solidFill>
          </w14:textFill>
        </w:rPr>
      </w:pPr>
    </w:p>
    <w:p w14:paraId="33188978">
      <w:pPr>
        <w:autoSpaceDE w:val="0"/>
        <w:autoSpaceDN w:val="0"/>
        <w:adjustRightInd w:val="0"/>
        <w:snapToGrid w:val="0"/>
        <w:spacing w:line="360" w:lineRule="auto"/>
        <w:jc w:val="left"/>
        <w:rPr>
          <w:rFonts w:hint="eastAsia" w:ascii="宋体" w:hAnsi="宋体" w:cs="MingLiU"/>
          <w:color w:val="000000" w:themeColor="text1"/>
          <w:kern w:val="0"/>
          <w:sz w:val="20"/>
          <w:szCs w:val="20"/>
          <w14:textFill>
            <w14:solidFill>
              <w14:schemeClr w14:val="tx1"/>
            </w14:solidFill>
          </w14:textFill>
        </w:rPr>
      </w:pPr>
    </w:p>
    <w:p w14:paraId="352D1266">
      <w:pPr>
        <w:autoSpaceDE w:val="0"/>
        <w:autoSpaceDN w:val="0"/>
        <w:adjustRightInd w:val="0"/>
        <w:snapToGrid w:val="0"/>
        <w:spacing w:line="360" w:lineRule="auto"/>
        <w:jc w:val="left"/>
        <w:rPr>
          <w:rFonts w:hint="eastAsia" w:ascii="宋体" w:hAnsi="宋体" w:cs="MingLiU"/>
          <w:color w:val="000000" w:themeColor="text1"/>
          <w:kern w:val="0"/>
          <w:sz w:val="20"/>
          <w:szCs w:val="20"/>
          <w14:textFill>
            <w14:solidFill>
              <w14:schemeClr w14:val="tx1"/>
            </w14:solidFill>
          </w14:textFill>
        </w:rPr>
      </w:pPr>
    </w:p>
    <w:p w14:paraId="5B7601A8">
      <w:pPr>
        <w:autoSpaceDE w:val="0"/>
        <w:autoSpaceDN w:val="0"/>
        <w:adjustRightInd w:val="0"/>
        <w:snapToGrid w:val="0"/>
        <w:spacing w:line="360" w:lineRule="auto"/>
        <w:jc w:val="left"/>
        <w:rPr>
          <w:rFonts w:hint="eastAsia" w:ascii="宋体" w:hAnsi="宋体" w:cs="MingLiU"/>
          <w:color w:val="000000" w:themeColor="text1"/>
          <w:kern w:val="0"/>
          <w:sz w:val="20"/>
          <w:szCs w:val="20"/>
          <w14:textFill>
            <w14:solidFill>
              <w14:schemeClr w14:val="tx1"/>
            </w14:solidFill>
          </w14:textFill>
        </w:rPr>
      </w:pPr>
    </w:p>
    <w:p w14:paraId="0C0DAEA7">
      <w:pPr>
        <w:autoSpaceDE w:val="0"/>
        <w:autoSpaceDN w:val="0"/>
        <w:adjustRightInd w:val="0"/>
        <w:snapToGrid w:val="0"/>
        <w:spacing w:line="360" w:lineRule="auto"/>
        <w:jc w:val="left"/>
        <w:rPr>
          <w:rFonts w:hint="eastAsia" w:ascii="宋体" w:hAnsi="宋体" w:cs="MingLiU"/>
          <w:color w:val="000000" w:themeColor="text1"/>
          <w:kern w:val="0"/>
          <w:sz w:val="20"/>
          <w:szCs w:val="20"/>
          <w14:textFill>
            <w14:solidFill>
              <w14:schemeClr w14:val="tx1"/>
            </w14:solidFill>
          </w14:textFill>
        </w:rPr>
      </w:pPr>
    </w:p>
    <w:p w14:paraId="1129EBC5">
      <w:pPr>
        <w:autoSpaceDE w:val="0"/>
        <w:autoSpaceDN w:val="0"/>
        <w:adjustRightInd w:val="0"/>
        <w:snapToGrid w:val="0"/>
        <w:spacing w:line="360" w:lineRule="auto"/>
        <w:jc w:val="left"/>
        <w:rPr>
          <w:rFonts w:hint="eastAsia" w:ascii="宋体" w:hAnsi="宋体" w:cs="MingLiU"/>
          <w:color w:val="000000" w:themeColor="text1"/>
          <w:kern w:val="0"/>
          <w:sz w:val="20"/>
          <w:szCs w:val="20"/>
          <w14:textFill>
            <w14:solidFill>
              <w14:schemeClr w14:val="tx1"/>
            </w14:solidFill>
          </w14:textFill>
        </w:rPr>
      </w:pPr>
    </w:p>
    <w:p w14:paraId="61457814">
      <w:pPr>
        <w:autoSpaceDE w:val="0"/>
        <w:autoSpaceDN w:val="0"/>
        <w:adjustRightInd w:val="0"/>
        <w:snapToGrid w:val="0"/>
        <w:spacing w:line="360" w:lineRule="auto"/>
        <w:jc w:val="left"/>
        <w:rPr>
          <w:rFonts w:hint="eastAsia" w:ascii="宋体" w:hAnsi="宋体" w:cs="MingLiU"/>
          <w:color w:val="000000" w:themeColor="text1"/>
          <w:kern w:val="0"/>
          <w:sz w:val="20"/>
          <w:szCs w:val="20"/>
          <w14:textFill>
            <w14:solidFill>
              <w14:schemeClr w14:val="tx1"/>
            </w14:solidFill>
          </w14:textFill>
        </w:rPr>
      </w:pPr>
    </w:p>
    <w:p w14:paraId="29D02725">
      <w:pPr>
        <w:autoSpaceDE w:val="0"/>
        <w:autoSpaceDN w:val="0"/>
        <w:adjustRightInd w:val="0"/>
        <w:snapToGrid w:val="0"/>
        <w:spacing w:line="360" w:lineRule="auto"/>
        <w:jc w:val="left"/>
        <w:rPr>
          <w:rFonts w:hint="eastAsia" w:ascii="宋体" w:hAnsi="宋体" w:cs="MingLiU"/>
          <w:color w:val="000000" w:themeColor="text1"/>
          <w:kern w:val="0"/>
          <w:sz w:val="20"/>
          <w:szCs w:val="20"/>
          <w14:textFill>
            <w14:solidFill>
              <w14:schemeClr w14:val="tx1"/>
            </w14:solidFill>
          </w14:textFill>
        </w:rPr>
      </w:pPr>
    </w:p>
    <w:p w14:paraId="39A7A5FB">
      <w:pPr>
        <w:autoSpaceDE w:val="0"/>
        <w:autoSpaceDN w:val="0"/>
        <w:adjustRightInd w:val="0"/>
        <w:snapToGrid w:val="0"/>
        <w:spacing w:line="360" w:lineRule="auto"/>
        <w:jc w:val="left"/>
        <w:rPr>
          <w:rFonts w:hint="eastAsia" w:ascii="宋体" w:hAnsi="宋体" w:cs="MingLiU"/>
          <w:color w:val="000000" w:themeColor="text1"/>
          <w:kern w:val="0"/>
          <w:sz w:val="20"/>
          <w:szCs w:val="20"/>
          <w14:textFill>
            <w14:solidFill>
              <w14:schemeClr w14:val="tx1"/>
            </w14:solidFill>
          </w14:textFill>
        </w:rPr>
      </w:pPr>
    </w:p>
    <w:p w14:paraId="0B40917D">
      <w:pPr>
        <w:tabs>
          <w:tab w:val="left" w:pos="6080"/>
          <w:tab w:val="left" w:pos="6640"/>
        </w:tabs>
        <w:autoSpaceDE w:val="0"/>
        <w:autoSpaceDN w:val="0"/>
        <w:adjustRightInd w:val="0"/>
        <w:snapToGrid w:val="0"/>
        <w:spacing w:line="480" w:lineRule="auto"/>
        <w:jc w:val="center"/>
        <w:rPr>
          <w:rFonts w:hint="eastAsia" w:ascii="宋体" w:hAnsi="宋体"/>
          <w:color w:val="000000" w:themeColor="text1"/>
          <w:w w:val="99"/>
          <w:kern w:val="0"/>
          <w:sz w:val="28"/>
          <w:szCs w:val="28"/>
          <w14:textFill>
            <w14:solidFill>
              <w14:schemeClr w14:val="tx1"/>
            </w14:solidFill>
          </w14:textFill>
        </w:rPr>
      </w:pPr>
      <w:r>
        <w:rPr>
          <w:rFonts w:ascii="宋体" w:hAnsi="宋体"/>
          <w:color w:val="000000" w:themeColor="text1"/>
          <w:w w:val="99"/>
          <w:kern w:val="0"/>
          <w:sz w:val="28"/>
          <w:szCs w:val="28"/>
          <w14:textFill>
            <w14:solidFill>
              <w14:schemeClr w14:val="tx1"/>
            </w14:solidFill>
          </w14:textFill>
        </w:rPr>
        <w:t>投标人</w:t>
      </w:r>
      <w:r>
        <w:rPr>
          <w:rFonts w:ascii="宋体" w:hAnsi="宋体"/>
          <w:color w:val="000000" w:themeColor="text1"/>
          <w:spacing w:val="1"/>
          <w:w w:val="99"/>
          <w:kern w:val="0"/>
          <w:sz w:val="28"/>
          <w:szCs w:val="28"/>
          <w14:textFill>
            <w14:solidFill>
              <w14:schemeClr w14:val="tx1"/>
            </w14:solidFill>
          </w14:textFill>
        </w:rPr>
        <w:t>：</w:t>
      </w:r>
      <w:r>
        <w:rPr>
          <w:rFonts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99"/>
          <w:kern w:val="0"/>
          <w:sz w:val="28"/>
          <w:szCs w:val="28"/>
          <w14:textFill>
            <w14:solidFill>
              <w14:schemeClr w14:val="tx1"/>
            </w14:solidFill>
          </w14:textFill>
        </w:rPr>
        <w:t>（盖单位法人章）</w:t>
      </w:r>
    </w:p>
    <w:p w14:paraId="383046DA">
      <w:pPr>
        <w:tabs>
          <w:tab w:val="left" w:pos="6080"/>
          <w:tab w:val="left" w:pos="6640"/>
        </w:tabs>
        <w:autoSpaceDE w:val="0"/>
        <w:autoSpaceDN w:val="0"/>
        <w:adjustRightInd w:val="0"/>
        <w:snapToGrid w:val="0"/>
        <w:spacing w:line="480" w:lineRule="auto"/>
        <w:jc w:val="center"/>
        <w:rPr>
          <w:rFonts w:hint="eastAsia" w:ascii="宋体" w:hAnsi="宋体"/>
          <w:color w:val="000000" w:themeColor="text1"/>
          <w:kern w:val="0"/>
          <w:sz w:val="28"/>
          <w:szCs w:val="28"/>
          <w14:textFill>
            <w14:solidFill>
              <w14:schemeClr w14:val="tx1"/>
            </w14:solidFill>
          </w14:textFill>
        </w:rPr>
      </w:pPr>
      <w:r>
        <w:rPr>
          <w:rFonts w:ascii="宋体" w:hAnsi="宋体"/>
          <w:color w:val="000000" w:themeColor="text1"/>
          <w:w w:val="99"/>
          <w:kern w:val="0"/>
          <w:sz w:val="28"/>
          <w:szCs w:val="28"/>
          <w14:textFill>
            <w14:solidFill>
              <w14:schemeClr w14:val="tx1"/>
            </w14:solidFill>
          </w14:textFill>
        </w:rPr>
        <w:t>法定代表人或其委托代理人：</w:t>
      </w:r>
      <w:r>
        <w:rPr>
          <w:rFonts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99"/>
          <w:kern w:val="0"/>
          <w:sz w:val="28"/>
          <w:szCs w:val="28"/>
          <w14:textFill>
            <w14:solidFill>
              <w14:schemeClr w14:val="tx1"/>
            </w14:solidFill>
          </w14:textFill>
        </w:rPr>
        <w:t>（</w:t>
      </w:r>
      <w:r>
        <w:rPr>
          <w:rFonts w:hint="eastAsia" w:ascii="宋体" w:hAnsi="宋体"/>
          <w:color w:val="000000" w:themeColor="text1"/>
          <w:w w:val="99"/>
          <w:kern w:val="0"/>
          <w:sz w:val="28"/>
          <w:szCs w:val="28"/>
          <w14:textFill>
            <w14:solidFill>
              <w14:schemeClr w14:val="tx1"/>
            </w14:solidFill>
          </w14:textFill>
        </w:rPr>
        <w:t>签名</w:t>
      </w:r>
      <w:r>
        <w:rPr>
          <w:rFonts w:ascii="宋体" w:hAnsi="宋体"/>
          <w:color w:val="000000" w:themeColor="text1"/>
          <w:w w:val="99"/>
          <w:kern w:val="0"/>
          <w:sz w:val="28"/>
          <w:szCs w:val="28"/>
          <w14:textFill>
            <w14:solidFill>
              <w14:schemeClr w14:val="tx1"/>
            </w14:solidFill>
          </w14:textFill>
        </w:rPr>
        <w:t>或盖章）</w:t>
      </w:r>
    </w:p>
    <w:p w14:paraId="5CDAD584">
      <w:pPr>
        <w:tabs>
          <w:tab w:val="left" w:pos="3280"/>
          <w:tab w:val="left" w:pos="4680"/>
          <w:tab w:val="left" w:pos="6080"/>
        </w:tabs>
        <w:autoSpaceDE w:val="0"/>
        <w:autoSpaceDN w:val="0"/>
        <w:adjustRightInd w:val="0"/>
        <w:snapToGrid w:val="0"/>
        <w:spacing w:line="480" w:lineRule="auto"/>
        <w:jc w:val="center"/>
        <w:rPr>
          <w:rFonts w:hint="eastAsia" w:ascii="宋体" w:hAnsi="宋体"/>
          <w:color w:val="000000" w:themeColor="text1"/>
          <w:w w:val="99"/>
          <w:kern w:val="0"/>
          <w:sz w:val="28"/>
          <w:szCs w:val="28"/>
          <w14:textFill>
            <w14:solidFill>
              <w14:schemeClr w14:val="tx1"/>
            </w14:solidFill>
          </w14:textFill>
        </w:rPr>
      </w:pPr>
      <w:r>
        <w:rPr>
          <w:rFonts w:ascii="宋体" w:hAnsi="宋体"/>
          <w:color w:val="000000" w:themeColor="text1"/>
          <w:w w:val="198"/>
          <w:kern w:val="0"/>
          <w:sz w:val="28"/>
          <w:szCs w:val="28"/>
          <w:u w:val="single"/>
          <w14:textFill>
            <w14:solidFill>
              <w14:schemeClr w14:val="tx1"/>
            </w14:solidFill>
          </w14:textFill>
        </w:rPr>
        <w:t xml:space="preserve"> </w:t>
      </w:r>
      <w:r>
        <w:rPr>
          <w:rFonts w:hint="eastAsia"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198"/>
          <w:kern w:val="0"/>
          <w:sz w:val="28"/>
          <w:szCs w:val="28"/>
          <w:u w:val="single"/>
          <w14:textFill>
            <w14:solidFill>
              <w14:schemeClr w14:val="tx1"/>
            </w14:solidFill>
          </w14:textFill>
        </w:rPr>
        <w:t xml:space="preserve"> </w:t>
      </w:r>
      <w:r>
        <w:rPr>
          <w:rFonts w:hint="eastAsia"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99"/>
          <w:kern w:val="0"/>
          <w:sz w:val="28"/>
          <w:szCs w:val="28"/>
          <w14:textFill>
            <w14:solidFill>
              <w14:schemeClr w14:val="tx1"/>
            </w14:solidFill>
          </w14:textFill>
        </w:rPr>
        <w:t>年</w:t>
      </w:r>
      <w:r>
        <w:rPr>
          <w:rFonts w:ascii="宋体" w:hAnsi="宋体"/>
          <w:color w:val="000000" w:themeColor="text1"/>
          <w:w w:val="198"/>
          <w:kern w:val="0"/>
          <w:sz w:val="28"/>
          <w:szCs w:val="28"/>
          <w:u w:val="single"/>
          <w14:textFill>
            <w14:solidFill>
              <w14:schemeClr w14:val="tx1"/>
            </w14:solidFill>
          </w14:textFill>
        </w:rPr>
        <w:t xml:space="preserve"> </w:t>
      </w:r>
      <w:r>
        <w:rPr>
          <w:rFonts w:hint="eastAsia"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198"/>
          <w:kern w:val="0"/>
          <w:sz w:val="28"/>
          <w:szCs w:val="28"/>
          <w:u w:val="single"/>
          <w14:textFill>
            <w14:solidFill>
              <w14:schemeClr w14:val="tx1"/>
            </w14:solidFill>
          </w14:textFill>
        </w:rPr>
        <w:t xml:space="preserve"> </w:t>
      </w:r>
      <w:r>
        <w:rPr>
          <w:rFonts w:hint="eastAsia"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99"/>
          <w:kern w:val="0"/>
          <w:sz w:val="28"/>
          <w:szCs w:val="28"/>
          <w14:textFill>
            <w14:solidFill>
              <w14:schemeClr w14:val="tx1"/>
            </w14:solidFill>
          </w14:textFill>
        </w:rPr>
        <w:t>月</w:t>
      </w:r>
      <w:r>
        <w:rPr>
          <w:rFonts w:ascii="宋体" w:hAnsi="宋体"/>
          <w:color w:val="000000" w:themeColor="text1"/>
          <w:w w:val="198"/>
          <w:kern w:val="0"/>
          <w:sz w:val="28"/>
          <w:szCs w:val="28"/>
          <w:u w:val="single"/>
          <w14:textFill>
            <w14:solidFill>
              <w14:schemeClr w14:val="tx1"/>
            </w14:solidFill>
          </w14:textFill>
        </w:rPr>
        <w:t xml:space="preserve"> </w:t>
      </w:r>
      <w:r>
        <w:rPr>
          <w:rFonts w:hint="eastAsia"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198"/>
          <w:kern w:val="0"/>
          <w:sz w:val="28"/>
          <w:szCs w:val="28"/>
          <w:u w:val="single"/>
          <w14:textFill>
            <w14:solidFill>
              <w14:schemeClr w14:val="tx1"/>
            </w14:solidFill>
          </w14:textFill>
        </w:rPr>
        <w:t xml:space="preserve"> </w:t>
      </w:r>
      <w:r>
        <w:rPr>
          <w:rFonts w:hint="eastAsia" w:ascii="宋体" w:hAnsi="宋体"/>
          <w:color w:val="000000" w:themeColor="text1"/>
          <w:w w:val="198"/>
          <w:kern w:val="0"/>
          <w:sz w:val="28"/>
          <w:szCs w:val="28"/>
          <w:u w:val="single"/>
          <w14:textFill>
            <w14:solidFill>
              <w14:schemeClr w14:val="tx1"/>
            </w14:solidFill>
          </w14:textFill>
        </w:rPr>
        <w:t xml:space="preserve"> </w:t>
      </w:r>
      <w:r>
        <w:rPr>
          <w:rFonts w:ascii="宋体" w:hAnsi="宋体"/>
          <w:color w:val="000000" w:themeColor="text1"/>
          <w:w w:val="99"/>
          <w:kern w:val="0"/>
          <w:sz w:val="28"/>
          <w:szCs w:val="28"/>
          <w14:textFill>
            <w14:solidFill>
              <w14:schemeClr w14:val="tx1"/>
            </w14:solidFill>
          </w14:textFill>
        </w:rPr>
        <w:t>日</w:t>
      </w:r>
    </w:p>
    <w:p w14:paraId="69B7661A">
      <w:pPr>
        <w:tabs>
          <w:tab w:val="left" w:pos="3280"/>
          <w:tab w:val="left" w:pos="4680"/>
          <w:tab w:val="left" w:pos="6080"/>
        </w:tabs>
        <w:autoSpaceDE w:val="0"/>
        <w:autoSpaceDN w:val="0"/>
        <w:adjustRightInd w:val="0"/>
        <w:snapToGrid w:val="0"/>
        <w:spacing w:line="480" w:lineRule="auto"/>
        <w:jc w:val="center"/>
        <w:rPr>
          <w:rFonts w:hint="eastAsia" w:ascii="宋体" w:hAnsi="宋体"/>
          <w:b/>
          <w:color w:val="000000" w:themeColor="text1"/>
          <w:kern w:val="0"/>
          <w:sz w:val="28"/>
          <w:szCs w:val="28"/>
          <w14:textFill>
            <w14:solidFill>
              <w14:schemeClr w14:val="tx1"/>
            </w14:solidFill>
          </w14:textFill>
        </w:rPr>
      </w:pPr>
      <w:r>
        <w:rPr>
          <w:rFonts w:ascii="宋体" w:hAnsi="宋体"/>
          <w:color w:val="000000" w:themeColor="text1"/>
          <w:w w:val="99"/>
          <w:kern w:val="0"/>
          <w:sz w:val="28"/>
          <w:szCs w:val="28"/>
          <w14:textFill>
            <w14:solidFill>
              <w14:schemeClr w14:val="tx1"/>
            </w14:solidFill>
          </w14:textFill>
        </w:rPr>
        <w:br w:type="page"/>
      </w:r>
    </w:p>
    <w:p w14:paraId="0DA4AEFF">
      <w:pPr>
        <w:autoSpaceDE w:val="0"/>
        <w:autoSpaceDN w:val="0"/>
        <w:adjustRightInd w:val="0"/>
        <w:snapToGrid w:val="0"/>
        <w:jc w:val="center"/>
        <w:rPr>
          <w:rFonts w:hint="eastAsia" w:ascii="宋体" w:hAnsi="宋体"/>
          <w:color w:val="000000" w:themeColor="text1"/>
          <w:kern w:val="0"/>
          <w:sz w:val="36"/>
          <w:szCs w:val="36"/>
          <w14:textFill>
            <w14:solidFill>
              <w14:schemeClr w14:val="tx1"/>
            </w14:solidFill>
          </w14:textFill>
        </w:rPr>
      </w:pPr>
      <w:r>
        <w:rPr>
          <w:rFonts w:hint="eastAsia" w:ascii="宋体" w:hAnsi="宋体"/>
          <w:color w:val="000000" w:themeColor="text1"/>
          <w:kern w:val="0"/>
          <w:sz w:val="36"/>
          <w:szCs w:val="36"/>
          <w14:textFill>
            <w14:solidFill>
              <w14:schemeClr w14:val="tx1"/>
            </w14:solidFill>
          </w14:textFill>
        </w:rPr>
        <w:t>目  录</w:t>
      </w:r>
    </w:p>
    <w:p w14:paraId="335D4A78">
      <w:pPr>
        <w:spacing w:line="360" w:lineRule="auto"/>
        <w:jc w:val="center"/>
        <w:rPr>
          <w:rFonts w:hint="eastAsia" w:ascii="宋体" w:hAnsi="宋体"/>
          <w:b/>
          <w:color w:val="000000" w:themeColor="text1"/>
          <w:kern w:val="0"/>
          <w:sz w:val="32"/>
          <w:szCs w:val="32"/>
          <w14:textFill>
            <w14:solidFill>
              <w14:schemeClr w14:val="tx1"/>
            </w14:solidFill>
          </w14:textFill>
        </w:rPr>
      </w:pPr>
    </w:p>
    <w:p w14:paraId="32074954">
      <w:pPr>
        <w:spacing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（一）</w:t>
      </w:r>
      <w:r>
        <w:rPr>
          <w:rFonts w:hint="eastAsia" w:ascii="宋体" w:hAnsi="宋体"/>
          <w:color w:val="000000" w:themeColor="text1"/>
          <w:szCs w:val="21"/>
          <w14:textFill>
            <w14:solidFill>
              <w14:schemeClr w14:val="tx1"/>
            </w14:solidFill>
          </w14:textFill>
        </w:rPr>
        <w:t>法定代表人身份证明或授权委托书</w:t>
      </w:r>
    </w:p>
    <w:p w14:paraId="3D44A681">
      <w:pPr>
        <w:spacing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（二）</w:t>
      </w:r>
      <w:r>
        <w:rPr>
          <w:rFonts w:hint="eastAsia" w:ascii="宋体" w:hAnsi="宋体"/>
          <w:color w:val="000000" w:themeColor="text1"/>
          <w:szCs w:val="21"/>
          <w14:textFill>
            <w14:solidFill>
              <w14:schemeClr w14:val="tx1"/>
            </w14:solidFill>
          </w14:textFill>
        </w:rPr>
        <w:t>承诺</w:t>
      </w:r>
    </w:p>
    <w:p w14:paraId="4AF153A3">
      <w:pPr>
        <w:spacing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（三）其他资料</w:t>
      </w:r>
    </w:p>
    <w:p w14:paraId="18CD0367">
      <w:pPr>
        <w:spacing w:line="360" w:lineRule="auto"/>
        <w:rPr>
          <w:rFonts w:hint="eastAsia" w:ascii="宋体" w:hAnsi="宋体"/>
          <w:b/>
          <w:color w:val="000000" w:themeColor="text1"/>
          <w:kern w:val="0"/>
          <w:sz w:val="32"/>
          <w:szCs w:val="32"/>
          <w14:textFill>
            <w14:solidFill>
              <w14:schemeClr w14:val="tx1"/>
            </w14:solidFill>
          </w14:textFill>
        </w:rPr>
      </w:pPr>
    </w:p>
    <w:p w14:paraId="51DD75DD">
      <w:pPr>
        <w:spacing w:line="360" w:lineRule="auto"/>
        <w:jc w:val="center"/>
        <w:rPr>
          <w:rFonts w:hint="eastAsia" w:ascii="宋体" w:hAnsi="宋体"/>
          <w:b/>
          <w:color w:val="000000" w:themeColor="text1"/>
          <w:kern w:val="0"/>
          <w:sz w:val="32"/>
          <w:szCs w:val="32"/>
          <w14:textFill>
            <w14:solidFill>
              <w14:schemeClr w14:val="tx1"/>
            </w14:solidFill>
          </w14:textFill>
        </w:rPr>
      </w:pPr>
    </w:p>
    <w:p w14:paraId="0EDAE822">
      <w:pPr>
        <w:pStyle w:val="5"/>
        <w:spacing w:before="0" w:after="0" w:line="240" w:lineRule="auto"/>
        <w:jc w:val="center"/>
        <w:rPr>
          <w:rFonts w:hint="eastAsia" w:ascii="宋体" w:hAnsi="宋体"/>
          <w:color w:val="000000" w:themeColor="text1"/>
          <w:sz w:val="36"/>
          <w:szCs w:val="36"/>
          <w14:textFill>
            <w14:solidFill>
              <w14:schemeClr w14:val="tx1"/>
            </w14:solidFill>
          </w14:textFill>
        </w:rPr>
      </w:pPr>
      <w:r>
        <w:rPr>
          <w:rFonts w:ascii="宋体" w:hAnsi="宋体"/>
          <w:color w:val="000000" w:themeColor="text1"/>
          <w14:textFill>
            <w14:solidFill>
              <w14:schemeClr w14:val="tx1"/>
            </w14:solidFill>
          </w14:textFill>
        </w:rPr>
        <w:br w:type="page"/>
      </w:r>
      <w:bookmarkStart w:id="2144" w:name="_Toc277082657"/>
      <w:bookmarkStart w:id="2145" w:name="_Toc287607883"/>
      <w:bookmarkStart w:id="2146" w:name="_Toc226115613"/>
      <w:bookmarkStart w:id="2147" w:name="_Toc224103511"/>
      <w:bookmarkStart w:id="2148" w:name="_Toc287620830"/>
      <w:bookmarkStart w:id="2149" w:name="_Toc3130"/>
      <w:bookmarkStart w:id="2150" w:name="_Toc430530546"/>
      <w:r>
        <w:rPr>
          <w:rFonts w:hint="eastAsia" w:ascii="宋体" w:hAnsi="宋体"/>
          <w:b w:val="0"/>
          <w:bCs w:val="0"/>
          <w:color w:val="000000" w:themeColor="text1"/>
          <w14:textFill>
            <w14:solidFill>
              <w14:schemeClr w14:val="tx1"/>
            </w14:solidFill>
          </w14:textFill>
        </w:rPr>
        <w:t>（一）法定代表人身份证明或授权委托书</w:t>
      </w:r>
      <w:bookmarkEnd w:id="2144"/>
      <w:bookmarkEnd w:id="2145"/>
      <w:bookmarkEnd w:id="2146"/>
      <w:bookmarkEnd w:id="2147"/>
      <w:bookmarkEnd w:id="2148"/>
      <w:bookmarkEnd w:id="2149"/>
      <w:bookmarkEnd w:id="2150"/>
    </w:p>
    <w:p w14:paraId="5BDA8AA8">
      <w:pPr>
        <w:spacing w:line="480" w:lineRule="auto"/>
        <w:jc w:val="center"/>
        <w:rPr>
          <w:rFonts w:hint="eastAsia"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法定代表人身份证明</w:t>
      </w:r>
    </w:p>
    <w:p w14:paraId="6E840324">
      <w:pPr>
        <w:spacing w:line="480" w:lineRule="auto"/>
        <w:jc w:val="center"/>
        <w:rPr>
          <w:rFonts w:hint="eastAsia" w:ascii="宋体" w:hAnsi="宋体"/>
          <w:color w:val="000000" w:themeColor="text1"/>
          <w14:textFill>
            <w14:solidFill>
              <w14:schemeClr w14:val="tx1"/>
            </w14:solidFill>
          </w14:textFill>
        </w:rPr>
      </w:pPr>
    </w:p>
    <w:p w14:paraId="2952CC42">
      <w:pPr>
        <w:tabs>
          <w:tab w:val="left" w:pos="5565"/>
        </w:tabs>
        <w:autoSpaceDE w:val="0"/>
        <w:autoSpaceDN w:val="0"/>
        <w:adjustRightInd w:val="0"/>
        <w:snapToGrid w:val="0"/>
        <w:spacing w:line="480" w:lineRule="auto"/>
        <w:ind w:firstLine="390" w:firstLineChars="186"/>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投标人名称：</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p>
    <w:p w14:paraId="3BDB5638">
      <w:pPr>
        <w:tabs>
          <w:tab w:val="left" w:pos="5475"/>
        </w:tabs>
        <w:autoSpaceDE w:val="0"/>
        <w:autoSpaceDN w:val="0"/>
        <w:adjustRightInd w:val="0"/>
        <w:snapToGrid w:val="0"/>
        <w:spacing w:line="480" w:lineRule="auto"/>
        <w:ind w:firstLine="390" w:firstLineChars="186"/>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单位性质：</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p>
    <w:p w14:paraId="0CBF4714">
      <w:pPr>
        <w:tabs>
          <w:tab w:val="left" w:pos="5475"/>
        </w:tabs>
        <w:autoSpaceDE w:val="0"/>
        <w:autoSpaceDN w:val="0"/>
        <w:adjustRightInd w:val="0"/>
        <w:snapToGrid w:val="0"/>
        <w:spacing w:line="480" w:lineRule="auto"/>
        <w:ind w:firstLine="390" w:firstLineChars="186"/>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地</w:t>
      </w:r>
      <w:r>
        <w:rPr>
          <w:rFonts w:hint="eastAsia" w:ascii="宋体" w:hAnsi="宋体"/>
          <w:color w:val="000000" w:themeColor="text1"/>
          <w:kern w:val="0"/>
          <w:szCs w:val="21"/>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址：</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p>
    <w:p w14:paraId="0E420630">
      <w:pPr>
        <w:tabs>
          <w:tab w:val="left" w:pos="5475"/>
        </w:tabs>
        <w:autoSpaceDE w:val="0"/>
        <w:autoSpaceDN w:val="0"/>
        <w:adjustRightInd w:val="0"/>
        <w:snapToGrid w:val="0"/>
        <w:spacing w:line="480" w:lineRule="auto"/>
        <w:ind w:firstLine="390" w:firstLineChars="186"/>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成立时间：</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年</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月</w:t>
      </w:r>
      <w:r>
        <w:rPr>
          <w:rFonts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日</w:t>
      </w:r>
    </w:p>
    <w:p w14:paraId="2ED3D56B">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姓名：</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性别</w:t>
      </w:r>
      <w:r>
        <w:rPr>
          <w:rFonts w:ascii="宋体" w:hAnsi="宋体"/>
          <w:color w:val="000000" w:themeColor="text1"/>
          <w:spacing w:val="-1"/>
          <w:kern w:val="0"/>
          <w:szCs w:val="21"/>
          <w14:textFill>
            <w14:solidFill>
              <w14:schemeClr w14:val="tx1"/>
            </w14:solidFill>
          </w14:textFill>
        </w:rPr>
        <w:t>：</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spacing w:val="-1"/>
          <w:kern w:val="0"/>
          <w:szCs w:val="21"/>
          <w14:textFill>
            <w14:solidFill>
              <w14:schemeClr w14:val="tx1"/>
            </w14:solidFill>
          </w14:textFill>
        </w:rPr>
        <w:t>年</w:t>
      </w:r>
      <w:r>
        <w:rPr>
          <w:rFonts w:ascii="宋体" w:hAnsi="宋体"/>
          <w:color w:val="000000" w:themeColor="text1"/>
          <w:kern w:val="0"/>
          <w:szCs w:val="21"/>
          <w14:textFill>
            <w14:solidFill>
              <w14:schemeClr w14:val="tx1"/>
            </w14:solidFill>
          </w14:textFill>
        </w:rPr>
        <w:t>龄：</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职务：</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w:t>
      </w:r>
    </w:p>
    <w:p w14:paraId="3DCF4CA3">
      <w:pPr>
        <w:tabs>
          <w:tab w:val="left" w:pos="3360"/>
        </w:tabs>
        <w:autoSpaceDE w:val="0"/>
        <w:autoSpaceDN w:val="0"/>
        <w:adjustRightInd w:val="0"/>
        <w:snapToGrid w:val="0"/>
        <w:spacing w:line="480" w:lineRule="auto"/>
        <w:ind w:firstLine="390" w:firstLineChars="186"/>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系</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（投标人名称）</w:t>
      </w:r>
      <w:r>
        <w:rPr>
          <w:rFonts w:ascii="宋体" w:hAnsi="宋体"/>
          <w:color w:val="000000" w:themeColor="text1"/>
          <w:kern w:val="0"/>
          <w:szCs w:val="21"/>
          <w14:textFill>
            <w14:solidFill>
              <w14:schemeClr w14:val="tx1"/>
            </w14:solidFill>
          </w14:textFill>
        </w:rPr>
        <w:t>的法定代表人。</w:t>
      </w:r>
    </w:p>
    <w:p w14:paraId="1D084E2D">
      <w:pPr>
        <w:tabs>
          <w:tab w:val="left" w:pos="3360"/>
        </w:tabs>
        <w:autoSpaceDE w:val="0"/>
        <w:autoSpaceDN w:val="0"/>
        <w:adjustRightInd w:val="0"/>
        <w:snapToGrid w:val="0"/>
        <w:spacing w:line="480" w:lineRule="auto"/>
        <w:ind w:firstLine="390" w:firstLineChars="186"/>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特此证明。</w:t>
      </w:r>
    </w:p>
    <w:p w14:paraId="270F723A">
      <w:pPr>
        <w:autoSpaceDE w:val="0"/>
        <w:autoSpaceDN w:val="0"/>
        <w:adjustRightInd w:val="0"/>
        <w:snapToGrid w:val="0"/>
        <w:spacing w:line="480" w:lineRule="auto"/>
        <w:ind w:firstLine="810" w:firstLineChars="386"/>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附：法定代表人身份证明扫描件（双面）</w:t>
      </w:r>
    </w:p>
    <w:p w14:paraId="0A180723">
      <w:pPr>
        <w:autoSpaceDE w:val="0"/>
        <w:autoSpaceDN w:val="0"/>
        <w:adjustRightInd w:val="0"/>
        <w:snapToGrid w:val="0"/>
        <w:spacing w:line="360" w:lineRule="auto"/>
        <w:jc w:val="left"/>
        <w:rPr>
          <w:rFonts w:hint="eastAsia" w:ascii="宋体" w:hAnsi="宋体"/>
          <w:color w:val="000000" w:themeColor="text1"/>
          <w:szCs w:val="21"/>
          <w14:textFill>
            <w14:solidFill>
              <w14:schemeClr w14:val="tx1"/>
            </w14:solidFill>
          </w14:textFill>
        </w:rPr>
      </w:pPr>
    </w:p>
    <w:p w14:paraId="08B6E07C">
      <w:pPr>
        <w:pStyle w:val="2"/>
        <w:spacing w:after="0" w:line="360" w:lineRule="auto"/>
        <w:rPr>
          <w:rFonts w:hint="eastAsia" w:ascii="宋体" w:hAnsi="宋体"/>
          <w:color w:val="000000" w:themeColor="text1"/>
          <w:szCs w:val="21"/>
          <w14:textFill>
            <w14:solidFill>
              <w14:schemeClr w14:val="tx1"/>
            </w14:solidFill>
          </w14:textFill>
        </w:rPr>
      </w:pPr>
    </w:p>
    <w:p w14:paraId="33401B45">
      <w:pPr>
        <w:pStyle w:val="2"/>
        <w:spacing w:after="0" w:line="360" w:lineRule="auto"/>
        <w:rPr>
          <w:rFonts w:hint="eastAsia" w:ascii="宋体" w:hAnsi="宋体"/>
          <w:color w:val="000000" w:themeColor="text1"/>
          <w:szCs w:val="21"/>
          <w14:textFill>
            <w14:solidFill>
              <w14:schemeClr w14:val="tx1"/>
            </w14:solidFill>
          </w14:textFill>
        </w:rPr>
      </w:pPr>
    </w:p>
    <w:p w14:paraId="5B333996">
      <w:pPr>
        <w:pStyle w:val="2"/>
        <w:spacing w:after="0" w:line="360" w:lineRule="auto"/>
        <w:rPr>
          <w:rFonts w:hint="eastAsia" w:ascii="宋体" w:hAnsi="宋体"/>
          <w:color w:val="000000" w:themeColor="text1"/>
          <w:szCs w:val="21"/>
          <w14:textFill>
            <w14:solidFill>
              <w14:schemeClr w14:val="tx1"/>
            </w14:solidFill>
          </w14:textFill>
        </w:rPr>
      </w:pPr>
    </w:p>
    <w:p w14:paraId="7F81817F">
      <w:pPr>
        <w:pStyle w:val="2"/>
        <w:spacing w:after="0" w:line="360" w:lineRule="auto"/>
        <w:rPr>
          <w:rFonts w:hint="eastAsia" w:ascii="宋体" w:hAnsi="宋体"/>
          <w:color w:val="000000" w:themeColor="text1"/>
          <w:szCs w:val="21"/>
          <w14:textFill>
            <w14:solidFill>
              <w14:schemeClr w14:val="tx1"/>
            </w14:solidFill>
          </w14:textFill>
        </w:rPr>
      </w:pPr>
    </w:p>
    <w:p w14:paraId="1752942A">
      <w:pPr>
        <w:pStyle w:val="2"/>
        <w:spacing w:after="0" w:line="360" w:lineRule="auto"/>
        <w:rPr>
          <w:rFonts w:hint="eastAsia" w:ascii="宋体" w:hAnsi="宋体"/>
          <w:color w:val="000000" w:themeColor="text1"/>
          <w:szCs w:val="21"/>
          <w14:textFill>
            <w14:solidFill>
              <w14:schemeClr w14:val="tx1"/>
            </w14:solidFill>
          </w14:textFill>
        </w:rPr>
      </w:pPr>
    </w:p>
    <w:p w14:paraId="452E1972">
      <w:pPr>
        <w:autoSpaceDE w:val="0"/>
        <w:autoSpaceDN w:val="0"/>
        <w:adjustRightInd w:val="0"/>
        <w:snapToGrid w:val="0"/>
        <w:spacing w:line="480" w:lineRule="auto"/>
        <w:ind w:firstLine="420" w:firstLineChars="200"/>
        <w:jc w:val="righ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w:t>
      </w:r>
      <w:r>
        <w:rPr>
          <w:rFonts w:ascii="宋体" w:hAnsi="宋体"/>
          <w:color w:val="000000" w:themeColor="text1"/>
          <w:spacing w:val="-1"/>
          <w:kern w:val="0"/>
          <w:szCs w:val="21"/>
          <w14:textFill>
            <w14:solidFill>
              <w14:schemeClr w14:val="tx1"/>
            </w14:solidFill>
          </w14:textFill>
        </w:rPr>
        <w:t>人</w:t>
      </w:r>
      <w:r>
        <w:rPr>
          <w:rFonts w:ascii="宋体" w:hAnsi="宋体"/>
          <w:color w:val="000000" w:themeColor="text1"/>
          <w:kern w:val="0"/>
          <w:szCs w:val="21"/>
          <w14:textFill>
            <w14:solidFill>
              <w14:schemeClr w14:val="tx1"/>
            </w14:solidFill>
          </w14:textFill>
        </w:rPr>
        <w:t>：</w:t>
      </w:r>
      <w:r>
        <w:rPr>
          <w:rFonts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ab/>
      </w:r>
      <w:r>
        <w:rPr>
          <w:rFonts w:ascii="宋体" w:hAnsi="宋体"/>
          <w:color w:val="000000" w:themeColor="text1"/>
          <w:spacing w:val="-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盖单位法人章）</w:t>
      </w:r>
    </w:p>
    <w:p w14:paraId="5B240661">
      <w:pPr>
        <w:autoSpaceDE w:val="0"/>
        <w:autoSpaceDN w:val="0"/>
        <w:adjustRightInd w:val="0"/>
        <w:snapToGrid w:val="0"/>
        <w:spacing w:line="480" w:lineRule="auto"/>
        <w:jc w:val="left"/>
        <w:rPr>
          <w:rFonts w:hint="eastAsia" w:ascii="宋体" w:hAnsi="宋体"/>
          <w:color w:val="000000" w:themeColor="text1"/>
          <w:kern w:val="0"/>
          <w:sz w:val="20"/>
          <w:szCs w:val="20"/>
          <w14:textFill>
            <w14:solidFill>
              <w14:schemeClr w14:val="tx1"/>
            </w14:solidFill>
          </w14:textFill>
        </w:rPr>
      </w:pPr>
    </w:p>
    <w:p w14:paraId="28813742">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年</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月</w:t>
      </w:r>
      <w:r>
        <w:rPr>
          <w:rFonts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日</w:t>
      </w:r>
      <w:r>
        <w:rPr>
          <w:rFonts w:hint="eastAsia" w:ascii="宋体" w:hAnsi="宋体"/>
          <w:color w:val="000000" w:themeColor="text1"/>
          <w:kern w:val="0"/>
          <w:szCs w:val="21"/>
          <w14:textFill>
            <w14:solidFill>
              <w14:schemeClr w14:val="tx1"/>
            </w14:solidFill>
          </w14:textFill>
        </w:rPr>
        <w:t xml:space="preserve">  </w:t>
      </w:r>
    </w:p>
    <w:p w14:paraId="5E85ED3D">
      <w:pPr>
        <w:autoSpaceDE w:val="0"/>
        <w:autoSpaceDN w:val="0"/>
        <w:adjustRightInd w:val="0"/>
        <w:snapToGrid w:val="0"/>
        <w:spacing w:line="360" w:lineRule="auto"/>
        <w:jc w:val="left"/>
        <w:rPr>
          <w:rFonts w:hint="eastAsia" w:ascii="宋体" w:hAnsi="宋体"/>
          <w:color w:val="000000" w:themeColor="text1"/>
          <w:kern w:val="0"/>
          <w14:textFill>
            <w14:solidFill>
              <w14:schemeClr w14:val="tx1"/>
            </w14:solidFill>
          </w14:textFill>
        </w:rPr>
      </w:pPr>
    </w:p>
    <w:p w14:paraId="6B9CB3B9">
      <w:pPr>
        <w:autoSpaceDE w:val="0"/>
        <w:autoSpaceDN w:val="0"/>
        <w:adjustRightInd w:val="0"/>
        <w:snapToGrid w:val="0"/>
        <w:spacing w:line="360" w:lineRule="auto"/>
        <w:jc w:val="left"/>
        <w:rPr>
          <w:rFonts w:hint="eastAsia" w:ascii="宋体" w:hAnsi="宋体"/>
          <w:color w:val="000000" w:themeColor="text1"/>
          <w:kern w:val="0"/>
          <w14:textFill>
            <w14:solidFill>
              <w14:schemeClr w14:val="tx1"/>
            </w14:solidFill>
          </w14:textFill>
        </w:rPr>
      </w:pPr>
    </w:p>
    <w:p w14:paraId="69A9D2C9">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14:textFill>
            <w14:solidFill>
              <w14:schemeClr w14:val="tx1"/>
            </w14:solidFill>
          </w14:textFill>
        </w:rPr>
        <w:t>注：法定代表人身份证明需按上述格式填写完整，不可缺少内容。在此基础上增加内容的不影响其有效性</w:t>
      </w:r>
      <w:r>
        <w:rPr>
          <w:rFonts w:hint="eastAsia" w:ascii="宋体" w:hAnsi="宋体"/>
          <w:color w:val="000000" w:themeColor="text1"/>
          <w:kern w:val="0"/>
          <w:szCs w:val="21"/>
          <w14:textFill>
            <w14:solidFill>
              <w14:schemeClr w14:val="tx1"/>
            </w14:solidFill>
          </w14:textFill>
        </w:rPr>
        <w:t>。</w:t>
      </w:r>
    </w:p>
    <w:p w14:paraId="6404EAB1">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hint="eastAsia" w:ascii="宋体" w:hAnsi="宋体"/>
          <w:color w:val="000000" w:themeColor="text1"/>
          <w:kern w:val="0"/>
          <w:szCs w:val="21"/>
          <w14:textFill>
            <w14:solidFill>
              <w14:schemeClr w14:val="tx1"/>
            </w14:solidFill>
          </w14:textFill>
        </w:rPr>
      </w:pPr>
    </w:p>
    <w:p w14:paraId="7F3FE324">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olor w:val="000000" w:themeColor="text1"/>
          <w:kern w:val="0"/>
          <w:sz w:val="28"/>
          <w:szCs w:val="28"/>
          <w14:textFill>
            <w14:solidFill>
              <w14:schemeClr w14:val="tx1"/>
            </w14:solidFill>
          </w14:textFill>
        </w:rPr>
      </w:pPr>
      <w:r>
        <w:rPr>
          <w:rFonts w:ascii="宋体" w:hAnsi="宋体"/>
          <w:b/>
          <w:color w:val="000000" w:themeColor="text1"/>
          <w:kern w:val="0"/>
          <w:sz w:val="28"/>
          <w:szCs w:val="28"/>
          <w14:textFill>
            <w14:solidFill>
              <w14:schemeClr w14:val="tx1"/>
            </w14:solidFill>
          </w14:textFill>
        </w:rPr>
        <w:br w:type="page"/>
      </w:r>
      <w:r>
        <w:rPr>
          <w:rFonts w:ascii="宋体" w:hAnsi="宋体"/>
          <w:snapToGrid w:val="0"/>
          <w:color w:val="000000" w:themeColor="text1"/>
          <w:kern w:val="0"/>
          <w:sz w:val="32"/>
          <w:szCs w:val="32"/>
          <w14:textFill>
            <w14:solidFill>
              <w14:schemeClr w14:val="tx1"/>
            </w14:solidFill>
          </w14:textFill>
        </w:rPr>
        <w:t>授权委托书</w:t>
      </w:r>
    </w:p>
    <w:p w14:paraId="7AF5A163">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本人</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（姓名）</w:t>
      </w:r>
      <w:r>
        <w:rPr>
          <w:rFonts w:ascii="宋体" w:hAnsi="宋体"/>
          <w:color w:val="000000" w:themeColor="text1"/>
          <w:kern w:val="0"/>
          <w:szCs w:val="21"/>
          <w14:textFill>
            <w14:solidFill>
              <w14:schemeClr w14:val="tx1"/>
            </w14:solidFill>
          </w14:textFill>
        </w:rPr>
        <w:t>系</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w:t>
      </w:r>
      <w:r>
        <w:rPr>
          <w:rFonts w:ascii="宋体" w:hAnsi="宋体"/>
          <w:color w:val="000000" w:themeColor="text1"/>
          <w:spacing w:val="-1"/>
          <w:kern w:val="0"/>
          <w:szCs w:val="21"/>
          <w:u w:val="single"/>
          <w14:textFill>
            <w14:solidFill>
              <w14:schemeClr w14:val="tx1"/>
            </w14:solidFill>
          </w14:textFill>
        </w:rPr>
        <w:t>投</w:t>
      </w:r>
      <w:r>
        <w:rPr>
          <w:rFonts w:ascii="宋体" w:hAnsi="宋体"/>
          <w:color w:val="000000" w:themeColor="text1"/>
          <w:kern w:val="0"/>
          <w:szCs w:val="21"/>
          <w:u w:val="single"/>
          <w14:textFill>
            <w14:solidFill>
              <w14:schemeClr w14:val="tx1"/>
            </w14:solidFill>
          </w14:textFill>
        </w:rPr>
        <w:t>标人名称</w:t>
      </w:r>
      <w:r>
        <w:rPr>
          <w:rFonts w:ascii="宋体" w:hAnsi="宋体"/>
          <w:color w:val="000000" w:themeColor="text1"/>
          <w:spacing w:val="1"/>
          <w:kern w:val="0"/>
          <w:szCs w:val="21"/>
          <w:u w:val="single"/>
          <w14:textFill>
            <w14:solidFill>
              <w14:schemeClr w14:val="tx1"/>
            </w14:solidFill>
          </w14:textFill>
        </w:rPr>
        <w:t>）</w:t>
      </w:r>
      <w:r>
        <w:rPr>
          <w:rFonts w:ascii="宋体" w:hAnsi="宋体"/>
          <w:color w:val="000000" w:themeColor="text1"/>
          <w:kern w:val="0"/>
          <w:szCs w:val="21"/>
          <w14:textFill>
            <w14:solidFill>
              <w14:schemeClr w14:val="tx1"/>
            </w14:solidFill>
          </w14:textFill>
        </w:rPr>
        <w:t>的法定代</w:t>
      </w:r>
      <w:r>
        <w:rPr>
          <w:rFonts w:ascii="宋体" w:hAnsi="宋体"/>
          <w:color w:val="000000" w:themeColor="text1"/>
          <w:spacing w:val="1"/>
          <w:kern w:val="0"/>
          <w:szCs w:val="21"/>
          <w14:textFill>
            <w14:solidFill>
              <w14:schemeClr w14:val="tx1"/>
            </w14:solidFill>
          </w14:textFill>
        </w:rPr>
        <w:t>表</w:t>
      </w:r>
      <w:r>
        <w:rPr>
          <w:rFonts w:ascii="宋体" w:hAnsi="宋体"/>
          <w:color w:val="000000" w:themeColor="text1"/>
          <w:kern w:val="0"/>
          <w:szCs w:val="21"/>
          <w14:textFill>
            <w14:solidFill>
              <w14:schemeClr w14:val="tx1"/>
            </w14:solidFill>
          </w14:textFill>
        </w:rPr>
        <w:t>人，现委托</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（姓名）</w:t>
      </w:r>
      <w:r>
        <w:rPr>
          <w:rFonts w:ascii="宋体" w:hAnsi="宋体"/>
          <w:color w:val="000000" w:themeColor="text1"/>
          <w:kern w:val="0"/>
          <w:szCs w:val="21"/>
          <w14:textFill>
            <w14:solidFill>
              <w14:schemeClr w14:val="tx1"/>
            </w14:solidFill>
          </w14:textFill>
        </w:rPr>
        <w:t>为我方代理人。代理人根据授权，</w:t>
      </w:r>
      <w:r>
        <w:rPr>
          <w:rFonts w:hint="eastAsia" w:ascii="宋体" w:hAnsi="宋体"/>
          <w:color w:val="000000" w:themeColor="text1"/>
          <w:kern w:val="0"/>
          <w:szCs w:val="21"/>
          <w14:textFill>
            <w14:solidFill>
              <w14:schemeClr w14:val="tx1"/>
            </w14:solidFill>
          </w14:textFill>
        </w:rPr>
        <w:t>代表我方</w:t>
      </w:r>
      <w:r>
        <w:rPr>
          <w:rFonts w:ascii="宋体" w:hAnsi="宋体"/>
          <w:color w:val="000000" w:themeColor="text1"/>
          <w:kern w:val="0"/>
          <w:szCs w:val="21"/>
          <w14:textFill>
            <w14:solidFill>
              <w14:schemeClr w14:val="tx1"/>
            </w14:solidFill>
          </w14:textFill>
        </w:rPr>
        <w:t>签署、澄清、说明、补正、递交、撤回、 修改</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u w:val="single"/>
          <w14:textFill>
            <w14:solidFill>
              <w14:schemeClr w14:val="tx1"/>
            </w14:solidFill>
          </w14:textFill>
        </w:rPr>
        <w:t>（项</w:t>
      </w:r>
      <w:r>
        <w:rPr>
          <w:rFonts w:ascii="宋体" w:hAnsi="宋体"/>
          <w:color w:val="000000" w:themeColor="text1"/>
          <w:spacing w:val="-1"/>
          <w:kern w:val="0"/>
          <w:szCs w:val="21"/>
          <w:u w:val="single"/>
          <w14:textFill>
            <w14:solidFill>
              <w14:schemeClr w14:val="tx1"/>
            </w14:solidFill>
          </w14:textFill>
        </w:rPr>
        <w:t>目</w:t>
      </w:r>
      <w:r>
        <w:rPr>
          <w:rFonts w:ascii="宋体" w:hAnsi="宋体"/>
          <w:color w:val="000000" w:themeColor="text1"/>
          <w:kern w:val="0"/>
          <w:szCs w:val="21"/>
          <w:u w:val="single"/>
          <w14:textFill>
            <w14:solidFill>
              <w14:schemeClr w14:val="tx1"/>
            </w14:solidFill>
          </w14:textFill>
        </w:rPr>
        <w:t>名称）</w:t>
      </w:r>
      <w:r>
        <w:rPr>
          <w:rFonts w:ascii="宋体" w:hAnsi="宋体"/>
          <w:color w:val="000000" w:themeColor="text1"/>
          <w:kern w:val="0"/>
          <w:szCs w:val="21"/>
          <w14:textFill>
            <w14:solidFill>
              <w14:schemeClr w14:val="tx1"/>
            </w14:solidFill>
          </w14:textFill>
        </w:rPr>
        <w:t>投标文件、签订合同和处理有关事宜， 其法律后果由我方承担。</w:t>
      </w:r>
    </w:p>
    <w:p w14:paraId="7B9D0DDF">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委托</w:t>
      </w:r>
      <w:r>
        <w:rPr>
          <w:rFonts w:ascii="宋体" w:hAnsi="宋体"/>
          <w:color w:val="000000" w:themeColor="text1"/>
          <w:spacing w:val="-1"/>
          <w:kern w:val="0"/>
          <w:szCs w:val="21"/>
          <w14:textFill>
            <w14:solidFill>
              <w14:schemeClr w14:val="tx1"/>
            </w14:solidFill>
          </w14:textFill>
        </w:rPr>
        <w:t>期</w:t>
      </w:r>
      <w:r>
        <w:rPr>
          <w:rFonts w:ascii="宋体" w:hAnsi="宋体"/>
          <w:color w:val="000000" w:themeColor="text1"/>
          <w:kern w:val="0"/>
          <w:szCs w:val="21"/>
          <w14:textFill>
            <w14:solidFill>
              <w14:schemeClr w14:val="tx1"/>
            </w14:solidFill>
          </w14:textFill>
        </w:rPr>
        <w:t>限：</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 xml:space="preserve">。 </w:t>
      </w:r>
    </w:p>
    <w:p w14:paraId="2263C22C">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代理人无转委托权。</w:t>
      </w:r>
    </w:p>
    <w:p w14:paraId="5B9A5EB4">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olor w:val="000000" w:themeColor="text1"/>
          <w:kern w:val="0"/>
          <w:szCs w:val="21"/>
          <w14:textFill>
            <w14:solidFill>
              <w14:schemeClr w14:val="tx1"/>
            </w14:solidFill>
          </w14:textFill>
        </w:rPr>
      </w:pPr>
    </w:p>
    <w:p w14:paraId="0E91908E">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  标  人：</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w:t>
      </w:r>
      <w:r>
        <w:rPr>
          <w:rFonts w:ascii="宋体" w:hAnsi="宋体"/>
          <w:color w:val="000000" w:themeColor="text1"/>
          <w:spacing w:val="-1"/>
          <w:kern w:val="0"/>
          <w:szCs w:val="21"/>
          <w14:textFill>
            <w14:solidFill>
              <w14:schemeClr w14:val="tx1"/>
            </w14:solidFill>
          </w14:textFill>
        </w:rPr>
        <w:t>盖单位法人章</w:t>
      </w:r>
      <w:r>
        <w:rPr>
          <w:rFonts w:ascii="宋体" w:hAnsi="宋体"/>
          <w:color w:val="000000" w:themeColor="text1"/>
          <w:kern w:val="0"/>
          <w:szCs w:val="21"/>
          <w14:textFill>
            <w14:solidFill>
              <w14:schemeClr w14:val="tx1"/>
            </w14:solidFill>
          </w14:textFill>
        </w:rPr>
        <w:t>）</w:t>
      </w:r>
    </w:p>
    <w:p w14:paraId="56628BA7">
      <w:pPr>
        <w:tabs>
          <w:tab w:val="left" w:pos="6300"/>
        </w:tabs>
        <w:autoSpaceDE w:val="0"/>
        <w:autoSpaceDN w:val="0"/>
        <w:adjustRightInd w:val="0"/>
        <w:snapToGrid w:val="0"/>
        <w:spacing w:line="48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法定代表人：</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签名</w:t>
      </w:r>
      <w:r>
        <w:rPr>
          <w:rFonts w:ascii="宋体" w:hAnsi="宋体"/>
          <w:color w:val="000000" w:themeColor="text1"/>
          <w:kern w:val="0"/>
          <w:szCs w:val="21"/>
          <w14:textFill>
            <w14:solidFill>
              <w14:schemeClr w14:val="tx1"/>
            </w14:solidFill>
          </w14:textFill>
        </w:rPr>
        <w:t>或盖章）</w:t>
      </w:r>
    </w:p>
    <w:p w14:paraId="261946F5">
      <w:pPr>
        <w:tabs>
          <w:tab w:val="left" w:pos="5260"/>
        </w:tabs>
        <w:autoSpaceDE w:val="0"/>
        <w:autoSpaceDN w:val="0"/>
        <w:adjustRightInd w:val="0"/>
        <w:snapToGrid w:val="0"/>
        <w:spacing w:line="480" w:lineRule="auto"/>
        <w:ind w:firstLine="420" w:firstLineChars="200"/>
        <w:jc w:val="left"/>
        <w:rPr>
          <w:rFonts w:hint="eastAsia" w:ascii="宋体" w:hAnsi="宋体"/>
          <w:color w:val="000000" w:themeColor="text1"/>
          <w:kern w:val="0"/>
          <w:szCs w:val="21"/>
          <w:u w:val="single"/>
          <w14:textFill>
            <w14:solidFill>
              <w14:schemeClr w14:val="tx1"/>
            </w14:solidFill>
          </w14:textFill>
        </w:rPr>
      </w:pPr>
      <w:r>
        <w:rPr>
          <w:rFonts w:ascii="宋体" w:hAnsi="宋体"/>
          <w:color w:val="000000" w:themeColor="text1"/>
          <w:kern w:val="0"/>
          <w:szCs w:val="21"/>
          <w14:textFill>
            <w14:solidFill>
              <w14:schemeClr w14:val="tx1"/>
            </w14:solidFill>
          </w14:textFill>
        </w:rPr>
        <w:t>身份证号码：</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p>
    <w:p w14:paraId="495AB8F3">
      <w:pPr>
        <w:tabs>
          <w:tab w:val="left" w:pos="5260"/>
        </w:tabs>
        <w:autoSpaceDE w:val="0"/>
        <w:autoSpaceDN w:val="0"/>
        <w:adjustRightInd w:val="0"/>
        <w:snapToGrid w:val="0"/>
        <w:spacing w:line="48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委托代理人：</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签名</w:t>
      </w:r>
      <w:r>
        <w:rPr>
          <w:rFonts w:hint="eastAsia" w:ascii="宋体" w:hAnsi="宋体"/>
          <w:color w:val="000000" w:themeColor="text1"/>
          <w:spacing w:val="-1"/>
          <w:kern w:val="0"/>
          <w:szCs w:val="21"/>
          <w14:textFill>
            <w14:solidFill>
              <w14:schemeClr w14:val="tx1"/>
            </w14:solidFill>
          </w14:textFill>
        </w:rPr>
        <w:t>）</w:t>
      </w:r>
    </w:p>
    <w:p w14:paraId="1A307594">
      <w:pPr>
        <w:tabs>
          <w:tab w:val="left" w:pos="6825"/>
        </w:tabs>
        <w:autoSpaceDE w:val="0"/>
        <w:autoSpaceDN w:val="0"/>
        <w:adjustRightInd w:val="0"/>
        <w:snapToGrid w:val="0"/>
        <w:spacing w:line="480" w:lineRule="auto"/>
        <w:ind w:firstLine="420" w:firstLineChars="200"/>
        <w:jc w:val="left"/>
        <w:rPr>
          <w:rFonts w:hint="eastAsia" w:ascii="宋体" w:hAnsi="宋体"/>
          <w:color w:val="000000" w:themeColor="text1"/>
          <w:w w:val="200"/>
          <w:kern w:val="0"/>
          <w:szCs w:val="21"/>
          <w:u w:val="single"/>
          <w14:textFill>
            <w14:solidFill>
              <w14:schemeClr w14:val="tx1"/>
            </w14:solidFill>
          </w14:textFill>
        </w:rPr>
      </w:pPr>
      <w:r>
        <w:rPr>
          <w:rFonts w:ascii="宋体" w:hAnsi="宋体"/>
          <w:color w:val="000000" w:themeColor="text1"/>
          <w:kern w:val="0"/>
          <w:szCs w:val="21"/>
          <w14:textFill>
            <w14:solidFill>
              <w14:schemeClr w14:val="tx1"/>
            </w14:solidFill>
          </w14:textFill>
        </w:rPr>
        <w:t>身份证号码：</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p>
    <w:p w14:paraId="19875E3F">
      <w:pPr>
        <w:tabs>
          <w:tab w:val="left" w:pos="6825"/>
        </w:tabs>
        <w:autoSpaceDE w:val="0"/>
        <w:autoSpaceDN w:val="0"/>
        <w:adjustRightInd w:val="0"/>
        <w:snapToGrid w:val="0"/>
        <w:spacing w:line="480" w:lineRule="auto"/>
        <w:ind w:firstLine="420" w:firstLineChars="200"/>
        <w:jc w:val="left"/>
        <w:rPr>
          <w:rFonts w:hint="eastAsia" w:ascii="宋体" w:hAnsi="宋体"/>
          <w:color w:val="000000" w:themeColor="text1"/>
          <w:kern w:val="0"/>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单位电话（座机）：</w:t>
      </w:r>
      <w:r>
        <w:rPr>
          <w:rFonts w:hint="eastAsia" w:ascii="宋体" w:hAnsi="宋体"/>
          <w:color w:val="000000" w:themeColor="text1"/>
          <w:kern w:val="0"/>
          <w:szCs w:val="21"/>
          <w:u w:val="single"/>
          <w14:textFill>
            <w14:solidFill>
              <w14:schemeClr w14:val="tx1"/>
            </w14:solidFill>
          </w14:textFill>
        </w:rPr>
        <w:t xml:space="preserve">                              </w:t>
      </w:r>
    </w:p>
    <w:p w14:paraId="1BE012E5">
      <w:pPr>
        <w:tabs>
          <w:tab w:val="left" w:pos="5260"/>
        </w:tabs>
        <w:autoSpaceDE w:val="0"/>
        <w:autoSpaceDN w:val="0"/>
        <w:adjustRightInd w:val="0"/>
        <w:snapToGrid w:val="0"/>
        <w:spacing w:line="48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委托代理人电话（手机）：                                          </w:t>
      </w:r>
    </w:p>
    <w:p w14:paraId="03B173D1">
      <w:pPr>
        <w:autoSpaceDE w:val="0"/>
        <w:autoSpaceDN w:val="0"/>
        <w:adjustRightInd w:val="0"/>
        <w:snapToGrid w:val="0"/>
        <w:spacing w:line="480" w:lineRule="auto"/>
        <w:ind w:firstLine="810" w:firstLineChars="386"/>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附：法定代表人和委托代理人身份证明扫描件（双面）</w:t>
      </w:r>
    </w:p>
    <w:p w14:paraId="093C61BA">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000000" w:themeColor="text1"/>
          <w:w w:val="200"/>
          <w:kern w:val="0"/>
          <w:szCs w:val="21"/>
          <w:u w:val="single"/>
          <w14:textFill>
            <w14:solidFill>
              <w14:schemeClr w14:val="tx1"/>
            </w14:solidFill>
          </w14:textFill>
        </w:rPr>
      </w:pPr>
    </w:p>
    <w:p w14:paraId="06F0D50F">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000000" w:themeColor="text1"/>
          <w:w w:val="200"/>
          <w:kern w:val="0"/>
          <w:szCs w:val="21"/>
          <w:u w:val="single"/>
          <w14:textFill>
            <w14:solidFill>
              <w14:schemeClr w14:val="tx1"/>
            </w14:solidFill>
          </w14:textFill>
        </w:rPr>
      </w:pPr>
    </w:p>
    <w:p w14:paraId="42686391">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000000" w:themeColor="text1"/>
          <w:w w:val="200"/>
          <w:kern w:val="0"/>
          <w:szCs w:val="21"/>
          <w:u w:val="single"/>
          <w14:textFill>
            <w14:solidFill>
              <w14:schemeClr w14:val="tx1"/>
            </w14:solidFill>
          </w14:textFill>
        </w:rPr>
      </w:pPr>
    </w:p>
    <w:p w14:paraId="7ABF131C">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000000" w:themeColor="text1"/>
          <w:w w:val="200"/>
          <w:kern w:val="0"/>
          <w:szCs w:val="21"/>
          <w:u w:val="single"/>
          <w14:textFill>
            <w14:solidFill>
              <w14:schemeClr w14:val="tx1"/>
            </w14:solidFill>
          </w14:textFill>
        </w:rPr>
      </w:pPr>
    </w:p>
    <w:p w14:paraId="68EA65A5">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000000" w:themeColor="text1"/>
          <w:w w:val="200"/>
          <w:kern w:val="0"/>
          <w:szCs w:val="21"/>
          <w:u w:val="single"/>
          <w14:textFill>
            <w14:solidFill>
              <w14:schemeClr w14:val="tx1"/>
            </w14:solidFill>
          </w14:textFill>
        </w:rPr>
      </w:pPr>
    </w:p>
    <w:p w14:paraId="01E02EE7">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000000" w:themeColor="text1"/>
          <w:w w:val="200"/>
          <w:kern w:val="0"/>
          <w:szCs w:val="21"/>
          <w:u w:val="single"/>
          <w14:textFill>
            <w14:solidFill>
              <w14:schemeClr w14:val="tx1"/>
            </w14:solidFill>
          </w14:textFill>
        </w:rPr>
      </w:pPr>
    </w:p>
    <w:p w14:paraId="23B9CF50">
      <w:pPr>
        <w:tabs>
          <w:tab w:val="left" w:pos="6825"/>
        </w:tabs>
        <w:autoSpaceDE w:val="0"/>
        <w:autoSpaceDN w:val="0"/>
        <w:adjustRightInd w:val="0"/>
        <w:snapToGrid w:val="0"/>
        <w:spacing w:line="480" w:lineRule="auto"/>
        <w:ind w:firstLine="420" w:firstLineChars="200"/>
        <w:jc w:val="left"/>
        <w:rPr>
          <w:rFonts w:hint="eastAsia" w:ascii="宋体" w:hAnsi="宋体"/>
          <w:color w:val="000000" w:themeColor="text1"/>
          <w:kern w:val="0"/>
          <w:szCs w:val="21"/>
          <w14:textFill>
            <w14:solidFill>
              <w14:schemeClr w14:val="tx1"/>
            </w14:solidFill>
          </w14:textFill>
        </w:rPr>
      </w:pPr>
    </w:p>
    <w:p w14:paraId="5DB4CF94">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年</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月</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日</w:t>
      </w:r>
      <w:r>
        <w:rPr>
          <w:rFonts w:hint="eastAsia" w:ascii="宋体" w:hAnsi="宋体"/>
          <w:color w:val="000000" w:themeColor="text1"/>
          <w:kern w:val="0"/>
          <w:szCs w:val="21"/>
          <w14:textFill>
            <w14:solidFill>
              <w14:schemeClr w14:val="tx1"/>
            </w14:solidFill>
          </w14:textFill>
        </w:rPr>
        <w:t xml:space="preserve"> </w:t>
      </w:r>
    </w:p>
    <w:p w14:paraId="659B8106">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000000" w:themeColor="text1"/>
          <w:kern w:val="0"/>
          <w:szCs w:val="21"/>
          <w14:textFill>
            <w14:solidFill>
              <w14:schemeClr w14:val="tx1"/>
            </w14:solidFill>
          </w14:textFill>
        </w:rPr>
      </w:pPr>
    </w:p>
    <w:p w14:paraId="0C27D8E5">
      <w:pPr>
        <w:tabs>
          <w:tab w:val="left" w:pos="5760"/>
        </w:tabs>
        <w:autoSpaceDE w:val="0"/>
        <w:autoSpaceDN w:val="0"/>
        <w:adjustRightInd w:val="0"/>
        <w:spacing w:line="360" w:lineRule="auto"/>
        <w:ind w:firstLine="420" w:firstLineChars="200"/>
        <w:rPr>
          <w:rFonts w:hint="eastAsia" w:ascii="宋体" w:hAnsi="宋体"/>
          <w:color w:val="000000" w:themeColor="text1"/>
          <w:kern w:val="0"/>
          <w14:textFill>
            <w14:solidFill>
              <w14:schemeClr w14:val="tx1"/>
            </w14:solidFill>
          </w14:textFill>
        </w:rPr>
      </w:pPr>
    </w:p>
    <w:p w14:paraId="67582FFD">
      <w:pPr>
        <w:tabs>
          <w:tab w:val="left" w:pos="1680"/>
          <w:tab w:val="left" w:pos="4215"/>
          <w:tab w:val="left" w:pos="4305"/>
          <w:tab w:val="left" w:pos="8000"/>
        </w:tabs>
        <w:autoSpaceDE w:val="0"/>
        <w:autoSpaceDN w:val="0"/>
        <w:adjustRightInd w:val="0"/>
        <w:snapToGrid w:val="0"/>
        <w:spacing w:line="360" w:lineRule="auto"/>
        <w:ind w:firstLine="420" w:firstLineChars="200"/>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注：1</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法定代表人参加投标活动并签署文件的不需要授权委托书，只需提供法定代表人身份证明；非法定代表人参加投标活动及签署文件的除提供法定代表人身份证明外还须提供授权委托书。</w:t>
      </w:r>
    </w:p>
    <w:p w14:paraId="417BAFA0">
      <w:pPr>
        <w:autoSpaceDE w:val="0"/>
        <w:autoSpaceDN w:val="0"/>
        <w:adjustRightInd w:val="0"/>
        <w:snapToGrid w:val="0"/>
        <w:spacing w:line="360" w:lineRule="auto"/>
        <w:ind w:firstLine="840" w:firstLineChars="400"/>
        <w:rPr>
          <w:rFonts w:hint="eastAsia" w:ascii="宋体" w:hAnsi="宋体"/>
          <w:color w:val="000000" w:themeColor="text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w:t>
      </w:r>
      <w:r>
        <w:rPr>
          <w:rFonts w:hint="eastAsia" w:ascii="宋体" w:hAnsi="宋体"/>
          <w:color w:val="000000" w:themeColor="text1"/>
          <w14:textFill>
            <w14:solidFill>
              <w14:schemeClr w14:val="tx1"/>
            </w14:solidFill>
          </w14:textFill>
        </w:rPr>
        <w:t>授权委托书</w:t>
      </w:r>
      <w:r>
        <w:rPr>
          <w:rFonts w:ascii="宋体" w:hAnsi="宋体"/>
          <w:color w:val="000000" w:themeColor="text1"/>
          <w14:textFill>
            <w14:solidFill>
              <w14:schemeClr w14:val="tx1"/>
            </w14:solidFill>
          </w14:textFill>
        </w:rPr>
        <w:t>需按上述格式填写完整，不可缺少内容。在此基础上增加内容的不影响其有效性。</w:t>
      </w:r>
    </w:p>
    <w:p w14:paraId="773CE19C">
      <w:pPr>
        <w:autoSpaceDE w:val="0"/>
        <w:autoSpaceDN w:val="0"/>
        <w:adjustRightInd w:val="0"/>
        <w:snapToGrid w:val="0"/>
        <w:jc w:val="center"/>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7027D5BF">
      <w:pPr>
        <w:pStyle w:val="5"/>
        <w:spacing w:before="0" w:after="0" w:line="240" w:lineRule="auto"/>
        <w:jc w:val="center"/>
        <w:rPr>
          <w:rFonts w:hint="eastAsia" w:ascii="宋体" w:hAnsi="宋体"/>
          <w:b w:val="0"/>
          <w:bCs w:val="0"/>
          <w:color w:val="000000" w:themeColor="text1"/>
          <w14:textFill>
            <w14:solidFill>
              <w14:schemeClr w14:val="tx1"/>
            </w14:solidFill>
          </w14:textFill>
        </w:rPr>
      </w:pPr>
      <w:bookmarkStart w:id="2151" w:name="_Toc224103512"/>
      <w:bookmarkStart w:id="2152" w:name="_Toc287607884"/>
      <w:bookmarkStart w:id="2153" w:name="_Toc277082658"/>
      <w:bookmarkStart w:id="2154" w:name="_Toc430530547"/>
      <w:bookmarkStart w:id="2155" w:name="_Toc26866"/>
      <w:bookmarkStart w:id="2156" w:name="_Toc287620831"/>
      <w:bookmarkStart w:id="2157" w:name="_Toc226115614"/>
      <w:r>
        <w:rPr>
          <w:rFonts w:hint="eastAsia" w:ascii="宋体" w:hAnsi="宋体"/>
          <w:b w:val="0"/>
          <w:bCs w:val="0"/>
          <w:color w:val="000000" w:themeColor="text1"/>
          <w14:textFill>
            <w14:solidFill>
              <w14:schemeClr w14:val="tx1"/>
            </w14:solidFill>
          </w14:textFill>
        </w:rPr>
        <w:t>（二）</w:t>
      </w:r>
      <w:bookmarkEnd w:id="2151"/>
      <w:bookmarkEnd w:id="2152"/>
      <w:bookmarkEnd w:id="2153"/>
      <w:bookmarkEnd w:id="2154"/>
      <w:bookmarkEnd w:id="2155"/>
      <w:bookmarkEnd w:id="2156"/>
      <w:r>
        <w:rPr>
          <w:rFonts w:hint="eastAsia" w:ascii="宋体" w:hAnsi="宋体"/>
          <w:b w:val="0"/>
          <w:bCs w:val="0"/>
          <w:color w:val="000000" w:themeColor="text1"/>
          <w14:textFill>
            <w14:solidFill>
              <w14:schemeClr w14:val="tx1"/>
            </w14:solidFill>
          </w14:textFill>
        </w:rPr>
        <w:t>承诺</w:t>
      </w:r>
      <w:bookmarkEnd w:id="2157"/>
    </w:p>
    <w:p w14:paraId="0EE4703F">
      <w:pPr>
        <w:snapToGrid w:val="0"/>
        <w:spacing w:line="380" w:lineRule="exac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（招标人名称。有两个及以上招标人的，请填写所有招标人名称）</w:t>
      </w:r>
      <w:r>
        <w:rPr>
          <w:rFonts w:hint="eastAsia" w:ascii="宋体" w:hAnsi="宋体"/>
          <w:color w:val="000000" w:themeColor="text1"/>
          <w:szCs w:val="21"/>
          <w14:textFill>
            <w14:solidFill>
              <w14:schemeClr w14:val="tx1"/>
            </w14:solidFill>
          </w14:textFill>
        </w:rPr>
        <w:t>：</w:t>
      </w:r>
    </w:p>
    <w:p w14:paraId="4D8FF8D3">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我公司</w:t>
      </w:r>
      <w:r>
        <w:rPr>
          <w:rFonts w:hint="eastAsia" w:ascii="宋体" w:hAnsi="宋体"/>
          <w:color w:val="000000" w:themeColor="text1"/>
          <w:szCs w:val="21"/>
          <w:u w:val="single"/>
          <w14:textFill>
            <w14:solidFill>
              <w14:schemeClr w14:val="tx1"/>
            </w14:solidFill>
          </w14:textFill>
        </w:rPr>
        <w:t xml:space="preserve">        （投标人名称）</w:t>
      </w:r>
      <w:r>
        <w:rPr>
          <w:rFonts w:hint="eastAsia" w:ascii="宋体" w:hAnsi="宋体"/>
          <w:color w:val="000000" w:themeColor="text1"/>
          <w:szCs w:val="21"/>
          <w14:textFill>
            <w14:solidFill>
              <w14:schemeClr w14:val="tx1"/>
            </w14:solidFill>
          </w14:textFill>
        </w:rPr>
        <w:t>参加了贵单位</w:t>
      </w:r>
      <w:r>
        <w:rPr>
          <w:rFonts w:hint="eastAsia" w:ascii="宋体" w:hAnsi="宋体"/>
          <w:color w:val="000000" w:themeColor="text1"/>
          <w:szCs w:val="21"/>
          <w:u w:val="single"/>
          <w14:textFill>
            <w14:solidFill>
              <w14:schemeClr w14:val="tx1"/>
            </w14:solidFill>
          </w14:textFill>
        </w:rPr>
        <w:t xml:space="preserve">        （项目名称）</w:t>
      </w:r>
      <w:r>
        <w:rPr>
          <w:rFonts w:hint="eastAsia" w:ascii="宋体" w:hAnsi="宋体"/>
          <w:color w:val="000000" w:themeColor="text1"/>
          <w:szCs w:val="21"/>
          <w14:textFill>
            <w14:solidFill>
              <w14:schemeClr w14:val="tx1"/>
            </w14:solidFill>
          </w14:textFill>
        </w:rPr>
        <w:t>的投标，自愿作出以下承诺：</w:t>
      </w:r>
    </w:p>
    <w:p w14:paraId="2EACBD68">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1、投标截止日投标资格情况不存在下列情形之一：</w:t>
      </w:r>
    </w:p>
    <w:p w14:paraId="25741380">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（1）被人民法院列入失信被执行人名单且在被执行期内；</w:t>
      </w:r>
    </w:p>
    <w:p w14:paraId="112CED0F">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（2）被国家、重庆市（含市或任意区县）有关行政部门处以暂停投标资格行政处罚或暂停在渝承揽新业务，且在暂停期限内；</w:t>
      </w:r>
    </w:p>
    <w:p w14:paraId="03DF8D4E">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第二章“投标人须知”第1.4.3项规定的情形之一；第二章“投标人须知”第9.2款规定的情形之一。</w:t>
      </w:r>
    </w:p>
    <w:p w14:paraId="5ADD5DB2">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2、我公司拟派的项目经理按注册建造师的相关规定到岗履职和未被禁止参与投标。</w:t>
      </w:r>
    </w:p>
    <w:p w14:paraId="7AF001CE">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拟派的项目经理中标后在本项目任职，签订合同时拟派的项目经理必须与投标文件中的项目经理一致，并满足办理施工许可手续的相关要求。不能按承诺到岗履职的，贵单位按合同相关条款要求我公司承担责任并上报行政主管部门，给贵单位造成损失的，我公司依法承担赔偿责任或违约责任。拟派的项目经理中标后不得随意更换。</w:t>
      </w:r>
    </w:p>
    <w:p w14:paraId="4584E7E1">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拟派的项目经理未被有关部门暂停其在渝承揽的新业务中任职，若其被暂停在渝承揽的新业务中任职但仍参加投标，将被否决投标；已取得中标候选人资格或中标资格的，贵单位有权取消我公司中标候选人资格或中标资格；给贵单位造成损失的，我公司依法承担赔偿责任或违约责任。</w:t>
      </w:r>
    </w:p>
    <w:p w14:paraId="3AD7B5F5">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2.3为保证我公司拟派的项目经理到本项目到岗履职，我公司还承诺：</w:t>
      </w:r>
    </w:p>
    <w:p w14:paraId="25C8040E">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若我公司拟派本项目的项目经理有在其他项目任职的情形的（或有在其他项目中标或拟中标的情形的），应在收到中标通知书后</w:t>
      </w:r>
      <w:r>
        <w:rPr>
          <w:rFonts w:hint="eastAsia" w:ascii="宋体" w:hAnsi="宋体"/>
          <w:color w:val="000000" w:themeColor="text1"/>
          <w:szCs w:val="21"/>
          <w:u w:val="single"/>
          <w14:textFill>
            <w14:solidFill>
              <w14:schemeClr w14:val="tx1"/>
            </w14:solidFill>
          </w14:textFill>
        </w:rPr>
        <w:t xml:space="preserve"> 14 </w:t>
      </w:r>
      <w:r>
        <w:rPr>
          <w:rFonts w:hint="eastAsia" w:ascii="宋体" w:hAnsi="宋体"/>
          <w:color w:val="000000" w:themeColor="text1"/>
          <w:szCs w:val="21"/>
          <w14:textFill>
            <w14:solidFill>
              <w14:schemeClr w14:val="tx1"/>
            </w14:solidFill>
          </w14:textFill>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竞争性比选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1ECEFA4D">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若我公司拟派项目经理放弃在其他项目任职的将提供：①经业主或建设单位同意任职变更的文件；②负责项目监管的行业行政主管部门出具同意任职变更的证明材料。</w:t>
      </w:r>
    </w:p>
    <w:p w14:paraId="0707793A">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若我公司拟派项目经理放弃在其他项目中标或拟中标的将提供：①经中标或拟中标的其他项目建设单位同意的放弃中标函。</w:t>
      </w:r>
    </w:p>
    <w:p w14:paraId="34142ECE">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我公司若中标，在签订合同之前，将按照建设行政主管部门的要求组建施工项目部，配置项目管理班子，出具任命文件。任命文件应当明确施工项目部的职责、岗位设置、人员配备，并书面通知贵单位。相关岗位管理人员应持有建设行政主管部门要求的岗位证书，并提供我公司为其缴纳的养老保险证明材料。中标后不能满足该要求的，贵单位可取消我公司中标资格</w:t>
      </w:r>
      <w:r>
        <w:rPr>
          <w:rFonts w:hint="eastAsia" w:asciiTheme="minorEastAsia" w:hAnsiTheme="minorEastAsia" w:eastAsiaTheme="minorEastAsia" w:cstheme="minorEastAsia"/>
          <w:color w:val="000000" w:themeColor="text1"/>
          <w:szCs w:val="21"/>
          <w14:textFill>
            <w14:solidFill>
              <w14:schemeClr w14:val="tx1"/>
            </w14:solidFill>
          </w14:textFill>
        </w:rPr>
        <w:t>；签订合同后不满足该要求的，贵单位按合同相关条款要求我公司承担责任并上报行政主管部门；</w:t>
      </w:r>
      <w:r>
        <w:rPr>
          <w:rFonts w:hint="eastAsia" w:ascii="宋体" w:hAnsi="宋体"/>
          <w:color w:val="000000" w:themeColor="text1"/>
          <w:szCs w:val="21"/>
          <w14:textFill>
            <w14:solidFill>
              <w14:schemeClr w14:val="tx1"/>
            </w14:solidFill>
          </w14:textFill>
        </w:rPr>
        <w:t>给贵单位造成损失的，我公司依法承担赔偿责任或违约责任。</w:t>
      </w:r>
    </w:p>
    <w:p w14:paraId="2B0EAEB7">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本投标文件中的所有内容真实有效，不存在弄虚作假情形。贵单位有权对我公司提供的资料进行核实，若发现弄虚作假，按相关规定取消我公司中标资格，并按相关法律法规报招标投标监督部门，投标保证金以现金形式交纳的不予退还，以保函形式交纳的由保函开立人支付保函担保的与投标保证金等额的款项，我公司自愿承担因此造成的相关责任并赔偿相应损失。</w:t>
      </w:r>
    </w:p>
    <w:p w14:paraId="4B08A825">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5、我公司的投标文件符合第二章 投标人须知第 1.3.1 项的规定。</w:t>
      </w:r>
    </w:p>
    <w:p w14:paraId="44EB4E6A">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6、我公司的投标文件符合第四章 合同条款及格式规定，投标文件中没有贵单位不能接受的条件。</w:t>
      </w:r>
    </w:p>
    <w:p w14:paraId="2A56C200">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7、我公司的投标文件符合第七章 技术标准和要求（如有）。</w:t>
      </w:r>
    </w:p>
    <w:p w14:paraId="08268663">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8、我公司接受竞争性比选文件中关于“不允许负数报价”的相关要求（如有）。</w:t>
      </w:r>
    </w:p>
    <w:p w14:paraId="1CE10C68">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9、我公司接受竞争性比选文件中关于“不允许零报价”的相关要求（如有）。</w:t>
      </w:r>
    </w:p>
    <w:p w14:paraId="65413C99">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其他承诺事项：</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i/>
          <w:iCs/>
          <w:color w:val="000000" w:themeColor="text1"/>
          <w:szCs w:val="21"/>
          <w:u w:val="single"/>
          <w14:textFill>
            <w14:solidFill>
              <w14:schemeClr w14:val="tx1"/>
            </w14:solidFill>
          </w14:textFill>
        </w:rPr>
        <w:t>[提示：竞争性比选文件有具体要求的，可在此处增加对应的承诺内容。]</w:t>
      </w:r>
    </w:p>
    <w:p w14:paraId="2B5E81B5">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p>
    <w:p w14:paraId="4EDA77CB">
      <w:pPr>
        <w:tabs>
          <w:tab w:val="left" w:pos="4200"/>
          <w:tab w:val="left" w:pos="4620"/>
        </w:tabs>
        <w:autoSpaceDE w:val="0"/>
        <w:autoSpaceDN w:val="0"/>
        <w:adjustRightInd w:val="0"/>
        <w:snapToGrid w:val="0"/>
        <w:spacing w:line="380" w:lineRule="exact"/>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  标  人：</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w:t>
      </w:r>
      <w:r>
        <w:rPr>
          <w:rFonts w:ascii="宋体" w:hAnsi="宋体"/>
          <w:color w:val="000000" w:themeColor="text1"/>
          <w:spacing w:val="-1"/>
          <w:kern w:val="0"/>
          <w:szCs w:val="21"/>
          <w14:textFill>
            <w14:solidFill>
              <w14:schemeClr w14:val="tx1"/>
            </w14:solidFill>
          </w14:textFill>
        </w:rPr>
        <w:t>盖单位法人章</w:t>
      </w:r>
      <w:r>
        <w:rPr>
          <w:rFonts w:ascii="宋体" w:hAnsi="宋体"/>
          <w:color w:val="000000" w:themeColor="text1"/>
          <w:kern w:val="0"/>
          <w:szCs w:val="21"/>
          <w14:textFill>
            <w14:solidFill>
              <w14:schemeClr w14:val="tx1"/>
            </w14:solidFill>
          </w14:textFill>
        </w:rPr>
        <w:t>）</w:t>
      </w:r>
    </w:p>
    <w:p w14:paraId="7E72D8C0">
      <w:pPr>
        <w:tabs>
          <w:tab w:val="left" w:pos="6300"/>
        </w:tabs>
        <w:autoSpaceDE w:val="0"/>
        <w:autoSpaceDN w:val="0"/>
        <w:adjustRightInd w:val="0"/>
        <w:snapToGrid w:val="0"/>
        <w:spacing w:line="380" w:lineRule="exact"/>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法定代表人：</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w w:val="200"/>
          <w:kern w:val="0"/>
          <w:szCs w:val="21"/>
          <w:u w:val="single"/>
          <w14:textFill>
            <w14:solidFill>
              <w14:schemeClr w14:val="tx1"/>
            </w14:solidFill>
          </w14:textFill>
        </w:rPr>
        <w:t xml:space="preserve">   </w:t>
      </w:r>
      <w:r>
        <w:rPr>
          <w:rFonts w:hint="eastAsia" w:ascii="宋体" w:hAnsi="宋体"/>
          <w:color w:val="000000" w:themeColor="text1"/>
          <w:w w:val="200"/>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签名</w:t>
      </w:r>
      <w:r>
        <w:rPr>
          <w:rFonts w:ascii="宋体" w:hAnsi="宋体"/>
          <w:color w:val="000000" w:themeColor="text1"/>
          <w:kern w:val="0"/>
          <w:szCs w:val="21"/>
          <w14:textFill>
            <w14:solidFill>
              <w14:schemeClr w14:val="tx1"/>
            </w14:solidFill>
          </w14:textFill>
        </w:rPr>
        <w:t>或盖章）</w:t>
      </w:r>
    </w:p>
    <w:p w14:paraId="337AEBAD">
      <w:pPr>
        <w:snapToGrid w:val="0"/>
        <w:spacing w:line="380" w:lineRule="exact"/>
        <w:ind w:firstLine="420" w:firstLineChars="200"/>
        <w:jc w:val="right"/>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年</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月</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日</w:t>
      </w:r>
    </w:p>
    <w:p w14:paraId="7BF2CC91">
      <w:pPr>
        <w:rPr>
          <w:color w:val="000000" w:themeColor="text1"/>
          <w14:textFill>
            <w14:solidFill>
              <w14:schemeClr w14:val="tx1"/>
            </w14:solidFill>
          </w14:textFill>
        </w:rPr>
      </w:pPr>
    </w:p>
    <w:p w14:paraId="45B9A92E">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1BCA590B">
      <w:pPr>
        <w:pStyle w:val="5"/>
        <w:spacing w:before="0" w:line="360" w:lineRule="auto"/>
        <w:jc w:val="center"/>
        <w:rPr>
          <w:rFonts w:hint="eastAsia" w:ascii="宋体" w:hAnsi="宋体"/>
          <w:color w:val="000000" w:themeColor="text1"/>
          <w14:textFill>
            <w14:solidFill>
              <w14:schemeClr w14:val="tx1"/>
            </w14:solidFill>
          </w14:textFill>
        </w:rPr>
      </w:pPr>
      <w:bookmarkStart w:id="2158" w:name="_Toc23584"/>
      <w:bookmarkStart w:id="2159" w:name="_Toc226115615"/>
      <w:r>
        <w:rPr>
          <w:rFonts w:hint="eastAsia" w:ascii="宋体" w:hAnsi="宋体"/>
          <w:b w:val="0"/>
          <w:color w:val="000000" w:themeColor="text1"/>
          <w14:textFill>
            <w14:solidFill>
              <w14:schemeClr w14:val="tx1"/>
            </w14:solidFill>
          </w14:textFill>
        </w:rPr>
        <w:t>（三）其他资料</w:t>
      </w:r>
      <w:bookmarkEnd w:id="2158"/>
      <w:bookmarkEnd w:id="2159"/>
    </w:p>
    <w:bookmarkEnd w:id="631"/>
    <w:bookmarkEnd w:id="632"/>
    <w:bookmarkEnd w:id="633"/>
    <w:p w14:paraId="7A7DDAF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投标保证金</w:t>
      </w:r>
    </w:p>
    <w:p w14:paraId="70C355A4">
      <w:pPr>
        <w:spacing w:line="360" w:lineRule="auto"/>
        <w:ind w:firstLine="420" w:firstLineChars="200"/>
        <w:rPr>
          <w:rFonts w:hint="eastAsia" w:ascii="宋体" w:hAnsi="宋体"/>
          <w:iCs/>
          <w:color w:val="000000" w:themeColor="text1"/>
          <w:szCs w:val="21"/>
          <w14:textFill>
            <w14:solidFill>
              <w14:schemeClr w14:val="tx1"/>
            </w14:solidFill>
          </w14:textFill>
        </w:rPr>
      </w:pPr>
      <w:r>
        <w:rPr>
          <w:rFonts w:hint="eastAsia" w:ascii="宋体" w:hAnsi="宋体"/>
          <w:iCs/>
          <w:color w:val="000000" w:themeColor="text1"/>
          <w:szCs w:val="21"/>
          <w14:textFill>
            <w14:solidFill>
              <w14:schemeClr w14:val="tx1"/>
            </w14:solidFill>
          </w14:textFill>
        </w:rPr>
        <w:t>（注：以转账支票或电汇形式交纳投标保证金的提供以下资料）</w:t>
      </w:r>
    </w:p>
    <w:p w14:paraId="39C1CFF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（1）企业基本账户开户证明文件。</w:t>
      </w:r>
    </w:p>
    <w:p w14:paraId="2D5BFDB7">
      <w:pPr>
        <w:rPr>
          <w:rFonts w:hint="eastAsia" w:ascii="宋体" w:hAnsi="宋体"/>
          <w:i/>
          <w:color w:val="000000" w:themeColor="text1"/>
          <w:szCs w:val="21"/>
          <w14:textFill>
            <w14:solidFill>
              <w14:schemeClr w14:val="tx1"/>
            </w14:solidFill>
          </w14:textFill>
        </w:rPr>
      </w:pPr>
      <w:r>
        <w:rPr>
          <w:rFonts w:hint="eastAsia" w:ascii="宋体" w:hAnsi="宋体"/>
          <w:i/>
          <w:color w:val="000000" w:themeColor="text1"/>
          <w:szCs w:val="21"/>
          <w14:textFill>
            <w14:solidFill>
              <w14:schemeClr w14:val="tx1"/>
            </w14:solidFill>
          </w14:textFill>
        </w:rPr>
        <w:br w:type="page"/>
      </w:r>
    </w:p>
    <w:p w14:paraId="6C2B701B">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iCs/>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14:textFill>
            <w14:solidFill>
              <w14:schemeClr w14:val="tx1"/>
            </w14:solidFill>
          </w14:textFill>
        </w:rPr>
        <w:t>按照竞争性比选文件第二章投标人须知前附表第1.4.1项、第3.4款要求提供的资料。</w:t>
      </w:r>
    </w:p>
    <w:p w14:paraId="5980D1D2">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p w14:paraId="11606C4C">
      <w:pPr>
        <w:ind w:firstLine="420" w:firstLineChars="200"/>
        <w:rPr>
          <w:color w:val="000000" w:themeColor="text1"/>
          <w14:textFill>
            <w14:solidFill>
              <w14:schemeClr w14:val="tx1"/>
            </w14:solidFill>
          </w14:textFill>
        </w:rPr>
      </w:pPr>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书宋简体">
    <w:altName w:val="宋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MingLiU">
    <w:altName w:val="Microsoft JhengHei"/>
    <w:panose1 w:val="02010609000101010101"/>
    <w:charset w:val="88"/>
    <w:family w:val="moder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Microsoft Sans Serif">
    <w:panose1 w:val="020B0604020202020204"/>
    <w:charset w:val="00"/>
    <w:family w:val="swiss"/>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C4B7C">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- 3 -</w:t>
    </w:r>
    <w:r>
      <w:fldChar w:fldCharType="end"/>
    </w:r>
  </w:p>
  <w:p w14:paraId="3FC7DAF5">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AEAF">
    <w:pPr>
      <w:pStyle w:val="29"/>
      <w:jc w:val="center"/>
    </w:pPr>
    <w:r>
      <w:t xml:space="preserve">- </w:t>
    </w:r>
    <w:r>
      <w:fldChar w:fldCharType="begin"/>
    </w:r>
    <w:r>
      <w:instrText xml:space="preserve"> PAGE </w:instrText>
    </w:r>
    <w:r>
      <w:fldChar w:fldCharType="separate"/>
    </w:r>
    <w:r>
      <w:t>63</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A921B">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14:paraId="4A31853D">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45"/>
    <w:rsid w:val="00001A09"/>
    <w:rsid w:val="00001B1E"/>
    <w:rsid w:val="000027C8"/>
    <w:rsid w:val="0000285A"/>
    <w:rsid w:val="00002D86"/>
    <w:rsid w:val="00003A3F"/>
    <w:rsid w:val="00004E5C"/>
    <w:rsid w:val="00005443"/>
    <w:rsid w:val="00005E79"/>
    <w:rsid w:val="000067A3"/>
    <w:rsid w:val="00014531"/>
    <w:rsid w:val="00014DF1"/>
    <w:rsid w:val="00015333"/>
    <w:rsid w:val="00015C9C"/>
    <w:rsid w:val="0001647D"/>
    <w:rsid w:val="0001650A"/>
    <w:rsid w:val="000165A8"/>
    <w:rsid w:val="0001665A"/>
    <w:rsid w:val="00017F2D"/>
    <w:rsid w:val="00020EB1"/>
    <w:rsid w:val="00021228"/>
    <w:rsid w:val="000215EB"/>
    <w:rsid w:val="00022747"/>
    <w:rsid w:val="00022807"/>
    <w:rsid w:val="00022F4C"/>
    <w:rsid w:val="00023AD6"/>
    <w:rsid w:val="00023B7F"/>
    <w:rsid w:val="00024492"/>
    <w:rsid w:val="00025644"/>
    <w:rsid w:val="00025750"/>
    <w:rsid w:val="0002592F"/>
    <w:rsid w:val="00025DD0"/>
    <w:rsid w:val="0002735F"/>
    <w:rsid w:val="000301A4"/>
    <w:rsid w:val="000316FE"/>
    <w:rsid w:val="00031F42"/>
    <w:rsid w:val="00032255"/>
    <w:rsid w:val="0003256A"/>
    <w:rsid w:val="00032B15"/>
    <w:rsid w:val="00033076"/>
    <w:rsid w:val="00033847"/>
    <w:rsid w:val="000347EB"/>
    <w:rsid w:val="00034B81"/>
    <w:rsid w:val="00035320"/>
    <w:rsid w:val="0003558C"/>
    <w:rsid w:val="000355D8"/>
    <w:rsid w:val="00035E2F"/>
    <w:rsid w:val="000365B0"/>
    <w:rsid w:val="0003673D"/>
    <w:rsid w:val="00037549"/>
    <w:rsid w:val="00037672"/>
    <w:rsid w:val="000407E9"/>
    <w:rsid w:val="000415C5"/>
    <w:rsid w:val="000418B4"/>
    <w:rsid w:val="000426A8"/>
    <w:rsid w:val="000426EA"/>
    <w:rsid w:val="000434B1"/>
    <w:rsid w:val="000437CD"/>
    <w:rsid w:val="00044029"/>
    <w:rsid w:val="00046EAC"/>
    <w:rsid w:val="000477EA"/>
    <w:rsid w:val="00050329"/>
    <w:rsid w:val="00050A2B"/>
    <w:rsid w:val="00050F21"/>
    <w:rsid w:val="00053B37"/>
    <w:rsid w:val="00053DC4"/>
    <w:rsid w:val="00054784"/>
    <w:rsid w:val="00054C30"/>
    <w:rsid w:val="00054D78"/>
    <w:rsid w:val="00054F64"/>
    <w:rsid w:val="0005572F"/>
    <w:rsid w:val="00057103"/>
    <w:rsid w:val="000578DC"/>
    <w:rsid w:val="00057D13"/>
    <w:rsid w:val="00061927"/>
    <w:rsid w:val="00061B42"/>
    <w:rsid w:val="0006245E"/>
    <w:rsid w:val="00062D58"/>
    <w:rsid w:val="00063C01"/>
    <w:rsid w:val="000640B5"/>
    <w:rsid w:val="000654D9"/>
    <w:rsid w:val="00065C93"/>
    <w:rsid w:val="00065F0A"/>
    <w:rsid w:val="000677BF"/>
    <w:rsid w:val="00067885"/>
    <w:rsid w:val="00067E50"/>
    <w:rsid w:val="0007009B"/>
    <w:rsid w:val="000703E1"/>
    <w:rsid w:val="00070444"/>
    <w:rsid w:val="0007082A"/>
    <w:rsid w:val="00070DB4"/>
    <w:rsid w:val="00072AEF"/>
    <w:rsid w:val="00072C40"/>
    <w:rsid w:val="0007377C"/>
    <w:rsid w:val="00073E89"/>
    <w:rsid w:val="00074445"/>
    <w:rsid w:val="00074926"/>
    <w:rsid w:val="000753AE"/>
    <w:rsid w:val="0007662F"/>
    <w:rsid w:val="00077788"/>
    <w:rsid w:val="000777DB"/>
    <w:rsid w:val="00080479"/>
    <w:rsid w:val="00080C91"/>
    <w:rsid w:val="00081E58"/>
    <w:rsid w:val="00084056"/>
    <w:rsid w:val="00084085"/>
    <w:rsid w:val="000843AE"/>
    <w:rsid w:val="00084AD3"/>
    <w:rsid w:val="00085720"/>
    <w:rsid w:val="00085DDD"/>
    <w:rsid w:val="00086F23"/>
    <w:rsid w:val="000874F6"/>
    <w:rsid w:val="00090828"/>
    <w:rsid w:val="0009083C"/>
    <w:rsid w:val="00090A07"/>
    <w:rsid w:val="00090FA6"/>
    <w:rsid w:val="00090FD7"/>
    <w:rsid w:val="000925AC"/>
    <w:rsid w:val="000927A3"/>
    <w:rsid w:val="00092D35"/>
    <w:rsid w:val="00092F8F"/>
    <w:rsid w:val="0009358F"/>
    <w:rsid w:val="00094007"/>
    <w:rsid w:val="00095189"/>
    <w:rsid w:val="0009559A"/>
    <w:rsid w:val="00095DEF"/>
    <w:rsid w:val="000967E2"/>
    <w:rsid w:val="00096C42"/>
    <w:rsid w:val="00097C86"/>
    <w:rsid w:val="000A0398"/>
    <w:rsid w:val="000A0D3C"/>
    <w:rsid w:val="000A2AF4"/>
    <w:rsid w:val="000A2CA5"/>
    <w:rsid w:val="000A3817"/>
    <w:rsid w:val="000A41FD"/>
    <w:rsid w:val="000A4A55"/>
    <w:rsid w:val="000A569B"/>
    <w:rsid w:val="000A7403"/>
    <w:rsid w:val="000A7D07"/>
    <w:rsid w:val="000B0A2E"/>
    <w:rsid w:val="000B0F51"/>
    <w:rsid w:val="000B1596"/>
    <w:rsid w:val="000B1B81"/>
    <w:rsid w:val="000B1DE8"/>
    <w:rsid w:val="000B283B"/>
    <w:rsid w:val="000B3303"/>
    <w:rsid w:val="000B3431"/>
    <w:rsid w:val="000B489F"/>
    <w:rsid w:val="000B4C5B"/>
    <w:rsid w:val="000B5039"/>
    <w:rsid w:val="000B55BE"/>
    <w:rsid w:val="000B5C3A"/>
    <w:rsid w:val="000B5E88"/>
    <w:rsid w:val="000B6027"/>
    <w:rsid w:val="000B6648"/>
    <w:rsid w:val="000B786B"/>
    <w:rsid w:val="000C079C"/>
    <w:rsid w:val="000C0EE5"/>
    <w:rsid w:val="000C13A1"/>
    <w:rsid w:val="000C179D"/>
    <w:rsid w:val="000C260D"/>
    <w:rsid w:val="000C30AC"/>
    <w:rsid w:val="000C4579"/>
    <w:rsid w:val="000C463E"/>
    <w:rsid w:val="000C4E06"/>
    <w:rsid w:val="000C5056"/>
    <w:rsid w:val="000C52AB"/>
    <w:rsid w:val="000C5AA2"/>
    <w:rsid w:val="000C5C93"/>
    <w:rsid w:val="000C5D12"/>
    <w:rsid w:val="000C6F15"/>
    <w:rsid w:val="000C6F2A"/>
    <w:rsid w:val="000C7C80"/>
    <w:rsid w:val="000D1F8D"/>
    <w:rsid w:val="000D21F1"/>
    <w:rsid w:val="000D252E"/>
    <w:rsid w:val="000D2ED1"/>
    <w:rsid w:val="000D3548"/>
    <w:rsid w:val="000D3551"/>
    <w:rsid w:val="000D35B5"/>
    <w:rsid w:val="000D42D0"/>
    <w:rsid w:val="000D5211"/>
    <w:rsid w:val="000D5B51"/>
    <w:rsid w:val="000D65FC"/>
    <w:rsid w:val="000D6B45"/>
    <w:rsid w:val="000D6FB3"/>
    <w:rsid w:val="000D7254"/>
    <w:rsid w:val="000D753D"/>
    <w:rsid w:val="000D76E1"/>
    <w:rsid w:val="000D7823"/>
    <w:rsid w:val="000E0034"/>
    <w:rsid w:val="000E0DB3"/>
    <w:rsid w:val="000E10A5"/>
    <w:rsid w:val="000E1407"/>
    <w:rsid w:val="000E1A63"/>
    <w:rsid w:val="000E33CF"/>
    <w:rsid w:val="000E4C3D"/>
    <w:rsid w:val="000E6849"/>
    <w:rsid w:val="000E72B9"/>
    <w:rsid w:val="000E786B"/>
    <w:rsid w:val="000F05AB"/>
    <w:rsid w:val="000F091D"/>
    <w:rsid w:val="000F1B68"/>
    <w:rsid w:val="000F2179"/>
    <w:rsid w:val="000F231A"/>
    <w:rsid w:val="000F278B"/>
    <w:rsid w:val="000F2955"/>
    <w:rsid w:val="000F2C67"/>
    <w:rsid w:val="000F40C0"/>
    <w:rsid w:val="000F45C8"/>
    <w:rsid w:val="000F4BBE"/>
    <w:rsid w:val="000F50C6"/>
    <w:rsid w:val="000F51EA"/>
    <w:rsid w:val="000F5AD4"/>
    <w:rsid w:val="000F7BB7"/>
    <w:rsid w:val="000F7CF5"/>
    <w:rsid w:val="00100471"/>
    <w:rsid w:val="001019D6"/>
    <w:rsid w:val="00101E5F"/>
    <w:rsid w:val="001025D9"/>
    <w:rsid w:val="00102EBB"/>
    <w:rsid w:val="00104353"/>
    <w:rsid w:val="00105F22"/>
    <w:rsid w:val="001062D4"/>
    <w:rsid w:val="00106436"/>
    <w:rsid w:val="001066B1"/>
    <w:rsid w:val="00107DA6"/>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B2C"/>
    <w:rsid w:val="0012046B"/>
    <w:rsid w:val="001209B5"/>
    <w:rsid w:val="00120E02"/>
    <w:rsid w:val="001214C7"/>
    <w:rsid w:val="00121F6B"/>
    <w:rsid w:val="00122362"/>
    <w:rsid w:val="0012259E"/>
    <w:rsid w:val="001228C8"/>
    <w:rsid w:val="00122C0D"/>
    <w:rsid w:val="00122D4D"/>
    <w:rsid w:val="0012481C"/>
    <w:rsid w:val="001269FF"/>
    <w:rsid w:val="001303A1"/>
    <w:rsid w:val="001303B7"/>
    <w:rsid w:val="00131D1B"/>
    <w:rsid w:val="00132B99"/>
    <w:rsid w:val="00132BF1"/>
    <w:rsid w:val="001330BB"/>
    <w:rsid w:val="001339C6"/>
    <w:rsid w:val="00134327"/>
    <w:rsid w:val="001347A9"/>
    <w:rsid w:val="00135872"/>
    <w:rsid w:val="00136173"/>
    <w:rsid w:val="00136D1E"/>
    <w:rsid w:val="001377F8"/>
    <w:rsid w:val="00137F99"/>
    <w:rsid w:val="0014084B"/>
    <w:rsid w:val="001440F2"/>
    <w:rsid w:val="00145318"/>
    <w:rsid w:val="001455A1"/>
    <w:rsid w:val="00145AE6"/>
    <w:rsid w:val="00145F46"/>
    <w:rsid w:val="001460D9"/>
    <w:rsid w:val="001466BF"/>
    <w:rsid w:val="00146976"/>
    <w:rsid w:val="00146C44"/>
    <w:rsid w:val="001477E7"/>
    <w:rsid w:val="00147FD9"/>
    <w:rsid w:val="00150025"/>
    <w:rsid w:val="00150964"/>
    <w:rsid w:val="00150A27"/>
    <w:rsid w:val="00150F2A"/>
    <w:rsid w:val="00152078"/>
    <w:rsid w:val="00154963"/>
    <w:rsid w:val="0015596B"/>
    <w:rsid w:val="00155D1F"/>
    <w:rsid w:val="001561B1"/>
    <w:rsid w:val="00157A5C"/>
    <w:rsid w:val="001600A3"/>
    <w:rsid w:val="0016132F"/>
    <w:rsid w:val="001613F3"/>
    <w:rsid w:val="0016174D"/>
    <w:rsid w:val="00162B36"/>
    <w:rsid w:val="0016317C"/>
    <w:rsid w:val="00164DCB"/>
    <w:rsid w:val="00165642"/>
    <w:rsid w:val="00165B64"/>
    <w:rsid w:val="00165D82"/>
    <w:rsid w:val="00166C40"/>
    <w:rsid w:val="00166F24"/>
    <w:rsid w:val="00167BBE"/>
    <w:rsid w:val="00171489"/>
    <w:rsid w:val="001721A5"/>
    <w:rsid w:val="0017293A"/>
    <w:rsid w:val="00172A27"/>
    <w:rsid w:val="00172A9B"/>
    <w:rsid w:val="00172DEA"/>
    <w:rsid w:val="00172F37"/>
    <w:rsid w:val="00174134"/>
    <w:rsid w:val="001745A8"/>
    <w:rsid w:val="00175461"/>
    <w:rsid w:val="00176A64"/>
    <w:rsid w:val="00176B11"/>
    <w:rsid w:val="00176C6C"/>
    <w:rsid w:val="00177E29"/>
    <w:rsid w:val="00177F0D"/>
    <w:rsid w:val="00177F8E"/>
    <w:rsid w:val="001806AD"/>
    <w:rsid w:val="00181796"/>
    <w:rsid w:val="001818BD"/>
    <w:rsid w:val="0018204B"/>
    <w:rsid w:val="00182F9F"/>
    <w:rsid w:val="00184528"/>
    <w:rsid w:val="00184AF6"/>
    <w:rsid w:val="001862DC"/>
    <w:rsid w:val="00186401"/>
    <w:rsid w:val="00186442"/>
    <w:rsid w:val="001866A1"/>
    <w:rsid w:val="0019112A"/>
    <w:rsid w:val="00191C93"/>
    <w:rsid w:val="001923EA"/>
    <w:rsid w:val="00192735"/>
    <w:rsid w:val="00192FBA"/>
    <w:rsid w:val="00193696"/>
    <w:rsid w:val="00193EC6"/>
    <w:rsid w:val="0019411E"/>
    <w:rsid w:val="001947FB"/>
    <w:rsid w:val="00195720"/>
    <w:rsid w:val="001958B9"/>
    <w:rsid w:val="00196CDD"/>
    <w:rsid w:val="001975C9"/>
    <w:rsid w:val="001A065E"/>
    <w:rsid w:val="001A189F"/>
    <w:rsid w:val="001A293D"/>
    <w:rsid w:val="001A2A77"/>
    <w:rsid w:val="001A3908"/>
    <w:rsid w:val="001A3A5A"/>
    <w:rsid w:val="001A4457"/>
    <w:rsid w:val="001A5133"/>
    <w:rsid w:val="001A5EA1"/>
    <w:rsid w:val="001A6DCB"/>
    <w:rsid w:val="001A773A"/>
    <w:rsid w:val="001A77C4"/>
    <w:rsid w:val="001A7BE0"/>
    <w:rsid w:val="001B05B9"/>
    <w:rsid w:val="001B15C6"/>
    <w:rsid w:val="001B17D1"/>
    <w:rsid w:val="001B229E"/>
    <w:rsid w:val="001B2678"/>
    <w:rsid w:val="001B2B2F"/>
    <w:rsid w:val="001B2DEF"/>
    <w:rsid w:val="001B412E"/>
    <w:rsid w:val="001B4136"/>
    <w:rsid w:val="001B45EF"/>
    <w:rsid w:val="001B48E0"/>
    <w:rsid w:val="001B4D7D"/>
    <w:rsid w:val="001B5125"/>
    <w:rsid w:val="001B5B97"/>
    <w:rsid w:val="001B6AA4"/>
    <w:rsid w:val="001B75B0"/>
    <w:rsid w:val="001C023F"/>
    <w:rsid w:val="001C02D5"/>
    <w:rsid w:val="001C0500"/>
    <w:rsid w:val="001C059B"/>
    <w:rsid w:val="001C0B84"/>
    <w:rsid w:val="001C1192"/>
    <w:rsid w:val="001C1570"/>
    <w:rsid w:val="001C1E56"/>
    <w:rsid w:val="001C28B3"/>
    <w:rsid w:val="001C2CF6"/>
    <w:rsid w:val="001C4064"/>
    <w:rsid w:val="001C49F4"/>
    <w:rsid w:val="001C71D7"/>
    <w:rsid w:val="001D0F66"/>
    <w:rsid w:val="001D125F"/>
    <w:rsid w:val="001D1295"/>
    <w:rsid w:val="001D16DA"/>
    <w:rsid w:val="001D17FB"/>
    <w:rsid w:val="001D2271"/>
    <w:rsid w:val="001D23D8"/>
    <w:rsid w:val="001D251C"/>
    <w:rsid w:val="001D3B3D"/>
    <w:rsid w:val="001D42FF"/>
    <w:rsid w:val="001D4381"/>
    <w:rsid w:val="001D47CF"/>
    <w:rsid w:val="001D4A3E"/>
    <w:rsid w:val="001D4B38"/>
    <w:rsid w:val="001D6225"/>
    <w:rsid w:val="001D6439"/>
    <w:rsid w:val="001D6D8C"/>
    <w:rsid w:val="001D7E9C"/>
    <w:rsid w:val="001E054D"/>
    <w:rsid w:val="001E0FAD"/>
    <w:rsid w:val="001E1308"/>
    <w:rsid w:val="001E1520"/>
    <w:rsid w:val="001E19DD"/>
    <w:rsid w:val="001E19F9"/>
    <w:rsid w:val="001E1C31"/>
    <w:rsid w:val="001E2C16"/>
    <w:rsid w:val="001E394D"/>
    <w:rsid w:val="001E39AA"/>
    <w:rsid w:val="001E3AAF"/>
    <w:rsid w:val="001E3D84"/>
    <w:rsid w:val="001E4F0E"/>
    <w:rsid w:val="001E594C"/>
    <w:rsid w:val="001E6BFA"/>
    <w:rsid w:val="001E6F59"/>
    <w:rsid w:val="001E7F4C"/>
    <w:rsid w:val="001F07E9"/>
    <w:rsid w:val="001F0D0C"/>
    <w:rsid w:val="001F11F5"/>
    <w:rsid w:val="001F12EE"/>
    <w:rsid w:val="001F24B9"/>
    <w:rsid w:val="001F31AC"/>
    <w:rsid w:val="001F3815"/>
    <w:rsid w:val="001F3DB0"/>
    <w:rsid w:val="001F3E77"/>
    <w:rsid w:val="001F57A7"/>
    <w:rsid w:val="001F5A67"/>
    <w:rsid w:val="001F6B1B"/>
    <w:rsid w:val="001F7FF6"/>
    <w:rsid w:val="00200EBF"/>
    <w:rsid w:val="00204651"/>
    <w:rsid w:val="00204D75"/>
    <w:rsid w:val="002050D7"/>
    <w:rsid w:val="002051B0"/>
    <w:rsid w:val="00205225"/>
    <w:rsid w:val="00205413"/>
    <w:rsid w:val="00205AEF"/>
    <w:rsid w:val="00205D72"/>
    <w:rsid w:val="0020686F"/>
    <w:rsid w:val="002076AA"/>
    <w:rsid w:val="0021027A"/>
    <w:rsid w:val="00212A14"/>
    <w:rsid w:val="00214D7A"/>
    <w:rsid w:val="00214D88"/>
    <w:rsid w:val="00215286"/>
    <w:rsid w:val="00215906"/>
    <w:rsid w:val="002159C6"/>
    <w:rsid w:val="00215A2A"/>
    <w:rsid w:val="00215CE0"/>
    <w:rsid w:val="00215DA1"/>
    <w:rsid w:val="00216156"/>
    <w:rsid w:val="0021687E"/>
    <w:rsid w:val="002168E9"/>
    <w:rsid w:val="0021733C"/>
    <w:rsid w:val="002207FA"/>
    <w:rsid w:val="00221627"/>
    <w:rsid w:val="00221E51"/>
    <w:rsid w:val="00221F8E"/>
    <w:rsid w:val="00221FE1"/>
    <w:rsid w:val="002220C5"/>
    <w:rsid w:val="00222689"/>
    <w:rsid w:val="00223852"/>
    <w:rsid w:val="00223ADA"/>
    <w:rsid w:val="002245B9"/>
    <w:rsid w:val="00224A21"/>
    <w:rsid w:val="00225099"/>
    <w:rsid w:val="002250CA"/>
    <w:rsid w:val="0022607A"/>
    <w:rsid w:val="00226152"/>
    <w:rsid w:val="00226456"/>
    <w:rsid w:val="002264D0"/>
    <w:rsid w:val="002270BE"/>
    <w:rsid w:val="002279E6"/>
    <w:rsid w:val="0023144C"/>
    <w:rsid w:val="00232211"/>
    <w:rsid w:val="002329B7"/>
    <w:rsid w:val="00232AD2"/>
    <w:rsid w:val="002330FC"/>
    <w:rsid w:val="002343A7"/>
    <w:rsid w:val="0023462F"/>
    <w:rsid w:val="00234BF0"/>
    <w:rsid w:val="00235CE8"/>
    <w:rsid w:val="002369E6"/>
    <w:rsid w:val="00237DCC"/>
    <w:rsid w:val="00237DD3"/>
    <w:rsid w:val="00237F17"/>
    <w:rsid w:val="0024052C"/>
    <w:rsid w:val="002410BB"/>
    <w:rsid w:val="0024122A"/>
    <w:rsid w:val="00241889"/>
    <w:rsid w:val="00243253"/>
    <w:rsid w:val="002432CD"/>
    <w:rsid w:val="002476F0"/>
    <w:rsid w:val="00247DA6"/>
    <w:rsid w:val="00251F81"/>
    <w:rsid w:val="0025253B"/>
    <w:rsid w:val="002526AC"/>
    <w:rsid w:val="00252997"/>
    <w:rsid w:val="002534E3"/>
    <w:rsid w:val="00253DE9"/>
    <w:rsid w:val="00254512"/>
    <w:rsid w:val="00254725"/>
    <w:rsid w:val="002555DD"/>
    <w:rsid w:val="002555E1"/>
    <w:rsid w:val="00255C94"/>
    <w:rsid w:val="00255F5A"/>
    <w:rsid w:val="00257031"/>
    <w:rsid w:val="00257CB4"/>
    <w:rsid w:val="002603C8"/>
    <w:rsid w:val="0026138C"/>
    <w:rsid w:val="00262012"/>
    <w:rsid w:val="00263DE8"/>
    <w:rsid w:val="0026466E"/>
    <w:rsid w:val="00264D7B"/>
    <w:rsid w:val="00264EBF"/>
    <w:rsid w:val="00265DD9"/>
    <w:rsid w:val="002667EA"/>
    <w:rsid w:val="00266C56"/>
    <w:rsid w:val="00267A99"/>
    <w:rsid w:val="002702C1"/>
    <w:rsid w:val="00271FF1"/>
    <w:rsid w:val="0027264B"/>
    <w:rsid w:val="002736CE"/>
    <w:rsid w:val="002742E2"/>
    <w:rsid w:val="00274CFD"/>
    <w:rsid w:val="00274ED6"/>
    <w:rsid w:val="002752C6"/>
    <w:rsid w:val="002755EF"/>
    <w:rsid w:val="0027586B"/>
    <w:rsid w:val="00276BC6"/>
    <w:rsid w:val="00276C59"/>
    <w:rsid w:val="0027792D"/>
    <w:rsid w:val="00281357"/>
    <w:rsid w:val="00282A25"/>
    <w:rsid w:val="00282F72"/>
    <w:rsid w:val="002830A8"/>
    <w:rsid w:val="00283515"/>
    <w:rsid w:val="00283721"/>
    <w:rsid w:val="00283BAD"/>
    <w:rsid w:val="0028466A"/>
    <w:rsid w:val="002846E8"/>
    <w:rsid w:val="002849BD"/>
    <w:rsid w:val="00284F98"/>
    <w:rsid w:val="0028561D"/>
    <w:rsid w:val="00285FF7"/>
    <w:rsid w:val="002860F1"/>
    <w:rsid w:val="002907E7"/>
    <w:rsid w:val="00291148"/>
    <w:rsid w:val="00292278"/>
    <w:rsid w:val="00295263"/>
    <w:rsid w:val="0029555F"/>
    <w:rsid w:val="00295590"/>
    <w:rsid w:val="0029631A"/>
    <w:rsid w:val="00297BEE"/>
    <w:rsid w:val="002A05DC"/>
    <w:rsid w:val="002A0F20"/>
    <w:rsid w:val="002A104F"/>
    <w:rsid w:val="002A13A2"/>
    <w:rsid w:val="002A3274"/>
    <w:rsid w:val="002A32D9"/>
    <w:rsid w:val="002A3CF1"/>
    <w:rsid w:val="002A59B9"/>
    <w:rsid w:val="002A5E8D"/>
    <w:rsid w:val="002A68CD"/>
    <w:rsid w:val="002B13CB"/>
    <w:rsid w:val="002B14EA"/>
    <w:rsid w:val="002B1854"/>
    <w:rsid w:val="002B1A51"/>
    <w:rsid w:val="002B2AE1"/>
    <w:rsid w:val="002B3159"/>
    <w:rsid w:val="002B3A8F"/>
    <w:rsid w:val="002B3E1F"/>
    <w:rsid w:val="002B4646"/>
    <w:rsid w:val="002B5324"/>
    <w:rsid w:val="002B5C76"/>
    <w:rsid w:val="002B5C91"/>
    <w:rsid w:val="002B5F4B"/>
    <w:rsid w:val="002B6603"/>
    <w:rsid w:val="002B6F5F"/>
    <w:rsid w:val="002C0828"/>
    <w:rsid w:val="002C124B"/>
    <w:rsid w:val="002C1A0B"/>
    <w:rsid w:val="002C33AF"/>
    <w:rsid w:val="002C370D"/>
    <w:rsid w:val="002C3B75"/>
    <w:rsid w:val="002C450A"/>
    <w:rsid w:val="002C47E9"/>
    <w:rsid w:val="002C4E26"/>
    <w:rsid w:val="002C4E6C"/>
    <w:rsid w:val="002C5092"/>
    <w:rsid w:val="002C54BF"/>
    <w:rsid w:val="002C5519"/>
    <w:rsid w:val="002C59CD"/>
    <w:rsid w:val="002C67E5"/>
    <w:rsid w:val="002C6D0D"/>
    <w:rsid w:val="002C6F5D"/>
    <w:rsid w:val="002D0639"/>
    <w:rsid w:val="002D08F4"/>
    <w:rsid w:val="002D097F"/>
    <w:rsid w:val="002D0D0C"/>
    <w:rsid w:val="002D1258"/>
    <w:rsid w:val="002D13E8"/>
    <w:rsid w:val="002D2807"/>
    <w:rsid w:val="002D2D97"/>
    <w:rsid w:val="002D3BDF"/>
    <w:rsid w:val="002D426C"/>
    <w:rsid w:val="002D4721"/>
    <w:rsid w:val="002D472F"/>
    <w:rsid w:val="002D4803"/>
    <w:rsid w:val="002D6CDA"/>
    <w:rsid w:val="002D6EFD"/>
    <w:rsid w:val="002E0D86"/>
    <w:rsid w:val="002E10C6"/>
    <w:rsid w:val="002E16AE"/>
    <w:rsid w:val="002E1795"/>
    <w:rsid w:val="002E1871"/>
    <w:rsid w:val="002E1A25"/>
    <w:rsid w:val="002E1C38"/>
    <w:rsid w:val="002E3521"/>
    <w:rsid w:val="002E37F4"/>
    <w:rsid w:val="002E43A5"/>
    <w:rsid w:val="002E5665"/>
    <w:rsid w:val="002E7318"/>
    <w:rsid w:val="002E7617"/>
    <w:rsid w:val="002E7C56"/>
    <w:rsid w:val="002E7D8E"/>
    <w:rsid w:val="002F0408"/>
    <w:rsid w:val="002F06FF"/>
    <w:rsid w:val="002F210E"/>
    <w:rsid w:val="002F27B6"/>
    <w:rsid w:val="002F2B50"/>
    <w:rsid w:val="002F3CDE"/>
    <w:rsid w:val="002F405F"/>
    <w:rsid w:val="002F491B"/>
    <w:rsid w:val="002F4953"/>
    <w:rsid w:val="002F4ACB"/>
    <w:rsid w:val="002F7430"/>
    <w:rsid w:val="002F777B"/>
    <w:rsid w:val="00300191"/>
    <w:rsid w:val="00300414"/>
    <w:rsid w:val="00300578"/>
    <w:rsid w:val="00300AAF"/>
    <w:rsid w:val="00300F8D"/>
    <w:rsid w:val="00304FC4"/>
    <w:rsid w:val="003059F4"/>
    <w:rsid w:val="0030689E"/>
    <w:rsid w:val="003068D7"/>
    <w:rsid w:val="003071B2"/>
    <w:rsid w:val="00307599"/>
    <w:rsid w:val="003075B8"/>
    <w:rsid w:val="00310399"/>
    <w:rsid w:val="00310D8D"/>
    <w:rsid w:val="0031445A"/>
    <w:rsid w:val="003149F6"/>
    <w:rsid w:val="00315977"/>
    <w:rsid w:val="00316368"/>
    <w:rsid w:val="003174B4"/>
    <w:rsid w:val="0032047A"/>
    <w:rsid w:val="00320939"/>
    <w:rsid w:val="00320F9D"/>
    <w:rsid w:val="00321B76"/>
    <w:rsid w:val="00321BBE"/>
    <w:rsid w:val="00323813"/>
    <w:rsid w:val="00325077"/>
    <w:rsid w:val="0032515F"/>
    <w:rsid w:val="003253BE"/>
    <w:rsid w:val="00325C89"/>
    <w:rsid w:val="0032679D"/>
    <w:rsid w:val="00326D1D"/>
    <w:rsid w:val="00327D78"/>
    <w:rsid w:val="00327D80"/>
    <w:rsid w:val="00327DF9"/>
    <w:rsid w:val="00327E48"/>
    <w:rsid w:val="003302F7"/>
    <w:rsid w:val="00332437"/>
    <w:rsid w:val="00332A1C"/>
    <w:rsid w:val="00332A90"/>
    <w:rsid w:val="00332AB7"/>
    <w:rsid w:val="00332B68"/>
    <w:rsid w:val="00333E90"/>
    <w:rsid w:val="00334C69"/>
    <w:rsid w:val="00334E81"/>
    <w:rsid w:val="00335E6A"/>
    <w:rsid w:val="00337322"/>
    <w:rsid w:val="00340B0B"/>
    <w:rsid w:val="00340CDE"/>
    <w:rsid w:val="0034133E"/>
    <w:rsid w:val="003415A1"/>
    <w:rsid w:val="00342048"/>
    <w:rsid w:val="00342994"/>
    <w:rsid w:val="00342F54"/>
    <w:rsid w:val="00343735"/>
    <w:rsid w:val="00343F87"/>
    <w:rsid w:val="00345DCC"/>
    <w:rsid w:val="00346101"/>
    <w:rsid w:val="00346CAB"/>
    <w:rsid w:val="00347C24"/>
    <w:rsid w:val="00347EB1"/>
    <w:rsid w:val="003508F6"/>
    <w:rsid w:val="00351DDB"/>
    <w:rsid w:val="00351FF3"/>
    <w:rsid w:val="00352B90"/>
    <w:rsid w:val="00353231"/>
    <w:rsid w:val="00353F39"/>
    <w:rsid w:val="00354C64"/>
    <w:rsid w:val="00354D6E"/>
    <w:rsid w:val="0035514C"/>
    <w:rsid w:val="00356084"/>
    <w:rsid w:val="003568C0"/>
    <w:rsid w:val="00356E07"/>
    <w:rsid w:val="0036056A"/>
    <w:rsid w:val="003639E8"/>
    <w:rsid w:val="003642D2"/>
    <w:rsid w:val="0036450C"/>
    <w:rsid w:val="00364574"/>
    <w:rsid w:val="0036468B"/>
    <w:rsid w:val="0036546D"/>
    <w:rsid w:val="003664C3"/>
    <w:rsid w:val="003675A1"/>
    <w:rsid w:val="0036773D"/>
    <w:rsid w:val="00367FEB"/>
    <w:rsid w:val="003711C1"/>
    <w:rsid w:val="00371BC3"/>
    <w:rsid w:val="00371CBE"/>
    <w:rsid w:val="00372C24"/>
    <w:rsid w:val="00372C38"/>
    <w:rsid w:val="00372C9E"/>
    <w:rsid w:val="0037332F"/>
    <w:rsid w:val="00373AD4"/>
    <w:rsid w:val="0037428F"/>
    <w:rsid w:val="00374539"/>
    <w:rsid w:val="003747BD"/>
    <w:rsid w:val="00374DD5"/>
    <w:rsid w:val="0037591D"/>
    <w:rsid w:val="00376E05"/>
    <w:rsid w:val="0037720A"/>
    <w:rsid w:val="003774FC"/>
    <w:rsid w:val="00377F5B"/>
    <w:rsid w:val="0038006D"/>
    <w:rsid w:val="00381EB9"/>
    <w:rsid w:val="0038206D"/>
    <w:rsid w:val="00383A81"/>
    <w:rsid w:val="00383D6A"/>
    <w:rsid w:val="00384693"/>
    <w:rsid w:val="00385DC1"/>
    <w:rsid w:val="00385F02"/>
    <w:rsid w:val="0038641A"/>
    <w:rsid w:val="00386DED"/>
    <w:rsid w:val="0038719C"/>
    <w:rsid w:val="00390E97"/>
    <w:rsid w:val="003924AE"/>
    <w:rsid w:val="00392E76"/>
    <w:rsid w:val="00393BF6"/>
    <w:rsid w:val="00393F1C"/>
    <w:rsid w:val="00393F6E"/>
    <w:rsid w:val="00394276"/>
    <w:rsid w:val="00394BA4"/>
    <w:rsid w:val="0039597A"/>
    <w:rsid w:val="0039697D"/>
    <w:rsid w:val="00396DAE"/>
    <w:rsid w:val="0039750E"/>
    <w:rsid w:val="00397618"/>
    <w:rsid w:val="00397731"/>
    <w:rsid w:val="00397EA7"/>
    <w:rsid w:val="003A1350"/>
    <w:rsid w:val="003A17CE"/>
    <w:rsid w:val="003A1920"/>
    <w:rsid w:val="003A1A61"/>
    <w:rsid w:val="003A2C3E"/>
    <w:rsid w:val="003A2D49"/>
    <w:rsid w:val="003A3487"/>
    <w:rsid w:val="003A5228"/>
    <w:rsid w:val="003A5358"/>
    <w:rsid w:val="003A583A"/>
    <w:rsid w:val="003A591A"/>
    <w:rsid w:val="003A5F2B"/>
    <w:rsid w:val="003A722D"/>
    <w:rsid w:val="003B01FB"/>
    <w:rsid w:val="003B0557"/>
    <w:rsid w:val="003B0E02"/>
    <w:rsid w:val="003B0FDA"/>
    <w:rsid w:val="003B1656"/>
    <w:rsid w:val="003B231B"/>
    <w:rsid w:val="003B3157"/>
    <w:rsid w:val="003B3FC0"/>
    <w:rsid w:val="003B4786"/>
    <w:rsid w:val="003B56E2"/>
    <w:rsid w:val="003B5926"/>
    <w:rsid w:val="003B602A"/>
    <w:rsid w:val="003B71D0"/>
    <w:rsid w:val="003B7450"/>
    <w:rsid w:val="003C2C74"/>
    <w:rsid w:val="003C3055"/>
    <w:rsid w:val="003C3EAC"/>
    <w:rsid w:val="003C4015"/>
    <w:rsid w:val="003C45E6"/>
    <w:rsid w:val="003C4A67"/>
    <w:rsid w:val="003C568C"/>
    <w:rsid w:val="003C56E9"/>
    <w:rsid w:val="003C63A8"/>
    <w:rsid w:val="003C6725"/>
    <w:rsid w:val="003C6F78"/>
    <w:rsid w:val="003C703E"/>
    <w:rsid w:val="003C7107"/>
    <w:rsid w:val="003D0D2D"/>
    <w:rsid w:val="003D16A1"/>
    <w:rsid w:val="003D16F1"/>
    <w:rsid w:val="003D1778"/>
    <w:rsid w:val="003D1B5E"/>
    <w:rsid w:val="003D28A5"/>
    <w:rsid w:val="003D30C9"/>
    <w:rsid w:val="003D472B"/>
    <w:rsid w:val="003D4F91"/>
    <w:rsid w:val="003D5092"/>
    <w:rsid w:val="003D6240"/>
    <w:rsid w:val="003D7A99"/>
    <w:rsid w:val="003D7D65"/>
    <w:rsid w:val="003E007A"/>
    <w:rsid w:val="003E09C9"/>
    <w:rsid w:val="003E0CFA"/>
    <w:rsid w:val="003E0D77"/>
    <w:rsid w:val="003E0DA2"/>
    <w:rsid w:val="003E11B1"/>
    <w:rsid w:val="003E11D8"/>
    <w:rsid w:val="003E1873"/>
    <w:rsid w:val="003E25CD"/>
    <w:rsid w:val="003E25DA"/>
    <w:rsid w:val="003E2BDE"/>
    <w:rsid w:val="003E2F13"/>
    <w:rsid w:val="003E3005"/>
    <w:rsid w:val="003E3092"/>
    <w:rsid w:val="003E386C"/>
    <w:rsid w:val="003E44BC"/>
    <w:rsid w:val="003E509B"/>
    <w:rsid w:val="003E60A8"/>
    <w:rsid w:val="003E6141"/>
    <w:rsid w:val="003E620D"/>
    <w:rsid w:val="003E6F86"/>
    <w:rsid w:val="003F111F"/>
    <w:rsid w:val="003F1441"/>
    <w:rsid w:val="003F1A7F"/>
    <w:rsid w:val="003F330F"/>
    <w:rsid w:val="003F36C9"/>
    <w:rsid w:val="003F43BB"/>
    <w:rsid w:val="003F441E"/>
    <w:rsid w:val="003F4A7C"/>
    <w:rsid w:val="003F5144"/>
    <w:rsid w:val="003F584D"/>
    <w:rsid w:val="003F5DC0"/>
    <w:rsid w:val="003F73B2"/>
    <w:rsid w:val="00400538"/>
    <w:rsid w:val="0040067C"/>
    <w:rsid w:val="004012CF"/>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716B"/>
    <w:rsid w:val="00407301"/>
    <w:rsid w:val="00407985"/>
    <w:rsid w:val="004100B2"/>
    <w:rsid w:val="00410BE9"/>
    <w:rsid w:val="004117D4"/>
    <w:rsid w:val="00411C6C"/>
    <w:rsid w:val="004133BA"/>
    <w:rsid w:val="00413638"/>
    <w:rsid w:val="00413B4D"/>
    <w:rsid w:val="00413ED4"/>
    <w:rsid w:val="00414B0A"/>
    <w:rsid w:val="00414B6F"/>
    <w:rsid w:val="00414DD6"/>
    <w:rsid w:val="004159EE"/>
    <w:rsid w:val="0041663C"/>
    <w:rsid w:val="00417D6B"/>
    <w:rsid w:val="00422EB1"/>
    <w:rsid w:val="00422F2E"/>
    <w:rsid w:val="0042336B"/>
    <w:rsid w:val="004237E6"/>
    <w:rsid w:val="00424573"/>
    <w:rsid w:val="00425258"/>
    <w:rsid w:val="0042547A"/>
    <w:rsid w:val="0042551A"/>
    <w:rsid w:val="00425FAD"/>
    <w:rsid w:val="00426C16"/>
    <w:rsid w:val="00426CCD"/>
    <w:rsid w:val="00426F2C"/>
    <w:rsid w:val="00426F58"/>
    <w:rsid w:val="0042720C"/>
    <w:rsid w:val="004307C5"/>
    <w:rsid w:val="00430AD8"/>
    <w:rsid w:val="00430E04"/>
    <w:rsid w:val="00433728"/>
    <w:rsid w:val="004338FB"/>
    <w:rsid w:val="00433CB6"/>
    <w:rsid w:val="00434569"/>
    <w:rsid w:val="00434775"/>
    <w:rsid w:val="00434941"/>
    <w:rsid w:val="004356A1"/>
    <w:rsid w:val="00436264"/>
    <w:rsid w:val="0043688D"/>
    <w:rsid w:val="0044016F"/>
    <w:rsid w:val="004403BC"/>
    <w:rsid w:val="00440600"/>
    <w:rsid w:val="00440C8E"/>
    <w:rsid w:val="004411B0"/>
    <w:rsid w:val="0044183D"/>
    <w:rsid w:val="00441862"/>
    <w:rsid w:val="004422F3"/>
    <w:rsid w:val="004424D6"/>
    <w:rsid w:val="004426D5"/>
    <w:rsid w:val="004427AC"/>
    <w:rsid w:val="00442B64"/>
    <w:rsid w:val="004437A8"/>
    <w:rsid w:val="00443AA8"/>
    <w:rsid w:val="00444AFB"/>
    <w:rsid w:val="00444F38"/>
    <w:rsid w:val="00445781"/>
    <w:rsid w:val="004468EF"/>
    <w:rsid w:val="00446F78"/>
    <w:rsid w:val="00450535"/>
    <w:rsid w:val="00450551"/>
    <w:rsid w:val="00450E73"/>
    <w:rsid w:val="00451333"/>
    <w:rsid w:val="00451AD8"/>
    <w:rsid w:val="00452BA8"/>
    <w:rsid w:val="00452C04"/>
    <w:rsid w:val="00452C3B"/>
    <w:rsid w:val="00453AEE"/>
    <w:rsid w:val="0045516B"/>
    <w:rsid w:val="00455783"/>
    <w:rsid w:val="00455C4E"/>
    <w:rsid w:val="00456C7D"/>
    <w:rsid w:val="00457C26"/>
    <w:rsid w:val="004607DA"/>
    <w:rsid w:val="00460A63"/>
    <w:rsid w:val="004611AB"/>
    <w:rsid w:val="00461886"/>
    <w:rsid w:val="004628A4"/>
    <w:rsid w:val="00462A0F"/>
    <w:rsid w:val="004645C9"/>
    <w:rsid w:val="00464BDB"/>
    <w:rsid w:val="00464FEE"/>
    <w:rsid w:val="0046513C"/>
    <w:rsid w:val="004657E9"/>
    <w:rsid w:val="00465B8F"/>
    <w:rsid w:val="00465BC5"/>
    <w:rsid w:val="00467813"/>
    <w:rsid w:val="004704EB"/>
    <w:rsid w:val="00470B02"/>
    <w:rsid w:val="00470D29"/>
    <w:rsid w:val="00470DA0"/>
    <w:rsid w:val="004738CC"/>
    <w:rsid w:val="00473922"/>
    <w:rsid w:val="00473BE0"/>
    <w:rsid w:val="004742F2"/>
    <w:rsid w:val="004749A9"/>
    <w:rsid w:val="00474B56"/>
    <w:rsid w:val="00474B70"/>
    <w:rsid w:val="004750DD"/>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533A"/>
    <w:rsid w:val="004861E3"/>
    <w:rsid w:val="004864EC"/>
    <w:rsid w:val="00486E1F"/>
    <w:rsid w:val="00487255"/>
    <w:rsid w:val="004877A9"/>
    <w:rsid w:val="00491E53"/>
    <w:rsid w:val="0049221E"/>
    <w:rsid w:val="0049286D"/>
    <w:rsid w:val="00492C5B"/>
    <w:rsid w:val="0049312E"/>
    <w:rsid w:val="004933BA"/>
    <w:rsid w:val="00493CD1"/>
    <w:rsid w:val="00494084"/>
    <w:rsid w:val="004944CE"/>
    <w:rsid w:val="00494BCE"/>
    <w:rsid w:val="0049512D"/>
    <w:rsid w:val="0049547D"/>
    <w:rsid w:val="004956F3"/>
    <w:rsid w:val="00496A42"/>
    <w:rsid w:val="00497B07"/>
    <w:rsid w:val="00497F32"/>
    <w:rsid w:val="004A0046"/>
    <w:rsid w:val="004A14A9"/>
    <w:rsid w:val="004A195A"/>
    <w:rsid w:val="004A2078"/>
    <w:rsid w:val="004A2959"/>
    <w:rsid w:val="004A3BE1"/>
    <w:rsid w:val="004A45C0"/>
    <w:rsid w:val="004A46D2"/>
    <w:rsid w:val="004A4B79"/>
    <w:rsid w:val="004A5051"/>
    <w:rsid w:val="004A7153"/>
    <w:rsid w:val="004A7948"/>
    <w:rsid w:val="004A7ADA"/>
    <w:rsid w:val="004B04F6"/>
    <w:rsid w:val="004B0657"/>
    <w:rsid w:val="004B134A"/>
    <w:rsid w:val="004B147C"/>
    <w:rsid w:val="004B256E"/>
    <w:rsid w:val="004B2D58"/>
    <w:rsid w:val="004B53F7"/>
    <w:rsid w:val="004B709E"/>
    <w:rsid w:val="004C0B6B"/>
    <w:rsid w:val="004C0FA9"/>
    <w:rsid w:val="004C1884"/>
    <w:rsid w:val="004C1AFC"/>
    <w:rsid w:val="004C3A86"/>
    <w:rsid w:val="004C52F8"/>
    <w:rsid w:val="004C552D"/>
    <w:rsid w:val="004C5E6B"/>
    <w:rsid w:val="004C6663"/>
    <w:rsid w:val="004C70BF"/>
    <w:rsid w:val="004D011B"/>
    <w:rsid w:val="004D0B12"/>
    <w:rsid w:val="004D0F84"/>
    <w:rsid w:val="004D1CA0"/>
    <w:rsid w:val="004D23CC"/>
    <w:rsid w:val="004D2C26"/>
    <w:rsid w:val="004D3D5B"/>
    <w:rsid w:val="004D51D6"/>
    <w:rsid w:val="004D62A4"/>
    <w:rsid w:val="004D646A"/>
    <w:rsid w:val="004D6CB7"/>
    <w:rsid w:val="004D7170"/>
    <w:rsid w:val="004D786D"/>
    <w:rsid w:val="004D79D7"/>
    <w:rsid w:val="004E104C"/>
    <w:rsid w:val="004E20A4"/>
    <w:rsid w:val="004E25EB"/>
    <w:rsid w:val="004E2FF4"/>
    <w:rsid w:val="004E37B5"/>
    <w:rsid w:val="004E3C1F"/>
    <w:rsid w:val="004E42F1"/>
    <w:rsid w:val="004E4817"/>
    <w:rsid w:val="004E4C96"/>
    <w:rsid w:val="004E5189"/>
    <w:rsid w:val="004E5C08"/>
    <w:rsid w:val="004E61F6"/>
    <w:rsid w:val="004E6478"/>
    <w:rsid w:val="004E670B"/>
    <w:rsid w:val="004E6B0B"/>
    <w:rsid w:val="004E755F"/>
    <w:rsid w:val="004E79D0"/>
    <w:rsid w:val="004F18EA"/>
    <w:rsid w:val="004F210D"/>
    <w:rsid w:val="004F22A2"/>
    <w:rsid w:val="004F2678"/>
    <w:rsid w:val="004F2D46"/>
    <w:rsid w:val="004F2DD9"/>
    <w:rsid w:val="004F4D07"/>
    <w:rsid w:val="004F58BD"/>
    <w:rsid w:val="004F6936"/>
    <w:rsid w:val="004F6BD5"/>
    <w:rsid w:val="004F74C3"/>
    <w:rsid w:val="004F7829"/>
    <w:rsid w:val="004F7B94"/>
    <w:rsid w:val="00500041"/>
    <w:rsid w:val="00500514"/>
    <w:rsid w:val="005005B7"/>
    <w:rsid w:val="0050073E"/>
    <w:rsid w:val="0050188D"/>
    <w:rsid w:val="0050241E"/>
    <w:rsid w:val="0050246E"/>
    <w:rsid w:val="005024B2"/>
    <w:rsid w:val="005041DF"/>
    <w:rsid w:val="00504207"/>
    <w:rsid w:val="005049DE"/>
    <w:rsid w:val="00504DDF"/>
    <w:rsid w:val="0050543E"/>
    <w:rsid w:val="00505AFF"/>
    <w:rsid w:val="00505C40"/>
    <w:rsid w:val="00506BCC"/>
    <w:rsid w:val="00506D93"/>
    <w:rsid w:val="0050725D"/>
    <w:rsid w:val="00507D2E"/>
    <w:rsid w:val="005105D0"/>
    <w:rsid w:val="00510C3C"/>
    <w:rsid w:val="00510F3D"/>
    <w:rsid w:val="0051174F"/>
    <w:rsid w:val="00511B7C"/>
    <w:rsid w:val="005121F6"/>
    <w:rsid w:val="005124E1"/>
    <w:rsid w:val="005126A3"/>
    <w:rsid w:val="00512791"/>
    <w:rsid w:val="00512A0B"/>
    <w:rsid w:val="00513FA7"/>
    <w:rsid w:val="00513FCB"/>
    <w:rsid w:val="005145EB"/>
    <w:rsid w:val="005149CC"/>
    <w:rsid w:val="00514D8B"/>
    <w:rsid w:val="00515025"/>
    <w:rsid w:val="00515A9C"/>
    <w:rsid w:val="005169BF"/>
    <w:rsid w:val="00516A7C"/>
    <w:rsid w:val="00516B9F"/>
    <w:rsid w:val="00517675"/>
    <w:rsid w:val="0052022B"/>
    <w:rsid w:val="005202FC"/>
    <w:rsid w:val="0052138F"/>
    <w:rsid w:val="0052139B"/>
    <w:rsid w:val="00522407"/>
    <w:rsid w:val="00522BC7"/>
    <w:rsid w:val="00523E65"/>
    <w:rsid w:val="00523F75"/>
    <w:rsid w:val="00524397"/>
    <w:rsid w:val="00524716"/>
    <w:rsid w:val="0052524B"/>
    <w:rsid w:val="00525557"/>
    <w:rsid w:val="00525833"/>
    <w:rsid w:val="00526131"/>
    <w:rsid w:val="00526E2B"/>
    <w:rsid w:val="00527756"/>
    <w:rsid w:val="00527C26"/>
    <w:rsid w:val="0053229A"/>
    <w:rsid w:val="0053293B"/>
    <w:rsid w:val="005333D5"/>
    <w:rsid w:val="00533882"/>
    <w:rsid w:val="00533A0E"/>
    <w:rsid w:val="005341E3"/>
    <w:rsid w:val="0053428F"/>
    <w:rsid w:val="005348C6"/>
    <w:rsid w:val="00536682"/>
    <w:rsid w:val="005369A9"/>
    <w:rsid w:val="005374EA"/>
    <w:rsid w:val="00537BE1"/>
    <w:rsid w:val="005405A8"/>
    <w:rsid w:val="00540675"/>
    <w:rsid w:val="005413F9"/>
    <w:rsid w:val="005417DF"/>
    <w:rsid w:val="00541A86"/>
    <w:rsid w:val="0054235C"/>
    <w:rsid w:val="0054329C"/>
    <w:rsid w:val="00543AC4"/>
    <w:rsid w:val="00545811"/>
    <w:rsid w:val="00545BF2"/>
    <w:rsid w:val="0054791B"/>
    <w:rsid w:val="00550520"/>
    <w:rsid w:val="00551834"/>
    <w:rsid w:val="00551A81"/>
    <w:rsid w:val="0055250D"/>
    <w:rsid w:val="00552BFC"/>
    <w:rsid w:val="00554298"/>
    <w:rsid w:val="00555BE1"/>
    <w:rsid w:val="0055676A"/>
    <w:rsid w:val="005567C4"/>
    <w:rsid w:val="00557913"/>
    <w:rsid w:val="00560AC2"/>
    <w:rsid w:val="00560BB3"/>
    <w:rsid w:val="00561FA5"/>
    <w:rsid w:val="00562C60"/>
    <w:rsid w:val="00563644"/>
    <w:rsid w:val="00563773"/>
    <w:rsid w:val="00563AEA"/>
    <w:rsid w:val="00564141"/>
    <w:rsid w:val="005644A8"/>
    <w:rsid w:val="00564947"/>
    <w:rsid w:val="00564E1B"/>
    <w:rsid w:val="00564F4F"/>
    <w:rsid w:val="005652C8"/>
    <w:rsid w:val="0056698E"/>
    <w:rsid w:val="005676F1"/>
    <w:rsid w:val="00567723"/>
    <w:rsid w:val="00571233"/>
    <w:rsid w:val="0057130A"/>
    <w:rsid w:val="00571907"/>
    <w:rsid w:val="0057274D"/>
    <w:rsid w:val="00572924"/>
    <w:rsid w:val="00573BDF"/>
    <w:rsid w:val="00573CC6"/>
    <w:rsid w:val="00573E1E"/>
    <w:rsid w:val="005744A4"/>
    <w:rsid w:val="0057597C"/>
    <w:rsid w:val="0057633C"/>
    <w:rsid w:val="005766A1"/>
    <w:rsid w:val="0057676F"/>
    <w:rsid w:val="005769A2"/>
    <w:rsid w:val="00576C7A"/>
    <w:rsid w:val="005770FF"/>
    <w:rsid w:val="0058095A"/>
    <w:rsid w:val="005815B7"/>
    <w:rsid w:val="00581682"/>
    <w:rsid w:val="00581B14"/>
    <w:rsid w:val="00582382"/>
    <w:rsid w:val="00582527"/>
    <w:rsid w:val="00582D77"/>
    <w:rsid w:val="00582DFB"/>
    <w:rsid w:val="00583203"/>
    <w:rsid w:val="0058364F"/>
    <w:rsid w:val="005842AD"/>
    <w:rsid w:val="005849EA"/>
    <w:rsid w:val="00585B55"/>
    <w:rsid w:val="00586CF4"/>
    <w:rsid w:val="005877E5"/>
    <w:rsid w:val="0058790A"/>
    <w:rsid w:val="00590842"/>
    <w:rsid w:val="00590CDB"/>
    <w:rsid w:val="00591928"/>
    <w:rsid w:val="00591A75"/>
    <w:rsid w:val="00591D65"/>
    <w:rsid w:val="00592A43"/>
    <w:rsid w:val="00592E82"/>
    <w:rsid w:val="00593DC3"/>
    <w:rsid w:val="00593E6C"/>
    <w:rsid w:val="0059433A"/>
    <w:rsid w:val="00594ADE"/>
    <w:rsid w:val="00594ECA"/>
    <w:rsid w:val="00595505"/>
    <w:rsid w:val="005964EC"/>
    <w:rsid w:val="00596AB7"/>
    <w:rsid w:val="00596D1F"/>
    <w:rsid w:val="00597CA5"/>
    <w:rsid w:val="005A1261"/>
    <w:rsid w:val="005A1DB5"/>
    <w:rsid w:val="005A4C07"/>
    <w:rsid w:val="005A5DA5"/>
    <w:rsid w:val="005A5F3A"/>
    <w:rsid w:val="005A7422"/>
    <w:rsid w:val="005A76AD"/>
    <w:rsid w:val="005A79D6"/>
    <w:rsid w:val="005A7A28"/>
    <w:rsid w:val="005B1893"/>
    <w:rsid w:val="005B1C4C"/>
    <w:rsid w:val="005B1ECD"/>
    <w:rsid w:val="005B1FEB"/>
    <w:rsid w:val="005B32A0"/>
    <w:rsid w:val="005B3807"/>
    <w:rsid w:val="005B43D5"/>
    <w:rsid w:val="005B4F87"/>
    <w:rsid w:val="005B542D"/>
    <w:rsid w:val="005B5D9A"/>
    <w:rsid w:val="005B677B"/>
    <w:rsid w:val="005B7D9A"/>
    <w:rsid w:val="005C1A57"/>
    <w:rsid w:val="005C1C8B"/>
    <w:rsid w:val="005C2504"/>
    <w:rsid w:val="005C3E74"/>
    <w:rsid w:val="005C41C5"/>
    <w:rsid w:val="005C5B5C"/>
    <w:rsid w:val="005C7797"/>
    <w:rsid w:val="005D1036"/>
    <w:rsid w:val="005D1A4D"/>
    <w:rsid w:val="005D213D"/>
    <w:rsid w:val="005D22BA"/>
    <w:rsid w:val="005D2E9B"/>
    <w:rsid w:val="005D35F9"/>
    <w:rsid w:val="005D4D8B"/>
    <w:rsid w:val="005D5BBA"/>
    <w:rsid w:val="005D629A"/>
    <w:rsid w:val="005D7183"/>
    <w:rsid w:val="005E0730"/>
    <w:rsid w:val="005E0759"/>
    <w:rsid w:val="005E0A8E"/>
    <w:rsid w:val="005E124F"/>
    <w:rsid w:val="005E16C5"/>
    <w:rsid w:val="005E1D48"/>
    <w:rsid w:val="005E1FF0"/>
    <w:rsid w:val="005E26FB"/>
    <w:rsid w:val="005E2B27"/>
    <w:rsid w:val="005E2F31"/>
    <w:rsid w:val="005E4400"/>
    <w:rsid w:val="005E46B3"/>
    <w:rsid w:val="005E5BDB"/>
    <w:rsid w:val="005E681E"/>
    <w:rsid w:val="005E776F"/>
    <w:rsid w:val="005F023F"/>
    <w:rsid w:val="005F089F"/>
    <w:rsid w:val="005F0A40"/>
    <w:rsid w:val="005F0A77"/>
    <w:rsid w:val="005F0C3A"/>
    <w:rsid w:val="005F133C"/>
    <w:rsid w:val="005F1E3B"/>
    <w:rsid w:val="005F2C7A"/>
    <w:rsid w:val="005F30C1"/>
    <w:rsid w:val="005F3260"/>
    <w:rsid w:val="005F4B8E"/>
    <w:rsid w:val="005F5DE4"/>
    <w:rsid w:val="006002F0"/>
    <w:rsid w:val="0060077C"/>
    <w:rsid w:val="00600CD2"/>
    <w:rsid w:val="00600F4E"/>
    <w:rsid w:val="00601949"/>
    <w:rsid w:val="00602468"/>
    <w:rsid w:val="006028D2"/>
    <w:rsid w:val="006042C2"/>
    <w:rsid w:val="00605D03"/>
    <w:rsid w:val="00605DDB"/>
    <w:rsid w:val="006061FB"/>
    <w:rsid w:val="00606EC0"/>
    <w:rsid w:val="00607AE9"/>
    <w:rsid w:val="00607B18"/>
    <w:rsid w:val="006100AC"/>
    <w:rsid w:val="00610ED1"/>
    <w:rsid w:val="006112E4"/>
    <w:rsid w:val="006132AB"/>
    <w:rsid w:val="00613EE3"/>
    <w:rsid w:val="00613FE1"/>
    <w:rsid w:val="006140DF"/>
    <w:rsid w:val="00614799"/>
    <w:rsid w:val="00615DDA"/>
    <w:rsid w:val="006167A3"/>
    <w:rsid w:val="00616DC1"/>
    <w:rsid w:val="00616DC5"/>
    <w:rsid w:val="006176A7"/>
    <w:rsid w:val="00621192"/>
    <w:rsid w:val="0062208C"/>
    <w:rsid w:val="0062287B"/>
    <w:rsid w:val="00623C2F"/>
    <w:rsid w:val="006242A7"/>
    <w:rsid w:val="0062464B"/>
    <w:rsid w:val="00624C04"/>
    <w:rsid w:val="00625243"/>
    <w:rsid w:val="00626A94"/>
    <w:rsid w:val="0062773D"/>
    <w:rsid w:val="0062794E"/>
    <w:rsid w:val="00627EF5"/>
    <w:rsid w:val="006303C8"/>
    <w:rsid w:val="0063110A"/>
    <w:rsid w:val="006313F2"/>
    <w:rsid w:val="006317AC"/>
    <w:rsid w:val="0063297F"/>
    <w:rsid w:val="0063688A"/>
    <w:rsid w:val="00637C91"/>
    <w:rsid w:val="00640973"/>
    <w:rsid w:val="00640A23"/>
    <w:rsid w:val="00641343"/>
    <w:rsid w:val="0064225F"/>
    <w:rsid w:val="00642829"/>
    <w:rsid w:val="00643351"/>
    <w:rsid w:val="0064392A"/>
    <w:rsid w:val="00643B9A"/>
    <w:rsid w:val="006443D9"/>
    <w:rsid w:val="00645167"/>
    <w:rsid w:val="0064565A"/>
    <w:rsid w:val="0064598C"/>
    <w:rsid w:val="00645DD1"/>
    <w:rsid w:val="006467D5"/>
    <w:rsid w:val="00646A04"/>
    <w:rsid w:val="00646E99"/>
    <w:rsid w:val="0064702D"/>
    <w:rsid w:val="006474D1"/>
    <w:rsid w:val="0065141B"/>
    <w:rsid w:val="00651C3D"/>
    <w:rsid w:val="00651CC5"/>
    <w:rsid w:val="00651DFD"/>
    <w:rsid w:val="00652286"/>
    <w:rsid w:val="006527CC"/>
    <w:rsid w:val="00652B48"/>
    <w:rsid w:val="00653B6F"/>
    <w:rsid w:val="006549EA"/>
    <w:rsid w:val="00654A45"/>
    <w:rsid w:val="00654D9A"/>
    <w:rsid w:val="0065537B"/>
    <w:rsid w:val="006555FB"/>
    <w:rsid w:val="0065672C"/>
    <w:rsid w:val="0065683F"/>
    <w:rsid w:val="00656D03"/>
    <w:rsid w:val="0066042B"/>
    <w:rsid w:val="00660879"/>
    <w:rsid w:val="00661519"/>
    <w:rsid w:val="0066358C"/>
    <w:rsid w:val="006650EA"/>
    <w:rsid w:val="0066562C"/>
    <w:rsid w:val="00666821"/>
    <w:rsid w:val="00670350"/>
    <w:rsid w:val="00670441"/>
    <w:rsid w:val="006718E5"/>
    <w:rsid w:val="00671A10"/>
    <w:rsid w:val="00672CE5"/>
    <w:rsid w:val="00673818"/>
    <w:rsid w:val="00674103"/>
    <w:rsid w:val="00674F36"/>
    <w:rsid w:val="00674FDB"/>
    <w:rsid w:val="006753A4"/>
    <w:rsid w:val="00675DD9"/>
    <w:rsid w:val="006760D5"/>
    <w:rsid w:val="0067643C"/>
    <w:rsid w:val="00676C1D"/>
    <w:rsid w:val="00677D27"/>
    <w:rsid w:val="006800ED"/>
    <w:rsid w:val="0068077A"/>
    <w:rsid w:val="006809F0"/>
    <w:rsid w:val="006811ED"/>
    <w:rsid w:val="00682E75"/>
    <w:rsid w:val="006839A4"/>
    <w:rsid w:val="00683D0B"/>
    <w:rsid w:val="00683F5A"/>
    <w:rsid w:val="00685501"/>
    <w:rsid w:val="0068641B"/>
    <w:rsid w:val="006869E5"/>
    <w:rsid w:val="0068752F"/>
    <w:rsid w:val="00691169"/>
    <w:rsid w:val="00691E55"/>
    <w:rsid w:val="006926BE"/>
    <w:rsid w:val="006940C2"/>
    <w:rsid w:val="00694876"/>
    <w:rsid w:val="00694A8B"/>
    <w:rsid w:val="00695AB4"/>
    <w:rsid w:val="00696FBE"/>
    <w:rsid w:val="00697459"/>
    <w:rsid w:val="006A00F4"/>
    <w:rsid w:val="006A06AA"/>
    <w:rsid w:val="006A0914"/>
    <w:rsid w:val="006A096B"/>
    <w:rsid w:val="006A0E29"/>
    <w:rsid w:val="006A17EA"/>
    <w:rsid w:val="006A1A5D"/>
    <w:rsid w:val="006A1A8B"/>
    <w:rsid w:val="006A2A92"/>
    <w:rsid w:val="006A3519"/>
    <w:rsid w:val="006A3DB7"/>
    <w:rsid w:val="006A47CB"/>
    <w:rsid w:val="006A4B16"/>
    <w:rsid w:val="006A6079"/>
    <w:rsid w:val="006A635E"/>
    <w:rsid w:val="006A731A"/>
    <w:rsid w:val="006A7A44"/>
    <w:rsid w:val="006B01AE"/>
    <w:rsid w:val="006B03ED"/>
    <w:rsid w:val="006B0C7E"/>
    <w:rsid w:val="006B107F"/>
    <w:rsid w:val="006B1EE4"/>
    <w:rsid w:val="006B21C1"/>
    <w:rsid w:val="006B228B"/>
    <w:rsid w:val="006B33D4"/>
    <w:rsid w:val="006B348A"/>
    <w:rsid w:val="006B3D38"/>
    <w:rsid w:val="006B4003"/>
    <w:rsid w:val="006B4F96"/>
    <w:rsid w:val="006B5455"/>
    <w:rsid w:val="006B5BD6"/>
    <w:rsid w:val="006B5EB2"/>
    <w:rsid w:val="006B6FB8"/>
    <w:rsid w:val="006C19F2"/>
    <w:rsid w:val="006C358C"/>
    <w:rsid w:val="006C67A1"/>
    <w:rsid w:val="006C6A2A"/>
    <w:rsid w:val="006C7369"/>
    <w:rsid w:val="006C7791"/>
    <w:rsid w:val="006D09F4"/>
    <w:rsid w:val="006D0F43"/>
    <w:rsid w:val="006D1589"/>
    <w:rsid w:val="006D1920"/>
    <w:rsid w:val="006D1D2D"/>
    <w:rsid w:val="006D1E11"/>
    <w:rsid w:val="006D28F9"/>
    <w:rsid w:val="006D397D"/>
    <w:rsid w:val="006D4276"/>
    <w:rsid w:val="006D56C0"/>
    <w:rsid w:val="006D5950"/>
    <w:rsid w:val="006D59D2"/>
    <w:rsid w:val="006D5B0B"/>
    <w:rsid w:val="006D60CB"/>
    <w:rsid w:val="006D63F3"/>
    <w:rsid w:val="006D65DB"/>
    <w:rsid w:val="006D660E"/>
    <w:rsid w:val="006D6652"/>
    <w:rsid w:val="006D69E1"/>
    <w:rsid w:val="006E11DD"/>
    <w:rsid w:val="006E247D"/>
    <w:rsid w:val="006E3AB9"/>
    <w:rsid w:val="006E4199"/>
    <w:rsid w:val="006E437C"/>
    <w:rsid w:val="006E471D"/>
    <w:rsid w:val="006E4760"/>
    <w:rsid w:val="006E4B23"/>
    <w:rsid w:val="006E51ED"/>
    <w:rsid w:val="006E5E47"/>
    <w:rsid w:val="006E6CD5"/>
    <w:rsid w:val="006E736B"/>
    <w:rsid w:val="006E7915"/>
    <w:rsid w:val="006F1775"/>
    <w:rsid w:val="006F21DF"/>
    <w:rsid w:val="006F22B4"/>
    <w:rsid w:val="006F37F6"/>
    <w:rsid w:val="006F453E"/>
    <w:rsid w:val="006F5759"/>
    <w:rsid w:val="006F5A07"/>
    <w:rsid w:val="006F5B3E"/>
    <w:rsid w:val="006F6BA4"/>
    <w:rsid w:val="006F7FC3"/>
    <w:rsid w:val="0070125B"/>
    <w:rsid w:val="0070154F"/>
    <w:rsid w:val="007017D0"/>
    <w:rsid w:val="00701BA5"/>
    <w:rsid w:val="00704820"/>
    <w:rsid w:val="00705B58"/>
    <w:rsid w:val="00705FD1"/>
    <w:rsid w:val="0071018D"/>
    <w:rsid w:val="00710221"/>
    <w:rsid w:val="007115CF"/>
    <w:rsid w:val="00711643"/>
    <w:rsid w:val="00713B15"/>
    <w:rsid w:val="00713B1F"/>
    <w:rsid w:val="007141D0"/>
    <w:rsid w:val="0071475A"/>
    <w:rsid w:val="007148D1"/>
    <w:rsid w:val="00714A05"/>
    <w:rsid w:val="00715E70"/>
    <w:rsid w:val="0071655A"/>
    <w:rsid w:val="0071695D"/>
    <w:rsid w:val="00716CC1"/>
    <w:rsid w:val="00720F38"/>
    <w:rsid w:val="00721D2D"/>
    <w:rsid w:val="00721ECB"/>
    <w:rsid w:val="007229DE"/>
    <w:rsid w:val="00722B44"/>
    <w:rsid w:val="00722C6D"/>
    <w:rsid w:val="00722D39"/>
    <w:rsid w:val="00723857"/>
    <w:rsid w:val="00723A0F"/>
    <w:rsid w:val="00723AA7"/>
    <w:rsid w:val="00724BD6"/>
    <w:rsid w:val="007251B2"/>
    <w:rsid w:val="0072575D"/>
    <w:rsid w:val="007273C5"/>
    <w:rsid w:val="00727695"/>
    <w:rsid w:val="00727D4F"/>
    <w:rsid w:val="00730C6C"/>
    <w:rsid w:val="007323BE"/>
    <w:rsid w:val="0073255F"/>
    <w:rsid w:val="0073274E"/>
    <w:rsid w:val="007335DB"/>
    <w:rsid w:val="0073384E"/>
    <w:rsid w:val="0073499B"/>
    <w:rsid w:val="007355ED"/>
    <w:rsid w:val="007365F0"/>
    <w:rsid w:val="00736977"/>
    <w:rsid w:val="00737307"/>
    <w:rsid w:val="00737C7A"/>
    <w:rsid w:val="00740015"/>
    <w:rsid w:val="0074049E"/>
    <w:rsid w:val="00740B05"/>
    <w:rsid w:val="00741AF0"/>
    <w:rsid w:val="00742860"/>
    <w:rsid w:val="0074408D"/>
    <w:rsid w:val="007447A5"/>
    <w:rsid w:val="007455C8"/>
    <w:rsid w:val="00745C76"/>
    <w:rsid w:val="00745DEE"/>
    <w:rsid w:val="0074667D"/>
    <w:rsid w:val="0074697F"/>
    <w:rsid w:val="007469D3"/>
    <w:rsid w:val="00747DC1"/>
    <w:rsid w:val="00747E7D"/>
    <w:rsid w:val="007507CF"/>
    <w:rsid w:val="00751DDE"/>
    <w:rsid w:val="007523B9"/>
    <w:rsid w:val="00752749"/>
    <w:rsid w:val="00752A3C"/>
    <w:rsid w:val="00753B60"/>
    <w:rsid w:val="007542C5"/>
    <w:rsid w:val="0075437C"/>
    <w:rsid w:val="00754686"/>
    <w:rsid w:val="007546CD"/>
    <w:rsid w:val="00754F5E"/>
    <w:rsid w:val="007550FE"/>
    <w:rsid w:val="00755721"/>
    <w:rsid w:val="00755CE8"/>
    <w:rsid w:val="00756C7E"/>
    <w:rsid w:val="00757755"/>
    <w:rsid w:val="007604FB"/>
    <w:rsid w:val="007615EF"/>
    <w:rsid w:val="00761B67"/>
    <w:rsid w:val="00763440"/>
    <w:rsid w:val="0076352C"/>
    <w:rsid w:val="00763A24"/>
    <w:rsid w:val="00763A72"/>
    <w:rsid w:val="00764005"/>
    <w:rsid w:val="00764085"/>
    <w:rsid w:val="0076426C"/>
    <w:rsid w:val="00767B35"/>
    <w:rsid w:val="00767DCD"/>
    <w:rsid w:val="007709C0"/>
    <w:rsid w:val="00770D17"/>
    <w:rsid w:val="00771293"/>
    <w:rsid w:val="00771628"/>
    <w:rsid w:val="00771A5F"/>
    <w:rsid w:val="00771BA2"/>
    <w:rsid w:val="00771DA3"/>
    <w:rsid w:val="00771EA2"/>
    <w:rsid w:val="00772D14"/>
    <w:rsid w:val="0077354E"/>
    <w:rsid w:val="00773F60"/>
    <w:rsid w:val="007741CD"/>
    <w:rsid w:val="0077429A"/>
    <w:rsid w:val="0077524C"/>
    <w:rsid w:val="00776715"/>
    <w:rsid w:val="007769F4"/>
    <w:rsid w:val="0077768C"/>
    <w:rsid w:val="0078006D"/>
    <w:rsid w:val="0078014D"/>
    <w:rsid w:val="00780869"/>
    <w:rsid w:val="00780CCE"/>
    <w:rsid w:val="00781B0F"/>
    <w:rsid w:val="00781EF3"/>
    <w:rsid w:val="00781F85"/>
    <w:rsid w:val="007838FC"/>
    <w:rsid w:val="00784124"/>
    <w:rsid w:val="00784656"/>
    <w:rsid w:val="00785BF3"/>
    <w:rsid w:val="0078684A"/>
    <w:rsid w:val="007900FE"/>
    <w:rsid w:val="00792302"/>
    <w:rsid w:val="007927E7"/>
    <w:rsid w:val="00792AA5"/>
    <w:rsid w:val="0079367B"/>
    <w:rsid w:val="00793EF6"/>
    <w:rsid w:val="00794924"/>
    <w:rsid w:val="00794CA6"/>
    <w:rsid w:val="00794E88"/>
    <w:rsid w:val="00795DD9"/>
    <w:rsid w:val="007971B7"/>
    <w:rsid w:val="007976FB"/>
    <w:rsid w:val="007A0946"/>
    <w:rsid w:val="007A127B"/>
    <w:rsid w:val="007A1D72"/>
    <w:rsid w:val="007A26FC"/>
    <w:rsid w:val="007A27C0"/>
    <w:rsid w:val="007A4182"/>
    <w:rsid w:val="007A41E1"/>
    <w:rsid w:val="007A5158"/>
    <w:rsid w:val="007A5201"/>
    <w:rsid w:val="007A5774"/>
    <w:rsid w:val="007A6735"/>
    <w:rsid w:val="007A68F1"/>
    <w:rsid w:val="007A7185"/>
    <w:rsid w:val="007A7788"/>
    <w:rsid w:val="007A7C4D"/>
    <w:rsid w:val="007B0214"/>
    <w:rsid w:val="007B130C"/>
    <w:rsid w:val="007B1B5B"/>
    <w:rsid w:val="007B1BAB"/>
    <w:rsid w:val="007B1CD2"/>
    <w:rsid w:val="007B2DB4"/>
    <w:rsid w:val="007B2F45"/>
    <w:rsid w:val="007B361F"/>
    <w:rsid w:val="007B4EDE"/>
    <w:rsid w:val="007B70C3"/>
    <w:rsid w:val="007B75D5"/>
    <w:rsid w:val="007B773F"/>
    <w:rsid w:val="007B7D6F"/>
    <w:rsid w:val="007C0323"/>
    <w:rsid w:val="007C0459"/>
    <w:rsid w:val="007C04BC"/>
    <w:rsid w:val="007C285A"/>
    <w:rsid w:val="007C3562"/>
    <w:rsid w:val="007C359F"/>
    <w:rsid w:val="007C3F2A"/>
    <w:rsid w:val="007C3F4B"/>
    <w:rsid w:val="007C4164"/>
    <w:rsid w:val="007C4426"/>
    <w:rsid w:val="007C4F86"/>
    <w:rsid w:val="007C52EA"/>
    <w:rsid w:val="007C5BDF"/>
    <w:rsid w:val="007C6F61"/>
    <w:rsid w:val="007C7564"/>
    <w:rsid w:val="007C798B"/>
    <w:rsid w:val="007D05E5"/>
    <w:rsid w:val="007D0FAC"/>
    <w:rsid w:val="007D1168"/>
    <w:rsid w:val="007D1CD7"/>
    <w:rsid w:val="007D1DF1"/>
    <w:rsid w:val="007D1FEE"/>
    <w:rsid w:val="007D20DA"/>
    <w:rsid w:val="007D2FD3"/>
    <w:rsid w:val="007D3E26"/>
    <w:rsid w:val="007D4408"/>
    <w:rsid w:val="007D4C7D"/>
    <w:rsid w:val="007D642C"/>
    <w:rsid w:val="007D7C6D"/>
    <w:rsid w:val="007E05AE"/>
    <w:rsid w:val="007E0641"/>
    <w:rsid w:val="007E06CE"/>
    <w:rsid w:val="007E07F2"/>
    <w:rsid w:val="007E167D"/>
    <w:rsid w:val="007E1889"/>
    <w:rsid w:val="007E1E2C"/>
    <w:rsid w:val="007E39CD"/>
    <w:rsid w:val="007E4F78"/>
    <w:rsid w:val="007E543C"/>
    <w:rsid w:val="007E5C7A"/>
    <w:rsid w:val="007E5E39"/>
    <w:rsid w:val="007E5E79"/>
    <w:rsid w:val="007E5F69"/>
    <w:rsid w:val="007E62E4"/>
    <w:rsid w:val="007E6EA8"/>
    <w:rsid w:val="007E7572"/>
    <w:rsid w:val="007F0040"/>
    <w:rsid w:val="007F03F4"/>
    <w:rsid w:val="007F0C1B"/>
    <w:rsid w:val="007F2B15"/>
    <w:rsid w:val="007F2E3D"/>
    <w:rsid w:val="007F40B6"/>
    <w:rsid w:val="007F452E"/>
    <w:rsid w:val="007F4693"/>
    <w:rsid w:val="007F4D6C"/>
    <w:rsid w:val="007F4DE0"/>
    <w:rsid w:val="007F5766"/>
    <w:rsid w:val="007F5E0C"/>
    <w:rsid w:val="007F6734"/>
    <w:rsid w:val="007F67A4"/>
    <w:rsid w:val="007F6A71"/>
    <w:rsid w:val="007F7A1B"/>
    <w:rsid w:val="007F7F4F"/>
    <w:rsid w:val="008002AC"/>
    <w:rsid w:val="00801475"/>
    <w:rsid w:val="00802911"/>
    <w:rsid w:val="00802A8E"/>
    <w:rsid w:val="00804EE8"/>
    <w:rsid w:val="008051E8"/>
    <w:rsid w:val="00805A06"/>
    <w:rsid w:val="00805FEB"/>
    <w:rsid w:val="00806091"/>
    <w:rsid w:val="008063C5"/>
    <w:rsid w:val="00806654"/>
    <w:rsid w:val="008066D8"/>
    <w:rsid w:val="00806F52"/>
    <w:rsid w:val="008073AD"/>
    <w:rsid w:val="00807A31"/>
    <w:rsid w:val="00807F1F"/>
    <w:rsid w:val="0081099F"/>
    <w:rsid w:val="008115E4"/>
    <w:rsid w:val="008118B2"/>
    <w:rsid w:val="00812040"/>
    <w:rsid w:val="008124E6"/>
    <w:rsid w:val="00812E21"/>
    <w:rsid w:val="00813374"/>
    <w:rsid w:val="008136A3"/>
    <w:rsid w:val="008140D1"/>
    <w:rsid w:val="00814A2E"/>
    <w:rsid w:val="00814AD7"/>
    <w:rsid w:val="00814B26"/>
    <w:rsid w:val="008153C8"/>
    <w:rsid w:val="00815897"/>
    <w:rsid w:val="00815F0A"/>
    <w:rsid w:val="00816752"/>
    <w:rsid w:val="00817191"/>
    <w:rsid w:val="00817CC9"/>
    <w:rsid w:val="00817D58"/>
    <w:rsid w:val="008201A2"/>
    <w:rsid w:val="008204D1"/>
    <w:rsid w:val="0082072D"/>
    <w:rsid w:val="0082081D"/>
    <w:rsid w:val="00820F5A"/>
    <w:rsid w:val="008217AF"/>
    <w:rsid w:val="008228F2"/>
    <w:rsid w:val="00822D67"/>
    <w:rsid w:val="00824092"/>
    <w:rsid w:val="00824CA2"/>
    <w:rsid w:val="008254D6"/>
    <w:rsid w:val="00826C9F"/>
    <w:rsid w:val="008275BB"/>
    <w:rsid w:val="00827796"/>
    <w:rsid w:val="00827CA0"/>
    <w:rsid w:val="00827EE3"/>
    <w:rsid w:val="00830143"/>
    <w:rsid w:val="00830720"/>
    <w:rsid w:val="00830881"/>
    <w:rsid w:val="0083108D"/>
    <w:rsid w:val="008311E8"/>
    <w:rsid w:val="008314F9"/>
    <w:rsid w:val="0083198D"/>
    <w:rsid w:val="00833CAA"/>
    <w:rsid w:val="0083432A"/>
    <w:rsid w:val="00835326"/>
    <w:rsid w:val="008353C5"/>
    <w:rsid w:val="008367B9"/>
    <w:rsid w:val="00836AC6"/>
    <w:rsid w:val="00836E15"/>
    <w:rsid w:val="00842F85"/>
    <w:rsid w:val="008431C6"/>
    <w:rsid w:val="008433BB"/>
    <w:rsid w:val="0084589D"/>
    <w:rsid w:val="00845BB4"/>
    <w:rsid w:val="008462EA"/>
    <w:rsid w:val="00846FD1"/>
    <w:rsid w:val="00847C0F"/>
    <w:rsid w:val="00847F2D"/>
    <w:rsid w:val="008508B0"/>
    <w:rsid w:val="00850CDE"/>
    <w:rsid w:val="008512D0"/>
    <w:rsid w:val="00851DA3"/>
    <w:rsid w:val="00851EC3"/>
    <w:rsid w:val="00851EFD"/>
    <w:rsid w:val="00852749"/>
    <w:rsid w:val="00854127"/>
    <w:rsid w:val="008541BD"/>
    <w:rsid w:val="008545CF"/>
    <w:rsid w:val="00854CE0"/>
    <w:rsid w:val="00855467"/>
    <w:rsid w:val="008558F4"/>
    <w:rsid w:val="00855C82"/>
    <w:rsid w:val="008569D1"/>
    <w:rsid w:val="00857C40"/>
    <w:rsid w:val="00857D66"/>
    <w:rsid w:val="008604B3"/>
    <w:rsid w:val="0086065E"/>
    <w:rsid w:val="00860D44"/>
    <w:rsid w:val="00861777"/>
    <w:rsid w:val="008618BC"/>
    <w:rsid w:val="008625CF"/>
    <w:rsid w:val="008631A9"/>
    <w:rsid w:val="00863B1E"/>
    <w:rsid w:val="008644AA"/>
    <w:rsid w:val="00870412"/>
    <w:rsid w:val="00870EBE"/>
    <w:rsid w:val="00871286"/>
    <w:rsid w:val="0087150C"/>
    <w:rsid w:val="008726C1"/>
    <w:rsid w:val="0087317F"/>
    <w:rsid w:val="00873244"/>
    <w:rsid w:val="00873488"/>
    <w:rsid w:val="00873586"/>
    <w:rsid w:val="00873B3D"/>
    <w:rsid w:val="008746CF"/>
    <w:rsid w:val="008747AD"/>
    <w:rsid w:val="00874831"/>
    <w:rsid w:val="00874861"/>
    <w:rsid w:val="00874E4B"/>
    <w:rsid w:val="00876C60"/>
    <w:rsid w:val="008771F7"/>
    <w:rsid w:val="00877736"/>
    <w:rsid w:val="00880506"/>
    <w:rsid w:val="0088114A"/>
    <w:rsid w:val="00881758"/>
    <w:rsid w:val="0088237B"/>
    <w:rsid w:val="00882739"/>
    <w:rsid w:val="00882863"/>
    <w:rsid w:val="00882DFA"/>
    <w:rsid w:val="0088455D"/>
    <w:rsid w:val="008854F6"/>
    <w:rsid w:val="0088566E"/>
    <w:rsid w:val="00887615"/>
    <w:rsid w:val="00890576"/>
    <w:rsid w:val="00890A11"/>
    <w:rsid w:val="008917C1"/>
    <w:rsid w:val="008919D8"/>
    <w:rsid w:val="00891C32"/>
    <w:rsid w:val="00891D81"/>
    <w:rsid w:val="00892F7A"/>
    <w:rsid w:val="0089332E"/>
    <w:rsid w:val="00893463"/>
    <w:rsid w:val="00893902"/>
    <w:rsid w:val="0089431F"/>
    <w:rsid w:val="00894DCB"/>
    <w:rsid w:val="00894FBE"/>
    <w:rsid w:val="00895B32"/>
    <w:rsid w:val="00896169"/>
    <w:rsid w:val="00896671"/>
    <w:rsid w:val="00897794"/>
    <w:rsid w:val="008A01F2"/>
    <w:rsid w:val="008A040A"/>
    <w:rsid w:val="008A059F"/>
    <w:rsid w:val="008A08FF"/>
    <w:rsid w:val="008A0B95"/>
    <w:rsid w:val="008A1712"/>
    <w:rsid w:val="008A1CF2"/>
    <w:rsid w:val="008A2622"/>
    <w:rsid w:val="008A2CAD"/>
    <w:rsid w:val="008A3788"/>
    <w:rsid w:val="008A4912"/>
    <w:rsid w:val="008A5076"/>
    <w:rsid w:val="008A5210"/>
    <w:rsid w:val="008A5662"/>
    <w:rsid w:val="008A599D"/>
    <w:rsid w:val="008A5FF2"/>
    <w:rsid w:val="008A6976"/>
    <w:rsid w:val="008A6CBE"/>
    <w:rsid w:val="008A7EE8"/>
    <w:rsid w:val="008B0DE7"/>
    <w:rsid w:val="008B1D38"/>
    <w:rsid w:val="008B280C"/>
    <w:rsid w:val="008B304A"/>
    <w:rsid w:val="008B32A3"/>
    <w:rsid w:val="008B3F1E"/>
    <w:rsid w:val="008B3FF9"/>
    <w:rsid w:val="008B4641"/>
    <w:rsid w:val="008B5D25"/>
    <w:rsid w:val="008B6294"/>
    <w:rsid w:val="008B66EC"/>
    <w:rsid w:val="008B6D7A"/>
    <w:rsid w:val="008C0197"/>
    <w:rsid w:val="008C07D0"/>
    <w:rsid w:val="008C0B7B"/>
    <w:rsid w:val="008C0BCA"/>
    <w:rsid w:val="008C1FAE"/>
    <w:rsid w:val="008C2336"/>
    <w:rsid w:val="008C26A4"/>
    <w:rsid w:val="008C29B2"/>
    <w:rsid w:val="008C34A9"/>
    <w:rsid w:val="008C466B"/>
    <w:rsid w:val="008C5F6D"/>
    <w:rsid w:val="008C6044"/>
    <w:rsid w:val="008C69AD"/>
    <w:rsid w:val="008C69BC"/>
    <w:rsid w:val="008C741E"/>
    <w:rsid w:val="008D081C"/>
    <w:rsid w:val="008D08A4"/>
    <w:rsid w:val="008D091D"/>
    <w:rsid w:val="008D0F5E"/>
    <w:rsid w:val="008D17DD"/>
    <w:rsid w:val="008D1D11"/>
    <w:rsid w:val="008D5278"/>
    <w:rsid w:val="008D556A"/>
    <w:rsid w:val="008D5696"/>
    <w:rsid w:val="008D619E"/>
    <w:rsid w:val="008D6BAE"/>
    <w:rsid w:val="008E0D8F"/>
    <w:rsid w:val="008E128C"/>
    <w:rsid w:val="008E1C9B"/>
    <w:rsid w:val="008E3B40"/>
    <w:rsid w:val="008E55CE"/>
    <w:rsid w:val="008E582E"/>
    <w:rsid w:val="008E5B5E"/>
    <w:rsid w:val="008E5CC0"/>
    <w:rsid w:val="008E601C"/>
    <w:rsid w:val="008E626D"/>
    <w:rsid w:val="008E7CA7"/>
    <w:rsid w:val="008F156B"/>
    <w:rsid w:val="008F191F"/>
    <w:rsid w:val="008F2F0A"/>
    <w:rsid w:val="008F4C3F"/>
    <w:rsid w:val="008F55C0"/>
    <w:rsid w:val="008F5751"/>
    <w:rsid w:val="008F5B0A"/>
    <w:rsid w:val="008F5EA9"/>
    <w:rsid w:val="008F7C2F"/>
    <w:rsid w:val="00900130"/>
    <w:rsid w:val="00901034"/>
    <w:rsid w:val="00901911"/>
    <w:rsid w:val="009024D7"/>
    <w:rsid w:val="00902520"/>
    <w:rsid w:val="0090254C"/>
    <w:rsid w:val="00902D20"/>
    <w:rsid w:val="0090353E"/>
    <w:rsid w:val="0090392D"/>
    <w:rsid w:val="00904D25"/>
    <w:rsid w:val="00904E04"/>
    <w:rsid w:val="00906450"/>
    <w:rsid w:val="009067E6"/>
    <w:rsid w:val="0090683B"/>
    <w:rsid w:val="00906BC6"/>
    <w:rsid w:val="009076C9"/>
    <w:rsid w:val="00907B80"/>
    <w:rsid w:val="00910CA5"/>
    <w:rsid w:val="00911600"/>
    <w:rsid w:val="00912854"/>
    <w:rsid w:val="0091461A"/>
    <w:rsid w:val="00915CE8"/>
    <w:rsid w:val="00916EA1"/>
    <w:rsid w:val="00916F91"/>
    <w:rsid w:val="00917CA5"/>
    <w:rsid w:val="00920A83"/>
    <w:rsid w:val="009211E9"/>
    <w:rsid w:val="00922085"/>
    <w:rsid w:val="0092319C"/>
    <w:rsid w:val="00923573"/>
    <w:rsid w:val="00923DBC"/>
    <w:rsid w:val="00924D5F"/>
    <w:rsid w:val="00925380"/>
    <w:rsid w:val="0092582C"/>
    <w:rsid w:val="00925B41"/>
    <w:rsid w:val="00925F6E"/>
    <w:rsid w:val="00926535"/>
    <w:rsid w:val="00926FCA"/>
    <w:rsid w:val="00927160"/>
    <w:rsid w:val="00927A54"/>
    <w:rsid w:val="00930568"/>
    <w:rsid w:val="0093094E"/>
    <w:rsid w:val="00931BB4"/>
    <w:rsid w:val="00932284"/>
    <w:rsid w:val="00933AF5"/>
    <w:rsid w:val="009340F4"/>
    <w:rsid w:val="00934291"/>
    <w:rsid w:val="00935AF5"/>
    <w:rsid w:val="00935B3A"/>
    <w:rsid w:val="00935EDE"/>
    <w:rsid w:val="00940C05"/>
    <w:rsid w:val="00943C7C"/>
    <w:rsid w:val="00944CB1"/>
    <w:rsid w:val="00944D93"/>
    <w:rsid w:val="00945B2A"/>
    <w:rsid w:val="00945B4F"/>
    <w:rsid w:val="00945CD7"/>
    <w:rsid w:val="00947CCD"/>
    <w:rsid w:val="00951737"/>
    <w:rsid w:val="009518B9"/>
    <w:rsid w:val="00952047"/>
    <w:rsid w:val="0095238C"/>
    <w:rsid w:val="00953021"/>
    <w:rsid w:val="009539D5"/>
    <w:rsid w:val="00954802"/>
    <w:rsid w:val="00954D23"/>
    <w:rsid w:val="00954E10"/>
    <w:rsid w:val="00955131"/>
    <w:rsid w:val="0095513A"/>
    <w:rsid w:val="00955DC9"/>
    <w:rsid w:val="00956987"/>
    <w:rsid w:val="00956C0F"/>
    <w:rsid w:val="00957CE3"/>
    <w:rsid w:val="009615C0"/>
    <w:rsid w:val="009617D8"/>
    <w:rsid w:val="009619FB"/>
    <w:rsid w:val="00961F6F"/>
    <w:rsid w:val="009629A4"/>
    <w:rsid w:val="00963200"/>
    <w:rsid w:val="009634A8"/>
    <w:rsid w:val="00963865"/>
    <w:rsid w:val="009647DE"/>
    <w:rsid w:val="009656DA"/>
    <w:rsid w:val="00965BE5"/>
    <w:rsid w:val="00965D6D"/>
    <w:rsid w:val="0096721E"/>
    <w:rsid w:val="00967499"/>
    <w:rsid w:val="009678C6"/>
    <w:rsid w:val="009678CB"/>
    <w:rsid w:val="00967A83"/>
    <w:rsid w:val="009700F7"/>
    <w:rsid w:val="00970D15"/>
    <w:rsid w:val="009717E4"/>
    <w:rsid w:val="00971861"/>
    <w:rsid w:val="00972C4F"/>
    <w:rsid w:val="00972FF8"/>
    <w:rsid w:val="00973B22"/>
    <w:rsid w:val="00974B5C"/>
    <w:rsid w:val="009763A2"/>
    <w:rsid w:val="009768B0"/>
    <w:rsid w:val="00980C1A"/>
    <w:rsid w:val="0098119B"/>
    <w:rsid w:val="0098352A"/>
    <w:rsid w:val="00983D97"/>
    <w:rsid w:val="0098535F"/>
    <w:rsid w:val="00985785"/>
    <w:rsid w:val="0098653C"/>
    <w:rsid w:val="009865D9"/>
    <w:rsid w:val="00986D20"/>
    <w:rsid w:val="00986D76"/>
    <w:rsid w:val="00987FCC"/>
    <w:rsid w:val="0099002E"/>
    <w:rsid w:val="00990FCB"/>
    <w:rsid w:val="00992ADB"/>
    <w:rsid w:val="009937FC"/>
    <w:rsid w:val="00995784"/>
    <w:rsid w:val="009957F2"/>
    <w:rsid w:val="0099634D"/>
    <w:rsid w:val="00997714"/>
    <w:rsid w:val="009A0F2E"/>
    <w:rsid w:val="009A23D1"/>
    <w:rsid w:val="009A2623"/>
    <w:rsid w:val="009A26B4"/>
    <w:rsid w:val="009A2CA5"/>
    <w:rsid w:val="009A36C9"/>
    <w:rsid w:val="009A3F4F"/>
    <w:rsid w:val="009A41E9"/>
    <w:rsid w:val="009A4CB1"/>
    <w:rsid w:val="009A5014"/>
    <w:rsid w:val="009A58D9"/>
    <w:rsid w:val="009A613C"/>
    <w:rsid w:val="009A66B4"/>
    <w:rsid w:val="009A6F18"/>
    <w:rsid w:val="009B0EBD"/>
    <w:rsid w:val="009B1893"/>
    <w:rsid w:val="009B24A4"/>
    <w:rsid w:val="009B2621"/>
    <w:rsid w:val="009B34E3"/>
    <w:rsid w:val="009B38A3"/>
    <w:rsid w:val="009B44FE"/>
    <w:rsid w:val="009B50F1"/>
    <w:rsid w:val="009B5107"/>
    <w:rsid w:val="009B6D2B"/>
    <w:rsid w:val="009C0007"/>
    <w:rsid w:val="009C0924"/>
    <w:rsid w:val="009C2A4C"/>
    <w:rsid w:val="009C2CB0"/>
    <w:rsid w:val="009C3773"/>
    <w:rsid w:val="009C3B75"/>
    <w:rsid w:val="009C3E28"/>
    <w:rsid w:val="009C4064"/>
    <w:rsid w:val="009C434F"/>
    <w:rsid w:val="009C43F3"/>
    <w:rsid w:val="009C4AC7"/>
    <w:rsid w:val="009C4CE2"/>
    <w:rsid w:val="009C4FC4"/>
    <w:rsid w:val="009C6373"/>
    <w:rsid w:val="009C7251"/>
    <w:rsid w:val="009C7D4B"/>
    <w:rsid w:val="009D037F"/>
    <w:rsid w:val="009D076A"/>
    <w:rsid w:val="009D108B"/>
    <w:rsid w:val="009D194F"/>
    <w:rsid w:val="009D1F58"/>
    <w:rsid w:val="009D24BE"/>
    <w:rsid w:val="009D2930"/>
    <w:rsid w:val="009D2AE5"/>
    <w:rsid w:val="009D2CF3"/>
    <w:rsid w:val="009D37F9"/>
    <w:rsid w:val="009D3921"/>
    <w:rsid w:val="009D3AE8"/>
    <w:rsid w:val="009D3CBC"/>
    <w:rsid w:val="009D47EF"/>
    <w:rsid w:val="009D4AD8"/>
    <w:rsid w:val="009D4B56"/>
    <w:rsid w:val="009D4C64"/>
    <w:rsid w:val="009D5C59"/>
    <w:rsid w:val="009D6C33"/>
    <w:rsid w:val="009D7108"/>
    <w:rsid w:val="009D7273"/>
    <w:rsid w:val="009D773E"/>
    <w:rsid w:val="009D7C39"/>
    <w:rsid w:val="009E0981"/>
    <w:rsid w:val="009E0D44"/>
    <w:rsid w:val="009E114C"/>
    <w:rsid w:val="009E230A"/>
    <w:rsid w:val="009E30CC"/>
    <w:rsid w:val="009E3C16"/>
    <w:rsid w:val="009E4D7C"/>
    <w:rsid w:val="009E4DD0"/>
    <w:rsid w:val="009E53DA"/>
    <w:rsid w:val="009E5F04"/>
    <w:rsid w:val="009E7B97"/>
    <w:rsid w:val="009F00F6"/>
    <w:rsid w:val="009F09F3"/>
    <w:rsid w:val="009F0E84"/>
    <w:rsid w:val="009F130C"/>
    <w:rsid w:val="009F2D54"/>
    <w:rsid w:val="009F2F92"/>
    <w:rsid w:val="009F3395"/>
    <w:rsid w:val="009F4163"/>
    <w:rsid w:val="009F50DD"/>
    <w:rsid w:val="009F6DDF"/>
    <w:rsid w:val="009F70B8"/>
    <w:rsid w:val="00A009B3"/>
    <w:rsid w:val="00A00C92"/>
    <w:rsid w:val="00A022A5"/>
    <w:rsid w:val="00A02691"/>
    <w:rsid w:val="00A03272"/>
    <w:rsid w:val="00A037BB"/>
    <w:rsid w:val="00A06AAB"/>
    <w:rsid w:val="00A0758E"/>
    <w:rsid w:val="00A0783C"/>
    <w:rsid w:val="00A078F5"/>
    <w:rsid w:val="00A07E1C"/>
    <w:rsid w:val="00A11238"/>
    <w:rsid w:val="00A11F67"/>
    <w:rsid w:val="00A11FCC"/>
    <w:rsid w:val="00A12825"/>
    <w:rsid w:val="00A12B21"/>
    <w:rsid w:val="00A12E36"/>
    <w:rsid w:val="00A13146"/>
    <w:rsid w:val="00A132BF"/>
    <w:rsid w:val="00A1481C"/>
    <w:rsid w:val="00A14FA1"/>
    <w:rsid w:val="00A15384"/>
    <w:rsid w:val="00A157A3"/>
    <w:rsid w:val="00A16207"/>
    <w:rsid w:val="00A163EA"/>
    <w:rsid w:val="00A1667D"/>
    <w:rsid w:val="00A16E2A"/>
    <w:rsid w:val="00A16F5C"/>
    <w:rsid w:val="00A174BA"/>
    <w:rsid w:val="00A174EE"/>
    <w:rsid w:val="00A17AD1"/>
    <w:rsid w:val="00A17E5E"/>
    <w:rsid w:val="00A200BF"/>
    <w:rsid w:val="00A202E6"/>
    <w:rsid w:val="00A2039D"/>
    <w:rsid w:val="00A20D9D"/>
    <w:rsid w:val="00A20EE7"/>
    <w:rsid w:val="00A2144C"/>
    <w:rsid w:val="00A21F65"/>
    <w:rsid w:val="00A2227D"/>
    <w:rsid w:val="00A2279E"/>
    <w:rsid w:val="00A23769"/>
    <w:rsid w:val="00A24EAE"/>
    <w:rsid w:val="00A25699"/>
    <w:rsid w:val="00A25723"/>
    <w:rsid w:val="00A25A39"/>
    <w:rsid w:val="00A25A8C"/>
    <w:rsid w:val="00A27BCB"/>
    <w:rsid w:val="00A304D0"/>
    <w:rsid w:val="00A30D97"/>
    <w:rsid w:val="00A30ED2"/>
    <w:rsid w:val="00A333A6"/>
    <w:rsid w:val="00A33719"/>
    <w:rsid w:val="00A345A7"/>
    <w:rsid w:val="00A34D0F"/>
    <w:rsid w:val="00A35B59"/>
    <w:rsid w:val="00A368B3"/>
    <w:rsid w:val="00A371EB"/>
    <w:rsid w:val="00A37219"/>
    <w:rsid w:val="00A37D42"/>
    <w:rsid w:val="00A40544"/>
    <w:rsid w:val="00A4170D"/>
    <w:rsid w:val="00A41E6F"/>
    <w:rsid w:val="00A425C1"/>
    <w:rsid w:val="00A431C0"/>
    <w:rsid w:val="00A43902"/>
    <w:rsid w:val="00A4422F"/>
    <w:rsid w:val="00A4426D"/>
    <w:rsid w:val="00A44B7E"/>
    <w:rsid w:val="00A44FDF"/>
    <w:rsid w:val="00A450A8"/>
    <w:rsid w:val="00A479D5"/>
    <w:rsid w:val="00A51227"/>
    <w:rsid w:val="00A517BD"/>
    <w:rsid w:val="00A52410"/>
    <w:rsid w:val="00A5330A"/>
    <w:rsid w:val="00A533C0"/>
    <w:rsid w:val="00A53BE0"/>
    <w:rsid w:val="00A55075"/>
    <w:rsid w:val="00A55120"/>
    <w:rsid w:val="00A55398"/>
    <w:rsid w:val="00A553A4"/>
    <w:rsid w:val="00A56520"/>
    <w:rsid w:val="00A567CB"/>
    <w:rsid w:val="00A6117A"/>
    <w:rsid w:val="00A6177D"/>
    <w:rsid w:val="00A61C04"/>
    <w:rsid w:val="00A6310C"/>
    <w:rsid w:val="00A63A13"/>
    <w:rsid w:val="00A643F8"/>
    <w:rsid w:val="00A65DD1"/>
    <w:rsid w:val="00A663EC"/>
    <w:rsid w:val="00A66E0B"/>
    <w:rsid w:val="00A6760C"/>
    <w:rsid w:val="00A70557"/>
    <w:rsid w:val="00A70C31"/>
    <w:rsid w:val="00A7104B"/>
    <w:rsid w:val="00A712CE"/>
    <w:rsid w:val="00A71460"/>
    <w:rsid w:val="00A71DB5"/>
    <w:rsid w:val="00A729A6"/>
    <w:rsid w:val="00A7346F"/>
    <w:rsid w:val="00A74A86"/>
    <w:rsid w:val="00A74C39"/>
    <w:rsid w:val="00A75040"/>
    <w:rsid w:val="00A75C0F"/>
    <w:rsid w:val="00A760F3"/>
    <w:rsid w:val="00A7624A"/>
    <w:rsid w:val="00A776C2"/>
    <w:rsid w:val="00A776D1"/>
    <w:rsid w:val="00A77E09"/>
    <w:rsid w:val="00A816AF"/>
    <w:rsid w:val="00A81720"/>
    <w:rsid w:val="00A818E4"/>
    <w:rsid w:val="00A82B19"/>
    <w:rsid w:val="00A83C04"/>
    <w:rsid w:val="00A83ED1"/>
    <w:rsid w:val="00A84DE6"/>
    <w:rsid w:val="00A85C63"/>
    <w:rsid w:val="00A87111"/>
    <w:rsid w:val="00A87CA6"/>
    <w:rsid w:val="00A9066E"/>
    <w:rsid w:val="00A90D15"/>
    <w:rsid w:val="00A90F3D"/>
    <w:rsid w:val="00A920A7"/>
    <w:rsid w:val="00A921DF"/>
    <w:rsid w:val="00A92878"/>
    <w:rsid w:val="00A929A2"/>
    <w:rsid w:val="00A92FE9"/>
    <w:rsid w:val="00A93DF7"/>
    <w:rsid w:val="00A94383"/>
    <w:rsid w:val="00A9448C"/>
    <w:rsid w:val="00A94545"/>
    <w:rsid w:val="00A94D4D"/>
    <w:rsid w:val="00A95A20"/>
    <w:rsid w:val="00A96F32"/>
    <w:rsid w:val="00A9721B"/>
    <w:rsid w:val="00AA0635"/>
    <w:rsid w:val="00AA068C"/>
    <w:rsid w:val="00AA1412"/>
    <w:rsid w:val="00AA162D"/>
    <w:rsid w:val="00AA21C4"/>
    <w:rsid w:val="00AA2A40"/>
    <w:rsid w:val="00AA36ED"/>
    <w:rsid w:val="00AA37B5"/>
    <w:rsid w:val="00AA4737"/>
    <w:rsid w:val="00AA4899"/>
    <w:rsid w:val="00AA48B5"/>
    <w:rsid w:val="00AA5262"/>
    <w:rsid w:val="00AA5AB7"/>
    <w:rsid w:val="00AA5BE3"/>
    <w:rsid w:val="00AA77EF"/>
    <w:rsid w:val="00AA7F2C"/>
    <w:rsid w:val="00AB019A"/>
    <w:rsid w:val="00AB22B2"/>
    <w:rsid w:val="00AB2877"/>
    <w:rsid w:val="00AB2F06"/>
    <w:rsid w:val="00AB315D"/>
    <w:rsid w:val="00AB3E95"/>
    <w:rsid w:val="00AB54CB"/>
    <w:rsid w:val="00AB661C"/>
    <w:rsid w:val="00AB689D"/>
    <w:rsid w:val="00AB7491"/>
    <w:rsid w:val="00AB7519"/>
    <w:rsid w:val="00AB79CA"/>
    <w:rsid w:val="00AB7A7D"/>
    <w:rsid w:val="00AC0487"/>
    <w:rsid w:val="00AC1797"/>
    <w:rsid w:val="00AC1E7A"/>
    <w:rsid w:val="00AC2E6C"/>
    <w:rsid w:val="00AC4151"/>
    <w:rsid w:val="00AC5372"/>
    <w:rsid w:val="00AC656E"/>
    <w:rsid w:val="00AC6B32"/>
    <w:rsid w:val="00AC6CEC"/>
    <w:rsid w:val="00AC6EAD"/>
    <w:rsid w:val="00AC7C73"/>
    <w:rsid w:val="00AD0375"/>
    <w:rsid w:val="00AD26BD"/>
    <w:rsid w:val="00AD3A05"/>
    <w:rsid w:val="00AD3AEF"/>
    <w:rsid w:val="00AD3E0E"/>
    <w:rsid w:val="00AD50F5"/>
    <w:rsid w:val="00AD554D"/>
    <w:rsid w:val="00AD59DD"/>
    <w:rsid w:val="00AD6676"/>
    <w:rsid w:val="00AD67B3"/>
    <w:rsid w:val="00AD68C8"/>
    <w:rsid w:val="00AD6C4D"/>
    <w:rsid w:val="00AE0021"/>
    <w:rsid w:val="00AE0E2E"/>
    <w:rsid w:val="00AE1841"/>
    <w:rsid w:val="00AE2231"/>
    <w:rsid w:val="00AE2348"/>
    <w:rsid w:val="00AE24DA"/>
    <w:rsid w:val="00AE25A2"/>
    <w:rsid w:val="00AE283B"/>
    <w:rsid w:val="00AE3E0B"/>
    <w:rsid w:val="00AE4C8C"/>
    <w:rsid w:val="00AE5231"/>
    <w:rsid w:val="00AE588D"/>
    <w:rsid w:val="00AE5D50"/>
    <w:rsid w:val="00AE5FAD"/>
    <w:rsid w:val="00AE624F"/>
    <w:rsid w:val="00AE63E4"/>
    <w:rsid w:val="00AE7A44"/>
    <w:rsid w:val="00AE7B48"/>
    <w:rsid w:val="00AF007F"/>
    <w:rsid w:val="00AF1536"/>
    <w:rsid w:val="00AF1A4C"/>
    <w:rsid w:val="00AF2B90"/>
    <w:rsid w:val="00AF4A9F"/>
    <w:rsid w:val="00AF4BC0"/>
    <w:rsid w:val="00AF4CF2"/>
    <w:rsid w:val="00AF4F99"/>
    <w:rsid w:val="00AF501B"/>
    <w:rsid w:val="00AF56ED"/>
    <w:rsid w:val="00AF62F4"/>
    <w:rsid w:val="00AF6473"/>
    <w:rsid w:val="00AF71D9"/>
    <w:rsid w:val="00AF7CBB"/>
    <w:rsid w:val="00AF7F4D"/>
    <w:rsid w:val="00B00065"/>
    <w:rsid w:val="00B01DF9"/>
    <w:rsid w:val="00B01EDB"/>
    <w:rsid w:val="00B028FA"/>
    <w:rsid w:val="00B03C25"/>
    <w:rsid w:val="00B04490"/>
    <w:rsid w:val="00B0491A"/>
    <w:rsid w:val="00B05ECB"/>
    <w:rsid w:val="00B067AF"/>
    <w:rsid w:val="00B10129"/>
    <w:rsid w:val="00B1026B"/>
    <w:rsid w:val="00B10F2A"/>
    <w:rsid w:val="00B11B90"/>
    <w:rsid w:val="00B11D89"/>
    <w:rsid w:val="00B121C0"/>
    <w:rsid w:val="00B1252E"/>
    <w:rsid w:val="00B12FBB"/>
    <w:rsid w:val="00B13044"/>
    <w:rsid w:val="00B14455"/>
    <w:rsid w:val="00B14699"/>
    <w:rsid w:val="00B14D9F"/>
    <w:rsid w:val="00B14DB1"/>
    <w:rsid w:val="00B150F4"/>
    <w:rsid w:val="00B156B7"/>
    <w:rsid w:val="00B1585A"/>
    <w:rsid w:val="00B15F1B"/>
    <w:rsid w:val="00B16181"/>
    <w:rsid w:val="00B16D73"/>
    <w:rsid w:val="00B17BE7"/>
    <w:rsid w:val="00B204F6"/>
    <w:rsid w:val="00B21A74"/>
    <w:rsid w:val="00B21F71"/>
    <w:rsid w:val="00B22797"/>
    <w:rsid w:val="00B22D45"/>
    <w:rsid w:val="00B232E1"/>
    <w:rsid w:val="00B238C9"/>
    <w:rsid w:val="00B248C2"/>
    <w:rsid w:val="00B27178"/>
    <w:rsid w:val="00B2717C"/>
    <w:rsid w:val="00B27414"/>
    <w:rsid w:val="00B3092D"/>
    <w:rsid w:val="00B30A4B"/>
    <w:rsid w:val="00B30B15"/>
    <w:rsid w:val="00B31853"/>
    <w:rsid w:val="00B3191E"/>
    <w:rsid w:val="00B31E1E"/>
    <w:rsid w:val="00B32204"/>
    <w:rsid w:val="00B330B8"/>
    <w:rsid w:val="00B333E1"/>
    <w:rsid w:val="00B33DB2"/>
    <w:rsid w:val="00B33F8E"/>
    <w:rsid w:val="00B3407F"/>
    <w:rsid w:val="00B345D2"/>
    <w:rsid w:val="00B35148"/>
    <w:rsid w:val="00B3569F"/>
    <w:rsid w:val="00B364AD"/>
    <w:rsid w:val="00B36740"/>
    <w:rsid w:val="00B3716B"/>
    <w:rsid w:val="00B37DE4"/>
    <w:rsid w:val="00B40765"/>
    <w:rsid w:val="00B40FE7"/>
    <w:rsid w:val="00B41E4B"/>
    <w:rsid w:val="00B4365F"/>
    <w:rsid w:val="00B44A73"/>
    <w:rsid w:val="00B46EFE"/>
    <w:rsid w:val="00B473B8"/>
    <w:rsid w:val="00B5187F"/>
    <w:rsid w:val="00B52206"/>
    <w:rsid w:val="00B53D03"/>
    <w:rsid w:val="00B54CE3"/>
    <w:rsid w:val="00B55359"/>
    <w:rsid w:val="00B557E1"/>
    <w:rsid w:val="00B558D1"/>
    <w:rsid w:val="00B56207"/>
    <w:rsid w:val="00B56D7A"/>
    <w:rsid w:val="00B61369"/>
    <w:rsid w:val="00B64716"/>
    <w:rsid w:val="00B649ED"/>
    <w:rsid w:val="00B64E56"/>
    <w:rsid w:val="00B64FA6"/>
    <w:rsid w:val="00B66C2B"/>
    <w:rsid w:val="00B67045"/>
    <w:rsid w:val="00B70A6C"/>
    <w:rsid w:val="00B712BB"/>
    <w:rsid w:val="00B7175B"/>
    <w:rsid w:val="00B718C5"/>
    <w:rsid w:val="00B71ECC"/>
    <w:rsid w:val="00B72CBC"/>
    <w:rsid w:val="00B730D5"/>
    <w:rsid w:val="00B73D09"/>
    <w:rsid w:val="00B7416C"/>
    <w:rsid w:val="00B74604"/>
    <w:rsid w:val="00B757BB"/>
    <w:rsid w:val="00B75904"/>
    <w:rsid w:val="00B760E3"/>
    <w:rsid w:val="00B76FFC"/>
    <w:rsid w:val="00B7782C"/>
    <w:rsid w:val="00B80280"/>
    <w:rsid w:val="00B80B44"/>
    <w:rsid w:val="00B81F41"/>
    <w:rsid w:val="00B81FED"/>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324"/>
    <w:rsid w:val="00B915B7"/>
    <w:rsid w:val="00B91C34"/>
    <w:rsid w:val="00B9224A"/>
    <w:rsid w:val="00B9228D"/>
    <w:rsid w:val="00B9249D"/>
    <w:rsid w:val="00B928A6"/>
    <w:rsid w:val="00B92B28"/>
    <w:rsid w:val="00B9378D"/>
    <w:rsid w:val="00B937CE"/>
    <w:rsid w:val="00B94C5B"/>
    <w:rsid w:val="00B94C69"/>
    <w:rsid w:val="00B965EE"/>
    <w:rsid w:val="00B966D0"/>
    <w:rsid w:val="00B97E0C"/>
    <w:rsid w:val="00BA03D4"/>
    <w:rsid w:val="00BA0EF1"/>
    <w:rsid w:val="00BA29C7"/>
    <w:rsid w:val="00BA2CE6"/>
    <w:rsid w:val="00BA3BF9"/>
    <w:rsid w:val="00BA3F9C"/>
    <w:rsid w:val="00BA5C2F"/>
    <w:rsid w:val="00BA6488"/>
    <w:rsid w:val="00BA6830"/>
    <w:rsid w:val="00BA6CA3"/>
    <w:rsid w:val="00BA6E26"/>
    <w:rsid w:val="00BA7168"/>
    <w:rsid w:val="00BA74AB"/>
    <w:rsid w:val="00BA789B"/>
    <w:rsid w:val="00BA7F0D"/>
    <w:rsid w:val="00BB0786"/>
    <w:rsid w:val="00BB0EB1"/>
    <w:rsid w:val="00BB101A"/>
    <w:rsid w:val="00BB2296"/>
    <w:rsid w:val="00BB3443"/>
    <w:rsid w:val="00BB43C3"/>
    <w:rsid w:val="00BB45B4"/>
    <w:rsid w:val="00BB53C1"/>
    <w:rsid w:val="00BB639A"/>
    <w:rsid w:val="00BB6CDC"/>
    <w:rsid w:val="00BB713F"/>
    <w:rsid w:val="00BC03DE"/>
    <w:rsid w:val="00BC2790"/>
    <w:rsid w:val="00BC3892"/>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538C"/>
    <w:rsid w:val="00BD59D4"/>
    <w:rsid w:val="00BD6083"/>
    <w:rsid w:val="00BD608A"/>
    <w:rsid w:val="00BD60D9"/>
    <w:rsid w:val="00BD68E0"/>
    <w:rsid w:val="00BD79ED"/>
    <w:rsid w:val="00BE04D0"/>
    <w:rsid w:val="00BE0DE5"/>
    <w:rsid w:val="00BE0F85"/>
    <w:rsid w:val="00BE16CE"/>
    <w:rsid w:val="00BE1D2C"/>
    <w:rsid w:val="00BE1F84"/>
    <w:rsid w:val="00BE270B"/>
    <w:rsid w:val="00BE4A5B"/>
    <w:rsid w:val="00BE5B39"/>
    <w:rsid w:val="00BE6456"/>
    <w:rsid w:val="00BE6784"/>
    <w:rsid w:val="00BE7CF6"/>
    <w:rsid w:val="00BF26D7"/>
    <w:rsid w:val="00BF2E67"/>
    <w:rsid w:val="00BF3228"/>
    <w:rsid w:val="00BF3260"/>
    <w:rsid w:val="00BF3B1C"/>
    <w:rsid w:val="00BF4BDF"/>
    <w:rsid w:val="00BF7B0F"/>
    <w:rsid w:val="00C00816"/>
    <w:rsid w:val="00C014BE"/>
    <w:rsid w:val="00C014D1"/>
    <w:rsid w:val="00C01702"/>
    <w:rsid w:val="00C0174D"/>
    <w:rsid w:val="00C0190A"/>
    <w:rsid w:val="00C01ABD"/>
    <w:rsid w:val="00C021A4"/>
    <w:rsid w:val="00C0335F"/>
    <w:rsid w:val="00C03999"/>
    <w:rsid w:val="00C04E1F"/>
    <w:rsid w:val="00C05505"/>
    <w:rsid w:val="00C05E35"/>
    <w:rsid w:val="00C06A89"/>
    <w:rsid w:val="00C06CFB"/>
    <w:rsid w:val="00C07044"/>
    <w:rsid w:val="00C112EE"/>
    <w:rsid w:val="00C11313"/>
    <w:rsid w:val="00C11FA6"/>
    <w:rsid w:val="00C121EC"/>
    <w:rsid w:val="00C126AC"/>
    <w:rsid w:val="00C129A2"/>
    <w:rsid w:val="00C12D8D"/>
    <w:rsid w:val="00C14070"/>
    <w:rsid w:val="00C147DD"/>
    <w:rsid w:val="00C149B9"/>
    <w:rsid w:val="00C1548D"/>
    <w:rsid w:val="00C166FB"/>
    <w:rsid w:val="00C167EF"/>
    <w:rsid w:val="00C16869"/>
    <w:rsid w:val="00C16F23"/>
    <w:rsid w:val="00C17337"/>
    <w:rsid w:val="00C20444"/>
    <w:rsid w:val="00C20EBB"/>
    <w:rsid w:val="00C21065"/>
    <w:rsid w:val="00C21185"/>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F54"/>
    <w:rsid w:val="00C31B96"/>
    <w:rsid w:val="00C32BB7"/>
    <w:rsid w:val="00C33E4C"/>
    <w:rsid w:val="00C3487F"/>
    <w:rsid w:val="00C34FAA"/>
    <w:rsid w:val="00C35245"/>
    <w:rsid w:val="00C35655"/>
    <w:rsid w:val="00C357DB"/>
    <w:rsid w:val="00C37A26"/>
    <w:rsid w:val="00C41C76"/>
    <w:rsid w:val="00C41D75"/>
    <w:rsid w:val="00C4221D"/>
    <w:rsid w:val="00C426EF"/>
    <w:rsid w:val="00C427EA"/>
    <w:rsid w:val="00C4297A"/>
    <w:rsid w:val="00C432D2"/>
    <w:rsid w:val="00C43980"/>
    <w:rsid w:val="00C43A62"/>
    <w:rsid w:val="00C44A54"/>
    <w:rsid w:val="00C44B2A"/>
    <w:rsid w:val="00C44EDC"/>
    <w:rsid w:val="00C4526C"/>
    <w:rsid w:val="00C46FB0"/>
    <w:rsid w:val="00C47DE7"/>
    <w:rsid w:val="00C5095B"/>
    <w:rsid w:val="00C50AF2"/>
    <w:rsid w:val="00C51006"/>
    <w:rsid w:val="00C51B9A"/>
    <w:rsid w:val="00C520E6"/>
    <w:rsid w:val="00C521ED"/>
    <w:rsid w:val="00C522F3"/>
    <w:rsid w:val="00C536ED"/>
    <w:rsid w:val="00C539DD"/>
    <w:rsid w:val="00C541F9"/>
    <w:rsid w:val="00C543EE"/>
    <w:rsid w:val="00C543F3"/>
    <w:rsid w:val="00C55D19"/>
    <w:rsid w:val="00C5608D"/>
    <w:rsid w:val="00C56429"/>
    <w:rsid w:val="00C5693C"/>
    <w:rsid w:val="00C5783C"/>
    <w:rsid w:val="00C602AF"/>
    <w:rsid w:val="00C63703"/>
    <w:rsid w:val="00C647A6"/>
    <w:rsid w:val="00C64C37"/>
    <w:rsid w:val="00C655BE"/>
    <w:rsid w:val="00C65D0E"/>
    <w:rsid w:val="00C66156"/>
    <w:rsid w:val="00C666CD"/>
    <w:rsid w:val="00C67684"/>
    <w:rsid w:val="00C679A1"/>
    <w:rsid w:val="00C67F18"/>
    <w:rsid w:val="00C7080B"/>
    <w:rsid w:val="00C70F8D"/>
    <w:rsid w:val="00C72031"/>
    <w:rsid w:val="00C725A3"/>
    <w:rsid w:val="00C7270D"/>
    <w:rsid w:val="00C72C20"/>
    <w:rsid w:val="00C730F9"/>
    <w:rsid w:val="00C74557"/>
    <w:rsid w:val="00C75B0A"/>
    <w:rsid w:val="00C75D10"/>
    <w:rsid w:val="00C76834"/>
    <w:rsid w:val="00C76FEB"/>
    <w:rsid w:val="00C8000E"/>
    <w:rsid w:val="00C8093C"/>
    <w:rsid w:val="00C80A8B"/>
    <w:rsid w:val="00C8118D"/>
    <w:rsid w:val="00C82108"/>
    <w:rsid w:val="00C8314F"/>
    <w:rsid w:val="00C8376F"/>
    <w:rsid w:val="00C83C87"/>
    <w:rsid w:val="00C8449B"/>
    <w:rsid w:val="00C8642F"/>
    <w:rsid w:val="00C86596"/>
    <w:rsid w:val="00C876E4"/>
    <w:rsid w:val="00C87CDF"/>
    <w:rsid w:val="00C90B07"/>
    <w:rsid w:val="00C9124D"/>
    <w:rsid w:val="00C9228D"/>
    <w:rsid w:val="00C92A40"/>
    <w:rsid w:val="00C92A53"/>
    <w:rsid w:val="00C92B48"/>
    <w:rsid w:val="00C960EB"/>
    <w:rsid w:val="00C964D5"/>
    <w:rsid w:val="00CA213B"/>
    <w:rsid w:val="00CA2AD7"/>
    <w:rsid w:val="00CA2D27"/>
    <w:rsid w:val="00CA42C9"/>
    <w:rsid w:val="00CA4458"/>
    <w:rsid w:val="00CA4800"/>
    <w:rsid w:val="00CA48E7"/>
    <w:rsid w:val="00CA4EF5"/>
    <w:rsid w:val="00CA51B9"/>
    <w:rsid w:val="00CA5B37"/>
    <w:rsid w:val="00CA5B85"/>
    <w:rsid w:val="00CB0BC4"/>
    <w:rsid w:val="00CB1407"/>
    <w:rsid w:val="00CB2195"/>
    <w:rsid w:val="00CB2EAC"/>
    <w:rsid w:val="00CB3118"/>
    <w:rsid w:val="00CB3617"/>
    <w:rsid w:val="00CB3A12"/>
    <w:rsid w:val="00CB44DA"/>
    <w:rsid w:val="00CB495D"/>
    <w:rsid w:val="00CB5035"/>
    <w:rsid w:val="00CB512B"/>
    <w:rsid w:val="00CB52B2"/>
    <w:rsid w:val="00CB5359"/>
    <w:rsid w:val="00CB55F0"/>
    <w:rsid w:val="00CB647E"/>
    <w:rsid w:val="00CB68D8"/>
    <w:rsid w:val="00CB7DD3"/>
    <w:rsid w:val="00CC0967"/>
    <w:rsid w:val="00CC0ACB"/>
    <w:rsid w:val="00CC0CDD"/>
    <w:rsid w:val="00CC1FF4"/>
    <w:rsid w:val="00CC2777"/>
    <w:rsid w:val="00CC30B6"/>
    <w:rsid w:val="00CC4280"/>
    <w:rsid w:val="00CC552B"/>
    <w:rsid w:val="00CC642C"/>
    <w:rsid w:val="00CC65DB"/>
    <w:rsid w:val="00CC6931"/>
    <w:rsid w:val="00CC6AD5"/>
    <w:rsid w:val="00CC71B4"/>
    <w:rsid w:val="00CD00A5"/>
    <w:rsid w:val="00CD00EF"/>
    <w:rsid w:val="00CD1331"/>
    <w:rsid w:val="00CD16A3"/>
    <w:rsid w:val="00CD1B24"/>
    <w:rsid w:val="00CD2D67"/>
    <w:rsid w:val="00CD31D8"/>
    <w:rsid w:val="00CD3DBB"/>
    <w:rsid w:val="00CD455C"/>
    <w:rsid w:val="00CD4E3E"/>
    <w:rsid w:val="00CD5373"/>
    <w:rsid w:val="00CD57A9"/>
    <w:rsid w:val="00CD57CE"/>
    <w:rsid w:val="00CD5C53"/>
    <w:rsid w:val="00CD6005"/>
    <w:rsid w:val="00CD603B"/>
    <w:rsid w:val="00CD6131"/>
    <w:rsid w:val="00CD65CC"/>
    <w:rsid w:val="00CD686F"/>
    <w:rsid w:val="00CD6B27"/>
    <w:rsid w:val="00CD6B44"/>
    <w:rsid w:val="00CD6C7A"/>
    <w:rsid w:val="00CD728A"/>
    <w:rsid w:val="00CD75FB"/>
    <w:rsid w:val="00CE02DE"/>
    <w:rsid w:val="00CE1295"/>
    <w:rsid w:val="00CE1838"/>
    <w:rsid w:val="00CE1A55"/>
    <w:rsid w:val="00CE33C6"/>
    <w:rsid w:val="00CE3862"/>
    <w:rsid w:val="00CE393F"/>
    <w:rsid w:val="00CE41E1"/>
    <w:rsid w:val="00CE47CA"/>
    <w:rsid w:val="00CE5294"/>
    <w:rsid w:val="00CE5E7A"/>
    <w:rsid w:val="00CE6071"/>
    <w:rsid w:val="00CE7253"/>
    <w:rsid w:val="00CE7D13"/>
    <w:rsid w:val="00CF0B5D"/>
    <w:rsid w:val="00CF2621"/>
    <w:rsid w:val="00CF2EA3"/>
    <w:rsid w:val="00CF2ED6"/>
    <w:rsid w:val="00CF31D7"/>
    <w:rsid w:val="00CF3926"/>
    <w:rsid w:val="00CF3DF7"/>
    <w:rsid w:val="00CF5476"/>
    <w:rsid w:val="00CF5A08"/>
    <w:rsid w:val="00CF5FCD"/>
    <w:rsid w:val="00CF6C04"/>
    <w:rsid w:val="00CF7883"/>
    <w:rsid w:val="00CF7F9F"/>
    <w:rsid w:val="00D0085C"/>
    <w:rsid w:val="00D00BA8"/>
    <w:rsid w:val="00D00DCF"/>
    <w:rsid w:val="00D0139A"/>
    <w:rsid w:val="00D01AB1"/>
    <w:rsid w:val="00D02201"/>
    <w:rsid w:val="00D02643"/>
    <w:rsid w:val="00D03E5E"/>
    <w:rsid w:val="00D04DA6"/>
    <w:rsid w:val="00D05B8C"/>
    <w:rsid w:val="00D06725"/>
    <w:rsid w:val="00D071F2"/>
    <w:rsid w:val="00D073F9"/>
    <w:rsid w:val="00D10337"/>
    <w:rsid w:val="00D10859"/>
    <w:rsid w:val="00D10EC5"/>
    <w:rsid w:val="00D11784"/>
    <w:rsid w:val="00D1221F"/>
    <w:rsid w:val="00D126B1"/>
    <w:rsid w:val="00D13B4B"/>
    <w:rsid w:val="00D160D4"/>
    <w:rsid w:val="00D161D3"/>
    <w:rsid w:val="00D1654C"/>
    <w:rsid w:val="00D1657E"/>
    <w:rsid w:val="00D16E24"/>
    <w:rsid w:val="00D2013B"/>
    <w:rsid w:val="00D207F5"/>
    <w:rsid w:val="00D20DE3"/>
    <w:rsid w:val="00D21072"/>
    <w:rsid w:val="00D21526"/>
    <w:rsid w:val="00D2153B"/>
    <w:rsid w:val="00D21691"/>
    <w:rsid w:val="00D2187E"/>
    <w:rsid w:val="00D21F51"/>
    <w:rsid w:val="00D226A5"/>
    <w:rsid w:val="00D22BCC"/>
    <w:rsid w:val="00D2342D"/>
    <w:rsid w:val="00D25868"/>
    <w:rsid w:val="00D25AD0"/>
    <w:rsid w:val="00D25B75"/>
    <w:rsid w:val="00D25EBB"/>
    <w:rsid w:val="00D26B05"/>
    <w:rsid w:val="00D26BE3"/>
    <w:rsid w:val="00D26FC1"/>
    <w:rsid w:val="00D27A2D"/>
    <w:rsid w:val="00D31956"/>
    <w:rsid w:val="00D31B91"/>
    <w:rsid w:val="00D32B06"/>
    <w:rsid w:val="00D32D41"/>
    <w:rsid w:val="00D335DA"/>
    <w:rsid w:val="00D33766"/>
    <w:rsid w:val="00D33996"/>
    <w:rsid w:val="00D34711"/>
    <w:rsid w:val="00D34779"/>
    <w:rsid w:val="00D35050"/>
    <w:rsid w:val="00D352DB"/>
    <w:rsid w:val="00D3534A"/>
    <w:rsid w:val="00D35B32"/>
    <w:rsid w:val="00D36556"/>
    <w:rsid w:val="00D36B7F"/>
    <w:rsid w:val="00D36C82"/>
    <w:rsid w:val="00D372E1"/>
    <w:rsid w:val="00D40100"/>
    <w:rsid w:val="00D40C39"/>
    <w:rsid w:val="00D41F92"/>
    <w:rsid w:val="00D429F0"/>
    <w:rsid w:val="00D42C8C"/>
    <w:rsid w:val="00D45057"/>
    <w:rsid w:val="00D45EFC"/>
    <w:rsid w:val="00D4654F"/>
    <w:rsid w:val="00D467EF"/>
    <w:rsid w:val="00D50DC2"/>
    <w:rsid w:val="00D51B97"/>
    <w:rsid w:val="00D523B3"/>
    <w:rsid w:val="00D52DA8"/>
    <w:rsid w:val="00D54942"/>
    <w:rsid w:val="00D54F7E"/>
    <w:rsid w:val="00D55E24"/>
    <w:rsid w:val="00D56336"/>
    <w:rsid w:val="00D56FAE"/>
    <w:rsid w:val="00D5718E"/>
    <w:rsid w:val="00D5771F"/>
    <w:rsid w:val="00D577B2"/>
    <w:rsid w:val="00D604ED"/>
    <w:rsid w:val="00D60F10"/>
    <w:rsid w:val="00D62BF4"/>
    <w:rsid w:val="00D634FD"/>
    <w:rsid w:val="00D64309"/>
    <w:rsid w:val="00D64314"/>
    <w:rsid w:val="00D64567"/>
    <w:rsid w:val="00D646D8"/>
    <w:rsid w:val="00D659FA"/>
    <w:rsid w:val="00D65D3B"/>
    <w:rsid w:val="00D665F6"/>
    <w:rsid w:val="00D67EBE"/>
    <w:rsid w:val="00D7039D"/>
    <w:rsid w:val="00D704B0"/>
    <w:rsid w:val="00D708CC"/>
    <w:rsid w:val="00D7100F"/>
    <w:rsid w:val="00D7161A"/>
    <w:rsid w:val="00D72EF0"/>
    <w:rsid w:val="00D73215"/>
    <w:rsid w:val="00D744BC"/>
    <w:rsid w:val="00D74D73"/>
    <w:rsid w:val="00D75C55"/>
    <w:rsid w:val="00D76B29"/>
    <w:rsid w:val="00D76D98"/>
    <w:rsid w:val="00D77AFA"/>
    <w:rsid w:val="00D77FB1"/>
    <w:rsid w:val="00D8046D"/>
    <w:rsid w:val="00D80A35"/>
    <w:rsid w:val="00D81ADE"/>
    <w:rsid w:val="00D81D7C"/>
    <w:rsid w:val="00D821D2"/>
    <w:rsid w:val="00D83CCD"/>
    <w:rsid w:val="00D83D28"/>
    <w:rsid w:val="00D83E8F"/>
    <w:rsid w:val="00D83FF1"/>
    <w:rsid w:val="00D84F9E"/>
    <w:rsid w:val="00D870A5"/>
    <w:rsid w:val="00D87136"/>
    <w:rsid w:val="00D907F5"/>
    <w:rsid w:val="00D917FD"/>
    <w:rsid w:val="00D9264F"/>
    <w:rsid w:val="00D92F8A"/>
    <w:rsid w:val="00D93379"/>
    <w:rsid w:val="00D969D1"/>
    <w:rsid w:val="00DA0302"/>
    <w:rsid w:val="00DA0369"/>
    <w:rsid w:val="00DA0496"/>
    <w:rsid w:val="00DA07DE"/>
    <w:rsid w:val="00DA0BED"/>
    <w:rsid w:val="00DA1E08"/>
    <w:rsid w:val="00DA2047"/>
    <w:rsid w:val="00DA26AA"/>
    <w:rsid w:val="00DA326C"/>
    <w:rsid w:val="00DA36FD"/>
    <w:rsid w:val="00DA3EC7"/>
    <w:rsid w:val="00DA5430"/>
    <w:rsid w:val="00DA5854"/>
    <w:rsid w:val="00DA62D6"/>
    <w:rsid w:val="00DA64AB"/>
    <w:rsid w:val="00DA675A"/>
    <w:rsid w:val="00DA6C90"/>
    <w:rsid w:val="00DA73A2"/>
    <w:rsid w:val="00DB0865"/>
    <w:rsid w:val="00DB119D"/>
    <w:rsid w:val="00DB1B65"/>
    <w:rsid w:val="00DB1CDB"/>
    <w:rsid w:val="00DB2DF4"/>
    <w:rsid w:val="00DB4D7C"/>
    <w:rsid w:val="00DB5213"/>
    <w:rsid w:val="00DB5749"/>
    <w:rsid w:val="00DB5BB9"/>
    <w:rsid w:val="00DB6038"/>
    <w:rsid w:val="00DB60AF"/>
    <w:rsid w:val="00DB64AD"/>
    <w:rsid w:val="00DB6BD9"/>
    <w:rsid w:val="00DB6C95"/>
    <w:rsid w:val="00DB6C9F"/>
    <w:rsid w:val="00DB7AD6"/>
    <w:rsid w:val="00DB7B8B"/>
    <w:rsid w:val="00DC157B"/>
    <w:rsid w:val="00DC287C"/>
    <w:rsid w:val="00DC2B68"/>
    <w:rsid w:val="00DC34D4"/>
    <w:rsid w:val="00DC3674"/>
    <w:rsid w:val="00DC3EF3"/>
    <w:rsid w:val="00DC5581"/>
    <w:rsid w:val="00DC674C"/>
    <w:rsid w:val="00DC7452"/>
    <w:rsid w:val="00DD05FF"/>
    <w:rsid w:val="00DD06EF"/>
    <w:rsid w:val="00DD0B9D"/>
    <w:rsid w:val="00DD0D00"/>
    <w:rsid w:val="00DD0DCA"/>
    <w:rsid w:val="00DD2CAD"/>
    <w:rsid w:val="00DD2CE7"/>
    <w:rsid w:val="00DD3370"/>
    <w:rsid w:val="00DD376D"/>
    <w:rsid w:val="00DD4286"/>
    <w:rsid w:val="00DD4383"/>
    <w:rsid w:val="00DD43B9"/>
    <w:rsid w:val="00DD4F6F"/>
    <w:rsid w:val="00DD7853"/>
    <w:rsid w:val="00DE1399"/>
    <w:rsid w:val="00DE1CDF"/>
    <w:rsid w:val="00DE1EBB"/>
    <w:rsid w:val="00DE2F78"/>
    <w:rsid w:val="00DE2FA9"/>
    <w:rsid w:val="00DE35EE"/>
    <w:rsid w:val="00DE39C4"/>
    <w:rsid w:val="00DE3C25"/>
    <w:rsid w:val="00DE3CF2"/>
    <w:rsid w:val="00DE419F"/>
    <w:rsid w:val="00DE44F7"/>
    <w:rsid w:val="00DE462E"/>
    <w:rsid w:val="00DE5652"/>
    <w:rsid w:val="00DE66F2"/>
    <w:rsid w:val="00DF0D48"/>
    <w:rsid w:val="00DF1FD2"/>
    <w:rsid w:val="00DF2C55"/>
    <w:rsid w:val="00DF3D68"/>
    <w:rsid w:val="00DF404C"/>
    <w:rsid w:val="00DF4C1E"/>
    <w:rsid w:val="00DF5151"/>
    <w:rsid w:val="00DF5373"/>
    <w:rsid w:val="00DF5BE1"/>
    <w:rsid w:val="00DF64FF"/>
    <w:rsid w:val="00E00F29"/>
    <w:rsid w:val="00E01129"/>
    <w:rsid w:val="00E01201"/>
    <w:rsid w:val="00E01C52"/>
    <w:rsid w:val="00E024A7"/>
    <w:rsid w:val="00E02E63"/>
    <w:rsid w:val="00E05F28"/>
    <w:rsid w:val="00E06D35"/>
    <w:rsid w:val="00E07F5E"/>
    <w:rsid w:val="00E1018C"/>
    <w:rsid w:val="00E118CC"/>
    <w:rsid w:val="00E12149"/>
    <w:rsid w:val="00E132AD"/>
    <w:rsid w:val="00E13809"/>
    <w:rsid w:val="00E1431C"/>
    <w:rsid w:val="00E14521"/>
    <w:rsid w:val="00E14850"/>
    <w:rsid w:val="00E171E9"/>
    <w:rsid w:val="00E171F6"/>
    <w:rsid w:val="00E20BCE"/>
    <w:rsid w:val="00E20F38"/>
    <w:rsid w:val="00E2104A"/>
    <w:rsid w:val="00E22CE6"/>
    <w:rsid w:val="00E233DE"/>
    <w:rsid w:val="00E2443B"/>
    <w:rsid w:val="00E2487A"/>
    <w:rsid w:val="00E25255"/>
    <w:rsid w:val="00E252B2"/>
    <w:rsid w:val="00E25481"/>
    <w:rsid w:val="00E25483"/>
    <w:rsid w:val="00E256F5"/>
    <w:rsid w:val="00E259B8"/>
    <w:rsid w:val="00E261EE"/>
    <w:rsid w:val="00E27141"/>
    <w:rsid w:val="00E27F67"/>
    <w:rsid w:val="00E316DD"/>
    <w:rsid w:val="00E318EE"/>
    <w:rsid w:val="00E32C55"/>
    <w:rsid w:val="00E3316D"/>
    <w:rsid w:val="00E36A5F"/>
    <w:rsid w:val="00E404D3"/>
    <w:rsid w:val="00E410BA"/>
    <w:rsid w:val="00E4118B"/>
    <w:rsid w:val="00E41762"/>
    <w:rsid w:val="00E41A8B"/>
    <w:rsid w:val="00E42601"/>
    <w:rsid w:val="00E45359"/>
    <w:rsid w:val="00E45626"/>
    <w:rsid w:val="00E45EEA"/>
    <w:rsid w:val="00E4631A"/>
    <w:rsid w:val="00E46AEE"/>
    <w:rsid w:val="00E46C04"/>
    <w:rsid w:val="00E4769F"/>
    <w:rsid w:val="00E47A93"/>
    <w:rsid w:val="00E50C5D"/>
    <w:rsid w:val="00E50EBA"/>
    <w:rsid w:val="00E51114"/>
    <w:rsid w:val="00E512ED"/>
    <w:rsid w:val="00E51373"/>
    <w:rsid w:val="00E51558"/>
    <w:rsid w:val="00E51595"/>
    <w:rsid w:val="00E534C8"/>
    <w:rsid w:val="00E541A0"/>
    <w:rsid w:val="00E56602"/>
    <w:rsid w:val="00E56D48"/>
    <w:rsid w:val="00E5799C"/>
    <w:rsid w:val="00E60F41"/>
    <w:rsid w:val="00E61F35"/>
    <w:rsid w:val="00E61FB6"/>
    <w:rsid w:val="00E62B88"/>
    <w:rsid w:val="00E6329E"/>
    <w:rsid w:val="00E63861"/>
    <w:rsid w:val="00E63881"/>
    <w:rsid w:val="00E6464E"/>
    <w:rsid w:val="00E6512C"/>
    <w:rsid w:val="00E663B5"/>
    <w:rsid w:val="00E66EE1"/>
    <w:rsid w:val="00E675A2"/>
    <w:rsid w:val="00E67E41"/>
    <w:rsid w:val="00E70007"/>
    <w:rsid w:val="00E70552"/>
    <w:rsid w:val="00E70838"/>
    <w:rsid w:val="00E7161A"/>
    <w:rsid w:val="00E71681"/>
    <w:rsid w:val="00E71AE5"/>
    <w:rsid w:val="00E72586"/>
    <w:rsid w:val="00E72682"/>
    <w:rsid w:val="00E734C9"/>
    <w:rsid w:val="00E73D82"/>
    <w:rsid w:val="00E73FD9"/>
    <w:rsid w:val="00E801B6"/>
    <w:rsid w:val="00E80CF8"/>
    <w:rsid w:val="00E816C9"/>
    <w:rsid w:val="00E817DA"/>
    <w:rsid w:val="00E81D4B"/>
    <w:rsid w:val="00E83271"/>
    <w:rsid w:val="00E83AEE"/>
    <w:rsid w:val="00E84406"/>
    <w:rsid w:val="00E8473D"/>
    <w:rsid w:val="00E8484E"/>
    <w:rsid w:val="00E849E3"/>
    <w:rsid w:val="00E84A78"/>
    <w:rsid w:val="00E86053"/>
    <w:rsid w:val="00E86097"/>
    <w:rsid w:val="00E86566"/>
    <w:rsid w:val="00E867CC"/>
    <w:rsid w:val="00E86987"/>
    <w:rsid w:val="00E86E65"/>
    <w:rsid w:val="00E87129"/>
    <w:rsid w:val="00E87130"/>
    <w:rsid w:val="00E877EE"/>
    <w:rsid w:val="00E91EBC"/>
    <w:rsid w:val="00E92D94"/>
    <w:rsid w:val="00E9398B"/>
    <w:rsid w:val="00E93AA4"/>
    <w:rsid w:val="00E942B7"/>
    <w:rsid w:val="00E94F81"/>
    <w:rsid w:val="00E952F3"/>
    <w:rsid w:val="00E95A72"/>
    <w:rsid w:val="00E95A93"/>
    <w:rsid w:val="00E965B8"/>
    <w:rsid w:val="00E96746"/>
    <w:rsid w:val="00E9698C"/>
    <w:rsid w:val="00E975FC"/>
    <w:rsid w:val="00EA02C5"/>
    <w:rsid w:val="00EA06C2"/>
    <w:rsid w:val="00EA0800"/>
    <w:rsid w:val="00EA0B57"/>
    <w:rsid w:val="00EA1072"/>
    <w:rsid w:val="00EA2AE8"/>
    <w:rsid w:val="00EA415F"/>
    <w:rsid w:val="00EA4253"/>
    <w:rsid w:val="00EA46E3"/>
    <w:rsid w:val="00EA4999"/>
    <w:rsid w:val="00EA513C"/>
    <w:rsid w:val="00EA576B"/>
    <w:rsid w:val="00EA5D05"/>
    <w:rsid w:val="00EA7670"/>
    <w:rsid w:val="00EB083C"/>
    <w:rsid w:val="00EB20D2"/>
    <w:rsid w:val="00EB2305"/>
    <w:rsid w:val="00EB3DE4"/>
    <w:rsid w:val="00EB4580"/>
    <w:rsid w:val="00EB4DDB"/>
    <w:rsid w:val="00EB6C2E"/>
    <w:rsid w:val="00EB79C7"/>
    <w:rsid w:val="00EB7E92"/>
    <w:rsid w:val="00EC09D7"/>
    <w:rsid w:val="00EC0A46"/>
    <w:rsid w:val="00EC1EEF"/>
    <w:rsid w:val="00EC220B"/>
    <w:rsid w:val="00EC27C1"/>
    <w:rsid w:val="00EC287D"/>
    <w:rsid w:val="00EC36C5"/>
    <w:rsid w:val="00EC3BF9"/>
    <w:rsid w:val="00EC433E"/>
    <w:rsid w:val="00EC4755"/>
    <w:rsid w:val="00EC5363"/>
    <w:rsid w:val="00EC5D20"/>
    <w:rsid w:val="00EC5DFE"/>
    <w:rsid w:val="00EC6254"/>
    <w:rsid w:val="00EC63A1"/>
    <w:rsid w:val="00EC66C4"/>
    <w:rsid w:val="00EC72AE"/>
    <w:rsid w:val="00EC7BA5"/>
    <w:rsid w:val="00EC7EB4"/>
    <w:rsid w:val="00ED0C88"/>
    <w:rsid w:val="00ED11CC"/>
    <w:rsid w:val="00ED1414"/>
    <w:rsid w:val="00ED19AB"/>
    <w:rsid w:val="00ED1EB8"/>
    <w:rsid w:val="00ED2D76"/>
    <w:rsid w:val="00ED3919"/>
    <w:rsid w:val="00ED438A"/>
    <w:rsid w:val="00ED43AC"/>
    <w:rsid w:val="00ED4DFA"/>
    <w:rsid w:val="00ED54F5"/>
    <w:rsid w:val="00ED5C9D"/>
    <w:rsid w:val="00ED78C1"/>
    <w:rsid w:val="00ED7A70"/>
    <w:rsid w:val="00ED7DA5"/>
    <w:rsid w:val="00EE0A05"/>
    <w:rsid w:val="00EE0E28"/>
    <w:rsid w:val="00EE145D"/>
    <w:rsid w:val="00EE5BEF"/>
    <w:rsid w:val="00EE646B"/>
    <w:rsid w:val="00EE6962"/>
    <w:rsid w:val="00EE6D18"/>
    <w:rsid w:val="00EE7234"/>
    <w:rsid w:val="00EE78F6"/>
    <w:rsid w:val="00EE7A29"/>
    <w:rsid w:val="00EF0D9F"/>
    <w:rsid w:val="00EF1ECC"/>
    <w:rsid w:val="00EF2B3F"/>
    <w:rsid w:val="00EF30BD"/>
    <w:rsid w:val="00EF3E73"/>
    <w:rsid w:val="00EF4F08"/>
    <w:rsid w:val="00EF5801"/>
    <w:rsid w:val="00EF63A9"/>
    <w:rsid w:val="00EF657C"/>
    <w:rsid w:val="00EF6DB2"/>
    <w:rsid w:val="00EF6F37"/>
    <w:rsid w:val="00F003BF"/>
    <w:rsid w:val="00F02DBA"/>
    <w:rsid w:val="00F0315C"/>
    <w:rsid w:val="00F0389C"/>
    <w:rsid w:val="00F04313"/>
    <w:rsid w:val="00F06086"/>
    <w:rsid w:val="00F0726F"/>
    <w:rsid w:val="00F07B12"/>
    <w:rsid w:val="00F07D69"/>
    <w:rsid w:val="00F1034D"/>
    <w:rsid w:val="00F1079F"/>
    <w:rsid w:val="00F117ED"/>
    <w:rsid w:val="00F11876"/>
    <w:rsid w:val="00F1193D"/>
    <w:rsid w:val="00F12A31"/>
    <w:rsid w:val="00F132B1"/>
    <w:rsid w:val="00F148C3"/>
    <w:rsid w:val="00F15A83"/>
    <w:rsid w:val="00F15D66"/>
    <w:rsid w:val="00F15DEB"/>
    <w:rsid w:val="00F17B0F"/>
    <w:rsid w:val="00F21D22"/>
    <w:rsid w:val="00F223DB"/>
    <w:rsid w:val="00F229E1"/>
    <w:rsid w:val="00F23AB2"/>
    <w:rsid w:val="00F24BC9"/>
    <w:rsid w:val="00F25A5C"/>
    <w:rsid w:val="00F260E2"/>
    <w:rsid w:val="00F27375"/>
    <w:rsid w:val="00F27CDB"/>
    <w:rsid w:val="00F30B77"/>
    <w:rsid w:val="00F31036"/>
    <w:rsid w:val="00F311E3"/>
    <w:rsid w:val="00F33F9D"/>
    <w:rsid w:val="00F34B11"/>
    <w:rsid w:val="00F35399"/>
    <w:rsid w:val="00F37298"/>
    <w:rsid w:val="00F373EB"/>
    <w:rsid w:val="00F37861"/>
    <w:rsid w:val="00F37BD3"/>
    <w:rsid w:val="00F4040B"/>
    <w:rsid w:val="00F420A1"/>
    <w:rsid w:val="00F42A23"/>
    <w:rsid w:val="00F4354F"/>
    <w:rsid w:val="00F43732"/>
    <w:rsid w:val="00F4397B"/>
    <w:rsid w:val="00F439B0"/>
    <w:rsid w:val="00F43E2A"/>
    <w:rsid w:val="00F45152"/>
    <w:rsid w:val="00F45668"/>
    <w:rsid w:val="00F45BAE"/>
    <w:rsid w:val="00F460E0"/>
    <w:rsid w:val="00F46E79"/>
    <w:rsid w:val="00F47254"/>
    <w:rsid w:val="00F47378"/>
    <w:rsid w:val="00F47678"/>
    <w:rsid w:val="00F50CDA"/>
    <w:rsid w:val="00F50D4E"/>
    <w:rsid w:val="00F50E87"/>
    <w:rsid w:val="00F52610"/>
    <w:rsid w:val="00F52876"/>
    <w:rsid w:val="00F52B6A"/>
    <w:rsid w:val="00F52CA0"/>
    <w:rsid w:val="00F52FA7"/>
    <w:rsid w:val="00F5316C"/>
    <w:rsid w:val="00F53389"/>
    <w:rsid w:val="00F542C1"/>
    <w:rsid w:val="00F5457A"/>
    <w:rsid w:val="00F547D0"/>
    <w:rsid w:val="00F557D6"/>
    <w:rsid w:val="00F558AF"/>
    <w:rsid w:val="00F558F7"/>
    <w:rsid w:val="00F559D8"/>
    <w:rsid w:val="00F55A60"/>
    <w:rsid w:val="00F56354"/>
    <w:rsid w:val="00F57267"/>
    <w:rsid w:val="00F57E43"/>
    <w:rsid w:val="00F610F8"/>
    <w:rsid w:val="00F61966"/>
    <w:rsid w:val="00F621E0"/>
    <w:rsid w:val="00F623EA"/>
    <w:rsid w:val="00F628A5"/>
    <w:rsid w:val="00F62992"/>
    <w:rsid w:val="00F63194"/>
    <w:rsid w:val="00F636F2"/>
    <w:rsid w:val="00F6382A"/>
    <w:rsid w:val="00F6395E"/>
    <w:rsid w:val="00F63B13"/>
    <w:rsid w:val="00F640AA"/>
    <w:rsid w:val="00F64BD2"/>
    <w:rsid w:val="00F64DCE"/>
    <w:rsid w:val="00F6516C"/>
    <w:rsid w:val="00F654ED"/>
    <w:rsid w:val="00F65F9E"/>
    <w:rsid w:val="00F6618C"/>
    <w:rsid w:val="00F66653"/>
    <w:rsid w:val="00F6725A"/>
    <w:rsid w:val="00F67A29"/>
    <w:rsid w:val="00F67DA6"/>
    <w:rsid w:val="00F702EB"/>
    <w:rsid w:val="00F70380"/>
    <w:rsid w:val="00F708ED"/>
    <w:rsid w:val="00F710D6"/>
    <w:rsid w:val="00F717E1"/>
    <w:rsid w:val="00F71D7D"/>
    <w:rsid w:val="00F71F41"/>
    <w:rsid w:val="00F72BDF"/>
    <w:rsid w:val="00F72EB3"/>
    <w:rsid w:val="00F73321"/>
    <w:rsid w:val="00F735A7"/>
    <w:rsid w:val="00F74441"/>
    <w:rsid w:val="00F745D9"/>
    <w:rsid w:val="00F75D17"/>
    <w:rsid w:val="00F76BB3"/>
    <w:rsid w:val="00F76D4E"/>
    <w:rsid w:val="00F772DA"/>
    <w:rsid w:val="00F7781E"/>
    <w:rsid w:val="00F81708"/>
    <w:rsid w:val="00F81F1D"/>
    <w:rsid w:val="00F82D68"/>
    <w:rsid w:val="00F8304F"/>
    <w:rsid w:val="00F847B5"/>
    <w:rsid w:val="00F85DFD"/>
    <w:rsid w:val="00F868BC"/>
    <w:rsid w:val="00F871F5"/>
    <w:rsid w:val="00F875DE"/>
    <w:rsid w:val="00F879B1"/>
    <w:rsid w:val="00F90D95"/>
    <w:rsid w:val="00F90F9D"/>
    <w:rsid w:val="00F91054"/>
    <w:rsid w:val="00F92653"/>
    <w:rsid w:val="00F92C69"/>
    <w:rsid w:val="00F9332E"/>
    <w:rsid w:val="00F94962"/>
    <w:rsid w:val="00F9521E"/>
    <w:rsid w:val="00F95E15"/>
    <w:rsid w:val="00F961DD"/>
    <w:rsid w:val="00F97015"/>
    <w:rsid w:val="00F9746E"/>
    <w:rsid w:val="00F974A9"/>
    <w:rsid w:val="00FA03B6"/>
    <w:rsid w:val="00FA1144"/>
    <w:rsid w:val="00FA1629"/>
    <w:rsid w:val="00FA226B"/>
    <w:rsid w:val="00FA2DC5"/>
    <w:rsid w:val="00FA33D9"/>
    <w:rsid w:val="00FA3486"/>
    <w:rsid w:val="00FA36DB"/>
    <w:rsid w:val="00FA429A"/>
    <w:rsid w:val="00FA4D82"/>
    <w:rsid w:val="00FA528E"/>
    <w:rsid w:val="00FA52E7"/>
    <w:rsid w:val="00FA5DD2"/>
    <w:rsid w:val="00FA63FC"/>
    <w:rsid w:val="00FA70D4"/>
    <w:rsid w:val="00FB092A"/>
    <w:rsid w:val="00FB0BC2"/>
    <w:rsid w:val="00FB2F90"/>
    <w:rsid w:val="00FB308E"/>
    <w:rsid w:val="00FB32D4"/>
    <w:rsid w:val="00FB3461"/>
    <w:rsid w:val="00FB48FD"/>
    <w:rsid w:val="00FB5CA3"/>
    <w:rsid w:val="00FC006A"/>
    <w:rsid w:val="00FC12B5"/>
    <w:rsid w:val="00FC1882"/>
    <w:rsid w:val="00FC1AD6"/>
    <w:rsid w:val="00FC1C2D"/>
    <w:rsid w:val="00FC27E6"/>
    <w:rsid w:val="00FC2803"/>
    <w:rsid w:val="00FC2B2D"/>
    <w:rsid w:val="00FC2CDB"/>
    <w:rsid w:val="00FC3263"/>
    <w:rsid w:val="00FC3633"/>
    <w:rsid w:val="00FC3A48"/>
    <w:rsid w:val="00FC49C1"/>
    <w:rsid w:val="00FC5058"/>
    <w:rsid w:val="00FC54B8"/>
    <w:rsid w:val="00FC735E"/>
    <w:rsid w:val="00FC7F42"/>
    <w:rsid w:val="00FD0883"/>
    <w:rsid w:val="00FD0CEF"/>
    <w:rsid w:val="00FD1263"/>
    <w:rsid w:val="00FD1EA4"/>
    <w:rsid w:val="00FD273B"/>
    <w:rsid w:val="00FD2B18"/>
    <w:rsid w:val="00FD34B2"/>
    <w:rsid w:val="00FD350C"/>
    <w:rsid w:val="00FD4A4B"/>
    <w:rsid w:val="00FD4B1F"/>
    <w:rsid w:val="00FD4ED0"/>
    <w:rsid w:val="00FD5D94"/>
    <w:rsid w:val="00FD65DE"/>
    <w:rsid w:val="00FD6DF2"/>
    <w:rsid w:val="00FE0D70"/>
    <w:rsid w:val="00FE1A06"/>
    <w:rsid w:val="00FE2E8D"/>
    <w:rsid w:val="00FE3738"/>
    <w:rsid w:val="00FE3ACE"/>
    <w:rsid w:val="00FE3DF9"/>
    <w:rsid w:val="00FE3FBC"/>
    <w:rsid w:val="00FE4F1F"/>
    <w:rsid w:val="00FE513E"/>
    <w:rsid w:val="00FE531F"/>
    <w:rsid w:val="00FE5F67"/>
    <w:rsid w:val="00FE65F9"/>
    <w:rsid w:val="00FE7764"/>
    <w:rsid w:val="00FF047B"/>
    <w:rsid w:val="00FF0F14"/>
    <w:rsid w:val="00FF177B"/>
    <w:rsid w:val="00FF249C"/>
    <w:rsid w:val="00FF2551"/>
    <w:rsid w:val="00FF2EA1"/>
    <w:rsid w:val="00FF35F6"/>
    <w:rsid w:val="00FF5C39"/>
    <w:rsid w:val="00FF5D67"/>
    <w:rsid w:val="00FF6321"/>
    <w:rsid w:val="00FF7622"/>
    <w:rsid w:val="0118668B"/>
    <w:rsid w:val="01202A68"/>
    <w:rsid w:val="013546C2"/>
    <w:rsid w:val="0135774A"/>
    <w:rsid w:val="013E2FDB"/>
    <w:rsid w:val="014B1572"/>
    <w:rsid w:val="01594F8E"/>
    <w:rsid w:val="0162388A"/>
    <w:rsid w:val="0164104B"/>
    <w:rsid w:val="01962396"/>
    <w:rsid w:val="01986A8A"/>
    <w:rsid w:val="01E22EEF"/>
    <w:rsid w:val="02094019"/>
    <w:rsid w:val="02180C4F"/>
    <w:rsid w:val="02323EE3"/>
    <w:rsid w:val="024876E8"/>
    <w:rsid w:val="024E4BFB"/>
    <w:rsid w:val="025A3D10"/>
    <w:rsid w:val="02E0504F"/>
    <w:rsid w:val="02E97045"/>
    <w:rsid w:val="02FB6E41"/>
    <w:rsid w:val="032C1F09"/>
    <w:rsid w:val="03422B2F"/>
    <w:rsid w:val="035A3286"/>
    <w:rsid w:val="039C14CE"/>
    <w:rsid w:val="039E364D"/>
    <w:rsid w:val="03DB4DEE"/>
    <w:rsid w:val="03E53FC5"/>
    <w:rsid w:val="03FB06D5"/>
    <w:rsid w:val="047707C7"/>
    <w:rsid w:val="047A1299"/>
    <w:rsid w:val="048B07CE"/>
    <w:rsid w:val="04B33CE6"/>
    <w:rsid w:val="04D12E16"/>
    <w:rsid w:val="04DE0149"/>
    <w:rsid w:val="04FD01C0"/>
    <w:rsid w:val="05095B77"/>
    <w:rsid w:val="051F4028"/>
    <w:rsid w:val="055E0BF4"/>
    <w:rsid w:val="05612529"/>
    <w:rsid w:val="0565770D"/>
    <w:rsid w:val="05A620A8"/>
    <w:rsid w:val="05C23407"/>
    <w:rsid w:val="05CB7AED"/>
    <w:rsid w:val="05ED5ADF"/>
    <w:rsid w:val="061E12BC"/>
    <w:rsid w:val="063D39AF"/>
    <w:rsid w:val="06A47871"/>
    <w:rsid w:val="06A50151"/>
    <w:rsid w:val="06AB3EFB"/>
    <w:rsid w:val="06AB62C8"/>
    <w:rsid w:val="06C73992"/>
    <w:rsid w:val="06E3065B"/>
    <w:rsid w:val="07064C42"/>
    <w:rsid w:val="073A04FC"/>
    <w:rsid w:val="0744562C"/>
    <w:rsid w:val="0772543B"/>
    <w:rsid w:val="077305E3"/>
    <w:rsid w:val="07794DA8"/>
    <w:rsid w:val="07872C09"/>
    <w:rsid w:val="079F4F94"/>
    <w:rsid w:val="07C55136"/>
    <w:rsid w:val="07CD0531"/>
    <w:rsid w:val="07CD6A87"/>
    <w:rsid w:val="07D1037A"/>
    <w:rsid w:val="07E000D7"/>
    <w:rsid w:val="07E4144E"/>
    <w:rsid w:val="089C3DAF"/>
    <w:rsid w:val="08BF50D9"/>
    <w:rsid w:val="08D11764"/>
    <w:rsid w:val="08F46B39"/>
    <w:rsid w:val="08FA0F77"/>
    <w:rsid w:val="096E10A3"/>
    <w:rsid w:val="09922992"/>
    <w:rsid w:val="0A2843CF"/>
    <w:rsid w:val="0A3A5F39"/>
    <w:rsid w:val="0A530C57"/>
    <w:rsid w:val="0AEA5174"/>
    <w:rsid w:val="0B242CDB"/>
    <w:rsid w:val="0B2B217D"/>
    <w:rsid w:val="0B2D534F"/>
    <w:rsid w:val="0B7E6BC4"/>
    <w:rsid w:val="0B8A6050"/>
    <w:rsid w:val="0B963E5B"/>
    <w:rsid w:val="0B9A3222"/>
    <w:rsid w:val="0BBF6BB4"/>
    <w:rsid w:val="0BF12592"/>
    <w:rsid w:val="0BFD6E37"/>
    <w:rsid w:val="0C345EBE"/>
    <w:rsid w:val="0C531FF7"/>
    <w:rsid w:val="0C556F6C"/>
    <w:rsid w:val="0C7809C1"/>
    <w:rsid w:val="0CA2715E"/>
    <w:rsid w:val="0CD122CF"/>
    <w:rsid w:val="0D7D2F98"/>
    <w:rsid w:val="0D9F562E"/>
    <w:rsid w:val="0DC47AD7"/>
    <w:rsid w:val="0E0B3EC4"/>
    <w:rsid w:val="0E11230D"/>
    <w:rsid w:val="0E2D4DCF"/>
    <w:rsid w:val="0E9D0974"/>
    <w:rsid w:val="0EA800E3"/>
    <w:rsid w:val="0EBB6CD6"/>
    <w:rsid w:val="0EC251D9"/>
    <w:rsid w:val="0ED111EF"/>
    <w:rsid w:val="0F1A3C82"/>
    <w:rsid w:val="0F3321D7"/>
    <w:rsid w:val="0F4A0140"/>
    <w:rsid w:val="0F9A617E"/>
    <w:rsid w:val="0FFF3EA0"/>
    <w:rsid w:val="108D44F3"/>
    <w:rsid w:val="10B60429"/>
    <w:rsid w:val="10D4508F"/>
    <w:rsid w:val="10DA16C3"/>
    <w:rsid w:val="10FF5858"/>
    <w:rsid w:val="113A1037"/>
    <w:rsid w:val="113D5343"/>
    <w:rsid w:val="11402131"/>
    <w:rsid w:val="11802E11"/>
    <w:rsid w:val="11E627C6"/>
    <w:rsid w:val="11F77F16"/>
    <w:rsid w:val="11FC7DD0"/>
    <w:rsid w:val="12144A4C"/>
    <w:rsid w:val="121E59E9"/>
    <w:rsid w:val="12274323"/>
    <w:rsid w:val="12737FD2"/>
    <w:rsid w:val="12792853"/>
    <w:rsid w:val="128E38FC"/>
    <w:rsid w:val="12977C5B"/>
    <w:rsid w:val="13170947"/>
    <w:rsid w:val="131979D7"/>
    <w:rsid w:val="133B281E"/>
    <w:rsid w:val="13753309"/>
    <w:rsid w:val="13C3253D"/>
    <w:rsid w:val="13D11213"/>
    <w:rsid w:val="13F638FD"/>
    <w:rsid w:val="14827852"/>
    <w:rsid w:val="14C77127"/>
    <w:rsid w:val="14C96AB4"/>
    <w:rsid w:val="1502207E"/>
    <w:rsid w:val="1517452C"/>
    <w:rsid w:val="153D308F"/>
    <w:rsid w:val="156C4FA6"/>
    <w:rsid w:val="15703588"/>
    <w:rsid w:val="157E0ECE"/>
    <w:rsid w:val="158647F4"/>
    <w:rsid w:val="15CC1BB7"/>
    <w:rsid w:val="15D96070"/>
    <w:rsid w:val="15F202E1"/>
    <w:rsid w:val="160216D0"/>
    <w:rsid w:val="1641787C"/>
    <w:rsid w:val="1649653A"/>
    <w:rsid w:val="166C3EE1"/>
    <w:rsid w:val="16860739"/>
    <w:rsid w:val="16AB203A"/>
    <w:rsid w:val="16E96F15"/>
    <w:rsid w:val="1705389A"/>
    <w:rsid w:val="173931F9"/>
    <w:rsid w:val="173A2937"/>
    <w:rsid w:val="174940E7"/>
    <w:rsid w:val="175A5A29"/>
    <w:rsid w:val="17656506"/>
    <w:rsid w:val="178D354C"/>
    <w:rsid w:val="17A66650"/>
    <w:rsid w:val="17E41028"/>
    <w:rsid w:val="17EA48C1"/>
    <w:rsid w:val="183E69BC"/>
    <w:rsid w:val="18701E4F"/>
    <w:rsid w:val="187B3DDE"/>
    <w:rsid w:val="1881346C"/>
    <w:rsid w:val="188F2709"/>
    <w:rsid w:val="189265D1"/>
    <w:rsid w:val="18A0023E"/>
    <w:rsid w:val="18A349BF"/>
    <w:rsid w:val="18B92AD3"/>
    <w:rsid w:val="18BE701B"/>
    <w:rsid w:val="18DE5562"/>
    <w:rsid w:val="18F94A09"/>
    <w:rsid w:val="19885908"/>
    <w:rsid w:val="19935E0F"/>
    <w:rsid w:val="19942E31"/>
    <w:rsid w:val="19D67B1E"/>
    <w:rsid w:val="1AC55489"/>
    <w:rsid w:val="1ADD7830"/>
    <w:rsid w:val="1B016E5B"/>
    <w:rsid w:val="1B256357"/>
    <w:rsid w:val="1B2C3AB0"/>
    <w:rsid w:val="1B4725E1"/>
    <w:rsid w:val="1B5E62E3"/>
    <w:rsid w:val="1B744924"/>
    <w:rsid w:val="1B876503"/>
    <w:rsid w:val="1B8A18C6"/>
    <w:rsid w:val="1BA54A8B"/>
    <w:rsid w:val="1BE31B4D"/>
    <w:rsid w:val="1C025315"/>
    <w:rsid w:val="1C4C471F"/>
    <w:rsid w:val="1C560620"/>
    <w:rsid w:val="1C620459"/>
    <w:rsid w:val="1C7366B7"/>
    <w:rsid w:val="1C9B1BC8"/>
    <w:rsid w:val="1CA72AA1"/>
    <w:rsid w:val="1CBC0110"/>
    <w:rsid w:val="1CBC1D09"/>
    <w:rsid w:val="1D130F0E"/>
    <w:rsid w:val="1D194B3E"/>
    <w:rsid w:val="1D2B3DD1"/>
    <w:rsid w:val="1D6B1484"/>
    <w:rsid w:val="1D7E4261"/>
    <w:rsid w:val="1DBA42CB"/>
    <w:rsid w:val="1DC00253"/>
    <w:rsid w:val="1E8E78CB"/>
    <w:rsid w:val="1EBD2DF7"/>
    <w:rsid w:val="1EF73F6B"/>
    <w:rsid w:val="1F1C0E6C"/>
    <w:rsid w:val="1F4D283F"/>
    <w:rsid w:val="1F520EA6"/>
    <w:rsid w:val="1F68071B"/>
    <w:rsid w:val="1F895A0A"/>
    <w:rsid w:val="203C5CAF"/>
    <w:rsid w:val="20990487"/>
    <w:rsid w:val="209B7CBB"/>
    <w:rsid w:val="209E5422"/>
    <w:rsid w:val="21163F6A"/>
    <w:rsid w:val="213D1A28"/>
    <w:rsid w:val="214F6293"/>
    <w:rsid w:val="21917BAD"/>
    <w:rsid w:val="21D05464"/>
    <w:rsid w:val="21F76D20"/>
    <w:rsid w:val="22385B62"/>
    <w:rsid w:val="226A6584"/>
    <w:rsid w:val="227D483A"/>
    <w:rsid w:val="229628CB"/>
    <w:rsid w:val="229C7278"/>
    <w:rsid w:val="232B3A85"/>
    <w:rsid w:val="236554EA"/>
    <w:rsid w:val="23BB3852"/>
    <w:rsid w:val="23E62F23"/>
    <w:rsid w:val="23E67023"/>
    <w:rsid w:val="240B4467"/>
    <w:rsid w:val="242F6B78"/>
    <w:rsid w:val="24463E25"/>
    <w:rsid w:val="245C6B98"/>
    <w:rsid w:val="248E3519"/>
    <w:rsid w:val="24C01992"/>
    <w:rsid w:val="24C27484"/>
    <w:rsid w:val="24CB252C"/>
    <w:rsid w:val="24D455A6"/>
    <w:rsid w:val="250C2861"/>
    <w:rsid w:val="251531C2"/>
    <w:rsid w:val="25D9208B"/>
    <w:rsid w:val="25F00525"/>
    <w:rsid w:val="260236E8"/>
    <w:rsid w:val="26151691"/>
    <w:rsid w:val="261F0915"/>
    <w:rsid w:val="262C612C"/>
    <w:rsid w:val="2636365C"/>
    <w:rsid w:val="26485DDA"/>
    <w:rsid w:val="26C16EE4"/>
    <w:rsid w:val="26C4232B"/>
    <w:rsid w:val="26D24959"/>
    <w:rsid w:val="26FF3301"/>
    <w:rsid w:val="27084092"/>
    <w:rsid w:val="27126946"/>
    <w:rsid w:val="2713017F"/>
    <w:rsid w:val="271734C0"/>
    <w:rsid w:val="272125D8"/>
    <w:rsid w:val="272B2C33"/>
    <w:rsid w:val="27505101"/>
    <w:rsid w:val="27820BC2"/>
    <w:rsid w:val="27893664"/>
    <w:rsid w:val="278E1A78"/>
    <w:rsid w:val="27B30233"/>
    <w:rsid w:val="27F048EA"/>
    <w:rsid w:val="28165599"/>
    <w:rsid w:val="282A104F"/>
    <w:rsid w:val="2830506B"/>
    <w:rsid w:val="283C7518"/>
    <w:rsid w:val="289F28B3"/>
    <w:rsid w:val="28CE1560"/>
    <w:rsid w:val="28F22C3A"/>
    <w:rsid w:val="291A6927"/>
    <w:rsid w:val="294F729A"/>
    <w:rsid w:val="29AC3D11"/>
    <w:rsid w:val="29BC3A9C"/>
    <w:rsid w:val="29C320D0"/>
    <w:rsid w:val="29C857B8"/>
    <w:rsid w:val="2A0132C5"/>
    <w:rsid w:val="2A027543"/>
    <w:rsid w:val="2A092AB2"/>
    <w:rsid w:val="2A674247"/>
    <w:rsid w:val="2A68533D"/>
    <w:rsid w:val="2A73762E"/>
    <w:rsid w:val="2A7E2845"/>
    <w:rsid w:val="2A98201C"/>
    <w:rsid w:val="2A991300"/>
    <w:rsid w:val="2AD65FF2"/>
    <w:rsid w:val="2AE64A3A"/>
    <w:rsid w:val="2AFC22F2"/>
    <w:rsid w:val="2B614843"/>
    <w:rsid w:val="2B6949ED"/>
    <w:rsid w:val="2B957A74"/>
    <w:rsid w:val="2B991A2E"/>
    <w:rsid w:val="2BB330B5"/>
    <w:rsid w:val="2BCD6D60"/>
    <w:rsid w:val="2BD8047D"/>
    <w:rsid w:val="2C1C5785"/>
    <w:rsid w:val="2C37731C"/>
    <w:rsid w:val="2C4C3FEA"/>
    <w:rsid w:val="2C502C7D"/>
    <w:rsid w:val="2C580CE5"/>
    <w:rsid w:val="2C6A0080"/>
    <w:rsid w:val="2C6E022A"/>
    <w:rsid w:val="2C982A9C"/>
    <w:rsid w:val="2CA3146B"/>
    <w:rsid w:val="2CEC10E5"/>
    <w:rsid w:val="2CED4AC4"/>
    <w:rsid w:val="2CF162E8"/>
    <w:rsid w:val="2D0A64C3"/>
    <w:rsid w:val="2D87411D"/>
    <w:rsid w:val="2D9D1A03"/>
    <w:rsid w:val="2DF94778"/>
    <w:rsid w:val="2E0B420B"/>
    <w:rsid w:val="2E250BA1"/>
    <w:rsid w:val="2E2547BF"/>
    <w:rsid w:val="2E34285D"/>
    <w:rsid w:val="2E627409"/>
    <w:rsid w:val="2EEA75E2"/>
    <w:rsid w:val="2F1E5674"/>
    <w:rsid w:val="2F37683A"/>
    <w:rsid w:val="30062276"/>
    <w:rsid w:val="301C67E3"/>
    <w:rsid w:val="31227DC2"/>
    <w:rsid w:val="31440443"/>
    <w:rsid w:val="31572FB9"/>
    <w:rsid w:val="31C01D69"/>
    <w:rsid w:val="31EE26C8"/>
    <w:rsid w:val="31F819E3"/>
    <w:rsid w:val="31FB698F"/>
    <w:rsid w:val="31FC7270"/>
    <w:rsid w:val="323A3E3E"/>
    <w:rsid w:val="3245483B"/>
    <w:rsid w:val="32C7765E"/>
    <w:rsid w:val="32CA2532"/>
    <w:rsid w:val="32D11F71"/>
    <w:rsid w:val="32D9029E"/>
    <w:rsid w:val="32E51725"/>
    <w:rsid w:val="335F21B9"/>
    <w:rsid w:val="336379DF"/>
    <w:rsid w:val="337067E5"/>
    <w:rsid w:val="33CF3597"/>
    <w:rsid w:val="33EB3CEE"/>
    <w:rsid w:val="34357F34"/>
    <w:rsid w:val="347046D6"/>
    <w:rsid w:val="347D05BD"/>
    <w:rsid w:val="34AB4DE7"/>
    <w:rsid w:val="34B0337D"/>
    <w:rsid w:val="34B373AA"/>
    <w:rsid w:val="34BD2F98"/>
    <w:rsid w:val="34C9605D"/>
    <w:rsid w:val="34E76882"/>
    <w:rsid w:val="350D6E4B"/>
    <w:rsid w:val="350F5F0C"/>
    <w:rsid w:val="35431F27"/>
    <w:rsid w:val="35FD4B22"/>
    <w:rsid w:val="3607373D"/>
    <w:rsid w:val="3627678C"/>
    <w:rsid w:val="36746E1E"/>
    <w:rsid w:val="36896C72"/>
    <w:rsid w:val="36914F3A"/>
    <w:rsid w:val="36B10648"/>
    <w:rsid w:val="36BC4AEB"/>
    <w:rsid w:val="36F529A6"/>
    <w:rsid w:val="373C6ED6"/>
    <w:rsid w:val="37434AEF"/>
    <w:rsid w:val="374C7A54"/>
    <w:rsid w:val="376161AC"/>
    <w:rsid w:val="37940A79"/>
    <w:rsid w:val="37AE2B10"/>
    <w:rsid w:val="37F073E0"/>
    <w:rsid w:val="38431C78"/>
    <w:rsid w:val="387029DF"/>
    <w:rsid w:val="387E353F"/>
    <w:rsid w:val="38F72B94"/>
    <w:rsid w:val="39517ED7"/>
    <w:rsid w:val="39534FCF"/>
    <w:rsid w:val="396D39E9"/>
    <w:rsid w:val="398B28D1"/>
    <w:rsid w:val="39CD3792"/>
    <w:rsid w:val="39D76AC2"/>
    <w:rsid w:val="3A3E4ECA"/>
    <w:rsid w:val="3A513525"/>
    <w:rsid w:val="3A6F3491"/>
    <w:rsid w:val="3A985175"/>
    <w:rsid w:val="3AB73588"/>
    <w:rsid w:val="3ABF338F"/>
    <w:rsid w:val="3AC96918"/>
    <w:rsid w:val="3ACD09A4"/>
    <w:rsid w:val="3AE414BC"/>
    <w:rsid w:val="3AF42E20"/>
    <w:rsid w:val="3B11419E"/>
    <w:rsid w:val="3B222B91"/>
    <w:rsid w:val="3B404BA3"/>
    <w:rsid w:val="3B8E0C0C"/>
    <w:rsid w:val="3BD40429"/>
    <w:rsid w:val="3C287BC5"/>
    <w:rsid w:val="3C512B18"/>
    <w:rsid w:val="3C825553"/>
    <w:rsid w:val="3C944844"/>
    <w:rsid w:val="3CBE27F6"/>
    <w:rsid w:val="3CDF2357"/>
    <w:rsid w:val="3D3A4C69"/>
    <w:rsid w:val="3D5D2570"/>
    <w:rsid w:val="3DC02AD4"/>
    <w:rsid w:val="3E4F523F"/>
    <w:rsid w:val="3EC22F0B"/>
    <w:rsid w:val="3EEB31F8"/>
    <w:rsid w:val="3EEE3672"/>
    <w:rsid w:val="3EFC0D98"/>
    <w:rsid w:val="3F004D6D"/>
    <w:rsid w:val="3F2175D6"/>
    <w:rsid w:val="3F4B667D"/>
    <w:rsid w:val="3F644550"/>
    <w:rsid w:val="3F670C29"/>
    <w:rsid w:val="3F910CA4"/>
    <w:rsid w:val="3FA32A44"/>
    <w:rsid w:val="3FEE1B04"/>
    <w:rsid w:val="3FF141FF"/>
    <w:rsid w:val="400F6050"/>
    <w:rsid w:val="40132A87"/>
    <w:rsid w:val="401B42B1"/>
    <w:rsid w:val="401D42A1"/>
    <w:rsid w:val="403861BE"/>
    <w:rsid w:val="40565757"/>
    <w:rsid w:val="4086483C"/>
    <w:rsid w:val="4089680D"/>
    <w:rsid w:val="40DD7C7A"/>
    <w:rsid w:val="40F232C5"/>
    <w:rsid w:val="415621B6"/>
    <w:rsid w:val="41650F9C"/>
    <w:rsid w:val="4196532A"/>
    <w:rsid w:val="41A056DA"/>
    <w:rsid w:val="42004864"/>
    <w:rsid w:val="424A5077"/>
    <w:rsid w:val="426C0506"/>
    <w:rsid w:val="42C81D3A"/>
    <w:rsid w:val="42C821DA"/>
    <w:rsid w:val="43232629"/>
    <w:rsid w:val="43657ED3"/>
    <w:rsid w:val="43863141"/>
    <w:rsid w:val="43B73360"/>
    <w:rsid w:val="43D12CBB"/>
    <w:rsid w:val="43D369D4"/>
    <w:rsid w:val="444066D4"/>
    <w:rsid w:val="445115D2"/>
    <w:rsid w:val="44526384"/>
    <w:rsid w:val="447173A4"/>
    <w:rsid w:val="44836E6A"/>
    <w:rsid w:val="44B624A9"/>
    <w:rsid w:val="44FF0C3E"/>
    <w:rsid w:val="45156D9D"/>
    <w:rsid w:val="453A4E35"/>
    <w:rsid w:val="456E2077"/>
    <w:rsid w:val="45837DB9"/>
    <w:rsid w:val="458B3F14"/>
    <w:rsid w:val="45B705F7"/>
    <w:rsid w:val="45CA2A05"/>
    <w:rsid w:val="45D17A1D"/>
    <w:rsid w:val="46064ACA"/>
    <w:rsid w:val="46087E88"/>
    <w:rsid w:val="46346DD6"/>
    <w:rsid w:val="46372397"/>
    <w:rsid w:val="46536F4D"/>
    <w:rsid w:val="4693464D"/>
    <w:rsid w:val="46A5249C"/>
    <w:rsid w:val="473B0685"/>
    <w:rsid w:val="47411156"/>
    <w:rsid w:val="476D45C2"/>
    <w:rsid w:val="47733101"/>
    <w:rsid w:val="477D30ED"/>
    <w:rsid w:val="478F1D61"/>
    <w:rsid w:val="47AF75A2"/>
    <w:rsid w:val="47B343B5"/>
    <w:rsid w:val="480C5B3E"/>
    <w:rsid w:val="484C656D"/>
    <w:rsid w:val="48DC2D29"/>
    <w:rsid w:val="49133A09"/>
    <w:rsid w:val="492F1990"/>
    <w:rsid w:val="49376FD1"/>
    <w:rsid w:val="497273C6"/>
    <w:rsid w:val="49C30D39"/>
    <w:rsid w:val="4A331549"/>
    <w:rsid w:val="4A343C99"/>
    <w:rsid w:val="4A621E0C"/>
    <w:rsid w:val="4A642589"/>
    <w:rsid w:val="4A7B13BA"/>
    <w:rsid w:val="4A8E221A"/>
    <w:rsid w:val="4A921834"/>
    <w:rsid w:val="4ACA5CAA"/>
    <w:rsid w:val="4B7A2325"/>
    <w:rsid w:val="4BD03F9A"/>
    <w:rsid w:val="4BD741C5"/>
    <w:rsid w:val="4BF8613E"/>
    <w:rsid w:val="4C051C9C"/>
    <w:rsid w:val="4C0650FC"/>
    <w:rsid w:val="4C2F48E8"/>
    <w:rsid w:val="4C6548AF"/>
    <w:rsid w:val="4CCA390C"/>
    <w:rsid w:val="4D0B6B9A"/>
    <w:rsid w:val="4D465B41"/>
    <w:rsid w:val="4D4A0B67"/>
    <w:rsid w:val="4DB92B07"/>
    <w:rsid w:val="4E044168"/>
    <w:rsid w:val="4E3465C6"/>
    <w:rsid w:val="4E563093"/>
    <w:rsid w:val="4E7D56CB"/>
    <w:rsid w:val="4EA973E8"/>
    <w:rsid w:val="4EAC070E"/>
    <w:rsid w:val="4EE028BD"/>
    <w:rsid w:val="4EFF0E96"/>
    <w:rsid w:val="4F0A765C"/>
    <w:rsid w:val="4F837F80"/>
    <w:rsid w:val="4FD46634"/>
    <w:rsid w:val="4FE56D34"/>
    <w:rsid w:val="50092009"/>
    <w:rsid w:val="500C03AD"/>
    <w:rsid w:val="501B3F38"/>
    <w:rsid w:val="508F2BFA"/>
    <w:rsid w:val="509C4042"/>
    <w:rsid w:val="50AE5B33"/>
    <w:rsid w:val="50B87237"/>
    <w:rsid w:val="50C529B2"/>
    <w:rsid w:val="50CF35DA"/>
    <w:rsid w:val="51185ECD"/>
    <w:rsid w:val="51193A29"/>
    <w:rsid w:val="511E40BF"/>
    <w:rsid w:val="51427A0F"/>
    <w:rsid w:val="514D16F8"/>
    <w:rsid w:val="516F2DB9"/>
    <w:rsid w:val="51AE5717"/>
    <w:rsid w:val="51BC2454"/>
    <w:rsid w:val="52124463"/>
    <w:rsid w:val="5224261C"/>
    <w:rsid w:val="52627DAB"/>
    <w:rsid w:val="52B85836"/>
    <w:rsid w:val="53227DDD"/>
    <w:rsid w:val="53287732"/>
    <w:rsid w:val="532B1F55"/>
    <w:rsid w:val="532C0CC6"/>
    <w:rsid w:val="5338000B"/>
    <w:rsid w:val="53460169"/>
    <w:rsid w:val="53492482"/>
    <w:rsid w:val="536F6135"/>
    <w:rsid w:val="537A6DDA"/>
    <w:rsid w:val="538602A2"/>
    <w:rsid w:val="53AF4785"/>
    <w:rsid w:val="53D64992"/>
    <w:rsid w:val="53D9491C"/>
    <w:rsid w:val="540E33C8"/>
    <w:rsid w:val="541C3E7D"/>
    <w:rsid w:val="542D463E"/>
    <w:rsid w:val="545D2B0A"/>
    <w:rsid w:val="547406A5"/>
    <w:rsid w:val="548051B1"/>
    <w:rsid w:val="549C5E13"/>
    <w:rsid w:val="54A4710A"/>
    <w:rsid w:val="54CA0AEC"/>
    <w:rsid w:val="55512FE3"/>
    <w:rsid w:val="55660B92"/>
    <w:rsid w:val="55AB5E2E"/>
    <w:rsid w:val="561C05CB"/>
    <w:rsid w:val="56247D29"/>
    <w:rsid w:val="56272C6B"/>
    <w:rsid w:val="56276645"/>
    <w:rsid w:val="56366C36"/>
    <w:rsid w:val="566E7757"/>
    <w:rsid w:val="56B04601"/>
    <w:rsid w:val="56B2378D"/>
    <w:rsid w:val="570E1B7D"/>
    <w:rsid w:val="573C6112"/>
    <w:rsid w:val="574949AA"/>
    <w:rsid w:val="575759DA"/>
    <w:rsid w:val="578F66E2"/>
    <w:rsid w:val="57BE1EF8"/>
    <w:rsid w:val="57E93BB8"/>
    <w:rsid w:val="580501AF"/>
    <w:rsid w:val="582B4AF2"/>
    <w:rsid w:val="58581DF1"/>
    <w:rsid w:val="587363AB"/>
    <w:rsid w:val="587D13BE"/>
    <w:rsid w:val="588961CE"/>
    <w:rsid w:val="589658F5"/>
    <w:rsid w:val="5900275D"/>
    <w:rsid w:val="591612EA"/>
    <w:rsid w:val="591C7023"/>
    <w:rsid w:val="594F2A8B"/>
    <w:rsid w:val="595F280A"/>
    <w:rsid w:val="59692C51"/>
    <w:rsid w:val="59DD2FE2"/>
    <w:rsid w:val="5A0534C4"/>
    <w:rsid w:val="5A0F6842"/>
    <w:rsid w:val="5A29795E"/>
    <w:rsid w:val="5A2A4633"/>
    <w:rsid w:val="5A7D1893"/>
    <w:rsid w:val="5AB43F89"/>
    <w:rsid w:val="5AD9194A"/>
    <w:rsid w:val="5AF35146"/>
    <w:rsid w:val="5AF65560"/>
    <w:rsid w:val="5B4E5095"/>
    <w:rsid w:val="5B8D78C2"/>
    <w:rsid w:val="5BAD398F"/>
    <w:rsid w:val="5BAE468B"/>
    <w:rsid w:val="5BB503B7"/>
    <w:rsid w:val="5BBB7978"/>
    <w:rsid w:val="5BC273C6"/>
    <w:rsid w:val="5C2A0094"/>
    <w:rsid w:val="5C5E5FF3"/>
    <w:rsid w:val="5C99094F"/>
    <w:rsid w:val="5CBA1D36"/>
    <w:rsid w:val="5CD478FD"/>
    <w:rsid w:val="5D261D3E"/>
    <w:rsid w:val="5D431218"/>
    <w:rsid w:val="5D4361AE"/>
    <w:rsid w:val="5D4A08C1"/>
    <w:rsid w:val="5D5C6839"/>
    <w:rsid w:val="5D7B111F"/>
    <w:rsid w:val="5D84663F"/>
    <w:rsid w:val="5DB8520C"/>
    <w:rsid w:val="5DF9782C"/>
    <w:rsid w:val="5E1D0CD6"/>
    <w:rsid w:val="5E520791"/>
    <w:rsid w:val="5E535EE5"/>
    <w:rsid w:val="5E7B2122"/>
    <w:rsid w:val="5E955889"/>
    <w:rsid w:val="5EA02EEC"/>
    <w:rsid w:val="5EC6593C"/>
    <w:rsid w:val="5F001174"/>
    <w:rsid w:val="5F1B0131"/>
    <w:rsid w:val="5F260275"/>
    <w:rsid w:val="5F57111D"/>
    <w:rsid w:val="5F6829C1"/>
    <w:rsid w:val="5F924CF6"/>
    <w:rsid w:val="5FAA1071"/>
    <w:rsid w:val="5FBD1614"/>
    <w:rsid w:val="5FC54B0F"/>
    <w:rsid w:val="5FF655F4"/>
    <w:rsid w:val="601F1DC2"/>
    <w:rsid w:val="603551EA"/>
    <w:rsid w:val="60626EEF"/>
    <w:rsid w:val="60A022FB"/>
    <w:rsid w:val="6105188D"/>
    <w:rsid w:val="61190549"/>
    <w:rsid w:val="61190CBA"/>
    <w:rsid w:val="612558FD"/>
    <w:rsid w:val="61533A4A"/>
    <w:rsid w:val="6181669C"/>
    <w:rsid w:val="619009B0"/>
    <w:rsid w:val="61BB25E6"/>
    <w:rsid w:val="61DF2C4E"/>
    <w:rsid w:val="621F4EBE"/>
    <w:rsid w:val="62251304"/>
    <w:rsid w:val="62425977"/>
    <w:rsid w:val="625D353D"/>
    <w:rsid w:val="62617F52"/>
    <w:rsid w:val="627A3638"/>
    <w:rsid w:val="62B24FD0"/>
    <w:rsid w:val="62B36814"/>
    <w:rsid w:val="62D529B7"/>
    <w:rsid w:val="630B67BC"/>
    <w:rsid w:val="632E30CE"/>
    <w:rsid w:val="632F0616"/>
    <w:rsid w:val="63767625"/>
    <w:rsid w:val="63A40C8C"/>
    <w:rsid w:val="63A57962"/>
    <w:rsid w:val="63D50725"/>
    <w:rsid w:val="63DA5716"/>
    <w:rsid w:val="63E35EC0"/>
    <w:rsid w:val="63E45C9B"/>
    <w:rsid w:val="63FD5C20"/>
    <w:rsid w:val="645D0A4F"/>
    <w:rsid w:val="645D1B6C"/>
    <w:rsid w:val="64833B62"/>
    <w:rsid w:val="64A70A2F"/>
    <w:rsid w:val="64AA535B"/>
    <w:rsid w:val="64BA6126"/>
    <w:rsid w:val="650E3DCC"/>
    <w:rsid w:val="652E734E"/>
    <w:rsid w:val="654939E3"/>
    <w:rsid w:val="65502038"/>
    <w:rsid w:val="65632BDF"/>
    <w:rsid w:val="6572002E"/>
    <w:rsid w:val="65724C80"/>
    <w:rsid w:val="65A82464"/>
    <w:rsid w:val="65CC201A"/>
    <w:rsid w:val="65D01B96"/>
    <w:rsid w:val="65D501D1"/>
    <w:rsid w:val="66232D52"/>
    <w:rsid w:val="6673419F"/>
    <w:rsid w:val="66D53C77"/>
    <w:rsid w:val="66EF02BB"/>
    <w:rsid w:val="66FF254C"/>
    <w:rsid w:val="670648FC"/>
    <w:rsid w:val="6792042E"/>
    <w:rsid w:val="67D3680C"/>
    <w:rsid w:val="67EB6046"/>
    <w:rsid w:val="682C6F01"/>
    <w:rsid w:val="684F7B59"/>
    <w:rsid w:val="68814B19"/>
    <w:rsid w:val="688D4417"/>
    <w:rsid w:val="68A77392"/>
    <w:rsid w:val="68CF1D29"/>
    <w:rsid w:val="68F54D97"/>
    <w:rsid w:val="691E277A"/>
    <w:rsid w:val="69210084"/>
    <w:rsid w:val="69243D5D"/>
    <w:rsid w:val="69332F86"/>
    <w:rsid w:val="693A4111"/>
    <w:rsid w:val="69490586"/>
    <w:rsid w:val="69C56C40"/>
    <w:rsid w:val="69E0646D"/>
    <w:rsid w:val="6A37523A"/>
    <w:rsid w:val="6A6A6FEF"/>
    <w:rsid w:val="6AAD2347"/>
    <w:rsid w:val="6AFD6A1C"/>
    <w:rsid w:val="6B1954A3"/>
    <w:rsid w:val="6B5F47B0"/>
    <w:rsid w:val="6B664DD3"/>
    <w:rsid w:val="6B7617F3"/>
    <w:rsid w:val="6BB20337"/>
    <w:rsid w:val="6BC66D19"/>
    <w:rsid w:val="6BD965E4"/>
    <w:rsid w:val="6C093EDE"/>
    <w:rsid w:val="6C1B7974"/>
    <w:rsid w:val="6C2610FD"/>
    <w:rsid w:val="6C7653A8"/>
    <w:rsid w:val="6CE24969"/>
    <w:rsid w:val="6CE36C76"/>
    <w:rsid w:val="6CF50CA9"/>
    <w:rsid w:val="6D3214C6"/>
    <w:rsid w:val="6D4E6FA3"/>
    <w:rsid w:val="6D532409"/>
    <w:rsid w:val="6DA06F00"/>
    <w:rsid w:val="6DFC00C1"/>
    <w:rsid w:val="6E2E04FD"/>
    <w:rsid w:val="6E392509"/>
    <w:rsid w:val="6E825190"/>
    <w:rsid w:val="6E9544FD"/>
    <w:rsid w:val="6EA02F2B"/>
    <w:rsid w:val="6EB4152F"/>
    <w:rsid w:val="6EB428FB"/>
    <w:rsid w:val="6ECD4657"/>
    <w:rsid w:val="6EFC09F4"/>
    <w:rsid w:val="6F074403"/>
    <w:rsid w:val="6F14165B"/>
    <w:rsid w:val="6F5613C4"/>
    <w:rsid w:val="6FA678F9"/>
    <w:rsid w:val="6FB4571F"/>
    <w:rsid w:val="6FEA51C5"/>
    <w:rsid w:val="6FF758AD"/>
    <w:rsid w:val="70BE1584"/>
    <w:rsid w:val="71217BD2"/>
    <w:rsid w:val="714E66D6"/>
    <w:rsid w:val="715F4A78"/>
    <w:rsid w:val="719C1094"/>
    <w:rsid w:val="719F468A"/>
    <w:rsid w:val="72601FB5"/>
    <w:rsid w:val="72795112"/>
    <w:rsid w:val="72950CCE"/>
    <w:rsid w:val="72B77BD7"/>
    <w:rsid w:val="72D211EF"/>
    <w:rsid w:val="72DB02EA"/>
    <w:rsid w:val="72DC7380"/>
    <w:rsid w:val="72DF0017"/>
    <w:rsid w:val="732F620B"/>
    <w:rsid w:val="7365256C"/>
    <w:rsid w:val="736C3840"/>
    <w:rsid w:val="73A904F5"/>
    <w:rsid w:val="73D9426C"/>
    <w:rsid w:val="73E2490F"/>
    <w:rsid w:val="73FC71AB"/>
    <w:rsid w:val="74383DB9"/>
    <w:rsid w:val="747F47A2"/>
    <w:rsid w:val="74A03277"/>
    <w:rsid w:val="74FE30DA"/>
    <w:rsid w:val="757035C8"/>
    <w:rsid w:val="75795CFA"/>
    <w:rsid w:val="759620BF"/>
    <w:rsid w:val="759D68D9"/>
    <w:rsid w:val="75CB444F"/>
    <w:rsid w:val="761B6471"/>
    <w:rsid w:val="76E874F8"/>
    <w:rsid w:val="76EA57D5"/>
    <w:rsid w:val="76F36F3F"/>
    <w:rsid w:val="77137D6A"/>
    <w:rsid w:val="774062D4"/>
    <w:rsid w:val="77842CAC"/>
    <w:rsid w:val="77863BCF"/>
    <w:rsid w:val="77A071CF"/>
    <w:rsid w:val="77C45DFF"/>
    <w:rsid w:val="77D42E52"/>
    <w:rsid w:val="782177E9"/>
    <w:rsid w:val="783B0996"/>
    <w:rsid w:val="78965467"/>
    <w:rsid w:val="78D422C7"/>
    <w:rsid w:val="78F95872"/>
    <w:rsid w:val="79072C58"/>
    <w:rsid w:val="790F6EB8"/>
    <w:rsid w:val="79325942"/>
    <w:rsid w:val="79D73173"/>
    <w:rsid w:val="79FD56A4"/>
    <w:rsid w:val="79FF03B2"/>
    <w:rsid w:val="7A710D4A"/>
    <w:rsid w:val="7A9D0F2F"/>
    <w:rsid w:val="7AB46E49"/>
    <w:rsid w:val="7AE4454E"/>
    <w:rsid w:val="7AE846F5"/>
    <w:rsid w:val="7B2C7117"/>
    <w:rsid w:val="7B36584F"/>
    <w:rsid w:val="7B3F716E"/>
    <w:rsid w:val="7B4D0B73"/>
    <w:rsid w:val="7BAF3B5C"/>
    <w:rsid w:val="7BB02592"/>
    <w:rsid w:val="7BBF0393"/>
    <w:rsid w:val="7BBF4F67"/>
    <w:rsid w:val="7BC13896"/>
    <w:rsid w:val="7C1754AC"/>
    <w:rsid w:val="7C5C3B46"/>
    <w:rsid w:val="7CA837B2"/>
    <w:rsid w:val="7D2C717C"/>
    <w:rsid w:val="7D351A13"/>
    <w:rsid w:val="7D406A16"/>
    <w:rsid w:val="7D4574AA"/>
    <w:rsid w:val="7DA341CC"/>
    <w:rsid w:val="7DED533C"/>
    <w:rsid w:val="7E116F41"/>
    <w:rsid w:val="7E1D5F4C"/>
    <w:rsid w:val="7E602535"/>
    <w:rsid w:val="7E7243E3"/>
    <w:rsid w:val="7E85113A"/>
    <w:rsid w:val="7EA31112"/>
    <w:rsid w:val="7EDB3D59"/>
    <w:rsid w:val="7EE115FC"/>
    <w:rsid w:val="7F3928AF"/>
    <w:rsid w:val="7F534513"/>
    <w:rsid w:val="7F572FBC"/>
    <w:rsid w:val="7F8C4A96"/>
    <w:rsid w:val="7FA85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0"/>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299"/>
    <w:qFormat/>
    <w:uiPriority w:val="0"/>
    <w:pPr>
      <w:keepNext/>
      <w:keepLines/>
      <w:spacing w:before="260" w:after="260" w:line="416" w:lineRule="auto"/>
      <w:outlineLvl w:val="2"/>
    </w:pPr>
    <w:rPr>
      <w:b/>
      <w:bCs/>
      <w:sz w:val="32"/>
      <w:szCs w:val="32"/>
    </w:rPr>
  </w:style>
  <w:style w:type="paragraph" w:styleId="6">
    <w:name w:val="heading 4"/>
    <w:basedOn w:val="1"/>
    <w:next w:val="1"/>
    <w:link w:val="158"/>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7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228"/>
    <w:qFormat/>
    <w:uiPriority w:val="0"/>
    <w:pPr>
      <w:keepNext/>
      <w:keepLines/>
      <w:ind w:firstLine="200" w:firstLineChars="200"/>
      <w:outlineLvl w:val="5"/>
    </w:pPr>
    <w:rPr>
      <w:rFonts w:hAnsi="Arial"/>
    </w:rPr>
  </w:style>
  <w:style w:type="paragraph" w:styleId="10">
    <w:name w:val="heading 7"/>
    <w:basedOn w:val="1"/>
    <w:next w:val="1"/>
    <w:link w:val="283"/>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42"/>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241"/>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25"/>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62"/>
    <w:qFormat/>
    <w:uiPriority w:val="0"/>
    <w:pPr>
      <w:shd w:val="clear" w:color="auto" w:fill="000080"/>
    </w:pPr>
  </w:style>
  <w:style w:type="paragraph" w:styleId="16">
    <w:name w:val="annotation text"/>
    <w:basedOn w:val="1"/>
    <w:link w:val="305"/>
    <w:qFormat/>
    <w:uiPriority w:val="99"/>
    <w:pPr>
      <w:jc w:val="left"/>
    </w:pPr>
  </w:style>
  <w:style w:type="paragraph" w:styleId="17">
    <w:name w:val="Body Text 3"/>
    <w:basedOn w:val="1"/>
    <w:link w:val="257"/>
    <w:qFormat/>
    <w:uiPriority w:val="0"/>
    <w:pPr>
      <w:spacing w:after="120"/>
    </w:pPr>
    <w:rPr>
      <w:sz w:val="16"/>
      <w:szCs w:val="16"/>
    </w:rPr>
  </w:style>
  <w:style w:type="paragraph" w:styleId="18">
    <w:name w:val="Body Text Indent"/>
    <w:basedOn w:val="1"/>
    <w:link w:val="240"/>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202"/>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66"/>
    <w:qFormat/>
    <w:uiPriority w:val="0"/>
    <w:pPr>
      <w:ind w:left="100" w:leftChars="2500"/>
    </w:pPr>
  </w:style>
  <w:style w:type="paragraph" w:styleId="26">
    <w:name w:val="Body Text Indent 2"/>
    <w:basedOn w:val="1"/>
    <w:link w:val="237"/>
    <w:qFormat/>
    <w:uiPriority w:val="0"/>
    <w:pPr>
      <w:widowControl/>
      <w:spacing w:line="480" w:lineRule="auto"/>
      <w:ind w:firstLine="560"/>
      <w:jc w:val="left"/>
    </w:pPr>
    <w:rPr>
      <w:kern w:val="0"/>
      <w:sz w:val="28"/>
    </w:rPr>
  </w:style>
  <w:style w:type="paragraph" w:styleId="27">
    <w:name w:val="endnote text"/>
    <w:basedOn w:val="1"/>
    <w:link w:val="210"/>
    <w:qFormat/>
    <w:uiPriority w:val="0"/>
    <w:pPr>
      <w:widowControl/>
      <w:snapToGrid w:val="0"/>
      <w:jc w:val="left"/>
    </w:pPr>
    <w:rPr>
      <w:rFonts w:ascii="Arial" w:hAnsi="Arial" w:cs="Arial"/>
      <w:kern w:val="0"/>
      <w:sz w:val="20"/>
      <w:lang w:eastAsia="en-US"/>
    </w:rPr>
  </w:style>
  <w:style w:type="paragraph" w:styleId="28">
    <w:name w:val="Balloon Text"/>
    <w:basedOn w:val="1"/>
    <w:link w:val="205"/>
    <w:qFormat/>
    <w:uiPriority w:val="0"/>
    <w:rPr>
      <w:sz w:val="18"/>
      <w:szCs w:val="18"/>
    </w:rPr>
  </w:style>
  <w:style w:type="paragraph" w:styleId="29">
    <w:name w:val="footer"/>
    <w:basedOn w:val="1"/>
    <w:link w:val="197"/>
    <w:qFormat/>
    <w:uiPriority w:val="0"/>
    <w:pPr>
      <w:tabs>
        <w:tab w:val="center" w:pos="4153"/>
        <w:tab w:val="right" w:pos="8306"/>
      </w:tabs>
      <w:snapToGrid w:val="0"/>
      <w:jc w:val="left"/>
    </w:pPr>
    <w:rPr>
      <w:sz w:val="18"/>
      <w:szCs w:val="18"/>
    </w:rPr>
  </w:style>
  <w:style w:type="paragraph" w:styleId="30">
    <w:name w:val="header"/>
    <w:basedOn w:val="1"/>
    <w:link w:val="29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7"/>
    <w:qFormat/>
    <w:uiPriority w:val="0"/>
    <w:pPr>
      <w:widowControl/>
      <w:jc w:val="center"/>
    </w:pPr>
    <w:rPr>
      <w:kern w:val="0"/>
      <w:sz w:val="20"/>
      <w:u w:val="single"/>
      <w:lang w:eastAsia="en-US"/>
    </w:rPr>
  </w:style>
  <w:style w:type="paragraph" w:styleId="34">
    <w:name w:val="footnote text"/>
    <w:basedOn w:val="1"/>
    <w:link w:val="285"/>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44"/>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31"/>
    <w:qFormat/>
    <w:uiPriority w:val="0"/>
    <w:rPr>
      <w:i/>
      <w:iCs/>
      <w:sz w:val="26"/>
    </w:rPr>
  </w:style>
  <w:style w:type="paragraph" w:styleId="40">
    <w:name w:val="HTML Preformatted"/>
    <w:basedOn w:val="1"/>
    <w:link w:val="16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36"/>
    <w:qFormat/>
    <w:uiPriority w:val="0"/>
    <w:pPr>
      <w:widowControl/>
      <w:jc w:val="center"/>
    </w:pPr>
    <w:rPr>
      <w:kern w:val="0"/>
      <w:sz w:val="20"/>
      <w:u w:val="single"/>
      <w:lang w:eastAsia="en-US"/>
    </w:rPr>
  </w:style>
  <w:style w:type="paragraph" w:styleId="44">
    <w:name w:val="annotation subject"/>
    <w:basedOn w:val="16"/>
    <w:next w:val="16"/>
    <w:link w:val="280"/>
    <w:qFormat/>
    <w:uiPriority w:val="0"/>
    <w:rPr>
      <w:b/>
      <w:bCs/>
    </w:rPr>
  </w:style>
  <w:style w:type="table" w:styleId="46">
    <w:name w:val="Table Grid"/>
    <w:basedOn w:val="4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列表段落1"/>
    <w:basedOn w:val="1"/>
    <w:qFormat/>
    <w:uiPriority w:val="99"/>
    <w:pPr>
      <w:ind w:firstLine="420" w:firstLineChars="200"/>
    </w:pPr>
    <w:rPr>
      <w:sz w:val="28"/>
      <w:szCs w:val="28"/>
    </w:rPr>
  </w:style>
  <w:style w:type="paragraph" w:customStyle="1" w:styleId="57">
    <w:name w:val="_Style 5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8">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59">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61">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62">
    <w:name w:val="1 Char"/>
    <w:basedOn w:val="1"/>
    <w:qFormat/>
    <w:uiPriority w:val="0"/>
    <w:pPr>
      <w:widowControl/>
      <w:spacing w:after="160" w:line="240" w:lineRule="exact"/>
      <w:jc w:val="left"/>
    </w:pPr>
    <w:rPr>
      <w:rFonts w:ascii="Calibri" w:hAnsi="Calibri"/>
      <w:szCs w:val="20"/>
    </w:rPr>
  </w:style>
  <w:style w:type="paragraph" w:customStyle="1" w:styleId="63">
    <w:name w:val="列表段落111"/>
    <w:basedOn w:val="1"/>
    <w:qFormat/>
    <w:uiPriority w:val="99"/>
    <w:pPr>
      <w:ind w:firstLine="420" w:firstLineChars="200"/>
    </w:pPr>
    <w:rPr>
      <w:rFonts w:ascii="Calibri" w:hAnsi="Calibri"/>
    </w:rPr>
  </w:style>
  <w:style w:type="paragraph" w:customStyle="1" w:styleId="64">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5">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66">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7">
    <w:name w:val="TOC 标题2"/>
    <w:basedOn w:val="3"/>
    <w:next w:val="1"/>
    <w:unhideWhenUsed/>
    <w:qFormat/>
    <w:uiPriority w:val="0"/>
    <w:pPr>
      <w:outlineLvl w:val="9"/>
    </w:pPr>
    <w:rPr>
      <w:rFonts w:ascii="Calibri" w:hAnsi="Calibri"/>
    </w:rPr>
  </w:style>
  <w:style w:type="paragraph" w:customStyle="1" w:styleId="68">
    <w:name w:val="样式1"/>
    <w:basedOn w:val="1"/>
    <w:next w:val="6"/>
    <w:qFormat/>
    <w:uiPriority w:val="0"/>
    <w:pPr>
      <w:spacing w:line="360" w:lineRule="auto"/>
      <w:ind w:firstLine="420" w:firstLineChars="200"/>
    </w:pPr>
    <w:rPr>
      <w:rFonts w:ascii="宋体" w:hAnsi="宋体"/>
      <w:szCs w:val="21"/>
    </w:rPr>
  </w:style>
  <w:style w:type="paragraph" w:customStyle="1" w:styleId="69">
    <w:name w:val="列出段落1"/>
    <w:basedOn w:val="1"/>
    <w:qFormat/>
    <w:uiPriority w:val="0"/>
    <w:pPr>
      <w:ind w:firstLine="420" w:firstLineChars="200"/>
    </w:pPr>
    <w:rPr>
      <w:sz w:val="28"/>
      <w:szCs w:val="28"/>
    </w:rPr>
  </w:style>
  <w:style w:type="paragraph" w:customStyle="1" w:styleId="70">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1">
    <w:name w:val="pa-27"/>
    <w:basedOn w:val="1"/>
    <w:qFormat/>
    <w:uiPriority w:val="0"/>
    <w:pPr>
      <w:widowControl/>
      <w:spacing w:line="360" w:lineRule="atLeast"/>
      <w:ind w:firstLine="420"/>
    </w:pPr>
    <w:rPr>
      <w:rFonts w:ascii="宋体" w:hAnsi="宋体" w:cs="宋体"/>
      <w:kern w:val="0"/>
      <w:sz w:val="24"/>
    </w:rPr>
  </w:style>
  <w:style w:type="paragraph" w:customStyle="1" w:styleId="72">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73">
    <w:name w:val="_Style 72"/>
    <w:qFormat/>
    <w:uiPriority w:val="0"/>
    <w:rPr>
      <w:rFonts w:ascii="Times New Roman" w:hAnsi="Times New Roman" w:eastAsia="宋体" w:cs="Times New Roman"/>
      <w:kern w:val="2"/>
      <w:sz w:val="21"/>
      <w:szCs w:val="24"/>
      <w:lang w:val="en-US" w:eastAsia="zh-CN" w:bidi="ar-SA"/>
    </w:rPr>
  </w:style>
  <w:style w:type="paragraph" w:customStyle="1" w:styleId="74">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75">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76">
    <w:name w:val="Char Char Char Char"/>
    <w:basedOn w:val="15"/>
    <w:qFormat/>
    <w:uiPriority w:val="0"/>
    <w:pPr>
      <w:spacing w:line="360" w:lineRule="auto"/>
      <w:ind w:firstLine="200" w:firstLineChars="200"/>
    </w:pPr>
    <w:rPr>
      <w:rFonts w:ascii="Tahoma" w:hAnsi="Tahoma"/>
      <w:sz w:val="24"/>
    </w:rPr>
  </w:style>
  <w:style w:type="paragraph" w:customStyle="1" w:styleId="77">
    <w:name w:val="表格内容"/>
    <w:basedOn w:val="1"/>
    <w:qFormat/>
    <w:uiPriority w:val="0"/>
    <w:pPr>
      <w:suppressLineNumbers/>
      <w:suppressAutoHyphens/>
    </w:pPr>
  </w:style>
  <w:style w:type="paragraph" w:customStyle="1" w:styleId="78">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79">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80">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1">
    <w:name w:val="明显引用1"/>
    <w:basedOn w:val="1"/>
    <w:next w:val="1"/>
    <w:link w:val="275"/>
    <w:qFormat/>
    <w:uiPriority w:val="0"/>
    <w:pPr>
      <w:pBdr>
        <w:bottom w:val="single" w:color="4F81BD" w:sz="4" w:space="4"/>
      </w:pBdr>
      <w:spacing w:before="200" w:after="280"/>
      <w:ind w:left="936" w:right="936"/>
    </w:pPr>
    <w:rPr>
      <w:b/>
      <w:bCs/>
      <w:i/>
      <w:iCs/>
      <w:color w:val="4F81BD"/>
      <w:szCs w:val="22"/>
    </w:rPr>
  </w:style>
  <w:style w:type="paragraph" w:customStyle="1" w:styleId="82">
    <w:name w:val="表体"/>
    <w:basedOn w:val="1"/>
    <w:next w:val="1"/>
    <w:qFormat/>
    <w:uiPriority w:val="0"/>
    <w:pPr>
      <w:spacing w:line="0" w:lineRule="atLeast"/>
    </w:pPr>
    <w:rPr>
      <w:rFonts w:ascii="Calibri" w:hAnsi="Calibri"/>
      <w:b/>
      <w:snapToGrid w:val="0"/>
      <w:szCs w:val="20"/>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4">
    <w:name w:val="pa-34"/>
    <w:basedOn w:val="1"/>
    <w:qFormat/>
    <w:uiPriority w:val="0"/>
    <w:pPr>
      <w:widowControl/>
      <w:spacing w:line="360" w:lineRule="atLeast"/>
      <w:ind w:firstLine="420"/>
      <w:jc w:val="left"/>
    </w:pPr>
    <w:rPr>
      <w:rFonts w:ascii="宋体" w:hAnsi="宋体" w:cs="宋体"/>
      <w:kern w:val="0"/>
      <w:sz w:val="24"/>
    </w:rPr>
  </w:style>
  <w:style w:type="paragraph" w:customStyle="1" w:styleId="85">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86">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87">
    <w:name w:val="p16"/>
    <w:basedOn w:val="1"/>
    <w:qFormat/>
    <w:uiPriority w:val="0"/>
    <w:pPr>
      <w:widowControl/>
    </w:pPr>
    <w:rPr>
      <w:rFonts w:ascii="Calibri" w:hAnsi="Calibri" w:cs="宋体"/>
      <w:kern w:val="0"/>
      <w:szCs w:val="21"/>
    </w:rPr>
  </w:style>
  <w:style w:type="paragraph" w:customStyle="1" w:styleId="8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9">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9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1">
    <w:name w:val="标题4"/>
    <w:basedOn w:val="4"/>
    <w:next w:val="20"/>
    <w:link w:val="286"/>
    <w:qFormat/>
    <w:uiPriority w:val="0"/>
    <w:pPr>
      <w:spacing w:line="413" w:lineRule="auto"/>
    </w:pPr>
    <w:rPr>
      <w:rFonts w:ascii="Arial" w:hAnsi="Arial"/>
      <w:kern w:val="0"/>
      <w:sz w:val="24"/>
    </w:rPr>
  </w:style>
  <w:style w:type="paragraph" w:customStyle="1" w:styleId="92">
    <w:name w:val="Char Char"/>
    <w:basedOn w:val="1"/>
    <w:qFormat/>
    <w:uiPriority w:val="0"/>
    <w:pPr>
      <w:widowControl/>
      <w:jc w:val="left"/>
    </w:pPr>
    <w:rPr>
      <w:rFonts w:ascii="Verdana" w:hAnsi="Verdana" w:eastAsia="Times New Roman"/>
      <w:kern w:val="0"/>
      <w:sz w:val="16"/>
      <w:szCs w:val="20"/>
      <w:lang w:eastAsia="en-US"/>
    </w:rPr>
  </w:style>
  <w:style w:type="paragraph" w:customStyle="1" w:styleId="9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5">
    <w:name w:val="WW-表格内容"/>
    <w:basedOn w:val="1"/>
    <w:qFormat/>
    <w:uiPriority w:val="0"/>
    <w:pPr>
      <w:suppressLineNumbers/>
      <w:suppressAutoHyphens/>
    </w:pPr>
  </w:style>
  <w:style w:type="paragraph" w:customStyle="1" w:styleId="96">
    <w:name w:val="Char"/>
    <w:basedOn w:val="1"/>
    <w:qFormat/>
    <w:uiPriority w:val="0"/>
  </w:style>
  <w:style w:type="paragraph" w:customStyle="1" w:styleId="9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98">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99">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00">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01">
    <w:name w:val="Char9 Char Char Char Char Char Char"/>
    <w:basedOn w:val="15"/>
    <w:qFormat/>
    <w:uiPriority w:val="0"/>
    <w:pPr>
      <w:spacing w:line="360" w:lineRule="auto"/>
      <w:ind w:firstLine="200" w:firstLineChars="200"/>
    </w:pPr>
    <w:rPr>
      <w:rFonts w:ascii="Tahoma" w:hAnsi="Tahoma"/>
      <w:sz w:val="24"/>
    </w:rPr>
  </w:style>
  <w:style w:type="paragraph" w:customStyle="1" w:styleId="10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3">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04">
    <w:name w:val="p15"/>
    <w:basedOn w:val="1"/>
    <w:qFormat/>
    <w:uiPriority w:val="0"/>
    <w:pPr>
      <w:widowControl/>
      <w:spacing w:after="120"/>
    </w:pPr>
    <w:rPr>
      <w:kern w:val="0"/>
      <w:szCs w:val="21"/>
    </w:rPr>
  </w:style>
  <w:style w:type="paragraph" w:customStyle="1" w:styleId="105">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06">
    <w:name w:val="正  文"/>
    <w:basedOn w:val="1"/>
    <w:qFormat/>
    <w:uiPriority w:val="0"/>
    <w:pPr>
      <w:spacing w:line="360" w:lineRule="auto"/>
      <w:ind w:firstLine="200" w:firstLineChars="200"/>
    </w:pPr>
    <w:rPr>
      <w:rFonts w:ascii="宋体" w:hAnsi="Calibri"/>
      <w:sz w:val="24"/>
    </w:rPr>
  </w:style>
  <w:style w:type="paragraph" w:customStyle="1" w:styleId="107">
    <w:name w:val="列出段落11"/>
    <w:basedOn w:val="1"/>
    <w:qFormat/>
    <w:uiPriority w:val="0"/>
    <w:pPr>
      <w:ind w:firstLine="420" w:firstLineChars="200"/>
    </w:pPr>
    <w:rPr>
      <w:sz w:val="28"/>
      <w:szCs w:val="28"/>
    </w:rPr>
  </w:style>
  <w:style w:type="paragraph" w:customStyle="1" w:styleId="10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0">
    <w:name w:val="_Style 96"/>
    <w:semiHidden/>
    <w:qFormat/>
    <w:uiPriority w:val="99"/>
    <w:rPr>
      <w:rFonts w:ascii="Calibri" w:hAnsi="Calibri" w:eastAsia="宋体" w:cs="Times New Roman"/>
      <w:kern w:val="2"/>
      <w:sz w:val="21"/>
      <w:szCs w:val="24"/>
      <w:lang w:val="en-US" w:eastAsia="zh-CN" w:bidi="ar-SA"/>
    </w:rPr>
  </w:style>
  <w:style w:type="paragraph" w:customStyle="1" w:styleId="111">
    <w:name w:val="表格文字"/>
    <w:basedOn w:val="1"/>
    <w:qFormat/>
    <w:uiPriority w:val="0"/>
    <w:pPr>
      <w:adjustRightInd w:val="0"/>
      <w:spacing w:line="420" w:lineRule="atLeast"/>
      <w:jc w:val="left"/>
      <w:textAlignment w:val="baseline"/>
    </w:pPr>
    <w:rPr>
      <w:kern w:val="0"/>
      <w:szCs w:val="20"/>
    </w:rPr>
  </w:style>
  <w:style w:type="paragraph" w:customStyle="1" w:styleId="112">
    <w:name w:val="表格"/>
    <w:basedOn w:val="1"/>
    <w:qFormat/>
    <w:uiPriority w:val="0"/>
    <w:pPr>
      <w:jc w:val="center"/>
      <w:textAlignment w:val="center"/>
    </w:pPr>
    <w:rPr>
      <w:rFonts w:ascii="华文细黑" w:hAnsi="华文细黑"/>
      <w:kern w:val="0"/>
      <w:szCs w:val="20"/>
    </w:rPr>
  </w:style>
  <w:style w:type="paragraph" w:customStyle="1" w:styleId="113">
    <w:name w:val="Char1"/>
    <w:basedOn w:val="1"/>
    <w:qFormat/>
    <w:uiPriority w:val="0"/>
  </w:style>
  <w:style w:type="paragraph" w:customStyle="1" w:styleId="114">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5">
    <w:name w:val="引用2"/>
    <w:basedOn w:val="1"/>
    <w:next w:val="1"/>
    <w:link w:val="238"/>
    <w:qFormat/>
    <w:uiPriority w:val="0"/>
    <w:rPr>
      <w:i/>
      <w:iCs/>
      <w:color w:val="000000"/>
    </w:rPr>
  </w:style>
  <w:style w:type="paragraph" w:customStyle="1" w:styleId="116">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17">
    <w:name w:val="引用1"/>
    <w:basedOn w:val="1"/>
    <w:next w:val="1"/>
    <w:link w:val="188"/>
    <w:qFormat/>
    <w:uiPriority w:val="0"/>
    <w:rPr>
      <w:i/>
      <w:iCs/>
      <w:color w:val="000000"/>
      <w:szCs w:val="22"/>
    </w:rPr>
  </w:style>
  <w:style w:type="paragraph" w:customStyle="1" w:styleId="118">
    <w:name w:val="修订1"/>
    <w:qFormat/>
    <w:uiPriority w:val="0"/>
    <w:rPr>
      <w:rFonts w:ascii="Times New Roman" w:hAnsi="Times New Roman" w:eastAsia="宋体" w:cs="Times New Roman"/>
      <w:kern w:val="2"/>
      <w:sz w:val="21"/>
      <w:szCs w:val="24"/>
      <w:lang w:val="en-US" w:eastAsia="zh-CN" w:bidi="ar-SA"/>
    </w:rPr>
  </w:style>
  <w:style w:type="paragraph" w:customStyle="1" w:styleId="119">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20">
    <w:name w:val="Char2"/>
    <w:basedOn w:val="1"/>
    <w:qFormat/>
    <w:uiPriority w:val="0"/>
    <w:rPr>
      <w:rFonts w:ascii="Calibri" w:hAnsi="Calibri"/>
    </w:rPr>
  </w:style>
  <w:style w:type="paragraph" w:customStyle="1" w:styleId="121">
    <w:name w:val="标题5"/>
    <w:basedOn w:val="5"/>
    <w:link w:val="284"/>
    <w:qFormat/>
    <w:uiPriority w:val="0"/>
    <w:pPr>
      <w:spacing w:line="413" w:lineRule="auto"/>
    </w:pPr>
    <w:rPr>
      <w:rFonts w:ascii="Arial" w:hAnsi="Arial"/>
      <w:kern w:val="0"/>
      <w:sz w:val="24"/>
    </w:rPr>
  </w:style>
  <w:style w:type="paragraph" w:customStyle="1" w:styleId="122">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4">
    <w:name w:val="表格标题"/>
    <w:basedOn w:val="77"/>
    <w:qFormat/>
    <w:uiPriority w:val="0"/>
  </w:style>
  <w:style w:type="paragraph" w:customStyle="1" w:styleId="125">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6">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7">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WW-表格标题"/>
    <w:basedOn w:val="95"/>
    <w:qFormat/>
    <w:uiPriority w:val="0"/>
  </w:style>
  <w:style w:type="paragraph" w:customStyle="1" w:styleId="131">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32">
    <w:name w:val="明显引用121"/>
    <w:basedOn w:val="1"/>
    <w:next w:val="1"/>
    <w:link w:val="248"/>
    <w:qFormat/>
    <w:uiPriority w:val="0"/>
    <w:pPr>
      <w:pBdr>
        <w:bottom w:val="single" w:color="4F81BD" w:sz="4" w:space="4"/>
      </w:pBdr>
      <w:spacing w:before="200" w:after="280"/>
      <w:ind w:left="936" w:right="936"/>
    </w:pPr>
    <w:rPr>
      <w:b/>
      <w:bCs/>
      <w:i/>
      <w:iCs/>
      <w:color w:val="4F81BD"/>
      <w:szCs w:val="20"/>
    </w:rPr>
  </w:style>
  <w:style w:type="paragraph" w:customStyle="1" w:styleId="133">
    <w:name w:val="标准样式1"/>
    <w:basedOn w:val="1"/>
    <w:qFormat/>
    <w:uiPriority w:val="0"/>
    <w:pPr>
      <w:spacing w:line="600" w:lineRule="exact"/>
      <w:ind w:firstLine="567"/>
    </w:pPr>
    <w:rPr>
      <w:rFonts w:ascii="Calibri" w:hAnsi="Calibri"/>
      <w:sz w:val="28"/>
    </w:rPr>
  </w:style>
  <w:style w:type="paragraph" w:customStyle="1" w:styleId="134">
    <w:name w:val="Char3"/>
    <w:basedOn w:val="1"/>
    <w:qFormat/>
    <w:uiPriority w:val="0"/>
  </w:style>
  <w:style w:type="paragraph" w:customStyle="1" w:styleId="135">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36">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7">
    <w:name w:val="引用111"/>
    <w:basedOn w:val="1"/>
    <w:next w:val="1"/>
    <w:link w:val="262"/>
    <w:qFormat/>
    <w:uiPriority w:val="0"/>
    <w:rPr>
      <w:i/>
      <w:iCs/>
      <w:color w:val="000000"/>
      <w:szCs w:val="20"/>
    </w:rPr>
  </w:style>
  <w:style w:type="paragraph" w:customStyle="1" w:styleId="138">
    <w:name w:val="_Style 87"/>
    <w:basedOn w:val="1"/>
    <w:qFormat/>
    <w:uiPriority w:val="99"/>
    <w:pPr>
      <w:ind w:firstLine="420" w:firstLineChars="200"/>
    </w:pPr>
    <w:rPr>
      <w:rFonts w:ascii="Calibri" w:hAnsi="Calibri"/>
      <w:sz w:val="28"/>
      <w:szCs w:val="28"/>
    </w:rPr>
  </w:style>
  <w:style w:type="paragraph" w:customStyle="1" w:styleId="139">
    <w:name w:val="自定样式1"/>
    <w:basedOn w:val="1"/>
    <w:qFormat/>
    <w:uiPriority w:val="0"/>
    <w:pPr>
      <w:suppressAutoHyphens/>
      <w:jc w:val="center"/>
    </w:pPr>
    <w:rPr>
      <w:rFonts w:ascii="宋体" w:hAnsi="宋体"/>
      <w:color w:val="000000"/>
      <w:sz w:val="18"/>
    </w:rPr>
  </w:style>
  <w:style w:type="paragraph" w:customStyle="1" w:styleId="14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1">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character" w:customStyle="1" w:styleId="142">
    <w:name w:val="未处理的提及1"/>
    <w:unhideWhenUsed/>
    <w:qFormat/>
    <w:uiPriority w:val="99"/>
    <w:rPr>
      <w:color w:val="808080"/>
      <w:shd w:val="clear" w:color="auto" w:fill="E6E6E6"/>
    </w:rPr>
  </w:style>
  <w:style w:type="character" w:customStyle="1" w:styleId="143">
    <w:name w:val="正文文本 3 Char"/>
    <w:qFormat/>
    <w:uiPriority w:val="0"/>
    <w:rPr>
      <w:kern w:val="2"/>
      <w:sz w:val="16"/>
      <w:szCs w:val="16"/>
    </w:rPr>
  </w:style>
  <w:style w:type="character" w:customStyle="1" w:styleId="144">
    <w:name w:val="正文文本缩进 Char2"/>
    <w:semiHidden/>
    <w:qFormat/>
    <w:uiPriority w:val="99"/>
    <w:rPr>
      <w:rFonts w:ascii="Calibri" w:hAnsi="Calibri" w:eastAsia="宋体" w:cs="Times New Roman"/>
      <w:szCs w:val="24"/>
    </w:rPr>
  </w:style>
  <w:style w:type="character" w:customStyle="1" w:styleId="145">
    <w:name w:val="标题 3 Char"/>
    <w:qFormat/>
    <w:uiPriority w:val="0"/>
    <w:rPr>
      <w:rFonts w:ascii="仿宋_GB2312" w:hAnsi="Calibri" w:eastAsia="仿宋_GB2312" w:cs="Times New Roman"/>
      <w:b/>
      <w:kern w:val="0"/>
      <w:sz w:val="24"/>
      <w:szCs w:val="28"/>
    </w:rPr>
  </w:style>
  <w:style w:type="character" w:customStyle="1" w:styleId="146">
    <w:name w:val="批注框文本 Char2"/>
    <w:qFormat/>
    <w:uiPriority w:val="99"/>
    <w:rPr>
      <w:kern w:val="2"/>
      <w:sz w:val="18"/>
      <w:szCs w:val="18"/>
    </w:rPr>
  </w:style>
  <w:style w:type="character" w:customStyle="1" w:styleId="147">
    <w:name w:val="textcontents"/>
    <w:qFormat/>
    <w:uiPriority w:val="0"/>
    <w:rPr>
      <w:rFonts w:cs="Times New Roman"/>
    </w:rPr>
  </w:style>
  <w:style w:type="character" w:customStyle="1" w:styleId="148">
    <w:name w:val="ht1"/>
    <w:qFormat/>
    <w:uiPriority w:val="0"/>
    <w:rPr>
      <w:rFonts w:ascii="黑体" w:eastAsia="黑体"/>
      <w:b/>
      <w:bCs/>
    </w:rPr>
  </w:style>
  <w:style w:type="character" w:customStyle="1" w:styleId="149">
    <w:name w:val="标题 Char"/>
    <w:qFormat/>
    <w:uiPriority w:val="0"/>
    <w:rPr>
      <w:rFonts w:ascii="Cambria" w:hAnsi="Cambria" w:eastAsia="宋体" w:cs="Times New Roman"/>
      <w:b/>
      <w:bCs/>
      <w:kern w:val="2"/>
      <w:sz w:val="32"/>
      <w:szCs w:val="32"/>
    </w:rPr>
  </w:style>
  <w:style w:type="character" w:customStyle="1" w:styleId="150">
    <w:name w:val="14t1"/>
    <w:qFormat/>
    <w:uiPriority w:val="0"/>
    <w:rPr>
      <w:rFonts w:hint="eastAsia" w:ascii="宋体" w:hAnsi="宋体" w:eastAsia="宋体"/>
      <w:sz w:val="11"/>
      <w:szCs w:val="11"/>
    </w:rPr>
  </w:style>
  <w:style w:type="character" w:customStyle="1" w:styleId="151">
    <w:name w:val="Char Char36"/>
    <w:qFormat/>
    <w:uiPriority w:val="0"/>
    <w:rPr>
      <w:rFonts w:ascii="仿宋_GB2312" w:eastAsia="仿宋_GB2312" w:cs="MingLiU"/>
      <w:b/>
      <w:sz w:val="24"/>
      <w:szCs w:val="28"/>
    </w:rPr>
  </w:style>
  <w:style w:type="character" w:customStyle="1" w:styleId="152">
    <w:name w:val="文档结构图 Char"/>
    <w:qFormat/>
    <w:uiPriority w:val="0"/>
    <w:rPr>
      <w:rFonts w:ascii="宋体"/>
      <w:kern w:val="2"/>
      <w:sz w:val="18"/>
      <w:szCs w:val="18"/>
    </w:rPr>
  </w:style>
  <w:style w:type="character" w:customStyle="1" w:styleId="153">
    <w:name w:val="普通文字 Char Char2"/>
    <w:qFormat/>
    <w:uiPriority w:val="0"/>
    <w:rPr>
      <w:rFonts w:ascii="宋体" w:hAnsi="Courier New"/>
      <w:kern w:val="2"/>
      <w:sz w:val="28"/>
      <w:szCs w:val="28"/>
    </w:rPr>
  </w:style>
  <w:style w:type="character" w:customStyle="1" w:styleId="154">
    <w:name w:val="HTML 预设格式 Char"/>
    <w:qFormat/>
    <w:uiPriority w:val="0"/>
    <w:rPr>
      <w:rFonts w:ascii="宋体" w:hAnsi="宋体" w:eastAsia="宋体" w:cs="宋体"/>
      <w:color w:val="000000"/>
      <w:sz w:val="24"/>
      <w:szCs w:val="24"/>
    </w:rPr>
  </w:style>
  <w:style w:type="character" w:customStyle="1" w:styleId="155">
    <w:name w:val="纯文本 Char"/>
    <w:qFormat/>
    <w:uiPriority w:val="0"/>
    <w:rPr>
      <w:rFonts w:ascii="宋体" w:hAnsi="Courier New"/>
      <w:sz w:val="28"/>
      <w:szCs w:val="28"/>
    </w:rPr>
  </w:style>
  <w:style w:type="character" w:customStyle="1" w:styleId="156">
    <w:name w:val="批注框文本 Char"/>
    <w:qFormat/>
    <w:uiPriority w:val="0"/>
    <w:rPr>
      <w:sz w:val="18"/>
      <w:szCs w:val="18"/>
    </w:rPr>
  </w:style>
  <w:style w:type="character" w:customStyle="1" w:styleId="157">
    <w:name w:val="页脚 Char"/>
    <w:qFormat/>
    <w:uiPriority w:val="0"/>
    <w:rPr>
      <w:sz w:val="18"/>
      <w:szCs w:val="18"/>
    </w:rPr>
  </w:style>
  <w:style w:type="character" w:customStyle="1" w:styleId="158">
    <w:name w:val="标题 4 字符"/>
    <w:link w:val="6"/>
    <w:qFormat/>
    <w:uiPriority w:val="0"/>
    <w:rPr>
      <w:rFonts w:ascii="宋体" w:hAnsi="宋体" w:eastAsia="宋体" w:cs="宋体"/>
      <w:b/>
      <w:bCs/>
      <w:sz w:val="24"/>
      <w:szCs w:val="24"/>
      <w:lang w:val="en-US" w:eastAsia="zh-CN" w:bidi="ar-SA"/>
    </w:rPr>
  </w:style>
  <w:style w:type="character" w:customStyle="1" w:styleId="159">
    <w:name w:val="正文文本缩进 3 Char"/>
    <w:qFormat/>
    <w:uiPriority w:val="0"/>
    <w:rPr>
      <w:kern w:val="2"/>
      <w:sz w:val="16"/>
      <w:szCs w:val="16"/>
    </w:rPr>
  </w:style>
  <w:style w:type="character" w:customStyle="1" w:styleId="160">
    <w:name w:val="标题 8 Char"/>
    <w:qFormat/>
    <w:uiPriority w:val="0"/>
    <w:rPr>
      <w:rFonts w:ascii="Arial" w:hAnsi="Arial" w:eastAsia="黑体" w:cs="Times New Roman"/>
      <w:sz w:val="24"/>
      <w:szCs w:val="24"/>
    </w:rPr>
  </w:style>
  <w:style w:type="character" w:customStyle="1" w:styleId="161">
    <w:name w:val="HTML 预设格式 字符"/>
    <w:link w:val="40"/>
    <w:qFormat/>
    <w:uiPriority w:val="0"/>
    <w:rPr>
      <w:rFonts w:ascii="宋体" w:hAnsi="宋体" w:eastAsia="宋体" w:cs="宋体"/>
      <w:color w:val="000000"/>
      <w:sz w:val="24"/>
      <w:szCs w:val="24"/>
      <w:lang w:val="en-US" w:eastAsia="zh-CN" w:bidi="ar-SA"/>
    </w:rPr>
  </w:style>
  <w:style w:type="character" w:customStyle="1" w:styleId="162">
    <w:name w:val="文档结构图 字符"/>
    <w:link w:val="15"/>
    <w:qFormat/>
    <w:uiPriority w:val="0"/>
    <w:rPr>
      <w:rFonts w:eastAsia="宋体"/>
      <w:kern w:val="2"/>
      <w:sz w:val="21"/>
      <w:szCs w:val="24"/>
      <w:lang w:val="en-US" w:eastAsia="zh-CN" w:bidi="ar-SA"/>
    </w:rPr>
  </w:style>
  <w:style w:type="character" w:customStyle="1" w:styleId="163">
    <w:name w:val="正文文本缩进 2 Char1"/>
    <w:qFormat/>
    <w:uiPriority w:val="0"/>
    <w:rPr>
      <w:sz w:val="28"/>
      <w:szCs w:val="24"/>
    </w:rPr>
  </w:style>
  <w:style w:type="character" w:customStyle="1" w:styleId="164">
    <w:name w:val="标题 5 Char1"/>
    <w:qFormat/>
    <w:uiPriority w:val="0"/>
    <w:rPr>
      <w:rFonts w:ascii="宋体" w:hAnsi="宋体" w:eastAsia="宋体" w:cs="宋体"/>
      <w:b/>
      <w:bCs/>
      <w:sz w:val="20"/>
      <w:szCs w:val="20"/>
    </w:rPr>
  </w:style>
  <w:style w:type="character" w:customStyle="1" w:styleId="165">
    <w:name w:val="批注文字 Char"/>
    <w:qFormat/>
    <w:uiPriority w:val="0"/>
    <w:rPr>
      <w:rFonts w:ascii="Times New Roman" w:hAnsi="Times New Roman" w:eastAsia="宋体" w:cs="Times New Roman"/>
      <w:kern w:val="2"/>
      <w:sz w:val="21"/>
      <w:szCs w:val="24"/>
    </w:rPr>
  </w:style>
  <w:style w:type="character" w:customStyle="1" w:styleId="166">
    <w:name w:val="日期 字符"/>
    <w:link w:val="25"/>
    <w:qFormat/>
    <w:uiPriority w:val="0"/>
    <w:rPr>
      <w:rFonts w:eastAsia="宋体"/>
      <w:kern w:val="2"/>
      <w:sz w:val="21"/>
      <w:szCs w:val="24"/>
      <w:lang w:val="en-US" w:eastAsia="zh-CN" w:bidi="ar-SA"/>
    </w:rPr>
  </w:style>
  <w:style w:type="character" w:customStyle="1" w:styleId="167">
    <w:name w:val="style121"/>
    <w:qFormat/>
    <w:uiPriority w:val="0"/>
    <w:rPr>
      <w:rFonts w:hint="eastAsia" w:ascii="宋体" w:hAnsi="宋体" w:eastAsia="宋体"/>
      <w:sz w:val="18"/>
      <w:szCs w:val="18"/>
    </w:rPr>
  </w:style>
  <w:style w:type="character" w:customStyle="1" w:styleId="168">
    <w:name w:val="Section Char"/>
    <w:qFormat/>
    <w:uiPriority w:val="0"/>
    <w:rPr>
      <w:rFonts w:ascii="仿宋_GB2312" w:eastAsia="仿宋_GB2312" w:cs="MingLiU"/>
      <w:b/>
      <w:sz w:val="24"/>
      <w:szCs w:val="28"/>
      <w:lang w:val="en-US" w:eastAsia="zh-CN" w:bidi="ar-SA"/>
    </w:rPr>
  </w:style>
  <w:style w:type="character" w:customStyle="1" w:styleId="169">
    <w:name w:val="正文文本 3 Char1"/>
    <w:qFormat/>
    <w:uiPriority w:val="0"/>
    <w:rPr>
      <w:kern w:val="2"/>
      <w:sz w:val="16"/>
      <w:szCs w:val="16"/>
    </w:rPr>
  </w:style>
  <w:style w:type="character" w:customStyle="1" w:styleId="170">
    <w:name w:val="文档结构图 Char1"/>
    <w:qFormat/>
    <w:uiPriority w:val="0"/>
    <w:rPr>
      <w:rFonts w:ascii="宋体"/>
      <w:kern w:val="2"/>
      <w:sz w:val="18"/>
      <w:szCs w:val="18"/>
    </w:rPr>
  </w:style>
  <w:style w:type="character" w:customStyle="1" w:styleId="171">
    <w:name w:val="_Style 170"/>
    <w:qFormat/>
    <w:uiPriority w:val="0"/>
    <w:rPr>
      <w:i/>
      <w:iCs/>
      <w:color w:val="808080"/>
    </w:rPr>
  </w:style>
  <w:style w:type="character" w:customStyle="1" w:styleId="172">
    <w:name w:val="_Style 171"/>
    <w:qFormat/>
    <w:uiPriority w:val="0"/>
    <w:rPr>
      <w:b/>
      <w:bCs/>
      <w:smallCaps/>
      <w:color w:val="C0504D"/>
      <w:spacing w:val="5"/>
      <w:u w:val="single"/>
    </w:rPr>
  </w:style>
  <w:style w:type="character" w:customStyle="1" w:styleId="173">
    <w:name w:val="标题 9 Char"/>
    <w:qFormat/>
    <w:uiPriority w:val="0"/>
    <w:rPr>
      <w:rFonts w:ascii="Arial" w:hAnsi="Arial" w:eastAsia="黑体" w:cs="Times New Roman"/>
      <w:szCs w:val="21"/>
    </w:rPr>
  </w:style>
  <w:style w:type="character" w:customStyle="1" w:styleId="174">
    <w:name w:val="页眉 Char1"/>
    <w:semiHidden/>
    <w:qFormat/>
    <w:uiPriority w:val="99"/>
    <w:rPr>
      <w:kern w:val="2"/>
      <w:sz w:val="18"/>
      <w:szCs w:val="18"/>
    </w:rPr>
  </w:style>
  <w:style w:type="character" w:customStyle="1" w:styleId="175">
    <w:name w:val="_Style 174"/>
    <w:qFormat/>
    <w:uiPriority w:val="0"/>
    <w:rPr>
      <w:b/>
      <w:bCs/>
      <w:i/>
      <w:iCs/>
      <w:color w:val="4F81BD"/>
    </w:rPr>
  </w:style>
  <w:style w:type="character" w:customStyle="1" w:styleId="176">
    <w:name w:val="Char Char35"/>
    <w:qFormat/>
    <w:uiPriority w:val="0"/>
    <w:rPr>
      <w:rFonts w:ascii="仿宋_GB2312" w:eastAsia="仿宋_GB2312" w:cs="MingLiU"/>
      <w:b/>
      <w:sz w:val="24"/>
      <w:szCs w:val="28"/>
    </w:rPr>
  </w:style>
  <w:style w:type="character" w:customStyle="1" w:styleId="177">
    <w:name w:val="日期 Char2"/>
    <w:qFormat/>
    <w:uiPriority w:val="99"/>
    <w:rPr>
      <w:kern w:val="2"/>
      <w:sz w:val="21"/>
      <w:szCs w:val="24"/>
    </w:rPr>
  </w:style>
  <w:style w:type="character" w:customStyle="1" w:styleId="178">
    <w:name w:val="Char Char22"/>
    <w:qFormat/>
    <w:uiPriority w:val="0"/>
    <w:rPr>
      <w:b/>
      <w:bCs/>
      <w:kern w:val="2"/>
      <w:sz w:val="32"/>
      <w:szCs w:val="32"/>
    </w:rPr>
  </w:style>
  <w:style w:type="character" w:customStyle="1" w:styleId="179">
    <w:name w:val="正文文本缩进 2 Char2"/>
    <w:semiHidden/>
    <w:qFormat/>
    <w:uiPriority w:val="99"/>
    <w:rPr>
      <w:rFonts w:ascii="Calibri" w:hAnsi="Calibri" w:eastAsia="宋体" w:cs="Times New Roman"/>
      <w:szCs w:val="24"/>
    </w:rPr>
  </w:style>
  <w:style w:type="character" w:customStyle="1" w:styleId="180">
    <w:name w:val="明显强调1"/>
    <w:qFormat/>
    <w:uiPriority w:val="0"/>
    <w:rPr>
      <w:b/>
      <w:bCs/>
      <w:i/>
      <w:iCs/>
      <w:color w:val="4F81BD"/>
    </w:rPr>
  </w:style>
  <w:style w:type="character" w:customStyle="1" w:styleId="181">
    <w:name w:val="Char Char14"/>
    <w:qFormat/>
    <w:uiPriority w:val="0"/>
    <w:rPr>
      <w:kern w:val="2"/>
      <w:sz w:val="18"/>
      <w:szCs w:val="18"/>
    </w:rPr>
  </w:style>
  <w:style w:type="character" w:customStyle="1" w:styleId="182">
    <w:name w:val="s3"/>
    <w:qFormat/>
    <w:uiPriority w:val="0"/>
  </w:style>
  <w:style w:type="character" w:customStyle="1" w:styleId="183">
    <w:name w:val="标题 1 Char"/>
    <w:qFormat/>
    <w:uiPriority w:val="0"/>
    <w:rPr>
      <w:rFonts w:ascii="Times New Roman" w:hAnsi="Times New Roman" w:eastAsia="宋体" w:cs="Times New Roman"/>
      <w:b/>
      <w:bCs/>
      <w:kern w:val="44"/>
      <w:sz w:val="44"/>
      <w:szCs w:val="44"/>
    </w:rPr>
  </w:style>
  <w:style w:type="character" w:customStyle="1" w:styleId="184">
    <w:name w:val="日期 Char3"/>
    <w:semiHidden/>
    <w:qFormat/>
    <w:uiPriority w:val="99"/>
    <w:rPr>
      <w:rFonts w:ascii="Calibri" w:hAnsi="Calibri" w:eastAsia="宋体" w:cs="Times New Roman"/>
      <w:szCs w:val="24"/>
    </w:rPr>
  </w:style>
  <w:style w:type="character" w:customStyle="1" w:styleId="185">
    <w:name w:val="标题 1 字符"/>
    <w:link w:val="3"/>
    <w:qFormat/>
    <w:uiPriority w:val="0"/>
    <w:rPr>
      <w:rFonts w:eastAsia="宋体"/>
      <w:b/>
      <w:bCs/>
      <w:kern w:val="44"/>
      <w:sz w:val="44"/>
      <w:szCs w:val="44"/>
      <w:lang w:val="en-US" w:eastAsia="zh-CN" w:bidi="ar-SA"/>
    </w:rPr>
  </w:style>
  <w:style w:type="character" w:customStyle="1" w:styleId="186">
    <w:name w:val="title11"/>
    <w:qFormat/>
    <w:uiPriority w:val="0"/>
    <w:rPr>
      <w:b/>
      <w:bCs/>
      <w:color w:val="FFFFFF"/>
      <w:sz w:val="11"/>
      <w:szCs w:val="11"/>
    </w:rPr>
  </w:style>
  <w:style w:type="character" w:customStyle="1" w:styleId="187">
    <w:name w:val="明显引用 Char2"/>
    <w:qFormat/>
    <w:uiPriority w:val="99"/>
    <w:rPr>
      <w:b/>
      <w:bCs/>
      <w:i/>
      <w:iCs/>
      <w:color w:val="4F81BD"/>
      <w:kern w:val="2"/>
      <w:sz w:val="21"/>
      <w:szCs w:val="24"/>
    </w:rPr>
  </w:style>
  <w:style w:type="character" w:customStyle="1" w:styleId="188">
    <w:name w:val="引用 字符"/>
    <w:link w:val="117"/>
    <w:qFormat/>
    <w:uiPriority w:val="0"/>
    <w:rPr>
      <w:i/>
      <w:iCs/>
      <w:color w:val="000000"/>
      <w:kern w:val="2"/>
      <w:sz w:val="21"/>
      <w:szCs w:val="22"/>
      <w:lang w:bidi="ar-SA"/>
    </w:rPr>
  </w:style>
  <w:style w:type="character" w:customStyle="1" w:styleId="189">
    <w:name w:val="批注框文本 Char3"/>
    <w:semiHidden/>
    <w:qFormat/>
    <w:uiPriority w:val="99"/>
    <w:rPr>
      <w:rFonts w:ascii="Calibri" w:hAnsi="Calibri" w:eastAsia="宋体" w:cs="Times New Roman"/>
      <w:sz w:val="18"/>
      <w:szCs w:val="18"/>
    </w:rPr>
  </w:style>
  <w:style w:type="character" w:customStyle="1" w:styleId="190">
    <w:name w:val="标题 2 字符"/>
    <w:link w:val="4"/>
    <w:qFormat/>
    <w:uiPriority w:val="0"/>
    <w:rPr>
      <w:rFonts w:ascii="Cambria" w:hAnsi="Cambria" w:eastAsia="宋体"/>
      <w:b/>
      <w:bCs/>
      <w:kern w:val="2"/>
      <w:sz w:val="32"/>
      <w:szCs w:val="32"/>
      <w:lang w:val="en-US" w:eastAsia="zh-CN" w:bidi="ar-SA"/>
    </w:rPr>
  </w:style>
  <w:style w:type="character" w:customStyle="1" w:styleId="191">
    <w:name w:val="Char Char33"/>
    <w:qFormat/>
    <w:uiPriority w:val="0"/>
    <w:rPr>
      <w:rFonts w:ascii="仿宋_GB2312" w:eastAsia="仿宋_GB2312" w:cs="MingLiU"/>
      <w:b/>
      <w:sz w:val="24"/>
      <w:szCs w:val="28"/>
    </w:rPr>
  </w:style>
  <w:style w:type="character" w:customStyle="1" w:styleId="192">
    <w:name w:val="标题 2 Char"/>
    <w:qFormat/>
    <w:uiPriority w:val="0"/>
    <w:rPr>
      <w:rFonts w:ascii="仿宋_GB2312" w:hAnsi="Calibri" w:eastAsia="仿宋_GB2312" w:cs="Times New Roman"/>
      <w:b/>
      <w:spacing w:val="1"/>
      <w:w w:val="99"/>
      <w:kern w:val="0"/>
      <w:sz w:val="28"/>
      <w:szCs w:val="32"/>
    </w:rPr>
  </w:style>
  <w:style w:type="character" w:customStyle="1" w:styleId="193">
    <w:name w:val="l1"/>
    <w:basedOn w:val="47"/>
    <w:qFormat/>
    <w:uiPriority w:val="0"/>
  </w:style>
  <w:style w:type="character" w:customStyle="1" w:styleId="194">
    <w:name w:val="手改 Char Char"/>
    <w:qFormat/>
    <w:uiPriority w:val="0"/>
    <w:rPr>
      <w:kern w:val="2"/>
      <w:sz w:val="21"/>
      <w:szCs w:val="24"/>
    </w:rPr>
  </w:style>
  <w:style w:type="character" w:customStyle="1" w:styleId="195">
    <w:name w:val="style21"/>
    <w:qFormat/>
    <w:uiPriority w:val="0"/>
    <w:rPr>
      <w:b/>
      <w:bCs/>
      <w:sz w:val="28"/>
      <w:szCs w:val="28"/>
    </w:rPr>
  </w:style>
  <w:style w:type="character" w:customStyle="1" w:styleId="196">
    <w:name w:val="Char Char24"/>
    <w:qFormat/>
    <w:uiPriority w:val="0"/>
    <w:rPr>
      <w:b/>
      <w:bCs/>
      <w:kern w:val="44"/>
      <w:sz w:val="44"/>
      <w:szCs w:val="44"/>
    </w:rPr>
  </w:style>
  <w:style w:type="character" w:customStyle="1" w:styleId="197">
    <w:name w:val="页脚 字符"/>
    <w:link w:val="29"/>
    <w:qFormat/>
    <w:uiPriority w:val="0"/>
    <w:rPr>
      <w:rFonts w:eastAsia="宋体"/>
      <w:kern w:val="2"/>
      <w:sz w:val="18"/>
      <w:szCs w:val="18"/>
      <w:lang w:val="en-US" w:eastAsia="zh-CN" w:bidi="ar-SA"/>
    </w:rPr>
  </w:style>
  <w:style w:type="character" w:customStyle="1" w:styleId="198">
    <w:name w:val="_Style 197"/>
    <w:qFormat/>
    <w:uiPriority w:val="0"/>
    <w:rPr>
      <w:b/>
      <w:bCs/>
      <w:smallCaps/>
      <w:spacing w:val="5"/>
    </w:rPr>
  </w:style>
  <w:style w:type="character" w:customStyle="1" w:styleId="199">
    <w:name w:val="纯文本 Char1"/>
    <w:qFormat/>
    <w:uiPriority w:val="0"/>
    <w:rPr>
      <w:rFonts w:ascii="宋体" w:hAnsi="Courier New" w:cs="Courier New"/>
      <w:kern w:val="2"/>
      <w:sz w:val="21"/>
      <w:szCs w:val="21"/>
    </w:rPr>
  </w:style>
  <w:style w:type="character" w:customStyle="1" w:styleId="200">
    <w:name w:val="尾注文本 Char"/>
    <w:qFormat/>
    <w:uiPriority w:val="0"/>
    <w:rPr>
      <w:kern w:val="2"/>
      <w:sz w:val="21"/>
      <w:szCs w:val="24"/>
    </w:rPr>
  </w:style>
  <w:style w:type="character" w:customStyle="1" w:styleId="201">
    <w:name w:val="日期 Char1"/>
    <w:qFormat/>
    <w:uiPriority w:val="0"/>
    <w:rPr>
      <w:kern w:val="2"/>
      <w:sz w:val="21"/>
      <w:szCs w:val="22"/>
    </w:rPr>
  </w:style>
  <w:style w:type="character" w:customStyle="1" w:styleId="202">
    <w:name w:val="纯文本 字符"/>
    <w:link w:val="23"/>
    <w:qFormat/>
    <w:uiPriority w:val="0"/>
    <w:rPr>
      <w:rFonts w:ascii="宋体" w:hAnsi="Courier New" w:eastAsia="宋体" w:cs="Courier New"/>
      <w:kern w:val="2"/>
      <w:sz w:val="21"/>
      <w:szCs w:val="21"/>
      <w:lang w:val="en-US" w:eastAsia="zh-CN" w:bidi="ar-SA"/>
    </w:rPr>
  </w:style>
  <w:style w:type="character" w:customStyle="1" w:styleId="203">
    <w:name w:val="正文文本 Char1"/>
    <w:qFormat/>
    <w:uiPriority w:val="0"/>
    <w:rPr>
      <w:kern w:val="2"/>
      <w:sz w:val="21"/>
      <w:szCs w:val="22"/>
    </w:rPr>
  </w:style>
  <w:style w:type="character" w:customStyle="1" w:styleId="204">
    <w:name w:val="标题 9 Char1"/>
    <w:qFormat/>
    <w:uiPriority w:val="0"/>
    <w:rPr>
      <w:rFonts w:ascii="Times New Roman" w:hAnsi="Times New Roman" w:eastAsia="仿宋_GB2312" w:cs="Times New Roman"/>
      <w:sz w:val="30"/>
      <w:szCs w:val="20"/>
    </w:rPr>
  </w:style>
  <w:style w:type="character" w:customStyle="1" w:styleId="205">
    <w:name w:val="批注框文本 字符"/>
    <w:link w:val="28"/>
    <w:qFormat/>
    <w:uiPriority w:val="0"/>
    <w:rPr>
      <w:rFonts w:eastAsia="宋体"/>
      <w:kern w:val="2"/>
      <w:sz w:val="18"/>
      <w:szCs w:val="18"/>
      <w:lang w:val="en-US" w:eastAsia="zh-CN" w:bidi="ar-SA"/>
    </w:rPr>
  </w:style>
  <w:style w:type="character" w:customStyle="1" w:styleId="206">
    <w:name w:val="脚注文本 Char1"/>
    <w:qFormat/>
    <w:uiPriority w:val="0"/>
    <w:rPr>
      <w:rFonts w:ascii="Arial" w:hAnsi="Arial" w:cs="Arial"/>
      <w:sz w:val="18"/>
      <w:szCs w:val="18"/>
      <w:lang w:eastAsia="en-US"/>
    </w:rPr>
  </w:style>
  <w:style w:type="character" w:customStyle="1" w:styleId="207">
    <w:name w:val="正文文本缩进 Char"/>
    <w:qFormat/>
    <w:uiPriority w:val="0"/>
    <w:rPr>
      <w:rFonts w:ascii="黑体" w:hAnsi="宋体" w:eastAsia="黑体"/>
      <w:color w:val="000000"/>
      <w:sz w:val="28"/>
      <w:szCs w:val="32"/>
    </w:rPr>
  </w:style>
  <w:style w:type="character" w:customStyle="1" w:styleId="208">
    <w:name w:val="HTML 预设格式 Char1"/>
    <w:qFormat/>
    <w:uiPriority w:val="0"/>
    <w:rPr>
      <w:rFonts w:ascii="宋体" w:hAnsi="宋体" w:cs="宋体"/>
      <w:color w:val="000000"/>
      <w:sz w:val="24"/>
      <w:szCs w:val="24"/>
    </w:rPr>
  </w:style>
  <w:style w:type="character" w:customStyle="1" w:styleId="209">
    <w:name w:val="引用 Char3"/>
    <w:qFormat/>
    <w:uiPriority w:val="29"/>
    <w:rPr>
      <w:rFonts w:ascii="Calibri" w:hAnsi="Calibri" w:eastAsia="宋体" w:cs="Times New Roman"/>
      <w:i/>
      <w:iCs/>
      <w:color w:val="000000"/>
      <w:szCs w:val="24"/>
    </w:rPr>
  </w:style>
  <w:style w:type="character" w:customStyle="1" w:styleId="210">
    <w:name w:val="尾注文本 字符"/>
    <w:link w:val="27"/>
    <w:qFormat/>
    <w:uiPriority w:val="0"/>
    <w:rPr>
      <w:rFonts w:ascii="Arial" w:hAnsi="Arial" w:eastAsia="宋体" w:cs="Arial"/>
      <w:szCs w:val="24"/>
      <w:lang w:val="en-US" w:eastAsia="en-US" w:bidi="ar-SA"/>
    </w:rPr>
  </w:style>
  <w:style w:type="character" w:customStyle="1" w:styleId="211">
    <w:name w:val="标题 7 Char1"/>
    <w:qFormat/>
    <w:uiPriority w:val="0"/>
    <w:rPr>
      <w:rFonts w:ascii="Times New Roman" w:hAnsi="Times New Roman" w:eastAsia="仿宋_GB2312" w:cs="Times New Roman"/>
      <w:sz w:val="30"/>
      <w:szCs w:val="20"/>
    </w:rPr>
  </w:style>
  <w:style w:type="character" w:customStyle="1" w:styleId="212">
    <w:name w:val="普通文字 Char Char1"/>
    <w:qFormat/>
    <w:uiPriority w:val="0"/>
    <w:rPr>
      <w:rFonts w:ascii="宋体" w:hAnsi="Courier New"/>
      <w:kern w:val="2"/>
      <w:sz w:val="28"/>
      <w:szCs w:val="28"/>
    </w:rPr>
  </w:style>
  <w:style w:type="character" w:customStyle="1" w:styleId="213">
    <w:name w:val="明显参考1"/>
    <w:qFormat/>
    <w:uiPriority w:val="0"/>
    <w:rPr>
      <w:b/>
      <w:bCs/>
      <w:smallCaps/>
      <w:color w:val="C0504D"/>
      <w:spacing w:val="5"/>
      <w:u w:val="single"/>
    </w:rPr>
  </w:style>
  <w:style w:type="character" w:customStyle="1" w:styleId="214">
    <w:name w:val="正文文本缩进 Char1"/>
    <w:qFormat/>
    <w:uiPriority w:val="0"/>
    <w:rPr>
      <w:kern w:val="2"/>
      <w:sz w:val="21"/>
      <w:szCs w:val="24"/>
    </w:rPr>
  </w:style>
  <w:style w:type="character" w:customStyle="1" w:styleId="215">
    <w:name w:val="页眉 Char"/>
    <w:qFormat/>
    <w:uiPriority w:val="0"/>
    <w:rPr>
      <w:sz w:val="18"/>
      <w:szCs w:val="18"/>
    </w:rPr>
  </w:style>
  <w:style w:type="character" w:customStyle="1" w:styleId="216">
    <w:name w:val="style31"/>
    <w:qFormat/>
    <w:uiPriority w:val="0"/>
    <w:rPr>
      <w:sz w:val="10"/>
      <w:szCs w:val="10"/>
    </w:rPr>
  </w:style>
  <w:style w:type="character" w:customStyle="1" w:styleId="217">
    <w:name w:val="日期 Char"/>
    <w:qFormat/>
    <w:uiPriority w:val="0"/>
    <w:rPr>
      <w:rFonts w:eastAsia="宋体"/>
      <w:szCs w:val="24"/>
    </w:rPr>
  </w:style>
  <w:style w:type="character" w:customStyle="1" w:styleId="218">
    <w:name w:val="标题 1 Char1"/>
    <w:qFormat/>
    <w:uiPriority w:val="0"/>
    <w:rPr>
      <w:rFonts w:ascii="Times New Roman" w:hAnsi="Times New Roman" w:eastAsia="宋体" w:cs="Times New Roman"/>
      <w:b/>
      <w:bCs/>
      <w:kern w:val="44"/>
      <w:sz w:val="44"/>
      <w:szCs w:val="44"/>
    </w:rPr>
  </w:style>
  <w:style w:type="character" w:customStyle="1" w:styleId="219">
    <w:name w:val="main_tdbg_7601"/>
    <w:qFormat/>
    <w:uiPriority w:val="0"/>
    <w:rPr>
      <w:sz w:val="14"/>
      <w:szCs w:val="14"/>
    </w:rPr>
  </w:style>
  <w:style w:type="character" w:customStyle="1" w:styleId="220">
    <w:name w:val="尾注文本 Char1"/>
    <w:qFormat/>
    <w:uiPriority w:val="0"/>
    <w:rPr>
      <w:rFonts w:ascii="Arial" w:hAnsi="Arial" w:cs="Arial"/>
      <w:szCs w:val="24"/>
      <w:lang w:eastAsia="en-US"/>
    </w:rPr>
  </w:style>
  <w:style w:type="character" w:customStyle="1" w:styleId="221">
    <w:name w:val="副标题 Char2"/>
    <w:qFormat/>
    <w:uiPriority w:val="11"/>
    <w:rPr>
      <w:rFonts w:ascii="Cambria" w:hAnsi="Cambria" w:eastAsia="宋体" w:cs="Times New Roman"/>
      <w:b/>
      <w:bCs/>
      <w:kern w:val="28"/>
      <w:sz w:val="32"/>
      <w:szCs w:val="32"/>
    </w:rPr>
  </w:style>
  <w:style w:type="character" w:customStyle="1" w:styleId="222">
    <w:name w:val="正文文本缩进 3 Char2"/>
    <w:semiHidden/>
    <w:qFormat/>
    <w:uiPriority w:val="99"/>
    <w:rPr>
      <w:rFonts w:ascii="Calibri" w:hAnsi="Calibri" w:eastAsia="宋体" w:cs="Times New Roman"/>
      <w:sz w:val="16"/>
      <w:szCs w:val="16"/>
    </w:rPr>
  </w:style>
  <w:style w:type="character" w:customStyle="1" w:styleId="223">
    <w:name w:val="Char Char34"/>
    <w:qFormat/>
    <w:uiPriority w:val="0"/>
    <w:rPr>
      <w:rFonts w:ascii="仿宋_GB2312" w:eastAsia="仿宋_GB2312" w:cs="MingLiU"/>
      <w:b/>
      <w:spacing w:val="1"/>
      <w:w w:val="99"/>
      <w:sz w:val="28"/>
      <w:szCs w:val="32"/>
    </w:rPr>
  </w:style>
  <w:style w:type="character" w:customStyle="1" w:styleId="224">
    <w:name w:val="docpro"/>
    <w:basedOn w:val="47"/>
    <w:qFormat/>
    <w:uiPriority w:val="0"/>
  </w:style>
  <w:style w:type="character" w:customStyle="1" w:styleId="225">
    <w:name w:val="正文文本 字符"/>
    <w:link w:val="2"/>
    <w:qFormat/>
    <w:uiPriority w:val="0"/>
    <w:rPr>
      <w:rFonts w:eastAsia="宋体"/>
      <w:kern w:val="2"/>
      <w:sz w:val="21"/>
      <w:szCs w:val="24"/>
      <w:lang w:val="en-US" w:eastAsia="zh-CN" w:bidi="ar-SA"/>
    </w:rPr>
  </w:style>
  <w:style w:type="character" w:customStyle="1" w:styleId="226">
    <w:name w:val="ITTHEADER1 Char"/>
    <w:qFormat/>
    <w:uiPriority w:val="0"/>
    <w:rPr>
      <w:rFonts w:eastAsia="黑体"/>
      <w:kern w:val="2"/>
      <w:sz w:val="44"/>
      <w:szCs w:val="44"/>
      <w:lang w:val="en-US" w:eastAsia="zh-CN" w:bidi="ar-SA"/>
    </w:rPr>
  </w:style>
  <w:style w:type="character" w:customStyle="1" w:styleId="227">
    <w:name w:val="副标题 Char"/>
    <w:qFormat/>
    <w:uiPriority w:val="0"/>
    <w:rPr>
      <w:rFonts w:ascii="Cambria" w:hAnsi="Cambria" w:eastAsia="宋体" w:cs="Times New Roman"/>
      <w:b/>
      <w:bCs/>
      <w:kern w:val="28"/>
      <w:sz w:val="32"/>
      <w:szCs w:val="32"/>
    </w:rPr>
  </w:style>
  <w:style w:type="character" w:customStyle="1" w:styleId="228">
    <w:name w:val="标题 6 字符"/>
    <w:link w:val="8"/>
    <w:qFormat/>
    <w:uiPriority w:val="0"/>
    <w:rPr>
      <w:rFonts w:hAnsi="Arial" w:eastAsia="仿宋_GB2312"/>
      <w:sz w:val="30"/>
      <w:lang w:val="en-US" w:eastAsia="zh-CN" w:bidi="ar-SA"/>
    </w:rPr>
  </w:style>
  <w:style w:type="character" w:customStyle="1" w:styleId="229">
    <w:name w:val="标题 Char2"/>
    <w:qFormat/>
    <w:uiPriority w:val="10"/>
    <w:rPr>
      <w:rFonts w:ascii="Cambria" w:hAnsi="Cambria" w:eastAsia="宋体" w:cs="Times New Roman"/>
      <w:b/>
      <w:bCs/>
      <w:sz w:val="32"/>
      <w:szCs w:val="32"/>
    </w:rPr>
  </w:style>
  <w:style w:type="character" w:customStyle="1" w:styleId="230">
    <w:name w:val="正文文本 Char2"/>
    <w:qFormat/>
    <w:uiPriority w:val="99"/>
    <w:rPr>
      <w:kern w:val="2"/>
      <w:sz w:val="21"/>
      <w:szCs w:val="24"/>
    </w:rPr>
  </w:style>
  <w:style w:type="character" w:customStyle="1" w:styleId="231">
    <w:name w:val="正文文本 2 字符"/>
    <w:link w:val="39"/>
    <w:qFormat/>
    <w:uiPriority w:val="0"/>
    <w:rPr>
      <w:i/>
      <w:iCs/>
      <w:kern w:val="2"/>
      <w:sz w:val="26"/>
      <w:szCs w:val="24"/>
    </w:rPr>
  </w:style>
  <w:style w:type="character" w:customStyle="1" w:styleId="232">
    <w:name w:val="0d1471"/>
    <w:qFormat/>
    <w:uiPriority w:val="0"/>
    <w:rPr>
      <w:color w:val="000000"/>
      <w:sz w:val="11"/>
      <w:szCs w:val="11"/>
      <w:u w:val="none"/>
    </w:rPr>
  </w:style>
  <w:style w:type="character" w:customStyle="1" w:styleId="233">
    <w:name w:val="批注主题 Char"/>
    <w:qFormat/>
    <w:uiPriority w:val="0"/>
    <w:rPr>
      <w:rFonts w:ascii="宋体" w:hAnsi="宋体" w:eastAsia="宋体"/>
      <w:kern w:val="2"/>
      <w:sz w:val="24"/>
      <w:szCs w:val="28"/>
      <w:lang w:val="en-US" w:eastAsia="zh-CN" w:bidi="ar-SA"/>
    </w:rPr>
  </w:style>
  <w:style w:type="character" w:customStyle="1" w:styleId="234">
    <w:name w:val="正文文本 2 Char1"/>
    <w:semiHidden/>
    <w:qFormat/>
    <w:uiPriority w:val="99"/>
    <w:rPr>
      <w:rFonts w:ascii="Calibri" w:hAnsi="Calibri" w:eastAsia="宋体" w:cs="Times New Roman"/>
      <w:szCs w:val="24"/>
    </w:rPr>
  </w:style>
  <w:style w:type="character" w:customStyle="1" w:styleId="235">
    <w:name w:val="批注框文本 Char1"/>
    <w:qFormat/>
    <w:uiPriority w:val="0"/>
    <w:rPr>
      <w:kern w:val="2"/>
      <w:sz w:val="18"/>
      <w:szCs w:val="18"/>
    </w:rPr>
  </w:style>
  <w:style w:type="character" w:customStyle="1" w:styleId="236">
    <w:name w:val="标题 字符"/>
    <w:link w:val="43"/>
    <w:qFormat/>
    <w:uiPriority w:val="0"/>
    <w:rPr>
      <w:rFonts w:eastAsia="宋体"/>
      <w:szCs w:val="24"/>
      <w:u w:val="single"/>
      <w:lang w:val="en-US" w:eastAsia="en-US" w:bidi="ar-SA"/>
    </w:rPr>
  </w:style>
  <w:style w:type="character" w:customStyle="1" w:styleId="237">
    <w:name w:val="正文文本缩进 2 字符"/>
    <w:link w:val="26"/>
    <w:qFormat/>
    <w:uiPriority w:val="0"/>
    <w:rPr>
      <w:rFonts w:eastAsia="宋体"/>
      <w:sz w:val="28"/>
      <w:szCs w:val="24"/>
      <w:lang w:val="en-US" w:eastAsia="zh-CN" w:bidi="ar-SA"/>
    </w:rPr>
  </w:style>
  <w:style w:type="character" w:customStyle="1" w:styleId="238">
    <w:name w:val="引用 Char"/>
    <w:link w:val="115"/>
    <w:qFormat/>
    <w:uiPriority w:val="0"/>
    <w:rPr>
      <w:rFonts w:ascii="Times New Roman" w:hAnsi="Times New Roman" w:eastAsia="宋体" w:cs="Times New Roman"/>
      <w:i/>
      <w:iCs/>
      <w:color w:val="000000"/>
      <w:kern w:val="2"/>
      <w:sz w:val="21"/>
      <w:szCs w:val="24"/>
    </w:rPr>
  </w:style>
  <w:style w:type="character" w:customStyle="1" w:styleId="239">
    <w:name w:val="font161"/>
    <w:qFormat/>
    <w:uiPriority w:val="0"/>
    <w:rPr>
      <w:b/>
      <w:bCs/>
      <w:sz w:val="32"/>
      <w:szCs w:val="32"/>
    </w:rPr>
  </w:style>
  <w:style w:type="character" w:customStyle="1" w:styleId="240">
    <w:name w:val="正文文本缩进 字符"/>
    <w:link w:val="18"/>
    <w:qFormat/>
    <w:uiPriority w:val="0"/>
    <w:rPr>
      <w:rFonts w:eastAsia="宋体"/>
      <w:kern w:val="2"/>
      <w:sz w:val="21"/>
      <w:szCs w:val="24"/>
      <w:lang w:val="en-US" w:eastAsia="zh-CN" w:bidi="ar-SA"/>
    </w:rPr>
  </w:style>
  <w:style w:type="character" w:customStyle="1" w:styleId="241">
    <w:name w:val="标题 9 字符"/>
    <w:link w:val="12"/>
    <w:qFormat/>
    <w:uiPriority w:val="0"/>
    <w:rPr>
      <w:rFonts w:eastAsia="仿宋_GB2312"/>
      <w:sz w:val="30"/>
      <w:lang w:val="en-US" w:eastAsia="zh-CN" w:bidi="ar-SA"/>
    </w:rPr>
  </w:style>
  <w:style w:type="character" w:customStyle="1" w:styleId="242">
    <w:name w:val="标题 8 字符"/>
    <w:link w:val="11"/>
    <w:qFormat/>
    <w:uiPriority w:val="0"/>
    <w:rPr>
      <w:rFonts w:hAnsi="Arial" w:eastAsia="仿宋_GB2312"/>
      <w:sz w:val="30"/>
      <w:lang w:val="en-US" w:eastAsia="zh-CN" w:bidi="ar-SA"/>
    </w:rPr>
  </w:style>
  <w:style w:type="character" w:customStyle="1" w:styleId="243">
    <w:name w:val="Char Char32"/>
    <w:qFormat/>
    <w:uiPriority w:val="0"/>
    <w:rPr>
      <w:rFonts w:ascii="仿宋_GB2312" w:eastAsia="仿宋_GB2312" w:cs="MingLiU"/>
      <w:b/>
      <w:spacing w:val="1"/>
      <w:w w:val="99"/>
      <w:sz w:val="28"/>
      <w:szCs w:val="32"/>
    </w:rPr>
  </w:style>
  <w:style w:type="character" w:customStyle="1" w:styleId="244">
    <w:name w:val="正文文本缩进 3 字符"/>
    <w:link w:val="36"/>
    <w:qFormat/>
    <w:uiPriority w:val="0"/>
    <w:rPr>
      <w:rFonts w:ascii="宋体" w:hAnsi="宋体" w:eastAsia="宋体"/>
      <w:kern w:val="2"/>
      <w:sz w:val="28"/>
      <w:szCs w:val="28"/>
      <w:lang w:val="en-US" w:eastAsia="zh-CN" w:bidi="ar-SA"/>
    </w:rPr>
  </w:style>
  <w:style w:type="character" w:customStyle="1" w:styleId="245">
    <w:name w:val="标题 2 Char1"/>
    <w:qFormat/>
    <w:uiPriority w:val="0"/>
    <w:rPr>
      <w:rFonts w:ascii="Cambria" w:hAnsi="Cambria" w:eastAsia="宋体" w:cs="Times New Roman"/>
      <w:b/>
      <w:bCs/>
      <w:kern w:val="2"/>
      <w:sz w:val="32"/>
      <w:szCs w:val="32"/>
    </w:rPr>
  </w:style>
  <w:style w:type="character" w:customStyle="1" w:styleId="246">
    <w:name w:val="ss16"/>
    <w:qFormat/>
    <w:uiPriority w:val="0"/>
    <w:rPr>
      <w:rFonts w:hint="eastAsia" w:ascii="宋体" w:hAnsi="宋体" w:eastAsia="宋体"/>
      <w:color w:val="000000"/>
      <w:sz w:val="9"/>
      <w:szCs w:val="9"/>
    </w:rPr>
  </w:style>
  <w:style w:type="character" w:customStyle="1" w:styleId="247">
    <w:name w:val="批注主题 Char3"/>
    <w:semiHidden/>
    <w:qFormat/>
    <w:uiPriority w:val="99"/>
    <w:rPr>
      <w:rFonts w:ascii="Calibri" w:hAnsi="Calibri" w:eastAsia="宋体" w:cs="Times New Roman"/>
      <w:b/>
      <w:bCs/>
      <w:szCs w:val="24"/>
    </w:rPr>
  </w:style>
  <w:style w:type="character" w:customStyle="1" w:styleId="248">
    <w:name w:val="明显引用 Char1"/>
    <w:link w:val="132"/>
    <w:qFormat/>
    <w:uiPriority w:val="30"/>
    <w:rPr>
      <w:b/>
      <w:bCs/>
      <w:i/>
      <w:iCs/>
      <w:color w:val="4F81BD"/>
      <w:kern w:val="2"/>
      <w:sz w:val="21"/>
    </w:rPr>
  </w:style>
  <w:style w:type="character" w:customStyle="1" w:styleId="249">
    <w:name w:val="HTML 预设格式 Char2"/>
    <w:semiHidden/>
    <w:qFormat/>
    <w:uiPriority w:val="99"/>
    <w:rPr>
      <w:rFonts w:ascii="Courier New" w:hAnsi="Courier New" w:eastAsia="宋体" w:cs="Courier New"/>
      <w:sz w:val="20"/>
      <w:szCs w:val="20"/>
    </w:rPr>
  </w:style>
  <w:style w:type="character" w:customStyle="1" w:styleId="250">
    <w:name w:val="Char Char17"/>
    <w:qFormat/>
    <w:uiPriority w:val="0"/>
    <w:rPr>
      <w:kern w:val="2"/>
      <w:sz w:val="26"/>
      <w:szCs w:val="24"/>
    </w:rPr>
  </w:style>
  <w:style w:type="character" w:customStyle="1" w:styleId="251">
    <w:name w:val="标题 3 Char1"/>
    <w:qFormat/>
    <w:uiPriority w:val="0"/>
    <w:rPr>
      <w:rFonts w:ascii="Times New Roman" w:hAnsi="Times New Roman" w:eastAsia="宋体" w:cs="Times New Roman"/>
      <w:b/>
      <w:bCs/>
      <w:kern w:val="2"/>
      <w:sz w:val="32"/>
      <w:szCs w:val="32"/>
    </w:rPr>
  </w:style>
  <w:style w:type="character" w:customStyle="1" w:styleId="252">
    <w:name w:val="标题 5 Char"/>
    <w:qFormat/>
    <w:uiPriority w:val="0"/>
    <w:rPr>
      <w:rFonts w:ascii="Calibri" w:hAnsi="Calibri" w:eastAsia="宋体" w:cs="Times New Roman"/>
      <w:b/>
      <w:bCs/>
      <w:sz w:val="28"/>
      <w:szCs w:val="28"/>
    </w:rPr>
  </w:style>
  <w:style w:type="character" w:customStyle="1" w:styleId="253">
    <w:name w:val="页脚 Char1"/>
    <w:semiHidden/>
    <w:qFormat/>
    <w:uiPriority w:val="99"/>
    <w:rPr>
      <w:kern w:val="2"/>
      <w:sz w:val="18"/>
      <w:szCs w:val="18"/>
    </w:rPr>
  </w:style>
  <w:style w:type="character" w:customStyle="1" w:styleId="254">
    <w:name w:val="unnamed1"/>
    <w:basedOn w:val="47"/>
    <w:qFormat/>
    <w:uiPriority w:val="0"/>
  </w:style>
  <w:style w:type="character" w:customStyle="1" w:styleId="255">
    <w:name w:val="Char Char9"/>
    <w:qFormat/>
    <w:locked/>
    <w:uiPriority w:val="0"/>
    <w:rPr>
      <w:rFonts w:ascii="仿宋_GB2312" w:eastAsia="仿宋_GB2312" w:cs="MingLiU"/>
      <w:b/>
      <w:sz w:val="24"/>
      <w:szCs w:val="28"/>
      <w:lang w:val="en-US" w:eastAsia="zh-CN" w:bidi="ar-SA"/>
    </w:rPr>
  </w:style>
  <w:style w:type="character" w:customStyle="1" w:styleId="256">
    <w:name w:val="批注主题 Char1"/>
    <w:qFormat/>
    <w:uiPriority w:val="0"/>
    <w:rPr>
      <w:b/>
      <w:bCs/>
      <w:kern w:val="2"/>
      <w:sz w:val="21"/>
      <w:szCs w:val="22"/>
    </w:rPr>
  </w:style>
  <w:style w:type="character" w:customStyle="1" w:styleId="257">
    <w:name w:val="正文文本 3 字符"/>
    <w:link w:val="17"/>
    <w:qFormat/>
    <w:uiPriority w:val="0"/>
    <w:rPr>
      <w:rFonts w:eastAsia="宋体"/>
      <w:kern w:val="2"/>
      <w:sz w:val="16"/>
      <w:szCs w:val="16"/>
      <w:lang w:val="en-US" w:eastAsia="zh-CN" w:bidi="ar-SA"/>
    </w:rPr>
  </w:style>
  <w:style w:type="character" w:customStyle="1" w:styleId="258">
    <w:name w:val="纯文本 Char2"/>
    <w:semiHidden/>
    <w:qFormat/>
    <w:uiPriority w:val="99"/>
    <w:rPr>
      <w:rFonts w:ascii="宋体" w:hAnsi="Courier New" w:eastAsia="宋体" w:cs="Courier New"/>
      <w:szCs w:val="21"/>
    </w:rPr>
  </w:style>
  <w:style w:type="character" w:customStyle="1" w:styleId="259">
    <w:name w:val="intel3"/>
    <w:basedOn w:val="47"/>
    <w:qFormat/>
    <w:uiPriority w:val="0"/>
  </w:style>
  <w:style w:type="character" w:customStyle="1" w:styleId="260">
    <w:name w:val="subhead1"/>
    <w:qFormat/>
    <w:uiPriority w:val="0"/>
    <w:rPr>
      <w:rFonts w:hint="default" w:ascii="Tahoma" w:hAnsi="Tahoma" w:cs="Tahoma"/>
      <w:color w:val="000000"/>
      <w:sz w:val="18"/>
      <w:szCs w:val="18"/>
      <w:u w:val="none"/>
      <w:shd w:val="clear" w:color="auto" w:fill="FFFFFF"/>
    </w:rPr>
  </w:style>
  <w:style w:type="character" w:customStyle="1" w:styleId="261">
    <w:name w:val="脚注文本 Char"/>
    <w:qFormat/>
    <w:uiPriority w:val="0"/>
    <w:rPr>
      <w:rFonts w:ascii="Arial" w:hAnsi="Arial" w:eastAsia="宋体" w:cs="Arial"/>
      <w:sz w:val="18"/>
      <w:szCs w:val="18"/>
      <w:lang w:eastAsia="en-US"/>
    </w:rPr>
  </w:style>
  <w:style w:type="character" w:customStyle="1" w:styleId="262">
    <w:name w:val="引用 Char1"/>
    <w:link w:val="137"/>
    <w:qFormat/>
    <w:uiPriority w:val="29"/>
    <w:rPr>
      <w:i/>
      <w:iCs/>
      <w:color w:val="000000"/>
      <w:kern w:val="2"/>
      <w:sz w:val="21"/>
    </w:rPr>
  </w:style>
  <w:style w:type="character" w:customStyle="1" w:styleId="263">
    <w:name w:val="正文文本缩进 2 Char"/>
    <w:qFormat/>
    <w:uiPriority w:val="0"/>
    <w:rPr>
      <w:kern w:val="2"/>
      <w:sz w:val="21"/>
      <w:szCs w:val="24"/>
    </w:rPr>
  </w:style>
  <w:style w:type="character" w:customStyle="1" w:styleId="264">
    <w:name w:val="脚注文本 Char2"/>
    <w:semiHidden/>
    <w:qFormat/>
    <w:uiPriority w:val="99"/>
    <w:rPr>
      <w:rFonts w:ascii="Calibri" w:hAnsi="Calibri" w:eastAsia="宋体" w:cs="Times New Roman"/>
      <w:sz w:val="18"/>
      <w:szCs w:val="18"/>
    </w:rPr>
  </w:style>
  <w:style w:type="character" w:customStyle="1" w:styleId="265">
    <w:name w:val="ca-141"/>
    <w:qFormat/>
    <w:uiPriority w:val="0"/>
    <w:rPr>
      <w:rFonts w:hint="eastAsia" w:ascii="仿宋_GB2312" w:eastAsia="仿宋_GB2312"/>
      <w:sz w:val="21"/>
      <w:szCs w:val="21"/>
    </w:rPr>
  </w:style>
  <w:style w:type="character" w:customStyle="1" w:styleId="266">
    <w:name w:val="标题 Char1"/>
    <w:qFormat/>
    <w:uiPriority w:val="10"/>
    <w:rPr>
      <w:szCs w:val="24"/>
      <w:u w:val="single"/>
      <w:lang w:eastAsia="en-US"/>
    </w:rPr>
  </w:style>
  <w:style w:type="character" w:customStyle="1" w:styleId="267">
    <w:name w:val="style161"/>
    <w:qFormat/>
    <w:uiPriority w:val="0"/>
    <w:rPr>
      <w:b/>
      <w:bCs/>
      <w:color w:val="333333"/>
    </w:rPr>
  </w:style>
  <w:style w:type="character" w:customStyle="1" w:styleId="268">
    <w:name w:val="Char Char11"/>
    <w:qFormat/>
    <w:locked/>
    <w:uiPriority w:val="0"/>
    <w:rPr>
      <w:rFonts w:eastAsia="黑体"/>
      <w:kern w:val="2"/>
      <w:sz w:val="44"/>
      <w:szCs w:val="44"/>
      <w:lang w:val="en-US" w:eastAsia="zh-CN" w:bidi="ar-SA"/>
    </w:rPr>
  </w:style>
  <w:style w:type="character" w:customStyle="1" w:styleId="269">
    <w:name w:val="标题 7 Char"/>
    <w:qFormat/>
    <w:uiPriority w:val="0"/>
    <w:rPr>
      <w:rFonts w:ascii="Calibri" w:hAnsi="Calibri" w:eastAsia="宋体" w:cs="Times New Roman"/>
      <w:b/>
      <w:bCs/>
      <w:sz w:val="24"/>
      <w:szCs w:val="24"/>
    </w:rPr>
  </w:style>
  <w:style w:type="character" w:customStyle="1" w:styleId="270">
    <w:name w:val="批注文字 Char1"/>
    <w:qFormat/>
    <w:uiPriority w:val="99"/>
    <w:rPr>
      <w:rFonts w:ascii="Times New Roman" w:hAnsi="Times New Roman" w:eastAsia="宋体" w:cs="Times New Roman"/>
      <w:szCs w:val="24"/>
    </w:rPr>
  </w:style>
  <w:style w:type="character" w:customStyle="1" w:styleId="271">
    <w:name w:val="明显引用 Char"/>
    <w:qFormat/>
    <w:uiPriority w:val="0"/>
    <w:rPr>
      <w:rFonts w:ascii="Times New Roman" w:hAnsi="Times New Roman" w:eastAsia="宋体" w:cs="Times New Roman"/>
      <w:b/>
      <w:bCs/>
      <w:i/>
      <w:iCs/>
      <w:color w:val="4F81BD"/>
      <w:kern w:val="2"/>
      <w:sz w:val="21"/>
      <w:szCs w:val="24"/>
    </w:rPr>
  </w:style>
  <w:style w:type="character" w:customStyle="1" w:styleId="272">
    <w:name w:val="标题 5 字符"/>
    <w:link w:val="7"/>
    <w:qFormat/>
    <w:uiPriority w:val="0"/>
    <w:rPr>
      <w:rFonts w:ascii="宋体" w:hAnsi="宋体" w:eastAsia="宋体" w:cs="宋体"/>
      <w:b/>
      <w:bCs/>
      <w:lang w:val="en-US" w:eastAsia="zh-CN" w:bidi="ar-SA"/>
    </w:rPr>
  </w:style>
  <w:style w:type="character" w:customStyle="1" w:styleId="273">
    <w:name w:val="正文文本缩进 3 Char1"/>
    <w:qFormat/>
    <w:uiPriority w:val="0"/>
    <w:rPr>
      <w:rFonts w:ascii="宋体" w:hAnsi="宋体"/>
      <w:kern w:val="2"/>
      <w:sz w:val="28"/>
      <w:szCs w:val="28"/>
    </w:rPr>
  </w:style>
  <w:style w:type="character" w:customStyle="1" w:styleId="274">
    <w:name w:val="正文文本 Char"/>
    <w:qFormat/>
    <w:uiPriority w:val="0"/>
    <w:rPr>
      <w:sz w:val="26"/>
      <w:szCs w:val="24"/>
    </w:rPr>
  </w:style>
  <w:style w:type="character" w:customStyle="1" w:styleId="275">
    <w:name w:val="明显引用 字符"/>
    <w:link w:val="81"/>
    <w:qFormat/>
    <w:uiPriority w:val="0"/>
    <w:rPr>
      <w:b/>
      <w:bCs/>
      <w:i/>
      <w:iCs/>
      <w:color w:val="4F81BD"/>
      <w:kern w:val="2"/>
      <w:sz w:val="21"/>
      <w:szCs w:val="22"/>
      <w:lang w:bidi="ar-SA"/>
    </w:rPr>
  </w:style>
  <w:style w:type="character" w:customStyle="1" w:styleId="276">
    <w:name w:val="Char Char12"/>
    <w:qFormat/>
    <w:uiPriority w:val="0"/>
    <w:rPr>
      <w:rFonts w:eastAsia="黑体"/>
      <w:kern w:val="2"/>
      <w:sz w:val="44"/>
      <w:szCs w:val="44"/>
      <w:lang w:val="en-US" w:eastAsia="zh-CN" w:bidi="ar-SA"/>
    </w:rPr>
  </w:style>
  <w:style w:type="character" w:customStyle="1" w:styleId="277">
    <w:name w:val="标题 4 Char"/>
    <w:qFormat/>
    <w:uiPriority w:val="0"/>
    <w:rPr>
      <w:rFonts w:ascii="仿宋_GB2312" w:hAnsi="Calibri" w:eastAsia="仿宋_GB2312" w:cs="Times New Roman"/>
      <w:b/>
      <w:kern w:val="0"/>
      <w:sz w:val="24"/>
      <w:szCs w:val="28"/>
    </w:rPr>
  </w:style>
  <w:style w:type="character" w:customStyle="1" w:styleId="278">
    <w:name w:val="明显引用 Char3"/>
    <w:qFormat/>
    <w:uiPriority w:val="30"/>
    <w:rPr>
      <w:rFonts w:ascii="Calibri" w:hAnsi="Calibri" w:eastAsia="宋体" w:cs="Times New Roman"/>
      <w:b/>
      <w:bCs/>
      <w:i/>
      <w:iCs/>
      <w:color w:val="4F81BD"/>
      <w:szCs w:val="24"/>
    </w:rPr>
  </w:style>
  <w:style w:type="character" w:customStyle="1" w:styleId="279">
    <w:name w:val="引用 Char2"/>
    <w:qFormat/>
    <w:uiPriority w:val="99"/>
    <w:rPr>
      <w:i/>
      <w:iCs/>
      <w:color w:val="000000"/>
      <w:kern w:val="2"/>
      <w:sz w:val="21"/>
      <w:szCs w:val="24"/>
    </w:rPr>
  </w:style>
  <w:style w:type="character" w:customStyle="1" w:styleId="280">
    <w:name w:val="批注主题 字符"/>
    <w:link w:val="44"/>
    <w:qFormat/>
    <w:uiPriority w:val="0"/>
    <w:rPr>
      <w:rFonts w:eastAsia="宋体"/>
      <w:b/>
      <w:bCs/>
      <w:kern w:val="2"/>
      <w:sz w:val="21"/>
      <w:szCs w:val="24"/>
      <w:lang w:val="en-US" w:eastAsia="zh-CN" w:bidi="ar-SA"/>
    </w:rPr>
  </w:style>
  <w:style w:type="character" w:customStyle="1" w:styleId="281">
    <w:name w:val="不明显强调1"/>
    <w:qFormat/>
    <w:uiPriority w:val="0"/>
    <w:rPr>
      <w:i/>
      <w:iCs/>
      <w:color w:val="808080"/>
    </w:rPr>
  </w:style>
  <w:style w:type="character" w:customStyle="1" w:styleId="282">
    <w:name w:val="color_red1"/>
    <w:qFormat/>
    <w:uiPriority w:val="0"/>
    <w:rPr>
      <w:color w:val="FA0004"/>
    </w:rPr>
  </w:style>
  <w:style w:type="character" w:customStyle="1" w:styleId="283">
    <w:name w:val="标题 7 字符"/>
    <w:link w:val="10"/>
    <w:qFormat/>
    <w:uiPriority w:val="0"/>
    <w:rPr>
      <w:rFonts w:eastAsia="仿宋_GB2312"/>
      <w:sz w:val="30"/>
      <w:lang w:val="en-US" w:eastAsia="zh-CN" w:bidi="ar-SA"/>
    </w:rPr>
  </w:style>
  <w:style w:type="character" w:customStyle="1" w:styleId="284">
    <w:name w:val="标题5 Char Char"/>
    <w:link w:val="121"/>
    <w:qFormat/>
    <w:uiPriority w:val="0"/>
    <w:rPr>
      <w:rFonts w:ascii="Arial" w:hAnsi="Arial"/>
      <w:b/>
      <w:bCs/>
      <w:sz w:val="24"/>
      <w:szCs w:val="32"/>
      <w:lang w:bidi="ar-SA"/>
    </w:rPr>
  </w:style>
  <w:style w:type="character" w:customStyle="1" w:styleId="285">
    <w:name w:val="脚注文本 字符"/>
    <w:link w:val="34"/>
    <w:qFormat/>
    <w:uiPriority w:val="0"/>
    <w:rPr>
      <w:rFonts w:ascii="Arial" w:hAnsi="Arial" w:eastAsia="宋体" w:cs="Arial"/>
      <w:sz w:val="18"/>
      <w:szCs w:val="18"/>
      <w:lang w:val="en-US" w:eastAsia="en-US" w:bidi="ar-SA"/>
    </w:rPr>
  </w:style>
  <w:style w:type="character" w:customStyle="1" w:styleId="286">
    <w:name w:val="标题4 Char Char"/>
    <w:link w:val="91"/>
    <w:qFormat/>
    <w:uiPriority w:val="0"/>
    <w:rPr>
      <w:rFonts w:ascii="Arial" w:hAnsi="Arial"/>
      <w:b/>
      <w:bCs/>
      <w:sz w:val="24"/>
      <w:szCs w:val="32"/>
      <w:lang w:bidi="ar-SA"/>
    </w:rPr>
  </w:style>
  <w:style w:type="character" w:customStyle="1" w:styleId="287">
    <w:name w:val="Char Char13"/>
    <w:qFormat/>
    <w:uiPriority w:val="0"/>
    <w:rPr>
      <w:kern w:val="2"/>
      <w:sz w:val="18"/>
      <w:szCs w:val="18"/>
    </w:rPr>
  </w:style>
  <w:style w:type="character" w:customStyle="1" w:styleId="288">
    <w:name w:val="文档结构图 Char2"/>
    <w:qFormat/>
    <w:uiPriority w:val="99"/>
    <w:rPr>
      <w:kern w:val="2"/>
      <w:sz w:val="21"/>
      <w:szCs w:val="24"/>
      <w:shd w:val="clear" w:color="auto" w:fill="000080"/>
    </w:rPr>
  </w:style>
  <w:style w:type="character" w:customStyle="1" w:styleId="289">
    <w:name w:val="批注文字 Char2"/>
    <w:qFormat/>
    <w:uiPriority w:val="0"/>
    <w:rPr>
      <w:rFonts w:ascii="Calibri" w:hAnsi="Calibri" w:eastAsia="宋体" w:cs="Times New Roman"/>
      <w:szCs w:val="24"/>
    </w:rPr>
  </w:style>
  <w:style w:type="character" w:customStyle="1" w:styleId="290">
    <w:name w:val="标题 8 Char1"/>
    <w:qFormat/>
    <w:uiPriority w:val="0"/>
    <w:rPr>
      <w:rFonts w:ascii="Times New Roman" w:hAnsi="Arial" w:eastAsia="仿宋_GB2312" w:cs="Times New Roman"/>
      <w:sz w:val="30"/>
      <w:szCs w:val="20"/>
    </w:rPr>
  </w:style>
  <w:style w:type="character" w:customStyle="1" w:styleId="291">
    <w:name w:val="页眉 字符"/>
    <w:link w:val="30"/>
    <w:qFormat/>
    <w:uiPriority w:val="0"/>
    <w:rPr>
      <w:rFonts w:eastAsia="宋体"/>
      <w:kern w:val="2"/>
      <w:sz w:val="18"/>
      <w:szCs w:val="18"/>
      <w:lang w:val="en-US" w:eastAsia="zh-CN" w:bidi="ar-SA"/>
    </w:rPr>
  </w:style>
  <w:style w:type="character" w:customStyle="1" w:styleId="292">
    <w:name w:val="Char Char21"/>
    <w:qFormat/>
    <w:uiPriority w:val="0"/>
    <w:rPr>
      <w:rFonts w:ascii="宋体" w:hAnsi="宋体" w:cs="宋体"/>
      <w:b/>
      <w:bCs/>
      <w:sz w:val="24"/>
      <w:szCs w:val="24"/>
    </w:rPr>
  </w:style>
  <w:style w:type="character" w:customStyle="1" w:styleId="293">
    <w:name w:val="标题 6 Char1"/>
    <w:qFormat/>
    <w:uiPriority w:val="0"/>
    <w:rPr>
      <w:rFonts w:ascii="Times New Roman" w:hAnsi="Arial" w:eastAsia="仿宋_GB2312" w:cs="Times New Roman"/>
      <w:sz w:val="30"/>
      <w:szCs w:val="20"/>
    </w:rPr>
  </w:style>
  <w:style w:type="character" w:customStyle="1" w:styleId="294">
    <w:name w:val="_Style 293"/>
    <w:qFormat/>
    <w:uiPriority w:val="0"/>
    <w:rPr>
      <w:smallCaps/>
      <w:color w:val="C0504D"/>
      <w:u w:val="single"/>
    </w:rPr>
  </w:style>
  <w:style w:type="character" w:customStyle="1" w:styleId="295">
    <w:name w:val="副标题 Char1"/>
    <w:qFormat/>
    <w:uiPriority w:val="0"/>
    <w:rPr>
      <w:szCs w:val="24"/>
      <w:u w:val="single"/>
      <w:lang w:eastAsia="en-US"/>
    </w:rPr>
  </w:style>
  <w:style w:type="character" w:customStyle="1" w:styleId="296">
    <w:name w:val="正文文本 Char3"/>
    <w:semiHidden/>
    <w:qFormat/>
    <w:uiPriority w:val="99"/>
    <w:rPr>
      <w:rFonts w:ascii="Calibri" w:hAnsi="Calibri" w:eastAsia="宋体" w:cs="Times New Roman"/>
      <w:szCs w:val="24"/>
    </w:rPr>
  </w:style>
  <w:style w:type="character" w:customStyle="1" w:styleId="297">
    <w:name w:val="标题 4 Char1"/>
    <w:qFormat/>
    <w:uiPriority w:val="0"/>
    <w:rPr>
      <w:rFonts w:ascii="宋体" w:hAnsi="宋体" w:eastAsia="宋体" w:cs="宋体"/>
      <w:b/>
      <w:bCs/>
      <w:sz w:val="24"/>
      <w:szCs w:val="24"/>
    </w:rPr>
  </w:style>
  <w:style w:type="character" w:customStyle="1" w:styleId="298">
    <w:name w:val="文档结构图 Char3"/>
    <w:semiHidden/>
    <w:qFormat/>
    <w:uiPriority w:val="99"/>
    <w:rPr>
      <w:rFonts w:ascii="宋体" w:hAnsi="Calibri" w:eastAsia="宋体" w:cs="Times New Roman"/>
      <w:sz w:val="18"/>
      <w:szCs w:val="18"/>
    </w:rPr>
  </w:style>
  <w:style w:type="character" w:customStyle="1" w:styleId="299">
    <w:name w:val="标题 3 字符"/>
    <w:link w:val="5"/>
    <w:qFormat/>
    <w:uiPriority w:val="0"/>
    <w:rPr>
      <w:rFonts w:eastAsia="宋体"/>
      <w:b/>
      <w:bCs/>
      <w:kern w:val="2"/>
      <w:sz w:val="32"/>
      <w:szCs w:val="32"/>
      <w:lang w:val="en-US" w:eastAsia="zh-CN" w:bidi="ar-SA"/>
    </w:rPr>
  </w:style>
  <w:style w:type="character" w:customStyle="1" w:styleId="300">
    <w:name w:val="正文文本 3 Char2"/>
    <w:semiHidden/>
    <w:qFormat/>
    <w:uiPriority w:val="99"/>
    <w:rPr>
      <w:rFonts w:ascii="Calibri" w:hAnsi="Calibri" w:eastAsia="宋体" w:cs="Times New Roman"/>
      <w:sz w:val="16"/>
      <w:szCs w:val="16"/>
    </w:rPr>
  </w:style>
  <w:style w:type="character" w:customStyle="1" w:styleId="301">
    <w:name w:val="Char Char23"/>
    <w:qFormat/>
    <w:uiPriority w:val="0"/>
    <w:rPr>
      <w:rFonts w:ascii="Cambria" w:hAnsi="Cambria" w:eastAsia="宋体" w:cs="Times New Roman"/>
      <w:b/>
      <w:bCs/>
      <w:kern w:val="2"/>
      <w:sz w:val="32"/>
      <w:szCs w:val="32"/>
    </w:rPr>
  </w:style>
  <w:style w:type="character" w:customStyle="1" w:styleId="302">
    <w:name w:val="尾注文本 Char2"/>
    <w:semiHidden/>
    <w:qFormat/>
    <w:uiPriority w:val="99"/>
    <w:rPr>
      <w:rFonts w:ascii="Calibri" w:hAnsi="Calibri" w:eastAsia="宋体" w:cs="Times New Roman"/>
      <w:szCs w:val="24"/>
    </w:rPr>
  </w:style>
  <w:style w:type="character" w:customStyle="1" w:styleId="303">
    <w:name w:val="书籍标题1"/>
    <w:qFormat/>
    <w:uiPriority w:val="0"/>
    <w:rPr>
      <w:b/>
      <w:bCs/>
      <w:smallCaps/>
      <w:spacing w:val="5"/>
    </w:rPr>
  </w:style>
  <w:style w:type="character" w:customStyle="1" w:styleId="304">
    <w:name w:val="ITTHEADER2 Char"/>
    <w:qFormat/>
    <w:uiPriority w:val="0"/>
    <w:rPr>
      <w:rFonts w:ascii="仿宋_GB2312" w:eastAsia="仿宋_GB2312" w:cs="MingLiU"/>
      <w:b/>
      <w:spacing w:val="1"/>
      <w:w w:val="99"/>
      <w:sz w:val="28"/>
      <w:szCs w:val="32"/>
      <w:lang w:val="en-US" w:eastAsia="zh-CN" w:bidi="ar-SA"/>
    </w:rPr>
  </w:style>
  <w:style w:type="character" w:customStyle="1" w:styleId="305">
    <w:name w:val="批注文字 字符"/>
    <w:link w:val="16"/>
    <w:qFormat/>
    <w:uiPriority w:val="99"/>
    <w:rPr>
      <w:rFonts w:eastAsia="宋体"/>
      <w:kern w:val="2"/>
      <w:sz w:val="21"/>
      <w:szCs w:val="24"/>
      <w:lang w:val="en-US" w:eastAsia="zh-CN" w:bidi="ar-SA"/>
    </w:rPr>
  </w:style>
  <w:style w:type="character" w:customStyle="1" w:styleId="306">
    <w:name w:val="批注文字 Char Char"/>
    <w:qFormat/>
    <w:uiPriority w:val="0"/>
    <w:rPr>
      <w:rFonts w:ascii="宋体" w:hAnsi="Times New Roman" w:eastAsia="宋体" w:cs="Times New Roman"/>
      <w:sz w:val="28"/>
      <w:szCs w:val="20"/>
    </w:rPr>
  </w:style>
  <w:style w:type="character" w:customStyle="1" w:styleId="307">
    <w:name w:val="副标题 字符"/>
    <w:link w:val="33"/>
    <w:qFormat/>
    <w:uiPriority w:val="0"/>
    <w:rPr>
      <w:rFonts w:eastAsia="宋体"/>
      <w:szCs w:val="24"/>
      <w:u w:val="single"/>
      <w:lang w:val="en-US" w:eastAsia="en-US" w:bidi="ar-SA"/>
    </w:rPr>
  </w:style>
  <w:style w:type="character" w:customStyle="1" w:styleId="308">
    <w:name w:val="批注主题 Char2"/>
    <w:qFormat/>
    <w:uiPriority w:val="99"/>
    <w:rPr>
      <w:b/>
      <w:bCs/>
      <w:kern w:val="2"/>
      <w:sz w:val="21"/>
      <w:szCs w:val="24"/>
    </w:rPr>
  </w:style>
  <w:style w:type="character" w:customStyle="1" w:styleId="309">
    <w:name w:val="normaltext1"/>
    <w:qFormat/>
    <w:uiPriority w:val="0"/>
    <w:rPr>
      <w:rFonts w:hint="default" w:ascii="ˎ̥" w:hAnsi="ˎ̥"/>
      <w:sz w:val="9"/>
      <w:szCs w:val="9"/>
    </w:rPr>
  </w:style>
  <w:style w:type="character" w:customStyle="1" w:styleId="310">
    <w:name w:val="不明显参考1"/>
    <w:qFormat/>
    <w:uiPriority w:val="0"/>
    <w:rPr>
      <w:smallCaps/>
      <w:color w:val="C0504D"/>
      <w:u w:val="single"/>
    </w:rPr>
  </w:style>
  <w:style w:type="character" w:customStyle="1" w:styleId="311">
    <w:name w:val="标题 6 Char"/>
    <w:qFormat/>
    <w:uiPriority w:val="0"/>
    <w:rPr>
      <w:rFonts w:ascii="Arial" w:hAnsi="Arial" w:eastAsia="黑体" w:cs="Times New Roman"/>
      <w:b/>
      <w:bCs/>
      <w:sz w:val="24"/>
      <w:szCs w:val="24"/>
    </w:rPr>
  </w:style>
  <w:style w:type="paragraph" w:customStyle="1" w:styleId="31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13">
    <w:name w:val="_Style 1"/>
    <w:basedOn w:val="1"/>
    <w:qFormat/>
    <w:uiPriority w:val="34"/>
    <w:pPr>
      <w:ind w:firstLine="420" w:firstLineChars="200"/>
    </w:pPr>
  </w:style>
  <w:style w:type="character" w:customStyle="1" w:styleId="314">
    <w:name w:val="未处理的提及2"/>
    <w:basedOn w:val="47"/>
    <w:semiHidden/>
    <w:unhideWhenUsed/>
    <w:qFormat/>
    <w:uiPriority w:val="99"/>
    <w:rPr>
      <w:color w:val="605E5C"/>
      <w:shd w:val="clear" w:color="auto" w:fill="E1DFDD"/>
    </w:rPr>
  </w:style>
  <w:style w:type="paragraph" w:customStyle="1" w:styleId="315">
    <w:name w:val="列表段落11"/>
    <w:basedOn w:val="1"/>
    <w:qFormat/>
    <w:uiPriority w:val="34"/>
    <w:pPr>
      <w:spacing w:after="160" w:line="278" w:lineRule="auto"/>
      <w:ind w:firstLine="420" w:firstLineChars="200"/>
    </w:pPr>
    <w:rPr>
      <w:rFonts w:ascii="Calibri" w:hAnsi="Calibri"/>
    </w:rPr>
  </w:style>
  <w:style w:type="paragraph" w:customStyle="1" w:styleId="316">
    <w:name w:val="明显引用12"/>
    <w:basedOn w:val="1"/>
    <w:next w:val="1"/>
    <w:qFormat/>
    <w:uiPriority w:val="30"/>
    <w:pPr>
      <w:pBdr>
        <w:bottom w:val="single" w:color="4F81BD" w:sz="4" w:space="4"/>
      </w:pBdr>
      <w:spacing w:before="200" w:after="280" w:line="278" w:lineRule="auto"/>
      <w:ind w:left="936" w:right="936"/>
    </w:pPr>
    <w:rPr>
      <w:b/>
      <w:bCs/>
      <w:i/>
      <w:iCs/>
      <w:color w:val="4F81BD"/>
      <w:szCs w:val="20"/>
    </w:rPr>
  </w:style>
  <w:style w:type="paragraph" w:customStyle="1" w:styleId="317">
    <w:name w:val="引用11"/>
    <w:basedOn w:val="1"/>
    <w:next w:val="1"/>
    <w:qFormat/>
    <w:uiPriority w:val="29"/>
    <w:pPr>
      <w:spacing w:after="160" w:line="278" w:lineRule="auto"/>
    </w:pPr>
    <w:rPr>
      <w:i/>
      <w:iCs/>
      <w:color w:val="000000"/>
      <w:szCs w:val="20"/>
    </w:rPr>
  </w:style>
  <w:style w:type="paragraph" w:customStyle="1" w:styleId="318">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319">
    <w:name w:val="未处理的提及21"/>
    <w:basedOn w:val="4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B560C-FABF-40CD-A9B2-A6DE14B10C8D}">
  <ds:schemaRefs/>
</ds:datastoreItem>
</file>

<file path=docProps/app.xml><?xml version="1.0" encoding="utf-8"?>
<Properties xmlns="http://schemas.openxmlformats.org/officeDocument/2006/extended-properties" xmlns:vt="http://schemas.openxmlformats.org/officeDocument/2006/docPropsVTypes">
  <Template>Normal</Template>
  <Pages>175</Pages>
  <Words>13756</Words>
  <Characters>14815</Characters>
  <Lines>913</Lines>
  <Paragraphs>257</Paragraphs>
  <TotalTime>16</TotalTime>
  <ScaleCrop>false</ScaleCrop>
  <LinksUpToDate>false</LinksUpToDate>
  <CharactersWithSpaces>15454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2026-06-22T09:34:00Z</dcterms:created>
  <dc:creator>USER</dc:creator>
  <cp:lastModifiedBy>Blues Yu</cp:lastModifiedBy>
  <cp:lastPrinted>2026-05-15T00:47:00Z</cp:lastPrinted>
  <dcterms:modified xsi:type="dcterms:W3CDTF">2026-06-24T06:21:35Z</dcterms:modified>
  <dc:title>第一卷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67E023029F974640B6860A64BE12B7CD_13</vt:lpwstr>
  </property>
  <property fmtid="{D5CDD505-2E9C-101B-9397-08002B2CF9AE}" pid="4" name="KSOTemplateDocerSaveRecord">
    <vt:lpwstr>eyJoZGlkIjoiZTI1YjdjNjhmOWFjODYyYjVmOWUyMmM5YTFjMjJiMGEiLCJ1c2VySWQiOiI2NDYwNDMzMjkifQ==</vt:lpwstr>
  </property>
</Properties>
</file>