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283C56">
      <w:pPr>
        <w:spacing w:line="360" w:lineRule="auto"/>
        <w:jc w:val="center"/>
        <w:outlineLvl w:val="0"/>
        <w:rPr>
          <w:rFonts w:hint="eastAsia" w:ascii="宋体" w:hAnsi="宋体" w:eastAsia="宋体" w:cs="宋体"/>
          <w:b/>
          <w:kern w:val="0"/>
          <w:sz w:val="36"/>
          <w:szCs w:val="36"/>
          <w:lang w:eastAsia="zh-CN"/>
        </w:rPr>
      </w:pPr>
      <w:r>
        <w:rPr>
          <w:rFonts w:hint="eastAsia" w:ascii="宋体" w:hAnsi="宋体" w:eastAsia="宋体" w:cs="宋体"/>
          <w:b/>
          <w:color w:val="auto"/>
          <w:sz w:val="48"/>
          <w:szCs w:val="48"/>
          <w:highlight w:val="none"/>
          <w:u w:val="single"/>
          <w:lang w:val="en-US" w:eastAsia="zh-CN"/>
        </w:rPr>
        <w:t>周嘉镇勤劳村农田水利设施工程</w:t>
      </w:r>
    </w:p>
    <w:p w14:paraId="38F98166">
      <w:pPr>
        <w:spacing w:line="360" w:lineRule="auto"/>
        <w:outlineLvl w:val="0"/>
        <w:rPr>
          <w:rFonts w:hint="eastAsia" w:ascii="宋体" w:cs="宋体"/>
          <w:b/>
          <w:kern w:val="0"/>
          <w:sz w:val="30"/>
          <w:szCs w:val="30"/>
        </w:rPr>
      </w:pPr>
      <w:r>
        <w:rPr>
          <w:rFonts w:hint="eastAsia" w:ascii="宋体" w:hAnsi="宋体" w:cs="宋体"/>
          <w:b/>
          <w:kern w:val="0"/>
          <w:sz w:val="36"/>
          <w:szCs w:val="36"/>
        </w:rPr>
        <w:t xml:space="preserve"> </w:t>
      </w:r>
    </w:p>
    <w:p w14:paraId="526CD859">
      <w:pPr>
        <w:spacing w:line="360" w:lineRule="auto"/>
        <w:rPr>
          <w:rFonts w:ascii="宋体" w:cs="宋体"/>
          <w:b/>
          <w:kern w:val="0"/>
          <w:sz w:val="30"/>
          <w:szCs w:val="30"/>
        </w:rPr>
      </w:pPr>
    </w:p>
    <w:p w14:paraId="2A9A9D4E">
      <w:pPr>
        <w:spacing w:line="360" w:lineRule="auto"/>
        <w:jc w:val="center"/>
        <w:rPr>
          <w:rFonts w:ascii="宋体" w:cs="宋体"/>
          <w:b/>
          <w:kern w:val="0"/>
          <w:sz w:val="36"/>
          <w:szCs w:val="36"/>
        </w:rPr>
      </w:pPr>
    </w:p>
    <w:p w14:paraId="68C25441">
      <w:pPr>
        <w:snapToGrid w:val="0"/>
        <w:spacing w:line="360" w:lineRule="auto"/>
        <w:rPr>
          <w:rFonts w:ascii="宋体"/>
          <w:b/>
          <w:sz w:val="30"/>
          <w:szCs w:val="30"/>
        </w:rPr>
      </w:pPr>
    </w:p>
    <w:p w14:paraId="701B4FF0">
      <w:pPr>
        <w:snapToGrid w:val="0"/>
        <w:spacing w:line="360" w:lineRule="auto"/>
        <w:rPr>
          <w:rFonts w:ascii="宋体"/>
          <w:b/>
          <w:sz w:val="30"/>
          <w:szCs w:val="30"/>
        </w:rPr>
      </w:pPr>
    </w:p>
    <w:p w14:paraId="7F676E2D">
      <w:pPr>
        <w:spacing w:line="360" w:lineRule="auto"/>
        <w:jc w:val="center"/>
        <w:outlineLvl w:val="0"/>
        <w:rPr>
          <w:rFonts w:ascii="宋体"/>
        </w:rPr>
      </w:pPr>
      <w:bookmarkStart w:id="0" w:name="_Toc12527"/>
      <w:bookmarkStart w:id="1" w:name="_Toc26966"/>
      <w:bookmarkStart w:id="2" w:name="_Toc29274"/>
      <w:r>
        <w:rPr>
          <w:rFonts w:hint="eastAsia" w:ascii="宋体" w:hAnsi="宋体"/>
          <w:b/>
          <w:sz w:val="72"/>
          <w:szCs w:val="72"/>
        </w:rPr>
        <w:t>竞争性比选文件</w:t>
      </w:r>
      <w:bookmarkEnd w:id="0"/>
      <w:bookmarkEnd w:id="1"/>
      <w:bookmarkEnd w:id="2"/>
    </w:p>
    <w:p w14:paraId="5DD8BC7A">
      <w:pPr>
        <w:spacing w:line="360" w:lineRule="auto"/>
        <w:rPr>
          <w:rFonts w:ascii="宋体"/>
        </w:rPr>
      </w:pPr>
    </w:p>
    <w:p w14:paraId="76391D46">
      <w:pPr>
        <w:pStyle w:val="5"/>
        <w:rPr>
          <w:rFonts w:ascii="宋体"/>
        </w:rPr>
      </w:pPr>
    </w:p>
    <w:p w14:paraId="3193E18E">
      <w:pPr>
        <w:rPr>
          <w:rFonts w:ascii="宋体"/>
        </w:rPr>
      </w:pPr>
    </w:p>
    <w:p w14:paraId="1CBC146A">
      <w:pPr>
        <w:pStyle w:val="5"/>
      </w:pPr>
    </w:p>
    <w:p w14:paraId="2621CDDA">
      <w:pPr>
        <w:spacing w:line="360" w:lineRule="auto"/>
        <w:rPr>
          <w:rFonts w:ascii="宋体"/>
        </w:rPr>
      </w:pPr>
    </w:p>
    <w:p w14:paraId="2D324819">
      <w:pPr>
        <w:spacing w:line="360" w:lineRule="auto"/>
        <w:jc w:val="center"/>
        <w:outlineLvl w:val="0"/>
        <w:rPr>
          <w:rFonts w:ascii="宋体"/>
          <w:b/>
          <w:sz w:val="30"/>
          <w:szCs w:val="30"/>
          <w:u w:val="single"/>
        </w:rPr>
      </w:pPr>
      <w:bookmarkStart w:id="3" w:name="_Toc2133"/>
      <w:bookmarkStart w:id="4" w:name="_Toc10490"/>
      <w:bookmarkStart w:id="5" w:name="_Toc21824"/>
      <w:r>
        <w:rPr>
          <w:rFonts w:hint="eastAsia" w:ascii="宋体" w:hAnsi="宋体"/>
          <w:b/>
          <w:sz w:val="30"/>
          <w:szCs w:val="30"/>
        </w:rPr>
        <w:t>比选人：</w:t>
      </w:r>
      <w:r>
        <w:rPr>
          <w:rFonts w:hint="eastAsia" w:ascii="宋体" w:hAnsi="宋体"/>
          <w:b/>
          <w:sz w:val="30"/>
          <w:szCs w:val="30"/>
          <w:u w:val="single"/>
        </w:rPr>
        <w:t>垫江县周嘉镇勤劳村集体经济组织</w:t>
      </w:r>
      <w:r>
        <w:rPr>
          <w:rFonts w:hint="eastAsia" w:ascii="宋体" w:hAnsi="宋体"/>
          <w:b/>
          <w:sz w:val="30"/>
          <w:szCs w:val="30"/>
          <w:u w:val="none"/>
        </w:rPr>
        <w:t>（盖单位法人章）</w:t>
      </w:r>
      <w:bookmarkEnd w:id="3"/>
      <w:bookmarkEnd w:id="4"/>
      <w:bookmarkEnd w:id="5"/>
    </w:p>
    <w:p w14:paraId="6C6B643C">
      <w:pPr>
        <w:spacing w:line="360" w:lineRule="auto"/>
        <w:rPr>
          <w:rFonts w:ascii="宋体"/>
          <w:b/>
          <w:sz w:val="30"/>
          <w:szCs w:val="30"/>
          <w:u w:val="single"/>
        </w:rPr>
      </w:pPr>
    </w:p>
    <w:p w14:paraId="46F88462">
      <w:pPr>
        <w:spacing w:line="360" w:lineRule="auto"/>
        <w:jc w:val="center"/>
        <w:outlineLvl w:val="0"/>
        <w:rPr>
          <w:rFonts w:ascii="宋体"/>
          <w:b/>
          <w:sz w:val="30"/>
          <w:szCs w:val="30"/>
          <w:u w:val="single"/>
        </w:rPr>
      </w:pPr>
      <w:bookmarkStart w:id="6" w:name="_Toc3408"/>
      <w:bookmarkStart w:id="7" w:name="_Toc12626"/>
      <w:bookmarkStart w:id="8" w:name="_Toc17455"/>
      <w:r>
        <w:rPr>
          <w:rFonts w:hint="eastAsia" w:ascii="宋体" w:hAnsi="宋体"/>
          <w:b/>
          <w:sz w:val="30"/>
          <w:szCs w:val="30"/>
        </w:rPr>
        <w:t>比选代理机构：</w:t>
      </w:r>
      <w:r>
        <w:rPr>
          <w:rFonts w:hint="eastAsia" w:ascii="宋体" w:hAnsi="宋体"/>
          <w:b/>
          <w:sz w:val="30"/>
          <w:szCs w:val="30"/>
          <w:u w:val="single"/>
        </w:rPr>
        <w:t>重庆皓辰建设工程咨询有限公司</w:t>
      </w:r>
      <w:r>
        <w:rPr>
          <w:rFonts w:hint="eastAsia" w:ascii="宋体" w:hAnsi="宋体"/>
          <w:b/>
          <w:sz w:val="30"/>
          <w:szCs w:val="30"/>
          <w:u w:val="none"/>
        </w:rPr>
        <w:t>（盖单位法人章）</w:t>
      </w:r>
      <w:bookmarkEnd w:id="6"/>
      <w:bookmarkEnd w:id="7"/>
      <w:bookmarkEnd w:id="8"/>
    </w:p>
    <w:p w14:paraId="78626791">
      <w:pPr>
        <w:spacing w:line="360" w:lineRule="auto"/>
        <w:jc w:val="center"/>
        <w:rPr>
          <w:rFonts w:ascii="宋体"/>
          <w:b/>
          <w:sz w:val="30"/>
          <w:szCs w:val="30"/>
          <w:u w:val="single"/>
        </w:rPr>
      </w:pPr>
    </w:p>
    <w:p w14:paraId="36CF2946">
      <w:pPr>
        <w:pStyle w:val="2"/>
      </w:pPr>
    </w:p>
    <w:p w14:paraId="479BEEB0">
      <w:pPr>
        <w:autoSpaceDE w:val="0"/>
        <w:autoSpaceDN w:val="0"/>
        <w:adjustRightInd w:val="0"/>
        <w:snapToGrid w:val="0"/>
        <w:spacing w:line="360" w:lineRule="auto"/>
        <w:jc w:val="center"/>
        <w:rPr>
          <w:rFonts w:ascii="宋体" w:cs="宋体"/>
          <w:b/>
          <w:sz w:val="32"/>
          <w:szCs w:val="32"/>
        </w:rPr>
        <w:sectPr>
          <w:headerReference r:id="rId3" w:type="default"/>
          <w:footerReference r:id="rId4" w:type="default"/>
          <w:pgSz w:w="11906" w:h="16838"/>
          <w:pgMar w:top="1440" w:right="1797" w:bottom="1440" w:left="1298" w:header="851" w:footer="992" w:gutter="0"/>
          <w:pgNumType w:chapStyle="1"/>
          <w:cols w:space="720" w:num="1"/>
          <w:docGrid w:linePitch="312" w:charSpace="0"/>
        </w:sectPr>
      </w:pPr>
      <w:bookmarkStart w:id="9" w:name="_Toc152042286"/>
      <w:bookmarkStart w:id="10" w:name="_Toc144974478"/>
      <w:r>
        <w:rPr>
          <w:rFonts w:hint="eastAsia" w:ascii="宋体" w:hAnsi="宋体" w:cs="宋体"/>
          <w:b/>
          <w:sz w:val="32"/>
          <w:szCs w:val="32"/>
        </w:rPr>
        <w:t>二〇二六年</w:t>
      </w:r>
      <w:r>
        <w:rPr>
          <w:rFonts w:hint="eastAsia" w:ascii="宋体" w:hAnsi="宋体" w:cs="宋体"/>
          <w:b/>
          <w:sz w:val="32"/>
          <w:szCs w:val="32"/>
          <w:lang w:val="en-US" w:eastAsia="zh-CN"/>
        </w:rPr>
        <w:t>八</w:t>
      </w:r>
      <w:r>
        <w:rPr>
          <w:rFonts w:hint="eastAsia" w:ascii="宋体" w:hAnsi="宋体" w:cs="宋体"/>
          <w:b/>
          <w:sz w:val="32"/>
          <w:szCs w:val="32"/>
        </w:rPr>
        <w:t>月</w:t>
      </w:r>
    </w:p>
    <w:p w14:paraId="215436BC">
      <w:pPr>
        <w:autoSpaceDE w:val="0"/>
        <w:autoSpaceDN w:val="0"/>
        <w:adjustRightInd w:val="0"/>
        <w:snapToGrid w:val="0"/>
        <w:spacing w:line="360" w:lineRule="auto"/>
        <w:jc w:val="center"/>
        <w:rPr>
          <w:rFonts w:ascii="宋体"/>
          <w:bCs/>
          <w:szCs w:val="21"/>
        </w:rPr>
      </w:pPr>
      <w:r>
        <w:rPr>
          <w:rFonts w:ascii="宋体"/>
        </w:rPr>
        <w:tab/>
      </w:r>
      <w:r>
        <w:rPr>
          <w:rFonts w:hint="eastAsia" w:ascii="宋体" w:hAnsi="宋体"/>
          <w:b/>
          <w:bCs/>
          <w:sz w:val="32"/>
        </w:rPr>
        <w:t>目  录</w:t>
      </w:r>
      <w:bookmarkEnd w:id="9"/>
      <w:bookmarkEnd w:id="10"/>
      <w:r>
        <w:rPr>
          <w:rFonts w:ascii="宋体"/>
          <w:b/>
          <w:bCs/>
          <w:sz w:val="32"/>
        </w:rPr>
        <w:tab/>
      </w:r>
      <w:bookmarkStart w:id="11" w:name="_Toc144974479"/>
      <w:bookmarkStart w:id="12" w:name="_Toc152045511"/>
      <w:bookmarkStart w:id="13" w:name="_Toc152042287"/>
    </w:p>
    <w:p w14:paraId="349E1221">
      <w:pPr>
        <w:pStyle w:val="37"/>
        <w:tabs>
          <w:tab w:val="right" w:leader="dot" w:pos="8801"/>
        </w:tabs>
        <w:spacing w:line="480" w:lineRule="auto"/>
        <w:rPr>
          <w:b/>
          <w:bCs/>
          <w:sz w:val="21"/>
          <w:szCs w:val="21"/>
        </w:rPr>
      </w:pPr>
      <w:bookmarkStart w:id="14" w:name="_Toc238797531"/>
      <w:bookmarkStart w:id="15" w:name="_Toc73140356"/>
      <w:bookmarkStart w:id="16" w:name="_Toc238552176"/>
      <w:bookmarkStart w:id="17" w:name="_Toc416768968"/>
      <w:bookmarkStart w:id="18" w:name="_Toc9935"/>
      <w:r>
        <w:rPr>
          <w:b/>
          <w:bCs/>
          <w:sz w:val="21"/>
          <w:szCs w:val="21"/>
        </w:rPr>
        <w:fldChar w:fldCharType="begin"/>
      </w:r>
      <w:r>
        <w:rPr>
          <w:b/>
          <w:bCs/>
          <w:sz w:val="21"/>
          <w:szCs w:val="21"/>
        </w:rPr>
        <w:instrText xml:space="preserve">TOC \o "1-1" \h \u </w:instrText>
      </w:r>
      <w:r>
        <w:rPr>
          <w:b/>
          <w:bCs/>
          <w:sz w:val="21"/>
          <w:szCs w:val="21"/>
        </w:rPr>
        <w:fldChar w:fldCharType="separate"/>
      </w:r>
    </w:p>
    <w:p w14:paraId="4DF27F2E">
      <w:pPr>
        <w:pStyle w:val="37"/>
        <w:tabs>
          <w:tab w:val="right" w:leader="dot" w:pos="8801"/>
        </w:tabs>
        <w:spacing w:line="480" w:lineRule="auto"/>
        <w:jc w:val="center"/>
        <w:rPr>
          <w:rFonts w:hint="eastAsia" w:ascii="宋体" w:hAnsi="宋体" w:cs="宋体"/>
          <w:b/>
          <w:bCs/>
          <w:sz w:val="21"/>
          <w:szCs w:val="21"/>
        </w:rPr>
      </w:pPr>
      <w:r>
        <w:rPr>
          <w:rFonts w:hint="eastAsia" w:ascii="宋体" w:hAnsi="宋体" w:cs="宋体"/>
          <w:b/>
          <w:bCs/>
          <w:sz w:val="21"/>
          <w:szCs w:val="21"/>
        </w:rPr>
        <w:fldChar w:fldCharType="begin"/>
      </w:r>
      <w:r>
        <w:rPr>
          <w:rFonts w:hint="eastAsia" w:ascii="宋体" w:hAnsi="宋体" w:cs="宋体"/>
          <w:b/>
          <w:bCs/>
          <w:sz w:val="21"/>
          <w:szCs w:val="21"/>
        </w:rPr>
        <w:instrText xml:space="preserve"> HYPERLINK \l _Toc9292 </w:instrText>
      </w:r>
      <w:r>
        <w:rPr>
          <w:rFonts w:hint="eastAsia" w:ascii="宋体" w:hAnsi="宋体" w:cs="宋体"/>
          <w:b/>
          <w:bCs/>
          <w:sz w:val="21"/>
          <w:szCs w:val="21"/>
        </w:rPr>
        <w:fldChar w:fldCharType="separate"/>
      </w:r>
      <w:r>
        <w:rPr>
          <w:rFonts w:hint="eastAsia" w:ascii="宋体" w:hAnsi="宋体" w:cs="宋体"/>
          <w:b/>
          <w:bCs/>
          <w:sz w:val="21"/>
          <w:szCs w:val="21"/>
        </w:rPr>
        <w:t>第一章 比选公告</w:t>
      </w:r>
      <w:r>
        <w:rPr>
          <w:rFonts w:hint="eastAsia" w:ascii="宋体" w:hAnsi="宋体" w:cs="宋体"/>
          <w:b/>
          <w:bCs/>
          <w:sz w:val="21"/>
          <w:szCs w:val="21"/>
        </w:rPr>
        <w:tab/>
      </w:r>
      <w:r>
        <w:rPr>
          <w:rFonts w:hint="eastAsia" w:ascii="宋体" w:hAnsi="宋体" w:cs="宋体"/>
          <w:b/>
          <w:bCs/>
          <w:sz w:val="21"/>
          <w:szCs w:val="21"/>
        </w:rPr>
        <w:fldChar w:fldCharType="begin"/>
      </w:r>
      <w:r>
        <w:rPr>
          <w:rFonts w:hint="eastAsia" w:ascii="宋体" w:hAnsi="宋体" w:cs="宋体"/>
          <w:b/>
          <w:bCs/>
          <w:sz w:val="21"/>
          <w:szCs w:val="21"/>
        </w:rPr>
        <w:instrText xml:space="preserve"> PAGEREF _Toc9292 \h </w:instrText>
      </w:r>
      <w:r>
        <w:rPr>
          <w:rFonts w:hint="eastAsia" w:ascii="宋体" w:hAnsi="宋体" w:cs="宋体"/>
          <w:b/>
          <w:bCs/>
          <w:sz w:val="21"/>
          <w:szCs w:val="21"/>
        </w:rPr>
        <w:fldChar w:fldCharType="separate"/>
      </w:r>
      <w:r>
        <w:rPr>
          <w:rFonts w:hint="eastAsia" w:ascii="宋体" w:hAnsi="宋体" w:cs="宋体"/>
          <w:b/>
          <w:bCs/>
          <w:sz w:val="21"/>
          <w:szCs w:val="21"/>
        </w:rPr>
        <w:t>2</w:t>
      </w:r>
      <w:r>
        <w:rPr>
          <w:rFonts w:hint="eastAsia" w:ascii="宋体" w:hAnsi="宋体" w:cs="宋体"/>
          <w:b/>
          <w:bCs/>
          <w:sz w:val="21"/>
          <w:szCs w:val="21"/>
        </w:rPr>
        <w:fldChar w:fldCharType="end"/>
      </w:r>
      <w:r>
        <w:rPr>
          <w:rFonts w:hint="eastAsia" w:ascii="宋体" w:hAnsi="宋体" w:cs="宋体"/>
          <w:b/>
          <w:bCs/>
          <w:sz w:val="21"/>
          <w:szCs w:val="21"/>
        </w:rPr>
        <w:fldChar w:fldCharType="end"/>
      </w:r>
    </w:p>
    <w:p w14:paraId="31910B11">
      <w:pPr>
        <w:pStyle w:val="37"/>
        <w:tabs>
          <w:tab w:val="right" w:leader="dot" w:pos="8801"/>
        </w:tabs>
        <w:spacing w:line="480" w:lineRule="auto"/>
        <w:jc w:val="center"/>
        <w:rPr>
          <w:rFonts w:hint="eastAsia" w:ascii="宋体" w:hAnsi="宋体" w:cs="宋体"/>
          <w:b/>
          <w:bCs/>
          <w:sz w:val="21"/>
          <w:szCs w:val="21"/>
        </w:rPr>
      </w:pPr>
      <w:r>
        <w:rPr>
          <w:rFonts w:hint="eastAsia" w:ascii="宋体" w:hAnsi="宋体" w:cs="宋体"/>
          <w:b/>
          <w:bCs/>
          <w:sz w:val="21"/>
          <w:szCs w:val="21"/>
        </w:rPr>
        <w:fldChar w:fldCharType="begin"/>
      </w:r>
      <w:r>
        <w:rPr>
          <w:rFonts w:hint="eastAsia" w:ascii="宋体" w:hAnsi="宋体" w:cs="宋体"/>
          <w:b/>
          <w:bCs/>
          <w:sz w:val="21"/>
          <w:szCs w:val="21"/>
        </w:rPr>
        <w:instrText xml:space="preserve"> HYPERLINK \l _Toc22331 </w:instrText>
      </w:r>
      <w:r>
        <w:rPr>
          <w:rFonts w:hint="eastAsia" w:ascii="宋体" w:hAnsi="宋体" w:cs="宋体"/>
          <w:b/>
          <w:bCs/>
          <w:sz w:val="21"/>
          <w:szCs w:val="21"/>
        </w:rPr>
        <w:fldChar w:fldCharType="separate"/>
      </w:r>
      <w:r>
        <w:rPr>
          <w:rFonts w:hint="eastAsia" w:ascii="宋体" w:hAnsi="宋体" w:cs="宋体"/>
          <w:b/>
          <w:bCs/>
          <w:sz w:val="21"/>
          <w:szCs w:val="21"/>
        </w:rPr>
        <w:t>第二章 竞选人须知</w:t>
      </w:r>
      <w:r>
        <w:rPr>
          <w:rFonts w:hint="eastAsia" w:ascii="宋体" w:hAnsi="宋体" w:cs="宋体"/>
          <w:b/>
          <w:bCs/>
          <w:sz w:val="21"/>
          <w:szCs w:val="21"/>
        </w:rPr>
        <w:tab/>
      </w:r>
      <w:r>
        <w:rPr>
          <w:rFonts w:hint="eastAsia" w:ascii="宋体" w:hAnsi="宋体" w:cs="宋体"/>
          <w:b/>
          <w:bCs/>
          <w:sz w:val="21"/>
          <w:szCs w:val="21"/>
        </w:rPr>
        <w:fldChar w:fldCharType="end"/>
      </w:r>
      <w:r>
        <w:rPr>
          <w:rFonts w:hint="eastAsia" w:ascii="宋体" w:hAnsi="宋体" w:cs="宋体"/>
          <w:b/>
          <w:bCs/>
          <w:sz w:val="21"/>
          <w:szCs w:val="21"/>
        </w:rPr>
        <w:t>4</w:t>
      </w:r>
    </w:p>
    <w:p w14:paraId="1613931D">
      <w:pPr>
        <w:pStyle w:val="37"/>
        <w:tabs>
          <w:tab w:val="right" w:leader="dot" w:pos="8801"/>
        </w:tabs>
        <w:spacing w:line="480" w:lineRule="auto"/>
        <w:jc w:val="center"/>
        <w:rPr>
          <w:rFonts w:hint="eastAsia" w:ascii="宋体" w:hAnsi="宋体" w:cs="宋体"/>
          <w:b/>
          <w:bCs/>
          <w:sz w:val="21"/>
          <w:szCs w:val="21"/>
        </w:rPr>
      </w:pPr>
      <w:r>
        <w:rPr>
          <w:rFonts w:hint="eastAsia" w:ascii="宋体" w:hAnsi="宋体" w:cs="宋体"/>
          <w:b/>
          <w:bCs/>
          <w:sz w:val="21"/>
          <w:szCs w:val="21"/>
        </w:rPr>
        <w:fldChar w:fldCharType="begin"/>
      </w:r>
      <w:r>
        <w:rPr>
          <w:rFonts w:hint="eastAsia" w:ascii="宋体" w:hAnsi="宋体" w:cs="宋体"/>
          <w:b/>
          <w:bCs/>
          <w:sz w:val="21"/>
          <w:szCs w:val="21"/>
        </w:rPr>
        <w:instrText xml:space="preserve"> HYPERLINK \l _Toc22962 </w:instrText>
      </w:r>
      <w:r>
        <w:rPr>
          <w:rFonts w:hint="eastAsia" w:ascii="宋体" w:hAnsi="宋体" w:cs="宋体"/>
          <w:b/>
          <w:bCs/>
          <w:sz w:val="21"/>
          <w:szCs w:val="21"/>
        </w:rPr>
        <w:fldChar w:fldCharType="separate"/>
      </w:r>
      <w:r>
        <w:rPr>
          <w:rFonts w:hint="eastAsia" w:ascii="宋体" w:hAnsi="宋体" w:cs="宋体"/>
          <w:b/>
          <w:bCs/>
          <w:sz w:val="21"/>
          <w:szCs w:val="21"/>
        </w:rPr>
        <w:t>第三章 评标办法（经评审的最低</w:t>
      </w:r>
      <w:r>
        <w:rPr>
          <w:rFonts w:hint="eastAsia" w:ascii="宋体" w:hAnsi="宋体" w:cs="宋体"/>
          <w:b/>
          <w:bCs/>
          <w:sz w:val="21"/>
          <w:szCs w:val="21"/>
          <w:lang w:eastAsia="zh-CN"/>
        </w:rPr>
        <w:t>竞选</w:t>
      </w:r>
      <w:r>
        <w:rPr>
          <w:rFonts w:hint="eastAsia" w:ascii="宋体" w:hAnsi="宋体" w:cs="宋体"/>
          <w:b/>
          <w:bCs/>
          <w:sz w:val="21"/>
          <w:szCs w:val="21"/>
        </w:rPr>
        <w:t>价法</w:t>
      </w:r>
      <w:r>
        <w:rPr>
          <w:rFonts w:hint="eastAsia" w:ascii="宋体" w:hAnsi="宋体" w:cs="宋体"/>
          <w:b/>
          <w:bCs/>
          <w:sz w:val="21"/>
          <w:szCs w:val="21"/>
          <w:lang w:eastAsia="zh-CN"/>
        </w:rPr>
        <w:t>）</w:t>
      </w:r>
      <w:r>
        <w:rPr>
          <w:rFonts w:hint="eastAsia" w:ascii="宋体" w:hAnsi="宋体" w:cs="宋体"/>
          <w:b/>
          <w:bCs/>
          <w:sz w:val="21"/>
          <w:szCs w:val="21"/>
        </w:rPr>
        <w:tab/>
      </w:r>
      <w:r>
        <w:rPr>
          <w:rFonts w:hint="eastAsia" w:ascii="宋体" w:hAnsi="宋体" w:cs="宋体"/>
          <w:b/>
          <w:bCs/>
          <w:sz w:val="21"/>
          <w:szCs w:val="21"/>
        </w:rPr>
        <w:fldChar w:fldCharType="end"/>
      </w:r>
      <w:r>
        <w:rPr>
          <w:rFonts w:hint="eastAsia" w:ascii="宋体" w:hAnsi="宋体" w:cs="宋体"/>
          <w:b/>
          <w:bCs/>
          <w:sz w:val="21"/>
          <w:szCs w:val="21"/>
        </w:rPr>
        <w:t>22</w:t>
      </w:r>
    </w:p>
    <w:p w14:paraId="55F50ACE">
      <w:pPr>
        <w:pStyle w:val="37"/>
        <w:tabs>
          <w:tab w:val="right" w:leader="dot" w:pos="8801"/>
        </w:tabs>
        <w:spacing w:line="480" w:lineRule="auto"/>
        <w:jc w:val="center"/>
        <w:rPr>
          <w:rFonts w:hint="eastAsia" w:ascii="宋体" w:hAnsi="宋体" w:cs="宋体"/>
          <w:b/>
          <w:bCs/>
          <w:sz w:val="21"/>
          <w:szCs w:val="21"/>
        </w:rPr>
      </w:pPr>
      <w:r>
        <w:rPr>
          <w:rFonts w:hint="eastAsia" w:ascii="宋体" w:hAnsi="宋体" w:cs="宋体"/>
          <w:b/>
          <w:bCs/>
          <w:sz w:val="21"/>
          <w:szCs w:val="21"/>
        </w:rPr>
        <w:fldChar w:fldCharType="begin"/>
      </w:r>
      <w:r>
        <w:rPr>
          <w:rFonts w:hint="eastAsia" w:ascii="宋体" w:hAnsi="宋体" w:cs="宋体"/>
          <w:b/>
          <w:bCs/>
          <w:sz w:val="21"/>
          <w:szCs w:val="21"/>
        </w:rPr>
        <w:instrText xml:space="preserve"> HYPERLINK \l _Toc14257 </w:instrText>
      </w:r>
      <w:r>
        <w:rPr>
          <w:rFonts w:hint="eastAsia" w:ascii="宋体" w:hAnsi="宋体" w:cs="宋体"/>
          <w:b/>
          <w:bCs/>
          <w:sz w:val="21"/>
          <w:szCs w:val="21"/>
        </w:rPr>
        <w:fldChar w:fldCharType="separate"/>
      </w:r>
      <w:r>
        <w:rPr>
          <w:rFonts w:hint="eastAsia" w:ascii="宋体" w:hAnsi="宋体" w:cs="宋体"/>
          <w:b/>
          <w:bCs/>
          <w:sz w:val="21"/>
          <w:szCs w:val="21"/>
        </w:rPr>
        <w:t>第四章 合同条款及格式</w:t>
      </w:r>
      <w:r>
        <w:rPr>
          <w:rFonts w:hint="eastAsia" w:ascii="宋体" w:hAnsi="宋体" w:cs="宋体"/>
          <w:b/>
          <w:bCs/>
          <w:sz w:val="21"/>
          <w:szCs w:val="21"/>
        </w:rPr>
        <w:tab/>
      </w:r>
      <w:r>
        <w:rPr>
          <w:rFonts w:hint="eastAsia" w:ascii="宋体" w:hAnsi="宋体" w:cs="宋体"/>
          <w:b/>
          <w:bCs/>
          <w:sz w:val="21"/>
          <w:szCs w:val="21"/>
        </w:rPr>
        <w:fldChar w:fldCharType="end"/>
      </w:r>
      <w:r>
        <w:rPr>
          <w:rFonts w:hint="eastAsia" w:ascii="宋体" w:hAnsi="宋体" w:cs="宋体"/>
          <w:b/>
          <w:bCs/>
          <w:sz w:val="21"/>
          <w:szCs w:val="21"/>
        </w:rPr>
        <w:t>28</w:t>
      </w:r>
    </w:p>
    <w:p w14:paraId="5A0B2A17">
      <w:pPr>
        <w:pStyle w:val="37"/>
        <w:tabs>
          <w:tab w:val="right" w:leader="dot" w:pos="8801"/>
        </w:tabs>
        <w:spacing w:line="480" w:lineRule="auto"/>
        <w:jc w:val="center"/>
        <w:rPr>
          <w:rFonts w:ascii="宋体" w:hAnsi="宋体" w:cs="宋体"/>
          <w:b/>
          <w:bCs/>
          <w:sz w:val="21"/>
          <w:szCs w:val="21"/>
        </w:rPr>
      </w:pPr>
      <w:r>
        <w:rPr>
          <w:rFonts w:hint="eastAsia" w:ascii="宋体" w:hAnsi="宋体" w:cs="宋体"/>
          <w:b/>
          <w:bCs/>
          <w:sz w:val="21"/>
          <w:szCs w:val="21"/>
        </w:rPr>
        <w:fldChar w:fldCharType="begin"/>
      </w:r>
      <w:r>
        <w:rPr>
          <w:rFonts w:hint="eastAsia" w:ascii="宋体" w:hAnsi="宋体" w:cs="宋体"/>
          <w:b/>
          <w:bCs/>
          <w:sz w:val="21"/>
          <w:szCs w:val="21"/>
        </w:rPr>
        <w:instrText xml:space="preserve"> HYPERLINK \l _Toc23697 </w:instrText>
      </w:r>
      <w:r>
        <w:rPr>
          <w:rFonts w:hint="eastAsia" w:ascii="宋体" w:hAnsi="宋体" w:cs="宋体"/>
          <w:b/>
          <w:bCs/>
          <w:sz w:val="21"/>
          <w:szCs w:val="21"/>
        </w:rPr>
        <w:fldChar w:fldCharType="separate"/>
      </w:r>
      <w:r>
        <w:rPr>
          <w:rFonts w:hint="eastAsia" w:ascii="宋体" w:hAnsi="宋体" w:cs="宋体"/>
          <w:b/>
          <w:bCs/>
          <w:sz w:val="21"/>
          <w:szCs w:val="21"/>
        </w:rPr>
        <w:t>第五章 技术标准</w:t>
      </w:r>
      <w:r>
        <w:rPr>
          <w:rFonts w:hint="eastAsia" w:ascii="宋体" w:hAnsi="宋体" w:cs="宋体"/>
          <w:b/>
          <w:bCs/>
          <w:sz w:val="21"/>
          <w:szCs w:val="21"/>
        </w:rPr>
        <w:tab/>
      </w:r>
      <w:r>
        <w:rPr>
          <w:rFonts w:hint="eastAsia" w:ascii="宋体" w:hAnsi="宋体" w:cs="宋体"/>
          <w:b/>
          <w:bCs/>
          <w:sz w:val="21"/>
          <w:szCs w:val="21"/>
        </w:rPr>
        <w:fldChar w:fldCharType="end"/>
      </w:r>
      <w:r>
        <w:rPr>
          <w:rFonts w:hint="eastAsia" w:ascii="宋体" w:hAnsi="宋体" w:cs="宋体"/>
          <w:b/>
          <w:bCs/>
          <w:sz w:val="21"/>
          <w:szCs w:val="21"/>
        </w:rPr>
        <w:t>82</w:t>
      </w:r>
    </w:p>
    <w:p w14:paraId="3B4C0864">
      <w:pPr>
        <w:pStyle w:val="37"/>
        <w:tabs>
          <w:tab w:val="right" w:leader="dot" w:pos="8801"/>
        </w:tabs>
        <w:spacing w:line="480" w:lineRule="auto"/>
        <w:jc w:val="center"/>
        <w:rPr>
          <w:rFonts w:ascii="宋体" w:hAnsi="宋体" w:cs="宋体"/>
          <w:b/>
          <w:bCs/>
          <w:sz w:val="21"/>
          <w:szCs w:val="21"/>
        </w:rPr>
      </w:pPr>
      <w:r>
        <w:rPr>
          <w:rFonts w:hint="eastAsia" w:ascii="宋体" w:hAnsi="宋体" w:cs="宋体"/>
          <w:b/>
          <w:bCs/>
          <w:sz w:val="21"/>
          <w:szCs w:val="21"/>
        </w:rPr>
        <w:fldChar w:fldCharType="begin"/>
      </w:r>
      <w:r>
        <w:rPr>
          <w:rFonts w:hint="eastAsia" w:ascii="宋体" w:hAnsi="宋体" w:cs="宋体"/>
          <w:b/>
          <w:bCs/>
          <w:sz w:val="21"/>
          <w:szCs w:val="21"/>
        </w:rPr>
        <w:instrText xml:space="preserve"> HYPERLINK \l _Toc8248 </w:instrText>
      </w:r>
      <w:r>
        <w:rPr>
          <w:rFonts w:hint="eastAsia" w:ascii="宋体" w:hAnsi="宋体" w:cs="宋体"/>
          <w:b/>
          <w:bCs/>
          <w:sz w:val="21"/>
          <w:szCs w:val="21"/>
        </w:rPr>
        <w:fldChar w:fldCharType="separate"/>
      </w:r>
      <w:r>
        <w:rPr>
          <w:rFonts w:hint="eastAsia" w:ascii="宋体" w:hAnsi="宋体" w:cs="宋体"/>
          <w:b/>
          <w:bCs/>
          <w:sz w:val="21"/>
          <w:szCs w:val="21"/>
        </w:rPr>
        <w:t>第六章 竞选文件格式</w:t>
      </w:r>
      <w:r>
        <w:rPr>
          <w:rFonts w:hint="eastAsia" w:ascii="宋体" w:hAnsi="宋体" w:cs="宋体"/>
          <w:b/>
          <w:bCs/>
          <w:sz w:val="21"/>
          <w:szCs w:val="21"/>
        </w:rPr>
        <w:tab/>
      </w:r>
      <w:r>
        <w:rPr>
          <w:rFonts w:hint="eastAsia" w:ascii="宋体" w:hAnsi="宋体" w:cs="宋体"/>
          <w:b/>
          <w:bCs/>
          <w:sz w:val="21"/>
          <w:szCs w:val="21"/>
        </w:rPr>
        <w:fldChar w:fldCharType="end"/>
      </w:r>
      <w:r>
        <w:rPr>
          <w:rFonts w:hint="eastAsia" w:ascii="宋体" w:hAnsi="宋体" w:cs="宋体"/>
          <w:b/>
          <w:bCs/>
          <w:sz w:val="21"/>
          <w:szCs w:val="21"/>
        </w:rPr>
        <w:t>86</w:t>
      </w:r>
    </w:p>
    <w:p w14:paraId="37E8B237">
      <w:pPr>
        <w:pStyle w:val="37"/>
        <w:tabs>
          <w:tab w:val="right" w:leader="dot" w:pos="8801"/>
        </w:tabs>
        <w:spacing w:line="480" w:lineRule="auto"/>
        <w:rPr>
          <w:b/>
          <w:bCs/>
          <w:sz w:val="21"/>
          <w:szCs w:val="21"/>
        </w:rPr>
      </w:pPr>
      <w:r>
        <w:rPr>
          <w:b/>
          <w:bCs/>
          <w:sz w:val="21"/>
          <w:szCs w:val="21"/>
        </w:rPr>
        <w:fldChar w:fldCharType="end"/>
      </w:r>
    </w:p>
    <w:p w14:paraId="7C2D0AAE">
      <w:pPr>
        <w:pStyle w:val="37"/>
        <w:tabs>
          <w:tab w:val="right" w:leader="dot" w:pos="8801"/>
        </w:tabs>
        <w:spacing w:line="360" w:lineRule="auto"/>
        <w:ind w:left="0"/>
        <w:jc w:val="center"/>
        <w:outlineLvl w:val="0"/>
        <w:rPr>
          <w:rFonts w:ascii="宋体"/>
          <w:b/>
          <w:sz w:val="44"/>
          <w:szCs w:val="44"/>
        </w:rPr>
      </w:pPr>
      <w:bookmarkStart w:id="486" w:name="_GoBack"/>
      <w:bookmarkEnd w:id="486"/>
      <w:r>
        <w:br w:type="page"/>
      </w:r>
      <w:bookmarkStart w:id="19" w:name="_Toc9292"/>
      <w:bookmarkStart w:id="20" w:name="_Toc2194"/>
      <w:r>
        <w:rPr>
          <w:rFonts w:hint="eastAsia" w:ascii="宋体" w:hAnsi="宋体"/>
          <w:b/>
          <w:sz w:val="44"/>
          <w:szCs w:val="44"/>
        </w:rPr>
        <w:t>第一章 比选公告</w:t>
      </w:r>
      <w:bookmarkEnd w:id="11"/>
      <w:bookmarkEnd w:id="12"/>
      <w:bookmarkEnd w:id="13"/>
      <w:bookmarkEnd w:id="14"/>
      <w:bookmarkEnd w:id="15"/>
      <w:bookmarkEnd w:id="16"/>
      <w:bookmarkEnd w:id="17"/>
      <w:bookmarkEnd w:id="18"/>
      <w:bookmarkEnd w:id="19"/>
      <w:bookmarkEnd w:id="20"/>
    </w:p>
    <w:p w14:paraId="4ABC2F72">
      <w:pPr>
        <w:spacing w:line="360" w:lineRule="auto"/>
        <w:jc w:val="center"/>
        <w:rPr>
          <w:rFonts w:ascii="宋体"/>
          <w:b/>
          <w:sz w:val="28"/>
          <w:szCs w:val="28"/>
        </w:rPr>
      </w:pPr>
      <w:bookmarkStart w:id="21" w:name="_Toc152045527"/>
      <w:bookmarkStart w:id="22" w:name="_Toc238797548"/>
      <w:bookmarkStart w:id="23" w:name="_Toc238552193"/>
      <w:bookmarkStart w:id="24" w:name="_Toc144974495"/>
      <w:bookmarkStart w:id="25" w:name="_Toc152042303"/>
      <w:r>
        <w:rPr>
          <w:rFonts w:hint="eastAsia" w:ascii="宋体" w:hAnsi="宋体" w:eastAsia="宋体"/>
          <w:b/>
          <w:sz w:val="30"/>
          <w:szCs w:val="30"/>
          <w:lang w:eastAsia="zh-CN"/>
        </w:rPr>
        <w:t>周嘉镇勤劳村农田水利设施工程</w:t>
      </w:r>
      <w:r>
        <w:rPr>
          <w:rFonts w:hint="eastAsia" w:ascii="宋体" w:hAnsi="宋体"/>
          <w:b/>
          <w:sz w:val="30"/>
          <w:szCs w:val="30"/>
        </w:rPr>
        <w:t>比选公告</w:t>
      </w:r>
    </w:p>
    <w:p w14:paraId="2A7D3977">
      <w:pPr>
        <w:pStyle w:val="366"/>
        <w:spacing w:before="0" w:line="360" w:lineRule="auto"/>
        <w:outlineLvl w:val="2"/>
        <w:rPr>
          <w:rFonts w:ascii="宋体" w:hAnsi="宋体" w:cs="Times New Roman"/>
          <w:szCs w:val="28"/>
        </w:rPr>
      </w:pPr>
      <w:bookmarkStart w:id="26" w:name="_Toc13624"/>
      <w:bookmarkStart w:id="27" w:name="_Toc238797532"/>
      <w:bookmarkStart w:id="28" w:name="_Toc365123612"/>
      <w:bookmarkStart w:id="29" w:name="_Toc73140357"/>
      <w:bookmarkStart w:id="30" w:name="_Toc144974480"/>
      <w:bookmarkStart w:id="31" w:name="_Toc28153"/>
      <w:bookmarkStart w:id="32" w:name="_Toc152045512"/>
      <w:bookmarkStart w:id="33" w:name="_Toc238552177"/>
      <w:bookmarkStart w:id="34" w:name="_Toc152042288"/>
      <w:bookmarkStart w:id="35" w:name="_Toc258507990"/>
      <w:bookmarkStart w:id="36" w:name="_Toc26617"/>
      <w:bookmarkStart w:id="37" w:name="_Toc416768969"/>
      <w:r>
        <w:rPr>
          <w:rFonts w:ascii="宋体" w:hAnsi="宋体" w:cs="Times New Roman"/>
          <w:b/>
          <w:szCs w:val="28"/>
        </w:rPr>
        <w:t>1</w:t>
      </w:r>
      <w:r>
        <w:rPr>
          <w:rFonts w:hint="eastAsia" w:ascii="宋体" w:hAnsi="宋体" w:cs="Times New Roman"/>
          <w:b/>
          <w:szCs w:val="28"/>
        </w:rPr>
        <w:t>．比选条件</w:t>
      </w:r>
      <w:bookmarkEnd w:id="26"/>
      <w:bookmarkEnd w:id="27"/>
      <w:bookmarkEnd w:id="28"/>
      <w:bookmarkEnd w:id="29"/>
      <w:bookmarkEnd w:id="30"/>
      <w:bookmarkEnd w:id="31"/>
      <w:bookmarkEnd w:id="32"/>
      <w:bookmarkEnd w:id="33"/>
      <w:bookmarkEnd w:id="34"/>
      <w:bookmarkEnd w:id="35"/>
      <w:bookmarkEnd w:id="36"/>
      <w:bookmarkEnd w:id="37"/>
      <w:bookmarkStart w:id="38" w:name="_Toc238552178"/>
      <w:bookmarkStart w:id="39" w:name="_Toc238797533"/>
      <w:bookmarkStart w:id="40" w:name="_Toc144974481"/>
      <w:bookmarkStart w:id="41" w:name="_Toc152045513"/>
      <w:bookmarkStart w:id="42" w:name="_Toc152042289"/>
    </w:p>
    <w:p w14:paraId="4D220CEC">
      <w:pPr>
        <w:spacing w:line="360" w:lineRule="auto"/>
        <w:ind w:firstLine="420" w:firstLineChars="200"/>
        <w:rPr>
          <w:rFonts w:hint="default" w:ascii="宋体" w:hAnsi="宋体" w:eastAsia="宋体" w:cs="宋体"/>
          <w:szCs w:val="21"/>
          <w:lang w:val="en-US" w:eastAsia="zh-CN"/>
        </w:rPr>
      </w:pPr>
      <w:bookmarkStart w:id="43" w:name="_Toc13435"/>
      <w:bookmarkStart w:id="44" w:name="_Toc365123613"/>
      <w:bookmarkStart w:id="45" w:name="_Toc258507991"/>
      <w:bookmarkStart w:id="46" w:name="_Toc7710"/>
      <w:bookmarkStart w:id="47" w:name="_Toc26262"/>
      <w:bookmarkStart w:id="48" w:name="_Toc416768970"/>
      <w:r>
        <w:rPr>
          <w:rFonts w:hint="eastAsia" w:ascii="宋体" w:hAnsi="宋体" w:cs="宋体"/>
          <w:szCs w:val="21"/>
        </w:rPr>
        <w:t>本项目为</w:t>
      </w:r>
      <w:r>
        <w:rPr>
          <w:rFonts w:hint="eastAsia" w:ascii="宋体" w:hAnsi="宋体" w:eastAsia="宋体" w:cs="宋体"/>
          <w:color w:val="auto"/>
          <w:kern w:val="0"/>
          <w:szCs w:val="21"/>
          <w:highlight w:val="none"/>
          <w:u w:val="single"/>
        </w:rPr>
        <w:t>周嘉镇勤劳村农田水利设施工程</w:t>
      </w:r>
      <w:r>
        <w:rPr>
          <w:rFonts w:hint="eastAsia" w:ascii="宋体" w:hAnsi="宋体" w:cs="宋体"/>
          <w:szCs w:val="21"/>
        </w:rPr>
        <w:t>，比选人为</w:t>
      </w:r>
      <w:r>
        <w:rPr>
          <w:rFonts w:hint="eastAsia" w:ascii="宋体" w:hAnsi="宋体" w:eastAsia="宋体" w:cs="宋体"/>
          <w:color w:val="auto"/>
          <w:kern w:val="0"/>
          <w:szCs w:val="21"/>
          <w:highlight w:val="none"/>
          <w:u w:val="single"/>
        </w:rPr>
        <w:t>垫江县周嘉镇勤劳村集体经济组织</w:t>
      </w:r>
      <w:r>
        <w:rPr>
          <w:rFonts w:hint="eastAsia" w:ascii="宋体" w:hAnsi="宋体" w:cs="宋体"/>
          <w:szCs w:val="21"/>
        </w:rPr>
        <w:t>，建设资金来源为</w:t>
      </w:r>
      <w:r>
        <w:rPr>
          <w:rFonts w:hint="eastAsia" w:ascii="宋体" w:hAnsi="宋体" w:eastAsia="宋体" w:cs="宋体"/>
          <w:color w:val="auto"/>
          <w:kern w:val="0"/>
          <w:szCs w:val="21"/>
          <w:highlight w:val="none"/>
          <w:u w:val="single"/>
          <w:lang w:val="en-US" w:eastAsia="zh-CN"/>
        </w:rPr>
        <w:t>一事一议</w:t>
      </w:r>
      <w:r>
        <w:rPr>
          <w:rFonts w:hint="eastAsia" w:ascii="宋体" w:hAnsi="宋体" w:cs="宋体"/>
          <w:szCs w:val="21"/>
        </w:rPr>
        <w:t>，项目出资比例为</w:t>
      </w:r>
      <w:r>
        <w:rPr>
          <w:rFonts w:hint="eastAsia" w:ascii="宋体" w:hAnsi="宋体" w:cs="宋体"/>
          <w:szCs w:val="21"/>
          <w:u w:val="single"/>
        </w:rPr>
        <w:t>100%</w:t>
      </w:r>
      <w:r>
        <w:rPr>
          <w:rFonts w:hint="eastAsia" w:ascii="宋体" w:hAnsi="宋体" w:cs="宋体"/>
          <w:szCs w:val="21"/>
        </w:rPr>
        <w:t>。项目已具备比选条件，</w:t>
      </w:r>
      <w:r>
        <w:rPr>
          <w:rFonts w:hint="eastAsia" w:ascii="宋体" w:hAnsi="宋体" w:cs="宋体"/>
          <w:szCs w:val="21"/>
          <w:lang w:val="en-US" w:eastAsia="zh-CN"/>
        </w:rPr>
        <w:t>招标方式为</w:t>
      </w:r>
      <w:r>
        <w:rPr>
          <w:rFonts w:hint="eastAsia" w:ascii="宋体" w:hAnsi="宋体" w:cs="宋体"/>
          <w:szCs w:val="21"/>
        </w:rPr>
        <w:t>竞争性比选，特邀请符合条件的竞选人参与竞争性比选。</w:t>
      </w:r>
      <w:r>
        <w:rPr>
          <w:rFonts w:hint="eastAsia" w:ascii="宋体" w:hAnsi="宋体" w:cs="宋体"/>
          <w:szCs w:val="21"/>
          <w:lang w:val="en-US" w:eastAsia="zh-CN"/>
        </w:rPr>
        <w:t>评标办法采用经评审的最低竞选价法。</w:t>
      </w:r>
    </w:p>
    <w:p w14:paraId="4B7AB661">
      <w:pPr>
        <w:pStyle w:val="366"/>
        <w:spacing w:before="0" w:line="360" w:lineRule="auto"/>
        <w:outlineLvl w:val="2"/>
        <w:rPr>
          <w:rFonts w:ascii="宋体" w:hAnsi="宋体" w:cs="Times New Roman"/>
          <w:b/>
          <w:szCs w:val="28"/>
        </w:rPr>
      </w:pPr>
      <w:bookmarkStart w:id="49" w:name="_Toc73140358"/>
      <w:r>
        <w:rPr>
          <w:rFonts w:ascii="宋体" w:hAnsi="宋体" w:cs="Times New Roman"/>
          <w:b/>
          <w:szCs w:val="28"/>
        </w:rPr>
        <w:t xml:space="preserve">2. </w:t>
      </w:r>
      <w:r>
        <w:rPr>
          <w:rFonts w:hint="eastAsia" w:ascii="宋体" w:hAnsi="宋体" w:cs="Times New Roman"/>
          <w:b/>
          <w:szCs w:val="28"/>
        </w:rPr>
        <w:t>项目概况与内容</w:t>
      </w:r>
      <w:bookmarkEnd w:id="38"/>
      <w:bookmarkEnd w:id="39"/>
      <w:bookmarkEnd w:id="43"/>
      <w:bookmarkEnd w:id="44"/>
      <w:bookmarkEnd w:id="45"/>
      <w:bookmarkEnd w:id="46"/>
      <w:bookmarkEnd w:id="47"/>
      <w:bookmarkEnd w:id="48"/>
      <w:bookmarkEnd w:id="49"/>
    </w:p>
    <w:bookmarkEnd w:id="40"/>
    <w:bookmarkEnd w:id="41"/>
    <w:bookmarkEnd w:id="42"/>
    <w:p w14:paraId="6C12C0B5">
      <w:pPr>
        <w:tabs>
          <w:tab w:val="left" w:pos="3840"/>
          <w:tab w:val="left" w:pos="5300"/>
        </w:tabs>
        <w:autoSpaceDE w:val="0"/>
        <w:autoSpaceDN w:val="0"/>
        <w:adjustRightInd w:val="0"/>
        <w:snapToGrid w:val="0"/>
        <w:spacing w:line="360" w:lineRule="auto"/>
        <w:ind w:firstLine="420" w:firstLineChars="200"/>
        <w:jc w:val="left"/>
        <w:rPr>
          <w:rFonts w:hint="eastAsia" w:ascii="宋体" w:hAnsi="宋体"/>
          <w:snapToGrid w:val="0"/>
          <w:kern w:val="0"/>
          <w:szCs w:val="21"/>
          <w:u w:val="single"/>
        </w:rPr>
      </w:pPr>
      <w:bookmarkStart w:id="50" w:name="_Toc152045514"/>
      <w:bookmarkStart w:id="51" w:name="_Toc365123614"/>
      <w:bookmarkStart w:id="52" w:name="_Toc152042290"/>
      <w:bookmarkStart w:id="53" w:name="_Toc258507992"/>
      <w:bookmarkStart w:id="54" w:name="_Toc238552179"/>
      <w:bookmarkStart w:id="55" w:name="_Toc144974482"/>
      <w:bookmarkStart w:id="56" w:name="_Toc238797534"/>
      <w:r>
        <w:rPr>
          <w:rFonts w:hint="eastAsia" w:ascii="宋体" w:hAnsi="宋体"/>
          <w:snapToGrid w:val="0"/>
          <w:kern w:val="0"/>
          <w:szCs w:val="21"/>
        </w:rPr>
        <w:t xml:space="preserve">2.1 </w:t>
      </w:r>
      <w:r>
        <w:rPr>
          <w:rFonts w:hint="eastAsia" w:ascii="宋体" w:hAnsi="宋体"/>
          <w:snapToGrid w:val="0"/>
          <w:kern w:val="0"/>
          <w:szCs w:val="21"/>
          <w:lang w:val="en-US" w:eastAsia="zh-CN"/>
        </w:rPr>
        <w:t>建设</w:t>
      </w:r>
      <w:r>
        <w:rPr>
          <w:rFonts w:hint="eastAsia" w:ascii="宋体" w:hAnsi="宋体"/>
          <w:snapToGrid w:val="0"/>
          <w:kern w:val="0"/>
          <w:szCs w:val="21"/>
        </w:rPr>
        <w:t>地点：</w:t>
      </w:r>
      <w:r>
        <w:rPr>
          <w:rFonts w:hint="eastAsia" w:ascii="宋体" w:hAnsi="宋体" w:eastAsia="宋体" w:cs="宋体"/>
          <w:snapToGrid w:val="0"/>
          <w:color w:val="auto"/>
          <w:kern w:val="0"/>
          <w:szCs w:val="21"/>
          <w:highlight w:val="none"/>
          <w:u w:val="single"/>
        </w:rPr>
        <w:t>垫江县周嘉镇勤劳村</w:t>
      </w:r>
      <w:r>
        <w:rPr>
          <w:rFonts w:hint="eastAsia" w:ascii="宋体" w:hAnsi="宋体"/>
          <w:snapToGrid w:val="0"/>
          <w:kern w:val="0"/>
          <w:szCs w:val="21"/>
        </w:rPr>
        <w:t>。</w:t>
      </w:r>
    </w:p>
    <w:p w14:paraId="7D1E5045">
      <w:pPr>
        <w:tabs>
          <w:tab w:val="left" w:pos="3840"/>
          <w:tab w:val="left" w:pos="5300"/>
        </w:tabs>
        <w:autoSpaceDE w:val="0"/>
        <w:autoSpaceDN w:val="0"/>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2.2 项目</w:t>
      </w:r>
      <w:r>
        <w:rPr>
          <w:rFonts w:hint="eastAsia" w:ascii="宋体" w:hAnsi="宋体"/>
          <w:snapToGrid w:val="0"/>
          <w:kern w:val="0"/>
          <w:szCs w:val="21"/>
          <w:lang w:val="en-US" w:eastAsia="zh-CN"/>
        </w:rPr>
        <w:t>规模</w:t>
      </w:r>
      <w:r>
        <w:rPr>
          <w:rFonts w:hint="eastAsia" w:ascii="宋体" w:hAnsi="宋体"/>
          <w:snapToGrid w:val="0"/>
          <w:kern w:val="0"/>
          <w:szCs w:val="21"/>
        </w:rPr>
        <w:t>：</w:t>
      </w:r>
      <w:r>
        <w:rPr>
          <w:rFonts w:hint="eastAsia" w:ascii="宋体" w:hAnsi="宋体" w:eastAsia="宋体" w:cs="宋体"/>
          <w:snapToGrid w:val="0"/>
          <w:color w:val="auto"/>
          <w:kern w:val="0"/>
          <w:szCs w:val="21"/>
          <w:highlight w:val="none"/>
          <w:u w:val="single"/>
        </w:rPr>
        <w:t>本工程建设工程内容为农田水利设施</w:t>
      </w:r>
      <w:r>
        <w:rPr>
          <w:rFonts w:hint="eastAsia" w:ascii="宋体" w:hAnsi="宋体" w:eastAsia="宋体" w:cs="宋体"/>
          <w:snapToGrid w:val="0"/>
          <w:color w:val="auto"/>
          <w:kern w:val="0"/>
          <w:szCs w:val="21"/>
          <w:highlight w:val="none"/>
          <w:u w:val="single"/>
          <w:lang w:eastAsia="zh-CN"/>
        </w:rPr>
        <w:t>，</w:t>
      </w:r>
      <w:r>
        <w:rPr>
          <w:rFonts w:hint="eastAsia" w:ascii="宋体" w:hAnsi="宋体" w:eastAsia="宋体" w:cs="宋体"/>
          <w:snapToGrid w:val="0"/>
          <w:color w:val="auto"/>
          <w:kern w:val="0"/>
          <w:szCs w:val="21"/>
          <w:highlight w:val="none"/>
          <w:u w:val="single"/>
          <w:lang w:val="en-US" w:eastAsia="zh-CN"/>
        </w:rPr>
        <w:t>主要包括</w:t>
      </w:r>
      <w:r>
        <w:rPr>
          <w:rFonts w:hint="eastAsia" w:ascii="宋体" w:hAnsi="宋体" w:eastAsia="宋体" w:cs="宋体"/>
          <w:snapToGrid w:val="0"/>
          <w:color w:val="auto"/>
          <w:kern w:val="0"/>
          <w:szCs w:val="21"/>
          <w:highlight w:val="none"/>
          <w:u w:val="single"/>
        </w:rPr>
        <w:t>水池土建工程、管网工程等内容</w:t>
      </w:r>
      <w:r>
        <w:rPr>
          <w:rFonts w:ascii="宋体" w:hAnsi="宋体"/>
          <w:snapToGrid w:val="0"/>
          <w:kern w:val="0"/>
          <w:szCs w:val="21"/>
        </w:rPr>
        <w:t>。</w:t>
      </w:r>
    </w:p>
    <w:p w14:paraId="3E7702D5">
      <w:pPr>
        <w:tabs>
          <w:tab w:val="left" w:pos="3840"/>
          <w:tab w:val="left" w:pos="5300"/>
        </w:tabs>
        <w:autoSpaceDE w:val="0"/>
        <w:autoSpaceDN w:val="0"/>
        <w:adjustRightInd w:val="0"/>
        <w:snapToGrid w:val="0"/>
        <w:spacing w:line="360" w:lineRule="auto"/>
        <w:ind w:firstLine="420" w:firstLineChars="200"/>
        <w:jc w:val="left"/>
        <w:rPr>
          <w:rFonts w:ascii="宋体" w:hAnsi="宋体"/>
          <w:snapToGrid w:val="0"/>
          <w:color w:val="000000" w:themeColor="text1"/>
          <w:kern w:val="0"/>
          <w:szCs w:val="21"/>
          <w:u w:val="single"/>
          <w14:textFill>
            <w14:solidFill>
              <w14:schemeClr w14:val="tx1"/>
            </w14:solidFill>
          </w14:textFill>
        </w:rPr>
      </w:pPr>
      <w:r>
        <w:rPr>
          <w:rFonts w:hint="eastAsia" w:ascii="宋体" w:hAnsi="宋体"/>
          <w:snapToGrid w:val="0"/>
          <w:kern w:val="0"/>
          <w:szCs w:val="21"/>
        </w:rPr>
        <w:t>2.3 本次比</w:t>
      </w:r>
      <w:r>
        <w:rPr>
          <w:rFonts w:hint="eastAsia" w:ascii="宋体" w:hAnsi="宋体"/>
          <w:snapToGrid w:val="0"/>
          <w:color w:val="000000" w:themeColor="text1"/>
          <w:kern w:val="0"/>
          <w:szCs w:val="21"/>
          <w14:textFill>
            <w14:solidFill>
              <w14:schemeClr w14:val="tx1"/>
            </w14:solidFill>
          </w14:textFill>
        </w:rPr>
        <w:t>选项目合同估算金额：</w:t>
      </w:r>
      <w:r>
        <w:rPr>
          <w:rFonts w:hint="eastAsia" w:ascii="宋体" w:hAnsi="宋体" w:eastAsia="宋体" w:cs="宋体"/>
          <w:snapToGrid w:val="0"/>
          <w:color w:val="auto"/>
          <w:kern w:val="0"/>
          <w:szCs w:val="21"/>
          <w:highlight w:val="none"/>
          <w:u w:val="single"/>
          <w:lang w:val="en-US" w:eastAsia="zh-CN"/>
        </w:rPr>
        <w:t>70.03</w:t>
      </w:r>
      <w:r>
        <w:rPr>
          <w:rFonts w:hint="eastAsia" w:ascii="宋体" w:hAnsi="宋体" w:eastAsia="宋体" w:cs="宋体"/>
          <w:snapToGrid w:val="0"/>
          <w:color w:val="auto"/>
          <w:kern w:val="0"/>
          <w:szCs w:val="21"/>
          <w:highlight w:val="none"/>
        </w:rPr>
        <w:t>万元</w:t>
      </w:r>
      <w:r>
        <w:rPr>
          <w:rFonts w:hint="eastAsia" w:ascii="宋体" w:hAnsi="宋体"/>
          <w:snapToGrid w:val="0"/>
          <w:color w:val="000000" w:themeColor="text1"/>
          <w:kern w:val="0"/>
          <w:szCs w:val="21"/>
          <w14:textFill>
            <w14:solidFill>
              <w14:schemeClr w14:val="tx1"/>
            </w14:solidFill>
          </w14:textFill>
        </w:rPr>
        <w:t>。</w:t>
      </w:r>
    </w:p>
    <w:p w14:paraId="74ED868E">
      <w:pPr>
        <w:spacing w:line="360" w:lineRule="auto"/>
        <w:ind w:firstLine="420" w:firstLineChars="200"/>
        <w:rPr>
          <w:rFonts w:hint="eastAsia" w:ascii="宋体" w:hAnsi="宋体" w:eastAsia="宋体" w:cs="宋体"/>
          <w:snapToGrid w:val="0"/>
          <w:color w:val="auto"/>
          <w:kern w:val="0"/>
          <w:szCs w:val="21"/>
          <w:highlight w:val="none"/>
        </w:rPr>
      </w:pPr>
      <w:bookmarkStart w:id="57" w:name="OLE_LINK4"/>
      <w:bookmarkStart w:id="58" w:name="OLE_LINK5"/>
      <w:bookmarkStart w:id="59" w:name="_Toc416768971"/>
      <w:bookmarkStart w:id="60" w:name="_Toc4823"/>
      <w:bookmarkStart w:id="61" w:name="_Toc16567"/>
      <w:bookmarkStart w:id="62" w:name="_Toc10424"/>
      <w:bookmarkStart w:id="63" w:name="_Toc73140359"/>
      <w:r>
        <w:rPr>
          <w:rFonts w:hint="eastAsia" w:ascii="宋体" w:hAnsi="宋体" w:eastAsia="宋体" w:cs="宋体"/>
          <w:snapToGrid w:val="0"/>
          <w:color w:val="auto"/>
          <w:kern w:val="0"/>
          <w:szCs w:val="21"/>
          <w:highlight w:val="none"/>
        </w:rPr>
        <w:t>2.4 比选范围：</w:t>
      </w:r>
      <w:r>
        <w:rPr>
          <w:rFonts w:hint="eastAsia" w:ascii="宋体" w:hAnsi="宋体" w:eastAsia="宋体" w:cs="宋体"/>
          <w:snapToGrid w:val="0"/>
          <w:color w:val="auto"/>
          <w:kern w:val="0"/>
          <w:szCs w:val="21"/>
          <w:highlight w:val="none"/>
          <w:u w:val="single"/>
          <w:lang w:val="en-US" w:eastAsia="zh-CN"/>
        </w:rPr>
        <w:t>完成本项目</w:t>
      </w:r>
      <w:r>
        <w:rPr>
          <w:rFonts w:hint="eastAsia" w:ascii="宋体" w:hAnsi="宋体" w:eastAsia="宋体" w:cs="宋体"/>
          <w:snapToGrid w:val="0"/>
          <w:color w:val="auto"/>
          <w:kern w:val="0"/>
          <w:szCs w:val="21"/>
          <w:highlight w:val="none"/>
          <w:u w:val="single"/>
        </w:rPr>
        <w:t>水池土建工程、管网工程</w:t>
      </w:r>
      <w:r>
        <w:rPr>
          <w:rFonts w:hint="eastAsia" w:ascii="宋体" w:hAnsi="宋体" w:eastAsia="宋体" w:cs="宋体"/>
          <w:snapToGrid w:val="0"/>
          <w:color w:val="auto"/>
          <w:kern w:val="0"/>
          <w:szCs w:val="21"/>
          <w:highlight w:val="none"/>
          <w:u w:val="single"/>
          <w:lang w:val="en-US" w:eastAsia="zh-CN"/>
        </w:rPr>
        <w:t>等所有内容，具体详见比选文件及工程量清单内容</w:t>
      </w:r>
      <w:r>
        <w:rPr>
          <w:rFonts w:hint="eastAsia" w:ascii="宋体" w:hAnsi="宋体" w:eastAsia="宋体" w:cs="宋体"/>
          <w:snapToGrid w:val="0"/>
          <w:color w:val="auto"/>
          <w:kern w:val="0"/>
          <w:szCs w:val="21"/>
          <w:highlight w:val="none"/>
          <w:u w:val="none"/>
          <w:lang w:val="en-US" w:eastAsia="zh-CN"/>
        </w:rPr>
        <w:t>。</w:t>
      </w:r>
    </w:p>
    <w:p w14:paraId="0B25D922">
      <w:pPr>
        <w:tabs>
          <w:tab w:val="left" w:pos="3840"/>
          <w:tab w:val="left" w:pos="5300"/>
        </w:tabs>
        <w:autoSpaceDE w:val="0"/>
        <w:autoSpaceDN w:val="0"/>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eastAsia="宋体" w:cs="宋体"/>
          <w:snapToGrid w:val="0"/>
          <w:color w:val="auto"/>
          <w:kern w:val="0"/>
          <w:szCs w:val="21"/>
          <w:highlight w:val="none"/>
        </w:rPr>
        <w:t>2.5计划工期：</w:t>
      </w:r>
      <w:r>
        <w:rPr>
          <w:rFonts w:hint="eastAsia" w:ascii="宋体" w:hAnsi="宋体" w:eastAsia="宋体" w:cs="宋体"/>
          <w:snapToGrid w:val="0"/>
          <w:color w:val="auto"/>
          <w:kern w:val="0"/>
          <w:szCs w:val="21"/>
          <w:highlight w:val="none"/>
          <w:u w:val="single"/>
          <w:lang w:val="en-US" w:eastAsia="zh-CN"/>
        </w:rPr>
        <w:t>60</w:t>
      </w:r>
      <w:r>
        <w:rPr>
          <w:rFonts w:hint="eastAsia" w:ascii="宋体" w:hAnsi="宋体" w:eastAsia="宋体" w:cs="宋体"/>
          <w:snapToGrid w:val="0"/>
          <w:color w:val="auto"/>
          <w:kern w:val="0"/>
          <w:szCs w:val="21"/>
          <w:highlight w:val="none"/>
        </w:rPr>
        <w:t>日历天</w:t>
      </w:r>
      <w:r>
        <w:rPr>
          <w:rFonts w:hint="eastAsia" w:ascii="宋体" w:hAnsi="宋体" w:eastAsia="宋体" w:cs="宋体"/>
          <w:snapToGrid w:val="0"/>
          <w:color w:val="auto"/>
          <w:kern w:val="0"/>
          <w:szCs w:val="21"/>
          <w:highlight w:val="none"/>
          <w:lang w:eastAsia="zh-CN"/>
        </w:rPr>
        <w:t>，缺陷责任期</w:t>
      </w:r>
      <w:r>
        <w:rPr>
          <w:rFonts w:hint="eastAsia" w:ascii="宋体" w:hAnsi="宋体" w:eastAsia="宋体" w:cs="宋体"/>
          <w:snapToGrid w:val="0"/>
          <w:color w:val="auto"/>
          <w:kern w:val="0"/>
          <w:szCs w:val="21"/>
          <w:highlight w:val="none"/>
          <w:u w:val="single"/>
          <w:lang w:val="en-US" w:eastAsia="zh-CN"/>
        </w:rPr>
        <w:t>24个月</w:t>
      </w:r>
      <w:r>
        <w:rPr>
          <w:rFonts w:ascii="宋体" w:hAnsi="宋体"/>
          <w:snapToGrid w:val="0"/>
          <w:kern w:val="0"/>
          <w:szCs w:val="21"/>
        </w:rPr>
        <w:t>。</w:t>
      </w:r>
    </w:p>
    <w:bookmarkEnd w:id="57"/>
    <w:bookmarkEnd w:id="58"/>
    <w:p w14:paraId="3A38477C">
      <w:pPr>
        <w:pStyle w:val="366"/>
        <w:spacing w:before="0" w:line="360" w:lineRule="auto"/>
        <w:outlineLvl w:val="2"/>
        <w:rPr>
          <w:rFonts w:ascii="宋体" w:hAnsi="宋体" w:cs="Times New Roman"/>
          <w:b/>
          <w:szCs w:val="28"/>
        </w:rPr>
      </w:pPr>
      <w:r>
        <w:rPr>
          <w:rFonts w:hint="eastAsia" w:ascii="宋体" w:hAnsi="宋体" w:cs="Times New Roman"/>
          <w:b/>
          <w:szCs w:val="28"/>
        </w:rPr>
        <w:t>3. 竞选人资格要求</w:t>
      </w:r>
      <w:bookmarkEnd w:id="50"/>
      <w:bookmarkEnd w:id="51"/>
      <w:bookmarkEnd w:id="52"/>
      <w:bookmarkEnd w:id="53"/>
      <w:bookmarkEnd w:id="54"/>
      <w:bookmarkEnd w:id="55"/>
      <w:bookmarkEnd w:id="56"/>
      <w:bookmarkEnd w:id="59"/>
      <w:bookmarkEnd w:id="60"/>
      <w:bookmarkEnd w:id="61"/>
      <w:bookmarkEnd w:id="62"/>
      <w:bookmarkEnd w:id="63"/>
    </w:p>
    <w:p w14:paraId="0B479CE7">
      <w:pPr>
        <w:spacing w:line="360" w:lineRule="auto"/>
        <w:ind w:firstLine="420" w:firstLineChars="200"/>
        <w:rPr>
          <w:rFonts w:hint="eastAsia" w:ascii="宋体" w:hAnsi="宋体" w:eastAsia="宋体" w:cs="宋体"/>
          <w:szCs w:val="21"/>
          <w:lang w:eastAsia="zh-CN"/>
        </w:rPr>
      </w:pPr>
      <w:bookmarkStart w:id="64" w:name="_Toc238552183"/>
      <w:bookmarkStart w:id="65" w:name="_Toc365123619"/>
      <w:bookmarkStart w:id="66" w:name="_Toc144974485"/>
      <w:bookmarkStart w:id="67" w:name="_Toc258507997"/>
      <w:bookmarkStart w:id="68" w:name="_Toc152045517"/>
      <w:bookmarkStart w:id="69" w:name="_Toc238797538"/>
      <w:bookmarkStart w:id="70" w:name="_Toc152042293"/>
      <w:r>
        <w:rPr>
          <w:rFonts w:hint="eastAsia" w:ascii="宋体" w:hAnsi="宋体" w:cs="宋体"/>
          <w:szCs w:val="21"/>
        </w:rPr>
        <w:t>3.1</w:t>
      </w:r>
      <w:r>
        <w:rPr>
          <w:rFonts w:hint="eastAsia" w:ascii="宋体" w:hAnsi="宋体" w:cs="宋体"/>
          <w:szCs w:val="21"/>
          <w:lang w:val="en-US" w:eastAsia="zh-CN"/>
        </w:rPr>
        <w:t xml:space="preserve"> </w:t>
      </w:r>
      <w:r>
        <w:rPr>
          <w:rFonts w:hint="eastAsia" w:ascii="宋体" w:hAnsi="宋体" w:cs="宋体"/>
          <w:szCs w:val="21"/>
        </w:rPr>
        <w:t>本次比选要求竞选人须具备以下资质：</w:t>
      </w:r>
      <w:r>
        <w:rPr>
          <w:rFonts w:hint="eastAsia" w:ascii="宋体" w:hAnsi="宋体" w:cs="宋体"/>
          <w:szCs w:val="21"/>
          <w:u w:val="single"/>
        </w:rPr>
        <w:t>具备建设行政主管部门颁发的劳务作业资质不分类别及等级或建筑工程施工总承包三级及以上资质</w:t>
      </w:r>
      <w:r>
        <w:rPr>
          <w:rFonts w:hint="eastAsia" w:ascii="宋体" w:hAnsi="宋体" w:cs="宋体"/>
          <w:szCs w:val="21"/>
          <w:lang w:eastAsia="zh-CN"/>
        </w:rPr>
        <w:t>。</w:t>
      </w:r>
    </w:p>
    <w:p w14:paraId="48E6D260">
      <w:pPr>
        <w:spacing w:line="360" w:lineRule="auto"/>
        <w:ind w:firstLine="420" w:firstLineChars="200"/>
        <w:rPr>
          <w:rFonts w:hint="eastAsia" w:ascii="宋体" w:hAnsi="宋体" w:cs="宋体"/>
          <w:szCs w:val="21"/>
        </w:rPr>
      </w:pPr>
      <w:r>
        <w:rPr>
          <w:rFonts w:hint="eastAsia" w:ascii="宋体" w:hAnsi="宋体" w:cs="宋体"/>
          <w:snapToGrid w:val="0"/>
          <w:kern w:val="0"/>
          <w:szCs w:val="21"/>
          <w:lang w:val="en-US" w:eastAsia="zh-CN"/>
        </w:rPr>
        <w:t xml:space="preserve">3.2 </w:t>
      </w:r>
      <w:r>
        <w:rPr>
          <w:rFonts w:hint="eastAsia" w:ascii="宋体" w:hAnsi="宋体" w:cs="宋体"/>
          <w:snapToGrid w:val="0"/>
          <w:kern w:val="0"/>
          <w:szCs w:val="21"/>
        </w:rPr>
        <w:t>竞选人还应在人员、设备、资金等方面具有相应的实施能力，详见竞争性比选文件第二章竞选人须知前附表第11条内容。</w:t>
      </w:r>
    </w:p>
    <w:p w14:paraId="7DE1B35B">
      <w:pPr>
        <w:spacing w:line="360" w:lineRule="auto"/>
        <w:ind w:firstLine="420" w:firstLineChars="200"/>
        <w:rPr>
          <w:rFonts w:hint="eastAsia" w:ascii="宋体" w:hAnsi="宋体" w:cs="宋体"/>
          <w:szCs w:val="21"/>
        </w:rPr>
      </w:pPr>
      <w:r>
        <w:rPr>
          <w:rFonts w:hint="eastAsia" w:ascii="宋体" w:hAnsi="宋体" w:cs="宋体"/>
          <w:szCs w:val="21"/>
        </w:rPr>
        <w:t>3.</w:t>
      </w:r>
      <w:r>
        <w:rPr>
          <w:rFonts w:hint="eastAsia" w:ascii="宋体" w:hAnsi="宋体" w:cs="宋体"/>
          <w:szCs w:val="21"/>
          <w:lang w:val="en-US" w:eastAsia="zh-CN"/>
        </w:rPr>
        <w:t xml:space="preserve">3 </w:t>
      </w:r>
      <w:r>
        <w:rPr>
          <w:rFonts w:hint="eastAsia" w:ascii="宋体" w:hAnsi="宋体" w:cs="宋体"/>
          <w:szCs w:val="21"/>
        </w:rPr>
        <w:t>本项目不接受联合体参与竞选。</w:t>
      </w:r>
    </w:p>
    <w:p w14:paraId="19172500">
      <w:pPr>
        <w:adjustRightInd w:val="0"/>
        <w:spacing w:line="360" w:lineRule="auto"/>
        <w:rPr>
          <w:rFonts w:ascii="宋体" w:cs="Arial"/>
          <w:b/>
          <w:sz w:val="24"/>
        </w:rPr>
      </w:pPr>
      <w:r>
        <w:rPr>
          <w:rFonts w:ascii="宋体" w:hAnsi="宋体" w:cs="Arial"/>
          <w:b/>
          <w:sz w:val="24"/>
        </w:rPr>
        <w:t xml:space="preserve">4. </w:t>
      </w:r>
      <w:r>
        <w:rPr>
          <w:rFonts w:hint="eastAsia" w:ascii="宋体" w:hAnsi="宋体" w:cs="Arial"/>
          <w:b/>
          <w:sz w:val="24"/>
        </w:rPr>
        <w:t>比选文件的获取</w:t>
      </w:r>
    </w:p>
    <w:p w14:paraId="528E121D">
      <w:pPr>
        <w:keepNext w:val="0"/>
        <w:keepLines w:val="0"/>
        <w:pageBreakBefore w:val="0"/>
        <w:widowControl w:val="0"/>
        <w:tabs>
          <w:tab w:val="left" w:pos="2420"/>
          <w:tab w:val="left" w:pos="5445"/>
        </w:tabs>
        <w:kinsoku/>
        <w:wordWrap w:val="0"/>
        <w:overflowPunct/>
        <w:topLinePunct w:val="0"/>
        <w:autoSpaceDE w:val="0"/>
        <w:autoSpaceDN w:val="0"/>
        <w:bidi w:val="0"/>
        <w:adjustRightInd w:val="0"/>
        <w:snapToGrid w:val="0"/>
        <w:spacing w:line="360" w:lineRule="auto"/>
        <w:ind w:firstLine="420"/>
        <w:jc w:val="left"/>
        <w:rPr>
          <w:rFonts w:hint="eastAsia" w:ascii="宋体" w:hAnsi="宋体" w:eastAsia="宋体" w:cs="宋体"/>
          <w:snapToGrid w:val="0"/>
          <w:color w:val="auto"/>
          <w:kern w:val="0"/>
          <w:szCs w:val="21"/>
          <w:highlight w:val="none"/>
        </w:rPr>
      </w:pPr>
      <w:bookmarkStart w:id="71" w:name="_Toc224103303"/>
      <w:bookmarkStart w:id="72" w:name="_Toc200359431"/>
      <w:bookmarkStart w:id="73" w:name="_Toc200359242"/>
      <w:r>
        <w:rPr>
          <w:rFonts w:hint="eastAsia" w:ascii="宋体" w:hAnsi="宋体" w:eastAsia="宋体" w:cs="宋体"/>
          <w:snapToGrid w:val="0"/>
          <w:color w:val="auto"/>
          <w:kern w:val="0"/>
          <w:szCs w:val="21"/>
          <w:highlight w:val="none"/>
        </w:rPr>
        <w:t>4.1 凡有意参加投标者，请于</w:t>
      </w:r>
      <w:r>
        <w:rPr>
          <w:rFonts w:hint="eastAsia" w:ascii="宋体" w:hAnsi="宋体" w:eastAsia="宋体" w:cs="宋体"/>
          <w:snapToGrid w:val="0"/>
          <w:color w:val="auto"/>
          <w:kern w:val="0"/>
          <w:szCs w:val="21"/>
          <w:highlight w:val="none"/>
          <w:u w:val="single"/>
        </w:rPr>
        <w:t>202</w:t>
      </w:r>
      <w:r>
        <w:rPr>
          <w:rFonts w:hint="eastAsia" w:ascii="宋体" w:hAnsi="宋体" w:eastAsia="宋体" w:cs="宋体"/>
          <w:snapToGrid w:val="0"/>
          <w:color w:val="auto"/>
          <w:kern w:val="0"/>
          <w:szCs w:val="21"/>
          <w:highlight w:val="none"/>
          <w:u w:val="single"/>
          <w:lang w:val="en-US" w:eastAsia="zh-CN"/>
        </w:rPr>
        <w:t>6</w:t>
      </w:r>
      <w:r>
        <w:rPr>
          <w:rFonts w:hint="eastAsia" w:ascii="宋体" w:hAnsi="宋体" w:eastAsia="宋体" w:cs="宋体"/>
          <w:snapToGrid w:val="0"/>
          <w:color w:val="auto"/>
          <w:kern w:val="0"/>
          <w:szCs w:val="21"/>
          <w:highlight w:val="none"/>
        </w:rPr>
        <w:t>年</w:t>
      </w:r>
      <w:r>
        <w:rPr>
          <w:rFonts w:hint="eastAsia" w:ascii="宋体" w:hAnsi="宋体" w:cs="宋体"/>
          <w:snapToGrid w:val="0"/>
          <w:color w:val="auto"/>
          <w:kern w:val="0"/>
          <w:szCs w:val="21"/>
          <w:highlight w:val="none"/>
          <w:u w:val="single"/>
          <w:lang w:val="en-US" w:eastAsia="zh-CN"/>
        </w:rPr>
        <w:t>8</w:t>
      </w:r>
      <w:r>
        <w:rPr>
          <w:rFonts w:hint="eastAsia" w:ascii="宋体" w:hAnsi="宋体" w:eastAsia="宋体" w:cs="宋体"/>
          <w:snapToGrid w:val="0"/>
          <w:color w:val="auto"/>
          <w:kern w:val="0"/>
          <w:szCs w:val="21"/>
          <w:highlight w:val="none"/>
        </w:rPr>
        <w:t>月</w:t>
      </w:r>
      <w:r>
        <w:rPr>
          <w:rFonts w:hint="eastAsia" w:ascii="宋体" w:hAnsi="宋体" w:cs="宋体"/>
          <w:snapToGrid w:val="0"/>
          <w:color w:val="auto"/>
          <w:kern w:val="0"/>
          <w:szCs w:val="21"/>
          <w:highlight w:val="none"/>
          <w:u w:val="single"/>
          <w:lang w:val="en-US" w:eastAsia="zh-CN"/>
        </w:rPr>
        <w:t>21</w:t>
      </w:r>
      <w:r>
        <w:rPr>
          <w:rFonts w:hint="eastAsia" w:ascii="宋体" w:hAnsi="宋体" w:eastAsia="宋体" w:cs="宋体"/>
          <w:snapToGrid w:val="0"/>
          <w:color w:val="auto"/>
          <w:kern w:val="0"/>
          <w:szCs w:val="21"/>
          <w:highlight w:val="none"/>
        </w:rPr>
        <w:t>日起在垫江县人民政府（http://www.cqsdj.gov.cn/）下载</w:t>
      </w:r>
      <w:r>
        <w:rPr>
          <w:rFonts w:hint="eastAsia" w:ascii="宋体" w:hAnsi="宋体" w:eastAsia="宋体" w:cs="宋体"/>
          <w:snapToGrid w:val="0"/>
          <w:color w:val="auto"/>
          <w:kern w:val="0"/>
          <w:szCs w:val="21"/>
          <w:highlight w:val="none"/>
          <w:lang w:val="en-US" w:eastAsia="zh-CN"/>
        </w:rPr>
        <w:t>或到代理机构领取</w:t>
      </w:r>
      <w:r>
        <w:rPr>
          <w:rFonts w:hint="eastAsia" w:ascii="宋体" w:hAnsi="宋体" w:eastAsia="宋体" w:cs="宋体"/>
          <w:snapToGrid w:val="0"/>
          <w:color w:val="auto"/>
          <w:kern w:val="0"/>
          <w:szCs w:val="21"/>
          <w:highlight w:val="none"/>
        </w:rPr>
        <w:t>比选文件、工程量清单、图纸</w:t>
      </w:r>
      <w:r>
        <w:rPr>
          <w:rFonts w:hint="eastAsia" w:ascii="宋体" w:hAnsi="宋体" w:eastAsia="宋体" w:cs="宋体"/>
          <w:snapToGrid w:val="0"/>
          <w:color w:val="auto"/>
          <w:kern w:val="0"/>
          <w:szCs w:val="21"/>
          <w:highlight w:val="none"/>
          <w:lang w:eastAsia="zh-CN"/>
        </w:rPr>
        <w:t>（</w:t>
      </w:r>
      <w:r>
        <w:rPr>
          <w:rFonts w:hint="eastAsia" w:ascii="宋体" w:hAnsi="宋体" w:eastAsia="宋体" w:cs="宋体"/>
          <w:snapToGrid w:val="0"/>
          <w:color w:val="auto"/>
          <w:kern w:val="0"/>
          <w:szCs w:val="21"/>
          <w:highlight w:val="none"/>
          <w:lang w:val="en-US" w:eastAsia="zh-CN"/>
        </w:rPr>
        <w:t>如有</w:t>
      </w:r>
      <w:r>
        <w:rPr>
          <w:rFonts w:hint="eastAsia" w:ascii="宋体" w:hAnsi="宋体" w:eastAsia="宋体" w:cs="宋体"/>
          <w:snapToGrid w:val="0"/>
          <w:color w:val="auto"/>
          <w:kern w:val="0"/>
          <w:szCs w:val="21"/>
          <w:highlight w:val="none"/>
          <w:lang w:eastAsia="zh-CN"/>
        </w:rPr>
        <w:t>）</w:t>
      </w:r>
      <w:r>
        <w:rPr>
          <w:rFonts w:hint="eastAsia" w:ascii="宋体" w:hAnsi="宋体" w:eastAsia="宋体" w:cs="宋体"/>
          <w:snapToGrid w:val="0"/>
          <w:color w:val="auto"/>
          <w:kern w:val="0"/>
          <w:szCs w:val="21"/>
          <w:highlight w:val="none"/>
        </w:rPr>
        <w:t>、澄清、修改、补充通知、最高限价通知等全部内容。不管下载</w:t>
      </w:r>
      <w:r>
        <w:rPr>
          <w:rFonts w:hint="eastAsia" w:ascii="宋体" w:hAnsi="宋体" w:eastAsia="宋体" w:cs="宋体"/>
          <w:snapToGrid w:val="0"/>
          <w:color w:val="auto"/>
          <w:kern w:val="0"/>
          <w:szCs w:val="21"/>
          <w:highlight w:val="none"/>
          <w:lang w:val="en-US" w:eastAsia="zh-CN"/>
        </w:rPr>
        <w:t>或领取</w:t>
      </w:r>
      <w:r>
        <w:rPr>
          <w:rFonts w:hint="eastAsia" w:ascii="宋体" w:hAnsi="宋体" w:eastAsia="宋体" w:cs="宋体"/>
          <w:snapToGrid w:val="0"/>
          <w:color w:val="auto"/>
          <w:kern w:val="0"/>
          <w:szCs w:val="21"/>
          <w:highlight w:val="none"/>
        </w:rPr>
        <w:t>与否都视为潜在</w:t>
      </w:r>
      <w:r>
        <w:rPr>
          <w:rFonts w:hint="eastAsia" w:ascii="宋体" w:hAnsi="宋体" w:eastAsia="宋体" w:cs="宋体"/>
          <w:snapToGrid w:val="0"/>
          <w:color w:val="auto"/>
          <w:kern w:val="0"/>
          <w:szCs w:val="21"/>
          <w:highlight w:val="none"/>
          <w:lang w:eastAsia="zh-CN"/>
        </w:rPr>
        <w:t>投标人</w:t>
      </w:r>
      <w:r>
        <w:rPr>
          <w:rFonts w:hint="eastAsia" w:ascii="宋体" w:hAnsi="宋体" w:eastAsia="宋体" w:cs="宋体"/>
          <w:snapToGrid w:val="0"/>
          <w:color w:val="auto"/>
          <w:kern w:val="0"/>
          <w:szCs w:val="21"/>
          <w:highlight w:val="none"/>
        </w:rPr>
        <w:t>全部知晓有关</w:t>
      </w:r>
      <w:r>
        <w:rPr>
          <w:rFonts w:hint="eastAsia" w:ascii="宋体" w:hAnsi="宋体" w:eastAsia="宋体" w:cs="宋体"/>
          <w:color w:val="auto"/>
          <w:szCs w:val="21"/>
          <w:highlight w:val="none"/>
        </w:rPr>
        <w:t>比选</w:t>
      </w:r>
      <w:r>
        <w:rPr>
          <w:rFonts w:hint="eastAsia" w:ascii="宋体" w:hAnsi="宋体" w:eastAsia="宋体" w:cs="宋体"/>
          <w:snapToGrid w:val="0"/>
          <w:color w:val="auto"/>
          <w:kern w:val="0"/>
          <w:szCs w:val="21"/>
          <w:highlight w:val="none"/>
        </w:rPr>
        <w:t>过程和全部内容。</w:t>
      </w:r>
    </w:p>
    <w:p w14:paraId="701D1D25">
      <w:pPr>
        <w:keepNext w:val="0"/>
        <w:keepLines w:val="0"/>
        <w:pageBreakBefore w:val="0"/>
        <w:widowControl w:val="0"/>
        <w:kinsoku/>
        <w:wordWrap w:val="0"/>
        <w:overflowPunct/>
        <w:topLinePunct w:val="0"/>
        <w:bidi w:val="0"/>
        <w:adjustRightInd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.2</w:t>
      </w:r>
      <w:r>
        <w:rPr>
          <w:rFonts w:hint="eastAsia" w:ascii="宋体" w:hAnsi="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本比选公告开始发布至比选截止时间止，各投标人应随时关注</w:t>
      </w:r>
      <w:r>
        <w:rPr>
          <w:rFonts w:hint="eastAsia" w:ascii="宋体" w:hAnsi="宋体" w:eastAsia="宋体" w:cs="宋体"/>
          <w:color w:val="auto"/>
          <w:kern w:val="0"/>
          <w:szCs w:val="21"/>
          <w:highlight w:val="none"/>
          <w:lang w:eastAsia="zh-CN"/>
        </w:rPr>
        <w:t>垫江县人民政府网(http://www.cqsdj.gov.cn/)</w:t>
      </w:r>
      <w:r>
        <w:rPr>
          <w:rFonts w:hint="eastAsia" w:ascii="宋体" w:hAnsi="宋体" w:eastAsia="宋体" w:cs="宋体"/>
          <w:color w:val="auto"/>
          <w:kern w:val="0"/>
          <w:szCs w:val="21"/>
          <w:highlight w:val="none"/>
        </w:rPr>
        <w:t>上关于本比选项目相关修改或补充内容。</w:t>
      </w:r>
    </w:p>
    <w:p w14:paraId="450F8E22">
      <w:pPr>
        <w:keepNext w:val="0"/>
        <w:keepLines w:val="0"/>
        <w:pageBreakBefore w:val="0"/>
        <w:widowControl w:val="0"/>
        <w:tabs>
          <w:tab w:val="left" w:pos="2420"/>
          <w:tab w:val="left" w:pos="5445"/>
        </w:tabs>
        <w:kinsoku/>
        <w:wordWrap w:val="0"/>
        <w:overflowPunct/>
        <w:topLinePunct w:val="0"/>
        <w:autoSpaceDE w:val="0"/>
        <w:autoSpaceDN w:val="0"/>
        <w:bidi w:val="0"/>
        <w:adjustRightInd w:val="0"/>
        <w:snapToGrid w:val="0"/>
        <w:spacing w:line="360" w:lineRule="auto"/>
        <w:ind w:firstLine="420"/>
        <w:jc w:val="left"/>
        <w:rPr>
          <w:rFonts w:hint="eastAsia" w:ascii="宋体" w:hAnsi="宋体" w:eastAsia="宋体" w:cs="宋体"/>
          <w:snapToGrid w:val="0"/>
          <w:color w:val="auto"/>
          <w:kern w:val="0"/>
          <w:szCs w:val="21"/>
          <w:highlight w:val="none"/>
          <w:lang w:eastAsia="zh-CN"/>
        </w:rPr>
      </w:pPr>
      <w:r>
        <w:rPr>
          <w:rFonts w:hint="eastAsia" w:ascii="宋体" w:hAnsi="宋体" w:eastAsia="宋体" w:cs="宋体"/>
          <w:snapToGrid w:val="0"/>
          <w:color w:val="auto"/>
          <w:kern w:val="0"/>
          <w:szCs w:val="21"/>
          <w:highlight w:val="none"/>
        </w:rPr>
        <w:t>4.</w:t>
      </w:r>
      <w:r>
        <w:rPr>
          <w:rFonts w:hint="eastAsia" w:ascii="宋体" w:hAnsi="宋体" w:eastAsia="宋体" w:cs="宋体"/>
          <w:snapToGrid w:val="0"/>
          <w:color w:val="auto"/>
          <w:kern w:val="0"/>
          <w:szCs w:val="21"/>
          <w:highlight w:val="none"/>
          <w:lang w:val="en-US" w:eastAsia="zh-CN"/>
        </w:rPr>
        <w:t>3</w:t>
      </w:r>
      <w:r>
        <w:rPr>
          <w:rFonts w:hint="eastAsia" w:ascii="宋体" w:hAnsi="宋体" w:eastAsia="宋体" w:cs="宋体"/>
          <w:snapToGrid w:val="0"/>
          <w:color w:val="auto"/>
          <w:kern w:val="0"/>
          <w:szCs w:val="21"/>
          <w:highlight w:val="none"/>
        </w:rPr>
        <w:t xml:space="preserve"> 报名</w:t>
      </w:r>
      <w:r>
        <w:rPr>
          <w:rFonts w:hint="eastAsia" w:ascii="宋体" w:hAnsi="宋体" w:eastAsia="宋体" w:cs="宋体"/>
          <w:snapToGrid w:val="0"/>
          <w:color w:val="auto"/>
          <w:kern w:val="0"/>
          <w:szCs w:val="21"/>
          <w:highlight w:val="none"/>
          <w:lang w:val="en-US" w:eastAsia="zh-CN"/>
        </w:rPr>
        <w:t>内容</w:t>
      </w:r>
    </w:p>
    <w:p w14:paraId="0BD5B272">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eastAsia="宋体" w:cs="宋体"/>
          <w:snapToGrid w:val="0"/>
          <w:color w:val="auto"/>
          <w:kern w:val="0"/>
          <w:szCs w:val="21"/>
          <w:highlight w:val="none"/>
          <w:u w:val="single"/>
          <w:lang w:val="en-US" w:eastAsia="zh-CN"/>
        </w:rPr>
        <w:t>2026</w:t>
      </w:r>
      <w:r>
        <w:rPr>
          <w:rFonts w:hint="eastAsia" w:ascii="宋体" w:hAnsi="宋体" w:eastAsia="宋体" w:cs="宋体"/>
          <w:snapToGrid w:val="0"/>
          <w:color w:val="auto"/>
          <w:kern w:val="0"/>
          <w:szCs w:val="21"/>
          <w:highlight w:val="none"/>
          <w:lang w:val="en-US" w:eastAsia="zh-CN"/>
        </w:rPr>
        <w:t>年</w:t>
      </w:r>
      <w:r>
        <w:rPr>
          <w:rFonts w:hint="eastAsia" w:ascii="宋体" w:hAnsi="宋体" w:cs="宋体"/>
          <w:snapToGrid w:val="0"/>
          <w:color w:val="auto"/>
          <w:kern w:val="0"/>
          <w:szCs w:val="21"/>
          <w:highlight w:val="none"/>
          <w:u w:val="single"/>
          <w:lang w:val="en-US" w:eastAsia="zh-CN"/>
        </w:rPr>
        <w:t>8</w:t>
      </w:r>
      <w:r>
        <w:rPr>
          <w:rFonts w:hint="eastAsia" w:ascii="宋体" w:hAnsi="宋体" w:eastAsia="宋体" w:cs="宋体"/>
          <w:snapToGrid w:val="0"/>
          <w:color w:val="auto"/>
          <w:kern w:val="0"/>
          <w:szCs w:val="21"/>
          <w:highlight w:val="none"/>
          <w:lang w:val="en-US" w:eastAsia="zh-CN"/>
        </w:rPr>
        <w:t>月</w:t>
      </w:r>
      <w:r>
        <w:rPr>
          <w:rFonts w:hint="eastAsia" w:ascii="宋体" w:hAnsi="宋体" w:cs="宋体"/>
          <w:snapToGrid w:val="0"/>
          <w:color w:val="auto"/>
          <w:kern w:val="0"/>
          <w:szCs w:val="21"/>
          <w:highlight w:val="none"/>
          <w:u w:val="single"/>
          <w:lang w:val="en-US" w:eastAsia="zh-CN"/>
        </w:rPr>
        <w:t>21</w:t>
      </w:r>
      <w:r>
        <w:rPr>
          <w:rFonts w:hint="eastAsia" w:ascii="宋体" w:hAnsi="宋体" w:eastAsia="宋体" w:cs="宋体"/>
          <w:snapToGrid w:val="0"/>
          <w:color w:val="auto"/>
          <w:kern w:val="0"/>
          <w:szCs w:val="21"/>
          <w:highlight w:val="none"/>
          <w:lang w:val="en-US" w:eastAsia="zh-CN"/>
        </w:rPr>
        <w:t>日至</w:t>
      </w:r>
      <w:r>
        <w:rPr>
          <w:rFonts w:hint="eastAsia" w:ascii="宋体" w:hAnsi="宋体" w:eastAsia="宋体" w:cs="宋体"/>
          <w:snapToGrid w:val="0"/>
          <w:color w:val="auto"/>
          <w:kern w:val="0"/>
          <w:szCs w:val="21"/>
          <w:highlight w:val="none"/>
          <w:u w:val="single"/>
          <w:lang w:val="en-US" w:eastAsia="zh-CN"/>
        </w:rPr>
        <w:t>2026</w:t>
      </w:r>
      <w:r>
        <w:rPr>
          <w:rFonts w:hint="eastAsia" w:ascii="宋体" w:hAnsi="宋体" w:eastAsia="宋体" w:cs="宋体"/>
          <w:snapToGrid w:val="0"/>
          <w:color w:val="auto"/>
          <w:kern w:val="0"/>
          <w:szCs w:val="21"/>
          <w:highlight w:val="none"/>
          <w:lang w:val="en-US" w:eastAsia="zh-CN"/>
        </w:rPr>
        <w:t>年</w:t>
      </w:r>
      <w:r>
        <w:rPr>
          <w:rFonts w:hint="eastAsia" w:ascii="宋体" w:hAnsi="宋体" w:cs="宋体"/>
          <w:snapToGrid w:val="0"/>
          <w:color w:val="auto"/>
          <w:kern w:val="0"/>
          <w:szCs w:val="21"/>
          <w:highlight w:val="none"/>
          <w:u w:val="single"/>
          <w:lang w:val="en-US" w:eastAsia="zh-CN"/>
        </w:rPr>
        <w:t>8</w:t>
      </w:r>
      <w:r>
        <w:rPr>
          <w:rFonts w:hint="eastAsia" w:ascii="宋体" w:hAnsi="宋体" w:eastAsia="宋体" w:cs="宋体"/>
          <w:snapToGrid w:val="0"/>
          <w:color w:val="auto"/>
          <w:kern w:val="0"/>
          <w:szCs w:val="21"/>
          <w:highlight w:val="none"/>
          <w:lang w:val="en-US" w:eastAsia="zh-CN"/>
        </w:rPr>
        <w:t>月</w:t>
      </w:r>
      <w:r>
        <w:rPr>
          <w:rFonts w:hint="eastAsia" w:ascii="宋体" w:hAnsi="宋体" w:cs="宋体"/>
          <w:snapToGrid w:val="0"/>
          <w:color w:val="auto"/>
          <w:kern w:val="0"/>
          <w:szCs w:val="21"/>
          <w:highlight w:val="none"/>
          <w:u w:val="single"/>
          <w:lang w:val="en-US" w:eastAsia="zh-CN"/>
        </w:rPr>
        <w:t>25</w:t>
      </w:r>
      <w:r>
        <w:rPr>
          <w:rFonts w:hint="eastAsia" w:ascii="宋体" w:hAnsi="宋体" w:eastAsia="宋体" w:cs="宋体"/>
          <w:snapToGrid w:val="0"/>
          <w:color w:val="auto"/>
          <w:kern w:val="0"/>
          <w:szCs w:val="21"/>
          <w:highlight w:val="none"/>
          <w:lang w:val="en-US" w:eastAsia="zh-CN"/>
        </w:rPr>
        <w:t>日</w:t>
      </w:r>
      <w:r>
        <w:rPr>
          <w:rFonts w:hint="eastAsia" w:ascii="宋体" w:hAnsi="宋体" w:eastAsia="宋体" w:cs="宋体"/>
          <w:snapToGrid w:val="0"/>
          <w:color w:val="auto"/>
          <w:kern w:val="0"/>
          <w:szCs w:val="21"/>
          <w:highlight w:val="none"/>
          <w:u w:val="single"/>
        </w:rPr>
        <w:t>1</w:t>
      </w:r>
      <w:r>
        <w:rPr>
          <w:rFonts w:hint="eastAsia" w:ascii="宋体" w:hAnsi="宋体" w:eastAsia="宋体" w:cs="宋体"/>
          <w:snapToGrid w:val="0"/>
          <w:color w:val="auto"/>
          <w:kern w:val="0"/>
          <w:szCs w:val="21"/>
          <w:highlight w:val="none"/>
          <w:u w:val="single"/>
          <w:lang w:val="en-US" w:eastAsia="zh-CN"/>
        </w:rPr>
        <w:t>7</w:t>
      </w:r>
      <w:r>
        <w:rPr>
          <w:rFonts w:hint="eastAsia" w:ascii="宋体" w:hAnsi="宋体" w:eastAsia="宋体" w:cs="宋体"/>
          <w:snapToGrid w:val="0"/>
          <w:color w:val="auto"/>
          <w:kern w:val="0"/>
          <w:szCs w:val="21"/>
          <w:highlight w:val="none"/>
          <w:u w:val="single"/>
        </w:rPr>
        <w:t>：00</w:t>
      </w:r>
      <w:r>
        <w:rPr>
          <w:rFonts w:hint="eastAsia" w:ascii="宋体" w:hAnsi="宋体" w:eastAsia="宋体" w:cs="宋体"/>
          <w:snapToGrid w:val="0"/>
          <w:color w:val="auto"/>
          <w:kern w:val="0"/>
          <w:szCs w:val="21"/>
          <w:highlight w:val="none"/>
        </w:rPr>
        <w:t>前</w:t>
      </w:r>
      <w:r>
        <w:rPr>
          <w:rFonts w:hint="eastAsia" w:ascii="宋体" w:hAnsi="宋体" w:eastAsia="宋体" w:cs="宋体"/>
          <w:snapToGrid w:val="0"/>
          <w:color w:val="auto"/>
          <w:kern w:val="0"/>
          <w:szCs w:val="21"/>
          <w:highlight w:val="none"/>
          <w:lang w:eastAsia="zh-CN"/>
        </w:rPr>
        <w:t>，投标人</w:t>
      </w:r>
      <w:r>
        <w:rPr>
          <w:rFonts w:hint="eastAsia" w:ascii="宋体" w:hAnsi="宋体" w:eastAsia="宋体" w:cs="宋体"/>
          <w:snapToGrid w:val="0"/>
          <w:color w:val="auto"/>
          <w:kern w:val="0"/>
          <w:szCs w:val="21"/>
          <w:highlight w:val="none"/>
        </w:rPr>
        <w:t>将《</w:t>
      </w:r>
      <w:bookmarkStart w:id="74" w:name="OLE_LINK1"/>
      <w:r>
        <w:rPr>
          <w:rFonts w:hint="eastAsia" w:ascii="宋体" w:hAnsi="宋体" w:eastAsia="宋体" w:cs="宋体"/>
          <w:snapToGrid w:val="0"/>
          <w:color w:val="auto"/>
          <w:kern w:val="0"/>
          <w:szCs w:val="21"/>
          <w:highlight w:val="none"/>
          <w:lang w:eastAsia="zh-CN"/>
        </w:rPr>
        <w:t>比选</w:t>
      </w:r>
      <w:bookmarkEnd w:id="74"/>
      <w:r>
        <w:rPr>
          <w:rFonts w:hint="eastAsia" w:ascii="宋体" w:hAnsi="宋体" w:eastAsia="宋体" w:cs="宋体"/>
          <w:snapToGrid w:val="0"/>
          <w:color w:val="auto"/>
          <w:kern w:val="0"/>
          <w:szCs w:val="21"/>
          <w:highlight w:val="none"/>
        </w:rPr>
        <w:t>报名登记表》填写完整</w:t>
      </w:r>
      <w:r>
        <w:rPr>
          <w:rFonts w:hint="eastAsia" w:ascii="宋体" w:hAnsi="宋体" w:eastAsia="宋体" w:cs="宋体"/>
          <w:snapToGrid w:val="0"/>
          <w:color w:val="auto"/>
          <w:kern w:val="0"/>
          <w:szCs w:val="21"/>
          <w:highlight w:val="none"/>
          <w:lang w:val="en-US" w:eastAsia="zh-CN"/>
        </w:rPr>
        <w:t>并</w:t>
      </w:r>
      <w:r>
        <w:rPr>
          <w:rFonts w:hint="eastAsia" w:ascii="宋体" w:hAnsi="宋体" w:eastAsia="宋体" w:cs="宋体"/>
          <w:snapToGrid w:val="0"/>
          <w:color w:val="auto"/>
          <w:kern w:val="0"/>
          <w:szCs w:val="21"/>
          <w:highlight w:val="none"/>
        </w:rPr>
        <w:t>加盖</w:t>
      </w:r>
      <w:r>
        <w:rPr>
          <w:rFonts w:hint="eastAsia" w:ascii="宋体" w:hAnsi="宋体" w:eastAsia="宋体" w:cs="宋体"/>
          <w:snapToGrid w:val="0"/>
          <w:color w:val="auto"/>
          <w:kern w:val="0"/>
          <w:szCs w:val="21"/>
          <w:highlight w:val="none"/>
          <w:lang w:eastAsia="zh-CN"/>
        </w:rPr>
        <w:t>投标人</w:t>
      </w:r>
      <w:r>
        <w:rPr>
          <w:rFonts w:hint="eastAsia" w:ascii="宋体" w:hAnsi="宋体" w:eastAsia="宋体" w:cs="宋体"/>
          <w:snapToGrid w:val="0"/>
          <w:color w:val="auto"/>
          <w:kern w:val="0"/>
          <w:szCs w:val="21"/>
          <w:highlight w:val="none"/>
        </w:rPr>
        <w:t>公章</w:t>
      </w:r>
      <w:r>
        <w:rPr>
          <w:rFonts w:hint="eastAsia" w:ascii="宋体" w:hAnsi="宋体" w:eastAsia="宋体" w:cs="宋体"/>
          <w:snapToGrid w:val="0"/>
          <w:color w:val="auto"/>
          <w:kern w:val="0"/>
          <w:szCs w:val="21"/>
          <w:highlight w:val="none"/>
          <w:lang w:val="en-US" w:eastAsia="zh-CN"/>
        </w:rPr>
        <w:t>后</w:t>
      </w:r>
      <w:r>
        <w:rPr>
          <w:rFonts w:hint="eastAsia" w:ascii="宋体" w:hAnsi="宋体" w:eastAsia="宋体" w:cs="宋体"/>
          <w:snapToGrid w:val="0"/>
          <w:color w:val="auto"/>
          <w:kern w:val="0"/>
          <w:szCs w:val="21"/>
          <w:highlight w:val="none"/>
        </w:rPr>
        <w:t>扫描发送至</w:t>
      </w:r>
      <w:r>
        <w:rPr>
          <w:rFonts w:hint="eastAsia" w:ascii="宋体" w:hAnsi="宋体" w:eastAsia="宋体" w:cs="宋体"/>
          <w:snapToGrid w:val="0"/>
          <w:color w:val="auto"/>
          <w:kern w:val="0"/>
          <w:szCs w:val="21"/>
          <w:highlight w:val="none"/>
          <w:lang w:val="en-US" w:eastAsia="zh-CN"/>
        </w:rPr>
        <w:t>代理机构邮箱</w:t>
      </w:r>
      <w:r>
        <w:rPr>
          <w:rFonts w:hint="eastAsia" w:ascii="宋体" w:hAnsi="宋体" w:eastAsia="宋体" w:cs="宋体"/>
          <w:snapToGrid w:val="0"/>
          <w:color w:val="auto"/>
          <w:kern w:val="0"/>
          <w:szCs w:val="21"/>
          <w:highlight w:val="none"/>
        </w:rPr>
        <w:t>（</w:t>
      </w:r>
      <w:r>
        <w:rPr>
          <w:rFonts w:hint="eastAsia" w:ascii="宋体" w:hAnsi="宋体" w:eastAsia="宋体" w:cs="宋体"/>
          <w:snapToGrid w:val="0"/>
          <w:color w:val="auto"/>
          <w:kern w:val="0"/>
          <w:szCs w:val="21"/>
          <w:highlight w:val="none"/>
          <w:lang w:val="en-US" w:eastAsia="zh-CN"/>
        </w:rPr>
        <w:t>邮箱号：3137912003@qq.com</w:t>
      </w:r>
      <w:r>
        <w:rPr>
          <w:rFonts w:hint="eastAsia" w:ascii="宋体" w:hAnsi="宋体" w:eastAsia="宋体" w:cs="宋体"/>
          <w:snapToGrid w:val="0"/>
          <w:color w:val="auto"/>
          <w:kern w:val="0"/>
          <w:szCs w:val="21"/>
          <w:highlight w:val="none"/>
        </w:rPr>
        <w:t>）。</w:t>
      </w:r>
      <w:r>
        <w:rPr>
          <w:rFonts w:hint="eastAsia" w:ascii="宋体" w:hAnsi="宋体" w:eastAsia="宋体" w:cs="宋体"/>
          <w:snapToGrid w:val="0"/>
          <w:color w:val="auto"/>
          <w:kern w:val="0"/>
          <w:szCs w:val="21"/>
          <w:highlight w:val="none"/>
          <w:lang w:val="en-US" w:eastAsia="zh-CN"/>
        </w:rPr>
        <w:t>投标人须满足以下条件其投标文件才会被接受：（1）</w:t>
      </w:r>
      <w:r>
        <w:rPr>
          <w:rFonts w:hint="eastAsia" w:ascii="宋体" w:hAnsi="宋体" w:eastAsia="宋体" w:cs="宋体"/>
          <w:snapToGrid w:val="0"/>
          <w:color w:val="auto"/>
          <w:kern w:val="0"/>
          <w:szCs w:val="21"/>
          <w:highlight w:val="none"/>
          <w:lang w:eastAsia="zh-CN"/>
        </w:rPr>
        <w:t>投标人</w:t>
      </w:r>
      <w:r>
        <w:rPr>
          <w:rFonts w:hint="eastAsia" w:ascii="宋体" w:hAnsi="宋体" w:eastAsia="宋体" w:cs="宋体"/>
          <w:snapToGrid w:val="0"/>
          <w:color w:val="auto"/>
          <w:kern w:val="0"/>
          <w:szCs w:val="21"/>
          <w:highlight w:val="none"/>
        </w:rPr>
        <w:t>须按时将《</w:t>
      </w:r>
      <w:r>
        <w:rPr>
          <w:rFonts w:hint="eastAsia" w:ascii="宋体" w:hAnsi="宋体" w:eastAsia="宋体" w:cs="宋体"/>
          <w:snapToGrid w:val="0"/>
          <w:color w:val="auto"/>
          <w:kern w:val="0"/>
          <w:szCs w:val="21"/>
          <w:highlight w:val="none"/>
          <w:lang w:eastAsia="zh-CN"/>
        </w:rPr>
        <w:t>比选</w:t>
      </w:r>
      <w:r>
        <w:rPr>
          <w:rFonts w:hint="eastAsia" w:ascii="宋体" w:hAnsi="宋体" w:eastAsia="宋体" w:cs="宋体"/>
          <w:snapToGrid w:val="0"/>
          <w:color w:val="auto"/>
          <w:kern w:val="0"/>
          <w:szCs w:val="21"/>
          <w:highlight w:val="none"/>
        </w:rPr>
        <w:t>报名登记表》发送至指定</w:t>
      </w:r>
      <w:r>
        <w:rPr>
          <w:rFonts w:hint="eastAsia" w:ascii="宋体" w:hAnsi="宋体" w:eastAsia="宋体" w:cs="宋体"/>
          <w:snapToGrid w:val="0"/>
          <w:color w:val="auto"/>
          <w:kern w:val="0"/>
          <w:szCs w:val="21"/>
          <w:highlight w:val="none"/>
          <w:lang w:val="en-US" w:eastAsia="zh-CN"/>
        </w:rPr>
        <w:t>邮箱</w:t>
      </w:r>
      <w:r>
        <w:rPr>
          <w:rFonts w:hint="eastAsia" w:ascii="宋体" w:hAnsi="宋体" w:eastAsia="宋体" w:cs="宋体"/>
          <w:snapToGrid w:val="0"/>
          <w:color w:val="auto"/>
          <w:kern w:val="0"/>
          <w:szCs w:val="21"/>
          <w:highlight w:val="none"/>
        </w:rPr>
        <w:t>；</w:t>
      </w:r>
      <w:r>
        <w:rPr>
          <w:rFonts w:hint="eastAsia" w:ascii="宋体" w:hAnsi="宋体" w:eastAsia="宋体" w:cs="宋体"/>
          <w:snapToGrid w:val="0"/>
          <w:color w:val="auto"/>
          <w:kern w:val="0"/>
          <w:szCs w:val="21"/>
          <w:highlight w:val="none"/>
          <w:lang w:eastAsia="zh-CN"/>
        </w:rPr>
        <w:t>（</w:t>
      </w:r>
      <w:r>
        <w:rPr>
          <w:rFonts w:hint="eastAsia" w:ascii="宋体" w:hAnsi="宋体" w:eastAsia="宋体" w:cs="宋体"/>
          <w:snapToGrid w:val="0"/>
          <w:color w:val="auto"/>
          <w:kern w:val="0"/>
          <w:szCs w:val="21"/>
          <w:highlight w:val="none"/>
          <w:lang w:val="en-US" w:eastAsia="zh-CN"/>
        </w:rPr>
        <w:t>2</w:t>
      </w:r>
      <w:r>
        <w:rPr>
          <w:rFonts w:hint="eastAsia" w:ascii="宋体" w:hAnsi="宋体" w:eastAsia="宋体" w:cs="宋体"/>
          <w:snapToGrid w:val="0"/>
          <w:color w:val="auto"/>
          <w:kern w:val="0"/>
          <w:szCs w:val="21"/>
          <w:highlight w:val="none"/>
          <w:lang w:eastAsia="zh-CN"/>
        </w:rPr>
        <w:t>）</w:t>
      </w:r>
      <w:r>
        <w:rPr>
          <w:rFonts w:hint="eastAsia" w:ascii="宋体" w:hAnsi="宋体" w:eastAsia="宋体" w:cs="宋体"/>
          <w:snapToGrid w:val="0"/>
          <w:color w:val="auto"/>
          <w:kern w:val="0"/>
          <w:szCs w:val="21"/>
          <w:highlight w:val="none"/>
        </w:rPr>
        <w:t>在</w:t>
      </w:r>
      <w:r>
        <w:rPr>
          <w:rFonts w:hint="eastAsia" w:ascii="宋体" w:hAnsi="宋体" w:eastAsia="宋体" w:cs="宋体"/>
          <w:snapToGrid w:val="0"/>
          <w:color w:val="auto"/>
          <w:kern w:val="0"/>
          <w:szCs w:val="21"/>
          <w:highlight w:val="none"/>
          <w:lang w:eastAsia="zh-CN"/>
        </w:rPr>
        <w:t>投标文件</w:t>
      </w:r>
      <w:r>
        <w:rPr>
          <w:rFonts w:hint="eastAsia" w:ascii="宋体" w:hAnsi="宋体" w:eastAsia="宋体" w:cs="宋体"/>
          <w:snapToGrid w:val="0"/>
          <w:color w:val="auto"/>
          <w:kern w:val="0"/>
          <w:szCs w:val="21"/>
          <w:highlight w:val="none"/>
        </w:rPr>
        <w:t>递交的截止时间（投标截止时间）前</w:t>
      </w:r>
      <w:r>
        <w:rPr>
          <w:rFonts w:hint="eastAsia" w:ascii="宋体" w:hAnsi="宋体" w:eastAsia="宋体" w:cs="宋体"/>
          <w:snapToGrid w:val="0"/>
          <w:color w:val="auto"/>
          <w:kern w:val="0"/>
          <w:szCs w:val="21"/>
          <w:highlight w:val="none"/>
          <w:lang w:val="en-US" w:eastAsia="zh-CN"/>
        </w:rPr>
        <w:t>按时足额缴纳投标保证金</w:t>
      </w:r>
      <w:r>
        <w:rPr>
          <w:rFonts w:hint="eastAsia" w:ascii="宋体" w:hAnsi="宋体" w:eastAsia="宋体" w:cs="宋体"/>
          <w:snapToGrid w:val="0"/>
          <w:color w:val="auto"/>
          <w:kern w:val="0"/>
          <w:szCs w:val="21"/>
          <w:highlight w:val="none"/>
        </w:rPr>
        <w:t>。</w:t>
      </w:r>
    </w:p>
    <w:p w14:paraId="43CB3B1C">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lang w:val="en-US" w:eastAsia="zh-CN"/>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 xml:space="preserve"> 竞选人应仔细阅读和检查比选文件的全部内容。如发现缺页或附件不全，应及时提出，以便补齐。如有疑问，请在</w:t>
      </w:r>
      <w:r>
        <w:rPr>
          <w:rFonts w:hint="eastAsia" w:ascii="宋体" w:hAnsi="宋体" w:cs="宋体"/>
          <w:color w:val="000000" w:themeColor="text1"/>
          <w:szCs w:val="21"/>
          <w:u w:val="single"/>
          <w14:textFill>
            <w14:solidFill>
              <w14:schemeClr w14:val="tx1"/>
            </w14:solidFill>
          </w14:textFill>
        </w:rPr>
        <w:t>2026</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lang w:val="en-US" w:eastAsia="zh-CN"/>
          <w14:textFill>
            <w14:solidFill>
              <w14:schemeClr w14:val="tx1"/>
            </w14:solidFill>
          </w14:textFill>
        </w:rPr>
        <w:t>8</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u w:val="single"/>
          <w:lang w:val="en-US" w:eastAsia="zh-CN"/>
          <w14:textFill>
            <w14:solidFill>
              <w14:schemeClr w14:val="tx1"/>
            </w14:solidFill>
          </w14:textFill>
        </w:rPr>
        <w:t>26</w:t>
      </w:r>
      <w:r>
        <w:rPr>
          <w:rFonts w:hint="eastAsia" w:ascii="宋体" w:hAnsi="宋体" w:cs="宋体"/>
          <w:color w:val="000000" w:themeColor="text1"/>
          <w:szCs w:val="21"/>
          <w14:textFill>
            <w14:solidFill>
              <w14:schemeClr w14:val="tx1"/>
            </w14:solidFill>
          </w14:textFill>
        </w:rPr>
        <w:t>日</w:t>
      </w:r>
      <w:r>
        <w:rPr>
          <w:rFonts w:hint="eastAsia" w:ascii="宋体" w:hAnsi="宋体" w:cs="宋体"/>
          <w:color w:val="000000" w:themeColor="text1"/>
          <w:szCs w:val="21"/>
          <w:u w:val="single"/>
          <w14:textFill>
            <w14:solidFill>
              <w14:schemeClr w14:val="tx1"/>
            </w14:solidFill>
          </w14:textFill>
        </w:rPr>
        <w:t>1</w:t>
      </w:r>
      <w:r>
        <w:rPr>
          <w:rFonts w:hint="eastAsia" w:ascii="宋体" w:hAnsi="宋体" w:cs="宋体"/>
          <w:color w:val="000000" w:themeColor="text1"/>
          <w:szCs w:val="21"/>
          <w:u w:val="single"/>
          <w:lang w:val="en-US" w:eastAsia="zh-CN"/>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时</w:t>
      </w:r>
      <w:r>
        <w:rPr>
          <w:rFonts w:hint="eastAsia" w:ascii="宋体" w:hAnsi="宋体" w:cs="宋体"/>
          <w:color w:val="000000" w:themeColor="text1"/>
          <w:szCs w:val="21"/>
          <w:u w:val="single"/>
          <w14:textFill>
            <w14:solidFill>
              <w14:schemeClr w14:val="tx1"/>
            </w14:solidFill>
          </w14:textFill>
        </w:rPr>
        <w:t>00</w:t>
      </w:r>
      <w:r>
        <w:rPr>
          <w:rFonts w:hint="eastAsia" w:ascii="宋体" w:hAnsi="宋体" w:cs="宋体"/>
          <w:color w:val="000000" w:themeColor="text1"/>
          <w:szCs w:val="21"/>
          <w14:textFill>
            <w14:solidFill>
              <w14:schemeClr w14:val="tx1"/>
            </w14:solidFill>
          </w14:textFill>
        </w:rPr>
        <w:t>分前向比选人或比选代理机构提出，超过此时间规定，比选人不再受理竞选疑问。</w:t>
      </w:r>
    </w:p>
    <w:p w14:paraId="4286BE08">
      <w:pPr>
        <w:adjustRightInd w:val="0"/>
        <w:spacing w:line="360" w:lineRule="auto"/>
        <w:rPr>
          <w:rFonts w:ascii="宋体" w:cs="Arial"/>
          <w:b/>
          <w:color w:val="000000" w:themeColor="text1"/>
          <w:sz w:val="24"/>
          <w14:textFill>
            <w14:solidFill>
              <w14:schemeClr w14:val="tx1"/>
            </w14:solidFill>
          </w14:textFill>
        </w:rPr>
      </w:pPr>
      <w:r>
        <w:rPr>
          <w:rFonts w:ascii="宋体" w:hAnsi="宋体" w:cs="Arial"/>
          <w:b/>
          <w:color w:val="000000" w:themeColor="text1"/>
          <w:sz w:val="24"/>
          <w14:textFill>
            <w14:solidFill>
              <w14:schemeClr w14:val="tx1"/>
            </w14:solidFill>
          </w14:textFill>
        </w:rPr>
        <w:t xml:space="preserve">5. </w:t>
      </w:r>
      <w:bookmarkEnd w:id="71"/>
      <w:bookmarkEnd w:id="72"/>
      <w:bookmarkEnd w:id="73"/>
      <w:r>
        <w:rPr>
          <w:rFonts w:hint="eastAsia" w:ascii="宋体" w:hAnsi="宋体" w:cs="Arial"/>
          <w:b/>
          <w:color w:val="000000" w:themeColor="text1"/>
          <w:sz w:val="24"/>
          <w14:textFill>
            <w14:solidFill>
              <w14:schemeClr w14:val="tx1"/>
            </w14:solidFill>
          </w14:textFill>
        </w:rPr>
        <w:t>竞选截止时间及地点和开标时间及地点</w:t>
      </w:r>
    </w:p>
    <w:p w14:paraId="6988F973">
      <w:pPr>
        <w:adjustRightInd w:val="0"/>
        <w:spacing w:line="360" w:lineRule="auto"/>
        <w:ind w:firstLine="495" w:firstLineChars="236"/>
        <w:rPr>
          <w:rFonts w:ascii="宋体" w:cs="Arial"/>
          <w:color w:val="000000" w:themeColor="text1"/>
          <w:szCs w:val="21"/>
          <w14:textFill>
            <w14:solidFill>
              <w14:schemeClr w14:val="tx1"/>
            </w14:solidFill>
          </w14:textFill>
        </w:rPr>
      </w:pPr>
      <w:bookmarkStart w:id="75" w:name="_Toc200359432"/>
      <w:bookmarkStart w:id="76" w:name="_Toc200359243"/>
      <w:bookmarkStart w:id="77" w:name="_Toc224103304"/>
      <w:r>
        <w:rPr>
          <w:rFonts w:ascii="宋体" w:hAnsi="宋体" w:cs="Arial"/>
          <w:color w:val="000000" w:themeColor="text1"/>
          <w:szCs w:val="21"/>
          <w14:textFill>
            <w14:solidFill>
              <w14:schemeClr w14:val="tx1"/>
            </w14:solidFill>
          </w14:textFill>
        </w:rPr>
        <w:t>5.1</w:t>
      </w:r>
      <w:r>
        <w:rPr>
          <w:rFonts w:hint="eastAsia" w:ascii="宋体" w:hAnsi="宋体" w:cs="Arial"/>
          <w:color w:val="000000" w:themeColor="text1"/>
          <w:szCs w:val="21"/>
          <w14:textFill>
            <w14:solidFill>
              <w14:schemeClr w14:val="tx1"/>
            </w14:solidFill>
          </w14:textFill>
        </w:rPr>
        <w:t>竞选截止时间和开标时间：</w:t>
      </w:r>
      <w:r>
        <w:rPr>
          <w:rFonts w:hint="eastAsia" w:ascii="宋体" w:hAnsi="宋体" w:cs="Arial"/>
          <w:color w:val="000000" w:themeColor="text1"/>
          <w:szCs w:val="21"/>
          <w:u w:val="single"/>
          <w14:textFill>
            <w14:solidFill>
              <w14:schemeClr w14:val="tx1"/>
            </w14:solidFill>
          </w14:textFill>
        </w:rPr>
        <w:t>2026</w:t>
      </w:r>
      <w:r>
        <w:rPr>
          <w:rFonts w:hint="eastAsia" w:ascii="宋体" w:hAnsi="宋体" w:cs="Arial"/>
          <w:color w:val="000000" w:themeColor="text1"/>
          <w:szCs w:val="21"/>
          <w14:textFill>
            <w14:solidFill>
              <w14:schemeClr w14:val="tx1"/>
            </w14:solidFill>
          </w14:textFill>
        </w:rPr>
        <w:t>年</w:t>
      </w:r>
      <w:r>
        <w:rPr>
          <w:rFonts w:hint="eastAsia" w:ascii="宋体" w:hAnsi="宋体" w:cs="宋体"/>
          <w:color w:val="000000" w:themeColor="text1"/>
          <w:szCs w:val="21"/>
          <w:u w:val="single"/>
          <w:lang w:val="en-US" w:eastAsia="zh-CN"/>
          <w14:textFill>
            <w14:solidFill>
              <w14:schemeClr w14:val="tx1"/>
            </w14:solidFill>
          </w14:textFill>
        </w:rPr>
        <w:t>8</w:t>
      </w:r>
      <w:r>
        <w:rPr>
          <w:rFonts w:hint="eastAsia" w:ascii="宋体" w:hAnsi="宋体" w:cs="Arial"/>
          <w:color w:val="000000" w:themeColor="text1"/>
          <w:szCs w:val="21"/>
          <w14:textFill>
            <w14:solidFill>
              <w14:schemeClr w14:val="tx1"/>
            </w14:solidFill>
          </w14:textFill>
        </w:rPr>
        <w:t>月</w:t>
      </w:r>
      <w:r>
        <w:rPr>
          <w:rFonts w:hint="eastAsia" w:ascii="宋体" w:hAnsi="宋体" w:cs="Arial"/>
          <w:color w:val="000000" w:themeColor="text1"/>
          <w:szCs w:val="21"/>
          <w:u w:val="single"/>
          <w:lang w:val="en-US" w:eastAsia="zh-CN"/>
          <w14:textFill>
            <w14:solidFill>
              <w14:schemeClr w14:val="tx1"/>
            </w14:solidFill>
          </w14:textFill>
        </w:rPr>
        <w:t>27</w:t>
      </w:r>
      <w:r>
        <w:rPr>
          <w:rFonts w:hint="eastAsia" w:ascii="宋体" w:hAnsi="宋体" w:cs="Arial"/>
          <w:color w:val="000000" w:themeColor="text1"/>
          <w:szCs w:val="21"/>
          <w14:textFill>
            <w14:solidFill>
              <w14:schemeClr w14:val="tx1"/>
            </w14:solidFill>
          </w14:textFill>
        </w:rPr>
        <w:t>日</w:t>
      </w:r>
      <w:r>
        <w:rPr>
          <w:rFonts w:hint="eastAsia" w:ascii="宋体" w:hAnsi="宋体" w:cs="Arial"/>
          <w:color w:val="000000" w:themeColor="text1"/>
          <w:szCs w:val="21"/>
          <w:u w:val="single"/>
          <w:lang w:val="en-US" w:eastAsia="zh-CN"/>
          <w14:textFill>
            <w14:solidFill>
              <w14:schemeClr w14:val="tx1"/>
            </w14:solidFill>
          </w14:textFill>
        </w:rPr>
        <w:t>14</w:t>
      </w:r>
      <w:r>
        <w:rPr>
          <w:rFonts w:hint="eastAsia" w:ascii="宋体" w:hAnsi="宋体" w:cs="Arial"/>
          <w:color w:val="000000" w:themeColor="text1"/>
          <w:szCs w:val="21"/>
          <w14:textFill>
            <w14:solidFill>
              <w14:schemeClr w14:val="tx1"/>
            </w14:solidFill>
          </w14:textFill>
        </w:rPr>
        <w:t>时</w:t>
      </w:r>
      <w:r>
        <w:rPr>
          <w:rFonts w:hint="eastAsia" w:ascii="宋体" w:hAnsi="宋体" w:cs="Arial"/>
          <w:color w:val="000000" w:themeColor="text1"/>
          <w:szCs w:val="21"/>
          <w:u w:val="single"/>
          <w:lang w:val="en-US" w:eastAsia="zh-CN"/>
          <w14:textFill>
            <w14:solidFill>
              <w14:schemeClr w14:val="tx1"/>
            </w14:solidFill>
          </w14:textFill>
        </w:rPr>
        <w:t>00</w:t>
      </w:r>
      <w:r>
        <w:rPr>
          <w:rFonts w:hint="eastAsia" w:ascii="宋体" w:hAnsi="宋体" w:cs="Arial"/>
          <w:color w:val="000000" w:themeColor="text1"/>
          <w:szCs w:val="21"/>
          <w14:textFill>
            <w14:solidFill>
              <w14:schemeClr w14:val="tx1"/>
            </w14:solidFill>
          </w14:textFill>
        </w:rPr>
        <w:t>分（北京时间）。</w:t>
      </w:r>
    </w:p>
    <w:p w14:paraId="2398F52E">
      <w:pPr>
        <w:adjustRightInd w:val="0"/>
        <w:spacing w:line="360" w:lineRule="auto"/>
        <w:ind w:firstLine="495" w:firstLineChars="236"/>
        <w:rPr>
          <w:rFonts w:ascii="宋体" w:cs="Arial"/>
          <w:color w:val="000000" w:themeColor="text1"/>
          <w:szCs w:val="21"/>
          <w14:textFill>
            <w14:solidFill>
              <w14:schemeClr w14:val="tx1"/>
            </w14:solidFill>
          </w14:textFill>
        </w:rPr>
      </w:pPr>
      <w:r>
        <w:rPr>
          <w:rFonts w:ascii="宋体" w:hAnsi="宋体" w:cs="Arial"/>
          <w:color w:val="000000" w:themeColor="text1"/>
          <w:szCs w:val="21"/>
          <w14:textFill>
            <w14:solidFill>
              <w14:schemeClr w14:val="tx1"/>
            </w14:solidFill>
          </w14:textFill>
        </w:rPr>
        <w:t>5.2</w:t>
      </w:r>
      <w:r>
        <w:rPr>
          <w:rFonts w:hint="eastAsia" w:ascii="宋体" w:hAnsi="宋体" w:cs="Arial"/>
          <w:color w:val="000000" w:themeColor="text1"/>
          <w:szCs w:val="21"/>
          <w14:textFill>
            <w14:solidFill>
              <w14:schemeClr w14:val="tx1"/>
            </w14:solidFill>
          </w14:textFill>
        </w:rPr>
        <w:t>竞选地点和开标地点：</w:t>
      </w:r>
      <w:bookmarkStart w:id="78" w:name="OLE_LINK3"/>
      <w:r>
        <w:rPr>
          <w:rFonts w:hint="eastAsia" w:ascii="宋体" w:hAnsi="宋体" w:eastAsia="宋体" w:cs="宋体"/>
          <w:color w:val="auto"/>
          <w:szCs w:val="21"/>
          <w:highlight w:val="none"/>
        </w:rPr>
        <w:t>垫江县周嘉镇人民政府3楼会议室</w:t>
      </w:r>
      <w:r>
        <w:rPr>
          <w:rFonts w:hint="eastAsia" w:ascii="宋体" w:hAnsi="宋体" w:cs="Arial"/>
          <w:color w:val="000000" w:themeColor="text1"/>
          <w:szCs w:val="21"/>
          <w14:textFill>
            <w14:solidFill>
              <w14:schemeClr w14:val="tx1"/>
            </w14:solidFill>
          </w14:textFill>
        </w:rPr>
        <w:t>。</w:t>
      </w:r>
    </w:p>
    <w:bookmarkEnd w:id="78"/>
    <w:p w14:paraId="56A02B3D">
      <w:pPr>
        <w:adjustRightInd w:val="0"/>
        <w:spacing w:line="360" w:lineRule="auto"/>
        <w:ind w:firstLine="495" w:firstLineChars="236"/>
        <w:rPr>
          <w:rFonts w:ascii="宋体" w:cs="Arial"/>
          <w:color w:val="000000" w:themeColor="text1"/>
          <w:szCs w:val="21"/>
          <w14:textFill>
            <w14:solidFill>
              <w14:schemeClr w14:val="tx1"/>
            </w14:solidFill>
          </w14:textFill>
        </w:rPr>
      </w:pPr>
      <w:r>
        <w:rPr>
          <w:rFonts w:ascii="宋体" w:hAnsi="宋体" w:cs="Arial"/>
          <w:color w:val="000000" w:themeColor="text1"/>
          <w:szCs w:val="21"/>
          <w14:textFill>
            <w14:solidFill>
              <w14:schemeClr w14:val="tx1"/>
            </w14:solidFill>
          </w14:textFill>
        </w:rPr>
        <w:t>5.3</w:t>
      </w:r>
      <w:r>
        <w:rPr>
          <w:rFonts w:hint="eastAsia" w:ascii="宋体" w:hAnsi="宋体" w:cs="Arial"/>
          <w:color w:val="000000" w:themeColor="text1"/>
          <w:szCs w:val="21"/>
          <w14:textFill>
            <w14:solidFill>
              <w14:schemeClr w14:val="tx1"/>
            </w14:solidFill>
          </w14:textFill>
        </w:rPr>
        <w:t>逾期送达或未送达本比选文件指定地点，或未按本比选文件要求密封的，比选人不予受理。</w:t>
      </w:r>
    </w:p>
    <w:p w14:paraId="792F407F">
      <w:pPr>
        <w:adjustRightInd w:val="0"/>
        <w:spacing w:line="360" w:lineRule="auto"/>
        <w:rPr>
          <w:rFonts w:ascii="宋体" w:cs="Arial"/>
          <w:b/>
          <w:color w:val="000000" w:themeColor="text1"/>
          <w:sz w:val="24"/>
          <w14:textFill>
            <w14:solidFill>
              <w14:schemeClr w14:val="tx1"/>
            </w14:solidFill>
          </w14:textFill>
        </w:rPr>
      </w:pPr>
      <w:r>
        <w:rPr>
          <w:rFonts w:ascii="宋体" w:hAnsi="宋体" w:cs="Arial"/>
          <w:b/>
          <w:color w:val="000000" w:themeColor="text1"/>
          <w:sz w:val="24"/>
          <w14:textFill>
            <w14:solidFill>
              <w14:schemeClr w14:val="tx1"/>
            </w14:solidFill>
          </w14:textFill>
        </w:rPr>
        <w:t xml:space="preserve">6. </w:t>
      </w:r>
      <w:r>
        <w:rPr>
          <w:rFonts w:hint="eastAsia" w:ascii="宋体" w:hAnsi="宋体" w:cs="Arial"/>
          <w:b/>
          <w:color w:val="000000" w:themeColor="text1"/>
          <w:sz w:val="24"/>
          <w14:textFill>
            <w14:solidFill>
              <w14:schemeClr w14:val="tx1"/>
            </w14:solidFill>
          </w14:textFill>
        </w:rPr>
        <w:t>发布公告的媒介</w:t>
      </w:r>
      <w:bookmarkEnd w:id="75"/>
      <w:bookmarkEnd w:id="76"/>
      <w:bookmarkEnd w:id="77"/>
    </w:p>
    <w:p w14:paraId="30D3A1D4">
      <w:pPr>
        <w:adjustRightInd w:val="0"/>
        <w:spacing w:line="360" w:lineRule="auto"/>
        <w:ind w:firstLine="420" w:firstLineChars="200"/>
        <w:rPr>
          <w:rFonts w:ascii="宋体" w:cs="宋体"/>
          <w:szCs w:val="21"/>
        </w:rPr>
      </w:pPr>
      <w:r>
        <w:rPr>
          <w:rFonts w:hint="eastAsia" w:ascii="宋体" w:hAnsi="宋体" w:eastAsia="宋体" w:cs="宋体"/>
          <w:color w:val="auto"/>
          <w:szCs w:val="21"/>
          <w:highlight w:val="none"/>
        </w:rPr>
        <w:t>本次比选公告在垫江县人民政府网（http://www.cqsdj.gov.cn）发布</w:t>
      </w:r>
      <w:r>
        <w:rPr>
          <w:rFonts w:hint="eastAsia" w:ascii="宋体" w:hAnsi="宋体" w:cs="Arial"/>
          <w:szCs w:val="21"/>
        </w:rPr>
        <w:t>。</w:t>
      </w:r>
    </w:p>
    <w:p w14:paraId="69729725">
      <w:pPr>
        <w:spacing w:line="360" w:lineRule="auto"/>
        <w:rPr>
          <w:rFonts w:ascii="宋体" w:cs="宋体"/>
          <w:szCs w:val="21"/>
        </w:rPr>
      </w:pPr>
      <w:r>
        <w:rPr>
          <w:rFonts w:ascii="宋体" w:hAnsi="宋体"/>
          <w:b/>
          <w:sz w:val="28"/>
          <w:szCs w:val="28"/>
        </w:rPr>
        <w:t xml:space="preserve">7. </w:t>
      </w:r>
      <w:r>
        <w:rPr>
          <w:rFonts w:hint="eastAsia" w:ascii="宋体" w:hAnsi="宋体"/>
          <w:b/>
          <w:sz w:val="28"/>
          <w:szCs w:val="28"/>
        </w:rPr>
        <w:t>联系方式</w:t>
      </w:r>
      <w:bookmarkEnd w:id="64"/>
      <w:bookmarkEnd w:id="65"/>
      <w:bookmarkEnd w:id="66"/>
      <w:bookmarkEnd w:id="67"/>
      <w:bookmarkEnd w:id="68"/>
      <w:bookmarkEnd w:id="69"/>
      <w:bookmarkEnd w:id="70"/>
    </w:p>
    <w:tbl>
      <w:tblPr>
        <w:tblStyle w:val="46"/>
        <w:tblW w:w="0" w:type="auto"/>
        <w:tblInd w:w="0" w:type="dxa"/>
        <w:tblLayout w:type="fixed"/>
        <w:tblCellMar>
          <w:top w:w="0" w:type="dxa"/>
          <w:left w:w="108" w:type="dxa"/>
          <w:bottom w:w="0" w:type="dxa"/>
          <w:right w:w="108" w:type="dxa"/>
        </w:tblCellMar>
      </w:tblPr>
      <w:tblGrid>
        <w:gridCol w:w="4817"/>
        <w:gridCol w:w="4935"/>
      </w:tblGrid>
      <w:tr w14:paraId="5FA23316">
        <w:tblPrEx>
          <w:tblCellMar>
            <w:top w:w="0" w:type="dxa"/>
            <w:left w:w="108" w:type="dxa"/>
            <w:bottom w:w="0" w:type="dxa"/>
            <w:right w:w="108" w:type="dxa"/>
          </w:tblCellMar>
        </w:tblPrEx>
        <w:trPr>
          <w:trHeight w:val="90" w:hRule="atLeast"/>
        </w:trPr>
        <w:tc>
          <w:tcPr>
            <w:tcW w:w="4817" w:type="dxa"/>
            <w:noWrap w:val="0"/>
            <w:vAlign w:val="top"/>
          </w:tcPr>
          <w:p w14:paraId="3D264022">
            <w:pPr>
              <w:spacing w:line="360" w:lineRule="auto"/>
              <w:rPr>
                <w:rFonts w:hint="eastAsia" w:ascii="宋体" w:cs="宋体"/>
                <w:szCs w:val="21"/>
              </w:rPr>
            </w:pPr>
            <w:r>
              <w:rPr>
                <w:rFonts w:hint="eastAsia" w:ascii="宋体" w:hAnsi="宋体" w:cs="宋体"/>
                <w:szCs w:val="21"/>
              </w:rPr>
              <w:t>比选人：</w:t>
            </w:r>
            <w:r>
              <w:rPr>
                <w:rFonts w:hint="eastAsia" w:ascii="宋体" w:hAnsi="宋体" w:eastAsia="宋体" w:cs="宋体"/>
                <w:color w:val="auto"/>
                <w:szCs w:val="21"/>
                <w:highlight w:val="none"/>
              </w:rPr>
              <w:t>垫江县周嘉镇勤劳村集体经济组织</w:t>
            </w:r>
          </w:p>
          <w:p w14:paraId="1F541905">
            <w:pPr>
              <w:spacing w:line="360" w:lineRule="auto"/>
              <w:rPr>
                <w:rFonts w:hint="eastAsia" w:ascii="宋体" w:cs="宋体"/>
                <w:szCs w:val="21"/>
              </w:rPr>
            </w:pPr>
            <w:r>
              <w:rPr>
                <w:rFonts w:hint="eastAsia" w:ascii="宋体" w:hAnsi="宋体" w:cs="宋体"/>
                <w:szCs w:val="21"/>
              </w:rPr>
              <w:t>地址：</w:t>
            </w:r>
            <w:r>
              <w:rPr>
                <w:rFonts w:hint="eastAsia" w:ascii="宋体" w:hAnsi="宋体" w:eastAsia="宋体" w:cs="宋体"/>
                <w:color w:val="auto"/>
                <w:szCs w:val="21"/>
                <w:highlight w:val="none"/>
              </w:rPr>
              <w:t>重庆市垫江县周嘉镇勤劳村</w:t>
            </w:r>
          </w:p>
          <w:p w14:paraId="377DB4A2">
            <w:pPr>
              <w:spacing w:line="360" w:lineRule="auto"/>
              <w:rPr>
                <w:rFonts w:hint="eastAsia" w:ascii="宋体" w:cs="宋体"/>
                <w:szCs w:val="21"/>
              </w:rPr>
            </w:pPr>
            <w:r>
              <w:rPr>
                <w:rFonts w:hint="eastAsia" w:ascii="宋体" w:hAnsi="宋体" w:cs="宋体"/>
                <w:szCs w:val="21"/>
              </w:rPr>
              <w:t>联系人：</w:t>
            </w:r>
            <w:r>
              <w:rPr>
                <w:rFonts w:hint="eastAsia" w:ascii="宋体" w:hAnsi="宋体" w:eastAsia="宋体" w:cs="宋体"/>
                <w:color w:val="auto"/>
                <w:szCs w:val="21"/>
                <w:highlight w:val="none"/>
              </w:rPr>
              <w:t>傅建容</w:t>
            </w:r>
          </w:p>
          <w:p w14:paraId="77B1B968">
            <w:pPr>
              <w:spacing w:line="360" w:lineRule="auto"/>
              <w:rPr>
                <w:rFonts w:hint="eastAsia" w:ascii="宋体" w:cs="宋体"/>
                <w:szCs w:val="21"/>
              </w:rPr>
            </w:pPr>
            <w:r>
              <w:rPr>
                <w:rFonts w:hint="eastAsia" w:ascii="宋体" w:hAnsi="宋体" w:cs="宋体"/>
                <w:szCs w:val="21"/>
              </w:rPr>
              <w:t>电话：</w:t>
            </w:r>
            <w:r>
              <w:rPr>
                <w:rFonts w:hint="eastAsia" w:ascii="宋体" w:hAnsi="宋体" w:eastAsia="宋体" w:cs="宋体"/>
                <w:color w:val="auto"/>
                <w:szCs w:val="21"/>
                <w:highlight w:val="none"/>
              </w:rPr>
              <w:t>15223848928</w:t>
            </w:r>
          </w:p>
        </w:tc>
        <w:tc>
          <w:tcPr>
            <w:tcW w:w="4935" w:type="dxa"/>
            <w:noWrap w:val="0"/>
            <w:vAlign w:val="top"/>
          </w:tcPr>
          <w:p w14:paraId="61DD235A">
            <w:pPr>
              <w:spacing w:line="360" w:lineRule="auto"/>
              <w:rPr>
                <w:rFonts w:hint="eastAsia" w:ascii="宋体" w:eastAsia="宋体" w:cs="宋体"/>
                <w:szCs w:val="21"/>
                <w:lang w:eastAsia="zh-CN"/>
              </w:rPr>
            </w:pPr>
            <w:r>
              <w:rPr>
                <w:rFonts w:hint="eastAsia" w:ascii="宋体" w:hAnsi="宋体" w:cs="宋体"/>
                <w:szCs w:val="21"/>
              </w:rPr>
              <w:t>比选代理机构：</w:t>
            </w:r>
            <w:r>
              <w:rPr>
                <w:rFonts w:hint="eastAsia" w:ascii="宋体" w:hAnsi="宋体" w:eastAsia="宋体" w:cs="宋体"/>
                <w:color w:val="auto"/>
                <w:szCs w:val="21"/>
                <w:highlight w:val="none"/>
              </w:rPr>
              <w:t>重庆皓辰建设工程咨询有限公司</w:t>
            </w:r>
          </w:p>
          <w:p w14:paraId="44FD608E">
            <w:pPr>
              <w:spacing w:line="360" w:lineRule="auto"/>
              <w:rPr>
                <w:rFonts w:hint="eastAsia" w:ascii="宋体" w:hAnsi="宋体" w:cs="宋体"/>
                <w:szCs w:val="21"/>
              </w:rPr>
            </w:pPr>
            <w:r>
              <w:rPr>
                <w:rFonts w:hint="eastAsia" w:ascii="宋体" w:hAnsi="宋体" w:cs="宋体"/>
                <w:szCs w:val="21"/>
              </w:rPr>
              <w:t>地址：</w:t>
            </w:r>
            <w:r>
              <w:rPr>
                <w:rFonts w:hint="eastAsia" w:ascii="宋体" w:hAnsi="宋体" w:eastAsia="宋体" w:cs="宋体"/>
                <w:color w:val="auto"/>
                <w:szCs w:val="21"/>
                <w:highlight w:val="none"/>
              </w:rPr>
              <w:t>重庆市大渡口区仁义街9号</w:t>
            </w:r>
          </w:p>
          <w:p w14:paraId="1E941130">
            <w:pPr>
              <w:spacing w:line="360" w:lineRule="auto"/>
              <w:rPr>
                <w:rFonts w:hint="eastAsia" w:ascii="宋体" w:hAnsi="宋体" w:eastAsia="宋体" w:cs="宋体"/>
                <w:color w:val="auto"/>
                <w:szCs w:val="21"/>
                <w:highlight w:val="none"/>
              </w:rPr>
            </w:pPr>
            <w:r>
              <w:rPr>
                <w:rFonts w:hint="eastAsia" w:ascii="宋体" w:hAnsi="宋体" w:cs="宋体"/>
                <w:szCs w:val="21"/>
              </w:rPr>
              <w:t>联系人：</w:t>
            </w:r>
            <w:r>
              <w:rPr>
                <w:rFonts w:hint="eastAsia" w:ascii="宋体" w:hAnsi="宋体" w:eastAsia="宋体" w:cs="宋体"/>
                <w:color w:val="auto"/>
                <w:szCs w:val="21"/>
                <w:highlight w:val="none"/>
                <w:lang w:val="en-US" w:eastAsia="zh-CN"/>
              </w:rPr>
              <w:t>胡</w:t>
            </w:r>
            <w:r>
              <w:rPr>
                <w:rFonts w:hint="eastAsia" w:ascii="宋体" w:hAnsi="宋体" w:eastAsia="宋体" w:cs="宋体"/>
                <w:color w:val="auto"/>
                <w:szCs w:val="21"/>
                <w:highlight w:val="none"/>
              </w:rPr>
              <w:t>老师</w:t>
            </w:r>
          </w:p>
          <w:p w14:paraId="7C85646E">
            <w:pPr>
              <w:spacing w:line="360" w:lineRule="auto"/>
              <w:rPr>
                <w:rFonts w:hint="eastAsia" w:ascii="宋体" w:hAnsi="宋体" w:cs="宋体"/>
                <w:szCs w:val="21"/>
                <w:lang w:val="en-US" w:eastAsia="zh-CN"/>
              </w:rPr>
            </w:pPr>
            <w:r>
              <w:rPr>
                <w:rFonts w:hint="eastAsia" w:ascii="宋体" w:hAnsi="宋体" w:cs="宋体"/>
                <w:szCs w:val="21"/>
              </w:rPr>
              <w:t>电话：</w:t>
            </w:r>
            <w:r>
              <w:rPr>
                <w:rFonts w:hint="eastAsia" w:ascii="宋体" w:hAnsi="宋体" w:eastAsia="宋体" w:cs="宋体"/>
                <w:snapToGrid w:val="0"/>
                <w:color w:val="auto"/>
                <w:kern w:val="0"/>
                <w:szCs w:val="21"/>
                <w:highlight w:val="none"/>
                <w:lang w:val="en-US" w:eastAsia="zh-CN"/>
              </w:rPr>
              <w:t>18996220948</w:t>
            </w:r>
          </w:p>
          <w:p w14:paraId="68F8B171">
            <w:pPr>
              <w:pStyle w:val="2"/>
              <w:rPr>
                <w:rFonts w:hint="default"/>
                <w:lang w:val="en-US" w:eastAsia="zh-CN"/>
              </w:rPr>
            </w:pPr>
            <w:r>
              <w:rPr>
                <w:rFonts w:hint="eastAsia" w:ascii="宋体" w:hAnsi="宋体" w:cs="宋体"/>
                <w:szCs w:val="21"/>
                <w:lang w:val="en-US" w:eastAsia="zh-CN"/>
              </w:rPr>
              <w:t xml:space="preserve">                          2026年8月21日</w:t>
            </w:r>
          </w:p>
        </w:tc>
      </w:tr>
    </w:tbl>
    <w:p w14:paraId="73D68678">
      <w:pPr>
        <w:jc w:val="center"/>
        <w:rPr>
          <w:rFonts w:ascii="宋体" w:hAnsi="宋体"/>
          <w:b/>
          <w:bCs/>
          <w:sz w:val="44"/>
          <w:szCs w:val="44"/>
        </w:rPr>
      </w:pPr>
      <w:r>
        <w:rPr>
          <w:rFonts w:ascii="宋体" w:cs="宋体"/>
          <w:szCs w:val="21"/>
        </w:rPr>
        <w:br w:type="page"/>
      </w:r>
      <w:r>
        <w:rPr>
          <w:rFonts w:hint="eastAsia" w:ascii="宋体" w:hAnsi="宋体"/>
          <w:b/>
          <w:bCs/>
          <w:sz w:val="44"/>
          <w:szCs w:val="44"/>
        </w:rPr>
        <w:t>比选文件获取登记表</w:t>
      </w:r>
    </w:p>
    <w:p w14:paraId="3F3F077E">
      <w:pPr>
        <w:jc w:val="left"/>
        <w:rPr>
          <w:rFonts w:eastAsia="黑体"/>
          <w:b/>
          <w:bCs/>
          <w:spacing w:val="40"/>
        </w:rPr>
      </w:pPr>
    </w:p>
    <w:tbl>
      <w:tblPr>
        <w:tblStyle w:val="46"/>
        <w:tblW w:w="94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9"/>
        <w:gridCol w:w="6780"/>
      </w:tblGrid>
      <w:tr w14:paraId="4BEE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2639" w:type="dxa"/>
            <w:noWrap w:val="0"/>
            <w:vAlign w:val="center"/>
          </w:tcPr>
          <w:p w14:paraId="2C03C0AD">
            <w:pPr>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6780" w:type="dxa"/>
            <w:noWrap w:val="0"/>
            <w:vAlign w:val="center"/>
          </w:tcPr>
          <w:p w14:paraId="470F8D31">
            <w:pPr>
              <w:pStyle w:val="2"/>
              <w:spacing w:after="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周嘉镇勤劳村农田水利设施工程</w:t>
            </w:r>
          </w:p>
        </w:tc>
      </w:tr>
      <w:tr w14:paraId="5BC1A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2639" w:type="dxa"/>
            <w:noWrap w:val="0"/>
            <w:vAlign w:val="center"/>
          </w:tcPr>
          <w:p w14:paraId="78EBDE1A">
            <w:pPr>
              <w:jc w:val="center"/>
              <w:rPr>
                <w:rFonts w:hint="eastAsia" w:ascii="宋体" w:hAnsi="宋体" w:eastAsia="宋体" w:cs="宋体"/>
                <w:sz w:val="24"/>
                <w:szCs w:val="24"/>
              </w:rPr>
            </w:pPr>
            <w:r>
              <w:rPr>
                <w:rFonts w:hint="eastAsia" w:ascii="宋体" w:hAnsi="宋体" w:eastAsia="宋体" w:cs="宋体"/>
                <w:sz w:val="24"/>
                <w:szCs w:val="24"/>
              </w:rPr>
              <w:t>比选人名称</w:t>
            </w:r>
          </w:p>
        </w:tc>
        <w:tc>
          <w:tcPr>
            <w:tcW w:w="6780" w:type="dxa"/>
            <w:noWrap w:val="0"/>
            <w:vAlign w:val="center"/>
          </w:tcPr>
          <w:p w14:paraId="566B58C9">
            <w:pPr>
              <w:jc w:val="center"/>
              <w:rPr>
                <w:rFonts w:hint="eastAsia" w:ascii="宋体" w:hAnsi="宋体" w:eastAsia="宋体" w:cs="宋体"/>
                <w:sz w:val="24"/>
                <w:szCs w:val="24"/>
              </w:rPr>
            </w:pPr>
          </w:p>
        </w:tc>
      </w:tr>
      <w:tr w14:paraId="160B9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2639" w:type="dxa"/>
            <w:noWrap w:val="0"/>
            <w:vAlign w:val="center"/>
          </w:tcPr>
          <w:p w14:paraId="2CB24FAB">
            <w:pPr>
              <w:jc w:val="center"/>
              <w:rPr>
                <w:rFonts w:hint="eastAsia" w:ascii="宋体" w:hAnsi="宋体" w:eastAsia="宋体" w:cs="宋体"/>
                <w:sz w:val="24"/>
                <w:szCs w:val="24"/>
              </w:rPr>
            </w:pPr>
            <w:r>
              <w:rPr>
                <w:rFonts w:hint="eastAsia" w:ascii="宋体" w:hAnsi="宋体" w:eastAsia="宋体" w:cs="宋体"/>
                <w:sz w:val="24"/>
                <w:szCs w:val="24"/>
              </w:rPr>
              <w:t>统一社会信用代码</w:t>
            </w:r>
          </w:p>
        </w:tc>
        <w:tc>
          <w:tcPr>
            <w:tcW w:w="6780" w:type="dxa"/>
            <w:noWrap w:val="0"/>
            <w:vAlign w:val="center"/>
          </w:tcPr>
          <w:p w14:paraId="73584CAB">
            <w:pPr>
              <w:jc w:val="center"/>
              <w:rPr>
                <w:rFonts w:hint="eastAsia" w:ascii="宋体" w:hAnsi="宋体" w:eastAsia="宋体" w:cs="宋体"/>
                <w:sz w:val="24"/>
                <w:szCs w:val="24"/>
              </w:rPr>
            </w:pPr>
          </w:p>
        </w:tc>
      </w:tr>
      <w:tr w14:paraId="01B77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2639" w:type="dxa"/>
            <w:noWrap w:val="0"/>
            <w:vAlign w:val="center"/>
          </w:tcPr>
          <w:p w14:paraId="7EACA84A">
            <w:pPr>
              <w:jc w:val="center"/>
              <w:rPr>
                <w:rFonts w:hint="eastAsia" w:ascii="宋体" w:hAnsi="宋体" w:eastAsia="宋体" w:cs="宋体"/>
                <w:sz w:val="24"/>
                <w:szCs w:val="24"/>
              </w:rPr>
            </w:pPr>
            <w:r>
              <w:rPr>
                <w:rFonts w:hint="eastAsia" w:ascii="宋体" w:hAnsi="宋体" w:eastAsia="宋体" w:cs="宋体"/>
                <w:sz w:val="24"/>
                <w:szCs w:val="24"/>
              </w:rPr>
              <w:t>联系人</w:t>
            </w:r>
          </w:p>
        </w:tc>
        <w:tc>
          <w:tcPr>
            <w:tcW w:w="6780" w:type="dxa"/>
            <w:noWrap w:val="0"/>
            <w:vAlign w:val="center"/>
          </w:tcPr>
          <w:p w14:paraId="188AE079">
            <w:pPr>
              <w:jc w:val="center"/>
              <w:rPr>
                <w:rFonts w:hint="eastAsia" w:ascii="宋体" w:hAnsi="宋体" w:eastAsia="宋体" w:cs="宋体"/>
                <w:sz w:val="24"/>
                <w:szCs w:val="24"/>
              </w:rPr>
            </w:pPr>
          </w:p>
        </w:tc>
      </w:tr>
      <w:tr w14:paraId="0F5A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2639" w:type="dxa"/>
            <w:noWrap w:val="0"/>
            <w:vAlign w:val="center"/>
          </w:tcPr>
          <w:p w14:paraId="19798A04">
            <w:pPr>
              <w:jc w:val="center"/>
              <w:rPr>
                <w:rFonts w:hint="eastAsia" w:ascii="宋体" w:hAnsi="宋体" w:eastAsia="宋体" w:cs="宋体"/>
                <w:sz w:val="24"/>
                <w:szCs w:val="24"/>
              </w:rPr>
            </w:pPr>
            <w:r>
              <w:rPr>
                <w:rFonts w:hint="eastAsia" w:ascii="宋体" w:hAnsi="宋体" w:eastAsia="宋体" w:cs="宋体"/>
                <w:sz w:val="24"/>
                <w:szCs w:val="24"/>
              </w:rPr>
              <w:t>手机</w:t>
            </w:r>
          </w:p>
        </w:tc>
        <w:tc>
          <w:tcPr>
            <w:tcW w:w="6780" w:type="dxa"/>
            <w:noWrap w:val="0"/>
            <w:vAlign w:val="center"/>
          </w:tcPr>
          <w:p w14:paraId="6E380324">
            <w:pPr>
              <w:jc w:val="center"/>
              <w:rPr>
                <w:rFonts w:hint="eastAsia" w:ascii="宋体" w:hAnsi="宋体" w:eastAsia="宋体" w:cs="宋体"/>
                <w:sz w:val="24"/>
                <w:szCs w:val="24"/>
              </w:rPr>
            </w:pPr>
          </w:p>
        </w:tc>
      </w:tr>
      <w:tr w14:paraId="501C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2639" w:type="dxa"/>
            <w:noWrap w:val="0"/>
            <w:vAlign w:val="center"/>
          </w:tcPr>
          <w:p w14:paraId="762B843E">
            <w:pPr>
              <w:jc w:val="center"/>
              <w:rPr>
                <w:rFonts w:hint="eastAsia" w:ascii="宋体" w:hAnsi="宋体" w:eastAsia="宋体" w:cs="宋体"/>
                <w:sz w:val="24"/>
                <w:szCs w:val="24"/>
              </w:rPr>
            </w:pPr>
            <w:r>
              <w:rPr>
                <w:rFonts w:hint="eastAsia" w:ascii="宋体" w:hAnsi="宋体" w:eastAsia="宋体" w:cs="宋体"/>
                <w:sz w:val="24"/>
                <w:szCs w:val="24"/>
              </w:rPr>
              <w:t>办公电话</w:t>
            </w:r>
          </w:p>
        </w:tc>
        <w:tc>
          <w:tcPr>
            <w:tcW w:w="6780" w:type="dxa"/>
            <w:noWrap w:val="0"/>
            <w:vAlign w:val="center"/>
          </w:tcPr>
          <w:p w14:paraId="3E1E5926">
            <w:pPr>
              <w:jc w:val="center"/>
              <w:rPr>
                <w:rFonts w:hint="eastAsia" w:ascii="宋体" w:hAnsi="宋体" w:eastAsia="宋体" w:cs="宋体"/>
                <w:sz w:val="24"/>
                <w:szCs w:val="24"/>
              </w:rPr>
            </w:pPr>
          </w:p>
        </w:tc>
      </w:tr>
      <w:tr w14:paraId="3D68E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2639" w:type="dxa"/>
            <w:noWrap w:val="0"/>
            <w:vAlign w:val="center"/>
          </w:tcPr>
          <w:p w14:paraId="6A07C28B">
            <w:pPr>
              <w:jc w:val="center"/>
              <w:rPr>
                <w:rFonts w:hint="eastAsia" w:ascii="宋体" w:hAnsi="宋体" w:eastAsia="宋体" w:cs="宋体"/>
                <w:sz w:val="24"/>
                <w:szCs w:val="24"/>
              </w:rPr>
            </w:pPr>
            <w:r>
              <w:rPr>
                <w:rFonts w:hint="eastAsia" w:ascii="宋体" w:hAnsi="宋体" w:eastAsia="宋体" w:cs="宋体"/>
                <w:sz w:val="24"/>
                <w:szCs w:val="24"/>
              </w:rPr>
              <w:t>传真</w:t>
            </w:r>
          </w:p>
        </w:tc>
        <w:tc>
          <w:tcPr>
            <w:tcW w:w="6780" w:type="dxa"/>
            <w:noWrap w:val="0"/>
            <w:vAlign w:val="center"/>
          </w:tcPr>
          <w:p w14:paraId="1D406834">
            <w:pPr>
              <w:jc w:val="center"/>
              <w:rPr>
                <w:rFonts w:hint="eastAsia" w:ascii="宋体" w:hAnsi="宋体" w:eastAsia="宋体" w:cs="宋体"/>
                <w:sz w:val="24"/>
                <w:szCs w:val="24"/>
              </w:rPr>
            </w:pPr>
          </w:p>
        </w:tc>
      </w:tr>
      <w:tr w14:paraId="246FA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2639" w:type="dxa"/>
            <w:noWrap w:val="0"/>
            <w:vAlign w:val="center"/>
          </w:tcPr>
          <w:p w14:paraId="23EF68FC">
            <w:pPr>
              <w:jc w:val="center"/>
              <w:rPr>
                <w:rFonts w:hint="eastAsia" w:ascii="宋体" w:hAnsi="宋体" w:eastAsia="宋体" w:cs="宋体"/>
                <w:sz w:val="24"/>
                <w:szCs w:val="24"/>
              </w:rPr>
            </w:pPr>
            <w:r>
              <w:rPr>
                <w:rFonts w:hint="eastAsia" w:ascii="宋体" w:hAnsi="宋体" w:eastAsia="宋体" w:cs="宋体"/>
                <w:sz w:val="24"/>
                <w:szCs w:val="24"/>
              </w:rPr>
              <w:t>邮箱</w:t>
            </w:r>
          </w:p>
        </w:tc>
        <w:tc>
          <w:tcPr>
            <w:tcW w:w="6780" w:type="dxa"/>
            <w:noWrap w:val="0"/>
            <w:vAlign w:val="center"/>
          </w:tcPr>
          <w:p w14:paraId="76494D43">
            <w:pPr>
              <w:jc w:val="center"/>
              <w:rPr>
                <w:rFonts w:hint="eastAsia" w:ascii="宋体" w:hAnsi="宋体" w:eastAsia="宋体" w:cs="宋体"/>
                <w:sz w:val="24"/>
                <w:szCs w:val="24"/>
              </w:rPr>
            </w:pPr>
          </w:p>
        </w:tc>
      </w:tr>
      <w:tr w14:paraId="16147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rPr>
        <w:tc>
          <w:tcPr>
            <w:tcW w:w="2639" w:type="dxa"/>
            <w:noWrap w:val="0"/>
            <w:vAlign w:val="center"/>
          </w:tcPr>
          <w:p w14:paraId="5D3F24FB">
            <w:pPr>
              <w:jc w:val="center"/>
              <w:rPr>
                <w:rFonts w:hint="eastAsia" w:ascii="宋体" w:hAnsi="宋体" w:eastAsia="宋体" w:cs="宋体"/>
                <w:sz w:val="24"/>
                <w:szCs w:val="24"/>
              </w:rPr>
            </w:pPr>
            <w:r>
              <w:rPr>
                <w:rFonts w:hint="eastAsia" w:ascii="宋体" w:hAnsi="宋体" w:eastAsia="宋体" w:cs="宋体"/>
                <w:sz w:val="24"/>
                <w:szCs w:val="24"/>
              </w:rPr>
              <w:t>单位地址</w:t>
            </w:r>
          </w:p>
        </w:tc>
        <w:tc>
          <w:tcPr>
            <w:tcW w:w="6780" w:type="dxa"/>
            <w:noWrap w:val="0"/>
            <w:vAlign w:val="center"/>
          </w:tcPr>
          <w:p w14:paraId="7956C434">
            <w:pPr>
              <w:jc w:val="center"/>
              <w:rPr>
                <w:rFonts w:hint="eastAsia" w:ascii="宋体" w:hAnsi="宋体" w:eastAsia="宋体" w:cs="宋体"/>
                <w:sz w:val="24"/>
                <w:szCs w:val="24"/>
              </w:rPr>
            </w:pPr>
          </w:p>
        </w:tc>
      </w:tr>
    </w:tbl>
    <w:p w14:paraId="4BA978A3">
      <w:pPr>
        <w:spacing w:line="360" w:lineRule="auto"/>
        <w:jc w:val="center"/>
        <w:outlineLvl w:val="0"/>
        <w:rPr>
          <w:rFonts w:ascii="宋体"/>
          <w:b/>
          <w:sz w:val="44"/>
          <w:szCs w:val="44"/>
        </w:rPr>
      </w:pPr>
      <w:bookmarkStart w:id="79" w:name="_Toc4909"/>
      <w:bookmarkStart w:id="80" w:name="_Toc73140360"/>
      <w:bookmarkStart w:id="81" w:name="_Toc22331"/>
      <w:bookmarkStart w:id="82" w:name="_Toc416768975"/>
      <w:bookmarkStart w:id="83" w:name="_Toc23125"/>
      <w:r>
        <w:rPr>
          <w:rFonts w:hint="eastAsia" w:ascii="宋体" w:hAnsi="宋体"/>
          <w:b/>
          <w:sz w:val="44"/>
          <w:szCs w:val="44"/>
        </w:rPr>
        <w:br w:type="page"/>
      </w:r>
      <w:r>
        <w:rPr>
          <w:rFonts w:hint="eastAsia" w:ascii="宋体" w:hAnsi="宋体"/>
          <w:b/>
          <w:sz w:val="44"/>
          <w:szCs w:val="44"/>
        </w:rPr>
        <w:t>第二章 竞选人须知</w:t>
      </w:r>
      <w:bookmarkEnd w:id="21"/>
      <w:bookmarkEnd w:id="22"/>
      <w:bookmarkEnd w:id="23"/>
      <w:bookmarkEnd w:id="24"/>
      <w:bookmarkEnd w:id="25"/>
      <w:bookmarkEnd w:id="79"/>
      <w:bookmarkEnd w:id="80"/>
      <w:bookmarkEnd w:id="81"/>
      <w:bookmarkEnd w:id="82"/>
      <w:bookmarkEnd w:id="83"/>
      <w:bookmarkStart w:id="84" w:name="_Toc238552194"/>
      <w:bookmarkStart w:id="85" w:name="_Toc238797549"/>
      <w:bookmarkStart w:id="86" w:name="_Toc152042304"/>
      <w:bookmarkStart w:id="87" w:name="_Toc152045528"/>
      <w:bookmarkStart w:id="88" w:name="_Toc144974496"/>
    </w:p>
    <w:p w14:paraId="772D8241">
      <w:pPr>
        <w:spacing w:line="360" w:lineRule="auto"/>
        <w:jc w:val="left"/>
        <w:outlineLvl w:val="1"/>
        <w:rPr>
          <w:rFonts w:ascii="宋体"/>
          <w:b/>
        </w:rPr>
      </w:pPr>
      <w:bookmarkStart w:id="89" w:name="_Toc25666"/>
      <w:bookmarkStart w:id="90" w:name="_Toc16801"/>
      <w:bookmarkStart w:id="91" w:name="_Toc16212"/>
      <w:bookmarkStart w:id="92" w:name="_Toc416768976"/>
      <w:bookmarkStart w:id="93" w:name="_Toc73140361"/>
      <w:r>
        <w:rPr>
          <w:rFonts w:hint="eastAsia" w:ascii="宋体" w:hAnsi="宋体"/>
          <w:b/>
        </w:rPr>
        <w:t>竞选人须知前附表</w:t>
      </w:r>
      <w:bookmarkEnd w:id="84"/>
      <w:bookmarkEnd w:id="85"/>
      <w:bookmarkEnd w:id="86"/>
      <w:bookmarkEnd w:id="87"/>
      <w:bookmarkEnd w:id="88"/>
      <w:bookmarkEnd w:id="89"/>
      <w:bookmarkEnd w:id="90"/>
      <w:bookmarkEnd w:id="91"/>
      <w:bookmarkEnd w:id="92"/>
      <w:bookmarkEnd w:id="93"/>
    </w:p>
    <w:tbl>
      <w:tblPr>
        <w:tblStyle w:val="4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4"/>
        <w:gridCol w:w="1583"/>
        <w:gridCol w:w="6825"/>
      </w:tblGrid>
      <w:tr w14:paraId="715A2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jc w:val="center"/>
        </w:trPr>
        <w:tc>
          <w:tcPr>
            <w:tcW w:w="585" w:type="pct"/>
            <w:noWrap w:val="0"/>
            <w:vAlign w:val="center"/>
          </w:tcPr>
          <w:p w14:paraId="04A285AC">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b/>
                <w:kern w:val="0"/>
                <w:sz w:val="21"/>
                <w:szCs w:val="21"/>
              </w:rPr>
            </w:pPr>
            <w:bookmarkStart w:id="94" w:name="_Toc238797550"/>
            <w:bookmarkStart w:id="95" w:name="_Toc144974497"/>
            <w:bookmarkStart w:id="96" w:name="_Toc152045529"/>
            <w:bookmarkStart w:id="97" w:name="_Toc152042305"/>
            <w:bookmarkStart w:id="98" w:name="_Toc238552195"/>
            <w:r>
              <w:rPr>
                <w:rFonts w:hint="eastAsia" w:ascii="宋体" w:hAnsi="宋体" w:eastAsia="宋体" w:cs="宋体"/>
                <w:b/>
                <w:kern w:val="0"/>
                <w:sz w:val="21"/>
                <w:szCs w:val="21"/>
              </w:rPr>
              <w:t>条款号</w:t>
            </w:r>
          </w:p>
        </w:tc>
        <w:tc>
          <w:tcPr>
            <w:tcW w:w="831" w:type="pct"/>
            <w:noWrap w:val="0"/>
            <w:vAlign w:val="center"/>
          </w:tcPr>
          <w:p w14:paraId="49D6F726">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条款名称</w:t>
            </w:r>
          </w:p>
        </w:tc>
        <w:tc>
          <w:tcPr>
            <w:tcW w:w="3583" w:type="pct"/>
            <w:noWrap w:val="0"/>
            <w:vAlign w:val="center"/>
          </w:tcPr>
          <w:p w14:paraId="48AD39B0">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编列内容</w:t>
            </w:r>
          </w:p>
        </w:tc>
      </w:tr>
      <w:tr w14:paraId="26FC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85" w:type="pct"/>
            <w:noWrap w:val="0"/>
            <w:vAlign w:val="center"/>
          </w:tcPr>
          <w:p w14:paraId="1F846382">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831" w:type="pct"/>
            <w:noWrap w:val="0"/>
            <w:vAlign w:val="center"/>
          </w:tcPr>
          <w:p w14:paraId="20FAB98C">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比选人</w:t>
            </w:r>
          </w:p>
        </w:tc>
        <w:tc>
          <w:tcPr>
            <w:tcW w:w="3583" w:type="pct"/>
            <w:noWrap w:val="0"/>
            <w:vAlign w:val="center"/>
          </w:tcPr>
          <w:p w14:paraId="31D037C8">
            <w:pPr>
              <w:keepNext w:val="0"/>
              <w:keepLines w:val="0"/>
              <w:pageBreakBefore w:val="0"/>
              <w:widowControl w:val="0"/>
              <w:kinsoku/>
              <w:wordWrap w:val="0"/>
              <w:overflowPunct/>
              <w:topLinePunct w:val="0"/>
              <w:bidi w:val="0"/>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名  称</w:t>
            </w:r>
            <w:r>
              <w:rPr>
                <w:rFonts w:hint="eastAsia" w:ascii="宋体" w:hAnsi="宋体" w:eastAsia="宋体" w:cs="宋体"/>
                <w:color w:val="auto"/>
                <w:sz w:val="21"/>
                <w:szCs w:val="21"/>
                <w:highlight w:val="none"/>
              </w:rPr>
              <w:t>：垫江县周嘉镇勤劳村集体经济组织</w:t>
            </w:r>
          </w:p>
          <w:p w14:paraId="776E69F9">
            <w:pPr>
              <w:keepNext w:val="0"/>
              <w:keepLines w:val="0"/>
              <w:pageBreakBefore w:val="0"/>
              <w:widowControl w:val="0"/>
              <w:kinsoku/>
              <w:wordWrap w:val="0"/>
              <w:overflowPunct/>
              <w:topLinePunct w:val="0"/>
              <w:bidi w:val="0"/>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  址：重庆市垫江县周嘉镇勤劳村</w:t>
            </w:r>
          </w:p>
          <w:p w14:paraId="34296FD1">
            <w:pPr>
              <w:keepNext w:val="0"/>
              <w:keepLines w:val="0"/>
              <w:pageBreakBefore w:val="0"/>
              <w:widowControl w:val="0"/>
              <w:kinsoku/>
              <w:wordWrap w:val="0"/>
              <w:overflowPunct/>
              <w:topLinePunct w:val="0"/>
              <w:bidi w:val="0"/>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联系人：傅建容</w:t>
            </w:r>
          </w:p>
          <w:p w14:paraId="77237A3A">
            <w:pPr>
              <w:keepNext w:val="0"/>
              <w:keepLines w:val="0"/>
              <w:pageBreakBefore w:val="0"/>
              <w:widowControl w:val="0"/>
              <w:kinsoku/>
              <w:wordWrap w:val="0"/>
              <w:overflowPunct/>
              <w:topLinePunct w:val="0"/>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color w:val="auto"/>
                <w:sz w:val="21"/>
                <w:szCs w:val="21"/>
                <w:highlight w:val="none"/>
              </w:rPr>
              <w:t>电  话：15223848928</w:t>
            </w:r>
          </w:p>
        </w:tc>
      </w:tr>
      <w:tr w14:paraId="4CB6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4A31DE43">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831" w:type="pct"/>
            <w:noWrap w:val="0"/>
            <w:vAlign w:val="center"/>
          </w:tcPr>
          <w:p w14:paraId="79773F61">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比选代理机构</w:t>
            </w:r>
          </w:p>
        </w:tc>
        <w:tc>
          <w:tcPr>
            <w:tcW w:w="3583" w:type="pct"/>
            <w:noWrap w:val="0"/>
            <w:vAlign w:val="center"/>
          </w:tcPr>
          <w:p w14:paraId="43D2DD3C">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color w:val="auto"/>
                <w:kern w:val="0"/>
                <w:sz w:val="21"/>
                <w:szCs w:val="21"/>
                <w:highlight w:val="none"/>
                <w:u w:val="none"/>
              </w:rPr>
            </w:pPr>
            <w:r>
              <w:rPr>
                <w:rFonts w:hint="eastAsia" w:ascii="宋体" w:hAnsi="宋体" w:eastAsia="宋体" w:cs="宋体"/>
                <w:color w:val="auto"/>
                <w:kern w:val="0"/>
                <w:sz w:val="21"/>
                <w:szCs w:val="21"/>
                <w:highlight w:val="none"/>
                <w:u w:val="none"/>
              </w:rPr>
              <w:t>名</w:t>
            </w:r>
            <w:r>
              <w:rPr>
                <w:rFonts w:hint="eastAsia" w:ascii="宋体" w:hAnsi="宋体" w:eastAsia="宋体" w:cs="宋体"/>
                <w:color w:val="auto"/>
                <w:kern w:val="0"/>
                <w:sz w:val="21"/>
                <w:szCs w:val="21"/>
                <w:highlight w:val="none"/>
                <w:u w:val="none"/>
                <w:lang w:val="en-US" w:eastAsia="zh-CN"/>
              </w:rPr>
              <w:t xml:space="preserve">  </w:t>
            </w:r>
            <w:r>
              <w:rPr>
                <w:rFonts w:hint="eastAsia" w:ascii="宋体" w:hAnsi="宋体" w:eastAsia="宋体" w:cs="宋体"/>
                <w:color w:val="auto"/>
                <w:kern w:val="0"/>
                <w:sz w:val="21"/>
                <w:szCs w:val="21"/>
                <w:highlight w:val="none"/>
                <w:u w:val="none"/>
              </w:rPr>
              <w:t>称：重庆皓辰建设工程咨询有限公司</w:t>
            </w:r>
          </w:p>
          <w:p w14:paraId="1F5AF510">
            <w:pPr>
              <w:keepNext w:val="0"/>
              <w:keepLines w:val="0"/>
              <w:pageBreakBefore w:val="0"/>
              <w:widowControl w:val="0"/>
              <w:tabs>
                <w:tab w:val="left" w:pos="5140"/>
                <w:tab w:val="left" w:pos="8420"/>
              </w:tabs>
              <w:kinsoku/>
              <w:wordWrap w:val="0"/>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color w:val="auto"/>
                <w:kern w:val="0"/>
                <w:sz w:val="21"/>
                <w:szCs w:val="21"/>
                <w:highlight w:val="none"/>
                <w:u w:val="none"/>
                <w:lang w:eastAsia="zh-CN"/>
              </w:rPr>
            </w:pPr>
            <w:r>
              <w:rPr>
                <w:rFonts w:hint="eastAsia" w:ascii="宋体" w:hAnsi="宋体" w:eastAsia="宋体" w:cs="宋体"/>
                <w:color w:val="auto"/>
                <w:kern w:val="0"/>
                <w:sz w:val="21"/>
                <w:szCs w:val="21"/>
                <w:highlight w:val="none"/>
                <w:u w:val="none"/>
              </w:rPr>
              <w:t>地</w:t>
            </w:r>
            <w:r>
              <w:rPr>
                <w:rFonts w:hint="eastAsia" w:ascii="宋体" w:hAnsi="宋体" w:eastAsia="宋体" w:cs="宋体"/>
                <w:color w:val="auto"/>
                <w:kern w:val="0"/>
                <w:sz w:val="21"/>
                <w:szCs w:val="21"/>
                <w:highlight w:val="none"/>
                <w:u w:val="none"/>
                <w:lang w:val="en-US" w:eastAsia="zh-CN"/>
              </w:rPr>
              <w:t xml:space="preserve">  </w:t>
            </w:r>
            <w:r>
              <w:rPr>
                <w:rFonts w:hint="eastAsia" w:ascii="宋体" w:hAnsi="宋体" w:eastAsia="宋体" w:cs="宋体"/>
                <w:color w:val="auto"/>
                <w:kern w:val="0"/>
                <w:sz w:val="21"/>
                <w:szCs w:val="21"/>
                <w:highlight w:val="none"/>
                <w:u w:val="none"/>
              </w:rPr>
              <w:t>址：重庆市大渡口区仁义街9号</w:t>
            </w:r>
          </w:p>
          <w:p w14:paraId="4CE8FE6C">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color w:val="auto"/>
                <w:kern w:val="0"/>
                <w:sz w:val="21"/>
                <w:szCs w:val="21"/>
                <w:highlight w:val="none"/>
                <w:u w:val="none"/>
              </w:rPr>
            </w:pPr>
            <w:r>
              <w:rPr>
                <w:rFonts w:hint="eastAsia" w:ascii="宋体" w:hAnsi="宋体" w:eastAsia="宋体" w:cs="宋体"/>
                <w:color w:val="auto"/>
                <w:kern w:val="0"/>
                <w:sz w:val="21"/>
                <w:szCs w:val="21"/>
                <w:highlight w:val="none"/>
                <w:u w:val="none"/>
              </w:rPr>
              <w:t>联系人：</w:t>
            </w:r>
            <w:r>
              <w:rPr>
                <w:rFonts w:hint="eastAsia" w:ascii="宋体" w:hAnsi="宋体" w:eastAsia="宋体" w:cs="宋体"/>
                <w:snapToGrid w:val="0"/>
                <w:color w:val="auto"/>
                <w:kern w:val="0"/>
                <w:sz w:val="21"/>
                <w:szCs w:val="21"/>
                <w:highlight w:val="none"/>
                <w:u w:val="none"/>
                <w:lang w:val="en-US" w:eastAsia="zh-CN"/>
              </w:rPr>
              <w:t>胡老师</w:t>
            </w:r>
          </w:p>
          <w:p w14:paraId="27B1F143">
            <w:pPr>
              <w:keepNext w:val="0"/>
              <w:keepLines w:val="0"/>
              <w:pageBreakBefore w:val="0"/>
              <w:widowControl w:val="0"/>
              <w:shd w:val="clear" w:color="auto" w:fill="FFFFFF"/>
              <w:kinsoku/>
              <w:wordWrap w:val="0"/>
              <w:overflowPunct/>
              <w:topLinePunct w:val="0"/>
              <w:bidi w:val="0"/>
              <w:spacing w:line="360" w:lineRule="auto"/>
              <w:ind w:firstLine="420" w:firstLineChars="200"/>
              <w:jc w:val="left"/>
              <w:textAlignment w:val="auto"/>
              <w:rPr>
                <w:rFonts w:hint="eastAsia" w:ascii="宋体" w:hAnsi="宋体" w:eastAsia="宋体" w:cs="宋体"/>
                <w:kern w:val="0"/>
                <w:sz w:val="21"/>
                <w:szCs w:val="21"/>
                <w:lang w:val="en-US" w:eastAsia="zh-CN"/>
              </w:rPr>
            </w:pPr>
            <w:r>
              <w:rPr>
                <w:rFonts w:hint="eastAsia" w:ascii="宋体" w:hAnsi="宋体" w:eastAsia="宋体" w:cs="宋体"/>
                <w:color w:val="auto"/>
                <w:kern w:val="0"/>
                <w:sz w:val="21"/>
                <w:szCs w:val="21"/>
                <w:highlight w:val="none"/>
                <w:u w:val="none"/>
              </w:rPr>
              <w:t>电</w:t>
            </w:r>
            <w:r>
              <w:rPr>
                <w:rFonts w:hint="eastAsia" w:ascii="宋体" w:hAnsi="宋体" w:eastAsia="宋体" w:cs="宋体"/>
                <w:color w:val="auto"/>
                <w:kern w:val="0"/>
                <w:sz w:val="21"/>
                <w:szCs w:val="21"/>
                <w:highlight w:val="none"/>
                <w:u w:val="none"/>
                <w:lang w:val="en-US" w:eastAsia="zh-CN"/>
              </w:rPr>
              <w:t xml:space="preserve">  </w:t>
            </w:r>
            <w:r>
              <w:rPr>
                <w:rFonts w:hint="eastAsia" w:ascii="宋体" w:hAnsi="宋体" w:eastAsia="宋体" w:cs="宋体"/>
                <w:color w:val="auto"/>
                <w:kern w:val="0"/>
                <w:sz w:val="21"/>
                <w:szCs w:val="21"/>
                <w:highlight w:val="none"/>
                <w:u w:val="none"/>
              </w:rPr>
              <w:t>话</w:t>
            </w:r>
            <w:r>
              <w:rPr>
                <w:rFonts w:hint="eastAsia" w:ascii="宋体" w:hAnsi="宋体" w:eastAsia="宋体" w:cs="宋体"/>
                <w:color w:val="auto"/>
                <w:kern w:val="0"/>
                <w:sz w:val="21"/>
                <w:szCs w:val="21"/>
                <w:highlight w:val="none"/>
                <w:u w:val="none"/>
                <w:lang w:eastAsia="zh-CN"/>
              </w:rPr>
              <w:t>：18996220948</w:t>
            </w:r>
          </w:p>
        </w:tc>
      </w:tr>
      <w:tr w14:paraId="4189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7E5E7D90">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831" w:type="pct"/>
            <w:noWrap w:val="0"/>
            <w:vAlign w:val="center"/>
          </w:tcPr>
          <w:p w14:paraId="225968C1">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项目名称</w:t>
            </w:r>
          </w:p>
        </w:tc>
        <w:tc>
          <w:tcPr>
            <w:tcW w:w="3583" w:type="pct"/>
            <w:noWrap w:val="0"/>
            <w:vAlign w:val="center"/>
          </w:tcPr>
          <w:p w14:paraId="6DF61751">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spacing w:val="-6"/>
                <w:kern w:val="0"/>
                <w:sz w:val="21"/>
                <w:szCs w:val="21"/>
                <w:lang w:eastAsia="zh-CN"/>
              </w:rPr>
            </w:pPr>
            <w:r>
              <w:rPr>
                <w:rFonts w:hint="eastAsia" w:ascii="宋体" w:hAnsi="宋体" w:eastAsia="宋体" w:cs="宋体"/>
                <w:snapToGrid w:val="0"/>
                <w:color w:val="auto"/>
                <w:kern w:val="0"/>
                <w:sz w:val="21"/>
                <w:szCs w:val="21"/>
                <w:highlight w:val="none"/>
                <w:u w:val="none"/>
                <w:lang w:eastAsia="zh-CN"/>
              </w:rPr>
              <w:t>周嘉镇勤劳村农田水利设施工程</w:t>
            </w:r>
          </w:p>
        </w:tc>
      </w:tr>
      <w:tr w14:paraId="2C5C1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5CAAE133">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831" w:type="pct"/>
            <w:noWrap w:val="0"/>
            <w:vAlign w:val="center"/>
          </w:tcPr>
          <w:p w14:paraId="16661EE2">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建设地点</w:t>
            </w:r>
          </w:p>
        </w:tc>
        <w:tc>
          <w:tcPr>
            <w:tcW w:w="3583" w:type="pct"/>
            <w:noWrap w:val="0"/>
            <w:vAlign w:val="center"/>
          </w:tcPr>
          <w:p w14:paraId="041049FC">
            <w:pPr>
              <w:keepNext w:val="0"/>
              <w:keepLines w:val="0"/>
              <w:pageBreakBefore w:val="0"/>
              <w:widowControl w:val="0"/>
              <w:kinsoku/>
              <w:wordWrap w:val="0"/>
              <w:overflowPunct/>
              <w:topLinePunct w:val="0"/>
              <w:bidi w:val="0"/>
              <w:snapToGrid w:val="0"/>
              <w:spacing w:line="360" w:lineRule="auto"/>
              <w:ind w:firstLine="448" w:firstLineChars="200"/>
              <w:textAlignment w:val="auto"/>
              <w:rPr>
                <w:rFonts w:hint="eastAsia" w:ascii="宋体" w:hAnsi="宋体" w:eastAsia="宋体" w:cs="宋体"/>
                <w:sz w:val="21"/>
                <w:szCs w:val="21"/>
              </w:rPr>
            </w:pPr>
            <w:r>
              <w:rPr>
                <w:rFonts w:hint="eastAsia" w:ascii="宋体" w:hAnsi="宋体" w:eastAsia="宋体" w:cs="宋体"/>
                <w:color w:val="auto"/>
                <w:spacing w:val="7"/>
                <w:sz w:val="21"/>
                <w:szCs w:val="21"/>
                <w:u w:val="none" w:color="auto"/>
                <w:lang w:eastAsia="zh-CN"/>
              </w:rPr>
              <w:t>垫江县周嘉镇勤劳村</w:t>
            </w:r>
          </w:p>
        </w:tc>
      </w:tr>
      <w:tr w14:paraId="6F539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3DC0A4F2">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831" w:type="pct"/>
            <w:noWrap w:val="0"/>
            <w:vAlign w:val="center"/>
          </w:tcPr>
          <w:p w14:paraId="2885BC0D">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资金来源</w:t>
            </w:r>
          </w:p>
        </w:tc>
        <w:tc>
          <w:tcPr>
            <w:tcW w:w="3583" w:type="pct"/>
            <w:noWrap w:val="0"/>
            <w:vAlign w:val="center"/>
          </w:tcPr>
          <w:p w14:paraId="00C770C2">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spacing w:val="-6"/>
                <w:kern w:val="0"/>
                <w:sz w:val="21"/>
                <w:szCs w:val="21"/>
                <w:lang w:val="en-US"/>
              </w:rPr>
            </w:pPr>
            <w:r>
              <w:rPr>
                <w:rFonts w:hint="eastAsia" w:ascii="宋体" w:hAnsi="宋体" w:eastAsia="宋体" w:cs="宋体"/>
                <w:color w:val="auto"/>
                <w:kern w:val="0"/>
                <w:sz w:val="21"/>
                <w:szCs w:val="21"/>
                <w:highlight w:val="none"/>
                <w:u w:val="none"/>
                <w:lang w:val="en-US" w:eastAsia="zh-CN"/>
              </w:rPr>
              <w:t>一事一议</w:t>
            </w:r>
          </w:p>
        </w:tc>
      </w:tr>
      <w:tr w14:paraId="758A8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85" w:type="pct"/>
            <w:noWrap w:val="0"/>
            <w:vAlign w:val="center"/>
          </w:tcPr>
          <w:p w14:paraId="77CAD7AF">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6</w:t>
            </w:r>
          </w:p>
        </w:tc>
        <w:tc>
          <w:tcPr>
            <w:tcW w:w="831" w:type="pct"/>
            <w:noWrap w:val="0"/>
            <w:vAlign w:val="center"/>
          </w:tcPr>
          <w:p w14:paraId="2CBACC6B">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出资比例</w:t>
            </w:r>
          </w:p>
        </w:tc>
        <w:tc>
          <w:tcPr>
            <w:tcW w:w="3583" w:type="pct"/>
            <w:noWrap w:val="0"/>
            <w:vAlign w:val="center"/>
          </w:tcPr>
          <w:p w14:paraId="01E4F65A">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100%</w:t>
            </w:r>
          </w:p>
        </w:tc>
      </w:tr>
      <w:tr w14:paraId="528DD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257993A1">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7</w:t>
            </w:r>
          </w:p>
        </w:tc>
        <w:tc>
          <w:tcPr>
            <w:tcW w:w="831" w:type="pct"/>
            <w:noWrap w:val="0"/>
            <w:vAlign w:val="center"/>
          </w:tcPr>
          <w:p w14:paraId="1CC31AD2">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资金落实情况</w:t>
            </w:r>
          </w:p>
        </w:tc>
        <w:tc>
          <w:tcPr>
            <w:tcW w:w="3583" w:type="pct"/>
            <w:noWrap w:val="0"/>
            <w:vAlign w:val="center"/>
          </w:tcPr>
          <w:p w14:paraId="6B97B15C">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已落实</w:t>
            </w:r>
          </w:p>
        </w:tc>
      </w:tr>
      <w:tr w14:paraId="37CA6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16656CCD">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8</w:t>
            </w:r>
          </w:p>
        </w:tc>
        <w:tc>
          <w:tcPr>
            <w:tcW w:w="831" w:type="pct"/>
            <w:noWrap w:val="0"/>
            <w:vAlign w:val="center"/>
          </w:tcPr>
          <w:p w14:paraId="4916F361">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比选内容</w:t>
            </w:r>
          </w:p>
        </w:tc>
        <w:tc>
          <w:tcPr>
            <w:tcW w:w="3583" w:type="pct"/>
            <w:noWrap w:val="0"/>
            <w:vAlign w:val="center"/>
          </w:tcPr>
          <w:p w14:paraId="4E22C1BA">
            <w:pPr>
              <w:keepNext w:val="0"/>
              <w:keepLines w:val="0"/>
              <w:pageBreakBefore w:val="0"/>
              <w:widowControl w:val="0"/>
              <w:kinsoku/>
              <w:wordWrap w:val="0"/>
              <w:overflowPunct/>
              <w:topLinePunct w:val="0"/>
              <w:bidi w:val="0"/>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详见比选公告第2条</w:t>
            </w:r>
            <w:r>
              <w:rPr>
                <w:rFonts w:hint="eastAsia" w:ascii="宋体" w:hAnsi="宋体" w:eastAsia="宋体" w:cs="宋体"/>
                <w:sz w:val="21"/>
                <w:szCs w:val="21"/>
                <w:lang w:eastAsia="zh-CN"/>
              </w:rPr>
              <w:t>。</w:t>
            </w:r>
          </w:p>
        </w:tc>
      </w:tr>
      <w:tr w14:paraId="1D5D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628F2E80">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9</w:t>
            </w:r>
          </w:p>
        </w:tc>
        <w:tc>
          <w:tcPr>
            <w:tcW w:w="831" w:type="pct"/>
            <w:noWrap w:val="0"/>
            <w:vAlign w:val="center"/>
          </w:tcPr>
          <w:p w14:paraId="57B013C9">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sz w:val="21"/>
                <w:szCs w:val="21"/>
              </w:rPr>
              <w:t>工期</w:t>
            </w:r>
          </w:p>
        </w:tc>
        <w:tc>
          <w:tcPr>
            <w:tcW w:w="3583" w:type="pct"/>
            <w:noWrap w:val="0"/>
            <w:vAlign w:val="center"/>
          </w:tcPr>
          <w:p w14:paraId="18032704">
            <w:pPr>
              <w:keepNext w:val="0"/>
              <w:keepLines w:val="0"/>
              <w:pageBreakBefore w:val="0"/>
              <w:widowControl w:val="0"/>
              <w:kinsoku/>
              <w:wordWrap w:val="0"/>
              <w:overflowPunct/>
              <w:topLinePunct w:val="0"/>
              <w:bidi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napToGrid w:val="0"/>
                <w:kern w:val="0"/>
                <w:sz w:val="21"/>
                <w:szCs w:val="21"/>
                <w:lang w:val="en-US" w:eastAsia="zh-CN"/>
              </w:rPr>
              <w:t>60</w:t>
            </w:r>
            <w:r>
              <w:rPr>
                <w:rFonts w:hint="eastAsia" w:ascii="宋体" w:hAnsi="宋体" w:eastAsia="宋体" w:cs="宋体"/>
                <w:snapToGrid w:val="0"/>
                <w:kern w:val="0"/>
                <w:sz w:val="21"/>
                <w:szCs w:val="21"/>
              </w:rPr>
              <w:t>日历天</w:t>
            </w:r>
            <w:r>
              <w:rPr>
                <w:rFonts w:hint="eastAsia" w:ascii="宋体" w:hAnsi="宋体" w:eastAsia="宋体" w:cs="宋体"/>
                <w:snapToGrid w:val="0"/>
                <w:color w:val="auto"/>
                <w:kern w:val="0"/>
                <w:sz w:val="21"/>
                <w:szCs w:val="21"/>
                <w:highlight w:val="none"/>
                <w:lang w:eastAsia="zh-CN"/>
              </w:rPr>
              <w:t>，缺陷责任期</w:t>
            </w:r>
            <w:r>
              <w:rPr>
                <w:rFonts w:hint="eastAsia" w:ascii="宋体" w:hAnsi="宋体" w:eastAsia="宋体" w:cs="宋体"/>
                <w:snapToGrid w:val="0"/>
                <w:color w:val="auto"/>
                <w:kern w:val="0"/>
                <w:sz w:val="21"/>
                <w:szCs w:val="21"/>
                <w:highlight w:val="none"/>
                <w:u w:val="single"/>
                <w:lang w:val="en-US" w:eastAsia="zh-CN"/>
              </w:rPr>
              <w:t>24个月</w:t>
            </w:r>
            <w:r>
              <w:rPr>
                <w:rFonts w:hint="eastAsia" w:ascii="宋体" w:hAnsi="宋体" w:eastAsia="宋体" w:cs="宋体"/>
                <w:snapToGrid w:val="0"/>
                <w:color w:val="auto"/>
                <w:kern w:val="0"/>
                <w:sz w:val="21"/>
                <w:szCs w:val="21"/>
                <w:highlight w:val="none"/>
                <w:lang w:val="en-US" w:eastAsia="zh-CN"/>
              </w:rPr>
              <w:t>。</w:t>
            </w:r>
          </w:p>
        </w:tc>
      </w:tr>
      <w:tr w14:paraId="39056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5" w:type="pct"/>
            <w:noWrap w:val="0"/>
            <w:vAlign w:val="center"/>
          </w:tcPr>
          <w:p w14:paraId="4640467E">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10</w:t>
            </w:r>
          </w:p>
        </w:tc>
        <w:tc>
          <w:tcPr>
            <w:tcW w:w="831" w:type="pct"/>
            <w:noWrap w:val="0"/>
            <w:vAlign w:val="center"/>
          </w:tcPr>
          <w:p w14:paraId="1DF1F445">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质量要求</w:t>
            </w:r>
          </w:p>
        </w:tc>
        <w:tc>
          <w:tcPr>
            <w:tcW w:w="3583" w:type="pct"/>
            <w:noWrap w:val="0"/>
            <w:vAlign w:val="center"/>
          </w:tcPr>
          <w:p w14:paraId="0FC7820A">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kern w:val="0"/>
                <w:sz w:val="21"/>
                <w:szCs w:val="21"/>
              </w:rPr>
              <w:t>符合强制性质量标准，符合国家和重庆市现行有关规范及标准规定的要求，符合比选文件的相关要求。</w:t>
            </w:r>
          </w:p>
        </w:tc>
      </w:tr>
      <w:tr w14:paraId="5E236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56EBD577">
            <w:pPr>
              <w:keepNext w:val="0"/>
              <w:keepLines w:val="0"/>
              <w:pageBreakBefore w:val="0"/>
              <w:widowControl w:val="0"/>
              <w:kinsoku/>
              <w:wordWrap w:val="0"/>
              <w:overflowPunct/>
              <w:topLinePunct w:val="0"/>
              <w:autoSpaceDE w:val="0"/>
              <w:autoSpaceDN w:val="0"/>
              <w:bidi w:val="0"/>
              <w:adjustRightInd w:val="0"/>
              <w:snapToGri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11</w:t>
            </w:r>
          </w:p>
        </w:tc>
        <w:tc>
          <w:tcPr>
            <w:tcW w:w="831" w:type="pct"/>
            <w:noWrap w:val="0"/>
            <w:vAlign w:val="center"/>
          </w:tcPr>
          <w:p w14:paraId="740432DC">
            <w:pPr>
              <w:keepNext w:val="0"/>
              <w:keepLines w:val="0"/>
              <w:pageBreakBefore w:val="0"/>
              <w:widowControl w:val="0"/>
              <w:kinsoku/>
              <w:wordWrap w:val="0"/>
              <w:overflowPunct/>
              <w:topLinePunct w:val="0"/>
              <w:autoSpaceDE w:val="0"/>
              <w:autoSpaceDN w:val="0"/>
              <w:bidi w:val="0"/>
              <w:adjustRightInd w:val="0"/>
              <w:snapToGri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竞选人资格</w:t>
            </w:r>
          </w:p>
          <w:p w14:paraId="4BCCC26E">
            <w:pPr>
              <w:keepNext w:val="0"/>
              <w:keepLines w:val="0"/>
              <w:pageBreakBefore w:val="0"/>
              <w:widowControl w:val="0"/>
              <w:kinsoku/>
              <w:wordWrap w:val="0"/>
              <w:overflowPunct/>
              <w:topLinePunct w:val="0"/>
              <w:autoSpaceDE w:val="0"/>
              <w:autoSpaceDN w:val="0"/>
              <w:bidi w:val="0"/>
              <w:adjustRightInd w:val="0"/>
              <w:snapToGri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条件</w:t>
            </w:r>
          </w:p>
        </w:tc>
        <w:tc>
          <w:tcPr>
            <w:tcW w:w="3583" w:type="pct"/>
            <w:noWrap w:val="0"/>
            <w:vAlign w:val="center"/>
          </w:tcPr>
          <w:p w14:paraId="2655F97B">
            <w:pPr>
              <w:keepNext w:val="0"/>
              <w:keepLines w:val="0"/>
              <w:pageBreakBefore w:val="0"/>
              <w:widowControl w:val="0"/>
              <w:kinsoku/>
              <w:wordWrap w:val="0"/>
              <w:overflowPunct/>
              <w:topLinePunct w:val="0"/>
              <w:bidi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本工程比选实行资格后审，竞选人应具备以下资格条件：</w:t>
            </w:r>
          </w:p>
          <w:p w14:paraId="36F1B1FD">
            <w:pPr>
              <w:keepNext w:val="0"/>
              <w:keepLines w:val="0"/>
              <w:pageBreakBefore w:val="0"/>
              <w:widowControl w:val="0"/>
              <w:kinsoku/>
              <w:wordWrap w:val="0"/>
              <w:overflowPunct/>
              <w:topLinePunct w:val="0"/>
              <w:bidi w:val="0"/>
              <w:spacing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1.资质条件、营业执照及安全生产条件</w:t>
            </w:r>
          </w:p>
          <w:p w14:paraId="034087C1">
            <w:pPr>
              <w:keepNext w:val="0"/>
              <w:keepLines w:val="0"/>
              <w:pageBreakBefore w:val="0"/>
              <w:widowControl w:val="0"/>
              <w:kinsoku/>
              <w:wordWrap w:val="0"/>
              <w:overflowPunct/>
              <w:topLinePunct w:val="0"/>
              <w:bidi w:val="0"/>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eastAsia="宋体" w:cs="宋体"/>
                <w:sz w:val="21"/>
                <w:szCs w:val="21"/>
                <w:u w:val="none"/>
              </w:rPr>
              <w:t>具备建设行政主管部门颁发的劳务作业资质不分类别及等级或建筑工程施工总承包三级及以上资质</w:t>
            </w:r>
            <w:r>
              <w:rPr>
                <w:rFonts w:hint="eastAsia" w:ascii="宋体" w:hAnsi="宋体" w:eastAsia="宋体" w:cs="宋体"/>
                <w:sz w:val="21"/>
                <w:szCs w:val="21"/>
                <w:u w:val="none"/>
                <w:lang w:eastAsia="zh-CN"/>
              </w:rPr>
              <w:t>。</w:t>
            </w:r>
          </w:p>
          <w:p w14:paraId="4323E9B6">
            <w:pPr>
              <w:keepNext w:val="0"/>
              <w:keepLines w:val="0"/>
              <w:pageBreakBefore w:val="0"/>
              <w:widowControl w:val="0"/>
              <w:kinsoku/>
              <w:wordWrap w:val="0"/>
              <w:overflowPunct/>
              <w:topLinePunct w:val="0"/>
              <w:bidi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提供有效的资质证书复印件。</w:t>
            </w:r>
          </w:p>
          <w:p w14:paraId="613AE6BC">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（2）具备有效的营业执照。</w:t>
            </w:r>
          </w:p>
          <w:p w14:paraId="4F0E5871">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提供有效的带二维码标识的营业执照复印件。</w:t>
            </w:r>
          </w:p>
          <w:p w14:paraId="66B0184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color w:val="auto"/>
                <w:sz w:val="21"/>
                <w:szCs w:val="21"/>
                <w:highlight w:val="none"/>
              </w:rPr>
              <w:t>具备建设行政主管部门颁发的有效的安全生产许可证</w:t>
            </w:r>
            <w:r>
              <w:rPr>
                <w:rFonts w:hint="eastAsia" w:ascii="宋体" w:hAnsi="宋体" w:eastAsia="宋体" w:cs="宋体"/>
                <w:sz w:val="21"/>
                <w:szCs w:val="21"/>
              </w:rPr>
              <w:t>。</w:t>
            </w:r>
          </w:p>
          <w:p w14:paraId="5F45FA0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提供有效的安全生产许可证复印件。</w:t>
            </w:r>
          </w:p>
          <w:p w14:paraId="3031C7D1">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17" w:firstLineChars="198"/>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2.竞选截止日竞选资格情况</w:t>
            </w:r>
          </w:p>
          <w:p w14:paraId="7AA0019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15" w:firstLineChars="198"/>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竞选人自行承诺不得存在下列情形之一：</w:t>
            </w:r>
          </w:p>
          <w:p w14:paraId="6E9257EF">
            <w:pPr>
              <w:keepNext w:val="0"/>
              <w:keepLines w:val="0"/>
              <w:pageBreakBefore w:val="0"/>
              <w:widowControl w:val="0"/>
              <w:kinsoku/>
              <w:wordWrap w:val="0"/>
              <w:overflowPunct/>
              <w:topLinePunct w:val="0"/>
              <w:bidi w:val="0"/>
              <w:snapToGrid w:val="0"/>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（1）被人民法院列入失信被执行人名单且在被执行期内；</w:t>
            </w:r>
          </w:p>
          <w:p w14:paraId="28543A13">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）被国家、重庆市（含市或任意区县）有关行政部门处以暂停投标资格行政处罚</w:t>
            </w:r>
            <w:r>
              <w:rPr>
                <w:rFonts w:hint="eastAsia" w:ascii="宋体" w:hAnsi="宋体" w:eastAsia="宋体" w:cs="宋体"/>
                <w:color w:val="auto"/>
                <w:sz w:val="21"/>
                <w:szCs w:val="21"/>
                <w:highlight w:val="none"/>
                <w:lang w:val="en-US" w:eastAsia="zh-CN"/>
              </w:rPr>
              <w:t>或暂停在渝承揽新业务</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且在暂停期限内</w:t>
            </w:r>
            <w:r>
              <w:rPr>
                <w:rFonts w:hint="eastAsia" w:ascii="宋体" w:hAnsi="宋体" w:eastAsia="宋体" w:cs="宋体"/>
                <w:sz w:val="21"/>
                <w:szCs w:val="21"/>
                <w:lang w:eastAsia="zh-CN"/>
              </w:rPr>
              <w:t>；</w:t>
            </w:r>
          </w:p>
          <w:p w14:paraId="3AB83140">
            <w:pPr>
              <w:keepNext w:val="0"/>
              <w:keepLines w:val="0"/>
              <w:pageBreakBefore w:val="0"/>
              <w:widowControl w:val="0"/>
              <w:kinsoku/>
              <w:wordWrap w:val="0"/>
              <w:overflowPunct/>
              <w:topLinePunct w:val="0"/>
              <w:bidi w:val="0"/>
              <w:spacing w:line="360" w:lineRule="auto"/>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kern w:val="0"/>
                <w:sz w:val="21"/>
                <w:szCs w:val="21"/>
              </w:rPr>
              <w:t>第二章“</w:t>
            </w:r>
            <w:r>
              <w:rPr>
                <w:rFonts w:hint="eastAsia" w:ascii="宋体" w:hAnsi="宋体" w:eastAsia="宋体" w:cs="宋体"/>
                <w:kern w:val="0"/>
                <w:sz w:val="21"/>
                <w:szCs w:val="21"/>
                <w:lang w:val="en-US" w:eastAsia="zh-CN"/>
              </w:rPr>
              <w:t>竞选</w:t>
            </w:r>
            <w:r>
              <w:rPr>
                <w:rFonts w:hint="eastAsia" w:ascii="宋体" w:hAnsi="宋体" w:eastAsia="宋体" w:cs="宋体"/>
                <w:kern w:val="0"/>
                <w:sz w:val="21"/>
                <w:szCs w:val="21"/>
              </w:rPr>
              <w:t>人须知”第1.4.3项规定</w:t>
            </w:r>
            <w:r>
              <w:rPr>
                <w:rFonts w:hint="eastAsia" w:ascii="宋体" w:hAnsi="宋体" w:eastAsia="宋体" w:cs="宋体"/>
                <w:kern w:val="0"/>
                <w:sz w:val="21"/>
                <w:szCs w:val="21"/>
                <w:lang w:val="en-US" w:eastAsia="zh-CN"/>
              </w:rPr>
              <w:t>的情形之一</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第二章“投标人须知”第8.2款规定的情形之一。</w:t>
            </w:r>
          </w:p>
          <w:p w14:paraId="0CD40F8C">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17" w:firstLineChars="198"/>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竞选人须在竞选文件资格审查部分提供承诺（格式见第八章投标文件格式）。</w:t>
            </w:r>
          </w:p>
          <w:p w14:paraId="12F9A00B">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17" w:firstLineChars="198"/>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3</w:t>
            </w:r>
            <w:r>
              <w:rPr>
                <w:rFonts w:hint="eastAsia" w:ascii="宋体" w:hAnsi="宋体" w:eastAsia="宋体" w:cs="宋体"/>
                <w:b/>
                <w:color w:val="auto"/>
                <w:sz w:val="21"/>
                <w:szCs w:val="21"/>
                <w:highlight w:val="none"/>
              </w:rPr>
              <w:t>.其他要求</w:t>
            </w:r>
          </w:p>
          <w:p w14:paraId="7C2C766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15" w:firstLineChars="198"/>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主要管理人员：</w:t>
            </w:r>
          </w:p>
          <w:p w14:paraId="5D208D4E">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15" w:firstLineChars="198"/>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竞选人</w:t>
            </w:r>
            <w:r>
              <w:rPr>
                <w:rFonts w:hint="eastAsia" w:ascii="宋体" w:hAnsi="宋体" w:eastAsia="宋体" w:cs="宋体"/>
                <w:b/>
                <w:bCs/>
                <w:color w:val="auto"/>
                <w:sz w:val="21"/>
                <w:szCs w:val="21"/>
                <w:highlight w:val="none"/>
              </w:rPr>
              <w:t>自行承诺</w:t>
            </w:r>
            <w:r>
              <w:rPr>
                <w:rFonts w:hint="eastAsia" w:ascii="宋体" w:hAnsi="宋体" w:eastAsia="宋体" w:cs="宋体"/>
                <w:color w:val="auto"/>
                <w:sz w:val="21"/>
                <w:szCs w:val="21"/>
                <w:highlight w:val="none"/>
              </w:rPr>
              <w:t>中标后在签订合同之前，须按照建设行政主管部门的要求组建施工项目部，配置项目管理班子，出具任命文件。任命文件应当明确施工项目部的职责、岗位设置、人员配备，并书面通知业主单位。相关岗位管理人员应持有建设行政主管部门要求的岗位证书，中标后不能满足该要求的，比选人可取消其中标资格，给比选人造成损失的，竞选人依法承担违约赔偿责任。</w:t>
            </w:r>
          </w:p>
          <w:p w14:paraId="0553059F">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15" w:firstLineChars="198"/>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）委托代理人：</w:t>
            </w:r>
          </w:p>
          <w:p w14:paraId="145858D5">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15" w:firstLineChars="198"/>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本项目委托代理人必须为竞选人本单位人员。竞选人须在竞选文件资格审查部分提供竞选人本单位为该委托代理人的授权委托书和</w:t>
            </w:r>
            <w:r>
              <w:rPr>
                <w:rFonts w:hint="eastAsia" w:ascii="宋体" w:hAnsi="宋体" w:eastAsia="宋体" w:cs="宋体"/>
                <w:color w:val="auto"/>
                <w:kern w:val="0"/>
                <w:sz w:val="21"/>
                <w:szCs w:val="21"/>
                <w:highlight w:val="none"/>
              </w:rPr>
              <w:t>缴纳的养老保险证明复印件</w:t>
            </w:r>
            <w:r>
              <w:rPr>
                <w:rFonts w:hint="eastAsia" w:ascii="宋体" w:hAnsi="宋体" w:eastAsia="宋体" w:cs="宋体"/>
                <w:color w:val="auto"/>
                <w:sz w:val="21"/>
                <w:szCs w:val="21"/>
                <w:highlight w:val="none"/>
              </w:rPr>
              <w:t>。否则，将作否决投标处理。</w:t>
            </w:r>
          </w:p>
          <w:p w14:paraId="228E7291">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15" w:firstLineChars="198"/>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特别说明：</w:t>
            </w:r>
          </w:p>
          <w:p w14:paraId="136727AE">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15" w:firstLineChars="198"/>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（1）上述1～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条所需提交的相关证明材料复印件均应加盖竞选单位法人章并装入竞选文件资格审查部分中。</w:t>
            </w:r>
          </w:p>
          <w:p w14:paraId="5FA4F34C">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15" w:firstLineChars="198"/>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（2）以上1～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条，有一条不满足，则竞选文件由评标委员会作否决投标处理。</w:t>
            </w:r>
          </w:p>
          <w:p w14:paraId="2EBBFD15">
            <w:pPr>
              <w:keepNext w:val="0"/>
              <w:keepLines w:val="0"/>
              <w:pageBreakBefore w:val="0"/>
              <w:widowControl w:val="0"/>
              <w:kinsoku/>
              <w:wordWrap w:val="0"/>
              <w:overflowPunct/>
              <w:topLinePunct w:val="0"/>
              <w:bidi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竞选人须自行承诺其提供的上述相关证明材料真实有效，不存在弄虚作假情形（格式见第八章竞选文件格式）。比选人在合同签订前均有权对竞选人提供的资料进行核实，若发现弄虚作假，取消其中标资格，并按相关法律法规报招标投标监督部门处理，其竞选保证金不予退还，竞选人承担因此造成的相关责任并赔偿相应损失。</w:t>
            </w:r>
          </w:p>
          <w:p w14:paraId="76E91FFA">
            <w:pPr>
              <w:keepNext w:val="0"/>
              <w:keepLines w:val="0"/>
              <w:pageBreakBefore w:val="0"/>
              <w:widowControl w:val="0"/>
              <w:kinsoku/>
              <w:wordWrap w:val="0"/>
              <w:overflowPunct/>
              <w:topLinePunct w:val="0"/>
              <w:bidi w:val="0"/>
              <w:spacing w:line="360" w:lineRule="auto"/>
              <w:ind w:firstLine="420" w:firstLineChars="20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（4）本比选文件中所要求的人员养老保险证明要求如下：</w:t>
            </w:r>
          </w:p>
          <w:p w14:paraId="5BBB5757">
            <w:pPr>
              <w:keepNext w:val="0"/>
              <w:keepLines w:val="0"/>
              <w:pageBreakBefore w:val="0"/>
              <w:widowControl w:val="0"/>
              <w:kinsoku/>
              <w:wordWrap w:val="0"/>
              <w:overflowPunct/>
              <w:topLinePunct w:val="0"/>
              <w:bidi w:val="0"/>
              <w:spacing w:line="360" w:lineRule="auto"/>
              <w:ind w:firstLine="420" w:firstLineChars="20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①企业提供养老保险证明，事业单位提供养老保险证明或行政主管部门在编证明。</w:t>
            </w:r>
          </w:p>
          <w:p w14:paraId="581970A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bCs/>
                <w:color w:val="auto"/>
                <w:kern w:val="0"/>
                <w:sz w:val="21"/>
                <w:szCs w:val="21"/>
                <w:highlight w:val="none"/>
              </w:rPr>
              <w:t>②</w:t>
            </w:r>
            <w:r>
              <w:rPr>
                <w:rFonts w:hint="eastAsia" w:ascii="宋体" w:hAnsi="宋体" w:eastAsia="宋体" w:cs="宋体"/>
                <w:bCs/>
                <w:snapToGrid w:val="0"/>
                <w:color w:val="auto"/>
                <w:kern w:val="0"/>
                <w:sz w:val="21"/>
                <w:szCs w:val="21"/>
                <w:highlight w:val="none"/>
              </w:rPr>
              <w:t>连续养老保险证明期限</w:t>
            </w:r>
            <w:r>
              <w:rPr>
                <w:rFonts w:hint="eastAsia" w:ascii="宋体" w:hAnsi="宋体" w:eastAsia="宋体" w:cs="宋体"/>
                <w:bCs/>
                <w:snapToGrid w:val="0"/>
                <w:color w:val="auto"/>
                <w:kern w:val="0"/>
                <w:sz w:val="21"/>
                <w:szCs w:val="21"/>
                <w:highlight w:val="none"/>
                <w:lang w:val="en-US" w:eastAsia="zh-CN"/>
              </w:rPr>
              <w:t>须包含</w:t>
            </w:r>
            <w:r>
              <w:rPr>
                <w:rFonts w:hint="eastAsia" w:ascii="宋体" w:hAnsi="宋体" w:eastAsia="宋体" w:cs="宋体"/>
                <w:bCs/>
                <w:snapToGrid w:val="0"/>
                <w:color w:val="auto"/>
                <w:kern w:val="0"/>
                <w:sz w:val="21"/>
                <w:szCs w:val="21"/>
                <w:highlight w:val="none"/>
                <w:u w:val="single"/>
                <w:lang w:val="en-US" w:eastAsia="zh-CN"/>
              </w:rPr>
              <w:t>2026</w:t>
            </w:r>
            <w:r>
              <w:rPr>
                <w:rFonts w:hint="eastAsia" w:ascii="宋体" w:hAnsi="宋体" w:eastAsia="宋体" w:cs="宋体"/>
                <w:bCs/>
                <w:snapToGrid w:val="0"/>
                <w:color w:val="auto"/>
                <w:kern w:val="0"/>
                <w:sz w:val="21"/>
                <w:szCs w:val="21"/>
                <w:highlight w:val="none"/>
              </w:rPr>
              <w:t>年</w:t>
            </w:r>
            <w:r>
              <w:rPr>
                <w:rFonts w:hint="eastAsia" w:ascii="宋体" w:hAnsi="宋体" w:eastAsia="宋体" w:cs="宋体"/>
                <w:bCs/>
                <w:snapToGrid w:val="0"/>
                <w:color w:val="auto"/>
                <w:kern w:val="0"/>
                <w:sz w:val="21"/>
                <w:szCs w:val="21"/>
                <w:highlight w:val="none"/>
                <w:u w:val="single"/>
                <w:lang w:val="en-US" w:eastAsia="zh-CN"/>
              </w:rPr>
              <w:t xml:space="preserve"> 2 </w:t>
            </w:r>
            <w:r>
              <w:rPr>
                <w:rFonts w:hint="eastAsia" w:ascii="宋体" w:hAnsi="宋体" w:eastAsia="宋体" w:cs="宋体"/>
                <w:bCs/>
                <w:snapToGrid w:val="0"/>
                <w:color w:val="auto"/>
                <w:kern w:val="0"/>
                <w:sz w:val="21"/>
                <w:szCs w:val="21"/>
                <w:highlight w:val="none"/>
              </w:rPr>
              <w:t>月至</w:t>
            </w:r>
            <w:r>
              <w:rPr>
                <w:rFonts w:hint="eastAsia" w:ascii="宋体" w:hAnsi="宋体" w:eastAsia="宋体" w:cs="宋体"/>
                <w:bCs/>
                <w:snapToGrid w:val="0"/>
                <w:color w:val="auto"/>
                <w:kern w:val="0"/>
                <w:sz w:val="21"/>
                <w:szCs w:val="21"/>
                <w:highlight w:val="none"/>
                <w:u w:val="single"/>
                <w:lang w:val="en-US" w:eastAsia="zh-CN"/>
              </w:rPr>
              <w:t xml:space="preserve"> 2026 </w:t>
            </w:r>
            <w:r>
              <w:rPr>
                <w:rFonts w:hint="eastAsia" w:ascii="宋体" w:hAnsi="宋体" w:eastAsia="宋体" w:cs="宋体"/>
                <w:bCs/>
                <w:snapToGrid w:val="0"/>
                <w:color w:val="auto"/>
                <w:kern w:val="0"/>
                <w:sz w:val="21"/>
                <w:szCs w:val="21"/>
                <w:highlight w:val="none"/>
              </w:rPr>
              <w:t>年</w:t>
            </w:r>
            <w:r>
              <w:rPr>
                <w:rFonts w:hint="eastAsia" w:ascii="宋体" w:hAnsi="宋体" w:eastAsia="宋体" w:cs="宋体"/>
                <w:bCs/>
                <w:snapToGrid w:val="0"/>
                <w:color w:val="auto"/>
                <w:kern w:val="0"/>
                <w:sz w:val="21"/>
                <w:szCs w:val="21"/>
                <w:highlight w:val="none"/>
                <w:u w:val="single"/>
                <w:lang w:val="en-US" w:eastAsia="zh-CN"/>
              </w:rPr>
              <w:t xml:space="preserve"> 7 </w:t>
            </w:r>
            <w:r>
              <w:rPr>
                <w:rFonts w:hint="eastAsia" w:ascii="宋体" w:hAnsi="宋体" w:eastAsia="宋体" w:cs="宋体"/>
                <w:bCs/>
                <w:snapToGrid w:val="0"/>
                <w:color w:val="auto"/>
                <w:kern w:val="0"/>
                <w:sz w:val="21"/>
                <w:szCs w:val="21"/>
                <w:highlight w:val="none"/>
              </w:rPr>
              <w:t>月</w:t>
            </w:r>
            <w:r>
              <w:rPr>
                <w:rFonts w:hint="eastAsia" w:ascii="宋体" w:hAnsi="宋体" w:eastAsia="宋体" w:cs="宋体"/>
                <w:bCs/>
                <w:color w:val="auto"/>
                <w:sz w:val="21"/>
                <w:szCs w:val="21"/>
                <w:highlight w:val="none"/>
              </w:rPr>
              <w:t>。提供的养老保险参保证明须体现上述人员的姓名、身份证号（或社保号）、单位名称、本单位参保时间（或起始参保时间），并带有社保部门公章或社保部门的有效电子印章</w:t>
            </w:r>
            <w:r>
              <w:rPr>
                <w:rFonts w:hint="eastAsia" w:ascii="宋体" w:hAnsi="宋体" w:eastAsia="宋体" w:cs="宋体"/>
                <w:sz w:val="21"/>
                <w:szCs w:val="21"/>
              </w:rPr>
              <w:t>。</w:t>
            </w:r>
          </w:p>
        </w:tc>
      </w:tr>
      <w:tr w14:paraId="52276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0DBDE2F8">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12</w:t>
            </w:r>
          </w:p>
        </w:tc>
        <w:tc>
          <w:tcPr>
            <w:tcW w:w="831" w:type="pct"/>
            <w:noWrap w:val="0"/>
            <w:vAlign w:val="center"/>
          </w:tcPr>
          <w:p w14:paraId="65C8E175">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是否接受联合体竞选</w:t>
            </w:r>
          </w:p>
        </w:tc>
        <w:tc>
          <w:tcPr>
            <w:tcW w:w="3583" w:type="pct"/>
            <w:noWrap w:val="0"/>
            <w:vAlign w:val="center"/>
          </w:tcPr>
          <w:p w14:paraId="230DE0B6">
            <w:pPr>
              <w:keepNext w:val="0"/>
              <w:keepLines w:val="0"/>
              <w:pageBreakBefore w:val="0"/>
              <w:widowControl w:val="0"/>
              <w:kinsoku/>
              <w:wordWrap w:val="0"/>
              <w:overflowPunct/>
              <w:topLinePunct w:val="0"/>
              <w:bidi w:val="0"/>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不接受</w:t>
            </w:r>
            <w:r>
              <w:rPr>
                <w:rFonts w:hint="eastAsia" w:ascii="宋体" w:hAnsi="宋体" w:eastAsia="宋体" w:cs="宋体"/>
                <w:sz w:val="21"/>
                <w:szCs w:val="21"/>
                <w:lang w:eastAsia="zh-CN"/>
              </w:rPr>
              <w:t>。</w:t>
            </w:r>
          </w:p>
        </w:tc>
      </w:tr>
      <w:tr w14:paraId="5728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1C662462">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13</w:t>
            </w:r>
          </w:p>
        </w:tc>
        <w:tc>
          <w:tcPr>
            <w:tcW w:w="831" w:type="pct"/>
            <w:noWrap w:val="0"/>
            <w:vAlign w:val="center"/>
          </w:tcPr>
          <w:p w14:paraId="512E19EC">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踏勘现场</w:t>
            </w:r>
          </w:p>
        </w:tc>
        <w:tc>
          <w:tcPr>
            <w:tcW w:w="3583" w:type="pct"/>
            <w:noWrap w:val="0"/>
            <w:vAlign w:val="center"/>
          </w:tcPr>
          <w:p w14:paraId="1D27E87B">
            <w:pPr>
              <w:keepNext w:val="0"/>
              <w:keepLines w:val="0"/>
              <w:pageBreakBefore w:val="0"/>
              <w:widowControl w:val="0"/>
              <w:kinsoku/>
              <w:wordWrap w:val="0"/>
              <w:overflowPunct/>
              <w:topLinePunct w:val="0"/>
              <w:bidi w:val="0"/>
              <w:snapToGrid w:val="0"/>
              <w:spacing w:line="360" w:lineRule="auto"/>
              <w:ind w:firstLine="420" w:firstLineChars="200"/>
              <w:jc w:val="left"/>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rPr>
              <w:t>自行踏勘</w:t>
            </w:r>
            <w:r>
              <w:rPr>
                <w:rFonts w:hint="eastAsia" w:ascii="宋体" w:hAnsi="宋体" w:eastAsia="宋体" w:cs="宋体"/>
                <w:kern w:val="0"/>
                <w:sz w:val="21"/>
                <w:szCs w:val="21"/>
                <w:lang w:eastAsia="zh-CN"/>
              </w:rPr>
              <w:t>。</w:t>
            </w:r>
          </w:p>
        </w:tc>
      </w:tr>
      <w:tr w14:paraId="09B3C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49C8994F">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14</w:t>
            </w:r>
          </w:p>
        </w:tc>
        <w:tc>
          <w:tcPr>
            <w:tcW w:w="831" w:type="pct"/>
            <w:noWrap w:val="0"/>
            <w:vAlign w:val="center"/>
          </w:tcPr>
          <w:p w14:paraId="6C80329A">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竞选预备会</w:t>
            </w:r>
          </w:p>
        </w:tc>
        <w:tc>
          <w:tcPr>
            <w:tcW w:w="3583" w:type="pct"/>
            <w:noWrap w:val="0"/>
            <w:vAlign w:val="center"/>
          </w:tcPr>
          <w:p w14:paraId="0289F781">
            <w:pPr>
              <w:keepNext w:val="0"/>
              <w:keepLines w:val="0"/>
              <w:pageBreakBefore w:val="0"/>
              <w:widowControl w:val="0"/>
              <w:kinsoku/>
              <w:wordWrap w:val="0"/>
              <w:overflowPunct/>
              <w:topLinePunct w:val="0"/>
              <w:bidi w:val="0"/>
              <w:snapToGrid w:val="0"/>
              <w:spacing w:line="360" w:lineRule="auto"/>
              <w:ind w:firstLine="420" w:firstLineChars="200"/>
              <w:jc w:val="left"/>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rPr>
              <w:t>不召开</w:t>
            </w:r>
            <w:r>
              <w:rPr>
                <w:rFonts w:hint="eastAsia" w:ascii="宋体" w:hAnsi="宋体" w:eastAsia="宋体" w:cs="宋体"/>
                <w:kern w:val="0"/>
                <w:sz w:val="21"/>
                <w:szCs w:val="21"/>
                <w:lang w:eastAsia="zh-CN"/>
              </w:rPr>
              <w:t>。</w:t>
            </w:r>
          </w:p>
        </w:tc>
      </w:tr>
      <w:tr w14:paraId="726C9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683503D0">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15</w:t>
            </w:r>
          </w:p>
        </w:tc>
        <w:tc>
          <w:tcPr>
            <w:tcW w:w="831" w:type="pct"/>
            <w:noWrap w:val="0"/>
            <w:vAlign w:val="center"/>
          </w:tcPr>
          <w:p w14:paraId="0D6FD03A">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分包</w:t>
            </w:r>
          </w:p>
        </w:tc>
        <w:tc>
          <w:tcPr>
            <w:tcW w:w="3583" w:type="pct"/>
            <w:noWrap w:val="0"/>
            <w:vAlign w:val="center"/>
          </w:tcPr>
          <w:p w14:paraId="1404854F">
            <w:pPr>
              <w:keepNext w:val="0"/>
              <w:keepLines w:val="0"/>
              <w:pageBreakBefore w:val="0"/>
              <w:widowControl w:val="0"/>
              <w:kinsoku/>
              <w:wordWrap w:val="0"/>
              <w:overflowPunct/>
              <w:topLinePunct w:val="0"/>
              <w:bidi w:val="0"/>
              <w:snapToGrid w:val="0"/>
              <w:spacing w:line="360" w:lineRule="auto"/>
              <w:ind w:firstLine="420" w:firstLineChars="200"/>
              <w:jc w:val="left"/>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rPr>
              <w:t>不允许</w:t>
            </w:r>
            <w:r>
              <w:rPr>
                <w:rFonts w:hint="eastAsia" w:ascii="宋体" w:hAnsi="宋体" w:eastAsia="宋体" w:cs="宋体"/>
                <w:kern w:val="0"/>
                <w:sz w:val="21"/>
                <w:szCs w:val="21"/>
                <w:lang w:eastAsia="zh-CN"/>
              </w:rPr>
              <w:t>。</w:t>
            </w:r>
          </w:p>
        </w:tc>
      </w:tr>
      <w:tr w14:paraId="3861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6382B151">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16</w:t>
            </w:r>
          </w:p>
        </w:tc>
        <w:tc>
          <w:tcPr>
            <w:tcW w:w="831" w:type="pct"/>
            <w:noWrap w:val="0"/>
            <w:vAlign w:val="center"/>
          </w:tcPr>
          <w:p w14:paraId="6697B6F7">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偏离</w:t>
            </w:r>
          </w:p>
        </w:tc>
        <w:tc>
          <w:tcPr>
            <w:tcW w:w="3583" w:type="pct"/>
            <w:noWrap w:val="0"/>
            <w:vAlign w:val="center"/>
          </w:tcPr>
          <w:p w14:paraId="171868E9">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rPr>
              <w:t>不允许</w:t>
            </w:r>
            <w:r>
              <w:rPr>
                <w:rFonts w:hint="eastAsia" w:ascii="宋体" w:hAnsi="宋体" w:eastAsia="宋体" w:cs="宋体"/>
                <w:kern w:val="0"/>
                <w:sz w:val="21"/>
                <w:szCs w:val="21"/>
                <w:lang w:eastAsia="zh-CN"/>
              </w:rPr>
              <w:t>。</w:t>
            </w:r>
          </w:p>
        </w:tc>
      </w:tr>
      <w:tr w14:paraId="078A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5CC25013">
            <w:pPr>
              <w:keepNext w:val="0"/>
              <w:keepLines w:val="0"/>
              <w:pageBreakBefore w:val="0"/>
              <w:widowControl w:val="0"/>
              <w:kinsoku/>
              <w:wordWrap w:val="0"/>
              <w:overflowPunct/>
              <w:topLinePunct w:val="0"/>
              <w:bidi w:val="0"/>
              <w:snapToGrid w:val="0"/>
              <w:spacing w:line="360" w:lineRule="auto"/>
              <w:ind w:firstLine="315" w:firstLineChars="150"/>
              <w:textAlignment w:val="auto"/>
              <w:rPr>
                <w:rFonts w:hint="eastAsia" w:ascii="宋体" w:hAnsi="宋体" w:eastAsia="宋体" w:cs="宋体"/>
                <w:kern w:val="0"/>
                <w:sz w:val="21"/>
                <w:szCs w:val="21"/>
              </w:rPr>
            </w:pPr>
            <w:r>
              <w:rPr>
                <w:rFonts w:hint="eastAsia" w:ascii="宋体" w:hAnsi="宋体" w:eastAsia="宋体" w:cs="宋体"/>
                <w:kern w:val="0"/>
                <w:sz w:val="21"/>
                <w:szCs w:val="21"/>
              </w:rPr>
              <w:t>17</w:t>
            </w:r>
          </w:p>
        </w:tc>
        <w:tc>
          <w:tcPr>
            <w:tcW w:w="831" w:type="pct"/>
            <w:noWrap w:val="0"/>
            <w:vAlign w:val="center"/>
          </w:tcPr>
          <w:p w14:paraId="35ACBD51">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构成比选文件的其他材料</w:t>
            </w:r>
          </w:p>
        </w:tc>
        <w:tc>
          <w:tcPr>
            <w:tcW w:w="3583" w:type="pct"/>
            <w:noWrap w:val="0"/>
            <w:vAlign w:val="center"/>
          </w:tcPr>
          <w:p w14:paraId="6FC82322">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澄清、补遗、修改以及答疑等。</w:t>
            </w:r>
          </w:p>
        </w:tc>
      </w:tr>
      <w:tr w14:paraId="66E53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jc w:val="center"/>
        </w:trPr>
        <w:tc>
          <w:tcPr>
            <w:tcW w:w="585" w:type="pct"/>
            <w:noWrap w:val="0"/>
            <w:vAlign w:val="center"/>
          </w:tcPr>
          <w:p w14:paraId="0A7C1D02">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18</w:t>
            </w:r>
          </w:p>
        </w:tc>
        <w:tc>
          <w:tcPr>
            <w:tcW w:w="831" w:type="pct"/>
            <w:noWrap w:val="0"/>
            <w:vAlign w:val="center"/>
          </w:tcPr>
          <w:p w14:paraId="6619DE3E">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比选报价</w:t>
            </w:r>
          </w:p>
        </w:tc>
        <w:tc>
          <w:tcPr>
            <w:tcW w:w="3583" w:type="pct"/>
            <w:noWrap w:val="0"/>
            <w:vAlign w:val="center"/>
          </w:tcPr>
          <w:p w14:paraId="0E08A4E8">
            <w:pPr>
              <w:pStyle w:val="2"/>
              <w:keepNext w:val="0"/>
              <w:keepLines w:val="0"/>
              <w:pageBreakBefore w:val="0"/>
              <w:widowControl w:val="0"/>
              <w:tabs>
                <w:tab w:val="left" w:pos="546"/>
                <w:tab w:val="left" w:pos="711"/>
              </w:tabs>
              <w:kinsoku/>
              <w:wordWrap w:val="0"/>
              <w:overflowPunct/>
              <w:topLinePunct w:val="0"/>
              <w:bidi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1.使用</w:t>
            </w:r>
            <w:r>
              <w:rPr>
                <w:rFonts w:hint="eastAsia" w:ascii="宋体" w:hAnsi="宋体" w:eastAsia="宋体" w:cs="宋体"/>
                <w:sz w:val="21"/>
                <w:szCs w:val="21"/>
                <w:lang w:val="en-US" w:eastAsia="zh-CN"/>
              </w:rPr>
              <w:t>财政资金或</w:t>
            </w:r>
            <w:r>
              <w:rPr>
                <w:rFonts w:hint="eastAsia" w:ascii="宋体" w:hAnsi="宋体" w:eastAsia="宋体" w:cs="宋体"/>
                <w:sz w:val="21"/>
                <w:szCs w:val="21"/>
              </w:rPr>
              <w:t>国有资金投资的建设工程，</w:t>
            </w:r>
            <w:r>
              <w:rPr>
                <w:rFonts w:hint="eastAsia" w:ascii="宋体" w:hAnsi="宋体" w:eastAsia="宋体" w:cs="宋体"/>
                <w:sz w:val="21"/>
                <w:szCs w:val="21"/>
                <w:lang w:val="en-US" w:eastAsia="zh-CN"/>
              </w:rPr>
              <w:t>应按国家及行业工程量计算标准编制工程量清单</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采用工程量清单计价</w:t>
            </w:r>
            <w:r>
              <w:rPr>
                <w:rFonts w:hint="eastAsia" w:ascii="宋体" w:hAnsi="宋体" w:eastAsia="宋体" w:cs="宋体"/>
                <w:sz w:val="21"/>
                <w:szCs w:val="21"/>
              </w:rPr>
              <w:t>。</w:t>
            </w:r>
          </w:p>
          <w:p w14:paraId="1F0183A2">
            <w:pPr>
              <w:pStyle w:val="2"/>
              <w:keepNext w:val="0"/>
              <w:keepLines w:val="0"/>
              <w:pageBreakBefore w:val="0"/>
              <w:widowControl w:val="0"/>
              <w:tabs>
                <w:tab w:val="left" w:pos="546"/>
                <w:tab w:val="left" w:pos="711"/>
              </w:tabs>
              <w:kinsoku/>
              <w:wordWrap w:val="0"/>
              <w:overflowPunct/>
              <w:topLinePunct w:val="0"/>
              <w:bidi w:val="0"/>
              <w:snapToGrid w:val="0"/>
              <w:spacing w:after="0" w:line="360" w:lineRule="auto"/>
              <w:ind w:left="6" w:leftChars="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2.竞选人应按</w:t>
            </w:r>
            <w:r>
              <w:rPr>
                <w:rFonts w:hint="eastAsia" w:ascii="宋体" w:hAnsi="宋体" w:eastAsia="宋体" w:cs="宋体"/>
                <w:sz w:val="21"/>
                <w:szCs w:val="21"/>
                <w:lang w:val="en-US" w:eastAsia="zh-CN"/>
              </w:rPr>
              <w:t>照住房城乡建设行业主管部门相关规定</w:t>
            </w:r>
            <w:r>
              <w:rPr>
                <w:rFonts w:hint="eastAsia" w:ascii="宋体" w:hAnsi="宋体" w:eastAsia="宋体" w:cs="宋体"/>
                <w:sz w:val="21"/>
                <w:szCs w:val="21"/>
              </w:rPr>
              <w:t>和第五章“工程量清单”的要求填写相应清单表格。竞选人的投标报价应是本章竞选人须知前附表中所述的本工程合同段招标范围内的全部工程的投标报价，并以竞选人在工程量清单中提出的单价或总价为依据。</w:t>
            </w:r>
          </w:p>
          <w:p w14:paraId="1BD5E577">
            <w:pPr>
              <w:keepNext w:val="0"/>
              <w:keepLines w:val="0"/>
              <w:pageBreakBefore w:val="0"/>
              <w:widowControl w:val="0"/>
              <w:tabs>
                <w:tab w:val="left" w:pos="546"/>
                <w:tab w:val="left" w:pos="711"/>
              </w:tabs>
              <w:kinsoku/>
              <w:wordWrap w:val="0"/>
              <w:overflowPunct/>
              <w:topLinePunct w:val="0"/>
              <w:bidi w:val="0"/>
              <w:snapToGrid w:val="0"/>
              <w:spacing w:line="360" w:lineRule="auto"/>
              <w:ind w:left="6" w:leftChars="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竞选人应认真填写工程量清单中所列的本合同各工程子目的单价或总价。竞选人没有填入单价或总价的工程子目，竞选人将认为该子目的价款已包括在工程量清单其他子目的单价和总价中。竞选人必须按招标工程量清单填报价格。项目编码、项目名称、项目特征、计量单位、工程量必须与招标工程量清单一致。否则由评标委员会作否决投标处理。</w:t>
            </w:r>
          </w:p>
          <w:p w14:paraId="4E5FB7FB">
            <w:pPr>
              <w:keepNext w:val="0"/>
              <w:keepLines w:val="0"/>
              <w:pageBreakBefore w:val="0"/>
              <w:widowControl w:val="0"/>
              <w:tabs>
                <w:tab w:val="left" w:pos="546"/>
                <w:tab w:val="left" w:pos="711"/>
              </w:tabs>
              <w:kinsoku/>
              <w:wordWrap w:val="0"/>
              <w:overflowPunct/>
              <w:topLinePunct w:val="0"/>
              <w:bidi w:val="0"/>
              <w:snapToGrid w:val="0"/>
              <w:spacing w:line="360" w:lineRule="auto"/>
              <w:ind w:left="6" w:leftChars="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4.投标函中的总报价与已标价工程量清单总报价</w:t>
            </w:r>
            <w:r>
              <w:rPr>
                <w:rFonts w:hint="eastAsia" w:ascii="宋体" w:hAnsi="宋体" w:eastAsia="宋体" w:cs="宋体"/>
                <w:sz w:val="21"/>
                <w:szCs w:val="21"/>
                <w:lang w:val="en-US" w:eastAsia="zh-CN"/>
              </w:rPr>
              <w:t>不</w:t>
            </w:r>
            <w:r>
              <w:rPr>
                <w:rFonts w:hint="eastAsia" w:ascii="宋体" w:hAnsi="宋体" w:eastAsia="宋体" w:cs="宋体"/>
                <w:sz w:val="21"/>
                <w:szCs w:val="21"/>
              </w:rPr>
              <w:t>一致</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或</w:t>
            </w:r>
            <w:r>
              <w:rPr>
                <w:rFonts w:hint="eastAsia" w:ascii="宋体" w:hAnsi="宋体" w:eastAsia="宋体" w:cs="宋体"/>
                <w:sz w:val="21"/>
                <w:szCs w:val="21"/>
              </w:rPr>
              <w:t>工程量清单总报价与依据单价、工程数量、分部分项工程合价计算出的结果</w:t>
            </w:r>
            <w:r>
              <w:rPr>
                <w:rFonts w:hint="eastAsia" w:ascii="宋体" w:hAnsi="宋体" w:eastAsia="宋体" w:cs="宋体"/>
                <w:sz w:val="21"/>
                <w:szCs w:val="21"/>
                <w:lang w:val="en-US" w:eastAsia="zh-CN"/>
              </w:rPr>
              <w:t>不</w:t>
            </w:r>
            <w:r>
              <w:rPr>
                <w:rFonts w:hint="eastAsia" w:ascii="宋体" w:hAnsi="宋体" w:eastAsia="宋体" w:cs="宋体"/>
                <w:sz w:val="21"/>
                <w:szCs w:val="21"/>
              </w:rPr>
              <w:t>一致，由评标委员会作否决投标处理</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如有</w:t>
            </w:r>
            <w:r>
              <w:rPr>
                <w:rFonts w:hint="eastAsia" w:ascii="宋体" w:hAnsi="宋体" w:eastAsia="宋体" w:cs="宋体"/>
                <w:sz w:val="21"/>
                <w:szCs w:val="21"/>
                <w:lang w:eastAsia="zh-CN"/>
              </w:rPr>
              <w:t>）</w:t>
            </w:r>
            <w:r>
              <w:rPr>
                <w:rFonts w:hint="eastAsia" w:ascii="宋体" w:hAnsi="宋体" w:eastAsia="宋体" w:cs="宋体"/>
                <w:sz w:val="21"/>
                <w:szCs w:val="21"/>
              </w:rPr>
              <w:t>。</w:t>
            </w:r>
          </w:p>
          <w:p w14:paraId="45CA8BC2">
            <w:pPr>
              <w:pStyle w:val="2"/>
              <w:keepNext w:val="0"/>
              <w:keepLines w:val="0"/>
              <w:pageBreakBefore w:val="0"/>
              <w:widowControl w:val="0"/>
              <w:tabs>
                <w:tab w:val="left" w:pos="546"/>
                <w:tab w:val="left" w:pos="711"/>
              </w:tabs>
              <w:kinsoku/>
              <w:wordWrap w:val="0"/>
              <w:overflowPunct/>
              <w:topLinePunct w:val="0"/>
              <w:bidi w:val="0"/>
              <w:snapToGrid w:val="0"/>
              <w:spacing w:after="0" w:line="360" w:lineRule="auto"/>
              <w:ind w:left="6" w:leftChars="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u w:val="single"/>
              </w:rPr>
              <w:t>（1）在合同实施期间，单价和总价按专用合同条款的规定可调整。</w:t>
            </w:r>
          </w:p>
          <w:p w14:paraId="00CF1250">
            <w:pPr>
              <w:pStyle w:val="2"/>
              <w:keepNext w:val="0"/>
              <w:keepLines w:val="0"/>
              <w:pageBreakBefore w:val="0"/>
              <w:widowControl w:val="0"/>
              <w:tabs>
                <w:tab w:val="left" w:pos="546"/>
                <w:tab w:val="left" w:pos="711"/>
              </w:tabs>
              <w:kinsoku/>
              <w:wordWrap w:val="0"/>
              <w:overflowPunct/>
              <w:topLinePunct w:val="0"/>
              <w:bidi w:val="0"/>
              <w:snapToGrid w:val="0"/>
              <w:spacing w:after="0" w:line="360" w:lineRule="auto"/>
              <w:ind w:left="6" w:leftChars="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（2）增值税计税方法由招标人依据国家税法规定选择：一般计税法</w:t>
            </w:r>
          </w:p>
          <w:p w14:paraId="15A6015F">
            <w:pPr>
              <w:pStyle w:val="2"/>
              <w:keepNext w:val="0"/>
              <w:keepLines w:val="0"/>
              <w:pageBreakBefore w:val="0"/>
              <w:widowControl w:val="0"/>
              <w:tabs>
                <w:tab w:val="left" w:pos="546"/>
                <w:tab w:val="left" w:pos="711"/>
              </w:tabs>
              <w:kinsoku/>
              <w:wordWrap w:val="0"/>
              <w:overflowPunct/>
              <w:topLinePunct w:val="0"/>
              <w:bidi w:val="0"/>
              <w:snapToGrid w:val="0"/>
              <w:spacing w:after="0" w:line="360" w:lineRule="auto"/>
              <w:ind w:left="6" w:leftChars="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6.如发现工程量清单中的数量与图纸中数量不一致，应于本须知中规定的时间前书面通知招标人核查，除非招标人以修改的形式予以更正，否则，应以工程量清单中列出的数量为准。</w:t>
            </w:r>
          </w:p>
          <w:p w14:paraId="1F96BA6E">
            <w:pPr>
              <w:keepNext w:val="0"/>
              <w:keepLines w:val="0"/>
              <w:pageBreakBefore w:val="0"/>
              <w:widowControl w:val="0"/>
              <w:tabs>
                <w:tab w:val="left" w:pos="546"/>
                <w:tab w:val="left" w:pos="711"/>
              </w:tabs>
              <w:kinsoku/>
              <w:wordWrap w:val="0"/>
              <w:overflowPunct/>
              <w:topLinePunct w:val="0"/>
              <w:bidi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7.招标人在工程量清单中所列出的暂列金额、暂估价等暂定金额，投标人不得修改，否则由评标委员会作否决投标处理。</w:t>
            </w:r>
          </w:p>
          <w:p w14:paraId="270AA6B1">
            <w:pPr>
              <w:keepNext w:val="0"/>
              <w:keepLines w:val="0"/>
              <w:pageBreakBefore w:val="0"/>
              <w:widowControl w:val="0"/>
              <w:tabs>
                <w:tab w:val="left" w:pos="546"/>
                <w:tab w:val="left" w:pos="711"/>
              </w:tabs>
              <w:kinsoku/>
              <w:wordWrap w:val="0"/>
              <w:overflowPunct/>
              <w:topLinePunct w:val="0"/>
              <w:bidi w:val="0"/>
              <w:snapToGrid w:val="0"/>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rPr>
              <w:t>8.</w:t>
            </w:r>
            <w:r>
              <w:rPr>
                <w:rFonts w:hint="eastAsia" w:ascii="宋体" w:hAnsi="宋体" w:eastAsia="宋体" w:cs="宋体"/>
                <w:color w:val="auto"/>
                <w:sz w:val="21"/>
                <w:szCs w:val="21"/>
                <w:highlight w:val="none"/>
                <w:lang w:val="en-US" w:eastAsia="zh-CN"/>
              </w:rPr>
              <w:t>本工程招标将设置</w:t>
            </w:r>
            <w:r>
              <w:rPr>
                <w:rFonts w:hint="eastAsia" w:ascii="宋体" w:hAnsi="宋体" w:eastAsia="宋体" w:cs="宋体"/>
                <w:color w:val="000000" w:themeColor="text1"/>
                <w:sz w:val="21"/>
                <w:szCs w:val="21"/>
                <w:highlight w:val="none"/>
                <w:lang w:val="en-US" w:eastAsia="zh-CN"/>
                <w14:textFill>
                  <w14:solidFill>
                    <w14:schemeClr w14:val="tx1"/>
                  </w14:solidFill>
                </w14:textFill>
              </w:rPr>
              <w:t>投标总报价最高限价，</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投标总报价最高限价为</w:t>
            </w:r>
            <w:r>
              <w:rPr>
                <w:rFonts w:hint="eastAsia" w:ascii="宋体" w:hAnsi="宋体" w:eastAsia="宋体" w:cs="宋体"/>
                <w:b/>
                <w:bCs/>
                <w:color w:val="auto"/>
                <w:sz w:val="21"/>
                <w:szCs w:val="21"/>
                <w:highlight w:val="none"/>
              </w:rPr>
              <w:t>人民币</w:t>
            </w:r>
            <w:r>
              <w:rPr>
                <w:rFonts w:hint="eastAsia" w:ascii="宋体" w:hAnsi="宋体" w:eastAsia="宋体" w:cs="宋体"/>
                <w:b/>
                <w:bCs/>
                <w:color w:val="auto"/>
                <w:sz w:val="21"/>
                <w:szCs w:val="21"/>
                <w:highlight w:val="none"/>
                <w:u w:val="single"/>
              </w:rPr>
              <w:t>700382.56</w:t>
            </w:r>
            <w:r>
              <w:rPr>
                <w:rFonts w:hint="eastAsia" w:ascii="宋体" w:hAnsi="宋体" w:eastAsia="宋体" w:cs="宋体"/>
                <w:b/>
                <w:bCs/>
                <w:color w:val="auto"/>
                <w:sz w:val="21"/>
                <w:szCs w:val="21"/>
                <w:highlight w:val="none"/>
              </w:rPr>
              <w:t>元（大写：</w:t>
            </w:r>
            <w:r>
              <w:rPr>
                <w:rFonts w:hint="eastAsia" w:ascii="宋体" w:hAnsi="宋体" w:eastAsia="宋体" w:cs="宋体"/>
                <w:b/>
                <w:bCs/>
                <w:color w:val="auto"/>
                <w:sz w:val="21"/>
                <w:szCs w:val="21"/>
                <w:highlight w:val="none"/>
                <w:u w:val="single"/>
                <w:lang w:val="en-US" w:eastAsia="zh-CN"/>
              </w:rPr>
              <w:t>柒拾万零叁佰捌拾贰元伍角陆分</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bCs/>
                <w:color w:val="auto"/>
                <w:sz w:val="21"/>
                <w:szCs w:val="21"/>
                <w:highlight w:val="none"/>
              </w:rPr>
              <w:t>其中含安全文明施工费</w:t>
            </w:r>
            <w:r>
              <w:rPr>
                <w:rFonts w:hint="eastAsia" w:ascii="宋体" w:hAnsi="宋体" w:eastAsia="宋体" w:cs="宋体"/>
                <w:b/>
                <w:bCs/>
                <w:color w:val="auto"/>
                <w:sz w:val="21"/>
                <w:szCs w:val="21"/>
                <w:highlight w:val="none"/>
                <w:u w:val="single"/>
              </w:rPr>
              <w:t>20276.01</w:t>
            </w:r>
            <w:r>
              <w:rPr>
                <w:rFonts w:hint="eastAsia" w:ascii="宋体" w:hAnsi="宋体" w:eastAsia="宋体" w:cs="宋体"/>
                <w:b/>
                <w:bCs/>
                <w:color w:val="auto"/>
                <w:sz w:val="21"/>
                <w:szCs w:val="21"/>
                <w:highlight w:val="none"/>
              </w:rPr>
              <w:t>元</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，投标人的投标总报价不得 超过投标总报价最高限价，否则由评标委员会作否决投标处 理。 </w:t>
            </w:r>
          </w:p>
          <w:p w14:paraId="78759EA2">
            <w:pPr>
              <w:pStyle w:val="2"/>
              <w:keepNext w:val="0"/>
              <w:keepLines w:val="0"/>
              <w:pageBreakBefore w:val="0"/>
              <w:widowControl w:val="0"/>
              <w:tabs>
                <w:tab w:val="left" w:pos="546"/>
                <w:tab w:val="left" w:pos="711"/>
              </w:tabs>
              <w:kinsoku/>
              <w:wordWrap w:val="0"/>
              <w:overflowPunct/>
              <w:topLinePunct w:val="0"/>
              <w:bidi w:val="0"/>
              <w:snapToGrid w:val="0"/>
              <w:spacing w:after="0" w:line="360" w:lineRule="auto"/>
              <w:ind w:firstLine="420" w:firstLineChars="200"/>
              <w:textAlignment w:val="auto"/>
              <w:rPr>
                <w:rFonts w:hint="eastAsia" w:ascii="宋体" w:hAnsi="宋体" w:eastAsia="宋体" w:cs="宋体"/>
                <w:i/>
                <w:sz w:val="21"/>
                <w:szCs w:val="21"/>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本工程招标将设置全部清单综</w:t>
            </w:r>
            <w:r>
              <w:rPr>
                <w:rFonts w:hint="eastAsia" w:ascii="宋体" w:hAnsi="宋体" w:eastAsia="宋体" w:cs="宋体"/>
                <w:color w:val="auto"/>
                <w:sz w:val="21"/>
                <w:szCs w:val="21"/>
                <w:highlight w:val="none"/>
                <w:lang w:val="en-US" w:eastAsia="zh-CN"/>
              </w:rPr>
              <w:t>合单价最高限价，全部清 单综合单价最高限价详见本次一起发布的限价清单内容，</w:t>
            </w:r>
            <w:r>
              <w:rPr>
                <w:rFonts w:hint="eastAsia" w:ascii="宋体" w:hAnsi="宋体" w:eastAsia="宋体" w:cs="宋体"/>
                <w:sz w:val="21"/>
                <w:szCs w:val="21"/>
              </w:rPr>
              <w:t>竞选人</w:t>
            </w:r>
            <w:r>
              <w:rPr>
                <w:rFonts w:hint="eastAsia" w:ascii="宋体" w:hAnsi="宋体" w:eastAsia="宋体" w:cs="宋体"/>
                <w:color w:val="auto"/>
                <w:sz w:val="21"/>
                <w:szCs w:val="21"/>
                <w:highlight w:val="none"/>
                <w:lang w:val="en-US" w:eastAsia="zh-CN"/>
              </w:rPr>
              <w:t>投标单价不得超过单价最高限价。</w:t>
            </w:r>
          </w:p>
          <w:p w14:paraId="5E508653">
            <w:pPr>
              <w:pStyle w:val="2"/>
              <w:keepNext w:val="0"/>
              <w:keepLines w:val="0"/>
              <w:pageBreakBefore w:val="0"/>
              <w:widowControl w:val="0"/>
              <w:kinsoku/>
              <w:wordWrap w:val="0"/>
              <w:overflowPunct/>
              <w:topLinePunct w:val="0"/>
              <w:bidi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9.安全文明施工费：</w:t>
            </w:r>
          </w:p>
          <w:p w14:paraId="438D49D0">
            <w:pPr>
              <w:pStyle w:val="2"/>
              <w:keepNext w:val="0"/>
              <w:keepLines w:val="0"/>
              <w:pageBreakBefore w:val="0"/>
              <w:widowControl w:val="0"/>
              <w:tabs>
                <w:tab w:val="left" w:pos="546"/>
                <w:tab w:val="left" w:pos="711"/>
              </w:tabs>
              <w:kinsoku/>
              <w:wordWrap w:val="0"/>
              <w:overflowPunct/>
              <w:topLinePunct w:val="0"/>
              <w:bidi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9.1根据</w:t>
            </w:r>
            <w:r>
              <w:rPr>
                <w:rFonts w:hint="eastAsia" w:ascii="宋体" w:hAnsi="宋体" w:eastAsia="宋体" w:cs="宋体"/>
                <w:sz w:val="21"/>
                <w:szCs w:val="21"/>
                <w:lang w:val="en-US" w:eastAsia="zh-CN"/>
              </w:rPr>
              <w:t>住房城乡建设行业主管部门相关</w:t>
            </w:r>
            <w:r>
              <w:rPr>
                <w:rFonts w:hint="eastAsia" w:ascii="宋体" w:hAnsi="宋体" w:eastAsia="宋体" w:cs="宋体"/>
                <w:sz w:val="21"/>
                <w:szCs w:val="21"/>
              </w:rPr>
              <w:t>规定，安全文明施工费由安全施工费、文明施工费、环境保护费及临时设施费组成。</w:t>
            </w:r>
          </w:p>
          <w:p w14:paraId="56628513">
            <w:pPr>
              <w:pStyle w:val="378"/>
              <w:keepNext w:val="0"/>
              <w:keepLines w:val="0"/>
              <w:pageBreakBefore w:val="0"/>
              <w:widowControl w:val="0"/>
              <w:kinsoku/>
              <w:wordWrap w:val="0"/>
              <w:overflowPunct/>
              <w:topLinePunct w:val="0"/>
              <w:bidi w:val="0"/>
              <w:spacing w:line="360" w:lineRule="auto"/>
              <w:ind w:firstLineChars="200"/>
              <w:textAlignment w:val="auto"/>
              <w:rPr>
                <w:rFonts w:hint="eastAsia" w:ascii="宋体" w:hAnsi="宋体" w:eastAsia="宋体" w:cs="宋体"/>
                <w:sz w:val="21"/>
                <w:szCs w:val="21"/>
              </w:rPr>
            </w:pPr>
            <w:r>
              <w:rPr>
                <w:rFonts w:hint="eastAsia" w:ascii="宋体" w:hAnsi="宋体" w:eastAsia="宋体" w:cs="宋体"/>
                <w:sz w:val="21"/>
                <w:szCs w:val="21"/>
              </w:rPr>
              <w:t>9.2本工程安全文明施工费由招标人根据住房城乡建设行业主管部门相关规定和费用标准单列计算，安全文明施工费为暂定金额，与最高限价一起公布。《投标函》中的安全文明施工费</w:t>
            </w:r>
            <w:r>
              <w:rPr>
                <w:rFonts w:hint="eastAsia" w:ascii="宋体" w:hAnsi="宋体" w:eastAsia="宋体" w:cs="宋体"/>
                <w:sz w:val="21"/>
                <w:szCs w:val="21"/>
                <w:lang w:val="en-US" w:eastAsia="zh-CN"/>
              </w:rPr>
              <w:t>金额或工程量清单中安全文明施工费的汇总金额未</w:t>
            </w:r>
            <w:r>
              <w:rPr>
                <w:rFonts w:hint="eastAsia" w:ascii="宋体" w:hAnsi="宋体" w:eastAsia="宋体" w:cs="宋体"/>
                <w:sz w:val="21"/>
                <w:szCs w:val="21"/>
              </w:rPr>
              <w:t>按照招标人给出的暂定金额填报</w:t>
            </w:r>
            <w:r>
              <w:rPr>
                <w:rFonts w:hint="eastAsia" w:ascii="宋体" w:hAnsi="宋体" w:eastAsia="宋体" w:cs="宋体"/>
                <w:sz w:val="21"/>
                <w:szCs w:val="21"/>
                <w:lang w:val="en-US" w:eastAsia="zh-CN"/>
              </w:rPr>
              <w:t>的</w:t>
            </w:r>
            <w:r>
              <w:rPr>
                <w:rFonts w:hint="eastAsia" w:ascii="宋体" w:hAnsi="宋体" w:eastAsia="宋体" w:cs="宋体"/>
                <w:sz w:val="21"/>
                <w:szCs w:val="21"/>
              </w:rPr>
              <w:t>，视为对招标文件不作实质性响应，其投标文件由评标委员会作否决投标处理。注：采用全费用清单计价的项目，安全文明施工费仅针对《投标函》中的安全文明施工费进行评审。</w:t>
            </w:r>
          </w:p>
          <w:p w14:paraId="71DC9546">
            <w:pPr>
              <w:keepNext w:val="0"/>
              <w:keepLines w:val="0"/>
              <w:pageBreakBefore w:val="0"/>
              <w:widowControl w:val="0"/>
              <w:tabs>
                <w:tab w:val="left" w:pos="546"/>
                <w:tab w:val="left" w:pos="711"/>
              </w:tabs>
              <w:kinsoku/>
              <w:wordWrap w:val="0"/>
              <w:overflowPunct/>
              <w:topLinePunct w:val="0"/>
              <w:bidi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10.本工程所需材料（含设备）价格由投标人参照工程造价管理机构发布的工程造价信息（造价信息引用时限为招标公告发布日期前一期），并结合市场行情及自身实力进行自主报价。</w:t>
            </w:r>
          </w:p>
          <w:p w14:paraId="54A6A11A">
            <w:pPr>
              <w:pStyle w:val="2"/>
              <w:keepNext w:val="0"/>
              <w:keepLines w:val="0"/>
              <w:pageBreakBefore w:val="0"/>
              <w:widowControl w:val="0"/>
              <w:tabs>
                <w:tab w:val="left" w:pos="546"/>
                <w:tab w:val="left" w:pos="711"/>
              </w:tabs>
              <w:kinsoku/>
              <w:wordWrap w:val="0"/>
              <w:overflowPunct/>
              <w:topLinePunct w:val="0"/>
              <w:bidi w:val="0"/>
              <w:snapToGrid w:val="0"/>
              <w:spacing w:after="0" w:line="360" w:lineRule="auto"/>
              <w:ind w:firstLine="420"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11.本项目建筑安装材料价格风险按照住房城乡建设行业主管部门相关</w:t>
            </w:r>
            <w:r>
              <w:rPr>
                <w:rFonts w:hint="eastAsia" w:ascii="宋体" w:hAnsi="宋体" w:eastAsia="宋体" w:cs="宋体"/>
                <w:sz w:val="21"/>
                <w:szCs w:val="21"/>
                <w:lang w:val="en-US" w:eastAsia="zh-CN"/>
              </w:rPr>
              <w:t>规定</w:t>
            </w:r>
            <w:r>
              <w:rPr>
                <w:rFonts w:hint="eastAsia" w:ascii="宋体" w:hAnsi="宋体" w:eastAsia="宋体" w:cs="宋体"/>
                <w:sz w:val="21"/>
                <w:szCs w:val="21"/>
              </w:rPr>
              <w:t>执行。本项目主要材料及设备价格风险内容、范围及调整方法为：</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详见合同</w:t>
            </w:r>
            <w:r>
              <w:rPr>
                <w:rFonts w:hint="eastAsia" w:ascii="宋体" w:hAnsi="宋体" w:eastAsia="宋体" w:cs="宋体"/>
                <w:sz w:val="21"/>
                <w:szCs w:val="21"/>
                <w:u w:val="single"/>
              </w:rPr>
              <w:t xml:space="preserve">   </w:t>
            </w:r>
          </w:p>
          <w:p w14:paraId="145D725A">
            <w:pPr>
              <w:pStyle w:val="2"/>
              <w:keepNext w:val="0"/>
              <w:keepLines w:val="0"/>
              <w:pageBreakBefore w:val="0"/>
              <w:widowControl w:val="0"/>
              <w:tabs>
                <w:tab w:val="left" w:pos="546"/>
                <w:tab w:val="left" w:pos="711"/>
              </w:tabs>
              <w:kinsoku/>
              <w:wordWrap w:val="0"/>
              <w:overflowPunct/>
              <w:topLinePunct w:val="0"/>
              <w:bidi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12.本项目所采用技术、工艺和产品等按照住房城乡建设行业主管部门相关</w:t>
            </w:r>
            <w:r>
              <w:rPr>
                <w:rFonts w:hint="eastAsia" w:ascii="宋体" w:hAnsi="宋体" w:eastAsia="宋体" w:cs="宋体"/>
                <w:sz w:val="21"/>
                <w:szCs w:val="21"/>
                <w:lang w:val="en-US" w:eastAsia="zh-CN"/>
              </w:rPr>
              <w:t>规定</w:t>
            </w:r>
            <w:r>
              <w:rPr>
                <w:rFonts w:hint="eastAsia" w:ascii="宋体" w:hAnsi="宋体" w:eastAsia="宋体" w:cs="宋体"/>
                <w:sz w:val="21"/>
                <w:szCs w:val="21"/>
              </w:rPr>
              <w:t>执行。</w:t>
            </w:r>
          </w:p>
          <w:p w14:paraId="02175CA0">
            <w:pPr>
              <w:pStyle w:val="2"/>
              <w:keepNext w:val="0"/>
              <w:keepLines w:val="0"/>
              <w:pageBreakBefore w:val="0"/>
              <w:widowControl w:val="0"/>
              <w:tabs>
                <w:tab w:val="left" w:pos="546"/>
                <w:tab w:val="left" w:pos="711"/>
              </w:tabs>
              <w:kinsoku/>
              <w:wordWrap w:val="0"/>
              <w:overflowPunct/>
              <w:topLinePunct w:val="0"/>
              <w:bidi w:val="0"/>
              <w:snapToGrid w:val="0"/>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13.本工程</w:t>
            </w:r>
            <w:r>
              <w:rPr>
                <w:rFonts w:hint="eastAsia" w:ascii="宋体" w:hAnsi="宋体" w:eastAsia="宋体" w:cs="宋体"/>
                <w:color w:val="000000" w:themeColor="text1"/>
                <w:sz w:val="21"/>
                <w:szCs w:val="21"/>
                <w14:textFill>
                  <w14:solidFill>
                    <w14:schemeClr w14:val="tx1"/>
                  </w14:solidFill>
                </w14:textFill>
              </w:rPr>
              <w:t>主体结构若需混凝土，则必须使用商品混凝土，不得自建搅拌站。</w:t>
            </w:r>
          </w:p>
          <w:p w14:paraId="665F3FB6">
            <w:pPr>
              <w:pStyle w:val="2"/>
              <w:keepNext w:val="0"/>
              <w:keepLines w:val="0"/>
              <w:pageBreakBefore w:val="0"/>
              <w:widowControl w:val="0"/>
              <w:tabs>
                <w:tab w:val="left" w:pos="546"/>
                <w:tab w:val="left" w:pos="711"/>
              </w:tabs>
              <w:kinsoku/>
              <w:wordWrap w:val="0"/>
              <w:overflowPunct/>
              <w:topLinePunct w:val="0"/>
              <w:bidi w:val="0"/>
              <w:snapToGrid w:val="0"/>
              <w:spacing w:after="0" w:line="360" w:lineRule="auto"/>
              <w:ind w:firstLine="420" w:firstLineChars="200"/>
              <w:textAlignment w:val="auto"/>
              <w:rPr>
                <w:rFonts w:hint="eastAsia"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14.异常低价警戒线。要求</w:t>
            </w:r>
            <w:r>
              <w:rPr>
                <w:rFonts w:hint="eastAsia" w:ascii="宋体" w:hAnsi="宋体" w:eastAsia="宋体" w:cs="宋体"/>
                <w:color w:val="000000" w:themeColor="text1"/>
                <w:sz w:val="21"/>
                <w:szCs w:val="21"/>
                <w:u w:val="none"/>
                <w:lang w:val="en-US" w:eastAsia="zh-CN"/>
                <w14:textFill>
                  <w14:solidFill>
                    <w14:schemeClr w14:val="tx1"/>
                  </w14:solidFill>
                </w14:textFill>
              </w:rPr>
              <w:t>投标总报价不低于异常低价警戒线：</w:t>
            </w:r>
            <w:r>
              <w:rPr>
                <w:rFonts w:hint="eastAsia" w:ascii="宋体" w:hAnsi="宋体" w:eastAsia="宋体" w:cs="宋体"/>
                <w:color w:val="000000" w:themeColor="text1"/>
                <w:sz w:val="21"/>
                <w:szCs w:val="21"/>
                <w:u w:val="single"/>
                <w:lang w:val="en-US" w:eastAsia="zh-CN"/>
                <w14:textFill>
                  <w14:solidFill>
                    <w14:schemeClr w14:val="tx1"/>
                  </w14:solidFill>
                </w14:textFill>
              </w:rPr>
              <w:t>595325.17元（最高限价的85%），否则需向发包人缴纳低价风险担保金</w:t>
            </w: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w:t>
            </w:r>
          </w:p>
          <w:p w14:paraId="5CA1669B">
            <w:pPr>
              <w:pStyle w:val="2"/>
              <w:keepNext w:val="0"/>
              <w:keepLines w:val="0"/>
              <w:pageBreakBefore w:val="0"/>
              <w:widowControl w:val="0"/>
              <w:tabs>
                <w:tab w:val="left" w:pos="546"/>
                <w:tab w:val="left" w:pos="711"/>
              </w:tabs>
              <w:kinsoku/>
              <w:wordWrap w:val="0"/>
              <w:overflowPunct/>
              <w:topLinePunct w:val="0"/>
              <w:bidi w:val="0"/>
              <w:snapToGrid w:val="0"/>
              <w:spacing w:after="0" w:line="360" w:lineRule="auto"/>
              <w:ind w:firstLine="420" w:firstLineChars="200"/>
              <w:textAlignment w:val="auto"/>
              <w:rPr>
                <w:rFonts w:hint="eastAsia" w:ascii="宋体" w:hAnsi="宋体" w:eastAsia="宋体" w:cs="宋体"/>
                <w:i w:val="0"/>
                <w:iCs w:val="0"/>
                <w:sz w:val="21"/>
                <w:szCs w:val="21"/>
                <w:u w:val="none"/>
                <w:lang w:val="en-US" w:eastAsia="zh-CN"/>
              </w:rPr>
            </w:pPr>
            <w:r>
              <w:rPr>
                <w:rFonts w:hint="eastAsia" w:ascii="宋体" w:hAnsi="宋体" w:eastAsia="宋体" w:cs="宋体"/>
                <w:color w:val="000000" w:themeColor="text1"/>
                <w:sz w:val="21"/>
                <w:szCs w:val="21"/>
                <w14:textFill>
                  <w14:solidFill>
                    <w14:schemeClr w14:val="tx1"/>
                  </w14:solidFill>
                </w14:textFill>
              </w:rPr>
              <w:t>竞选人</w:t>
            </w: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投标总报价或者部分单项报价低于比选文件规定的对应的异常低价警戒线的，应提供报价合理性说</w:t>
            </w:r>
            <w:r>
              <w:rPr>
                <w:rFonts w:hint="eastAsia" w:ascii="宋体" w:hAnsi="宋体" w:eastAsia="宋体" w:cs="宋体"/>
                <w:i w:val="0"/>
                <w:iCs w:val="0"/>
                <w:sz w:val="21"/>
                <w:szCs w:val="21"/>
                <w:u w:val="none"/>
                <w:lang w:val="en-US" w:eastAsia="zh-CN"/>
              </w:rPr>
              <w:t>明，</w:t>
            </w:r>
            <w:r>
              <w:rPr>
                <w:rFonts w:hint="eastAsia" w:ascii="宋体" w:hAnsi="宋体" w:eastAsia="宋体" w:cs="宋体"/>
                <w:sz w:val="21"/>
                <w:szCs w:val="21"/>
              </w:rPr>
              <w:t>并提供必要的证明材料</w:t>
            </w:r>
            <w:r>
              <w:rPr>
                <w:rFonts w:hint="eastAsia" w:ascii="宋体" w:hAnsi="宋体" w:eastAsia="宋体" w:cs="宋体"/>
                <w:i w:val="0"/>
                <w:iCs w:val="0"/>
                <w:sz w:val="21"/>
                <w:szCs w:val="21"/>
                <w:u w:val="none"/>
                <w:lang w:val="en-US" w:eastAsia="zh-CN"/>
              </w:rPr>
              <w:t>。</w:t>
            </w:r>
            <w:r>
              <w:rPr>
                <w:rFonts w:hint="eastAsia" w:ascii="宋体" w:hAnsi="宋体" w:eastAsia="宋体" w:cs="宋体"/>
                <w:sz w:val="21"/>
                <w:szCs w:val="21"/>
              </w:rPr>
              <w:t>竞选人</w:t>
            </w:r>
            <w:r>
              <w:rPr>
                <w:rFonts w:hint="eastAsia" w:ascii="宋体" w:hAnsi="宋体" w:eastAsia="宋体" w:cs="宋体"/>
                <w:i w:val="0"/>
                <w:iCs w:val="0"/>
                <w:sz w:val="21"/>
                <w:szCs w:val="21"/>
                <w:u w:val="none"/>
                <w:lang w:val="en-US" w:eastAsia="zh-CN"/>
              </w:rPr>
              <w:t>提供的说明不得降低或者改变原设计方案、技术工艺、施工标准，不得影响项目的质量、安全、工期、结算等正常履约。</w:t>
            </w:r>
          </w:p>
          <w:p w14:paraId="30CF5003">
            <w:pPr>
              <w:pStyle w:val="2"/>
              <w:keepNext w:val="0"/>
              <w:keepLines w:val="0"/>
              <w:pageBreakBefore w:val="0"/>
              <w:widowControl w:val="0"/>
              <w:tabs>
                <w:tab w:val="left" w:pos="546"/>
                <w:tab w:val="left" w:pos="711"/>
              </w:tabs>
              <w:kinsoku/>
              <w:wordWrap w:val="0"/>
              <w:overflowPunct/>
              <w:topLinePunct w:val="0"/>
              <w:bidi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竞选人</w:t>
            </w:r>
            <w:r>
              <w:rPr>
                <w:rFonts w:hint="eastAsia" w:ascii="宋体" w:hAnsi="宋体" w:eastAsia="宋体" w:cs="宋体"/>
                <w:i w:val="0"/>
                <w:iCs w:val="0"/>
                <w:sz w:val="21"/>
                <w:szCs w:val="21"/>
                <w:u w:val="none"/>
                <w:lang w:val="en-US" w:eastAsia="zh-CN"/>
              </w:rPr>
              <w:t>投标总报价或者部分单项报价</w:t>
            </w:r>
            <w:r>
              <w:rPr>
                <w:rFonts w:hint="eastAsia" w:ascii="宋体" w:hAnsi="宋体" w:eastAsia="宋体" w:cs="宋体"/>
                <w:sz w:val="21"/>
                <w:szCs w:val="21"/>
              </w:rPr>
              <w:t>低于</w:t>
            </w:r>
            <w:r>
              <w:rPr>
                <w:rFonts w:hint="eastAsia" w:ascii="宋体" w:hAnsi="宋体" w:eastAsia="宋体" w:cs="宋体"/>
                <w:sz w:val="21"/>
                <w:szCs w:val="21"/>
                <w:lang w:val="en-US" w:eastAsia="zh-CN"/>
              </w:rPr>
              <w:t>比选</w:t>
            </w:r>
            <w:r>
              <w:rPr>
                <w:rFonts w:hint="eastAsia" w:ascii="宋体" w:hAnsi="宋体" w:eastAsia="宋体" w:cs="宋体"/>
                <w:sz w:val="21"/>
                <w:szCs w:val="21"/>
              </w:rPr>
              <w:t>文件</w:t>
            </w:r>
            <w:r>
              <w:rPr>
                <w:rFonts w:hint="eastAsia" w:ascii="宋体" w:hAnsi="宋体" w:eastAsia="宋体" w:cs="宋体"/>
                <w:i w:val="0"/>
                <w:iCs w:val="0"/>
                <w:sz w:val="21"/>
                <w:szCs w:val="21"/>
                <w:u w:val="none"/>
                <w:lang w:val="en-US" w:eastAsia="zh-CN"/>
              </w:rPr>
              <w:t>规定的对应的异常低价警戒线的</w:t>
            </w:r>
            <w:r>
              <w:rPr>
                <w:rFonts w:hint="eastAsia" w:ascii="宋体" w:hAnsi="宋体" w:eastAsia="宋体" w:cs="宋体"/>
                <w:sz w:val="21"/>
                <w:szCs w:val="21"/>
              </w:rPr>
              <w:t>，竞选人未提供</w:t>
            </w:r>
            <w:r>
              <w:rPr>
                <w:rFonts w:hint="eastAsia" w:ascii="宋体" w:hAnsi="宋体" w:eastAsia="宋体" w:cs="宋体"/>
                <w:sz w:val="21"/>
                <w:szCs w:val="21"/>
                <w:lang w:val="en-US" w:eastAsia="zh-CN"/>
              </w:rPr>
              <w:t>报价合理性</w:t>
            </w:r>
            <w:r>
              <w:rPr>
                <w:rFonts w:hint="eastAsia" w:ascii="宋体" w:hAnsi="宋体" w:eastAsia="宋体" w:cs="宋体"/>
                <w:sz w:val="21"/>
                <w:szCs w:val="21"/>
              </w:rPr>
              <w:t>说明或者提供的说明不能证明其报价合理性的，由评标委员会作否决投标处理。</w:t>
            </w:r>
          </w:p>
          <w:p w14:paraId="42B377AF">
            <w:pPr>
              <w:pStyle w:val="2"/>
              <w:keepNext w:val="0"/>
              <w:keepLines w:val="0"/>
              <w:pageBreakBefore w:val="0"/>
              <w:widowControl w:val="0"/>
              <w:tabs>
                <w:tab w:val="left" w:pos="546"/>
                <w:tab w:val="left" w:pos="711"/>
              </w:tabs>
              <w:kinsoku/>
              <w:wordWrap w:val="0"/>
              <w:overflowPunct/>
              <w:topLinePunct w:val="0"/>
              <w:bidi w:val="0"/>
              <w:snapToGrid w:val="0"/>
              <w:spacing w:after="0"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15.</w:t>
            </w:r>
            <w:r>
              <w:rPr>
                <w:rFonts w:hint="eastAsia" w:ascii="宋体" w:hAnsi="宋体" w:eastAsia="宋体" w:cs="宋体"/>
                <w:sz w:val="21"/>
                <w:szCs w:val="21"/>
              </w:rPr>
              <w:t>竞选人</w:t>
            </w:r>
            <w:r>
              <w:rPr>
                <w:rFonts w:hint="eastAsia" w:ascii="宋体" w:hAnsi="宋体" w:eastAsia="宋体" w:cs="宋体"/>
                <w:kern w:val="0"/>
                <w:sz w:val="21"/>
                <w:szCs w:val="21"/>
                <w:u w:val="none"/>
              </w:rPr>
              <w:t>的</w:t>
            </w:r>
            <w:r>
              <w:rPr>
                <w:rFonts w:hint="eastAsia" w:ascii="宋体" w:hAnsi="宋体" w:eastAsia="宋体" w:cs="宋体"/>
                <w:kern w:val="0"/>
                <w:sz w:val="21"/>
                <w:szCs w:val="21"/>
                <w:u w:val="none"/>
                <w:lang w:val="en-US" w:eastAsia="zh-CN"/>
              </w:rPr>
              <w:t>工程量清单单项报价</w:t>
            </w:r>
            <w:r>
              <w:rPr>
                <w:rFonts w:hint="eastAsia" w:ascii="宋体" w:hAnsi="宋体" w:eastAsia="宋体" w:cs="宋体"/>
                <w:kern w:val="0"/>
                <w:sz w:val="21"/>
                <w:szCs w:val="21"/>
                <w:u w:val="none"/>
              </w:rPr>
              <w:t>不得</w:t>
            </w:r>
            <w:r>
              <w:rPr>
                <w:rFonts w:hint="eastAsia" w:ascii="宋体" w:hAnsi="宋体" w:eastAsia="宋体" w:cs="宋体"/>
                <w:kern w:val="0"/>
                <w:sz w:val="21"/>
                <w:szCs w:val="21"/>
                <w:u w:val="none"/>
                <w:lang w:val="en-US" w:eastAsia="zh-CN"/>
              </w:rPr>
              <w:t>为零报价（招标人提供的工程量清单单项最高限价中金额为零的除外）或者负数报价，否则</w:t>
            </w:r>
            <w:r>
              <w:rPr>
                <w:rFonts w:hint="eastAsia" w:ascii="宋体" w:hAnsi="宋体" w:eastAsia="宋体" w:cs="宋体"/>
                <w:sz w:val="21"/>
                <w:szCs w:val="21"/>
              </w:rPr>
              <w:t>由评标委员会作否决投标处理</w:t>
            </w:r>
            <w:r>
              <w:rPr>
                <w:rFonts w:hint="eastAsia" w:ascii="宋体" w:hAnsi="宋体" w:eastAsia="宋体" w:cs="宋体"/>
                <w:sz w:val="21"/>
                <w:szCs w:val="21"/>
                <w:lang w:eastAsia="zh-CN"/>
              </w:rPr>
              <w:t>。</w:t>
            </w:r>
          </w:p>
          <w:p w14:paraId="6D88B4DB">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竞选人在发出中标通知书前将对中标人的各项报价进行复核，若发现中标人各项报价中存在</w:t>
            </w:r>
            <w:r>
              <w:rPr>
                <w:rFonts w:hint="eastAsia" w:ascii="宋体" w:hAnsi="宋体" w:eastAsia="宋体" w:cs="宋体"/>
                <w:sz w:val="21"/>
                <w:szCs w:val="21"/>
                <w:lang w:val="en-US" w:eastAsia="zh-CN"/>
              </w:rPr>
              <w:t>零报价或</w:t>
            </w:r>
            <w:r>
              <w:rPr>
                <w:rFonts w:hint="eastAsia" w:ascii="宋体" w:hAnsi="宋体" w:eastAsia="宋体" w:cs="宋体"/>
                <w:sz w:val="21"/>
                <w:szCs w:val="21"/>
              </w:rPr>
              <w:t>负数报价的情形，招标人按相关规定取消其中标资格，其投标保证金不予退还，中标人承担因此造成的相关责任并赔偿相应损失。</w:t>
            </w:r>
          </w:p>
        </w:tc>
      </w:tr>
      <w:tr w14:paraId="0A8F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38316726">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19</w:t>
            </w:r>
          </w:p>
        </w:tc>
        <w:tc>
          <w:tcPr>
            <w:tcW w:w="831" w:type="pct"/>
            <w:noWrap w:val="0"/>
            <w:vAlign w:val="center"/>
          </w:tcPr>
          <w:p w14:paraId="0B6FC298">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竞选有效期</w:t>
            </w:r>
          </w:p>
        </w:tc>
        <w:tc>
          <w:tcPr>
            <w:tcW w:w="3583" w:type="pct"/>
            <w:noWrap w:val="0"/>
            <w:vAlign w:val="center"/>
          </w:tcPr>
          <w:p w14:paraId="2665CAEC">
            <w:pPr>
              <w:keepNext w:val="0"/>
              <w:keepLines w:val="0"/>
              <w:pageBreakBefore w:val="0"/>
              <w:widowControl w:val="0"/>
              <w:kinsoku/>
              <w:wordWrap w:val="0"/>
              <w:overflowPunct/>
              <w:topLinePunct w:val="0"/>
              <w:bidi w:val="0"/>
              <w:snapToGrid w:val="0"/>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u w:val="single"/>
              </w:rPr>
              <w:t>90</w:t>
            </w:r>
            <w:r>
              <w:rPr>
                <w:rFonts w:hint="eastAsia" w:ascii="宋体" w:hAnsi="宋体" w:eastAsia="宋体" w:cs="宋体"/>
                <w:sz w:val="21"/>
                <w:szCs w:val="21"/>
              </w:rPr>
              <w:t>日历天（从提交竞选文件截止日起计算）</w:t>
            </w:r>
          </w:p>
        </w:tc>
      </w:tr>
      <w:tr w14:paraId="3484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5" w:hRule="atLeast"/>
          <w:jc w:val="center"/>
        </w:trPr>
        <w:tc>
          <w:tcPr>
            <w:tcW w:w="585" w:type="pct"/>
            <w:noWrap w:val="0"/>
            <w:vAlign w:val="center"/>
          </w:tcPr>
          <w:p w14:paraId="5FA1544E">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20</w:t>
            </w:r>
          </w:p>
        </w:tc>
        <w:tc>
          <w:tcPr>
            <w:tcW w:w="831" w:type="pct"/>
            <w:noWrap w:val="0"/>
            <w:vAlign w:val="center"/>
          </w:tcPr>
          <w:p w14:paraId="6B3F4FAF">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竞选保证金</w:t>
            </w:r>
          </w:p>
        </w:tc>
        <w:tc>
          <w:tcPr>
            <w:tcW w:w="3583" w:type="pct"/>
            <w:noWrap w:val="0"/>
            <w:vAlign w:val="center"/>
          </w:tcPr>
          <w:p w14:paraId="0780F528">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投标保证金的缴纳</w:t>
            </w:r>
            <w:r>
              <w:rPr>
                <w:rFonts w:hint="eastAsia" w:ascii="宋体" w:hAnsi="宋体" w:eastAsia="宋体" w:cs="宋体"/>
                <w:b w:val="0"/>
                <w:bCs w:val="0"/>
                <w:color w:val="auto"/>
                <w:kern w:val="0"/>
                <w:sz w:val="21"/>
                <w:szCs w:val="21"/>
                <w:highlight w:val="none"/>
                <w:lang w:val="en-US" w:eastAsia="zh-CN"/>
              </w:rPr>
              <w:t>和退还：</w:t>
            </w:r>
          </w:p>
          <w:p w14:paraId="126F2681">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（一）投标保证金缴纳方式</w:t>
            </w:r>
          </w:p>
          <w:p w14:paraId="138D2867">
            <w:pPr>
              <w:keepNext w:val="0"/>
              <w:keepLines w:val="0"/>
              <w:pageBreakBefore w:val="0"/>
              <w:widowControl w:val="0"/>
              <w:shd w:val="clear" w:color="auto" w:fill="auto"/>
              <w:kinsoku/>
              <w:wordWrap w:val="0"/>
              <w:overflowPunct/>
              <w:topLinePunct w:val="0"/>
              <w:bidi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w:t>
            </w:r>
            <w:r>
              <w:rPr>
                <w:rFonts w:hint="eastAsia" w:ascii="宋体" w:hAnsi="宋体" w:eastAsia="宋体" w:cs="宋体"/>
                <w:b/>
                <w:bCs/>
                <w:color w:val="auto"/>
                <w:sz w:val="21"/>
                <w:szCs w:val="21"/>
                <w:highlight w:val="none"/>
              </w:rPr>
              <w:t>保证金为人民币</w:t>
            </w:r>
            <w:r>
              <w:rPr>
                <w:rFonts w:hint="eastAsia" w:ascii="宋体" w:hAnsi="宋体" w:eastAsia="宋体" w:cs="宋体"/>
                <w:b/>
                <w:bCs/>
                <w:color w:val="auto"/>
                <w:sz w:val="21"/>
                <w:szCs w:val="21"/>
                <w:highlight w:val="none"/>
                <w:lang w:val="en-US" w:eastAsia="zh-CN"/>
              </w:rPr>
              <w:t>10000.00</w:t>
            </w:r>
            <w:r>
              <w:rPr>
                <w:rFonts w:hint="eastAsia" w:ascii="宋体" w:hAnsi="宋体" w:eastAsia="宋体" w:cs="宋体"/>
                <w:b/>
                <w:bCs/>
                <w:color w:val="auto"/>
                <w:sz w:val="21"/>
                <w:szCs w:val="21"/>
                <w:highlight w:val="none"/>
              </w:rPr>
              <w:t>元（大写：</w:t>
            </w:r>
            <w:r>
              <w:rPr>
                <w:rFonts w:hint="eastAsia" w:ascii="宋体" w:hAnsi="宋体" w:eastAsia="宋体" w:cs="宋体"/>
                <w:b/>
                <w:bCs/>
                <w:color w:val="auto"/>
                <w:sz w:val="21"/>
                <w:szCs w:val="21"/>
                <w:highlight w:val="none"/>
                <w:lang w:val="en-US" w:eastAsia="zh-CN"/>
              </w:rPr>
              <w:t>壹万元整</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，投标人以银行转账（电汇提交（需注明XX单位XX项目</w:t>
            </w:r>
            <w:r>
              <w:rPr>
                <w:rFonts w:hint="eastAsia" w:ascii="宋体" w:hAnsi="宋体" w:eastAsia="宋体" w:cs="宋体"/>
                <w:color w:val="auto"/>
                <w:sz w:val="21"/>
                <w:szCs w:val="21"/>
                <w:highlight w:val="none"/>
                <w:lang w:eastAsia="zh-CN"/>
              </w:rPr>
              <w:t>保证金</w:t>
            </w:r>
            <w:r>
              <w:rPr>
                <w:rFonts w:hint="eastAsia" w:ascii="宋体" w:hAnsi="宋体" w:eastAsia="宋体" w:cs="宋体"/>
                <w:color w:val="auto"/>
                <w:sz w:val="21"/>
                <w:szCs w:val="21"/>
                <w:highlight w:val="none"/>
              </w:rPr>
              <w:t>）。投标人应足额交纳保证金，并从</w:t>
            </w:r>
            <w:r>
              <w:rPr>
                <w:rFonts w:hint="eastAsia" w:ascii="宋体" w:hAnsi="宋体" w:eastAsia="宋体" w:cs="宋体"/>
                <w:b/>
                <w:bCs/>
                <w:color w:val="auto"/>
                <w:sz w:val="21"/>
                <w:szCs w:val="21"/>
                <w:highlight w:val="none"/>
              </w:rPr>
              <w:t>基本</w:t>
            </w:r>
            <w:r>
              <w:rPr>
                <w:rFonts w:hint="eastAsia" w:ascii="宋体" w:hAnsi="宋体" w:eastAsia="宋体" w:cs="宋体"/>
                <w:b/>
                <w:bCs/>
                <w:color w:val="auto"/>
                <w:sz w:val="21"/>
                <w:szCs w:val="21"/>
                <w:highlight w:val="none"/>
                <w:lang w:eastAsia="zh-CN"/>
              </w:rPr>
              <w:t>账</w:t>
            </w:r>
            <w:r>
              <w:rPr>
                <w:rFonts w:hint="eastAsia" w:ascii="宋体" w:hAnsi="宋体" w:eastAsia="宋体" w:cs="宋体"/>
                <w:b/>
                <w:bCs/>
                <w:color w:val="auto"/>
                <w:sz w:val="21"/>
                <w:szCs w:val="21"/>
                <w:highlight w:val="none"/>
              </w:rPr>
              <w:t>户</w:t>
            </w:r>
            <w:r>
              <w:rPr>
                <w:rFonts w:hint="eastAsia" w:ascii="宋体" w:hAnsi="宋体" w:eastAsia="宋体" w:cs="宋体"/>
                <w:color w:val="auto"/>
                <w:sz w:val="21"/>
                <w:szCs w:val="21"/>
                <w:highlight w:val="none"/>
              </w:rPr>
              <w:t>汇至以下账户。保证金的到账截止时间同投标截止时间。</w:t>
            </w:r>
          </w:p>
          <w:tbl>
            <w:tblPr>
              <w:tblStyle w:val="46"/>
              <w:tblW w:w="6050" w:type="dxa"/>
              <w:tblInd w:w="0" w:type="dxa"/>
              <w:tblLayout w:type="autofit"/>
              <w:tblCellMar>
                <w:top w:w="0" w:type="dxa"/>
                <w:left w:w="0" w:type="dxa"/>
                <w:bottom w:w="0" w:type="dxa"/>
                <w:right w:w="0" w:type="dxa"/>
              </w:tblCellMar>
            </w:tblPr>
            <w:tblGrid>
              <w:gridCol w:w="1541"/>
              <w:gridCol w:w="4509"/>
            </w:tblGrid>
            <w:tr w14:paraId="29D55755">
              <w:tblPrEx>
                <w:tblCellMar>
                  <w:top w:w="0" w:type="dxa"/>
                  <w:left w:w="0" w:type="dxa"/>
                  <w:bottom w:w="0" w:type="dxa"/>
                  <w:right w:w="0" w:type="dxa"/>
                </w:tblCellMar>
              </w:tblPrEx>
              <w:trPr>
                <w:trHeight w:val="492" w:hRule="exact"/>
              </w:trPr>
              <w:tc>
                <w:tcPr>
                  <w:tcW w:w="1273" w:type="pct"/>
                  <w:tcBorders>
                    <w:top w:val="single" w:color="696969" w:sz="4" w:space="0"/>
                    <w:left w:val="single" w:color="696969" w:sz="4" w:space="0"/>
                    <w:bottom w:val="single" w:color="auto" w:sz="4" w:space="0"/>
                    <w:right w:val="single" w:color="696969" w:sz="4" w:space="0"/>
                  </w:tcBorders>
                  <w:noWrap w:val="0"/>
                  <w:vAlign w:val="center"/>
                </w:tcPr>
                <w:p w14:paraId="1C516D4D">
                  <w:pPr>
                    <w:keepNext w:val="0"/>
                    <w:keepLines w:val="0"/>
                    <w:pageBreakBefore w:val="0"/>
                    <w:widowControl w:val="0"/>
                    <w:shd w:val="clear" w:color="auto" w:fill="auto"/>
                    <w:kinsoku/>
                    <w:wordWrap w:val="0"/>
                    <w:overflowPunct/>
                    <w:topLinePunct w:val="0"/>
                    <w:bidi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w:t>
                  </w:r>
                </w:p>
              </w:tc>
              <w:tc>
                <w:tcPr>
                  <w:tcW w:w="3726" w:type="pct"/>
                  <w:tcBorders>
                    <w:top w:val="single" w:color="696969" w:sz="4" w:space="0"/>
                    <w:left w:val="single" w:color="696969" w:sz="4" w:space="0"/>
                    <w:bottom w:val="single" w:color="696969" w:sz="4" w:space="0"/>
                    <w:right w:val="single" w:color="696969" w:sz="4" w:space="0"/>
                  </w:tcBorders>
                  <w:noWrap w:val="0"/>
                  <w:vAlign w:val="center"/>
                </w:tcPr>
                <w:p w14:paraId="6324CEF3">
                  <w:pPr>
                    <w:keepNext w:val="0"/>
                    <w:keepLines w:val="0"/>
                    <w:pageBreakBefore w:val="0"/>
                    <w:widowControl w:val="0"/>
                    <w:shd w:val="clear" w:color="auto" w:fill="auto"/>
                    <w:kinsoku/>
                    <w:wordWrap w:val="0"/>
                    <w:overflowPunct/>
                    <w:topLinePunct w:val="0"/>
                    <w:bidi w:val="0"/>
                    <w:snapToGrid w:val="0"/>
                    <w:spacing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color w:val="auto"/>
                      <w:sz w:val="21"/>
                      <w:szCs w:val="21"/>
                      <w:highlight w:val="none"/>
                      <w:lang w:val="en-US" w:eastAsia="zh-CN"/>
                    </w:rPr>
                    <w:t>垫江县周嘉镇勤劳村集体经济组织</w:t>
                  </w:r>
                </w:p>
              </w:tc>
            </w:tr>
            <w:tr w14:paraId="204368C4">
              <w:tblPrEx>
                <w:tblCellMar>
                  <w:top w:w="0" w:type="dxa"/>
                  <w:left w:w="0" w:type="dxa"/>
                  <w:bottom w:w="0" w:type="dxa"/>
                  <w:right w:w="0" w:type="dxa"/>
                </w:tblCellMar>
              </w:tblPrEx>
              <w:trPr>
                <w:trHeight w:val="546" w:hRule="exact"/>
              </w:trPr>
              <w:tc>
                <w:tcPr>
                  <w:tcW w:w="1273" w:type="pct"/>
                  <w:tcBorders>
                    <w:top w:val="single" w:color="auto" w:sz="4" w:space="0"/>
                    <w:left w:val="single" w:color="696969" w:sz="4" w:space="0"/>
                    <w:bottom w:val="single" w:color="696969" w:sz="4" w:space="0"/>
                    <w:right w:val="single" w:color="696969" w:sz="4" w:space="0"/>
                  </w:tcBorders>
                  <w:noWrap w:val="0"/>
                  <w:vAlign w:val="center"/>
                </w:tcPr>
                <w:p w14:paraId="3C317127">
                  <w:pPr>
                    <w:keepNext w:val="0"/>
                    <w:keepLines w:val="0"/>
                    <w:pageBreakBefore w:val="0"/>
                    <w:widowControl w:val="0"/>
                    <w:shd w:val="clear" w:color="auto" w:fill="auto"/>
                    <w:kinsoku/>
                    <w:wordWrap w:val="0"/>
                    <w:overflowPunct/>
                    <w:topLinePunct w:val="0"/>
                    <w:bidi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p>
              </w:tc>
              <w:tc>
                <w:tcPr>
                  <w:tcW w:w="3726" w:type="pct"/>
                  <w:tcBorders>
                    <w:top w:val="single" w:color="696969" w:sz="4" w:space="0"/>
                    <w:left w:val="single" w:color="696969" w:sz="4" w:space="0"/>
                    <w:bottom w:val="single" w:color="696969" w:sz="4" w:space="0"/>
                    <w:right w:val="single" w:color="696969" w:sz="4" w:space="0"/>
                  </w:tcBorders>
                  <w:noWrap w:val="0"/>
                  <w:vAlign w:val="center"/>
                </w:tcPr>
                <w:p w14:paraId="4C8C0B89">
                  <w:pPr>
                    <w:keepNext w:val="0"/>
                    <w:keepLines w:val="0"/>
                    <w:pageBreakBefore w:val="0"/>
                    <w:widowControl w:val="0"/>
                    <w:shd w:val="clear" w:color="auto" w:fill="auto"/>
                    <w:kinsoku/>
                    <w:wordWrap w:val="0"/>
                    <w:overflowPunct/>
                    <w:topLinePunct w:val="0"/>
                    <w:bidi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重庆农村商业银行垫江支行周嘉分理处</w:t>
                  </w:r>
                </w:p>
              </w:tc>
            </w:tr>
            <w:tr w14:paraId="11676AE1">
              <w:tblPrEx>
                <w:tblCellMar>
                  <w:top w:w="0" w:type="dxa"/>
                  <w:left w:w="0" w:type="dxa"/>
                  <w:bottom w:w="0" w:type="dxa"/>
                  <w:right w:w="0" w:type="dxa"/>
                </w:tblCellMar>
              </w:tblPrEx>
              <w:trPr>
                <w:trHeight w:val="543" w:hRule="exact"/>
              </w:trPr>
              <w:tc>
                <w:tcPr>
                  <w:tcW w:w="1273" w:type="pct"/>
                  <w:tcBorders>
                    <w:top w:val="single" w:color="696969" w:sz="4" w:space="0"/>
                    <w:left w:val="single" w:color="696969" w:sz="4" w:space="0"/>
                    <w:bottom w:val="single" w:color="696969" w:sz="4" w:space="0"/>
                    <w:right w:val="single" w:color="696969" w:sz="4" w:space="0"/>
                  </w:tcBorders>
                  <w:noWrap w:val="0"/>
                  <w:vAlign w:val="center"/>
                </w:tcPr>
                <w:p w14:paraId="52545A68">
                  <w:pPr>
                    <w:keepNext w:val="0"/>
                    <w:keepLines w:val="0"/>
                    <w:pageBreakBefore w:val="0"/>
                    <w:widowControl w:val="0"/>
                    <w:shd w:val="clear" w:color="auto" w:fill="auto"/>
                    <w:kinsoku/>
                    <w:wordWrap w:val="0"/>
                    <w:overflowPunct/>
                    <w:topLinePunct w:val="0"/>
                    <w:bidi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w:t>
                  </w:r>
                </w:p>
              </w:tc>
              <w:tc>
                <w:tcPr>
                  <w:tcW w:w="3726" w:type="pct"/>
                  <w:tcBorders>
                    <w:top w:val="single" w:color="696969" w:sz="4" w:space="0"/>
                    <w:left w:val="single" w:color="696969" w:sz="4" w:space="0"/>
                    <w:bottom w:val="single" w:color="696969" w:sz="4" w:space="0"/>
                    <w:right w:val="single" w:color="696969" w:sz="4" w:space="0"/>
                  </w:tcBorders>
                  <w:noWrap w:val="0"/>
                  <w:vAlign w:val="center"/>
                </w:tcPr>
                <w:p w14:paraId="4E21E9CD">
                  <w:pPr>
                    <w:keepNext w:val="0"/>
                    <w:keepLines w:val="0"/>
                    <w:pageBreakBefore w:val="0"/>
                    <w:widowControl w:val="0"/>
                    <w:shd w:val="clear" w:color="auto" w:fill="auto"/>
                    <w:kinsoku/>
                    <w:wordWrap w:val="0"/>
                    <w:overflowPunct/>
                    <w:topLinePunct w:val="0"/>
                    <w:bidi w:val="0"/>
                    <w:snapToGrid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2504010120010002932</w:t>
                  </w:r>
                </w:p>
              </w:tc>
            </w:tr>
          </w:tbl>
          <w:p w14:paraId="7F15FF8A">
            <w:pPr>
              <w:keepNext w:val="0"/>
              <w:keepLines w:val="0"/>
              <w:pageBreakBefore w:val="0"/>
              <w:widowControl w:val="0"/>
              <w:shd w:val="clear" w:color="auto" w:fill="auto"/>
              <w:kinsoku/>
              <w:wordWrap w:val="0"/>
              <w:overflowPunct/>
              <w:topLinePunct w:val="0"/>
              <w:bidi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各投标人在银行转账（电汇）时，须充分考虑银行转账（电汇）的时间差风险，如同城转账、异地转账或汇款、跨行转账或电汇的时间要求;请投标人使用网银及柜台转账方式缴纳保证金，本项目不接受柜台现金存款，结算卡、刷POS机及通过第三方支付平台缴纳保证金（如：微信支付、支付宝支付等方式），如果由于投标人未按照以上约定方式缴纳保证金导致投标无效和无法退还保证金等后果由投标人自行承担。</w:t>
            </w:r>
          </w:p>
          <w:p w14:paraId="7040FA7A">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2.超过投标截止时间提交保证金的投标人，将视为无效，其造成的一切后果自负。</w:t>
            </w:r>
          </w:p>
          <w:p w14:paraId="3FC326B3">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（二）保证金退还方式</w:t>
            </w:r>
          </w:p>
          <w:p w14:paraId="6866998B">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1.未中标的所有投标人交纳的保证金，由比选</w:t>
            </w:r>
            <w:r>
              <w:rPr>
                <w:rFonts w:hint="eastAsia" w:ascii="宋体" w:hAnsi="宋体" w:eastAsia="宋体" w:cs="宋体"/>
                <w:color w:val="auto"/>
                <w:sz w:val="21"/>
                <w:szCs w:val="21"/>
                <w:highlight w:val="none"/>
                <w:lang w:val="en-US" w:eastAsia="zh-CN"/>
              </w:rPr>
              <w:t>人</w:t>
            </w:r>
            <w:r>
              <w:rPr>
                <w:rFonts w:hint="eastAsia" w:ascii="宋体" w:hAnsi="宋体" w:eastAsia="宋体" w:cs="宋体"/>
                <w:color w:val="auto"/>
                <w:sz w:val="21"/>
                <w:szCs w:val="21"/>
                <w:highlight w:val="none"/>
              </w:rPr>
              <w:t>于本项目《中标通知书》发出后5日内全额退还。</w:t>
            </w:r>
          </w:p>
          <w:p w14:paraId="32861ADB">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2.本项目中标人交纳的保证金，在其与比选人签订项目合同后，由比选</w:t>
            </w:r>
            <w:r>
              <w:rPr>
                <w:rFonts w:hint="eastAsia" w:ascii="宋体" w:hAnsi="宋体" w:eastAsia="宋体" w:cs="宋体"/>
                <w:color w:val="auto"/>
                <w:sz w:val="21"/>
                <w:szCs w:val="21"/>
                <w:highlight w:val="none"/>
                <w:lang w:eastAsia="zh-CN"/>
              </w:rPr>
              <w:t>人</w:t>
            </w:r>
            <w:r>
              <w:rPr>
                <w:rFonts w:hint="eastAsia" w:ascii="宋体" w:hAnsi="宋体" w:eastAsia="宋体" w:cs="宋体"/>
                <w:color w:val="auto"/>
                <w:sz w:val="21"/>
                <w:szCs w:val="21"/>
                <w:highlight w:val="none"/>
              </w:rPr>
              <w:t>在5日内全额退还。</w:t>
            </w:r>
          </w:p>
        </w:tc>
      </w:tr>
      <w:tr w14:paraId="1A7B7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77C90457">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21</w:t>
            </w:r>
          </w:p>
        </w:tc>
        <w:tc>
          <w:tcPr>
            <w:tcW w:w="831" w:type="pct"/>
            <w:noWrap w:val="0"/>
            <w:vAlign w:val="center"/>
          </w:tcPr>
          <w:p w14:paraId="3670DFD4">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是否允许递交备选竞选方案</w:t>
            </w:r>
          </w:p>
        </w:tc>
        <w:tc>
          <w:tcPr>
            <w:tcW w:w="3583" w:type="pct"/>
            <w:noWrap w:val="0"/>
            <w:vAlign w:val="center"/>
          </w:tcPr>
          <w:p w14:paraId="25E314F3">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rPr>
              <w:t>不允许</w:t>
            </w:r>
            <w:r>
              <w:rPr>
                <w:rFonts w:hint="eastAsia" w:ascii="宋体" w:hAnsi="宋体" w:eastAsia="宋体" w:cs="宋体"/>
                <w:kern w:val="0"/>
                <w:sz w:val="21"/>
                <w:szCs w:val="21"/>
                <w:lang w:eastAsia="zh-CN"/>
              </w:rPr>
              <w:t>。</w:t>
            </w:r>
          </w:p>
        </w:tc>
      </w:tr>
      <w:tr w14:paraId="66624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245953CF">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23</w:t>
            </w:r>
          </w:p>
        </w:tc>
        <w:tc>
          <w:tcPr>
            <w:tcW w:w="831" w:type="pct"/>
            <w:noWrap w:val="0"/>
            <w:vAlign w:val="center"/>
          </w:tcPr>
          <w:p w14:paraId="44CFEA25">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签字盖章要求</w:t>
            </w:r>
          </w:p>
        </w:tc>
        <w:tc>
          <w:tcPr>
            <w:tcW w:w="3583" w:type="pct"/>
            <w:noWrap w:val="0"/>
            <w:vAlign w:val="center"/>
          </w:tcPr>
          <w:p w14:paraId="03345FB5">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1.所有竞选文件封面须加盖竞选人单位法人章（鲜章），正副本均须加盖骑缝章（鲜章）；</w:t>
            </w:r>
          </w:p>
          <w:p w14:paraId="4334434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2.比选文件要求签字、盖章的地方均须由法定代表人或其委托代理人签字、加盖竞选人单位法人章（鲜章）。</w:t>
            </w:r>
          </w:p>
          <w:p w14:paraId="044D5CBC">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kern w:val="0"/>
                <w:sz w:val="21"/>
                <w:szCs w:val="21"/>
              </w:rPr>
              <w:t>注：以上所要求鲜章均为竞选人单位法人章，不得以“竞选专用章”等代替，否则，评标委员会将否决其竞选。</w:t>
            </w:r>
          </w:p>
        </w:tc>
      </w:tr>
      <w:tr w14:paraId="08E6C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0710AC33">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24</w:t>
            </w:r>
          </w:p>
        </w:tc>
        <w:tc>
          <w:tcPr>
            <w:tcW w:w="831" w:type="pct"/>
            <w:noWrap w:val="0"/>
            <w:vAlign w:val="center"/>
          </w:tcPr>
          <w:p w14:paraId="36A4F659">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竞选文件份数</w:t>
            </w:r>
          </w:p>
        </w:tc>
        <w:tc>
          <w:tcPr>
            <w:tcW w:w="3583" w:type="pct"/>
            <w:noWrap w:val="0"/>
            <w:vAlign w:val="center"/>
          </w:tcPr>
          <w:p w14:paraId="598DDAF8">
            <w:pPr>
              <w:pStyle w:val="378"/>
              <w:keepNext w:val="0"/>
              <w:keepLines w:val="0"/>
              <w:pageBreakBefore w:val="0"/>
              <w:widowControl w:val="0"/>
              <w:kinsoku/>
              <w:wordWrap w:val="0"/>
              <w:overflowPunct/>
              <w:topLinePunct w:val="0"/>
              <w:bidi w:val="0"/>
              <w:spacing w:line="360" w:lineRule="auto"/>
              <w:ind w:firstLineChars="200"/>
              <w:textAlignment w:val="auto"/>
              <w:rPr>
                <w:rFonts w:hint="eastAsia" w:ascii="宋体" w:hAnsi="宋体" w:eastAsia="宋体" w:cs="宋体"/>
                <w:sz w:val="21"/>
                <w:szCs w:val="21"/>
              </w:rPr>
            </w:pPr>
            <w:r>
              <w:rPr>
                <w:rFonts w:hint="eastAsia" w:ascii="宋体" w:hAnsi="宋体" w:eastAsia="宋体" w:cs="宋体"/>
                <w:sz w:val="21"/>
                <w:szCs w:val="21"/>
              </w:rPr>
              <w:t>竞选文件包含竞选文件及光盘</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或U盘</w:t>
            </w:r>
            <w:r>
              <w:rPr>
                <w:rFonts w:hint="eastAsia" w:ascii="宋体" w:hAnsi="宋体" w:eastAsia="宋体" w:cs="宋体"/>
                <w:sz w:val="21"/>
                <w:szCs w:val="21"/>
                <w:lang w:eastAsia="zh-CN"/>
              </w:rPr>
              <w:t>）</w:t>
            </w:r>
            <w:r>
              <w:rPr>
                <w:rFonts w:hint="eastAsia" w:ascii="宋体" w:hAnsi="宋体" w:eastAsia="宋体" w:cs="宋体"/>
                <w:sz w:val="21"/>
                <w:szCs w:val="21"/>
              </w:rPr>
              <w:t>。</w:t>
            </w:r>
          </w:p>
          <w:p w14:paraId="5FEFDCF9">
            <w:pPr>
              <w:pStyle w:val="378"/>
              <w:keepNext w:val="0"/>
              <w:keepLines w:val="0"/>
              <w:pageBreakBefore w:val="0"/>
              <w:widowControl w:val="0"/>
              <w:kinsoku/>
              <w:wordWrap w:val="0"/>
              <w:overflowPunct/>
              <w:topLinePunct w:val="0"/>
              <w:bidi w:val="0"/>
              <w:spacing w:line="360" w:lineRule="auto"/>
              <w:ind w:firstLineChars="200"/>
              <w:textAlignment w:val="auto"/>
              <w:rPr>
                <w:rFonts w:hint="eastAsia" w:ascii="宋体" w:hAnsi="宋体" w:eastAsia="宋体" w:cs="宋体"/>
                <w:sz w:val="21"/>
                <w:szCs w:val="21"/>
              </w:rPr>
            </w:pPr>
            <w:r>
              <w:rPr>
                <w:rFonts w:hint="eastAsia" w:ascii="宋体" w:hAnsi="宋体" w:eastAsia="宋体" w:cs="宋体"/>
                <w:sz w:val="21"/>
                <w:szCs w:val="21"/>
              </w:rPr>
              <w:t>竞选文件一式</w:t>
            </w:r>
            <w:r>
              <w:rPr>
                <w:rFonts w:hint="eastAsia" w:ascii="宋体" w:hAnsi="宋体" w:eastAsia="宋体" w:cs="宋体"/>
                <w:sz w:val="21"/>
                <w:szCs w:val="21"/>
                <w:lang w:val="en-US" w:eastAsia="zh-CN"/>
              </w:rPr>
              <w:t>2</w:t>
            </w:r>
            <w:r>
              <w:rPr>
                <w:rFonts w:hint="eastAsia" w:ascii="宋体" w:hAnsi="宋体" w:eastAsia="宋体" w:cs="宋体"/>
                <w:sz w:val="21"/>
                <w:szCs w:val="21"/>
              </w:rPr>
              <w:t>份（其中：正本1份，副本</w:t>
            </w:r>
            <w:r>
              <w:rPr>
                <w:rFonts w:hint="eastAsia" w:ascii="宋体" w:hAnsi="宋体" w:eastAsia="宋体" w:cs="宋体"/>
                <w:sz w:val="21"/>
                <w:szCs w:val="21"/>
                <w:lang w:val="en-US" w:eastAsia="zh-CN"/>
              </w:rPr>
              <w:t>1</w:t>
            </w:r>
            <w:r>
              <w:rPr>
                <w:rFonts w:hint="eastAsia" w:ascii="宋体" w:hAnsi="宋体" w:eastAsia="宋体" w:cs="宋体"/>
                <w:sz w:val="21"/>
                <w:szCs w:val="21"/>
              </w:rPr>
              <w:t>份，竞选文件内容应清楚地标记“正本”或“副本”的字样，当副本和正本不一致时，以正本为准。</w:t>
            </w:r>
          </w:p>
          <w:p w14:paraId="0C3E569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sz w:val="21"/>
                <w:szCs w:val="21"/>
              </w:rPr>
              <w:t>光盘</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或U盘</w:t>
            </w:r>
            <w:r>
              <w:rPr>
                <w:rFonts w:hint="eastAsia" w:ascii="宋体" w:hAnsi="宋体" w:eastAsia="宋体" w:cs="宋体"/>
                <w:sz w:val="21"/>
                <w:szCs w:val="21"/>
                <w:lang w:eastAsia="zh-CN"/>
              </w:rPr>
              <w:t>）</w:t>
            </w:r>
            <w:r>
              <w:rPr>
                <w:rFonts w:hint="eastAsia" w:ascii="宋体" w:hAnsi="宋体" w:eastAsia="宋体" w:cs="宋体"/>
                <w:sz w:val="21"/>
                <w:szCs w:val="21"/>
              </w:rPr>
              <w:t>内容应包含竞选文件正本的扫描件；光盘表面须粘贴标签加盖竞选人单位公章。</w:t>
            </w:r>
          </w:p>
        </w:tc>
      </w:tr>
      <w:tr w14:paraId="1FD1C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6F003BCF">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25</w:t>
            </w:r>
          </w:p>
        </w:tc>
        <w:tc>
          <w:tcPr>
            <w:tcW w:w="831" w:type="pct"/>
            <w:noWrap w:val="0"/>
            <w:vAlign w:val="center"/>
          </w:tcPr>
          <w:p w14:paraId="46F67FDF">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装订要求</w:t>
            </w:r>
          </w:p>
        </w:tc>
        <w:tc>
          <w:tcPr>
            <w:tcW w:w="3583" w:type="pct"/>
            <w:noWrap w:val="0"/>
            <w:vAlign w:val="center"/>
          </w:tcPr>
          <w:p w14:paraId="3B6D3768">
            <w:pPr>
              <w:keepNext w:val="0"/>
              <w:keepLines w:val="0"/>
              <w:pageBreakBefore w:val="0"/>
              <w:widowControl w:val="0"/>
              <w:kinsoku/>
              <w:wordWrap w:val="0"/>
              <w:overflowPunct/>
              <w:topLinePunct w:val="0"/>
              <w:bidi w:val="0"/>
              <w:adjustRightInd w:val="0"/>
              <w:snapToGrid w:val="0"/>
              <w:spacing w:line="360" w:lineRule="auto"/>
              <w:ind w:firstLine="404" w:firstLineChars="200"/>
              <w:textAlignment w:val="auto"/>
              <w:rPr>
                <w:rFonts w:hint="eastAsia" w:ascii="宋体" w:hAnsi="宋体" w:eastAsia="宋体" w:cs="宋体"/>
                <w:sz w:val="21"/>
                <w:szCs w:val="21"/>
              </w:rPr>
            </w:pPr>
            <w:r>
              <w:rPr>
                <w:rFonts w:hint="eastAsia" w:ascii="宋体" w:hAnsi="宋体" w:eastAsia="宋体" w:cs="宋体"/>
                <w:spacing w:val="-4"/>
                <w:sz w:val="21"/>
                <w:szCs w:val="21"/>
              </w:rPr>
              <w:t>竞选文件的正本与副本应分别装订成册，采用胶订、平订或线订等，不得采用活页装订方式。</w:t>
            </w:r>
          </w:p>
        </w:tc>
      </w:tr>
      <w:tr w14:paraId="29D34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40B19893">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26</w:t>
            </w:r>
          </w:p>
        </w:tc>
        <w:tc>
          <w:tcPr>
            <w:tcW w:w="831" w:type="pct"/>
            <w:noWrap w:val="0"/>
            <w:vAlign w:val="center"/>
          </w:tcPr>
          <w:p w14:paraId="0AC589AC">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竞选文件的密封</w:t>
            </w:r>
          </w:p>
        </w:tc>
        <w:tc>
          <w:tcPr>
            <w:tcW w:w="3583" w:type="pct"/>
            <w:noWrap w:val="0"/>
            <w:vAlign w:val="center"/>
          </w:tcPr>
          <w:p w14:paraId="1E43D104">
            <w:pPr>
              <w:pStyle w:val="378"/>
              <w:keepNext w:val="0"/>
              <w:keepLines w:val="0"/>
              <w:pageBreakBefore w:val="0"/>
              <w:widowControl w:val="0"/>
              <w:kinsoku/>
              <w:wordWrap w:val="0"/>
              <w:overflowPunct/>
              <w:topLinePunct w:val="0"/>
              <w:bidi w:val="0"/>
              <w:spacing w:line="360" w:lineRule="auto"/>
              <w:ind w:firstLineChars="200"/>
              <w:textAlignment w:val="auto"/>
              <w:rPr>
                <w:rFonts w:hint="eastAsia" w:ascii="宋体" w:hAnsi="宋体" w:eastAsia="宋体" w:cs="宋体"/>
                <w:sz w:val="21"/>
                <w:szCs w:val="21"/>
              </w:rPr>
            </w:pPr>
            <w:r>
              <w:rPr>
                <w:rFonts w:hint="eastAsia" w:ascii="宋体" w:hAnsi="宋体" w:eastAsia="宋体" w:cs="宋体"/>
                <w:sz w:val="21"/>
                <w:szCs w:val="21"/>
              </w:rPr>
              <w:t>1.竞选文件袋用“竞选文件”大袋。</w:t>
            </w:r>
          </w:p>
          <w:p w14:paraId="72332FCF">
            <w:pPr>
              <w:pStyle w:val="378"/>
              <w:keepNext w:val="0"/>
              <w:keepLines w:val="0"/>
              <w:pageBreakBefore w:val="0"/>
              <w:widowControl w:val="0"/>
              <w:kinsoku/>
              <w:wordWrap w:val="0"/>
              <w:overflowPunct/>
              <w:topLinePunct w:val="0"/>
              <w:bidi w:val="0"/>
              <w:spacing w:line="360" w:lineRule="auto"/>
              <w:ind w:firstLineChars="200"/>
              <w:textAlignment w:val="auto"/>
              <w:rPr>
                <w:rFonts w:hint="eastAsia" w:ascii="宋体" w:hAnsi="宋体" w:eastAsia="宋体" w:cs="宋体"/>
                <w:sz w:val="21"/>
                <w:szCs w:val="21"/>
              </w:rPr>
            </w:pPr>
            <w:r>
              <w:rPr>
                <w:rFonts w:hint="eastAsia" w:ascii="宋体" w:hAnsi="宋体" w:eastAsia="宋体" w:cs="宋体"/>
                <w:sz w:val="21"/>
                <w:szCs w:val="21"/>
              </w:rPr>
              <w:t>2.竞选文件及光盘装入“竞选文件”大袋中，（如文件较多，可分成多个大袋进行封装）密封并在大袋上加盖竞选人单位章，同时“竞选文件”大袋应按本表第4.1.2项的规定写明相应内容。</w:t>
            </w:r>
          </w:p>
          <w:p w14:paraId="0FB19445">
            <w:pPr>
              <w:keepNext w:val="0"/>
              <w:keepLines w:val="0"/>
              <w:pageBreakBefore w:val="0"/>
              <w:widowControl w:val="0"/>
              <w:kinsoku/>
              <w:wordWrap w:val="0"/>
              <w:overflowPunct/>
              <w:topLinePunct w:val="0"/>
              <w:bidi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3.如果“竞选文件”大袋未按上述规定封装，比选人或应当拒绝接收。</w:t>
            </w:r>
          </w:p>
        </w:tc>
      </w:tr>
      <w:tr w14:paraId="7A30B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3D335918">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27</w:t>
            </w:r>
          </w:p>
        </w:tc>
        <w:tc>
          <w:tcPr>
            <w:tcW w:w="831" w:type="pct"/>
            <w:noWrap w:val="0"/>
            <w:vAlign w:val="center"/>
          </w:tcPr>
          <w:p w14:paraId="5184347A">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封套上写明</w:t>
            </w:r>
          </w:p>
        </w:tc>
        <w:tc>
          <w:tcPr>
            <w:tcW w:w="3583" w:type="pct"/>
            <w:noWrap w:val="0"/>
            <w:vAlign w:val="center"/>
          </w:tcPr>
          <w:p w14:paraId="0D331E7C">
            <w:pPr>
              <w:keepNext w:val="0"/>
              <w:keepLines w:val="0"/>
              <w:pageBreakBefore w:val="0"/>
              <w:widowControl w:val="0"/>
              <w:kinsoku/>
              <w:wordWrap w:val="0"/>
              <w:overflowPunct/>
              <w:topLinePunct w:val="0"/>
              <w:bidi w:val="0"/>
              <w:spacing w:line="360" w:lineRule="auto"/>
              <w:ind w:firstLine="420" w:firstLineChars="200"/>
              <w:textAlignment w:val="auto"/>
              <w:rPr>
                <w:rFonts w:hint="eastAsia" w:ascii="宋体" w:hAnsi="宋体" w:eastAsia="宋体" w:cs="宋体"/>
                <w:color w:val="000000" w:themeColor="text1"/>
                <w:sz w:val="21"/>
                <w:szCs w:val="21"/>
                <w:u w:val="none"/>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比选人名称：</w:t>
            </w:r>
            <w:r>
              <w:rPr>
                <w:rFonts w:hint="eastAsia" w:ascii="宋体" w:hAnsi="宋体" w:eastAsia="宋体" w:cs="宋体"/>
                <w:color w:val="000000" w:themeColor="text1"/>
                <w:sz w:val="21"/>
                <w:szCs w:val="21"/>
                <w:u w:val="single"/>
                <w:lang w:val="en-US" w:eastAsia="zh-CN"/>
                <w14:textFill>
                  <w14:solidFill>
                    <w14:schemeClr w14:val="tx1"/>
                  </w14:solidFill>
                </w14:textFill>
              </w:rPr>
              <w:t xml:space="preserve">                           </w:t>
            </w:r>
          </w:p>
          <w:p w14:paraId="507F0EA8">
            <w:pPr>
              <w:keepNext w:val="0"/>
              <w:keepLines w:val="0"/>
              <w:pageBreakBefore w:val="0"/>
              <w:widowControl w:val="0"/>
              <w:kinsoku/>
              <w:wordWrap w:val="0"/>
              <w:overflowPunct/>
              <w:topLinePunct w:val="0"/>
              <w:bidi w:val="0"/>
              <w:spacing w:line="360" w:lineRule="auto"/>
              <w:ind w:firstLine="420" w:firstLineChars="200"/>
              <w:textAlignment w:val="auto"/>
              <w:rPr>
                <w:rFonts w:hint="eastAsia" w:ascii="宋体" w:hAnsi="宋体" w:eastAsia="宋体" w:cs="宋体"/>
                <w:color w:val="000000" w:themeColor="text1"/>
                <w:sz w:val="21"/>
                <w:szCs w:val="21"/>
                <w:u w:val="single"/>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竞选人名称：</w:t>
            </w:r>
            <w:r>
              <w:rPr>
                <w:rFonts w:hint="eastAsia" w:ascii="宋体" w:hAnsi="宋体" w:eastAsia="宋体" w:cs="宋体"/>
                <w:color w:val="000000" w:themeColor="text1"/>
                <w:sz w:val="21"/>
                <w:szCs w:val="21"/>
                <w:u w:val="single"/>
                <w:lang w:val="en-US" w:eastAsia="zh-CN"/>
                <w14:textFill>
                  <w14:solidFill>
                    <w14:schemeClr w14:val="tx1"/>
                  </w14:solidFill>
                </w14:textFill>
              </w:rPr>
              <w:t xml:space="preserve">                           </w:t>
            </w:r>
          </w:p>
          <w:p w14:paraId="46294EB2">
            <w:pPr>
              <w:keepNext w:val="0"/>
              <w:keepLines w:val="0"/>
              <w:pageBreakBefore w:val="0"/>
              <w:widowControl w:val="0"/>
              <w:kinsoku/>
              <w:wordWrap w:val="0"/>
              <w:overflowPunct/>
              <w:topLinePunct w:val="0"/>
              <w:bidi w:val="0"/>
              <w:spacing w:line="360" w:lineRule="auto"/>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color w:val="000000" w:themeColor="text1"/>
                <w:sz w:val="21"/>
                <w:szCs w:val="21"/>
                <w:u w:val="single"/>
                <w14:textFill>
                  <w14:solidFill>
                    <w14:schemeClr w14:val="tx1"/>
                  </w14:solidFill>
                </w14:textFill>
              </w:rPr>
              <w:t xml:space="preserve">    （项目名称）   </w:t>
            </w:r>
            <w:r>
              <w:rPr>
                <w:rFonts w:hint="eastAsia" w:ascii="宋体" w:hAnsi="宋体" w:eastAsia="宋体" w:cs="宋体"/>
                <w:color w:val="000000" w:themeColor="text1"/>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竞选文件</w:t>
            </w:r>
          </w:p>
          <w:p w14:paraId="232C6B29">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在</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年</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月</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日</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时</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分前不得开启</w:t>
            </w:r>
          </w:p>
        </w:tc>
      </w:tr>
      <w:tr w14:paraId="68490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7419FA4C">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bookmarkStart w:id="99" w:name="_Hlk235718329"/>
            <w:bookmarkStart w:id="100" w:name="OLE_LINK6" w:colFirst="2" w:colLast="66"/>
            <w:bookmarkStart w:id="101" w:name="OLE_LINK7" w:colFirst="2" w:colLast="66"/>
            <w:r>
              <w:rPr>
                <w:rFonts w:hint="eastAsia" w:ascii="宋体" w:hAnsi="宋体" w:eastAsia="宋体" w:cs="宋体"/>
                <w:kern w:val="0"/>
                <w:sz w:val="21"/>
                <w:szCs w:val="21"/>
              </w:rPr>
              <w:t>28</w:t>
            </w:r>
          </w:p>
        </w:tc>
        <w:tc>
          <w:tcPr>
            <w:tcW w:w="831" w:type="pct"/>
            <w:noWrap w:val="0"/>
            <w:vAlign w:val="center"/>
          </w:tcPr>
          <w:p w14:paraId="46B53C34">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sz w:val="21"/>
                <w:szCs w:val="21"/>
              </w:rPr>
              <w:t>递交竞选文件时间</w:t>
            </w:r>
          </w:p>
        </w:tc>
        <w:tc>
          <w:tcPr>
            <w:tcW w:w="3583" w:type="pct"/>
            <w:noWrap w:val="0"/>
            <w:vAlign w:val="center"/>
          </w:tcPr>
          <w:p w14:paraId="4C122A1D">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2026年</w:t>
            </w:r>
            <w:r>
              <w:rPr>
                <w:rFonts w:hint="eastAsia" w:ascii="宋体" w:hAnsi="宋体" w:eastAsia="宋体" w:cs="宋体"/>
                <w:color w:val="000000" w:themeColor="text1"/>
                <w:sz w:val="21"/>
                <w:szCs w:val="21"/>
                <w:lang w:val="en-US" w:eastAsia="zh-CN"/>
                <w14:textFill>
                  <w14:solidFill>
                    <w14:schemeClr w14:val="tx1"/>
                  </w14:solidFill>
                </w14:textFill>
              </w:rPr>
              <w:t>8</w:t>
            </w:r>
            <w:r>
              <w:rPr>
                <w:rFonts w:hint="eastAsia" w:ascii="宋体" w:hAnsi="宋体" w:eastAsia="宋体" w:cs="宋体"/>
                <w:color w:val="000000" w:themeColor="text1"/>
                <w:sz w:val="21"/>
                <w:szCs w:val="21"/>
                <w14:textFill>
                  <w14:solidFill>
                    <w14:schemeClr w14:val="tx1"/>
                  </w14:solidFill>
                </w14:textFill>
              </w:rPr>
              <w:t>月</w:t>
            </w:r>
            <w:r>
              <w:rPr>
                <w:rFonts w:hint="eastAsia" w:ascii="宋体" w:hAnsi="宋体" w:eastAsia="宋体" w:cs="宋体"/>
                <w:color w:val="000000" w:themeColor="text1"/>
                <w:sz w:val="21"/>
                <w:szCs w:val="21"/>
                <w:lang w:val="en-US" w:eastAsia="zh-CN"/>
                <w14:textFill>
                  <w14:solidFill>
                    <w14:schemeClr w14:val="tx1"/>
                  </w14:solidFill>
                </w14:textFill>
              </w:rPr>
              <w:t>27</w:t>
            </w:r>
            <w:r>
              <w:rPr>
                <w:rFonts w:hint="eastAsia" w:ascii="宋体" w:hAnsi="宋体" w:eastAsia="宋体" w:cs="宋体"/>
                <w:color w:val="000000" w:themeColor="text1"/>
                <w:sz w:val="21"/>
                <w:szCs w:val="21"/>
                <w14:textFill>
                  <w14:solidFill>
                    <w14:schemeClr w14:val="tx1"/>
                  </w14:solidFill>
                </w14:textFill>
              </w:rPr>
              <w:t>日</w:t>
            </w:r>
            <w:r>
              <w:rPr>
                <w:rFonts w:hint="eastAsia" w:ascii="宋体" w:hAnsi="宋体" w:eastAsia="宋体" w:cs="宋体"/>
                <w:color w:val="000000" w:themeColor="text1"/>
                <w:sz w:val="21"/>
                <w:szCs w:val="21"/>
                <w:lang w:val="en-US" w:eastAsia="zh-CN"/>
                <w14:textFill>
                  <w14:solidFill>
                    <w14:schemeClr w14:val="tx1"/>
                  </w14:solidFill>
                </w14:textFill>
              </w:rPr>
              <w:t>13</w:t>
            </w:r>
            <w:r>
              <w:rPr>
                <w:rFonts w:hint="eastAsia" w:ascii="宋体" w:hAnsi="宋体" w:eastAsia="宋体" w:cs="宋体"/>
                <w:color w:val="000000" w:themeColor="text1"/>
                <w:sz w:val="21"/>
                <w:szCs w:val="21"/>
                <w14:textFill>
                  <w14:solidFill>
                    <w14:schemeClr w14:val="tx1"/>
                  </w14:solidFill>
                </w14:textFill>
              </w:rPr>
              <w:t>时</w:t>
            </w:r>
            <w:r>
              <w:rPr>
                <w:rFonts w:hint="eastAsia" w:ascii="宋体" w:hAnsi="宋体" w:eastAsia="宋体" w:cs="宋体"/>
                <w:color w:val="000000" w:themeColor="text1"/>
                <w:sz w:val="21"/>
                <w:szCs w:val="21"/>
                <w:lang w:val="en-US" w:eastAsia="zh-CN"/>
                <w14:textFill>
                  <w14:solidFill>
                    <w14:schemeClr w14:val="tx1"/>
                  </w14:solidFill>
                </w14:textFill>
              </w:rPr>
              <w:t>30</w:t>
            </w:r>
            <w:r>
              <w:rPr>
                <w:rFonts w:hint="eastAsia" w:ascii="宋体" w:hAnsi="宋体" w:eastAsia="宋体" w:cs="宋体"/>
                <w:color w:val="000000" w:themeColor="text1"/>
                <w:sz w:val="21"/>
                <w:szCs w:val="21"/>
                <w14:textFill>
                  <w14:solidFill>
                    <w14:schemeClr w14:val="tx1"/>
                  </w14:solidFill>
                </w14:textFill>
              </w:rPr>
              <w:t>分至2026年</w:t>
            </w:r>
            <w:r>
              <w:rPr>
                <w:rFonts w:hint="eastAsia" w:ascii="宋体" w:hAnsi="宋体" w:eastAsia="宋体" w:cs="宋体"/>
                <w:color w:val="000000" w:themeColor="text1"/>
                <w:sz w:val="21"/>
                <w:szCs w:val="21"/>
                <w:lang w:val="en-US" w:eastAsia="zh-CN"/>
                <w14:textFill>
                  <w14:solidFill>
                    <w14:schemeClr w14:val="tx1"/>
                  </w14:solidFill>
                </w14:textFill>
              </w:rPr>
              <w:t>8</w:t>
            </w:r>
            <w:r>
              <w:rPr>
                <w:rFonts w:hint="eastAsia" w:ascii="宋体" w:hAnsi="宋体" w:eastAsia="宋体" w:cs="宋体"/>
                <w:color w:val="000000" w:themeColor="text1"/>
                <w:sz w:val="21"/>
                <w:szCs w:val="21"/>
                <w14:textFill>
                  <w14:solidFill>
                    <w14:schemeClr w14:val="tx1"/>
                  </w14:solidFill>
                </w14:textFill>
              </w:rPr>
              <w:t>月</w:t>
            </w:r>
            <w:r>
              <w:rPr>
                <w:rFonts w:hint="eastAsia" w:ascii="宋体" w:hAnsi="宋体" w:eastAsia="宋体" w:cs="宋体"/>
                <w:color w:val="000000" w:themeColor="text1"/>
                <w:sz w:val="21"/>
                <w:szCs w:val="21"/>
                <w:lang w:val="en-US" w:eastAsia="zh-CN"/>
                <w14:textFill>
                  <w14:solidFill>
                    <w14:schemeClr w14:val="tx1"/>
                  </w14:solidFill>
                </w14:textFill>
              </w:rPr>
              <w:t>27</w:t>
            </w:r>
            <w:r>
              <w:rPr>
                <w:rFonts w:hint="eastAsia" w:ascii="宋体" w:hAnsi="宋体" w:eastAsia="宋体" w:cs="宋体"/>
                <w:color w:val="000000" w:themeColor="text1"/>
                <w:sz w:val="21"/>
                <w:szCs w:val="21"/>
                <w14:textFill>
                  <w14:solidFill>
                    <w14:schemeClr w14:val="tx1"/>
                  </w14:solidFill>
                </w14:textFill>
              </w:rPr>
              <w:t>日</w:t>
            </w:r>
            <w:r>
              <w:rPr>
                <w:rFonts w:hint="eastAsia" w:ascii="宋体" w:hAnsi="宋体" w:eastAsia="宋体" w:cs="宋体"/>
                <w:color w:val="000000" w:themeColor="text1"/>
                <w:sz w:val="21"/>
                <w:szCs w:val="21"/>
                <w:lang w:val="en-US" w:eastAsia="zh-CN"/>
                <w14:textFill>
                  <w14:solidFill>
                    <w14:schemeClr w14:val="tx1"/>
                  </w14:solidFill>
                </w14:textFill>
              </w:rPr>
              <w:t>14</w:t>
            </w:r>
            <w:r>
              <w:rPr>
                <w:rFonts w:hint="eastAsia" w:ascii="宋体" w:hAnsi="宋体" w:eastAsia="宋体" w:cs="宋体"/>
                <w:color w:val="000000" w:themeColor="text1"/>
                <w:sz w:val="21"/>
                <w:szCs w:val="21"/>
                <w14:textFill>
                  <w14:solidFill>
                    <w14:schemeClr w14:val="tx1"/>
                  </w14:solidFill>
                </w14:textFill>
              </w:rPr>
              <w:t>时</w:t>
            </w:r>
            <w:r>
              <w:rPr>
                <w:rFonts w:hint="eastAsia" w:ascii="宋体" w:hAnsi="宋体" w:eastAsia="宋体" w:cs="宋体"/>
                <w:color w:val="000000" w:themeColor="text1"/>
                <w:sz w:val="21"/>
                <w:szCs w:val="21"/>
                <w:lang w:val="en-US" w:eastAsia="zh-CN"/>
                <w14:textFill>
                  <w14:solidFill>
                    <w14:schemeClr w14:val="tx1"/>
                  </w14:solidFill>
                </w14:textFill>
              </w:rPr>
              <w:t>00</w:t>
            </w:r>
            <w:r>
              <w:rPr>
                <w:rFonts w:hint="eastAsia" w:ascii="宋体" w:hAnsi="宋体" w:eastAsia="宋体" w:cs="宋体"/>
                <w:color w:val="000000" w:themeColor="text1"/>
                <w:sz w:val="21"/>
                <w:szCs w:val="21"/>
                <w14:textFill>
                  <w14:solidFill>
                    <w14:schemeClr w14:val="tx1"/>
                  </w14:solidFill>
                </w14:textFill>
              </w:rPr>
              <w:t>分</w:t>
            </w:r>
          </w:p>
        </w:tc>
      </w:tr>
      <w:bookmarkEnd w:id="99"/>
      <w:bookmarkEnd w:id="100"/>
      <w:bookmarkEnd w:id="101"/>
      <w:tr w14:paraId="03AFE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7B22E577">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29</w:t>
            </w:r>
          </w:p>
        </w:tc>
        <w:tc>
          <w:tcPr>
            <w:tcW w:w="831" w:type="pct"/>
            <w:noWrap w:val="0"/>
            <w:vAlign w:val="center"/>
          </w:tcPr>
          <w:p w14:paraId="3BFCC7E1">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递交竞选文件地点</w:t>
            </w:r>
          </w:p>
        </w:tc>
        <w:tc>
          <w:tcPr>
            <w:tcW w:w="3583" w:type="pct"/>
            <w:noWrap w:val="0"/>
            <w:vAlign w:val="center"/>
          </w:tcPr>
          <w:p w14:paraId="57C31721">
            <w:pPr>
              <w:pStyle w:val="378"/>
              <w:keepNext w:val="0"/>
              <w:keepLines w:val="0"/>
              <w:pageBreakBefore w:val="0"/>
              <w:widowControl w:val="0"/>
              <w:kinsoku/>
              <w:wordWrap w:val="0"/>
              <w:overflowPunct/>
              <w:topLinePunct w:val="0"/>
              <w:bidi w:val="0"/>
              <w:spacing w:line="360" w:lineRule="auto"/>
              <w:ind w:firstLineChars="200"/>
              <w:textAlignment w:val="auto"/>
              <w:rPr>
                <w:rFonts w:hint="eastAsia" w:ascii="宋体" w:hAnsi="宋体" w:eastAsia="宋体" w:cs="宋体"/>
                <w:b/>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垫江县周嘉镇人民政府3楼会议室</w:t>
            </w:r>
            <w:r>
              <w:rPr>
                <w:rFonts w:hint="eastAsia" w:ascii="宋体" w:hAnsi="宋体" w:eastAsia="宋体" w:cs="宋体"/>
                <w:b w:val="0"/>
                <w:bCs/>
                <w:color w:val="000000" w:themeColor="text1"/>
                <w:sz w:val="21"/>
                <w:szCs w:val="21"/>
                <w:lang w:eastAsia="zh-CN"/>
                <w14:textFill>
                  <w14:solidFill>
                    <w14:schemeClr w14:val="tx1"/>
                  </w14:solidFill>
                </w14:textFill>
              </w:rPr>
              <w:t>。</w:t>
            </w:r>
          </w:p>
        </w:tc>
      </w:tr>
      <w:tr w14:paraId="4849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7062A770">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30</w:t>
            </w:r>
          </w:p>
        </w:tc>
        <w:tc>
          <w:tcPr>
            <w:tcW w:w="831" w:type="pct"/>
            <w:noWrap w:val="0"/>
            <w:vAlign w:val="center"/>
          </w:tcPr>
          <w:p w14:paraId="775E4CF1">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是否退还竞选文件</w:t>
            </w:r>
          </w:p>
        </w:tc>
        <w:tc>
          <w:tcPr>
            <w:tcW w:w="3583" w:type="pct"/>
            <w:noWrap w:val="0"/>
            <w:vAlign w:val="center"/>
          </w:tcPr>
          <w:p w14:paraId="233DEE3B">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rPr>
              <w:t>否</w:t>
            </w:r>
            <w:r>
              <w:rPr>
                <w:rFonts w:hint="eastAsia" w:ascii="宋体" w:hAnsi="宋体" w:eastAsia="宋体" w:cs="宋体"/>
                <w:kern w:val="0"/>
                <w:sz w:val="21"/>
                <w:szCs w:val="21"/>
                <w:lang w:eastAsia="zh-CN"/>
              </w:rPr>
              <w:t>。</w:t>
            </w:r>
          </w:p>
        </w:tc>
      </w:tr>
      <w:tr w14:paraId="3315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0C5BF6BB">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31</w:t>
            </w:r>
          </w:p>
        </w:tc>
        <w:tc>
          <w:tcPr>
            <w:tcW w:w="831" w:type="pct"/>
            <w:noWrap w:val="0"/>
            <w:vAlign w:val="center"/>
          </w:tcPr>
          <w:p w14:paraId="214C6F66">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开标时间和地点</w:t>
            </w:r>
          </w:p>
        </w:tc>
        <w:tc>
          <w:tcPr>
            <w:tcW w:w="3583" w:type="pct"/>
            <w:noWrap w:val="0"/>
            <w:vAlign w:val="center"/>
          </w:tcPr>
          <w:p w14:paraId="6D58F595">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66" w:firstLineChars="222"/>
              <w:jc w:val="left"/>
              <w:textAlignment w:val="auto"/>
              <w:rPr>
                <w:rFonts w:hint="eastAsia" w:ascii="宋体" w:hAnsi="宋体" w:eastAsia="宋体" w:cs="宋体"/>
                <w:sz w:val="21"/>
                <w:szCs w:val="21"/>
              </w:rPr>
            </w:pPr>
            <w:r>
              <w:rPr>
                <w:rFonts w:hint="eastAsia" w:ascii="宋体" w:hAnsi="宋体" w:eastAsia="宋体" w:cs="宋体"/>
                <w:sz w:val="21"/>
                <w:szCs w:val="21"/>
              </w:rPr>
              <w:t>开标时间：同竞选截止时间。</w:t>
            </w:r>
          </w:p>
          <w:p w14:paraId="6035912D">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66" w:firstLineChars="222"/>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开标地点：垫江县周嘉镇人民政府3楼会议室</w:t>
            </w:r>
            <w:r>
              <w:rPr>
                <w:rFonts w:hint="eastAsia" w:ascii="宋体" w:hAnsi="宋体" w:eastAsia="宋体" w:cs="宋体"/>
                <w:sz w:val="21"/>
                <w:szCs w:val="21"/>
                <w:lang w:eastAsia="zh-CN"/>
              </w:rPr>
              <w:t>。</w:t>
            </w:r>
          </w:p>
        </w:tc>
      </w:tr>
      <w:tr w14:paraId="70B3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1426C8C6">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32</w:t>
            </w:r>
          </w:p>
        </w:tc>
        <w:tc>
          <w:tcPr>
            <w:tcW w:w="831" w:type="pct"/>
            <w:noWrap w:val="0"/>
            <w:vAlign w:val="center"/>
          </w:tcPr>
          <w:p w14:paraId="7FB95E1F">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sz w:val="21"/>
                <w:szCs w:val="21"/>
              </w:rPr>
            </w:pPr>
            <w:r>
              <w:rPr>
                <w:rFonts w:hint="eastAsia" w:ascii="宋体" w:hAnsi="宋体" w:eastAsia="宋体" w:cs="宋体"/>
                <w:kern w:val="0"/>
                <w:sz w:val="21"/>
                <w:szCs w:val="21"/>
              </w:rPr>
              <w:t>开标程序</w:t>
            </w:r>
          </w:p>
        </w:tc>
        <w:tc>
          <w:tcPr>
            <w:tcW w:w="3583" w:type="pct"/>
            <w:noWrap w:val="0"/>
            <w:vAlign w:val="center"/>
          </w:tcPr>
          <w:p w14:paraId="44FCB7DD">
            <w:pPr>
              <w:keepNext w:val="0"/>
              <w:keepLines w:val="0"/>
              <w:pageBreakBefore w:val="0"/>
              <w:widowControl w:val="0"/>
              <w:kinsoku/>
              <w:wordWrap w:val="0"/>
              <w:overflowPunct/>
              <w:topLinePunct w:val="0"/>
              <w:bidi w:val="0"/>
              <w:spacing w:line="360" w:lineRule="auto"/>
              <w:ind w:left="105" w:leftChars="50" w:right="113"/>
              <w:textAlignment w:val="auto"/>
              <w:rPr>
                <w:rFonts w:hint="eastAsia" w:ascii="宋体" w:hAnsi="宋体" w:eastAsia="宋体" w:cs="宋体"/>
                <w:sz w:val="21"/>
                <w:szCs w:val="21"/>
              </w:rPr>
            </w:pPr>
            <w:r>
              <w:rPr>
                <w:rFonts w:hint="eastAsia" w:ascii="宋体" w:hAnsi="宋体" w:eastAsia="宋体" w:cs="宋体"/>
                <w:sz w:val="21"/>
                <w:szCs w:val="21"/>
              </w:rPr>
              <w:t>主持人按下列程序进行开标：</w:t>
            </w:r>
          </w:p>
          <w:p w14:paraId="1F357F3C">
            <w:pPr>
              <w:keepNext w:val="0"/>
              <w:keepLines w:val="0"/>
              <w:pageBreakBefore w:val="0"/>
              <w:widowControl w:val="0"/>
              <w:kinsoku/>
              <w:wordWrap w:val="0"/>
              <w:overflowPunct/>
              <w:topLinePunct w:val="0"/>
              <w:bidi w:val="0"/>
              <w:spacing w:line="360" w:lineRule="auto"/>
              <w:ind w:left="105" w:leftChars="50"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1.宣布开标纪律；</w:t>
            </w:r>
          </w:p>
          <w:p w14:paraId="0CC95EE4">
            <w:pPr>
              <w:keepNext w:val="0"/>
              <w:keepLines w:val="0"/>
              <w:pageBreakBefore w:val="0"/>
              <w:widowControl w:val="0"/>
              <w:kinsoku/>
              <w:wordWrap w:val="0"/>
              <w:overflowPunct/>
              <w:topLinePunct w:val="0"/>
              <w:bidi w:val="0"/>
              <w:spacing w:line="360" w:lineRule="auto"/>
              <w:ind w:left="105" w:leftChars="50"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2.宣布开标人、唱标人、记录人、监标人等有关信息；</w:t>
            </w:r>
          </w:p>
          <w:p w14:paraId="2B7308D2">
            <w:pPr>
              <w:keepNext w:val="0"/>
              <w:keepLines w:val="0"/>
              <w:pageBreakBefore w:val="0"/>
              <w:widowControl w:val="0"/>
              <w:kinsoku/>
              <w:wordWrap w:val="0"/>
              <w:overflowPunct/>
              <w:topLinePunct w:val="0"/>
              <w:bidi w:val="0"/>
              <w:spacing w:line="360" w:lineRule="auto"/>
              <w:ind w:left="105" w:leftChars="50"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3.现场展示竞选保证金缴纳情况，竞选人提供保证金银行缴纳回单及基本存款账户信息复印件并加盖竞选人鲜章供比选人检查，并作如实记录；</w:t>
            </w:r>
          </w:p>
          <w:p w14:paraId="4A37BC27">
            <w:pPr>
              <w:keepNext w:val="0"/>
              <w:keepLines w:val="0"/>
              <w:pageBreakBefore w:val="0"/>
              <w:widowControl w:val="0"/>
              <w:kinsoku/>
              <w:wordWrap w:val="0"/>
              <w:overflowPunct/>
              <w:topLinePunct w:val="0"/>
              <w:bidi w:val="0"/>
              <w:spacing w:line="360" w:lineRule="auto"/>
              <w:ind w:left="105" w:leftChars="50"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4.竞选人代表检查竞选文件的密封情况；</w:t>
            </w:r>
          </w:p>
          <w:p w14:paraId="769EDA29">
            <w:pPr>
              <w:keepNext w:val="0"/>
              <w:keepLines w:val="0"/>
              <w:pageBreakBefore w:val="0"/>
              <w:widowControl w:val="0"/>
              <w:kinsoku/>
              <w:wordWrap w:val="0"/>
              <w:overflowPunct/>
              <w:topLinePunct w:val="0"/>
              <w:bidi w:val="0"/>
              <w:spacing w:line="360" w:lineRule="auto"/>
              <w:ind w:left="105" w:leftChars="50"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5.开标顺序：随机开启；</w:t>
            </w:r>
          </w:p>
          <w:p w14:paraId="2F24A2C7">
            <w:pPr>
              <w:keepNext w:val="0"/>
              <w:keepLines w:val="0"/>
              <w:pageBreakBefore w:val="0"/>
              <w:widowControl w:val="0"/>
              <w:kinsoku/>
              <w:wordWrap w:val="0"/>
              <w:overflowPunct/>
              <w:topLinePunct w:val="0"/>
              <w:bidi w:val="0"/>
              <w:spacing w:line="360" w:lineRule="auto"/>
              <w:ind w:left="105" w:leftChars="50"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6.当众公布竞选人名称、工期、质量、竞选报价等内容，并记录在案；</w:t>
            </w:r>
          </w:p>
          <w:p w14:paraId="301E6AE8">
            <w:pPr>
              <w:keepNext w:val="0"/>
              <w:keepLines w:val="0"/>
              <w:pageBreakBefore w:val="0"/>
              <w:widowControl w:val="0"/>
              <w:kinsoku/>
              <w:wordWrap w:val="0"/>
              <w:overflowPunct/>
              <w:topLinePunct w:val="0"/>
              <w:bidi w:val="0"/>
              <w:spacing w:line="360" w:lineRule="auto"/>
              <w:ind w:left="105" w:leftChars="50"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7.竞选人代表、比选人代表、监标人等有关人员在开标记录上签字确认；</w:t>
            </w:r>
          </w:p>
          <w:p w14:paraId="0474873E">
            <w:pPr>
              <w:keepNext w:val="0"/>
              <w:keepLines w:val="0"/>
              <w:pageBreakBefore w:val="0"/>
              <w:widowControl w:val="0"/>
              <w:kinsoku/>
              <w:wordWrap w:val="0"/>
              <w:overflowPunct/>
              <w:topLinePunct w:val="0"/>
              <w:bidi w:val="0"/>
              <w:snapToGrid w:val="0"/>
              <w:spacing w:line="360" w:lineRule="auto"/>
              <w:ind w:firstLine="315" w:firstLineChars="150"/>
              <w:textAlignment w:val="auto"/>
              <w:rPr>
                <w:rFonts w:hint="eastAsia" w:ascii="宋体" w:hAnsi="宋体" w:eastAsia="宋体" w:cs="宋体"/>
                <w:sz w:val="21"/>
                <w:szCs w:val="21"/>
              </w:rPr>
            </w:pPr>
            <w:r>
              <w:rPr>
                <w:rFonts w:hint="eastAsia" w:ascii="宋体" w:hAnsi="宋体" w:eastAsia="宋体" w:cs="宋体"/>
                <w:sz w:val="21"/>
                <w:szCs w:val="21"/>
              </w:rPr>
              <w:t>8.开标结束。</w:t>
            </w:r>
          </w:p>
        </w:tc>
      </w:tr>
      <w:tr w14:paraId="3489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77078111">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32</w:t>
            </w:r>
          </w:p>
        </w:tc>
        <w:tc>
          <w:tcPr>
            <w:tcW w:w="831" w:type="pct"/>
            <w:noWrap w:val="0"/>
            <w:vAlign w:val="center"/>
          </w:tcPr>
          <w:p w14:paraId="1C7BB7B8">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评标委员会的组建</w:t>
            </w:r>
          </w:p>
        </w:tc>
        <w:tc>
          <w:tcPr>
            <w:tcW w:w="3583" w:type="pct"/>
            <w:noWrap w:val="0"/>
            <w:vAlign w:val="center"/>
          </w:tcPr>
          <w:p w14:paraId="459C4380">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36" w:firstLineChars="200"/>
              <w:jc w:val="left"/>
              <w:textAlignment w:val="auto"/>
              <w:rPr>
                <w:rFonts w:hint="eastAsia" w:ascii="宋体" w:hAnsi="宋体" w:eastAsia="宋体" w:cs="宋体"/>
                <w:kern w:val="0"/>
                <w:sz w:val="21"/>
                <w:szCs w:val="21"/>
              </w:rPr>
            </w:pPr>
            <w:r>
              <w:rPr>
                <w:rFonts w:hint="eastAsia" w:ascii="宋体" w:hAnsi="宋体" w:eastAsia="宋体" w:cs="宋体"/>
                <w:spacing w:val="4"/>
                <w:kern w:val="0"/>
                <w:sz w:val="21"/>
                <w:szCs w:val="21"/>
              </w:rPr>
              <w:t>由比选人按法律法规及相关规定依法组建评标委员会</w:t>
            </w:r>
            <w:r>
              <w:rPr>
                <w:rFonts w:hint="eastAsia" w:ascii="宋体" w:hAnsi="宋体" w:eastAsia="宋体" w:cs="宋体"/>
                <w:kern w:val="0"/>
                <w:sz w:val="21"/>
                <w:szCs w:val="21"/>
              </w:rPr>
              <w:t>。</w:t>
            </w:r>
          </w:p>
        </w:tc>
      </w:tr>
      <w:tr w14:paraId="6A6F2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6E7C74F9">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33</w:t>
            </w:r>
          </w:p>
        </w:tc>
        <w:tc>
          <w:tcPr>
            <w:tcW w:w="831" w:type="pct"/>
            <w:noWrap w:val="0"/>
            <w:vAlign w:val="center"/>
          </w:tcPr>
          <w:p w14:paraId="72295A74">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是否授权评标委员会确定中选人</w:t>
            </w:r>
          </w:p>
        </w:tc>
        <w:tc>
          <w:tcPr>
            <w:tcW w:w="3583" w:type="pct"/>
            <w:noWrap w:val="0"/>
            <w:vAlign w:val="center"/>
          </w:tcPr>
          <w:p w14:paraId="734ECFEC">
            <w:pPr>
              <w:keepNext w:val="0"/>
              <w:keepLines w:val="0"/>
              <w:pageBreakBefore w:val="0"/>
              <w:widowControl w:val="0"/>
              <w:kinsoku/>
              <w:wordWrap w:val="0"/>
              <w:overflowPunct/>
              <w:topLinePunct w:val="0"/>
              <w:bidi w:val="0"/>
              <w:snapToGrid w:val="0"/>
              <w:spacing w:line="360" w:lineRule="auto"/>
              <w:ind w:firstLine="420" w:firstLineChars="200"/>
              <w:jc w:val="left"/>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否，推荐经评审合格的报价由低到高排名前三名为中选候选人。</w:t>
            </w:r>
          </w:p>
        </w:tc>
      </w:tr>
      <w:tr w14:paraId="1CEE4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0E7BDC42">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34</w:t>
            </w:r>
          </w:p>
        </w:tc>
        <w:tc>
          <w:tcPr>
            <w:tcW w:w="831" w:type="pct"/>
            <w:noWrap w:val="0"/>
            <w:vAlign w:val="center"/>
          </w:tcPr>
          <w:p w14:paraId="31021A3F">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结算原则</w:t>
            </w:r>
          </w:p>
        </w:tc>
        <w:tc>
          <w:tcPr>
            <w:tcW w:w="3583" w:type="pct"/>
            <w:noWrap w:val="0"/>
            <w:vAlign w:val="center"/>
          </w:tcPr>
          <w:p w14:paraId="1B32CF9B">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详见合同部分</w:t>
            </w:r>
            <w:r>
              <w:rPr>
                <w:rFonts w:hint="eastAsia" w:ascii="宋体" w:hAnsi="宋体" w:eastAsia="宋体" w:cs="宋体"/>
                <w:color w:val="000000" w:themeColor="text1"/>
                <w:kern w:val="0"/>
                <w:sz w:val="21"/>
                <w:szCs w:val="21"/>
                <w:lang w:eastAsia="zh-CN"/>
                <w14:textFill>
                  <w14:solidFill>
                    <w14:schemeClr w14:val="tx1"/>
                  </w14:solidFill>
                </w14:textFill>
              </w:rPr>
              <w:t>。</w:t>
            </w:r>
          </w:p>
        </w:tc>
      </w:tr>
      <w:tr w14:paraId="2A0D2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jc w:val="center"/>
        </w:trPr>
        <w:tc>
          <w:tcPr>
            <w:tcW w:w="585" w:type="pct"/>
            <w:noWrap w:val="0"/>
            <w:vAlign w:val="center"/>
          </w:tcPr>
          <w:p w14:paraId="257D80D3">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35</w:t>
            </w:r>
          </w:p>
        </w:tc>
        <w:tc>
          <w:tcPr>
            <w:tcW w:w="831" w:type="pct"/>
            <w:noWrap w:val="0"/>
            <w:vAlign w:val="center"/>
          </w:tcPr>
          <w:p w14:paraId="21FBA3E0">
            <w:pPr>
              <w:keepNext w:val="0"/>
              <w:keepLines w:val="0"/>
              <w:pageBreakBefore w:val="0"/>
              <w:widowControl w:val="0"/>
              <w:kinsoku/>
              <w:wordWrap w:val="0"/>
              <w:overflowPunct/>
              <w:topLinePunct w:val="0"/>
              <w:bidi w:val="0"/>
              <w:snapToGrid w:val="0"/>
              <w:spacing w:line="360" w:lineRule="auto"/>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工程款支付</w:t>
            </w:r>
          </w:p>
        </w:tc>
        <w:tc>
          <w:tcPr>
            <w:tcW w:w="3583" w:type="pct"/>
            <w:noWrap w:val="0"/>
            <w:vAlign w:val="center"/>
          </w:tcPr>
          <w:p w14:paraId="5B600405">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bookmarkStart w:id="102" w:name="OLE_LINK32"/>
            <w:r>
              <w:rPr>
                <w:rFonts w:hint="eastAsia" w:ascii="宋体" w:hAnsi="宋体" w:eastAsia="宋体" w:cs="宋体"/>
                <w:b w:val="0"/>
                <w:bCs w:val="0"/>
                <w:snapToGrid w:val="0"/>
                <w:color w:val="auto"/>
                <w:kern w:val="0"/>
                <w:sz w:val="21"/>
                <w:szCs w:val="21"/>
                <w:highlight w:val="none"/>
                <w:lang w:val="en-US" w:eastAsia="zh-CN" w:bidi="ar-SA"/>
              </w:rPr>
              <w:t>工程验收结束，结算审计完成后招标人向中标人一次性支付本项目合同金额的97%，扣留3%作为质保金，待质保期满后20日内退还。</w:t>
            </w:r>
            <w:bookmarkEnd w:id="102"/>
          </w:p>
        </w:tc>
      </w:tr>
      <w:tr w14:paraId="280DD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27A14DE8">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36</w:t>
            </w:r>
          </w:p>
        </w:tc>
        <w:tc>
          <w:tcPr>
            <w:tcW w:w="831" w:type="pct"/>
            <w:noWrap w:val="0"/>
            <w:vAlign w:val="center"/>
          </w:tcPr>
          <w:p w14:paraId="2D321239">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招标代理服务费</w:t>
            </w:r>
          </w:p>
        </w:tc>
        <w:tc>
          <w:tcPr>
            <w:tcW w:w="3583" w:type="pct"/>
            <w:noWrap w:val="0"/>
            <w:vAlign w:val="center"/>
          </w:tcPr>
          <w:p w14:paraId="2064B7BB">
            <w:pPr>
              <w:keepNext w:val="0"/>
              <w:keepLines w:val="0"/>
              <w:pageBreakBefore w:val="0"/>
              <w:widowControl w:val="0"/>
              <w:kinsoku/>
              <w:wordWrap w:val="0"/>
              <w:overflowPunct/>
              <w:topLinePunct w:val="0"/>
              <w:bidi w:val="0"/>
              <w:spacing w:line="360" w:lineRule="auto"/>
              <w:ind w:left="105" w:leftChars="50" w:right="113" w:firstLine="210" w:firstLineChars="1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auto"/>
                <w:sz w:val="21"/>
                <w:szCs w:val="21"/>
                <w:highlight w:val="none"/>
                <w:lang w:val="en-US" w:eastAsia="zh-CN"/>
              </w:rPr>
              <w:t>招标代理服务费包干价</w:t>
            </w:r>
            <w:r>
              <w:rPr>
                <w:rFonts w:hint="eastAsia" w:ascii="宋体" w:hAnsi="宋体" w:eastAsia="宋体" w:cs="宋体"/>
                <w:color w:val="auto"/>
                <w:sz w:val="21"/>
                <w:szCs w:val="21"/>
                <w:highlight w:val="none"/>
                <w:u w:val="single"/>
                <w:lang w:val="en-US" w:eastAsia="zh-CN"/>
              </w:rPr>
              <w:t>5000.00</w:t>
            </w:r>
            <w:r>
              <w:rPr>
                <w:rFonts w:hint="eastAsia" w:ascii="宋体" w:hAnsi="宋体" w:eastAsia="宋体" w:cs="宋体"/>
                <w:color w:val="auto"/>
                <w:sz w:val="21"/>
                <w:szCs w:val="21"/>
                <w:highlight w:val="none"/>
                <w:lang w:val="en-US" w:eastAsia="zh-CN"/>
              </w:rPr>
              <w:t>元，由中标人在领取中标通知书时向招标代理公司支付招标代理服务费。</w:t>
            </w:r>
          </w:p>
        </w:tc>
      </w:tr>
      <w:tr w14:paraId="091C2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536FDC0A">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37</w:t>
            </w:r>
          </w:p>
        </w:tc>
        <w:tc>
          <w:tcPr>
            <w:tcW w:w="831" w:type="pct"/>
            <w:noWrap w:val="0"/>
            <w:vAlign w:val="center"/>
          </w:tcPr>
          <w:p w14:paraId="6FBBEA05">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低价风险担保保证金及履约保证金</w:t>
            </w:r>
          </w:p>
        </w:tc>
        <w:tc>
          <w:tcPr>
            <w:tcW w:w="3583" w:type="pct"/>
            <w:noWrap w:val="0"/>
            <w:vAlign w:val="center"/>
          </w:tcPr>
          <w:p w14:paraId="5F6DAC97">
            <w:pPr>
              <w:keepNext w:val="0"/>
              <w:keepLines w:val="0"/>
              <w:pageBreakBefore w:val="0"/>
              <w:widowControl w:val="0"/>
              <w:kinsoku/>
              <w:wordWrap w:val="0"/>
              <w:overflowPunct/>
              <w:topLinePunct w:val="0"/>
              <w:bidi w:val="0"/>
              <w:spacing w:line="360" w:lineRule="auto"/>
              <w:ind w:left="105" w:leftChars="50" w:right="113" w:firstLine="210" w:firstLineChars="100"/>
              <w:textAlignment w:val="auto"/>
              <w:rPr>
                <w:rFonts w:hint="eastAsia" w:ascii="宋体" w:hAnsi="宋体" w:eastAsia="宋体" w:cs="宋体"/>
                <w:color w:val="000000" w:themeColor="text1"/>
                <w:sz w:val="21"/>
                <w:szCs w:val="21"/>
                <w14:textFill>
                  <w14:solidFill>
                    <w14:schemeClr w14:val="tx1"/>
                  </w14:solidFill>
                </w14:textFill>
              </w:rPr>
            </w:pPr>
            <w:bookmarkStart w:id="103" w:name="OLE_LINK30"/>
            <w:bookmarkStart w:id="104" w:name="OLE_LINK29"/>
            <w:r>
              <w:rPr>
                <w:rFonts w:hint="eastAsia" w:ascii="宋体" w:hAnsi="宋体" w:eastAsia="宋体" w:cs="宋体"/>
                <w:color w:val="000000" w:themeColor="text1"/>
                <w:sz w:val="21"/>
                <w:szCs w:val="21"/>
                <w14:textFill>
                  <w14:solidFill>
                    <w14:schemeClr w14:val="tx1"/>
                  </w14:solidFill>
                </w14:textFill>
              </w:rPr>
              <w:t>（一）在合同签订前，发包人应足额收取成交承包商的履约保证金（按成交价的10%计算）。履约保证金</w:t>
            </w:r>
            <w:bookmarkStart w:id="105" w:name="OLE_LINK34"/>
            <w:bookmarkStart w:id="106" w:name="OLE_LINK33"/>
            <w:r>
              <w:rPr>
                <w:rFonts w:hint="eastAsia" w:ascii="宋体" w:hAnsi="宋体" w:eastAsia="宋体" w:cs="宋体"/>
                <w:color w:val="000000" w:themeColor="text1"/>
                <w:sz w:val="21"/>
                <w:szCs w:val="21"/>
                <w14:textFill>
                  <w14:solidFill>
                    <w14:schemeClr w14:val="tx1"/>
                  </w14:solidFill>
                </w14:textFill>
              </w:rPr>
              <w:t>可以以现金、现金+保函、支票、银行保函、保证保险、担保保函等形式缴纳。以现金或支票形式提交的履约保证金，</w:t>
            </w:r>
            <w:bookmarkEnd w:id="105"/>
            <w:bookmarkEnd w:id="106"/>
            <w:r>
              <w:rPr>
                <w:rFonts w:hint="eastAsia" w:ascii="宋体" w:hAnsi="宋体" w:eastAsia="宋体" w:cs="宋体"/>
                <w:color w:val="000000" w:themeColor="text1"/>
                <w:sz w:val="21"/>
                <w:szCs w:val="21"/>
                <w14:textFill>
                  <w14:solidFill>
                    <w14:schemeClr w14:val="tx1"/>
                  </w14:solidFill>
                </w14:textFill>
              </w:rPr>
              <w:t>应当从其基本账户转入发包人指定账户。履约保证金采取保函形式的，发包人要认真核实保函的真实性、时效性。</w:t>
            </w:r>
          </w:p>
          <w:p w14:paraId="3E2090E7">
            <w:pPr>
              <w:keepNext w:val="0"/>
              <w:keepLines w:val="0"/>
              <w:pageBreakBefore w:val="0"/>
              <w:widowControl w:val="0"/>
              <w:kinsoku/>
              <w:wordWrap w:val="0"/>
              <w:overflowPunct/>
              <w:topLinePunct w:val="0"/>
              <w:bidi w:val="0"/>
              <w:spacing w:line="360" w:lineRule="auto"/>
              <w:ind w:left="105" w:leftChars="50" w:right="113" w:firstLine="210" w:firstLineChars="1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（二）发包人须核实履约保证金进账情况。工程验收合格并完善全部资料后10个工作日内发包人一次性全额无息退还。</w:t>
            </w:r>
          </w:p>
          <w:p w14:paraId="2CFA5C47">
            <w:pPr>
              <w:keepNext w:val="0"/>
              <w:keepLines w:val="0"/>
              <w:pageBreakBefore w:val="0"/>
              <w:widowControl w:val="0"/>
              <w:kinsoku/>
              <w:wordWrap w:val="0"/>
              <w:overflowPunct/>
              <w:topLinePunct w:val="0"/>
              <w:bidi w:val="0"/>
              <w:spacing w:line="360" w:lineRule="auto"/>
              <w:ind w:left="105" w:leftChars="50" w:right="113" w:firstLine="210" w:firstLineChars="1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（三）承包商未按规定时间履约完成或验收不合格不按要求进行整改的，其履约保证金不予退还。</w:t>
            </w:r>
          </w:p>
          <w:bookmarkEnd w:id="103"/>
          <w:bookmarkEnd w:id="104"/>
          <w:p w14:paraId="55BD8B9D">
            <w:pPr>
              <w:keepNext w:val="0"/>
              <w:keepLines w:val="0"/>
              <w:pageBreakBefore w:val="0"/>
              <w:widowControl w:val="0"/>
              <w:kinsoku/>
              <w:wordWrap w:val="0"/>
              <w:overflowPunct/>
              <w:topLinePunct w:val="0"/>
              <w:bidi w:val="0"/>
              <w:spacing w:line="360" w:lineRule="auto"/>
              <w:ind w:left="105" w:leftChars="50" w:right="113" w:firstLine="210" w:firstLineChars="1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（四）若成交承包商的投标报价低于最高限价的85%，发包人在发出成交通知书前，成交承包商须向发包人提供（最高限价×85%-成交价）×3倍的低价风险担保，且最高不超过最高限价的85%。</w:t>
            </w:r>
          </w:p>
          <w:p w14:paraId="7B8E6C73">
            <w:pPr>
              <w:keepNext w:val="0"/>
              <w:keepLines w:val="0"/>
              <w:pageBreakBefore w:val="0"/>
              <w:widowControl w:val="0"/>
              <w:kinsoku/>
              <w:wordWrap w:val="0"/>
              <w:overflowPunct/>
              <w:topLinePunct w:val="0"/>
              <w:bidi w:val="0"/>
              <w:spacing w:line="360" w:lineRule="auto"/>
              <w:ind w:left="105" w:leftChars="50" w:right="113" w:firstLine="210" w:firstLineChars="1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1.低价风险担保的形式：现金或银行保函或现金+银行保函的组合；采用银行保函形式的，保函必须为不可撤销、不可转让且见索即付的独立保函。</w:t>
            </w:r>
          </w:p>
          <w:p w14:paraId="43BAAE33">
            <w:pPr>
              <w:keepNext w:val="0"/>
              <w:keepLines w:val="0"/>
              <w:pageBreakBefore w:val="0"/>
              <w:widowControl w:val="0"/>
              <w:kinsoku/>
              <w:wordWrap w:val="0"/>
              <w:overflowPunct/>
              <w:topLinePunct w:val="0"/>
              <w:bidi w:val="0"/>
              <w:spacing w:line="360" w:lineRule="auto"/>
              <w:ind w:left="105" w:leftChars="50" w:right="113" w:firstLine="210" w:firstLineChars="1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2.低价风险担保的期限：自低价风险担保生效之日起至竣工验收合格之日止。</w:t>
            </w:r>
          </w:p>
          <w:p w14:paraId="73BA7CA5">
            <w:pPr>
              <w:keepNext w:val="0"/>
              <w:keepLines w:val="0"/>
              <w:pageBreakBefore w:val="0"/>
              <w:widowControl w:val="0"/>
              <w:kinsoku/>
              <w:wordWrap w:val="0"/>
              <w:overflowPunct/>
              <w:topLinePunct w:val="0"/>
              <w:bidi w:val="0"/>
              <w:spacing w:line="360" w:lineRule="auto"/>
              <w:ind w:left="105" w:leftChars="50" w:right="113" w:firstLine="210" w:firstLineChars="1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3.低价风险担保的退还时间：工程竣工验收合格后14天内退还。</w:t>
            </w:r>
          </w:p>
        </w:tc>
      </w:tr>
      <w:tr w14:paraId="2B0A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5" w:type="pct"/>
            <w:noWrap w:val="0"/>
            <w:vAlign w:val="center"/>
          </w:tcPr>
          <w:p w14:paraId="06604E54">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38</w:t>
            </w:r>
          </w:p>
        </w:tc>
        <w:tc>
          <w:tcPr>
            <w:tcW w:w="831" w:type="pct"/>
            <w:noWrap w:val="0"/>
            <w:vAlign w:val="center"/>
          </w:tcPr>
          <w:p w14:paraId="6887A719">
            <w:pPr>
              <w:keepNext w:val="0"/>
              <w:keepLines w:val="0"/>
              <w:pageBreakBefore w:val="0"/>
              <w:widowControl w:val="0"/>
              <w:kinsoku/>
              <w:wordWrap w:val="0"/>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特别说明</w:t>
            </w:r>
          </w:p>
        </w:tc>
        <w:tc>
          <w:tcPr>
            <w:tcW w:w="3583" w:type="pct"/>
            <w:noWrap w:val="0"/>
            <w:vAlign w:val="center"/>
          </w:tcPr>
          <w:p w14:paraId="4D0D3EC0">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1.除不可抗力外，中标人放弃中选项目的，比选人可取消其中选资格，没收其比选保证金，并取消其1年在比选人参加比选的资格；因比选人重新比选或另行选择中标人给比选人造成经济损失的，依法承担赔偿责任。排名第一的中选候选人如放弃中选项目，按序确定排名第二或第三的中选候选人为中标人。</w:t>
            </w:r>
          </w:p>
          <w:p w14:paraId="2ED8210E">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2.合同协议书的签订</w:t>
            </w:r>
          </w:p>
          <w:p w14:paraId="346993C7">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2.1.按照采购文件和中选人的竞选文件签订采购合同，中选公告结束10个工作日内，中标人联系采购人签订合同。</w:t>
            </w:r>
          </w:p>
          <w:p w14:paraId="40829026">
            <w:pPr>
              <w:keepNext w:val="0"/>
              <w:keepLines w:val="0"/>
              <w:pageBreakBefore w:val="0"/>
              <w:widowControl w:val="0"/>
              <w:kinsoku/>
              <w:wordWrap w:val="0"/>
              <w:overflowPunct/>
              <w:topLinePunct w:val="0"/>
              <w:bidi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kern w:val="0"/>
                <w:sz w:val="21"/>
                <w:szCs w:val="21"/>
              </w:rPr>
              <w:t>2.2.中选人应当按照合同约定履行义务。</w:t>
            </w:r>
          </w:p>
        </w:tc>
      </w:tr>
    </w:tbl>
    <w:p w14:paraId="587AD431">
      <w:pPr>
        <w:spacing w:line="360" w:lineRule="auto"/>
        <w:rPr>
          <w:rFonts w:ascii="宋体"/>
          <w:b/>
        </w:rPr>
        <w:sectPr>
          <w:footerReference r:id="rId5" w:type="default"/>
          <w:pgSz w:w="11906" w:h="16838"/>
          <w:pgMar w:top="1440" w:right="1298" w:bottom="1440" w:left="1298" w:header="851" w:footer="992" w:gutter="0"/>
          <w:pgNumType w:start="1" w:chapStyle="1"/>
          <w:cols w:space="720" w:num="1"/>
          <w:docGrid w:linePitch="312" w:charSpace="0"/>
        </w:sectPr>
      </w:pPr>
    </w:p>
    <w:bookmarkEnd w:id="94"/>
    <w:bookmarkEnd w:id="95"/>
    <w:bookmarkEnd w:id="96"/>
    <w:bookmarkEnd w:id="97"/>
    <w:bookmarkEnd w:id="98"/>
    <w:p w14:paraId="2B4A2E9D">
      <w:pPr>
        <w:pStyle w:val="5"/>
        <w:spacing w:before="0" w:after="0" w:line="360" w:lineRule="auto"/>
        <w:rPr>
          <w:rFonts w:hint="eastAsia" w:ascii="宋体" w:hAnsi="宋体" w:cs="宋体"/>
          <w:sz w:val="21"/>
          <w:szCs w:val="21"/>
        </w:rPr>
      </w:pPr>
      <w:bookmarkStart w:id="107" w:name="_Toc293756836"/>
      <w:bookmarkStart w:id="108" w:name="_Toc22962"/>
      <w:bookmarkStart w:id="109" w:name="_Toc152042364"/>
      <w:bookmarkStart w:id="110" w:name="_Toc144974554"/>
      <w:bookmarkStart w:id="111" w:name="_Toc416768986"/>
      <w:bookmarkStart w:id="112" w:name="_Toc24246"/>
      <w:bookmarkStart w:id="113" w:name="_Toc73140362"/>
      <w:bookmarkStart w:id="114" w:name="_Toc238552254"/>
      <w:bookmarkStart w:id="115" w:name="_Toc12422"/>
      <w:bookmarkStart w:id="116" w:name="_Toc152045587"/>
      <w:bookmarkStart w:id="117" w:name="_Toc238797609"/>
      <w:r>
        <w:rPr>
          <w:rFonts w:hint="eastAsia" w:ascii="宋体" w:hAnsi="宋体" w:cs="宋体"/>
          <w:sz w:val="21"/>
          <w:szCs w:val="21"/>
        </w:rPr>
        <w:t>1.总则</w:t>
      </w:r>
      <w:bookmarkEnd w:id="107"/>
    </w:p>
    <w:p w14:paraId="0E111DCB">
      <w:pPr>
        <w:pStyle w:val="5"/>
        <w:spacing w:before="0" w:after="0" w:line="360" w:lineRule="auto"/>
        <w:rPr>
          <w:rFonts w:hint="eastAsia" w:ascii="宋体" w:hAnsi="宋体" w:cs="宋体"/>
          <w:sz w:val="21"/>
          <w:szCs w:val="21"/>
        </w:rPr>
      </w:pPr>
      <w:bookmarkStart w:id="118" w:name="_Toc293756837"/>
      <w:bookmarkStart w:id="119" w:name="_Toc293756840"/>
      <w:r>
        <w:rPr>
          <w:rFonts w:hint="eastAsia" w:ascii="宋体" w:hAnsi="宋体" w:cs="宋体"/>
          <w:sz w:val="21"/>
          <w:szCs w:val="21"/>
        </w:rPr>
        <w:t>1.1 项目概况</w:t>
      </w:r>
      <w:bookmarkEnd w:id="118"/>
    </w:p>
    <w:p w14:paraId="58B78254">
      <w:pPr>
        <w:spacing w:line="360" w:lineRule="auto"/>
        <w:ind w:firstLine="210" w:firstLineChars="100"/>
        <w:rPr>
          <w:rFonts w:hint="eastAsia" w:ascii="宋体" w:hAnsi="宋体" w:cs="宋体"/>
          <w:szCs w:val="21"/>
        </w:rPr>
      </w:pPr>
      <w:r>
        <w:rPr>
          <w:rFonts w:hint="eastAsia" w:ascii="宋体" w:hAnsi="宋体" w:cs="宋体"/>
          <w:szCs w:val="21"/>
        </w:rPr>
        <w:t>1.1.1本比选项目已具备比选条件，现对本项目进行比选招标。</w:t>
      </w:r>
    </w:p>
    <w:p w14:paraId="51F385B0">
      <w:pPr>
        <w:spacing w:line="360" w:lineRule="auto"/>
        <w:ind w:firstLine="210" w:firstLineChars="100"/>
        <w:rPr>
          <w:rFonts w:hint="eastAsia" w:ascii="宋体" w:hAnsi="宋体" w:cs="宋体"/>
          <w:szCs w:val="21"/>
        </w:rPr>
      </w:pPr>
      <w:r>
        <w:rPr>
          <w:rFonts w:hint="eastAsia" w:ascii="宋体" w:hAnsi="宋体" w:cs="宋体"/>
          <w:szCs w:val="21"/>
        </w:rPr>
        <w:t>1.1.2 本比选项目比选人、项目名称、实施地点：见竞选人须知前附表。</w:t>
      </w:r>
    </w:p>
    <w:p w14:paraId="634CB04B">
      <w:pPr>
        <w:pStyle w:val="5"/>
        <w:spacing w:before="0" w:after="0" w:line="360" w:lineRule="auto"/>
        <w:rPr>
          <w:rFonts w:hint="eastAsia" w:ascii="宋体" w:hAnsi="宋体" w:cs="宋体"/>
          <w:sz w:val="21"/>
          <w:szCs w:val="21"/>
        </w:rPr>
      </w:pPr>
      <w:bookmarkStart w:id="120" w:name="_Toc293756838"/>
      <w:r>
        <w:rPr>
          <w:rFonts w:hint="eastAsia" w:ascii="宋体" w:hAnsi="宋体" w:cs="宋体"/>
          <w:sz w:val="21"/>
          <w:szCs w:val="21"/>
        </w:rPr>
        <w:t>1.2 资金来源和落实情况</w:t>
      </w:r>
      <w:bookmarkEnd w:id="120"/>
    </w:p>
    <w:p w14:paraId="6515F2D6">
      <w:pPr>
        <w:spacing w:line="360" w:lineRule="auto"/>
        <w:ind w:firstLine="210" w:firstLineChars="100"/>
        <w:rPr>
          <w:rFonts w:hint="eastAsia" w:ascii="宋体" w:hAnsi="宋体" w:cs="宋体"/>
          <w:szCs w:val="21"/>
        </w:rPr>
      </w:pPr>
      <w:r>
        <w:rPr>
          <w:rFonts w:hint="eastAsia" w:ascii="宋体" w:hAnsi="宋体" w:cs="宋体"/>
          <w:szCs w:val="21"/>
        </w:rPr>
        <w:t>本比选项目的资金来源及落实情况见竞选人须知前附表。</w:t>
      </w:r>
    </w:p>
    <w:p w14:paraId="55583B04">
      <w:pPr>
        <w:pStyle w:val="5"/>
        <w:spacing w:before="0" w:after="0" w:line="360" w:lineRule="auto"/>
        <w:rPr>
          <w:rFonts w:hint="eastAsia" w:ascii="宋体" w:hAnsi="宋体" w:cs="宋体"/>
          <w:sz w:val="21"/>
          <w:szCs w:val="21"/>
        </w:rPr>
      </w:pPr>
      <w:bookmarkStart w:id="121" w:name="_Toc293756839"/>
      <w:r>
        <w:rPr>
          <w:rFonts w:hint="eastAsia" w:ascii="宋体" w:hAnsi="宋体" w:cs="宋体"/>
          <w:sz w:val="21"/>
          <w:szCs w:val="21"/>
        </w:rPr>
        <w:t>1.3 比选范围、工期和质量要求</w:t>
      </w:r>
      <w:bookmarkEnd w:id="121"/>
    </w:p>
    <w:p w14:paraId="196ED6A0">
      <w:pPr>
        <w:spacing w:line="360" w:lineRule="auto"/>
        <w:ind w:firstLine="210" w:firstLineChars="100"/>
        <w:rPr>
          <w:rFonts w:hint="eastAsia" w:ascii="宋体" w:hAnsi="宋体" w:cs="宋体"/>
          <w:szCs w:val="21"/>
        </w:rPr>
      </w:pPr>
      <w:r>
        <w:rPr>
          <w:rFonts w:hint="eastAsia" w:ascii="宋体" w:hAnsi="宋体" w:cs="宋体"/>
          <w:szCs w:val="21"/>
        </w:rPr>
        <w:t>本比选项目的比选范围、工期、质量要求见竞选人须知前附表。</w:t>
      </w:r>
    </w:p>
    <w:p w14:paraId="02B75070">
      <w:pPr>
        <w:pStyle w:val="5"/>
        <w:spacing w:before="0" w:after="0" w:line="360" w:lineRule="auto"/>
        <w:rPr>
          <w:rFonts w:hint="eastAsia" w:ascii="宋体" w:hAnsi="宋体" w:cs="宋体"/>
          <w:sz w:val="21"/>
          <w:szCs w:val="21"/>
        </w:rPr>
      </w:pPr>
      <w:r>
        <w:rPr>
          <w:rFonts w:hint="eastAsia" w:ascii="宋体" w:hAnsi="宋体" w:cs="宋体"/>
          <w:sz w:val="21"/>
          <w:szCs w:val="21"/>
        </w:rPr>
        <w:t>1.4 竞选人资格要求</w:t>
      </w:r>
      <w:bookmarkEnd w:id="119"/>
    </w:p>
    <w:p w14:paraId="42315638">
      <w:pPr>
        <w:spacing w:line="360" w:lineRule="auto"/>
        <w:ind w:firstLine="105" w:firstLineChars="50"/>
        <w:rPr>
          <w:rFonts w:hint="eastAsia" w:ascii="宋体" w:hAnsi="宋体" w:cs="宋体"/>
          <w:szCs w:val="21"/>
        </w:rPr>
      </w:pPr>
      <w:r>
        <w:rPr>
          <w:rFonts w:hint="eastAsia" w:ascii="宋体" w:hAnsi="宋体" w:cs="宋体"/>
          <w:szCs w:val="21"/>
        </w:rPr>
        <w:t>1.4.1 竞选人应具备的资质条件、能力: 见竞选人须知前附表。</w:t>
      </w:r>
    </w:p>
    <w:p w14:paraId="2A20EA70">
      <w:pPr>
        <w:spacing w:line="360" w:lineRule="auto"/>
        <w:ind w:firstLine="105" w:firstLineChars="50"/>
        <w:rPr>
          <w:rFonts w:hint="eastAsia" w:ascii="宋体" w:hAnsi="宋体" w:cs="宋体"/>
          <w:szCs w:val="21"/>
        </w:rPr>
      </w:pPr>
      <w:r>
        <w:rPr>
          <w:rFonts w:hint="eastAsia" w:ascii="宋体" w:hAnsi="宋体" w:cs="宋体"/>
          <w:szCs w:val="21"/>
        </w:rPr>
        <w:t>1.4.2 本次比选不接受联合体。</w:t>
      </w:r>
    </w:p>
    <w:p w14:paraId="3F2A8C99">
      <w:pPr>
        <w:spacing w:line="360" w:lineRule="auto"/>
        <w:ind w:firstLine="105" w:firstLineChars="50"/>
        <w:rPr>
          <w:rFonts w:hint="eastAsia" w:ascii="宋体" w:hAnsi="宋体" w:cs="宋体"/>
          <w:szCs w:val="21"/>
        </w:rPr>
      </w:pPr>
      <w:r>
        <w:rPr>
          <w:rFonts w:hint="eastAsia" w:ascii="宋体" w:hAnsi="宋体" w:cs="宋体"/>
          <w:szCs w:val="21"/>
        </w:rPr>
        <w:t>1.4.3 竞选人不得存在下列情形之一：</w:t>
      </w:r>
    </w:p>
    <w:p w14:paraId="62145D38">
      <w:pPr>
        <w:spacing w:line="360" w:lineRule="auto"/>
        <w:ind w:firstLine="105" w:firstLineChars="50"/>
        <w:rPr>
          <w:rFonts w:hint="eastAsia" w:ascii="宋体" w:hAnsi="宋体" w:cs="宋体"/>
          <w:szCs w:val="21"/>
        </w:rPr>
      </w:pPr>
      <w:r>
        <w:rPr>
          <w:rFonts w:hint="eastAsia" w:ascii="宋体" w:hAnsi="宋体" w:cs="宋体"/>
          <w:szCs w:val="21"/>
        </w:rPr>
        <w:t>（1）为比选人不具有独立法人资格的附属机构（单位）；</w:t>
      </w:r>
    </w:p>
    <w:p w14:paraId="52E904E4">
      <w:pPr>
        <w:spacing w:line="360" w:lineRule="auto"/>
        <w:ind w:firstLine="315" w:firstLineChars="150"/>
        <w:rPr>
          <w:rFonts w:hint="eastAsia" w:ascii="宋体" w:hAnsi="宋体" w:cs="宋体"/>
          <w:szCs w:val="21"/>
        </w:rPr>
      </w:pPr>
      <w:r>
        <w:rPr>
          <w:rFonts w:hint="eastAsia" w:ascii="宋体" w:hAnsi="宋体" w:cs="宋体"/>
          <w:szCs w:val="21"/>
        </w:rPr>
        <w:t>（2）为本招标项目的监理单位；</w:t>
      </w:r>
    </w:p>
    <w:p w14:paraId="485C5F01">
      <w:pPr>
        <w:spacing w:line="360" w:lineRule="auto"/>
        <w:ind w:firstLine="315" w:firstLineChars="150"/>
        <w:rPr>
          <w:rFonts w:hint="eastAsia" w:ascii="宋体" w:hAnsi="宋体" w:cs="宋体"/>
          <w:szCs w:val="21"/>
        </w:rPr>
      </w:pPr>
      <w:r>
        <w:rPr>
          <w:rFonts w:hint="eastAsia" w:ascii="宋体" w:hAnsi="宋体" w:cs="宋体"/>
          <w:szCs w:val="21"/>
        </w:rPr>
        <w:t>（3）为本招标项目的代建单位；</w:t>
      </w:r>
    </w:p>
    <w:p w14:paraId="68BE1584">
      <w:pPr>
        <w:spacing w:line="360" w:lineRule="auto"/>
        <w:ind w:firstLine="315" w:firstLineChars="150"/>
        <w:rPr>
          <w:rFonts w:hint="eastAsia" w:ascii="宋体" w:hAnsi="宋体" w:cs="宋体"/>
          <w:szCs w:val="21"/>
        </w:rPr>
      </w:pPr>
      <w:r>
        <w:rPr>
          <w:rFonts w:hint="eastAsia" w:ascii="宋体" w:hAnsi="宋体" w:cs="宋体"/>
          <w:szCs w:val="21"/>
        </w:rPr>
        <w:t>（4）为本招标项目的项目管理单位；</w:t>
      </w:r>
    </w:p>
    <w:p w14:paraId="62AC3A35">
      <w:pPr>
        <w:spacing w:line="360" w:lineRule="auto"/>
        <w:ind w:firstLine="315" w:firstLineChars="150"/>
        <w:rPr>
          <w:rFonts w:hint="eastAsia" w:ascii="宋体" w:hAnsi="宋体" w:cs="宋体"/>
          <w:szCs w:val="21"/>
        </w:rPr>
      </w:pPr>
      <w:r>
        <w:rPr>
          <w:rFonts w:hint="eastAsia" w:ascii="宋体" w:hAnsi="宋体" w:cs="宋体"/>
          <w:szCs w:val="21"/>
        </w:rPr>
        <w:t>（5）为本招标项目的造价咨询单位；</w:t>
      </w:r>
    </w:p>
    <w:p w14:paraId="7823BC8A">
      <w:pPr>
        <w:spacing w:line="360" w:lineRule="auto"/>
        <w:ind w:firstLine="315" w:firstLineChars="150"/>
        <w:rPr>
          <w:rFonts w:hint="eastAsia" w:ascii="宋体" w:hAnsi="宋体" w:cs="宋体"/>
          <w:szCs w:val="21"/>
        </w:rPr>
      </w:pPr>
      <w:r>
        <w:rPr>
          <w:rFonts w:hint="eastAsia" w:ascii="宋体" w:hAnsi="宋体" w:cs="宋体"/>
          <w:szCs w:val="21"/>
        </w:rPr>
        <w:t>（6）为本招标项目提供比选代理服务的；</w:t>
      </w:r>
    </w:p>
    <w:p w14:paraId="64136235">
      <w:pPr>
        <w:spacing w:line="360" w:lineRule="auto"/>
        <w:ind w:firstLine="315" w:firstLineChars="150"/>
        <w:rPr>
          <w:rFonts w:hint="eastAsia" w:ascii="宋体" w:hAnsi="宋体" w:cs="宋体"/>
          <w:szCs w:val="21"/>
        </w:rPr>
      </w:pPr>
      <w:r>
        <w:rPr>
          <w:rFonts w:hint="eastAsia" w:ascii="宋体" w:hAnsi="宋体" w:cs="宋体"/>
          <w:szCs w:val="21"/>
        </w:rPr>
        <w:t xml:space="preserve">（7）被责令停产停业、暂扣或者吊销许可证、暂扣或者吊销执照； </w:t>
      </w:r>
    </w:p>
    <w:p w14:paraId="130F9707">
      <w:pPr>
        <w:spacing w:line="360" w:lineRule="auto"/>
        <w:ind w:firstLine="315" w:firstLineChars="150"/>
        <w:rPr>
          <w:rFonts w:hint="eastAsia" w:ascii="宋体" w:hAnsi="宋体" w:cs="宋体"/>
          <w:szCs w:val="21"/>
        </w:rPr>
      </w:pPr>
      <w:r>
        <w:rPr>
          <w:rFonts w:hint="eastAsia" w:ascii="宋体" w:hAnsi="宋体" w:cs="宋体"/>
          <w:szCs w:val="21"/>
        </w:rPr>
        <w:t xml:space="preserve">（8）被国家、重庆市（含市或任意区县）有关行政部门处以暂停投标资格行政处罚，且在处罚期限内的； </w:t>
      </w:r>
    </w:p>
    <w:p w14:paraId="5E3D3F3A">
      <w:pPr>
        <w:spacing w:line="360" w:lineRule="auto"/>
        <w:ind w:firstLine="315" w:firstLineChars="150"/>
        <w:rPr>
          <w:rFonts w:hint="eastAsia" w:ascii="宋体" w:hAnsi="宋体" w:cs="宋体"/>
          <w:szCs w:val="21"/>
        </w:rPr>
      </w:pPr>
      <w:r>
        <w:rPr>
          <w:rFonts w:hint="eastAsia" w:ascii="宋体" w:hAnsi="宋体" w:cs="宋体"/>
          <w:szCs w:val="21"/>
        </w:rPr>
        <w:t>（9）进入清算程序，或被宣告破产，或其他丧失履约能力的情形；</w:t>
      </w:r>
    </w:p>
    <w:p w14:paraId="75950D40">
      <w:pPr>
        <w:spacing w:line="360" w:lineRule="auto"/>
        <w:ind w:firstLine="315" w:firstLineChars="150"/>
        <w:rPr>
          <w:rFonts w:hint="eastAsia" w:ascii="宋体" w:hAnsi="宋体" w:cs="宋体"/>
          <w:szCs w:val="21"/>
        </w:rPr>
      </w:pPr>
      <w:r>
        <w:rPr>
          <w:rFonts w:hint="eastAsia" w:ascii="宋体" w:hAnsi="宋体" w:cs="宋体"/>
          <w:szCs w:val="21"/>
        </w:rPr>
        <w:t>（10）为本项目的项目建议书、可行性研究报告、初步设计文件编制单位或评估单位且比选人在投标截止前未公开已经完成的项目建议书、可行性研究报告、初步设计文件的。（适用于政府投资项目）</w:t>
      </w:r>
    </w:p>
    <w:p w14:paraId="38DF2B53">
      <w:pPr>
        <w:spacing w:line="360" w:lineRule="auto"/>
        <w:ind w:firstLine="315" w:firstLineChars="150"/>
        <w:rPr>
          <w:rFonts w:hint="eastAsia" w:ascii="宋体" w:hAnsi="宋体" w:cs="宋体"/>
          <w:szCs w:val="21"/>
        </w:rPr>
      </w:pPr>
      <w:r>
        <w:rPr>
          <w:rFonts w:hint="eastAsia" w:ascii="宋体" w:hAnsi="宋体" w:cs="宋体"/>
          <w:szCs w:val="21"/>
        </w:rPr>
        <w:t>（11）与本招标项目的监理单位或代建单位或项目管理单位或造价咨询单位或比选代理机构同为一个法定代表人的；</w:t>
      </w:r>
    </w:p>
    <w:p w14:paraId="53F98BC2">
      <w:pPr>
        <w:spacing w:line="360" w:lineRule="auto"/>
        <w:ind w:firstLine="315" w:firstLineChars="150"/>
        <w:rPr>
          <w:rFonts w:hint="eastAsia" w:ascii="宋体" w:hAnsi="宋体" w:cs="宋体"/>
          <w:szCs w:val="21"/>
        </w:rPr>
      </w:pPr>
      <w:r>
        <w:rPr>
          <w:rFonts w:hint="eastAsia" w:ascii="宋体" w:hAnsi="宋体" w:cs="宋体"/>
          <w:szCs w:val="21"/>
        </w:rPr>
        <w:t>（12）与本招标项目的监理单位或代建单位或项目管理单位或造价咨询单位或比选代理机构存在控股或参股的；</w:t>
      </w:r>
    </w:p>
    <w:p w14:paraId="01E7107D">
      <w:pPr>
        <w:spacing w:line="360" w:lineRule="auto"/>
        <w:ind w:firstLine="315" w:firstLineChars="150"/>
        <w:rPr>
          <w:rFonts w:hint="eastAsia" w:ascii="宋体" w:hAnsi="宋体" w:cs="宋体"/>
          <w:szCs w:val="21"/>
        </w:rPr>
      </w:pPr>
      <w:r>
        <w:rPr>
          <w:rFonts w:hint="eastAsia" w:ascii="宋体" w:hAnsi="宋体" w:cs="宋体"/>
          <w:szCs w:val="21"/>
        </w:rPr>
        <w:t>（13）与本招标项目的监理单位或代建单位或项目管理单位或造价咨询单位或比选代理机构存在任职或工作的。</w:t>
      </w:r>
    </w:p>
    <w:p w14:paraId="4646D62C">
      <w:pPr>
        <w:spacing w:line="360" w:lineRule="auto"/>
        <w:ind w:firstLine="315" w:firstLineChars="150"/>
        <w:rPr>
          <w:rFonts w:hint="eastAsia" w:ascii="宋体" w:hAnsi="宋体" w:cs="宋体"/>
          <w:szCs w:val="21"/>
        </w:rPr>
      </w:pPr>
      <w:r>
        <w:rPr>
          <w:rFonts w:hint="eastAsia" w:ascii="宋体" w:hAnsi="宋体" w:cs="宋体"/>
          <w:szCs w:val="21"/>
        </w:rPr>
        <w:t>（14）与本招标项目其他竞选人的单位负责人为同一人或者存在控股、管理关系的。</w:t>
      </w:r>
    </w:p>
    <w:p w14:paraId="256AF593">
      <w:pPr>
        <w:pStyle w:val="5"/>
        <w:spacing w:before="0" w:after="0" w:line="360" w:lineRule="auto"/>
        <w:rPr>
          <w:rFonts w:hint="eastAsia" w:ascii="宋体" w:hAnsi="宋体" w:cs="宋体"/>
          <w:sz w:val="21"/>
          <w:szCs w:val="21"/>
        </w:rPr>
      </w:pPr>
      <w:bookmarkStart w:id="122" w:name="_Toc293756841"/>
      <w:r>
        <w:rPr>
          <w:rFonts w:hint="eastAsia" w:ascii="宋体" w:hAnsi="宋体" w:cs="宋体"/>
          <w:sz w:val="21"/>
          <w:szCs w:val="21"/>
        </w:rPr>
        <w:t>1.5 费用承担</w:t>
      </w:r>
      <w:bookmarkEnd w:id="122"/>
    </w:p>
    <w:p w14:paraId="4787BC48">
      <w:pPr>
        <w:spacing w:line="360" w:lineRule="auto"/>
        <w:ind w:firstLine="420" w:firstLineChars="200"/>
        <w:rPr>
          <w:rFonts w:hint="eastAsia" w:ascii="宋体" w:hAnsi="宋体" w:cs="宋体"/>
          <w:szCs w:val="21"/>
        </w:rPr>
      </w:pPr>
      <w:r>
        <w:rPr>
          <w:rFonts w:hint="eastAsia" w:ascii="宋体" w:hAnsi="宋体" w:cs="宋体"/>
          <w:szCs w:val="21"/>
        </w:rPr>
        <w:t>竞选人准备和参加比选活动发生的费用自理。</w:t>
      </w:r>
    </w:p>
    <w:p w14:paraId="2484E52D">
      <w:pPr>
        <w:pStyle w:val="5"/>
        <w:spacing w:before="0" w:after="0" w:line="360" w:lineRule="auto"/>
        <w:rPr>
          <w:rFonts w:hint="eastAsia" w:ascii="宋体" w:hAnsi="宋体" w:cs="宋体"/>
          <w:sz w:val="21"/>
          <w:szCs w:val="21"/>
        </w:rPr>
      </w:pPr>
      <w:bookmarkStart w:id="123" w:name="_Toc293756842"/>
      <w:r>
        <w:rPr>
          <w:rFonts w:hint="eastAsia" w:ascii="宋体" w:hAnsi="宋体" w:cs="宋体"/>
          <w:sz w:val="21"/>
          <w:szCs w:val="21"/>
        </w:rPr>
        <w:t>1.6 保密</w:t>
      </w:r>
      <w:bookmarkEnd w:id="123"/>
    </w:p>
    <w:p w14:paraId="4C1D0A5E">
      <w:pPr>
        <w:spacing w:line="360" w:lineRule="auto"/>
        <w:ind w:firstLine="420" w:firstLineChars="200"/>
        <w:rPr>
          <w:rFonts w:hint="eastAsia" w:ascii="宋体" w:hAnsi="宋体" w:cs="宋体"/>
          <w:szCs w:val="21"/>
        </w:rPr>
      </w:pPr>
      <w:r>
        <w:rPr>
          <w:rFonts w:hint="eastAsia" w:ascii="宋体" w:hAnsi="宋体" w:cs="宋体"/>
          <w:szCs w:val="21"/>
        </w:rPr>
        <w:t>参与比选活动的各方应对比选文件和比选文件中的商业和技术等秘密保密，违者应对由此造成的后果承担法律责任。</w:t>
      </w:r>
    </w:p>
    <w:p w14:paraId="5320F827">
      <w:pPr>
        <w:pStyle w:val="5"/>
        <w:spacing w:before="0" w:after="0" w:line="360" w:lineRule="auto"/>
        <w:rPr>
          <w:rFonts w:hint="eastAsia" w:ascii="宋体" w:hAnsi="宋体" w:cs="宋体"/>
          <w:sz w:val="21"/>
          <w:szCs w:val="21"/>
        </w:rPr>
      </w:pPr>
      <w:bookmarkStart w:id="124" w:name="_Toc293756843"/>
      <w:r>
        <w:rPr>
          <w:rFonts w:hint="eastAsia" w:ascii="宋体" w:hAnsi="宋体" w:cs="宋体"/>
          <w:sz w:val="21"/>
          <w:szCs w:val="21"/>
        </w:rPr>
        <w:t>1.7 语言文字</w:t>
      </w:r>
      <w:bookmarkEnd w:id="124"/>
    </w:p>
    <w:p w14:paraId="3CD6715C">
      <w:pPr>
        <w:spacing w:line="360" w:lineRule="auto"/>
        <w:ind w:firstLine="420" w:firstLineChars="200"/>
        <w:rPr>
          <w:rFonts w:hint="eastAsia" w:ascii="宋体" w:hAnsi="宋体" w:cs="宋体"/>
          <w:szCs w:val="21"/>
        </w:rPr>
      </w:pPr>
      <w:r>
        <w:rPr>
          <w:rFonts w:hint="eastAsia" w:ascii="宋体" w:hAnsi="宋体" w:cs="宋体"/>
          <w:szCs w:val="21"/>
        </w:rPr>
        <w:t>除专用术语外，与比选有关的语言均使用中文。必要时专用术语应附有中文注释。</w:t>
      </w:r>
    </w:p>
    <w:p w14:paraId="4B44D3AC">
      <w:pPr>
        <w:pStyle w:val="5"/>
        <w:spacing w:before="0" w:after="0" w:line="360" w:lineRule="auto"/>
        <w:rPr>
          <w:rFonts w:hint="eastAsia" w:ascii="宋体" w:hAnsi="宋体" w:cs="宋体"/>
          <w:sz w:val="21"/>
          <w:szCs w:val="21"/>
        </w:rPr>
      </w:pPr>
      <w:bookmarkStart w:id="125" w:name="_Toc293756844"/>
      <w:r>
        <w:rPr>
          <w:rFonts w:hint="eastAsia" w:ascii="宋体" w:hAnsi="宋体" w:cs="宋体"/>
          <w:sz w:val="21"/>
          <w:szCs w:val="21"/>
        </w:rPr>
        <w:t>1.8 计量单位</w:t>
      </w:r>
      <w:bookmarkEnd w:id="125"/>
    </w:p>
    <w:p w14:paraId="56B14C65">
      <w:pPr>
        <w:spacing w:line="360" w:lineRule="auto"/>
        <w:ind w:firstLine="420" w:firstLineChars="200"/>
        <w:rPr>
          <w:rFonts w:hint="eastAsia" w:ascii="宋体" w:hAnsi="宋体" w:cs="宋体"/>
          <w:szCs w:val="21"/>
        </w:rPr>
      </w:pPr>
      <w:r>
        <w:rPr>
          <w:rFonts w:hint="eastAsia" w:ascii="宋体" w:hAnsi="宋体" w:cs="宋体"/>
          <w:szCs w:val="21"/>
        </w:rPr>
        <w:t>所有计量均采用中华人民共和国法定计量单位。</w:t>
      </w:r>
    </w:p>
    <w:p w14:paraId="049C33E9">
      <w:pPr>
        <w:pStyle w:val="5"/>
        <w:spacing w:before="0" w:after="0" w:line="360" w:lineRule="auto"/>
        <w:rPr>
          <w:rFonts w:hint="eastAsia" w:ascii="宋体" w:hAnsi="宋体" w:cs="宋体"/>
          <w:sz w:val="21"/>
          <w:szCs w:val="21"/>
        </w:rPr>
      </w:pPr>
      <w:bookmarkStart w:id="126" w:name="_Toc293756845"/>
      <w:r>
        <w:rPr>
          <w:rFonts w:hint="eastAsia" w:ascii="宋体" w:hAnsi="宋体" w:cs="宋体"/>
          <w:sz w:val="21"/>
          <w:szCs w:val="21"/>
        </w:rPr>
        <w:t>1.9 踏勘现场</w:t>
      </w:r>
      <w:bookmarkEnd w:id="126"/>
    </w:p>
    <w:p w14:paraId="0AB4E00D">
      <w:pPr>
        <w:spacing w:line="360" w:lineRule="auto"/>
        <w:ind w:firstLine="420" w:firstLineChars="200"/>
        <w:rPr>
          <w:rFonts w:ascii="宋体"/>
        </w:rPr>
      </w:pPr>
      <w:r>
        <w:rPr>
          <w:rFonts w:hint="eastAsia" w:ascii="宋体" w:hAnsi="宋体" w:cs="宋体"/>
          <w:szCs w:val="21"/>
        </w:rPr>
        <w:t xml:space="preserve">1.9.1 </w:t>
      </w:r>
      <w:r>
        <w:rPr>
          <w:rFonts w:hint="eastAsia" w:ascii="宋体" w:hAnsi="宋体" w:cs="宋体"/>
          <w:sz w:val="22"/>
          <w:szCs w:val="22"/>
        </w:rPr>
        <w:t xml:space="preserve"> </w:t>
      </w:r>
      <w:r>
        <w:rPr>
          <w:rFonts w:hint="eastAsia" w:ascii="宋体" w:hAnsi="宋体"/>
          <w:szCs w:val="28"/>
        </w:rPr>
        <w:t>本项目不组织踏勘现场，由竞选人自行踏勘。</w:t>
      </w:r>
    </w:p>
    <w:p w14:paraId="31475945">
      <w:pPr>
        <w:spacing w:line="360" w:lineRule="auto"/>
        <w:ind w:firstLine="420" w:firstLineChars="200"/>
        <w:rPr>
          <w:rFonts w:hint="eastAsia" w:ascii="宋体" w:hAnsi="宋体" w:cs="宋体"/>
          <w:szCs w:val="21"/>
        </w:rPr>
      </w:pPr>
      <w:r>
        <w:rPr>
          <w:rFonts w:hint="eastAsia" w:ascii="宋体" w:hAnsi="宋体" w:cs="宋体"/>
          <w:szCs w:val="21"/>
        </w:rPr>
        <w:t>1.9.2  竞选人踏勘现场发生的费用自理。</w:t>
      </w:r>
    </w:p>
    <w:p w14:paraId="65E1FA54">
      <w:pPr>
        <w:spacing w:line="360" w:lineRule="auto"/>
        <w:ind w:firstLine="420" w:firstLineChars="200"/>
        <w:rPr>
          <w:rFonts w:hint="eastAsia" w:ascii="宋体" w:hAnsi="宋体" w:cs="宋体"/>
          <w:szCs w:val="21"/>
        </w:rPr>
      </w:pPr>
      <w:r>
        <w:rPr>
          <w:rFonts w:hint="eastAsia" w:ascii="宋体" w:hAnsi="宋体" w:cs="宋体"/>
          <w:szCs w:val="21"/>
        </w:rPr>
        <w:t>1.9.3  除比选人的原因外，竞选人自行负责在踏勘现场中所发生的人员伤亡和财产损失。</w:t>
      </w:r>
    </w:p>
    <w:p w14:paraId="420D3F99">
      <w:pPr>
        <w:pStyle w:val="5"/>
        <w:spacing w:before="0" w:after="0" w:line="360" w:lineRule="auto"/>
        <w:rPr>
          <w:rFonts w:hint="eastAsia" w:ascii="宋体" w:hAnsi="宋体" w:cs="宋体"/>
          <w:sz w:val="21"/>
          <w:szCs w:val="21"/>
        </w:rPr>
      </w:pPr>
      <w:bookmarkStart w:id="127" w:name="_Toc293756846"/>
      <w:r>
        <w:rPr>
          <w:rFonts w:hint="eastAsia" w:ascii="宋体" w:hAnsi="宋体" w:cs="宋体"/>
          <w:sz w:val="21"/>
          <w:szCs w:val="21"/>
        </w:rPr>
        <w:t>1.10 比选预备会</w:t>
      </w:r>
      <w:bookmarkEnd w:id="127"/>
    </w:p>
    <w:p w14:paraId="40640C98">
      <w:pPr>
        <w:spacing w:line="360" w:lineRule="auto"/>
        <w:ind w:firstLine="420" w:firstLineChars="200"/>
        <w:rPr>
          <w:rFonts w:hint="eastAsia" w:ascii="宋体" w:hAnsi="宋体" w:cs="宋体"/>
          <w:szCs w:val="21"/>
        </w:rPr>
      </w:pPr>
      <w:r>
        <w:rPr>
          <w:rFonts w:hint="eastAsia" w:ascii="宋体" w:hAnsi="宋体" w:cs="宋体"/>
          <w:szCs w:val="21"/>
        </w:rPr>
        <w:t>不召开。</w:t>
      </w:r>
    </w:p>
    <w:p w14:paraId="56BBF2F3">
      <w:pPr>
        <w:pStyle w:val="5"/>
        <w:spacing w:before="0" w:after="0" w:line="360" w:lineRule="auto"/>
        <w:rPr>
          <w:rFonts w:hint="eastAsia" w:ascii="宋体" w:hAnsi="宋体" w:cs="宋体"/>
          <w:sz w:val="21"/>
          <w:szCs w:val="21"/>
        </w:rPr>
      </w:pPr>
      <w:bookmarkStart w:id="128" w:name="_Toc293756847"/>
      <w:r>
        <w:rPr>
          <w:rFonts w:hint="eastAsia" w:ascii="宋体" w:hAnsi="宋体" w:cs="宋体"/>
          <w:sz w:val="21"/>
          <w:szCs w:val="21"/>
        </w:rPr>
        <w:t>1.11 分包</w:t>
      </w:r>
      <w:bookmarkEnd w:id="128"/>
    </w:p>
    <w:p w14:paraId="50CF8EF3">
      <w:pPr>
        <w:spacing w:line="360" w:lineRule="auto"/>
        <w:ind w:firstLine="420" w:firstLineChars="200"/>
        <w:rPr>
          <w:rFonts w:hint="eastAsia" w:ascii="宋体" w:hAnsi="宋体" w:cs="宋体"/>
          <w:szCs w:val="21"/>
        </w:rPr>
      </w:pPr>
      <w:r>
        <w:rPr>
          <w:rFonts w:hint="eastAsia" w:ascii="宋体" w:hAnsi="宋体" w:cs="宋体"/>
          <w:szCs w:val="21"/>
        </w:rPr>
        <w:t>不允许分包。</w:t>
      </w:r>
    </w:p>
    <w:p w14:paraId="1A9FA936">
      <w:pPr>
        <w:spacing w:line="360" w:lineRule="auto"/>
        <w:rPr>
          <w:rFonts w:hint="eastAsia" w:ascii="宋体" w:hAnsi="宋体" w:cs="宋体"/>
          <w:b/>
          <w:bCs/>
          <w:szCs w:val="21"/>
        </w:rPr>
      </w:pPr>
      <w:r>
        <w:rPr>
          <w:rFonts w:hint="eastAsia" w:ascii="宋体" w:hAnsi="宋体" w:cs="宋体"/>
          <w:b/>
          <w:bCs/>
          <w:szCs w:val="21"/>
        </w:rPr>
        <w:t>1.12 偏离</w:t>
      </w:r>
    </w:p>
    <w:p w14:paraId="6EFAB53C">
      <w:pPr>
        <w:spacing w:line="360" w:lineRule="auto"/>
        <w:ind w:firstLine="420" w:firstLineChars="200"/>
        <w:rPr>
          <w:rFonts w:hint="eastAsia" w:ascii="宋体" w:hAnsi="宋体" w:cs="宋体"/>
          <w:szCs w:val="21"/>
        </w:rPr>
      </w:pPr>
      <w:r>
        <w:rPr>
          <w:rFonts w:hint="eastAsia" w:ascii="宋体" w:hAnsi="宋体" w:cs="宋体"/>
          <w:szCs w:val="21"/>
        </w:rPr>
        <w:t>不允许。</w:t>
      </w:r>
    </w:p>
    <w:p w14:paraId="68D1693B">
      <w:pPr>
        <w:pStyle w:val="5"/>
        <w:spacing w:before="0" w:after="0" w:line="360" w:lineRule="auto"/>
        <w:rPr>
          <w:rFonts w:hint="eastAsia" w:ascii="宋体" w:hAnsi="宋体" w:cs="宋体"/>
          <w:sz w:val="21"/>
          <w:szCs w:val="21"/>
        </w:rPr>
      </w:pPr>
      <w:r>
        <w:rPr>
          <w:rFonts w:hint="eastAsia" w:ascii="宋体" w:hAnsi="宋体" w:cs="宋体"/>
          <w:sz w:val="21"/>
          <w:szCs w:val="21"/>
        </w:rPr>
        <w:t>2.比选文件</w:t>
      </w:r>
    </w:p>
    <w:p w14:paraId="25B7E6AF">
      <w:pPr>
        <w:pStyle w:val="5"/>
        <w:spacing w:before="0" w:after="0" w:line="360" w:lineRule="auto"/>
        <w:ind w:firstLine="105" w:firstLineChars="50"/>
        <w:rPr>
          <w:rFonts w:hint="eastAsia" w:ascii="宋体" w:hAnsi="宋体" w:cs="宋体"/>
          <w:sz w:val="21"/>
          <w:szCs w:val="21"/>
        </w:rPr>
      </w:pPr>
      <w:bookmarkStart w:id="129" w:name="_Toc293756848"/>
      <w:r>
        <w:rPr>
          <w:rFonts w:hint="eastAsia" w:ascii="宋体" w:hAnsi="宋体" w:cs="宋体"/>
          <w:sz w:val="21"/>
          <w:szCs w:val="21"/>
        </w:rPr>
        <w:t>2.1比选文件的组成</w:t>
      </w:r>
      <w:bookmarkEnd w:id="129"/>
    </w:p>
    <w:p w14:paraId="5E7757F6">
      <w:pPr>
        <w:spacing w:line="360" w:lineRule="auto"/>
        <w:rPr>
          <w:rFonts w:hint="eastAsia" w:ascii="宋体" w:hAnsi="宋体" w:cs="宋体"/>
          <w:szCs w:val="21"/>
        </w:rPr>
      </w:pPr>
      <w:r>
        <w:rPr>
          <w:rFonts w:hint="eastAsia" w:ascii="宋体" w:hAnsi="宋体" w:cs="宋体"/>
          <w:szCs w:val="21"/>
        </w:rPr>
        <w:t>本比选文件包括：</w:t>
      </w:r>
    </w:p>
    <w:p w14:paraId="24256F3D">
      <w:pPr>
        <w:spacing w:line="360" w:lineRule="auto"/>
        <w:rPr>
          <w:rFonts w:hint="eastAsia" w:ascii="宋体" w:hAnsi="宋体" w:cs="宋体"/>
          <w:szCs w:val="21"/>
        </w:rPr>
      </w:pPr>
      <w:r>
        <w:rPr>
          <w:rFonts w:hint="eastAsia" w:ascii="宋体" w:hAnsi="宋体" w:cs="宋体"/>
          <w:szCs w:val="21"/>
        </w:rPr>
        <w:t>（1）比选公告</w:t>
      </w:r>
    </w:p>
    <w:p w14:paraId="3E33C3BD">
      <w:pPr>
        <w:spacing w:line="360" w:lineRule="auto"/>
        <w:rPr>
          <w:rFonts w:hint="eastAsia" w:ascii="宋体" w:hAnsi="宋体" w:cs="宋体"/>
          <w:szCs w:val="21"/>
        </w:rPr>
      </w:pPr>
      <w:r>
        <w:rPr>
          <w:rFonts w:hint="eastAsia" w:ascii="宋体" w:hAnsi="宋体" w:cs="宋体"/>
          <w:szCs w:val="21"/>
        </w:rPr>
        <w:t>（2）竞选人须知</w:t>
      </w:r>
    </w:p>
    <w:p w14:paraId="5077E10E">
      <w:pPr>
        <w:spacing w:line="360" w:lineRule="auto"/>
        <w:rPr>
          <w:rFonts w:hint="eastAsia" w:ascii="宋体" w:hAnsi="宋体" w:cs="宋体"/>
          <w:szCs w:val="21"/>
        </w:rPr>
      </w:pPr>
      <w:r>
        <w:rPr>
          <w:rFonts w:hint="eastAsia" w:ascii="宋体" w:hAnsi="宋体" w:cs="宋体"/>
          <w:szCs w:val="21"/>
        </w:rPr>
        <w:t>（3）评审办法</w:t>
      </w:r>
    </w:p>
    <w:p w14:paraId="7E5736F1">
      <w:pPr>
        <w:spacing w:line="360" w:lineRule="auto"/>
        <w:rPr>
          <w:rFonts w:hint="eastAsia" w:ascii="宋体" w:hAnsi="宋体" w:cs="宋体"/>
          <w:szCs w:val="21"/>
        </w:rPr>
      </w:pPr>
      <w:r>
        <w:rPr>
          <w:rFonts w:hint="eastAsia" w:ascii="宋体" w:hAnsi="宋体" w:cs="宋体"/>
          <w:szCs w:val="21"/>
        </w:rPr>
        <w:t>（4）合同条款及格式</w:t>
      </w:r>
    </w:p>
    <w:p w14:paraId="20E81856">
      <w:pPr>
        <w:spacing w:line="360" w:lineRule="auto"/>
        <w:rPr>
          <w:rFonts w:hint="eastAsia" w:ascii="宋体" w:hAnsi="宋体" w:cs="宋体"/>
          <w:szCs w:val="21"/>
        </w:rPr>
      </w:pPr>
      <w:r>
        <w:rPr>
          <w:rFonts w:hint="eastAsia" w:ascii="宋体" w:hAnsi="宋体" w:cs="宋体"/>
          <w:szCs w:val="21"/>
        </w:rPr>
        <w:t>（5）图纸</w:t>
      </w:r>
    </w:p>
    <w:p w14:paraId="3BA38DA5">
      <w:pPr>
        <w:spacing w:line="360" w:lineRule="auto"/>
        <w:rPr>
          <w:rFonts w:hint="eastAsia" w:ascii="宋体" w:hAnsi="宋体" w:cs="宋体"/>
          <w:szCs w:val="21"/>
        </w:rPr>
      </w:pPr>
      <w:r>
        <w:rPr>
          <w:rFonts w:hint="eastAsia" w:ascii="宋体" w:hAnsi="宋体" w:cs="宋体"/>
          <w:szCs w:val="21"/>
        </w:rPr>
        <w:t>（6）竞选文件格式</w:t>
      </w:r>
    </w:p>
    <w:p w14:paraId="47C69B46">
      <w:pPr>
        <w:spacing w:line="360" w:lineRule="auto"/>
        <w:rPr>
          <w:rFonts w:hint="eastAsia" w:ascii="宋体" w:hAnsi="宋体" w:cs="宋体"/>
          <w:szCs w:val="21"/>
        </w:rPr>
      </w:pPr>
      <w:r>
        <w:rPr>
          <w:rFonts w:hint="eastAsia" w:ascii="宋体" w:hAnsi="宋体" w:cs="宋体"/>
          <w:szCs w:val="21"/>
        </w:rPr>
        <w:t>根据本章第1.10 款、第2.2 款和第2.3 款对比选文件所作的澄清、修改，构成比选文件的组成部分。</w:t>
      </w:r>
    </w:p>
    <w:p w14:paraId="38BA6014">
      <w:pPr>
        <w:pStyle w:val="5"/>
        <w:spacing w:before="0" w:after="0" w:line="360" w:lineRule="auto"/>
        <w:ind w:firstLine="105" w:firstLineChars="50"/>
        <w:rPr>
          <w:rFonts w:hint="eastAsia" w:ascii="宋体" w:hAnsi="宋体" w:cs="宋体"/>
          <w:sz w:val="21"/>
          <w:szCs w:val="21"/>
        </w:rPr>
      </w:pPr>
      <w:bookmarkStart w:id="130" w:name="_Toc293756849"/>
      <w:r>
        <w:rPr>
          <w:rFonts w:hint="eastAsia" w:ascii="宋体" w:hAnsi="宋体" w:cs="宋体"/>
          <w:sz w:val="21"/>
          <w:szCs w:val="21"/>
        </w:rPr>
        <w:t>2.2比选文件的澄清</w:t>
      </w:r>
      <w:bookmarkEnd w:id="130"/>
    </w:p>
    <w:p w14:paraId="5E5AE017">
      <w:pPr>
        <w:spacing w:line="360" w:lineRule="auto"/>
        <w:ind w:firstLine="420" w:firstLineChars="200"/>
        <w:rPr>
          <w:rFonts w:hint="eastAsia" w:ascii="宋体" w:hAnsi="宋体" w:cs="宋体"/>
          <w:szCs w:val="21"/>
        </w:rPr>
      </w:pPr>
      <w:r>
        <w:rPr>
          <w:rFonts w:hint="eastAsia" w:ascii="宋体" w:hAnsi="宋体" w:cs="宋体"/>
          <w:szCs w:val="21"/>
        </w:rPr>
        <w:t>2.2.1 竞选人应仔细阅读和检查比选文件的全部内容。如发现缺页或附件不全，应及时向比选人提出，以便补齐。如有疑问，应在竞选人须知前附表规定的时间及方式，要求比选人对比选文件予以澄清。</w:t>
      </w:r>
    </w:p>
    <w:p w14:paraId="3F6957A2">
      <w:pPr>
        <w:spacing w:line="360" w:lineRule="auto"/>
        <w:ind w:firstLine="420" w:firstLineChars="200"/>
        <w:rPr>
          <w:rFonts w:hint="eastAsia" w:ascii="宋体" w:hAnsi="宋体" w:cs="宋体"/>
          <w:szCs w:val="21"/>
        </w:rPr>
      </w:pPr>
      <w:r>
        <w:rPr>
          <w:rFonts w:hint="eastAsia" w:ascii="宋体" w:hAnsi="宋体" w:cs="宋体"/>
          <w:szCs w:val="21"/>
        </w:rPr>
        <w:t>2.2.2 比选人澄清或答疑的内容作为比选文件的合法有效组成部分，如澄清或答疑的内容与原比选文件不一致的，以澄清或答疑的内容为准。</w:t>
      </w:r>
    </w:p>
    <w:p w14:paraId="74D17B52">
      <w:pPr>
        <w:pStyle w:val="5"/>
        <w:spacing w:before="0" w:after="0" w:line="360" w:lineRule="auto"/>
        <w:ind w:firstLine="105" w:firstLineChars="50"/>
        <w:rPr>
          <w:rFonts w:hint="eastAsia" w:ascii="宋体" w:hAnsi="宋体" w:cs="宋体"/>
          <w:sz w:val="21"/>
          <w:szCs w:val="21"/>
        </w:rPr>
      </w:pPr>
      <w:bookmarkStart w:id="131" w:name="_Toc293756850"/>
      <w:r>
        <w:rPr>
          <w:rFonts w:hint="eastAsia" w:ascii="宋体" w:hAnsi="宋体" w:cs="宋体"/>
          <w:sz w:val="21"/>
          <w:szCs w:val="21"/>
        </w:rPr>
        <w:t>2.3比选文件的修改</w:t>
      </w:r>
      <w:bookmarkEnd w:id="131"/>
    </w:p>
    <w:p w14:paraId="145F913B">
      <w:pPr>
        <w:spacing w:line="360" w:lineRule="auto"/>
        <w:ind w:firstLine="420" w:firstLineChars="200"/>
        <w:rPr>
          <w:rFonts w:hint="eastAsia" w:ascii="宋体" w:hAnsi="宋体" w:cs="宋体"/>
          <w:szCs w:val="21"/>
        </w:rPr>
      </w:pPr>
      <w:r>
        <w:rPr>
          <w:rFonts w:hint="eastAsia" w:ascii="宋体" w:hAnsi="宋体" w:cs="宋体"/>
          <w:szCs w:val="21"/>
        </w:rPr>
        <w:t>2.3.1 比选人可以书面形式修改竞争性比选文件，并通知所有已购买竞争性比选文件的竞选人。</w:t>
      </w:r>
    </w:p>
    <w:p w14:paraId="5D4257C1">
      <w:pPr>
        <w:spacing w:line="360" w:lineRule="auto"/>
        <w:ind w:firstLine="420" w:firstLineChars="200"/>
        <w:rPr>
          <w:rFonts w:hint="eastAsia" w:ascii="宋体" w:hAnsi="宋体" w:cs="宋体"/>
          <w:szCs w:val="21"/>
        </w:rPr>
      </w:pPr>
      <w:r>
        <w:rPr>
          <w:rFonts w:hint="eastAsia" w:ascii="宋体" w:hAnsi="宋体" w:cs="宋体"/>
          <w:szCs w:val="21"/>
        </w:rPr>
        <w:t>2.3.2  竞选人收到修改内容后，应在竞选人须知前附表规定的时间内以书面形式通知比选人，确认已收到该修改。</w:t>
      </w:r>
    </w:p>
    <w:p w14:paraId="78ABAA3B">
      <w:pPr>
        <w:spacing w:line="360" w:lineRule="auto"/>
        <w:ind w:firstLine="420" w:firstLineChars="200"/>
        <w:rPr>
          <w:rFonts w:hint="eastAsia" w:ascii="宋体" w:hAnsi="宋体" w:cs="宋体"/>
          <w:szCs w:val="21"/>
        </w:rPr>
      </w:pPr>
      <w:r>
        <w:rPr>
          <w:rFonts w:hint="eastAsia" w:ascii="宋体" w:hAnsi="宋体" w:cs="宋体"/>
          <w:szCs w:val="21"/>
        </w:rPr>
        <w:t>2.3.3比选人发布的补遗书作为比选文件的合法有效组成部分，如补遗书内容与原比选文件不一致的，以发布的补遗书内容为准。</w:t>
      </w:r>
    </w:p>
    <w:p w14:paraId="5832191D">
      <w:pPr>
        <w:pStyle w:val="5"/>
        <w:spacing w:before="0" w:after="0" w:line="360" w:lineRule="auto"/>
        <w:rPr>
          <w:rFonts w:hint="eastAsia" w:ascii="宋体" w:hAnsi="宋体" w:cs="宋体"/>
          <w:sz w:val="21"/>
          <w:szCs w:val="21"/>
        </w:rPr>
      </w:pPr>
      <w:bookmarkStart w:id="132" w:name="_Toc293756851"/>
      <w:r>
        <w:rPr>
          <w:rFonts w:hint="eastAsia" w:ascii="宋体" w:hAnsi="宋体" w:cs="宋体"/>
          <w:sz w:val="21"/>
          <w:szCs w:val="21"/>
        </w:rPr>
        <w:t xml:space="preserve">3. </w:t>
      </w:r>
      <w:bookmarkEnd w:id="132"/>
      <w:r>
        <w:rPr>
          <w:rFonts w:hint="eastAsia" w:ascii="宋体" w:hAnsi="宋体" w:cs="宋体"/>
          <w:sz w:val="21"/>
          <w:szCs w:val="21"/>
        </w:rPr>
        <w:t>竞选文件</w:t>
      </w:r>
    </w:p>
    <w:p w14:paraId="45F2484D">
      <w:pPr>
        <w:pStyle w:val="5"/>
        <w:spacing w:before="0" w:after="0" w:line="360" w:lineRule="auto"/>
        <w:rPr>
          <w:rFonts w:hint="eastAsia" w:ascii="宋体" w:hAnsi="宋体" w:cs="宋体"/>
          <w:sz w:val="21"/>
          <w:szCs w:val="21"/>
        </w:rPr>
      </w:pPr>
      <w:bookmarkStart w:id="133" w:name="_Toc293756852"/>
      <w:r>
        <w:rPr>
          <w:rFonts w:hint="eastAsia" w:ascii="宋体" w:hAnsi="宋体" w:cs="宋体"/>
          <w:sz w:val="21"/>
          <w:szCs w:val="21"/>
        </w:rPr>
        <w:t>3.1 竞选文件的组成</w:t>
      </w:r>
      <w:bookmarkEnd w:id="133"/>
    </w:p>
    <w:p w14:paraId="3F1DB272">
      <w:pPr>
        <w:spacing w:line="360" w:lineRule="auto"/>
        <w:ind w:firstLine="315" w:firstLineChars="150"/>
        <w:rPr>
          <w:rFonts w:hint="eastAsia" w:ascii="宋体" w:hAnsi="宋体" w:cs="宋体"/>
          <w:szCs w:val="21"/>
        </w:rPr>
      </w:pPr>
      <w:r>
        <w:rPr>
          <w:rFonts w:hint="eastAsia" w:ascii="宋体" w:hAnsi="宋体" w:cs="宋体"/>
          <w:szCs w:val="21"/>
        </w:rPr>
        <w:t>详见前附表。</w:t>
      </w:r>
    </w:p>
    <w:p w14:paraId="7AC11CDA">
      <w:pPr>
        <w:spacing w:line="360" w:lineRule="auto"/>
        <w:ind w:firstLine="105" w:firstLineChars="50"/>
        <w:rPr>
          <w:rFonts w:hint="eastAsia" w:ascii="宋体" w:hAnsi="宋体" w:cs="宋体"/>
          <w:b/>
          <w:bCs/>
          <w:szCs w:val="21"/>
        </w:rPr>
      </w:pPr>
      <w:r>
        <w:rPr>
          <w:rFonts w:hint="eastAsia" w:ascii="宋体" w:hAnsi="宋体" w:cs="宋体"/>
          <w:b/>
          <w:bCs/>
          <w:szCs w:val="21"/>
        </w:rPr>
        <w:t>3.2比选报价</w:t>
      </w:r>
    </w:p>
    <w:p w14:paraId="2DBA81C4">
      <w:pPr>
        <w:spacing w:line="360" w:lineRule="auto"/>
        <w:ind w:firstLine="420" w:firstLineChars="200"/>
        <w:rPr>
          <w:rFonts w:hint="eastAsia" w:ascii="宋体" w:hAnsi="宋体" w:cs="宋体"/>
          <w:szCs w:val="21"/>
        </w:rPr>
      </w:pPr>
      <w:r>
        <w:rPr>
          <w:rFonts w:hint="eastAsia" w:ascii="宋体" w:hAnsi="宋体" w:cs="宋体"/>
          <w:szCs w:val="21"/>
        </w:rPr>
        <w:t>详见前附表。</w:t>
      </w:r>
    </w:p>
    <w:p w14:paraId="66E16AD3">
      <w:pPr>
        <w:spacing w:line="360" w:lineRule="auto"/>
        <w:ind w:firstLine="105" w:firstLineChars="50"/>
        <w:rPr>
          <w:rFonts w:hint="eastAsia" w:ascii="宋体" w:hAnsi="宋体" w:cs="宋体"/>
          <w:b/>
          <w:bCs/>
          <w:szCs w:val="21"/>
        </w:rPr>
      </w:pPr>
      <w:r>
        <w:rPr>
          <w:rFonts w:hint="eastAsia" w:ascii="宋体" w:hAnsi="宋体" w:cs="宋体"/>
          <w:b/>
          <w:bCs/>
          <w:szCs w:val="21"/>
        </w:rPr>
        <w:t>3.3 比选有效期</w:t>
      </w:r>
    </w:p>
    <w:p w14:paraId="5C3D6F8A">
      <w:pPr>
        <w:spacing w:line="360" w:lineRule="auto"/>
        <w:ind w:firstLine="420" w:firstLineChars="200"/>
        <w:rPr>
          <w:rFonts w:hint="eastAsia" w:ascii="宋体" w:hAnsi="宋体" w:cs="宋体"/>
          <w:szCs w:val="21"/>
        </w:rPr>
      </w:pPr>
      <w:r>
        <w:rPr>
          <w:rFonts w:hint="eastAsia" w:ascii="宋体" w:hAnsi="宋体" w:cs="宋体"/>
          <w:szCs w:val="21"/>
        </w:rPr>
        <w:t>3.3.1 在竞选人须知前附表规定的比选有效期内，竞选人不得要求撤销或修改其竞选文件。</w:t>
      </w:r>
    </w:p>
    <w:p w14:paraId="1AAB3BE2">
      <w:pPr>
        <w:spacing w:line="360" w:lineRule="auto"/>
        <w:ind w:firstLine="420" w:firstLineChars="200"/>
        <w:rPr>
          <w:rFonts w:hint="eastAsia" w:ascii="宋体" w:hAnsi="宋体" w:cs="宋体"/>
          <w:szCs w:val="21"/>
        </w:rPr>
      </w:pPr>
      <w:r>
        <w:rPr>
          <w:rFonts w:hint="eastAsia" w:ascii="宋体" w:hAnsi="宋体" w:cs="宋体"/>
          <w:szCs w:val="21"/>
        </w:rPr>
        <w:t>3.3.2 出现特殊情况需要延长比选有效期的，比选人以书面形式通知所有竞选人延长比选有效期。竞选人同意延长的，应相应延长其比选保证金的有效期，但不得要求或被允许修改或撤销其竞选文件；竞选人拒绝延长的，其竞选文件失效，但竞选人有权收回其比选保证金。</w:t>
      </w:r>
    </w:p>
    <w:p w14:paraId="03E45B52">
      <w:pPr>
        <w:pStyle w:val="5"/>
        <w:spacing w:before="0" w:after="0" w:line="360" w:lineRule="auto"/>
        <w:ind w:firstLine="105" w:firstLineChars="50"/>
        <w:rPr>
          <w:rFonts w:hint="eastAsia" w:ascii="宋体" w:hAnsi="宋体" w:cs="宋体"/>
          <w:sz w:val="21"/>
          <w:szCs w:val="21"/>
        </w:rPr>
      </w:pPr>
      <w:bookmarkStart w:id="134" w:name="_Toc293756853"/>
      <w:r>
        <w:rPr>
          <w:rFonts w:hint="eastAsia" w:ascii="宋体" w:hAnsi="宋体" w:cs="宋体"/>
          <w:sz w:val="21"/>
          <w:szCs w:val="21"/>
        </w:rPr>
        <w:t>3.4 比选保证金</w:t>
      </w:r>
      <w:bookmarkEnd w:id="134"/>
    </w:p>
    <w:p w14:paraId="5D448CBC">
      <w:pPr>
        <w:spacing w:line="360" w:lineRule="auto"/>
        <w:ind w:firstLine="420" w:firstLineChars="200"/>
        <w:rPr>
          <w:rFonts w:hint="eastAsia" w:ascii="宋体" w:hAnsi="宋体" w:cs="宋体"/>
          <w:szCs w:val="21"/>
        </w:rPr>
      </w:pPr>
      <w:r>
        <w:rPr>
          <w:rFonts w:hint="eastAsia" w:ascii="宋体" w:hAnsi="宋体" w:cs="宋体"/>
          <w:szCs w:val="21"/>
        </w:rPr>
        <w:t>3.4.1 竞选人在递交竞选文件的同时，应按竞选人须知前附表规定的比选保证金金额、比选保证金缴纳形式及要求，缴纳比选保证金，并作为其竞选文件的组成部分。</w:t>
      </w:r>
    </w:p>
    <w:p w14:paraId="7167465C">
      <w:pPr>
        <w:spacing w:line="360" w:lineRule="auto"/>
        <w:ind w:firstLine="420" w:firstLineChars="200"/>
        <w:rPr>
          <w:rFonts w:hint="eastAsia" w:ascii="宋体" w:hAnsi="宋体" w:cs="宋体"/>
          <w:szCs w:val="21"/>
        </w:rPr>
      </w:pPr>
      <w:r>
        <w:rPr>
          <w:rFonts w:hint="eastAsia" w:ascii="宋体" w:hAnsi="宋体" w:cs="宋体"/>
          <w:szCs w:val="21"/>
        </w:rPr>
        <w:t>3.4.2 竞选人不按本章第3.4.1 项要求提交比选保证金的，其竞选文件作否决投标处理。</w:t>
      </w:r>
    </w:p>
    <w:p w14:paraId="14317E56">
      <w:pPr>
        <w:spacing w:line="360" w:lineRule="auto"/>
        <w:ind w:firstLine="420" w:firstLineChars="200"/>
        <w:rPr>
          <w:rFonts w:hint="eastAsia" w:ascii="宋体" w:hAnsi="宋体" w:cs="宋体"/>
          <w:szCs w:val="21"/>
        </w:rPr>
      </w:pPr>
      <w:r>
        <w:rPr>
          <w:rFonts w:hint="eastAsia" w:ascii="宋体" w:hAnsi="宋体" w:cs="宋体"/>
          <w:szCs w:val="21"/>
        </w:rPr>
        <w:t>3.4.3 比选保证金的退还按前附表3.4.1条执行。</w:t>
      </w:r>
    </w:p>
    <w:p w14:paraId="3BC4C240">
      <w:pPr>
        <w:spacing w:line="360" w:lineRule="auto"/>
        <w:ind w:firstLine="420" w:firstLineChars="200"/>
        <w:rPr>
          <w:rFonts w:hint="eastAsia" w:ascii="宋体" w:hAnsi="宋体" w:cs="宋体"/>
          <w:szCs w:val="21"/>
        </w:rPr>
      </w:pPr>
      <w:r>
        <w:rPr>
          <w:rFonts w:hint="eastAsia" w:ascii="宋体" w:hAnsi="宋体" w:cs="宋体"/>
          <w:szCs w:val="21"/>
        </w:rPr>
        <w:t>3.4.4 有下列情形之一的，比选保证金将不予退还：</w:t>
      </w:r>
    </w:p>
    <w:p w14:paraId="409B6C78">
      <w:pPr>
        <w:spacing w:line="360" w:lineRule="auto"/>
        <w:ind w:firstLine="420" w:firstLineChars="200"/>
        <w:rPr>
          <w:rFonts w:hint="eastAsia" w:ascii="宋体" w:hAnsi="宋体" w:cs="宋体"/>
          <w:szCs w:val="21"/>
        </w:rPr>
      </w:pPr>
      <w:r>
        <w:rPr>
          <w:rFonts w:hint="eastAsia" w:ascii="宋体" w:hAnsi="宋体" w:cs="宋体"/>
          <w:szCs w:val="21"/>
        </w:rPr>
        <w:t>（1）竞选人在规定的比选有效期内撤销或修改其竞选文件；</w:t>
      </w:r>
    </w:p>
    <w:p w14:paraId="1EA93C0A">
      <w:pPr>
        <w:spacing w:line="360" w:lineRule="auto"/>
        <w:ind w:firstLine="420" w:firstLineChars="200"/>
        <w:rPr>
          <w:rFonts w:hint="eastAsia" w:ascii="宋体" w:hAnsi="宋体" w:cs="宋体"/>
          <w:szCs w:val="21"/>
        </w:rPr>
      </w:pPr>
      <w:r>
        <w:rPr>
          <w:rFonts w:hint="eastAsia" w:ascii="宋体" w:hAnsi="宋体" w:cs="宋体"/>
          <w:szCs w:val="21"/>
        </w:rPr>
        <w:t>（2）中标人在收到中选通知书后，无正当理由拒签合同协议书或未按比选文件规定提交履约担保。</w:t>
      </w:r>
    </w:p>
    <w:p w14:paraId="758D1904">
      <w:pPr>
        <w:spacing w:line="360" w:lineRule="auto"/>
        <w:ind w:firstLine="420" w:firstLineChars="200"/>
        <w:rPr>
          <w:rFonts w:hint="eastAsia" w:ascii="宋体" w:hAnsi="宋体" w:cs="宋体"/>
          <w:szCs w:val="21"/>
        </w:rPr>
      </w:pPr>
      <w:r>
        <w:rPr>
          <w:rFonts w:hint="eastAsia" w:ascii="宋体" w:hAnsi="宋体" w:cs="宋体"/>
          <w:szCs w:val="21"/>
        </w:rPr>
        <w:t>（3）违反本章第9.2款对竞选人的纪律要求的；</w:t>
      </w:r>
    </w:p>
    <w:p w14:paraId="71078DAD">
      <w:pPr>
        <w:spacing w:line="360" w:lineRule="auto"/>
        <w:ind w:firstLine="210" w:firstLineChars="100"/>
        <w:rPr>
          <w:rFonts w:hint="eastAsia" w:ascii="宋体" w:hAnsi="宋体" w:cs="宋体"/>
          <w:szCs w:val="21"/>
        </w:rPr>
      </w:pPr>
      <w:r>
        <w:rPr>
          <w:rFonts w:hint="eastAsia" w:ascii="宋体" w:hAnsi="宋体" w:cs="宋体"/>
          <w:szCs w:val="21"/>
        </w:rPr>
        <w:t>（5）法律法规规定的其他情形。</w:t>
      </w:r>
    </w:p>
    <w:p w14:paraId="039250E0">
      <w:pPr>
        <w:pStyle w:val="5"/>
        <w:spacing w:before="0" w:after="0" w:line="360" w:lineRule="auto"/>
        <w:rPr>
          <w:rFonts w:hint="eastAsia" w:ascii="宋体" w:hAnsi="宋体" w:cs="宋体"/>
          <w:sz w:val="21"/>
          <w:szCs w:val="21"/>
        </w:rPr>
      </w:pPr>
      <w:bookmarkStart w:id="135" w:name="_Toc293756854"/>
      <w:r>
        <w:rPr>
          <w:rFonts w:hint="eastAsia" w:ascii="宋体" w:hAnsi="宋体" w:cs="宋体"/>
          <w:sz w:val="21"/>
          <w:szCs w:val="21"/>
        </w:rPr>
        <w:t>3.5 资格审查资料</w:t>
      </w:r>
      <w:bookmarkEnd w:id="135"/>
    </w:p>
    <w:p w14:paraId="7EA530A0">
      <w:pPr>
        <w:spacing w:line="360" w:lineRule="auto"/>
        <w:ind w:firstLine="420" w:firstLineChars="200"/>
        <w:rPr>
          <w:rFonts w:hint="eastAsia" w:ascii="宋体" w:hAnsi="宋体" w:cs="宋体"/>
          <w:szCs w:val="21"/>
        </w:rPr>
      </w:pPr>
      <w:r>
        <w:rPr>
          <w:rFonts w:hint="eastAsia" w:ascii="宋体" w:hAnsi="宋体" w:cs="宋体"/>
          <w:szCs w:val="21"/>
        </w:rPr>
        <w:t>按照本章3.1要求准备相关资格审查资料。</w:t>
      </w:r>
    </w:p>
    <w:p w14:paraId="22805D25">
      <w:pPr>
        <w:spacing w:line="360" w:lineRule="auto"/>
        <w:rPr>
          <w:rFonts w:hint="eastAsia" w:ascii="宋体" w:hAnsi="宋体" w:cs="宋体"/>
          <w:b/>
          <w:szCs w:val="21"/>
        </w:rPr>
      </w:pPr>
      <w:r>
        <w:rPr>
          <w:rFonts w:hint="eastAsia" w:ascii="宋体" w:hAnsi="宋体" w:cs="宋体"/>
          <w:b/>
          <w:szCs w:val="21"/>
        </w:rPr>
        <w:t>3.6 备选比选方案：无</w:t>
      </w:r>
    </w:p>
    <w:p w14:paraId="4F91DE18">
      <w:pPr>
        <w:spacing w:line="360" w:lineRule="auto"/>
        <w:rPr>
          <w:rFonts w:hint="eastAsia" w:ascii="宋体" w:hAnsi="宋体" w:cs="宋体"/>
          <w:b/>
          <w:szCs w:val="21"/>
        </w:rPr>
      </w:pPr>
      <w:r>
        <w:rPr>
          <w:rFonts w:hint="eastAsia" w:ascii="宋体" w:hAnsi="宋体" w:cs="宋体"/>
          <w:b/>
          <w:szCs w:val="21"/>
        </w:rPr>
        <w:t>3.7 竞选文件的编制</w:t>
      </w:r>
    </w:p>
    <w:p w14:paraId="20F5D73C">
      <w:pPr>
        <w:spacing w:line="360" w:lineRule="auto"/>
        <w:ind w:firstLine="420" w:firstLineChars="200"/>
        <w:rPr>
          <w:rFonts w:hint="eastAsia" w:ascii="宋体" w:hAnsi="宋体" w:cs="宋体"/>
          <w:szCs w:val="21"/>
        </w:rPr>
      </w:pPr>
      <w:r>
        <w:rPr>
          <w:rFonts w:hint="eastAsia" w:ascii="宋体" w:hAnsi="宋体" w:cs="宋体"/>
          <w:szCs w:val="21"/>
        </w:rPr>
        <w:t>详见前附表。</w:t>
      </w:r>
    </w:p>
    <w:p w14:paraId="187D7A86">
      <w:pPr>
        <w:pStyle w:val="5"/>
        <w:spacing w:before="0" w:after="0" w:line="360" w:lineRule="auto"/>
        <w:rPr>
          <w:rFonts w:hint="eastAsia" w:ascii="宋体" w:hAnsi="宋体" w:cs="宋体"/>
          <w:sz w:val="21"/>
          <w:szCs w:val="21"/>
        </w:rPr>
      </w:pPr>
      <w:bookmarkStart w:id="136" w:name="_Toc293756855"/>
      <w:r>
        <w:rPr>
          <w:rFonts w:hint="eastAsia" w:ascii="宋体" w:hAnsi="宋体" w:cs="宋体"/>
          <w:sz w:val="21"/>
          <w:szCs w:val="21"/>
        </w:rPr>
        <w:t xml:space="preserve">4. </w:t>
      </w:r>
      <w:bookmarkEnd w:id="136"/>
      <w:r>
        <w:rPr>
          <w:rFonts w:hint="eastAsia" w:ascii="宋体" w:hAnsi="宋体" w:cs="宋体"/>
          <w:sz w:val="21"/>
          <w:szCs w:val="21"/>
        </w:rPr>
        <w:t>竞选文件的递交等</w:t>
      </w:r>
    </w:p>
    <w:p w14:paraId="39E70757">
      <w:pPr>
        <w:pStyle w:val="5"/>
        <w:spacing w:before="0" w:after="0" w:line="360" w:lineRule="auto"/>
        <w:rPr>
          <w:rFonts w:hint="eastAsia" w:ascii="宋体" w:hAnsi="宋体" w:cs="宋体"/>
          <w:sz w:val="21"/>
          <w:szCs w:val="21"/>
        </w:rPr>
      </w:pPr>
      <w:bookmarkStart w:id="137" w:name="_Toc293756856"/>
      <w:r>
        <w:rPr>
          <w:rFonts w:hint="eastAsia" w:ascii="宋体" w:hAnsi="宋体" w:cs="宋体"/>
          <w:sz w:val="21"/>
          <w:szCs w:val="21"/>
        </w:rPr>
        <w:t>4.1 竞选文件的密封和标记</w:t>
      </w:r>
      <w:bookmarkEnd w:id="137"/>
    </w:p>
    <w:p w14:paraId="4333DD79">
      <w:pPr>
        <w:spacing w:line="360" w:lineRule="auto"/>
        <w:ind w:firstLine="210" w:firstLineChars="100"/>
        <w:rPr>
          <w:rFonts w:hint="eastAsia" w:ascii="宋体" w:hAnsi="宋体" w:cs="宋体"/>
          <w:szCs w:val="21"/>
        </w:rPr>
      </w:pPr>
      <w:r>
        <w:rPr>
          <w:rFonts w:hint="eastAsia" w:ascii="宋体" w:hAnsi="宋体" w:cs="宋体"/>
          <w:szCs w:val="21"/>
        </w:rPr>
        <w:t>4.1.1  竞选文件的正本与副本密封见竞选人须知前附表。</w:t>
      </w:r>
    </w:p>
    <w:p w14:paraId="45B74EC0">
      <w:pPr>
        <w:spacing w:line="360" w:lineRule="auto"/>
        <w:ind w:firstLine="210" w:firstLineChars="100"/>
        <w:rPr>
          <w:rFonts w:hint="eastAsia" w:ascii="宋体" w:hAnsi="宋体" w:cs="宋体"/>
          <w:szCs w:val="21"/>
        </w:rPr>
      </w:pPr>
      <w:r>
        <w:rPr>
          <w:rFonts w:hint="eastAsia" w:ascii="宋体" w:hAnsi="宋体" w:cs="宋体"/>
          <w:szCs w:val="21"/>
        </w:rPr>
        <w:t>4.1.2  竞选文件的封套上应写明的内容见竞选人须知前附表。</w:t>
      </w:r>
    </w:p>
    <w:p w14:paraId="3B0B8E09">
      <w:pPr>
        <w:spacing w:line="360" w:lineRule="auto"/>
        <w:ind w:firstLine="210" w:firstLineChars="100"/>
        <w:rPr>
          <w:rFonts w:hint="eastAsia" w:ascii="宋体" w:hAnsi="宋体" w:cs="宋体"/>
          <w:szCs w:val="21"/>
        </w:rPr>
      </w:pPr>
      <w:r>
        <w:rPr>
          <w:rFonts w:hint="eastAsia" w:ascii="宋体" w:hAnsi="宋体" w:cs="宋体"/>
          <w:szCs w:val="21"/>
        </w:rPr>
        <w:t>4.1.3  未按本章第 4.1.1 项要求密封的竞选文件，比选人不予受理。</w:t>
      </w:r>
    </w:p>
    <w:p w14:paraId="7933FEE3">
      <w:pPr>
        <w:pStyle w:val="5"/>
        <w:spacing w:before="0" w:after="0" w:line="360" w:lineRule="auto"/>
        <w:rPr>
          <w:rFonts w:hint="eastAsia" w:ascii="宋体" w:hAnsi="宋体" w:cs="宋体"/>
          <w:sz w:val="21"/>
          <w:szCs w:val="21"/>
        </w:rPr>
      </w:pPr>
      <w:bookmarkStart w:id="138" w:name="_Toc293756857"/>
      <w:r>
        <w:rPr>
          <w:rFonts w:hint="eastAsia" w:ascii="宋体" w:hAnsi="宋体" w:cs="宋体"/>
          <w:sz w:val="21"/>
          <w:szCs w:val="21"/>
        </w:rPr>
        <w:t>4.2 竞选文件的递交</w:t>
      </w:r>
      <w:bookmarkEnd w:id="138"/>
    </w:p>
    <w:p w14:paraId="424C98E9">
      <w:pPr>
        <w:spacing w:line="360" w:lineRule="auto"/>
        <w:ind w:firstLine="210" w:firstLineChars="100"/>
        <w:rPr>
          <w:rFonts w:hint="eastAsia" w:ascii="宋体" w:hAnsi="宋体" w:cs="宋体"/>
          <w:szCs w:val="21"/>
        </w:rPr>
      </w:pPr>
      <w:r>
        <w:rPr>
          <w:rFonts w:hint="eastAsia" w:ascii="宋体" w:hAnsi="宋体" w:cs="宋体"/>
          <w:szCs w:val="21"/>
        </w:rPr>
        <w:t>4.2.1 竞选人应按本章竞选人须知前附表第4.2.1项规定的时间递交竞选文件。</w:t>
      </w:r>
    </w:p>
    <w:p w14:paraId="1FFE6EDA">
      <w:pPr>
        <w:spacing w:line="360" w:lineRule="auto"/>
        <w:ind w:firstLine="210" w:firstLineChars="100"/>
        <w:rPr>
          <w:rFonts w:hint="eastAsia" w:ascii="宋体" w:hAnsi="宋体" w:cs="宋体"/>
          <w:szCs w:val="21"/>
        </w:rPr>
      </w:pPr>
      <w:r>
        <w:rPr>
          <w:rFonts w:hint="eastAsia" w:ascii="宋体" w:hAnsi="宋体" w:cs="宋体"/>
          <w:szCs w:val="21"/>
        </w:rPr>
        <w:t>4.2.2 竞选人递交竞选文件的地点：见竞选人须知前附表。</w:t>
      </w:r>
    </w:p>
    <w:p w14:paraId="63FD8C3A">
      <w:pPr>
        <w:spacing w:line="360" w:lineRule="auto"/>
        <w:ind w:firstLine="210" w:firstLineChars="100"/>
        <w:rPr>
          <w:rFonts w:hint="eastAsia" w:ascii="宋体" w:hAnsi="宋体" w:cs="宋体"/>
          <w:szCs w:val="21"/>
        </w:rPr>
      </w:pPr>
      <w:r>
        <w:rPr>
          <w:rFonts w:hint="eastAsia" w:ascii="宋体" w:hAnsi="宋体" w:cs="宋体"/>
          <w:szCs w:val="21"/>
        </w:rPr>
        <w:t>4.2.3 除竞选人须知前附表另有规定外，竞选人所递交的竞选文件不予退还。</w:t>
      </w:r>
    </w:p>
    <w:p w14:paraId="488C17A8">
      <w:pPr>
        <w:spacing w:line="360" w:lineRule="auto"/>
        <w:ind w:firstLine="210" w:firstLineChars="100"/>
        <w:rPr>
          <w:rFonts w:hint="eastAsia" w:ascii="宋体" w:hAnsi="宋体" w:cs="宋体"/>
          <w:szCs w:val="21"/>
        </w:rPr>
      </w:pPr>
      <w:r>
        <w:rPr>
          <w:rFonts w:hint="eastAsia" w:ascii="宋体" w:hAnsi="宋体" w:cs="宋体"/>
          <w:szCs w:val="21"/>
        </w:rPr>
        <w:t>4.2.4 逾期送达的或者未送达指定地点的竞选文件，比选人不予受理。</w:t>
      </w:r>
    </w:p>
    <w:p w14:paraId="6C5AFF26">
      <w:pPr>
        <w:pStyle w:val="5"/>
        <w:spacing w:before="0" w:after="0" w:line="360" w:lineRule="auto"/>
        <w:rPr>
          <w:rFonts w:hint="eastAsia" w:ascii="宋体" w:hAnsi="宋体" w:cs="宋体"/>
          <w:sz w:val="21"/>
          <w:szCs w:val="21"/>
        </w:rPr>
      </w:pPr>
      <w:bookmarkStart w:id="139" w:name="_Toc293756858"/>
      <w:r>
        <w:rPr>
          <w:rFonts w:hint="eastAsia" w:ascii="宋体" w:hAnsi="宋体" w:cs="宋体"/>
          <w:sz w:val="21"/>
          <w:szCs w:val="21"/>
        </w:rPr>
        <w:t>4.3 竞选文件的修改与撤回</w:t>
      </w:r>
      <w:bookmarkEnd w:id="139"/>
    </w:p>
    <w:p w14:paraId="03312DA2">
      <w:pPr>
        <w:spacing w:line="360" w:lineRule="auto"/>
        <w:ind w:firstLine="210" w:firstLineChars="100"/>
        <w:rPr>
          <w:rFonts w:hint="eastAsia" w:ascii="宋体" w:hAnsi="宋体" w:cs="宋体"/>
          <w:szCs w:val="21"/>
        </w:rPr>
      </w:pPr>
      <w:r>
        <w:rPr>
          <w:rFonts w:hint="eastAsia" w:ascii="宋体" w:hAnsi="宋体" w:cs="宋体"/>
          <w:szCs w:val="21"/>
        </w:rPr>
        <w:t>4.3.1 在本章竞选人须知前附表第2.2.2 项规定的比选截止时间前，竞选人可以修改或撤回已递交的竞选文件，但应以书面形式通知比选人。</w:t>
      </w:r>
    </w:p>
    <w:p w14:paraId="39682454">
      <w:pPr>
        <w:spacing w:line="360" w:lineRule="auto"/>
        <w:ind w:firstLine="210" w:firstLineChars="100"/>
        <w:rPr>
          <w:rFonts w:hint="eastAsia" w:ascii="宋体" w:hAnsi="宋体" w:cs="宋体"/>
          <w:szCs w:val="21"/>
        </w:rPr>
      </w:pPr>
      <w:r>
        <w:rPr>
          <w:rFonts w:hint="eastAsia" w:ascii="宋体" w:hAnsi="宋体" w:cs="宋体"/>
          <w:szCs w:val="21"/>
        </w:rPr>
        <w:t>4.3.2 竞选人修改或撤回已递交竞选文件的书面通知应按照本章第3.7.3 项的要求签字或盖章。比选人收到书面通知后，向竞选人出具签收凭证。</w:t>
      </w:r>
    </w:p>
    <w:p w14:paraId="40F0C9F5">
      <w:pPr>
        <w:spacing w:line="360" w:lineRule="auto"/>
        <w:ind w:firstLine="210" w:firstLineChars="100"/>
        <w:rPr>
          <w:rFonts w:hint="eastAsia" w:ascii="宋体" w:hAnsi="宋体" w:cs="宋体"/>
          <w:szCs w:val="21"/>
        </w:rPr>
      </w:pPr>
      <w:r>
        <w:rPr>
          <w:rFonts w:hint="eastAsia" w:ascii="宋体" w:hAnsi="宋体" w:cs="宋体"/>
          <w:szCs w:val="21"/>
        </w:rPr>
        <w:t>4.3.3 修改的内容为竞选文件的组成部分。修改的竞选文件应按照本章第3 条、第4 条规定进行编制、密封、标记和递交，并标明“修改”字样。</w:t>
      </w:r>
    </w:p>
    <w:p w14:paraId="23C23F9B">
      <w:pPr>
        <w:pStyle w:val="5"/>
        <w:spacing w:before="0" w:after="0" w:line="360" w:lineRule="auto"/>
        <w:rPr>
          <w:rFonts w:hint="eastAsia" w:ascii="宋体" w:hAnsi="宋体" w:cs="宋体"/>
          <w:sz w:val="21"/>
          <w:szCs w:val="21"/>
        </w:rPr>
      </w:pPr>
      <w:bookmarkStart w:id="140" w:name="_Toc293756859"/>
      <w:r>
        <w:rPr>
          <w:rFonts w:hint="eastAsia" w:ascii="宋体" w:hAnsi="宋体" w:cs="宋体"/>
          <w:sz w:val="21"/>
          <w:szCs w:val="21"/>
        </w:rPr>
        <w:t xml:space="preserve">5. </w:t>
      </w:r>
      <w:bookmarkEnd w:id="140"/>
      <w:r>
        <w:rPr>
          <w:rFonts w:hint="eastAsia" w:ascii="宋体" w:hAnsi="宋体" w:cs="宋体"/>
          <w:sz w:val="21"/>
          <w:szCs w:val="21"/>
        </w:rPr>
        <w:t>比选</w:t>
      </w:r>
    </w:p>
    <w:p w14:paraId="43C4F581">
      <w:pPr>
        <w:pStyle w:val="5"/>
        <w:spacing w:before="0" w:after="0" w:line="360" w:lineRule="auto"/>
        <w:rPr>
          <w:rFonts w:hint="eastAsia" w:ascii="宋体" w:hAnsi="宋体" w:cs="宋体"/>
          <w:sz w:val="21"/>
          <w:szCs w:val="21"/>
        </w:rPr>
      </w:pPr>
      <w:bookmarkStart w:id="141" w:name="_Toc293756860"/>
      <w:r>
        <w:rPr>
          <w:rFonts w:hint="eastAsia" w:ascii="宋体" w:hAnsi="宋体" w:cs="宋体"/>
          <w:sz w:val="21"/>
          <w:szCs w:val="21"/>
        </w:rPr>
        <w:t>5.1 比选时间和地点</w:t>
      </w:r>
      <w:bookmarkEnd w:id="141"/>
    </w:p>
    <w:p w14:paraId="31279AD8">
      <w:pPr>
        <w:spacing w:line="360" w:lineRule="auto"/>
        <w:ind w:firstLine="420" w:firstLineChars="200"/>
        <w:rPr>
          <w:rFonts w:hint="eastAsia" w:ascii="宋体" w:hAnsi="宋体" w:cs="宋体"/>
          <w:szCs w:val="21"/>
        </w:rPr>
      </w:pPr>
      <w:r>
        <w:rPr>
          <w:rFonts w:hint="eastAsia" w:ascii="宋体" w:hAnsi="宋体" w:cs="宋体"/>
          <w:szCs w:val="21"/>
        </w:rPr>
        <w:t>比选人在本章竞选人须知前附表第5.1项规定的比选时间和竞选人须知前附表规定的地点公开比选，所有竞选人的法定代表人或其委托代理人准时参加。</w:t>
      </w:r>
      <w:bookmarkStart w:id="142" w:name="_Toc293756861"/>
    </w:p>
    <w:p w14:paraId="4CDE749D">
      <w:pPr>
        <w:pStyle w:val="5"/>
        <w:spacing w:before="0" w:after="0" w:line="360" w:lineRule="auto"/>
        <w:rPr>
          <w:rFonts w:hint="eastAsia" w:ascii="宋体" w:hAnsi="宋体" w:cs="宋体"/>
          <w:sz w:val="21"/>
          <w:szCs w:val="21"/>
        </w:rPr>
      </w:pPr>
      <w:r>
        <w:rPr>
          <w:rFonts w:hint="eastAsia" w:ascii="宋体" w:hAnsi="宋体" w:cs="宋体"/>
          <w:sz w:val="21"/>
          <w:szCs w:val="21"/>
        </w:rPr>
        <w:t>5.2 比选程序</w:t>
      </w:r>
      <w:bookmarkEnd w:id="142"/>
    </w:p>
    <w:p w14:paraId="63AA54CB">
      <w:pPr>
        <w:pStyle w:val="5"/>
        <w:spacing w:before="0" w:after="0" w:line="360" w:lineRule="auto"/>
        <w:ind w:firstLine="420" w:firstLineChars="200"/>
        <w:rPr>
          <w:rFonts w:hint="eastAsia" w:ascii="宋体" w:hAnsi="宋体" w:cs="宋体"/>
          <w:b w:val="0"/>
          <w:bCs w:val="0"/>
          <w:sz w:val="21"/>
          <w:szCs w:val="21"/>
        </w:rPr>
      </w:pPr>
      <w:bookmarkStart w:id="143" w:name="_Toc293756862"/>
      <w:r>
        <w:rPr>
          <w:rFonts w:hint="eastAsia" w:ascii="宋体" w:hAnsi="宋体" w:cs="宋体"/>
          <w:b w:val="0"/>
          <w:bCs w:val="0"/>
          <w:sz w:val="21"/>
          <w:szCs w:val="21"/>
        </w:rPr>
        <w:t>详见竞选人须知前附表。</w:t>
      </w:r>
    </w:p>
    <w:p w14:paraId="15F2117B">
      <w:pPr>
        <w:pStyle w:val="5"/>
        <w:spacing w:before="0" w:after="0" w:line="360" w:lineRule="auto"/>
        <w:rPr>
          <w:rFonts w:hint="eastAsia" w:ascii="宋体" w:hAnsi="宋体" w:cs="宋体"/>
          <w:sz w:val="21"/>
          <w:szCs w:val="21"/>
        </w:rPr>
      </w:pPr>
      <w:r>
        <w:rPr>
          <w:rFonts w:hint="eastAsia" w:ascii="宋体" w:hAnsi="宋体" w:cs="宋体"/>
          <w:sz w:val="21"/>
          <w:szCs w:val="21"/>
        </w:rPr>
        <w:t>6. 评</w:t>
      </w:r>
      <w:bookmarkEnd w:id="143"/>
      <w:r>
        <w:rPr>
          <w:rFonts w:hint="eastAsia" w:ascii="宋体" w:hAnsi="宋体" w:cs="宋体"/>
          <w:sz w:val="21"/>
          <w:szCs w:val="21"/>
        </w:rPr>
        <w:t>审</w:t>
      </w:r>
    </w:p>
    <w:p w14:paraId="290378B3">
      <w:pPr>
        <w:pStyle w:val="5"/>
        <w:spacing w:before="0" w:after="0" w:line="360" w:lineRule="auto"/>
        <w:rPr>
          <w:rFonts w:hint="eastAsia" w:ascii="宋体" w:hAnsi="宋体" w:cs="宋体"/>
          <w:sz w:val="21"/>
          <w:szCs w:val="21"/>
        </w:rPr>
      </w:pPr>
      <w:bookmarkStart w:id="144" w:name="_Toc293756863"/>
      <w:r>
        <w:rPr>
          <w:rFonts w:hint="eastAsia" w:ascii="宋体" w:hAnsi="宋体" w:cs="宋体"/>
          <w:sz w:val="21"/>
          <w:szCs w:val="21"/>
        </w:rPr>
        <w:t xml:space="preserve">6.1 </w:t>
      </w:r>
      <w:bookmarkEnd w:id="144"/>
      <w:r>
        <w:rPr>
          <w:rFonts w:hint="eastAsia" w:ascii="宋体" w:hAnsi="宋体" w:cs="宋体"/>
          <w:sz w:val="21"/>
          <w:szCs w:val="21"/>
        </w:rPr>
        <w:t>比选小组</w:t>
      </w:r>
    </w:p>
    <w:p w14:paraId="6A32A6ED">
      <w:pPr>
        <w:spacing w:line="360" w:lineRule="auto"/>
        <w:ind w:firstLine="210" w:firstLineChars="100"/>
        <w:rPr>
          <w:rFonts w:hint="eastAsia" w:ascii="宋体" w:hAnsi="宋体" w:cs="宋体"/>
          <w:szCs w:val="21"/>
        </w:rPr>
      </w:pPr>
      <w:r>
        <w:rPr>
          <w:rFonts w:hint="eastAsia" w:ascii="宋体" w:hAnsi="宋体" w:cs="宋体"/>
          <w:szCs w:val="21"/>
        </w:rPr>
        <w:t>6.1.1 评审由比选人依法组建的比选小组负责。</w:t>
      </w:r>
    </w:p>
    <w:p w14:paraId="0081A678">
      <w:pPr>
        <w:spacing w:line="360" w:lineRule="auto"/>
        <w:ind w:firstLine="210" w:firstLineChars="100"/>
        <w:rPr>
          <w:rFonts w:hint="eastAsia" w:ascii="宋体" w:hAnsi="宋体" w:cs="宋体"/>
          <w:szCs w:val="21"/>
        </w:rPr>
      </w:pPr>
      <w:r>
        <w:rPr>
          <w:rFonts w:hint="eastAsia" w:ascii="宋体" w:hAnsi="宋体" w:cs="宋体"/>
          <w:szCs w:val="21"/>
        </w:rPr>
        <w:t>6.1.2 比选小组成员的名单在中选结果确定前应当保密。</w:t>
      </w:r>
    </w:p>
    <w:p w14:paraId="3B9AD24D">
      <w:pPr>
        <w:spacing w:line="360" w:lineRule="auto"/>
        <w:ind w:firstLine="210" w:firstLineChars="100"/>
        <w:rPr>
          <w:rFonts w:hint="eastAsia" w:ascii="宋体" w:hAnsi="宋体" w:cs="宋体"/>
          <w:szCs w:val="21"/>
        </w:rPr>
      </w:pPr>
      <w:r>
        <w:rPr>
          <w:rFonts w:hint="eastAsia" w:ascii="宋体" w:hAnsi="宋体" w:cs="宋体"/>
          <w:szCs w:val="21"/>
        </w:rPr>
        <w:t>6.1.3 比选小组成员到达现场时应在签到表（附表）上签到以证明其出席。</w:t>
      </w:r>
    </w:p>
    <w:p w14:paraId="47C5291D">
      <w:pPr>
        <w:spacing w:line="360" w:lineRule="auto"/>
        <w:ind w:firstLine="210" w:firstLineChars="100"/>
        <w:rPr>
          <w:rFonts w:hint="eastAsia" w:ascii="宋体" w:hAnsi="宋体" w:cs="宋体"/>
          <w:szCs w:val="21"/>
        </w:rPr>
      </w:pPr>
      <w:r>
        <w:rPr>
          <w:rFonts w:hint="eastAsia" w:ascii="宋体" w:hAnsi="宋体" w:cs="宋体"/>
          <w:szCs w:val="21"/>
        </w:rPr>
        <w:t>6.1.4 比选小组首先应推选一名比选小组组长。比选小组组长负责评审活动的组织领导工作。组长和成员在表决时享有同等的权利。</w:t>
      </w:r>
    </w:p>
    <w:p w14:paraId="38893E9A">
      <w:pPr>
        <w:spacing w:line="360" w:lineRule="auto"/>
        <w:ind w:firstLine="210" w:firstLineChars="100"/>
        <w:rPr>
          <w:rFonts w:hint="eastAsia" w:ascii="宋体" w:hAnsi="宋体" w:cs="宋体"/>
          <w:szCs w:val="21"/>
        </w:rPr>
      </w:pPr>
      <w:r>
        <w:rPr>
          <w:rFonts w:hint="eastAsia" w:ascii="宋体" w:hAnsi="宋体" w:cs="宋体"/>
          <w:szCs w:val="21"/>
        </w:rPr>
        <w:t>6.1.5 比选小组应严格按照比选文件规定的评审办法和本程序规定进行评审，不得改变比选文件中规定的评审标准、方法和中选条件。</w:t>
      </w:r>
    </w:p>
    <w:p w14:paraId="01FA10E6">
      <w:pPr>
        <w:spacing w:line="360" w:lineRule="auto"/>
        <w:ind w:firstLine="210" w:firstLineChars="100"/>
        <w:rPr>
          <w:rFonts w:hint="eastAsia" w:ascii="宋体" w:hAnsi="宋体" w:cs="宋体"/>
          <w:szCs w:val="21"/>
        </w:rPr>
      </w:pPr>
      <w:r>
        <w:rPr>
          <w:rFonts w:hint="eastAsia" w:ascii="宋体" w:hAnsi="宋体" w:cs="宋体"/>
          <w:szCs w:val="21"/>
        </w:rPr>
        <w:t>6.1.6 比选小组成员有下列情形之一的，应当回避，不得担任比选小组成员：</w:t>
      </w:r>
    </w:p>
    <w:p w14:paraId="20F63D21">
      <w:pPr>
        <w:spacing w:line="360" w:lineRule="auto"/>
        <w:ind w:firstLine="105" w:firstLineChars="50"/>
        <w:rPr>
          <w:rFonts w:hint="eastAsia" w:ascii="宋体" w:hAnsi="宋体" w:cs="宋体"/>
          <w:szCs w:val="21"/>
        </w:rPr>
      </w:pPr>
      <w:r>
        <w:rPr>
          <w:rFonts w:hint="eastAsia" w:ascii="宋体" w:hAnsi="宋体" w:cs="宋体"/>
          <w:szCs w:val="21"/>
        </w:rPr>
        <w:t>（一）所有竞选人及其近亲属；</w:t>
      </w:r>
    </w:p>
    <w:p w14:paraId="7C745B73">
      <w:pPr>
        <w:spacing w:line="360" w:lineRule="auto"/>
        <w:ind w:firstLine="105" w:firstLineChars="50"/>
        <w:rPr>
          <w:rFonts w:hint="eastAsia" w:ascii="宋体" w:hAnsi="宋体" w:cs="宋体"/>
          <w:szCs w:val="21"/>
        </w:rPr>
      </w:pPr>
      <w:r>
        <w:rPr>
          <w:rFonts w:hint="eastAsia" w:ascii="宋体" w:hAnsi="宋体" w:cs="宋体"/>
          <w:szCs w:val="21"/>
        </w:rPr>
        <w:t>（二）本项目比选代理机构、咨询服务机构及其母公司、全资子公司或绝对控股公司；</w:t>
      </w:r>
    </w:p>
    <w:p w14:paraId="2D36E8A1">
      <w:pPr>
        <w:spacing w:line="360" w:lineRule="auto"/>
        <w:ind w:firstLine="105" w:firstLineChars="50"/>
        <w:rPr>
          <w:rFonts w:hint="eastAsia" w:ascii="宋体" w:hAnsi="宋体" w:cs="宋体"/>
          <w:szCs w:val="21"/>
        </w:rPr>
      </w:pPr>
      <w:r>
        <w:rPr>
          <w:rFonts w:hint="eastAsia" w:ascii="宋体" w:hAnsi="宋体" w:cs="宋体"/>
          <w:szCs w:val="21"/>
        </w:rPr>
        <w:t>（三）与本项目比选人、竞选人、比选代理机构实行“一套人员、多块牌子”的单位；</w:t>
      </w:r>
    </w:p>
    <w:p w14:paraId="791DD34F">
      <w:pPr>
        <w:spacing w:line="360" w:lineRule="auto"/>
        <w:ind w:firstLine="105" w:firstLineChars="50"/>
        <w:rPr>
          <w:rFonts w:hint="eastAsia" w:ascii="宋体" w:hAnsi="宋体" w:cs="宋体"/>
          <w:szCs w:val="21"/>
        </w:rPr>
      </w:pPr>
      <w:r>
        <w:rPr>
          <w:rFonts w:hint="eastAsia" w:ascii="宋体" w:hAnsi="宋体" w:cs="宋体"/>
          <w:szCs w:val="21"/>
        </w:rPr>
        <w:t>（四）与本项目竞选人有利害关系；</w:t>
      </w:r>
    </w:p>
    <w:p w14:paraId="29070C91">
      <w:pPr>
        <w:spacing w:line="360" w:lineRule="auto"/>
        <w:ind w:firstLine="105" w:firstLineChars="50"/>
        <w:rPr>
          <w:rFonts w:hint="eastAsia" w:ascii="宋体" w:hAnsi="宋体" w:cs="宋体"/>
          <w:szCs w:val="21"/>
        </w:rPr>
      </w:pPr>
      <w:r>
        <w:rPr>
          <w:rFonts w:hint="eastAsia" w:ascii="宋体" w:hAnsi="宋体" w:cs="宋体"/>
          <w:szCs w:val="21"/>
        </w:rPr>
        <w:t>（五）本项目主管部门或行业监督部门。</w:t>
      </w:r>
    </w:p>
    <w:p w14:paraId="4854D00A">
      <w:pPr>
        <w:spacing w:line="360" w:lineRule="auto"/>
        <w:ind w:firstLine="210" w:firstLineChars="100"/>
        <w:rPr>
          <w:rFonts w:hint="eastAsia" w:ascii="宋体" w:hAnsi="宋体" w:cs="宋体"/>
          <w:szCs w:val="21"/>
        </w:rPr>
      </w:pPr>
      <w:r>
        <w:rPr>
          <w:rFonts w:hint="eastAsia" w:ascii="宋体" w:hAnsi="宋体" w:cs="宋体"/>
          <w:szCs w:val="21"/>
        </w:rPr>
        <w:t>比选小组成员有以上规定情形之一的，应当主动提出回避。不主动提出回避的，一经发现，应当立即终止其参加评审，并立即更换。</w:t>
      </w:r>
    </w:p>
    <w:p w14:paraId="5CADF742">
      <w:pPr>
        <w:pStyle w:val="5"/>
        <w:spacing w:before="0" w:after="0" w:line="360" w:lineRule="auto"/>
        <w:ind w:firstLine="105" w:firstLineChars="50"/>
        <w:rPr>
          <w:rFonts w:hint="eastAsia" w:ascii="宋体" w:hAnsi="宋体" w:cs="宋体"/>
          <w:sz w:val="21"/>
          <w:szCs w:val="21"/>
        </w:rPr>
      </w:pPr>
      <w:bookmarkStart w:id="145" w:name="_Toc293756864"/>
      <w:r>
        <w:rPr>
          <w:rFonts w:hint="eastAsia" w:ascii="宋体" w:hAnsi="宋体" w:cs="宋体"/>
          <w:sz w:val="21"/>
          <w:szCs w:val="21"/>
        </w:rPr>
        <w:t>6.2 评审原则</w:t>
      </w:r>
      <w:bookmarkEnd w:id="145"/>
    </w:p>
    <w:p w14:paraId="7513DEFB">
      <w:pPr>
        <w:spacing w:line="360" w:lineRule="auto"/>
        <w:ind w:firstLine="210" w:firstLineChars="100"/>
        <w:rPr>
          <w:rFonts w:hint="eastAsia" w:ascii="宋体" w:hAnsi="宋体" w:cs="宋体"/>
          <w:szCs w:val="21"/>
        </w:rPr>
      </w:pPr>
      <w:r>
        <w:rPr>
          <w:rFonts w:hint="eastAsia" w:ascii="宋体" w:hAnsi="宋体" w:cs="宋体"/>
          <w:szCs w:val="21"/>
        </w:rPr>
        <w:t>6.2.1 公平、公正、科学和择优；</w:t>
      </w:r>
    </w:p>
    <w:p w14:paraId="5A5EEB72">
      <w:pPr>
        <w:spacing w:line="360" w:lineRule="auto"/>
        <w:ind w:firstLine="210" w:firstLineChars="100"/>
        <w:rPr>
          <w:rFonts w:hint="eastAsia" w:ascii="宋体" w:hAnsi="宋体" w:cs="宋体"/>
          <w:szCs w:val="21"/>
        </w:rPr>
      </w:pPr>
      <w:r>
        <w:rPr>
          <w:rFonts w:hint="eastAsia" w:ascii="宋体" w:hAnsi="宋体" w:cs="宋体"/>
          <w:szCs w:val="21"/>
        </w:rPr>
        <w:t>6.2.2 依法评审、严格保密；</w:t>
      </w:r>
    </w:p>
    <w:p w14:paraId="09A05A7A">
      <w:pPr>
        <w:spacing w:line="360" w:lineRule="auto"/>
        <w:ind w:firstLine="210" w:firstLineChars="100"/>
        <w:rPr>
          <w:rFonts w:hint="eastAsia" w:ascii="宋体" w:hAnsi="宋体" w:cs="宋体"/>
          <w:szCs w:val="21"/>
        </w:rPr>
      </w:pPr>
      <w:r>
        <w:rPr>
          <w:rFonts w:hint="eastAsia" w:ascii="宋体" w:hAnsi="宋体" w:cs="宋体"/>
          <w:szCs w:val="21"/>
        </w:rPr>
        <w:t>6.2.3 反对不正当竞争；</w:t>
      </w:r>
    </w:p>
    <w:p w14:paraId="4228C675">
      <w:pPr>
        <w:spacing w:line="360" w:lineRule="auto"/>
        <w:ind w:firstLine="210" w:firstLineChars="100"/>
        <w:rPr>
          <w:rFonts w:hint="eastAsia" w:ascii="宋体" w:hAnsi="宋体" w:cs="宋体"/>
          <w:szCs w:val="21"/>
        </w:rPr>
      </w:pPr>
      <w:r>
        <w:rPr>
          <w:rFonts w:hint="eastAsia" w:ascii="宋体" w:hAnsi="宋体" w:cs="宋体"/>
          <w:szCs w:val="21"/>
        </w:rPr>
        <w:t>6.2.4 定性的结论由比选小组全体成员按少数服从多数的原则，以记名投票方式决定。</w:t>
      </w:r>
    </w:p>
    <w:p w14:paraId="44ED85CF">
      <w:pPr>
        <w:pStyle w:val="5"/>
        <w:spacing w:before="0" w:after="0" w:line="360" w:lineRule="auto"/>
        <w:ind w:firstLine="105" w:firstLineChars="50"/>
        <w:rPr>
          <w:rFonts w:hint="eastAsia" w:ascii="宋体" w:hAnsi="宋体" w:cs="宋体"/>
          <w:sz w:val="21"/>
          <w:szCs w:val="21"/>
        </w:rPr>
      </w:pPr>
      <w:bookmarkStart w:id="146" w:name="_Toc293756865"/>
      <w:r>
        <w:rPr>
          <w:rFonts w:hint="eastAsia" w:ascii="宋体" w:hAnsi="宋体" w:cs="宋体"/>
          <w:sz w:val="21"/>
          <w:szCs w:val="21"/>
        </w:rPr>
        <w:t>6.3 评</w:t>
      </w:r>
      <w:bookmarkEnd w:id="146"/>
      <w:r>
        <w:rPr>
          <w:rFonts w:hint="eastAsia" w:ascii="宋体" w:hAnsi="宋体" w:cs="宋体"/>
          <w:sz w:val="21"/>
          <w:szCs w:val="21"/>
        </w:rPr>
        <w:t>审</w:t>
      </w:r>
    </w:p>
    <w:p w14:paraId="6B6AE570">
      <w:pPr>
        <w:spacing w:line="360" w:lineRule="auto"/>
        <w:ind w:firstLine="210" w:firstLineChars="100"/>
        <w:rPr>
          <w:rFonts w:hint="eastAsia" w:ascii="宋体" w:hAnsi="宋体" w:cs="宋体"/>
          <w:szCs w:val="21"/>
        </w:rPr>
      </w:pPr>
      <w:r>
        <w:rPr>
          <w:rFonts w:hint="eastAsia" w:ascii="宋体" w:hAnsi="宋体" w:cs="宋体"/>
          <w:szCs w:val="21"/>
        </w:rPr>
        <w:t>比选小组按照第三章“评审办法”规定的方法、评审因素、标准和程序对竞选文件进行评审。第三章“评审办法”没有规定的方法、评审因素和标准，不作为评审依据。</w:t>
      </w:r>
    </w:p>
    <w:p w14:paraId="30E33023">
      <w:pPr>
        <w:pStyle w:val="5"/>
        <w:spacing w:before="0" w:after="0" w:line="360" w:lineRule="auto"/>
        <w:rPr>
          <w:rFonts w:hint="eastAsia" w:ascii="宋体" w:hAnsi="宋体" w:cs="宋体"/>
          <w:sz w:val="21"/>
          <w:szCs w:val="21"/>
        </w:rPr>
      </w:pPr>
      <w:bookmarkStart w:id="147" w:name="_Toc293756866"/>
      <w:r>
        <w:rPr>
          <w:rFonts w:hint="eastAsia" w:ascii="宋体" w:hAnsi="宋体" w:cs="宋体"/>
          <w:sz w:val="21"/>
          <w:szCs w:val="21"/>
        </w:rPr>
        <w:t>7. 合同授予</w:t>
      </w:r>
      <w:bookmarkEnd w:id="147"/>
    </w:p>
    <w:p w14:paraId="472042E3">
      <w:pPr>
        <w:pStyle w:val="5"/>
        <w:spacing w:before="0" w:after="0" w:line="360" w:lineRule="auto"/>
        <w:rPr>
          <w:rFonts w:hint="eastAsia" w:ascii="宋体" w:hAnsi="宋体" w:cs="宋体"/>
          <w:sz w:val="21"/>
          <w:szCs w:val="21"/>
        </w:rPr>
      </w:pPr>
      <w:bookmarkStart w:id="148" w:name="_Toc293756867"/>
      <w:r>
        <w:rPr>
          <w:rFonts w:hint="eastAsia" w:ascii="宋体" w:hAnsi="宋体" w:cs="宋体"/>
          <w:sz w:val="21"/>
          <w:szCs w:val="21"/>
        </w:rPr>
        <w:t>7.1 定选方式</w:t>
      </w:r>
      <w:bookmarkEnd w:id="148"/>
    </w:p>
    <w:p w14:paraId="7684B285">
      <w:pPr>
        <w:spacing w:line="360" w:lineRule="auto"/>
        <w:ind w:firstLine="420" w:firstLineChars="200"/>
        <w:rPr>
          <w:rFonts w:hint="eastAsia" w:ascii="宋体" w:hAnsi="宋体" w:cs="宋体"/>
          <w:szCs w:val="21"/>
        </w:rPr>
      </w:pPr>
      <w:r>
        <w:rPr>
          <w:rFonts w:hint="eastAsia" w:ascii="宋体" w:hAnsi="宋体" w:cs="宋体"/>
          <w:szCs w:val="21"/>
        </w:rPr>
        <w:t>7.1.1 定选原则:综合评分最高的比选人，应当确定为中标人。除竞选人须知前附表规定比选小组直接确定中标人外，比选人依据比选小组推荐的中选候选人确定中标人。</w:t>
      </w:r>
    </w:p>
    <w:p w14:paraId="43F51E87">
      <w:pPr>
        <w:spacing w:line="360" w:lineRule="auto"/>
        <w:ind w:firstLine="420" w:firstLineChars="200"/>
        <w:rPr>
          <w:rFonts w:hint="eastAsia" w:ascii="宋体" w:hAnsi="宋体" w:cs="宋体"/>
          <w:szCs w:val="21"/>
        </w:rPr>
      </w:pPr>
      <w:r>
        <w:rPr>
          <w:rFonts w:hint="eastAsia" w:ascii="宋体" w:hAnsi="宋体" w:cs="宋体"/>
          <w:szCs w:val="21"/>
        </w:rPr>
        <w:t>7.1.2 定标方法:按照以上定标原则，</w:t>
      </w:r>
    </w:p>
    <w:p w14:paraId="794E0B07">
      <w:pPr>
        <w:spacing w:line="360" w:lineRule="auto"/>
        <w:ind w:firstLine="420" w:firstLineChars="200"/>
        <w:rPr>
          <w:rFonts w:hint="eastAsia" w:ascii="宋体" w:hAnsi="宋体" w:cs="宋体"/>
          <w:szCs w:val="21"/>
        </w:rPr>
      </w:pPr>
      <w:r>
        <w:rPr>
          <w:rFonts w:hint="eastAsia" w:ascii="宋体" w:hAnsi="宋体" w:cs="宋体"/>
          <w:szCs w:val="21"/>
        </w:rPr>
        <w:t>比选人应当确定比选小组在评审报告中推荐排名第一的中选候选人为中标人。</w:t>
      </w:r>
    </w:p>
    <w:p w14:paraId="39EC41EF">
      <w:pPr>
        <w:pStyle w:val="5"/>
        <w:spacing w:before="0" w:after="0" w:line="360" w:lineRule="auto"/>
        <w:ind w:firstLine="105" w:firstLineChars="50"/>
        <w:rPr>
          <w:rFonts w:hint="eastAsia" w:ascii="宋体" w:hAnsi="宋体" w:cs="宋体"/>
          <w:sz w:val="21"/>
          <w:szCs w:val="21"/>
        </w:rPr>
      </w:pPr>
      <w:bookmarkStart w:id="149" w:name="_Toc293756868"/>
      <w:r>
        <w:rPr>
          <w:rFonts w:hint="eastAsia" w:ascii="宋体" w:hAnsi="宋体" w:cs="宋体"/>
          <w:sz w:val="21"/>
          <w:szCs w:val="21"/>
        </w:rPr>
        <w:t>7.2 中选通知</w:t>
      </w:r>
      <w:bookmarkEnd w:id="149"/>
    </w:p>
    <w:p w14:paraId="4AF3A6D1">
      <w:pPr>
        <w:pStyle w:val="5"/>
        <w:spacing w:before="0" w:after="0" w:line="360" w:lineRule="auto"/>
        <w:ind w:firstLine="315" w:firstLineChars="150"/>
        <w:rPr>
          <w:rFonts w:hint="eastAsia" w:ascii="宋体" w:hAnsi="宋体" w:cs="宋体"/>
          <w:sz w:val="21"/>
          <w:szCs w:val="21"/>
        </w:rPr>
      </w:pPr>
      <w:bookmarkStart w:id="150" w:name="_Toc293756869"/>
      <w:r>
        <w:rPr>
          <w:rFonts w:hint="eastAsia" w:ascii="宋体" w:hAnsi="宋体" w:cs="宋体"/>
          <w:b w:val="0"/>
          <w:bCs w:val="0"/>
          <w:sz w:val="21"/>
          <w:szCs w:val="21"/>
        </w:rPr>
        <w:t>在中选公示结束后3天内，由比选人以书面形式向中标人发出中选通知书，同时将中选结果通知未中选的竞选人。</w:t>
      </w:r>
    </w:p>
    <w:p w14:paraId="2485A958">
      <w:pPr>
        <w:pStyle w:val="5"/>
        <w:spacing w:before="0" w:after="0" w:line="360" w:lineRule="auto"/>
        <w:ind w:firstLine="105" w:firstLineChars="50"/>
        <w:rPr>
          <w:rFonts w:hint="eastAsia" w:ascii="宋体" w:hAnsi="宋体" w:cs="宋体"/>
          <w:sz w:val="21"/>
          <w:szCs w:val="21"/>
        </w:rPr>
      </w:pPr>
      <w:r>
        <w:rPr>
          <w:rFonts w:hint="eastAsia" w:ascii="宋体" w:hAnsi="宋体" w:cs="宋体"/>
          <w:sz w:val="21"/>
          <w:szCs w:val="21"/>
        </w:rPr>
        <w:t>7.3 履约担保</w:t>
      </w:r>
      <w:bookmarkEnd w:id="150"/>
    </w:p>
    <w:p w14:paraId="5B68CB76">
      <w:pPr>
        <w:spacing w:line="360" w:lineRule="auto"/>
        <w:ind w:firstLine="420" w:firstLineChars="200"/>
        <w:rPr>
          <w:rFonts w:hint="eastAsia" w:ascii="宋体" w:hAnsi="宋体" w:cs="宋体"/>
          <w:szCs w:val="21"/>
        </w:rPr>
      </w:pPr>
      <w:r>
        <w:rPr>
          <w:rFonts w:hint="eastAsia" w:ascii="宋体" w:hAnsi="宋体" w:cs="宋体"/>
          <w:szCs w:val="21"/>
        </w:rPr>
        <w:t>中标人不能按本章第7.3.1 项要求提交履约担保的，视为放弃中选，其比选保证金不予退还，给比选人造成的损失超过比选保证金数额的，中标人还应当对超过部分予以赔偿。</w:t>
      </w:r>
    </w:p>
    <w:p w14:paraId="6B5D09A1">
      <w:pPr>
        <w:pStyle w:val="5"/>
        <w:spacing w:before="0" w:after="0" w:line="360" w:lineRule="auto"/>
        <w:ind w:firstLine="105" w:firstLineChars="50"/>
        <w:rPr>
          <w:rFonts w:hint="eastAsia" w:ascii="宋体" w:hAnsi="宋体" w:cs="宋体"/>
          <w:sz w:val="21"/>
          <w:szCs w:val="21"/>
        </w:rPr>
      </w:pPr>
      <w:bookmarkStart w:id="151" w:name="_Toc293756870"/>
      <w:r>
        <w:rPr>
          <w:rFonts w:hint="eastAsia" w:ascii="宋体" w:hAnsi="宋体" w:cs="宋体"/>
          <w:sz w:val="21"/>
          <w:szCs w:val="21"/>
        </w:rPr>
        <w:t>7.4 签订合同</w:t>
      </w:r>
      <w:bookmarkEnd w:id="151"/>
    </w:p>
    <w:p w14:paraId="55E8589B">
      <w:pPr>
        <w:spacing w:line="360" w:lineRule="auto"/>
        <w:ind w:firstLine="420" w:firstLineChars="200"/>
        <w:rPr>
          <w:rFonts w:hint="eastAsia" w:ascii="宋体" w:hAnsi="宋体" w:cs="宋体"/>
          <w:szCs w:val="21"/>
        </w:rPr>
      </w:pPr>
      <w:r>
        <w:rPr>
          <w:rFonts w:hint="eastAsia" w:ascii="宋体" w:hAnsi="宋体" w:cs="宋体"/>
          <w:szCs w:val="21"/>
        </w:rPr>
        <w:t>7.4.1 比选人和中标人应当自中选通知书发出之日起30日内，根据比选文件和中标人的竞选文件订立书面合同。中标人无正当理由拒签合同的，或不按照比选文件要求提交履约保证金的，比选人取消其中标资格，其比选保证金不予退还；给比选人造成的损失超过比选保证金数额的，中标人还应当对超过部分予以赔偿比选人取消其中选资格，其比选保证金不予退还；给比选人造成的损失超过比选保证金数额的，中标人还应当对超过部分予以赔偿。</w:t>
      </w:r>
    </w:p>
    <w:p w14:paraId="297B491A">
      <w:pPr>
        <w:spacing w:line="360" w:lineRule="auto"/>
        <w:ind w:firstLine="420" w:firstLineChars="200"/>
        <w:rPr>
          <w:rFonts w:hint="eastAsia" w:ascii="宋体" w:hAnsi="宋体" w:cs="宋体"/>
          <w:szCs w:val="21"/>
        </w:rPr>
      </w:pPr>
      <w:r>
        <w:rPr>
          <w:rFonts w:hint="eastAsia" w:ascii="宋体" w:hAnsi="宋体" w:cs="宋体"/>
          <w:szCs w:val="21"/>
        </w:rPr>
        <w:t>7.4.2 发出中选通知书后，比选人无正当理由拒签合同的，比选人应向中标人退还比选保证金；给中标人造成损失的，还应当赔偿损失。</w:t>
      </w:r>
    </w:p>
    <w:p w14:paraId="4A640805">
      <w:pPr>
        <w:pStyle w:val="5"/>
        <w:spacing w:before="0" w:after="0" w:line="360" w:lineRule="auto"/>
        <w:rPr>
          <w:rFonts w:hint="eastAsia" w:ascii="宋体" w:hAnsi="宋体" w:cs="宋体"/>
          <w:sz w:val="21"/>
          <w:szCs w:val="21"/>
        </w:rPr>
      </w:pPr>
      <w:bookmarkStart w:id="152" w:name="_Toc293756871"/>
      <w:r>
        <w:rPr>
          <w:rFonts w:hint="eastAsia" w:ascii="宋体" w:hAnsi="宋体" w:cs="宋体"/>
          <w:sz w:val="21"/>
          <w:szCs w:val="21"/>
        </w:rPr>
        <w:t>8. 重新比选和不再比选</w:t>
      </w:r>
      <w:bookmarkEnd w:id="152"/>
    </w:p>
    <w:p w14:paraId="51A74782">
      <w:pPr>
        <w:pStyle w:val="5"/>
        <w:spacing w:before="0" w:after="0" w:line="360" w:lineRule="auto"/>
        <w:rPr>
          <w:rFonts w:hint="eastAsia" w:ascii="宋体" w:hAnsi="宋体" w:cs="宋体"/>
          <w:sz w:val="21"/>
          <w:szCs w:val="21"/>
        </w:rPr>
      </w:pPr>
      <w:bookmarkStart w:id="153" w:name="_Toc293756872"/>
      <w:bookmarkStart w:id="154" w:name="_Toc284231393"/>
      <w:r>
        <w:rPr>
          <w:rFonts w:hint="eastAsia" w:ascii="宋体" w:hAnsi="宋体" w:cs="宋体"/>
          <w:sz w:val="21"/>
          <w:szCs w:val="21"/>
        </w:rPr>
        <w:t>8.1 重新</w:t>
      </w:r>
      <w:bookmarkEnd w:id="153"/>
      <w:bookmarkEnd w:id="154"/>
      <w:r>
        <w:rPr>
          <w:rFonts w:hint="eastAsia" w:ascii="宋体" w:hAnsi="宋体" w:cs="宋体"/>
          <w:sz w:val="21"/>
          <w:szCs w:val="21"/>
        </w:rPr>
        <w:t>比选</w:t>
      </w:r>
    </w:p>
    <w:p w14:paraId="4E8284BD">
      <w:pPr>
        <w:spacing w:line="360" w:lineRule="auto"/>
        <w:ind w:firstLine="420" w:firstLineChars="200"/>
        <w:rPr>
          <w:rFonts w:hint="eastAsia" w:ascii="宋体" w:hAnsi="宋体" w:cs="宋体"/>
          <w:szCs w:val="21"/>
        </w:rPr>
      </w:pPr>
      <w:r>
        <w:rPr>
          <w:rFonts w:hint="eastAsia" w:ascii="宋体" w:hAnsi="宋体" w:cs="宋体"/>
          <w:szCs w:val="21"/>
        </w:rPr>
        <w:t>有下列情形之一的，比选人将重新比选：</w:t>
      </w:r>
    </w:p>
    <w:p w14:paraId="33928B35">
      <w:pPr>
        <w:spacing w:line="360" w:lineRule="auto"/>
        <w:ind w:firstLine="420" w:firstLineChars="200"/>
        <w:rPr>
          <w:rFonts w:hint="eastAsia" w:ascii="宋体" w:hAnsi="宋体" w:cs="宋体"/>
          <w:szCs w:val="21"/>
        </w:rPr>
      </w:pPr>
      <w:r>
        <w:rPr>
          <w:rFonts w:hint="eastAsia" w:ascii="宋体" w:hAnsi="宋体" w:cs="宋体"/>
          <w:szCs w:val="21"/>
        </w:rPr>
        <w:t>（1）比选截止时间止，竞选人少于3 个的；</w:t>
      </w:r>
    </w:p>
    <w:p w14:paraId="1C0E3054">
      <w:pPr>
        <w:spacing w:line="360" w:lineRule="auto"/>
        <w:ind w:firstLine="420" w:firstLineChars="200"/>
        <w:rPr>
          <w:rFonts w:hint="eastAsia" w:ascii="宋体" w:hAnsi="宋体" w:cs="宋体"/>
          <w:szCs w:val="21"/>
        </w:rPr>
      </w:pPr>
      <w:r>
        <w:rPr>
          <w:rFonts w:hint="eastAsia" w:ascii="宋体" w:hAnsi="宋体" w:cs="宋体"/>
          <w:szCs w:val="21"/>
        </w:rPr>
        <w:t>（2）经比选小组评审后否决所有竞选人的。</w:t>
      </w:r>
    </w:p>
    <w:p w14:paraId="3ED4F9E6">
      <w:pPr>
        <w:pStyle w:val="5"/>
        <w:spacing w:before="0" w:after="0" w:line="360" w:lineRule="auto"/>
        <w:rPr>
          <w:rFonts w:hint="eastAsia" w:ascii="宋体" w:hAnsi="宋体" w:cs="宋体"/>
          <w:sz w:val="21"/>
          <w:szCs w:val="21"/>
        </w:rPr>
      </w:pPr>
      <w:bookmarkStart w:id="155" w:name="_Toc293756873"/>
      <w:bookmarkStart w:id="156" w:name="_Toc284231394"/>
      <w:r>
        <w:rPr>
          <w:rFonts w:hint="eastAsia" w:ascii="宋体" w:hAnsi="宋体" w:cs="宋体"/>
          <w:sz w:val="21"/>
          <w:szCs w:val="21"/>
        </w:rPr>
        <w:t>8.2 不再</w:t>
      </w:r>
      <w:bookmarkEnd w:id="155"/>
      <w:bookmarkEnd w:id="156"/>
      <w:r>
        <w:rPr>
          <w:rFonts w:hint="eastAsia" w:ascii="宋体" w:hAnsi="宋体" w:cs="宋体"/>
          <w:sz w:val="21"/>
          <w:szCs w:val="21"/>
        </w:rPr>
        <w:t>比选</w:t>
      </w:r>
    </w:p>
    <w:p w14:paraId="72766AFD">
      <w:pPr>
        <w:spacing w:line="360" w:lineRule="auto"/>
        <w:ind w:firstLine="525" w:firstLineChars="250"/>
        <w:rPr>
          <w:rFonts w:hint="eastAsia" w:ascii="宋体" w:hAnsi="宋体" w:cs="宋体"/>
          <w:szCs w:val="21"/>
        </w:rPr>
      </w:pPr>
      <w:bookmarkStart w:id="157" w:name="_Toc284158456"/>
      <w:bookmarkStart w:id="158" w:name="_Toc288045280"/>
      <w:bookmarkStart w:id="159" w:name="_Toc284231395"/>
      <w:bookmarkStart w:id="160" w:name="_Toc288046894"/>
      <w:bookmarkStart w:id="161" w:name="_Toc284158539"/>
      <w:bookmarkStart w:id="162" w:name="_Toc284159360"/>
      <w:bookmarkStart w:id="163" w:name="_Toc288046541"/>
      <w:bookmarkStart w:id="164" w:name="_Toc293756874"/>
      <w:bookmarkStart w:id="165" w:name="_Toc284159224"/>
      <w:bookmarkStart w:id="166" w:name="_Toc288052291"/>
      <w:r>
        <w:rPr>
          <w:rFonts w:hint="eastAsia" w:ascii="宋体" w:hAnsi="宋体" w:cs="宋体"/>
          <w:szCs w:val="21"/>
        </w:rPr>
        <w:t>重新比选后竞选人仍少于三个的，按法定程序开展比选和评审，确定中标人。经评审无合格竞选人，属于审批或核准项目的，报经原审批部门批准可以不再比选。</w:t>
      </w:r>
      <w:bookmarkEnd w:id="157"/>
      <w:bookmarkEnd w:id="158"/>
      <w:bookmarkEnd w:id="159"/>
      <w:bookmarkEnd w:id="160"/>
      <w:bookmarkEnd w:id="161"/>
      <w:bookmarkEnd w:id="162"/>
      <w:bookmarkEnd w:id="163"/>
      <w:bookmarkEnd w:id="164"/>
      <w:bookmarkEnd w:id="165"/>
      <w:bookmarkEnd w:id="166"/>
    </w:p>
    <w:p w14:paraId="71634C0A">
      <w:pPr>
        <w:pStyle w:val="5"/>
        <w:spacing w:before="0" w:after="0" w:line="360" w:lineRule="auto"/>
        <w:rPr>
          <w:rFonts w:hint="eastAsia" w:ascii="宋体" w:hAnsi="宋体" w:cs="宋体"/>
          <w:sz w:val="21"/>
          <w:szCs w:val="21"/>
        </w:rPr>
      </w:pPr>
      <w:bookmarkStart w:id="167" w:name="_Toc293756875"/>
      <w:r>
        <w:rPr>
          <w:rFonts w:hint="eastAsia" w:ascii="宋体" w:hAnsi="宋体" w:cs="宋体"/>
          <w:sz w:val="21"/>
          <w:szCs w:val="21"/>
        </w:rPr>
        <w:t>9. 纪律和监督</w:t>
      </w:r>
      <w:bookmarkEnd w:id="167"/>
    </w:p>
    <w:p w14:paraId="32E46C30">
      <w:pPr>
        <w:pStyle w:val="5"/>
        <w:spacing w:before="0" w:after="0" w:line="360" w:lineRule="auto"/>
        <w:rPr>
          <w:rFonts w:hint="eastAsia" w:ascii="宋体" w:hAnsi="宋体" w:cs="宋体"/>
          <w:sz w:val="21"/>
          <w:szCs w:val="21"/>
        </w:rPr>
      </w:pPr>
      <w:bookmarkStart w:id="168" w:name="_Toc293756876"/>
      <w:r>
        <w:rPr>
          <w:rFonts w:hint="eastAsia" w:ascii="宋体" w:hAnsi="宋体" w:cs="宋体"/>
          <w:sz w:val="21"/>
          <w:szCs w:val="21"/>
        </w:rPr>
        <w:t>9.1 对比选人的纪律要求</w:t>
      </w:r>
      <w:bookmarkEnd w:id="168"/>
    </w:p>
    <w:p w14:paraId="48E4407A">
      <w:pPr>
        <w:spacing w:line="360" w:lineRule="auto"/>
        <w:ind w:firstLine="420" w:firstLineChars="200"/>
        <w:rPr>
          <w:rFonts w:hint="eastAsia" w:ascii="宋体" w:hAnsi="宋体" w:cs="宋体"/>
          <w:szCs w:val="21"/>
        </w:rPr>
      </w:pPr>
      <w:r>
        <w:rPr>
          <w:rFonts w:hint="eastAsia" w:ascii="宋体" w:hAnsi="宋体" w:cs="宋体"/>
          <w:szCs w:val="21"/>
        </w:rPr>
        <w:t>比选人不得泄漏比选比选活动中应当保密的情况和资料，不得与竞选人串通损害国家利益、社会公共利益或者他人合法权益。</w:t>
      </w:r>
    </w:p>
    <w:p w14:paraId="08E74C3B">
      <w:pPr>
        <w:pStyle w:val="5"/>
        <w:spacing w:before="0" w:after="0" w:line="360" w:lineRule="auto"/>
        <w:rPr>
          <w:rFonts w:hint="eastAsia" w:ascii="宋体" w:hAnsi="宋体" w:cs="宋体"/>
          <w:sz w:val="21"/>
          <w:szCs w:val="21"/>
        </w:rPr>
      </w:pPr>
      <w:bookmarkStart w:id="169" w:name="_Toc293756877"/>
      <w:r>
        <w:rPr>
          <w:rFonts w:hint="eastAsia" w:ascii="宋体" w:hAnsi="宋体" w:cs="宋体"/>
          <w:sz w:val="21"/>
          <w:szCs w:val="21"/>
        </w:rPr>
        <w:t>9.2 对竞选人的纪律要求</w:t>
      </w:r>
      <w:bookmarkEnd w:id="169"/>
    </w:p>
    <w:p w14:paraId="4A050E27">
      <w:pPr>
        <w:spacing w:line="360" w:lineRule="auto"/>
        <w:ind w:firstLine="420" w:firstLineChars="200"/>
        <w:rPr>
          <w:rFonts w:hint="eastAsia" w:ascii="宋体" w:hAnsi="宋体" w:cs="宋体"/>
          <w:szCs w:val="21"/>
        </w:rPr>
      </w:pPr>
      <w:r>
        <w:rPr>
          <w:rFonts w:hint="eastAsia" w:ascii="宋体" w:hAnsi="宋体" w:cs="宋体"/>
          <w:szCs w:val="21"/>
        </w:rPr>
        <w:t>竞选人不得相互串通比选或者与比选人串通比选，不得向比选人或者比选小组成员行贿谋取中选，不得以他人名义参加比选或者以其他方式弄虚作假骗取中选；竞选人不得以任何方式干扰、影响评审工作。</w:t>
      </w:r>
    </w:p>
    <w:p w14:paraId="1232E763">
      <w:pPr>
        <w:pStyle w:val="5"/>
        <w:spacing w:before="0" w:after="0" w:line="360" w:lineRule="auto"/>
        <w:rPr>
          <w:rFonts w:hint="eastAsia" w:ascii="宋体" w:hAnsi="宋体" w:cs="宋体"/>
          <w:sz w:val="21"/>
          <w:szCs w:val="21"/>
        </w:rPr>
      </w:pPr>
      <w:bookmarkStart w:id="170" w:name="_Toc293756878"/>
      <w:r>
        <w:rPr>
          <w:rFonts w:hint="eastAsia" w:ascii="宋体" w:hAnsi="宋体" w:cs="宋体"/>
          <w:sz w:val="21"/>
          <w:szCs w:val="21"/>
        </w:rPr>
        <w:t>9.3 对比选小组成员的纪律要求</w:t>
      </w:r>
      <w:bookmarkEnd w:id="170"/>
    </w:p>
    <w:p w14:paraId="10AB3CBB">
      <w:pPr>
        <w:spacing w:line="360" w:lineRule="auto"/>
        <w:ind w:firstLine="420" w:firstLineChars="200"/>
        <w:rPr>
          <w:rFonts w:hint="eastAsia" w:ascii="宋体" w:hAnsi="宋体" w:cs="宋体"/>
          <w:szCs w:val="21"/>
        </w:rPr>
      </w:pPr>
      <w:r>
        <w:rPr>
          <w:rFonts w:hint="eastAsia" w:ascii="宋体" w:hAnsi="宋体" w:cs="宋体"/>
          <w:szCs w:val="21"/>
        </w:rPr>
        <w:t>比选小组成员不得收受他人的财物或者其他好处，不得向他人透漏对竞选文件的评审和比较、中选候选人的推荐情况以及评审有关的其他情况。在评审活动中，比选小组成员不得擅离职守，影响评审程序正常进行，不得使用第三章“评审办法”没有规定的评审因素和标准进行评审。</w:t>
      </w:r>
    </w:p>
    <w:p w14:paraId="4D24D272">
      <w:pPr>
        <w:pStyle w:val="5"/>
        <w:spacing w:before="0" w:after="0" w:line="360" w:lineRule="auto"/>
        <w:rPr>
          <w:rFonts w:hint="eastAsia" w:ascii="宋体" w:hAnsi="宋体" w:cs="宋体"/>
          <w:sz w:val="21"/>
          <w:szCs w:val="21"/>
        </w:rPr>
      </w:pPr>
      <w:bookmarkStart w:id="171" w:name="_Toc293756879"/>
      <w:r>
        <w:rPr>
          <w:rFonts w:hint="eastAsia" w:ascii="宋体" w:hAnsi="宋体" w:cs="宋体"/>
          <w:sz w:val="21"/>
          <w:szCs w:val="21"/>
        </w:rPr>
        <w:t>9.4 对与评审活动有关的工作人员的纪律要求</w:t>
      </w:r>
      <w:bookmarkEnd w:id="171"/>
    </w:p>
    <w:p w14:paraId="5627F98D">
      <w:pPr>
        <w:spacing w:line="360" w:lineRule="auto"/>
        <w:ind w:firstLine="420" w:firstLineChars="200"/>
        <w:rPr>
          <w:rFonts w:hint="eastAsia" w:ascii="宋体" w:hAnsi="宋体" w:cs="宋体"/>
          <w:szCs w:val="21"/>
        </w:rPr>
      </w:pPr>
      <w:r>
        <w:rPr>
          <w:rFonts w:hint="eastAsia" w:ascii="宋体" w:hAnsi="宋体" w:cs="宋体"/>
          <w:szCs w:val="21"/>
        </w:rPr>
        <w:t>与评审活动有关的工作人员不得收受他人的财物或者其他好处，不得向他人透漏对竞选文件的评审和比较、中选候选人的推荐情况以及评审有关的其他情况。在评审活动中，与评审活动有关的工作人员不得擅离职守，影响评审程序正常进行。</w:t>
      </w:r>
    </w:p>
    <w:p w14:paraId="64F5BE27">
      <w:pPr>
        <w:spacing w:line="360" w:lineRule="auto"/>
        <w:rPr>
          <w:rFonts w:hint="eastAsia" w:ascii="宋体" w:hAnsi="宋体" w:cs="宋体"/>
          <w:b/>
          <w:szCs w:val="21"/>
        </w:rPr>
      </w:pPr>
      <w:r>
        <w:rPr>
          <w:rFonts w:hint="eastAsia" w:ascii="宋体" w:hAnsi="宋体" w:cs="宋体"/>
          <w:b/>
          <w:szCs w:val="21"/>
        </w:rPr>
        <w:t>9.5 投诉</w:t>
      </w:r>
    </w:p>
    <w:p w14:paraId="5EDC10DF">
      <w:pPr>
        <w:spacing w:line="360" w:lineRule="auto"/>
        <w:ind w:firstLine="315" w:firstLineChars="150"/>
        <w:rPr>
          <w:rFonts w:hint="eastAsia" w:ascii="宋体" w:hAnsi="宋体" w:cs="宋体"/>
          <w:szCs w:val="21"/>
        </w:rPr>
      </w:pPr>
      <w:r>
        <w:rPr>
          <w:rFonts w:hint="eastAsia" w:ascii="宋体" w:hAnsi="宋体" w:cs="宋体"/>
          <w:szCs w:val="21"/>
        </w:rPr>
        <w:t>竞选人或其他利害关系人认为比选文件内容违法或不当的,应当在竞选文件递交截止时间前提出异议或投诉;认为比选活动违法或不当的,应当在比选现场向比选人提出异议,比选人应立即答复;认为评审结果不公正的,应当在中选候选人公示期间先向比选人提出异议,比选人应在公示期结束后二日内答复。竞选人或其他利害关系人对比选人的答复不满意，或比选人未答复的，可向有关行政部门投诉。</w:t>
      </w:r>
    </w:p>
    <w:p w14:paraId="7C81FD49">
      <w:pPr>
        <w:pStyle w:val="5"/>
        <w:spacing w:before="0" w:after="0" w:line="360" w:lineRule="auto"/>
        <w:rPr>
          <w:rFonts w:hint="eastAsia" w:ascii="宋体" w:hAnsi="宋体" w:cs="宋体"/>
          <w:sz w:val="21"/>
          <w:szCs w:val="21"/>
        </w:rPr>
      </w:pPr>
      <w:bookmarkStart w:id="172" w:name="_Toc293756880"/>
      <w:r>
        <w:rPr>
          <w:rFonts w:hint="eastAsia" w:ascii="宋体" w:hAnsi="宋体" w:cs="宋体"/>
          <w:sz w:val="21"/>
          <w:szCs w:val="21"/>
        </w:rPr>
        <w:t>10. 需要补充的其他内容</w:t>
      </w:r>
      <w:bookmarkEnd w:id="172"/>
    </w:p>
    <w:p w14:paraId="02206C1D">
      <w:pPr>
        <w:spacing w:line="360" w:lineRule="auto"/>
        <w:ind w:firstLine="210" w:firstLineChars="100"/>
        <w:rPr>
          <w:rFonts w:hint="eastAsia" w:ascii="宋体" w:hAnsi="宋体" w:cs="宋体"/>
          <w:sz w:val="24"/>
        </w:rPr>
        <w:sectPr>
          <w:pgSz w:w="11906" w:h="16838"/>
          <w:pgMar w:top="1134" w:right="1134" w:bottom="1134" w:left="1304" w:header="567" w:footer="992" w:gutter="0"/>
          <w:cols w:space="720" w:num="1"/>
          <w:docGrid w:type="lines" w:linePitch="312" w:charSpace="0"/>
        </w:sectPr>
      </w:pPr>
      <w:r>
        <w:rPr>
          <w:rFonts w:hint="eastAsia" w:ascii="宋体" w:hAnsi="宋体" w:cs="宋体"/>
          <w:szCs w:val="21"/>
        </w:rPr>
        <w:t>需要补充的其他内容：见竞选人须知前附表。</w:t>
      </w:r>
    </w:p>
    <w:bookmarkEnd w:id="108"/>
    <w:bookmarkEnd w:id="109"/>
    <w:bookmarkEnd w:id="110"/>
    <w:bookmarkEnd w:id="111"/>
    <w:bookmarkEnd w:id="112"/>
    <w:bookmarkEnd w:id="113"/>
    <w:bookmarkEnd w:id="114"/>
    <w:bookmarkEnd w:id="115"/>
    <w:bookmarkEnd w:id="116"/>
    <w:bookmarkEnd w:id="117"/>
    <w:p w14:paraId="5F82416D">
      <w:pPr>
        <w:pStyle w:val="3"/>
        <w:numPr>
          <w:ilvl w:val="0"/>
          <w:numId w:val="1"/>
        </w:numPr>
        <w:spacing w:line="360" w:lineRule="auto"/>
        <w:jc w:val="center"/>
        <w:rPr>
          <w:rFonts w:hint="eastAsia" w:ascii="宋体" w:hAnsi="宋体" w:cs="宋体"/>
          <w:sz w:val="32"/>
          <w:szCs w:val="32"/>
        </w:rPr>
      </w:pPr>
      <w:bookmarkStart w:id="173" w:name="_合同条款及格式"/>
      <w:bookmarkEnd w:id="173"/>
      <w:bookmarkStart w:id="174" w:name="_Toc20466"/>
      <w:bookmarkStart w:id="175" w:name="_Toc22087"/>
      <w:bookmarkStart w:id="176" w:name="_Toc12229"/>
      <w:bookmarkStart w:id="177" w:name="_Toc416768992"/>
      <w:bookmarkStart w:id="178" w:name="_Toc238797615"/>
      <w:bookmarkStart w:id="179" w:name="_Toc179632627"/>
      <w:bookmarkStart w:id="180" w:name="_Toc238552260"/>
      <w:r>
        <w:rPr>
          <w:rFonts w:hint="eastAsia" w:ascii="宋体" w:hAnsi="宋体" w:cs="宋体"/>
          <w:sz w:val="32"/>
          <w:szCs w:val="32"/>
        </w:rPr>
        <w:t xml:space="preserve"> 评标办法（经评审的最低</w:t>
      </w:r>
      <w:r>
        <w:rPr>
          <w:rFonts w:hint="eastAsia" w:ascii="宋体" w:hAnsi="宋体" w:cs="宋体"/>
          <w:sz w:val="32"/>
          <w:szCs w:val="32"/>
          <w:lang w:eastAsia="zh-CN"/>
        </w:rPr>
        <w:t>竞选</w:t>
      </w:r>
      <w:r>
        <w:rPr>
          <w:rFonts w:hint="eastAsia" w:ascii="宋体" w:hAnsi="宋体" w:cs="宋体"/>
          <w:sz w:val="32"/>
          <w:szCs w:val="32"/>
        </w:rPr>
        <w:t>价法）</w:t>
      </w:r>
      <w:bookmarkEnd w:id="174"/>
      <w:bookmarkEnd w:id="175"/>
      <w:bookmarkEnd w:id="176"/>
    </w:p>
    <w:p w14:paraId="5871F39B">
      <w:pPr>
        <w:spacing w:line="400" w:lineRule="exact"/>
        <w:ind w:firstLine="427" w:firstLineChars="196"/>
        <w:rPr>
          <w:rFonts w:ascii="宋体" w:hAnsi="宋体"/>
          <w:spacing w:val="4"/>
          <w:kern w:val="0"/>
          <w:szCs w:val="21"/>
        </w:rPr>
      </w:pPr>
      <w:r>
        <w:rPr>
          <w:rFonts w:ascii="宋体" w:hAnsi="宋体"/>
          <w:spacing w:val="4"/>
          <w:kern w:val="0"/>
          <w:szCs w:val="21"/>
        </w:rPr>
        <w:t>评标办法中的评审内容必须和投标人须知中的对应内容一致，若投标人须知中未作要求的内容，不得列入评标办法作为评定依据。</w:t>
      </w:r>
    </w:p>
    <w:tbl>
      <w:tblPr>
        <w:tblStyle w:val="46"/>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42"/>
        <w:gridCol w:w="1560"/>
        <w:gridCol w:w="2267"/>
        <w:gridCol w:w="4617"/>
      </w:tblGrid>
      <w:tr w14:paraId="0E413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641" w:type="pct"/>
            <w:tcBorders>
              <w:right w:val="single" w:color="auto" w:sz="4" w:space="0"/>
            </w:tcBorders>
            <w:vAlign w:val="center"/>
          </w:tcPr>
          <w:p w14:paraId="527C4FE8">
            <w:pPr>
              <w:spacing w:afterLines="0" w:line="36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条款号</w:t>
            </w:r>
          </w:p>
        </w:tc>
        <w:tc>
          <w:tcPr>
            <w:tcW w:w="805" w:type="pct"/>
            <w:tcBorders>
              <w:left w:val="single" w:color="auto" w:sz="4" w:space="0"/>
            </w:tcBorders>
            <w:vAlign w:val="center"/>
          </w:tcPr>
          <w:p w14:paraId="3976CE4B">
            <w:pPr>
              <w:spacing w:afterLines="0" w:line="36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评审因素</w:t>
            </w:r>
          </w:p>
        </w:tc>
        <w:tc>
          <w:tcPr>
            <w:tcW w:w="3553" w:type="pct"/>
            <w:gridSpan w:val="2"/>
            <w:vAlign w:val="center"/>
          </w:tcPr>
          <w:p w14:paraId="36783C8B">
            <w:pPr>
              <w:spacing w:afterLines="0" w:line="36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评审标准</w:t>
            </w:r>
          </w:p>
        </w:tc>
      </w:tr>
      <w:tr w14:paraId="59833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641" w:type="pct"/>
            <w:vMerge w:val="restart"/>
            <w:tcBorders>
              <w:right w:val="single" w:color="auto" w:sz="4" w:space="0"/>
            </w:tcBorders>
            <w:vAlign w:val="center"/>
          </w:tcPr>
          <w:p w14:paraId="2D2C49E4">
            <w:pPr>
              <w:spacing w:afterLines="0"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2.1.1</w:t>
            </w:r>
          </w:p>
        </w:tc>
        <w:tc>
          <w:tcPr>
            <w:tcW w:w="805" w:type="pct"/>
            <w:vMerge w:val="restart"/>
            <w:tcBorders>
              <w:left w:val="single" w:color="auto" w:sz="4" w:space="0"/>
              <w:right w:val="single" w:color="auto" w:sz="4" w:space="0"/>
            </w:tcBorders>
            <w:vAlign w:val="center"/>
          </w:tcPr>
          <w:p w14:paraId="7C73A310">
            <w:pPr>
              <w:spacing w:afterLines="0"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资格评审标准</w:t>
            </w:r>
          </w:p>
        </w:tc>
        <w:tc>
          <w:tcPr>
            <w:tcW w:w="1170" w:type="pct"/>
            <w:tcBorders>
              <w:top w:val="single" w:color="auto" w:sz="4" w:space="0"/>
              <w:left w:val="single" w:color="auto" w:sz="4" w:space="0"/>
              <w:right w:val="single" w:color="auto" w:sz="4" w:space="0"/>
            </w:tcBorders>
            <w:vAlign w:val="center"/>
          </w:tcPr>
          <w:p w14:paraId="36A5ED1E">
            <w:pPr>
              <w:snapToGrid w:val="0"/>
              <w:spacing w:afterLines="0"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资质条件</w:t>
            </w:r>
          </w:p>
        </w:tc>
        <w:tc>
          <w:tcPr>
            <w:tcW w:w="2382" w:type="pct"/>
            <w:tcBorders>
              <w:top w:val="single" w:color="auto" w:sz="4" w:space="0"/>
              <w:left w:val="single" w:color="auto" w:sz="4" w:space="0"/>
            </w:tcBorders>
            <w:vAlign w:val="center"/>
          </w:tcPr>
          <w:p w14:paraId="78F9AB13">
            <w:pPr>
              <w:snapToGrid w:val="0"/>
              <w:spacing w:afterLines="0"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符合第二章“竞选人须知”第1.4.1项规定。</w:t>
            </w:r>
          </w:p>
        </w:tc>
      </w:tr>
      <w:tr w14:paraId="5D8B2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641" w:type="pct"/>
            <w:vMerge w:val="continue"/>
            <w:tcBorders>
              <w:right w:val="single" w:color="auto" w:sz="4" w:space="0"/>
            </w:tcBorders>
            <w:vAlign w:val="center"/>
          </w:tcPr>
          <w:p w14:paraId="266139CC">
            <w:pPr>
              <w:spacing w:afterLines="0" w:line="360" w:lineRule="auto"/>
              <w:jc w:val="center"/>
              <w:rPr>
                <w:rFonts w:hint="eastAsia" w:ascii="宋体" w:hAnsi="宋体" w:eastAsia="宋体" w:cs="宋体"/>
                <w:sz w:val="21"/>
                <w:szCs w:val="21"/>
              </w:rPr>
            </w:pPr>
          </w:p>
        </w:tc>
        <w:tc>
          <w:tcPr>
            <w:tcW w:w="805" w:type="pct"/>
            <w:vMerge w:val="continue"/>
            <w:tcBorders>
              <w:left w:val="single" w:color="auto" w:sz="4" w:space="0"/>
              <w:right w:val="single" w:color="auto" w:sz="4" w:space="0"/>
            </w:tcBorders>
            <w:vAlign w:val="center"/>
          </w:tcPr>
          <w:p w14:paraId="7AB97192">
            <w:pPr>
              <w:spacing w:afterLines="0" w:line="360" w:lineRule="auto"/>
              <w:jc w:val="center"/>
              <w:rPr>
                <w:rFonts w:hint="eastAsia" w:ascii="宋体" w:hAnsi="宋体" w:eastAsia="宋体" w:cs="宋体"/>
                <w:kern w:val="0"/>
                <w:sz w:val="21"/>
                <w:szCs w:val="21"/>
              </w:rPr>
            </w:pPr>
          </w:p>
        </w:tc>
        <w:tc>
          <w:tcPr>
            <w:tcW w:w="1170" w:type="pct"/>
            <w:tcBorders>
              <w:top w:val="single" w:color="auto" w:sz="4" w:space="0"/>
              <w:left w:val="single" w:color="auto" w:sz="4" w:space="0"/>
              <w:right w:val="single" w:color="auto" w:sz="4" w:space="0"/>
            </w:tcBorders>
            <w:vAlign w:val="center"/>
          </w:tcPr>
          <w:p w14:paraId="6EA34C03">
            <w:pPr>
              <w:snapToGrid w:val="0"/>
              <w:spacing w:afterLines="0" w:line="360" w:lineRule="auto"/>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独立法人资格</w:t>
            </w:r>
          </w:p>
        </w:tc>
        <w:tc>
          <w:tcPr>
            <w:tcW w:w="2382" w:type="pct"/>
            <w:tcBorders>
              <w:top w:val="single" w:color="auto" w:sz="4" w:space="0"/>
              <w:left w:val="single" w:color="auto" w:sz="4" w:space="0"/>
            </w:tcBorders>
            <w:vAlign w:val="center"/>
          </w:tcPr>
          <w:p w14:paraId="7C7A8878">
            <w:pPr>
              <w:snapToGrid w:val="0"/>
              <w:spacing w:after="0" w:afterLines="0"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符合第二章“竞选人须知”第1.4.1项规定。</w:t>
            </w:r>
          </w:p>
        </w:tc>
      </w:tr>
      <w:tr w14:paraId="368B8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641" w:type="pct"/>
            <w:vMerge w:val="continue"/>
            <w:tcBorders>
              <w:right w:val="single" w:color="auto" w:sz="4" w:space="0"/>
            </w:tcBorders>
            <w:vAlign w:val="center"/>
          </w:tcPr>
          <w:p w14:paraId="41123EB7">
            <w:pPr>
              <w:spacing w:afterLines="0" w:line="360" w:lineRule="auto"/>
              <w:jc w:val="center"/>
              <w:rPr>
                <w:rFonts w:hint="eastAsia" w:ascii="宋体" w:hAnsi="宋体" w:eastAsia="宋体" w:cs="宋体"/>
                <w:sz w:val="21"/>
                <w:szCs w:val="21"/>
              </w:rPr>
            </w:pPr>
          </w:p>
        </w:tc>
        <w:tc>
          <w:tcPr>
            <w:tcW w:w="805" w:type="pct"/>
            <w:vMerge w:val="continue"/>
            <w:tcBorders>
              <w:left w:val="single" w:color="auto" w:sz="4" w:space="0"/>
              <w:right w:val="single" w:color="auto" w:sz="4" w:space="0"/>
            </w:tcBorders>
            <w:vAlign w:val="center"/>
          </w:tcPr>
          <w:p w14:paraId="5BADB72D">
            <w:pPr>
              <w:spacing w:afterLines="0" w:line="360" w:lineRule="auto"/>
              <w:jc w:val="center"/>
              <w:rPr>
                <w:rFonts w:hint="eastAsia" w:ascii="宋体" w:hAnsi="宋体" w:eastAsia="宋体" w:cs="宋体"/>
                <w:kern w:val="0"/>
                <w:sz w:val="21"/>
                <w:szCs w:val="21"/>
              </w:rPr>
            </w:pPr>
          </w:p>
        </w:tc>
        <w:tc>
          <w:tcPr>
            <w:tcW w:w="1170" w:type="pct"/>
            <w:tcBorders>
              <w:top w:val="single" w:color="auto" w:sz="4" w:space="0"/>
              <w:left w:val="single" w:color="auto" w:sz="4" w:space="0"/>
              <w:right w:val="single" w:color="auto" w:sz="4" w:space="0"/>
            </w:tcBorders>
            <w:vAlign w:val="center"/>
          </w:tcPr>
          <w:p w14:paraId="2185E5CE">
            <w:pPr>
              <w:snapToGrid w:val="0"/>
              <w:spacing w:afterLines="0"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安全生产条件</w:t>
            </w:r>
          </w:p>
        </w:tc>
        <w:tc>
          <w:tcPr>
            <w:tcW w:w="2382" w:type="pct"/>
            <w:tcBorders>
              <w:top w:val="single" w:color="auto" w:sz="4" w:space="0"/>
              <w:left w:val="single" w:color="auto" w:sz="4" w:space="0"/>
            </w:tcBorders>
            <w:vAlign w:val="center"/>
          </w:tcPr>
          <w:p w14:paraId="1C51BF17">
            <w:pPr>
              <w:snapToGrid w:val="0"/>
              <w:spacing w:afterLines="0" w:line="360" w:lineRule="auto"/>
              <w:ind w:firstLine="420" w:firstLineChars="200"/>
              <w:rPr>
                <w:rFonts w:hint="eastAsia" w:ascii="宋体" w:hAnsi="宋体" w:eastAsia="宋体" w:cs="宋体"/>
                <w:kern w:val="0"/>
                <w:sz w:val="21"/>
                <w:szCs w:val="21"/>
                <w:lang w:eastAsia="zh-CN"/>
              </w:rPr>
            </w:pPr>
            <w:r>
              <w:rPr>
                <w:rFonts w:hint="eastAsia" w:ascii="宋体" w:hAnsi="宋体" w:eastAsia="宋体" w:cs="宋体"/>
                <w:kern w:val="0"/>
                <w:sz w:val="21"/>
                <w:szCs w:val="21"/>
              </w:rPr>
              <w:t>符合第二章“竞选人须知”第1.4.1项规定</w:t>
            </w:r>
            <w:r>
              <w:rPr>
                <w:rFonts w:hint="eastAsia" w:ascii="宋体" w:hAnsi="宋体" w:eastAsia="宋体" w:cs="宋体"/>
                <w:kern w:val="0"/>
                <w:sz w:val="21"/>
                <w:szCs w:val="21"/>
                <w:lang w:eastAsia="zh-CN"/>
              </w:rPr>
              <w:t>。</w:t>
            </w:r>
          </w:p>
        </w:tc>
      </w:tr>
      <w:tr w14:paraId="5D29A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641" w:type="pct"/>
            <w:vMerge w:val="continue"/>
            <w:tcBorders>
              <w:right w:val="single" w:color="auto" w:sz="4" w:space="0"/>
            </w:tcBorders>
            <w:vAlign w:val="center"/>
          </w:tcPr>
          <w:p w14:paraId="77DFE29F">
            <w:pPr>
              <w:spacing w:afterLines="0" w:line="360" w:lineRule="auto"/>
              <w:jc w:val="center"/>
              <w:rPr>
                <w:rFonts w:hint="eastAsia" w:ascii="宋体" w:hAnsi="宋体" w:eastAsia="宋体" w:cs="宋体"/>
                <w:sz w:val="21"/>
                <w:szCs w:val="21"/>
              </w:rPr>
            </w:pPr>
          </w:p>
        </w:tc>
        <w:tc>
          <w:tcPr>
            <w:tcW w:w="805" w:type="pct"/>
            <w:vMerge w:val="continue"/>
            <w:tcBorders>
              <w:left w:val="single" w:color="auto" w:sz="4" w:space="0"/>
              <w:right w:val="single" w:color="auto" w:sz="4" w:space="0"/>
            </w:tcBorders>
            <w:vAlign w:val="center"/>
          </w:tcPr>
          <w:p w14:paraId="7A2827B9">
            <w:pPr>
              <w:spacing w:afterLines="0" w:line="360" w:lineRule="auto"/>
              <w:jc w:val="center"/>
              <w:rPr>
                <w:rFonts w:hint="eastAsia" w:ascii="宋体" w:hAnsi="宋体" w:eastAsia="宋体" w:cs="宋体"/>
                <w:kern w:val="0"/>
                <w:sz w:val="21"/>
                <w:szCs w:val="21"/>
              </w:rPr>
            </w:pPr>
          </w:p>
        </w:tc>
        <w:tc>
          <w:tcPr>
            <w:tcW w:w="1170" w:type="pct"/>
            <w:tcBorders>
              <w:top w:val="single" w:color="auto" w:sz="4" w:space="0"/>
              <w:left w:val="single" w:color="auto" w:sz="4" w:space="0"/>
              <w:right w:val="single" w:color="auto" w:sz="4" w:space="0"/>
            </w:tcBorders>
            <w:vAlign w:val="center"/>
          </w:tcPr>
          <w:p w14:paraId="3B025D4E">
            <w:pPr>
              <w:snapToGrid w:val="0"/>
              <w:spacing w:after="0" w:afterLines="0" w:line="360" w:lineRule="auto"/>
              <w:jc w:val="left"/>
              <w:rPr>
                <w:rFonts w:hint="eastAsia" w:ascii="宋体" w:hAnsi="宋体" w:eastAsia="宋体" w:cs="宋体"/>
                <w:kern w:val="0"/>
                <w:sz w:val="21"/>
                <w:szCs w:val="21"/>
              </w:rPr>
            </w:pPr>
            <w:r>
              <w:rPr>
                <w:rFonts w:hint="eastAsia" w:ascii="宋体" w:hAnsi="宋体" w:eastAsia="宋体" w:cs="宋体"/>
                <w:sz w:val="21"/>
                <w:szCs w:val="21"/>
              </w:rPr>
              <w:t>竞选截止日竞选资格情况</w:t>
            </w:r>
          </w:p>
        </w:tc>
        <w:tc>
          <w:tcPr>
            <w:tcW w:w="2382" w:type="pct"/>
            <w:tcBorders>
              <w:top w:val="single" w:color="auto" w:sz="4" w:space="0"/>
              <w:left w:val="single" w:color="auto" w:sz="4" w:space="0"/>
            </w:tcBorders>
            <w:vAlign w:val="center"/>
          </w:tcPr>
          <w:p w14:paraId="459BB824">
            <w:pPr>
              <w:snapToGrid w:val="0"/>
              <w:spacing w:afterLines="0" w:line="360" w:lineRule="auto"/>
              <w:ind w:firstLine="420" w:firstLineChars="200"/>
              <w:rPr>
                <w:rFonts w:hint="eastAsia" w:ascii="宋体" w:hAnsi="宋体" w:eastAsia="宋体" w:cs="宋体"/>
                <w:kern w:val="0"/>
                <w:sz w:val="21"/>
                <w:szCs w:val="21"/>
                <w:lang w:eastAsia="zh-CN"/>
              </w:rPr>
            </w:pPr>
            <w:r>
              <w:rPr>
                <w:rFonts w:hint="eastAsia" w:ascii="宋体" w:hAnsi="宋体" w:eastAsia="宋体" w:cs="宋体"/>
                <w:kern w:val="0"/>
                <w:sz w:val="21"/>
                <w:szCs w:val="21"/>
              </w:rPr>
              <w:t>符合第二章“竞选人须知”第1.4.1项规定</w:t>
            </w:r>
            <w:r>
              <w:rPr>
                <w:rFonts w:hint="eastAsia" w:ascii="宋体" w:hAnsi="宋体" w:eastAsia="宋体" w:cs="宋体"/>
                <w:kern w:val="0"/>
                <w:sz w:val="21"/>
                <w:szCs w:val="21"/>
                <w:lang w:eastAsia="zh-CN"/>
              </w:rPr>
              <w:t>。</w:t>
            </w:r>
          </w:p>
        </w:tc>
      </w:tr>
      <w:tr w14:paraId="06AA24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641" w:type="pct"/>
            <w:vMerge w:val="continue"/>
            <w:tcBorders>
              <w:right w:val="single" w:color="auto" w:sz="4" w:space="0"/>
            </w:tcBorders>
            <w:vAlign w:val="center"/>
          </w:tcPr>
          <w:p w14:paraId="4E309A2B">
            <w:pPr>
              <w:spacing w:afterLines="0" w:line="360" w:lineRule="auto"/>
              <w:jc w:val="center"/>
              <w:rPr>
                <w:rFonts w:hint="eastAsia" w:ascii="宋体" w:hAnsi="宋体" w:eastAsia="宋体" w:cs="宋体"/>
                <w:sz w:val="21"/>
                <w:szCs w:val="21"/>
              </w:rPr>
            </w:pPr>
          </w:p>
        </w:tc>
        <w:tc>
          <w:tcPr>
            <w:tcW w:w="805" w:type="pct"/>
            <w:vMerge w:val="continue"/>
            <w:tcBorders>
              <w:left w:val="single" w:color="auto" w:sz="4" w:space="0"/>
              <w:right w:val="single" w:color="auto" w:sz="4" w:space="0"/>
            </w:tcBorders>
            <w:vAlign w:val="center"/>
          </w:tcPr>
          <w:p w14:paraId="2B00B966">
            <w:pPr>
              <w:spacing w:afterLines="0" w:line="360" w:lineRule="auto"/>
              <w:jc w:val="center"/>
              <w:rPr>
                <w:rFonts w:hint="eastAsia" w:ascii="宋体" w:hAnsi="宋体" w:eastAsia="宋体" w:cs="宋体"/>
                <w:kern w:val="0"/>
                <w:sz w:val="21"/>
                <w:szCs w:val="21"/>
              </w:rPr>
            </w:pPr>
          </w:p>
        </w:tc>
        <w:tc>
          <w:tcPr>
            <w:tcW w:w="1170" w:type="pct"/>
            <w:tcBorders>
              <w:top w:val="single" w:color="auto" w:sz="4" w:space="0"/>
              <w:left w:val="single" w:color="auto" w:sz="4" w:space="0"/>
              <w:right w:val="single" w:color="auto" w:sz="4" w:space="0"/>
            </w:tcBorders>
            <w:vAlign w:val="center"/>
          </w:tcPr>
          <w:p w14:paraId="554FFF58">
            <w:pPr>
              <w:snapToGrid w:val="0"/>
              <w:spacing w:afterLines="0"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其他要求</w:t>
            </w:r>
          </w:p>
        </w:tc>
        <w:tc>
          <w:tcPr>
            <w:tcW w:w="2382" w:type="pct"/>
            <w:tcBorders>
              <w:top w:val="single" w:color="auto" w:sz="4" w:space="0"/>
              <w:left w:val="single" w:color="auto" w:sz="4" w:space="0"/>
            </w:tcBorders>
            <w:vAlign w:val="center"/>
          </w:tcPr>
          <w:p w14:paraId="560DB3E7">
            <w:pPr>
              <w:snapToGrid w:val="0"/>
              <w:spacing w:afterLines="0" w:line="360" w:lineRule="auto"/>
              <w:ind w:firstLine="420" w:firstLineChars="200"/>
              <w:rPr>
                <w:rFonts w:hint="eastAsia" w:ascii="宋体" w:hAnsi="宋体" w:eastAsia="宋体" w:cs="宋体"/>
                <w:kern w:val="0"/>
                <w:sz w:val="21"/>
                <w:szCs w:val="21"/>
                <w:u w:val="single"/>
                <w:lang w:eastAsia="zh-CN"/>
              </w:rPr>
            </w:pPr>
            <w:r>
              <w:rPr>
                <w:rFonts w:hint="eastAsia" w:ascii="宋体" w:hAnsi="宋体" w:eastAsia="宋体" w:cs="宋体"/>
                <w:kern w:val="0"/>
                <w:sz w:val="21"/>
                <w:szCs w:val="21"/>
              </w:rPr>
              <w:t>符合第二章“竞选人须知”第1.4.1项规定</w:t>
            </w:r>
            <w:r>
              <w:rPr>
                <w:rFonts w:hint="eastAsia" w:ascii="宋体" w:hAnsi="宋体" w:eastAsia="宋体" w:cs="宋体"/>
                <w:kern w:val="0"/>
                <w:sz w:val="21"/>
                <w:szCs w:val="21"/>
                <w:lang w:eastAsia="zh-CN"/>
              </w:rPr>
              <w:t>。</w:t>
            </w:r>
          </w:p>
        </w:tc>
      </w:tr>
      <w:tr w14:paraId="48A8C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1" w:type="pct"/>
            <w:vMerge w:val="restart"/>
            <w:tcBorders>
              <w:right w:val="single" w:color="auto" w:sz="4" w:space="0"/>
            </w:tcBorders>
            <w:vAlign w:val="center"/>
          </w:tcPr>
          <w:p w14:paraId="12DBC3D3">
            <w:pPr>
              <w:spacing w:afterLines="0" w:line="360" w:lineRule="auto"/>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2.1.2</w:t>
            </w:r>
          </w:p>
        </w:tc>
        <w:tc>
          <w:tcPr>
            <w:tcW w:w="805" w:type="pct"/>
            <w:vMerge w:val="restart"/>
            <w:tcBorders>
              <w:left w:val="single" w:color="auto" w:sz="4" w:space="0"/>
            </w:tcBorders>
            <w:vAlign w:val="center"/>
          </w:tcPr>
          <w:p w14:paraId="7CF3FC5A">
            <w:pPr>
              <w:spacing w:afterLines="0"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形式评审标准</w:t>
            </w:r>
          </w:p>
        </w:tc>
        <w:tc>
          <w:tcPr>
            <w:tcW w:w="1170" w:type="pct"/>
            <w:tcBorders>
              <w:right w:val="single" w:color="auto" w:sz="4" w:space="0"/>
            </w:tcBorders>
            <w:vAlign w:val="center"/>
          </w:tcPr>
          <w:p w14:paraId="7546421C">
            <w:pPr>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竞选人名称</w:t>
            </w:r>
          </w:p>
        </w:tc>
        <w:tc>
          <w:tcPr>
            <w:tcW w:w="2382" w:type="pct"/>
            <w:tcBorders>
              <w:left w:val="single" w:color="auto" w:sz="4" w:space="0"/>
            </w:tcBorders>
            <w:vAlign w:val="center"/>
          </w:tcPr>
          <w:p w14:paraId="2CF75FE1">
            <w:pPr>
              <w:snapToGrid w:val="0"/>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与营业执照、资质证书、安全生产许可证一致，依法变更名称的应提交相应证明材料。</w:t>
            </w:r>
          </w:p>
        </w:tc>
      </w:tr>
      <w:tr w14:paraId="7DBDC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1" w:type="pct"/>
            <w:vMerge w:val="continue"/>
            <w:tcBorders>
              <w:right w:val="single" w:color="auto" w:sz="4" w:space="0"/>
            </w:tcBorders>
            <w:vAlign w:val="center"/>
          </w:tcPr>
          <w:p w14:paraId="187A29CC">
            <w:pPr>
              <w:spacing w:afterLines="0" w:line="360" w:lineRule="auto"/>
              <w:jc w:val="center"/>
              <w:rPr>
                <w:rFonts w:hint="eastAsia" w:ascii="宋体" w:hAnsi="宋体" w:eastAsia="宋体" w:cs="宋体"/>
                <w:kern w:val="0"/>
                <w:sz w:val="21"/>
                <w:szCs w:val="21"/>
                <w:lang w:val="en-US" w:eastAsia="zh-CN"/>
              </w:rPr>
            </w:pPr>
          </w:p>
        </w:tc>
        <w:tc>
          <w:tcPr>
            <w:tcW w:w="805" w:type="pct"/>
            <w:vMerge w:val="continue"/>
            <w:tcBorders>
              <w:left w:val="single" w:color="auto" w:sz="4" w:space="0"/>
            </w:tcBorders>
            <w:vAlign w:val="center"/>
          </w:tcPr>
          <w:p w14:paraId="05602CA2">
            <w:pPr>
              <w:spacing w:afterLines="0" w:line="360" w:lineRule="auto"/>
              <w:jc w:val="center"/>
              <w:rPr>
                <w:rFonts w:hint="eastAsia" w:ascii="宋体" w:hAnsi="宋体" w:eastAsia="宋体" w:cs="宋体"/>
                <w:kern w:val="0"/>
                <w:sz w:val="21"/>
                <w:szCs w:val="21"/>
              </w:rPr>
            </w:pPr>
          </w:p>
        </w:tc>
        <w:tc>
          <w:tcPr>
            <w:tcW w:w="1170" w:type="pct"/>
            <w:tcBorders>
              <w:right w:val="single" w:color="auto" w:sz="4" w:space="0"/>
            </w:tcBorders>
            <w:vAlign w:val="center"/>
          </w:tcPr>
          <w:p w14:paraId="777786D7">
            <w:pPr>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竞选函签名盖章</w:t>
            </w:r>
          </w:p>
        </w:tc>
        <w:tc>
          <w:tcPr>
            <w:tcW w:w="2382" w:type="pct"/>
            <w:tcBorders>
              <w:left w:val="single" w:color="auto" w:sz="4" w:space="0"/>
            </w:tcBorders>
            <w:vAlign w:val="center"/>
          </w:tcPr>
          <w:p w14:paraId="56F58F6F">
            <w:pPr>
              <w:snapToGrid w:val="0"/>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竞选函格式规定签名、盖章的位置有法定代表人或其委托代理人签名（或盖章）、加盖单位法人章。</w:t>
            </w:r>
          </w:p>
        </w:tc>
      </w:tr>
      <w:tr w14:paraId="0BC43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1" w:type="pct"/>
            <w:vMerge w:val="continue"/>
            <w:tcBorders>
              <w:right w:val="single" w:color="auto" w:sz="4" w:space="0"/>
            </w:tcBorders>
            <w:vAlign w:val="center"/>
          </w:tcPr>
          <w:p w14:paraId="4AAFE58C">
            <w:pPr>
              <w:spacing w:afterLines="0" w:line="360" w:lineRule="auto"/>
              <w:jc w:val="center"/>
              <w:rPr>
                <w:rFonts w:hint="eastAsia" w:ascii="宋体" w:hAnsi="宋体" w:eastAsia="宋体" w:cs="宋体"/>
                <w:kern w:val="0"/>
                <w:sz w:val="21"/>
                <w:szCs w:val="21"/>
                <w:lang w:val="en-US" w:eastAsia="zh-CN"/>
              </w:rPr>
            </w:pPr>
          </w:p>
        </w:tc>
        <w:tc>
          <w:tcPr>
            <w:tcW w:w="805" w:type="pct"/>
            <w:vMerge w:val="continue"/>
            <w:tcBorders>
              <w:left w:val="single" w:color="auto" w:sz="4" w:space="0"/>
            </w:tcBorders>
            <w:vAlign w:val="center"/>
          </w:tcPr>
          <w:p w14:paraId="51E844FB">
            <w:pPr>
              <w:spacing w:afterLines="0" w:line="360" w:lineRule="auto"/>
              <w:jc w:val="center"/>
              <w:rPr>
                <w:rFonts w:hint="eastAsia" w:ascii="宋体" w:hAnsi="宋体" w:eastAsia="宋体" w:cs="宋体"/>
                <w:kern w:val="0"/>
                <w:sz w:val="21"/>
                <w:szCs w:val="21"/>
              </w:rPr>
            </w:pPr>
          </w:p>
        </w:tc>
        <w:tc>
          <w:tcPr>
            <w:tcW w:w="1170" w:type="pct"/>
            <w:tcBorders>
              <w:right w:val="single" w:color="auto" w:sz="4" w:space="0"/>
            </w:tcBorders>
            <w:vAlign w:val="center"/>
          </w:tcPr>
          <w:p w14:paraId="7D5876F3">
            <w:pPr>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竞选文件格式</w:t>
            </w:r>
          </w:p>
        </w:tc>
        <w:tc>
          <w:tcPr>
            <w:tcW w:w="2382" w:type="pct"/>
            <w:tcBorders>
              <w:left w:val="single" w:color="auto" w:sz="4" w:space="0"/>
            </w:tcBorders>
            <w:vAlign w:val="center"/>
          </w:tcPr>
          <w:p w14:paraId="3C1F9C50">
            <w:pPr>
              <w:snapToGrid w:val="0"/>
              <w:spacing w:line="360" w:lineRule="auto"/>
              <w:ind w:firstLine="380" w:firstLineChars="181"/>
              <w:rPr>
                <w:rFonts w:hint="eastAsia" w:ascii="宋体" w:hAnsi="宋体" w:eastAsia="宋体" w:cs="宋体"/>
                <w:kern w:val="0"/>
                <w:sz w:val="21"/>
                <w:szCs w:val="21"/>
              </w:rPr>
            </w:pPr>
            <w:r>
              <w:rPr>
                <w:rFonts w:hint="eastAsia" w:ascii="宋体" w:hAnsi="宋体" w:eastAsia="宋体" w:cs="宋体"/>
                <w:kern w:val="0"/>
                <w:sz w:val="21"/>
                <w:szCs w:val="21"/>
              </w:rPr>
              <w:t>符合第二章“竞选人须知”第3.7款的要求。</w:t>
            </w:r>
          </w:p>
        </w:tc>
      </w:tr>
      <w:tr w14:paraId="7BAEB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1" w:type="pct"/>
            <w:vMerge w:val="continue"/>
            <w:tcBorders>
              <w:right w:val="single" w:color="auto" w:sz="4" w:space="0"/>
            </w:tcBorders>
            <w:vAlign w:val="center"/>
          </w:tcPr>
          <w:p w14:paraId="5DE2DD7E">
            <w:pPr>
              <w:spacing w:afterLines="0" w:line="360" w:lineRule="auto"/>
              <w:jc w:val="center"/>
              <w:rPr>
                <w:rFonts w:hint="eastAsia" w:ascii="宋体" w:hAnsi="宋体" w:eastAsia="宋体" w:cs="宋体"/>
                <w:b/>
                <w:kern w:val="0"/>
                <w:sz w:val="21"/>
                <w:szCs w:val="21"/>
              </w:rPr>
            </w:pPr>
          </w:p>
        </w:tc>
        <w:tc>
          <w:tcPr>
            <w:tcW w:w="805" w:type="pct"/>
            <w:vMerge w:val="continue"/>
            <w:tcBorders>
              <w:left w:val="single" w:color="auto" w:sz="4" w:space="0"/>
            </w:tcBorders>
            <w:vAlign w:val="center"/>
          </w:tcPr>
          <w:p w14:paraId="7D5C3F8B">
            <w:pPr>
              <w:spacing w:afterLines="0" w:line="360" w:lineRule="auto"/>
              <w:jc w:val="center"/>
              <w:rPr>
                <w:rFonts w:hint="eastAsia" w:ascii="宋体" w:hAnsi="宋体" w:eastAsia="宋体" w:cs="宋体"/>
                <w:b/>
                <w:kern w:val="0"/>
                <w:sz w:val="21"/>
                <w:szCs w:val="21"/>
              </w:rPr>
            </w:pPr>
          </w:p>
        </w:tc>
        <w:tc>
          <w:tcPr>
            <w:tcW w:w="1170" w:type="pct"/>
            <w:tcBorders>
              <w:right w:val="single" w:color="auto" w:sz="4" w:space="0"/>
            </w:tcBorders>
            <w:vAlign w:val="center"/>
          </w:tcPr>
          <w:p w14:paraId="743BA897">
            <w:pPr>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竞选文件份数</w:t>
            </w:r>
          </w:p>
        </w:tc>
        <w:tc>
          <w:tcPr>
            <w:tcW w:w="2382" w:type="pct"/>
            <w:tcBorders>
              <w:left w:val="single" w:color="auto" w:sz="4" w:space="0"/>
            </w:tcBorders>
            <w:vAlign w:val="center"/>
          </w:tcPr>
          <w:p w14:paraId="30DFC0D6">
            <w:pPr>
              <w:snapToGrid w:val="0"/>
              <w:spacing w:line="360" w:lineRule="auto"/>
              <w:ind w:firstLine="380" w:firstLineChars="181"/>
              <w:rPr>
                <w:rFonts w:hint="eastAsia" w:ascii="宋体" w:hAnsi="宋体" w:eastAsia="宋体" w:cs="宋体"/>
                <w:kern w:val="0"/>
                <w:sz w:val="21"/>
                <w:szCs w:val="21"/>
              </w:rPr>
            </w:pPr>
            <w:r>
              <w:rPr>
                <w:rFonts w:hint="eastAsia" w:ascii="宋体" w:hAnsi="宋体" w:eastAsia="宋体" w:cs="宋体"/>
                <w:kern w:val="0"/>
                <w:sz w:val="21"/>
                <w:szCs w:val="21"/>
              </w:rPr>
              <w:t>符合第二章“竞选人须知”第3.7.4项规定。</w:t>
            </w:r>
          </w:p>
        </w:tc>
      </w:tr>
      <w:tr w14:paraId="79630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1" w:type="pct"/>
            <w:vMerge w:val="continue"/>
            <w:tcBorders>
              <w:right w:val="single" w:color="auto" w:sz="4" w:space="0"/>
            </w:tcBorders>
            <w:vAlign w:val="center"/>
          </w:tcPr>
          <w:p w14:paraId="6BDB24AE">
            <w:pPr>
              <w:spacing w:afterLines="0" w:line="360" w:lineRule="auto"/>
              <w:jc w:val="center"/>
              <w:rPr>
                <w:rFonts w:hint="eastAsia" w:ascii="宋体" w:hAnsi="宋体" w:eastAsia="宋体" w:cs="宋体"/>
                <w:b/>
                <w:kern w:val="0"/>
                <w:sz w:val="21"/>
                <w:szCs w:val="21"/>
              </w:rPr>
            </w:pPr>
          </w:p>
        </w:tc>
        <w:tc>
          <w:tcPr>
            <w:tcW w:w="805" w:type="pct"/>
            <w:vMerge w:val="continue"/>
            <w:tcBorders>
              <w:left w:val="single" w:color="auto" w:sz="4" w:space="0"/>
            </w:tcBorders>
            <w:vAlign w:val="center"/>
          </w:tcPr>
          <w:p w14:paraId="1B8F2800">
            <w:pPr>
              <w:spacing w:afterLines="0" w:line="360" w:lineRule="auto"/>
              <w:jc w:val="center"/>
              <w:rPr>
                <w:rFonts w:hint="eastAsia" w:ascii="宋体" w:hAnsi="宋体" w:eastAsia="宋体" w:cs="宋体"/>
                <w:b/>
                <w:kern w:val="0"/>
                <w:sz w:val="21"/>
                <w:szCs w:val="21"/>
              </w:rPr>
            </w:pPr>
          </w:p>
        </w:tc>
        <w:tc>
          <w:tcPr>
            <w:tcW w:w="1170" w:type="pct"/>
            <w:tcBorders>
              <w:right w:val="single" w:color="auto" w:sz="4" w:space="0"/>
            </w:tcBorders>
            <w:vAlign w:val="center"/>
          </w:tcPr>
          <w:p w14:paraId="36AD015A">
            <w:pPr>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报价唯一</w:t>
            </w:r>
          </w:p>
        </w:tc>
        <w:tc>
          <w:tcPr>
            <w:tcW w:w="2382" w:type="pct"/>
            <w:tcBorders>
              <w:left w:val="single" w:color="auto" w:sz="4" w:space="0"/>
            </w:tcBorders>
            <w:vAlign w:val="center"/>
          </w:tcPr>
          <w:p w14:paraId="3224F006">
            <w:pPr>
              <w:snapToGrid w:val="0"/>
              <w:spacing w:after="31" w:afterLines="10"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只能有一个有效报价。在竞争性比选文件没有规定的情况下，不得提交选择性报价。</w:t>
            </w:r>
          </w:p>
        </w:tc>
      </w:tr>
      <w:tr w14:paraId="52A16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1" w:type="pct"/>
            <w:vMerge w:val="continue"/>
            <w:tcBorders>
              <w:right w:val="single" w:color="auto" w:sz="4" w:space="0"/>
            </w:tcBorders>
            <w:vAlign w:val="center"/>
          </w:tcPr>
          <w:p w14:paraId="78566A88">
            <w:pPr>
              <w:spacing w:afterLines="0" w:line="360" w:lineRule="auto"/>
              <w:jc w:val="center"/>
              <w:rPr>
                <w:rFonts w:hint="eastAsia" w:ascii="宋体" w:hAnsi="宋体" w:eastAsia="宋体" w:cs="宋体"/>
                <w:b/>
                <w:kern w:val="0"/>
                <w:sz w:val="21"/>
                <w:szCs w:val="21"/>
              </w:rPr>
            </w:pPr>
          </w:p>
        </w:tc>
        <w:tc>
          <w:tcPr>
            <w:tcW w:w="805" w:type="pct"/>
            <w:vMerge w:val="continue"/>
            <w:tcBorders>
              <w:left w:val="single" w:color="auto" w:sz="4" w:space="0"/>
            </w:tcBorders>
            <w:vAlign w:val="center"/>
          </w:tcPr>
          <w:p w14:paraId="1E20AA3B">
            <w:pPr>
              <w:spacing w:afterLines="0" w:line="360" w:lineRule="auto"/>
              <w:jc w:val="center"/>
              <w:rPr>
                <w:rFonts w:hint="eastAsia" w:ascii="宋体" w:hAnsi="宋体" w:eastAsia="宋体" w:cs="宋体"/>
                <w:b/>
                <w:kern w:val="0"/>
                <w:sz w:val="21"/>
                <w:szCs w:val="21"/>
              </w:rPr>
            </w:pPr>
          </w:p>
        </w:tc>
        <w:tc>
          <w:tcPr>
            <w:tcW w:w="1170" w:type="pct"/>
            <w:tcBorders>
              <w:right w:val="single" w:color="auto" w:sz="4" w:space="0"/>
            </w:tcBorders>
            <w:vAlign w:val="center"/>
          </w:tcPr>
          <w:p w14:paraId="2CD4ED28">
            <w:pPr>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竞选文件的签署</w:t>
            </w:r>
          </w:p>
        </w:tc>
        <w:tc>
          <w:tcPr>
            <w:tcW w:w="2382" w:type="pct"/>
            <w:tcBorders>
              <w:left w:val="single" w:color="auto" w:sz="4" w:space="0"/>
            </w:tcBorders>
            <w:vAlign w:val="center"/>
          </w:tcPr>
          <w:p w14:paraId="65E9EC48">
            <w:pPr>
              <w:autoSpaceDE w:val="0"/>
              <w:autoSpaceDN w:val="0"/>
              <w:adjustRightInd w:val="0"/>
              <w:snapToGrid w:val="0"/>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第六章 竞选文件格式要求法定代表人或其委托代理人签名（或盖章）的须齐全。</w:t>
            </w:r>
          </w:p>
        </w:tc>
      </w:tr>
      <w:tr w14:paraId="32135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1" w:type="pct"/>
            <w:vMerge w:val="continue"/>
            <w:tcBorders>
              <w:right w:val="single" w:color="auto" w:sz="4" w:space="0"/>
            </w:tcBorders>
            <w:vAlign w:val="center"/>
          </w:tcPr>
          <w:p w14:paraId="6896B42A">
            <w:pPr>
              <w:spacing w:afterLines="0" w:line="360" w:lineRule="auto"/>
              <w:jc w:val="center"/>
              <w:rPr>
                <w:rFonts w:hint="eastAsia" w:ascii="宋体" w:hAnsi="宋体" w:eastAsia="宋体" w:cs="宋体"/>
                <w:b/>
                <w:kern w:val="0"/>
                <w:sz w:val="21"/>
                <w:szCs w:val="21"/>
              </w:rPr>
            </w:pPr>
          </w:p>
        </w:tc>
        <w:tc>
          <w:tcPr>
            <w:tcW w:w="805" w:type="pct"/>
            <w:vMerge w:val="continue"/>
            <w:tcBorders>
              <w:left w:val="single" w:color="auto" w:sz="4" w:space="0"/>
            </w:tcBorders>
            <w:vAlign w:val="center"/>
          </w:tcPr>
          <w:p w14:paraId="01F5C10C">
            <w:pPr>
              <w:spacing w:afterLines="0" w:line="360" w:lineRule="auto"/>
              <w:jc w:val="center"/>
              <w:rPr>
                <w:rFonts w:hint="eastAsia" w:ascii="宋体" w:hAnsi="宋体" w:eastAsia="宋体" w:cs="宋体"/>
                <w:b/>
                <w:kern w:val="0"/>
                <w:sz w:val="21"/>
                <w:szCs w:val="21"/>
              </w:rPr>
            </w:pPr>
          </w:p>
        </w:tc>
        <w:tc>
          <w:tcPr>
            <w:tcW w:w="1170" w:type="pct"/>
            <w:tcBorders>
              <w:right w:val="single" w:color="auto" w:sz="4" w:space="0"/>
            </w:tcBorders>
            <w:vAlign w:val="center"/>
          </w:tcPr>
          <w:p w14:paraId="32536D7B">
            <w:pPr>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委托代理人</w:t>
            </w:r>
          </w:p>
        </w:tc>
        <w:tc>
          <w:tcPr>
            <w:tcW w:w="2382" w:type="pct"/>
            <w:tcBorders>
              <w:left w:val="single" w:color="auto" w:sz="4" w:space="0"/>
            </w:tcBorders>
            <w:vAlign w:val="center"/>
          </w:tcPr>
          <w:p w14:paraId="5D52CC6C">
            <w:pPr>
              <w:snapToGrid w:val="0"/>
              <w:spacing w:after="78" w:afterLines="25"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竞选人法定代表人的委托代理人有法定代表人签署的授权委托书和竞选人为其缴纳的养老保险。</w:t>
            </w:r>
          </w:p>
        </w:tc>
      </w:tr>
      <w:tr w14:paraId="4F15B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1" w:type="pct"/>
            <w:vMerge w:val="restart"/>
            <w:tcBorders>
              <w:top w:val="single" w:color="auto" w:sz="4" w:space="0"/>
              <w:right w:val="single" w:color="auto" w:sz="4" w:space="0"/>
            </w:tcBorders>
            <w:vAlign w:val="center"/>
          </w:tcPr>
          <w:p w14:paraId="3F6A42E8">
            <w:pPr>
              <w:spacing w:afterLines="0" w:line="360" w:lineRule="auto"/>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2.1.3</w:t>
            </w:r>
          </w:p>
        </w:tc>
        <w:tc>
          <w:tcPr>
            <w:tcW w:w="805" w:type="pct"/>
            <w:vMerge w:val="restart"/>
            <w:tcBorders>
              <w:top w:val="single" w:color="auto" w:sz="4" w:space="0"/>
              <w:left w:val="single" w:color="auto" w:sz="4" w:space="0"/>
            </w:tcBorders>
            <w:vAlign w:val="center"/>
          </w:tcPr>
          <w:p w14:paraId="505021F1">
            <w:pPr>
              <w:spacing w:afterLines="0"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响应性评审标准</w:t>
            </w:r>
          </w:p>
        </w:tc>
        <w:tc>
          <w:tcPr>
            <w:tcW w:w="1170" w:type="pct"/>
            <w:tcBorders>
              <w:right w:val="single" w:color="auto" w:sz="4" w:space="0"/>
            </w:tcBorders>
            <w:vAlign w:val="center"/>
          </w:tcPr>
          <w:p w14:paraId="01B54827">
            <w:pPr>
              <w:snapToGrid w:val="0"/>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竞选总报价</w:t>
            </w:r>
          </w:p>
        </w:tc>
        <w:tc>
          <w:tcPr>
            <w:tcW w:w="2382" w:type="pct"/>
            <w:tcBorders>
              <w:left w:val="single" w:color="auto" w:sz="4" w:space="0"/>
            </w:tcBorders>
            <w:vAlign w:val="center"/>
          </w:tcPr>
          <w:p w14:paraId="6275A6B9">
            <w:pPr>
              <w:snapToGrid w:val="0"/>
              <w:spacing w:after="78" w:afterLines="25"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1.竞选报价不得高于比选人公布的竞选报价最高限价。</w:t>
            </w:r>
          </w:p>
          <w:p w14:paraId="504A601F">
            <w:pPr>
              <w:snapToGrid w:val="0"/>
              <w:spacing w:after="78" w:afterLines="25"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2.竞选总报价低于最高限价85%的，竞选人应在编制竞选文件时，在竞选函部分中递交低价风险担保提交承诺书。</w:t>
            </w:r>
          </w:p>
          <w:p w14:paraId="6725BA79">
            <w:pPr>
              <w:snapToGrid w:val="0"/>
              <w:spacing w:after="78" w:afterLines="25"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承诺书格式详见第六章竞选文件格式。</w:t>
            </w:r>
          </w:p>
          <w:p w14:paraId="0C2EDCF0">
            <w:pPr>
              <w:snapToGrid w:val="0"/>
              <w:spacing w:after="78" w:afterLines="25" w:line="360" w:lineRule="auto"/>
              <w:ind w:firstLine="420" w:firstLineChars="200"/>
              <w:rPr>
                <w:rFonts w:hint="eastAsia" w:ascii="宋体" w:hAnsi="宋体" w:eastAsia="宋体" w:cs="宋体"/>
                <w:kern w:val="0"/>
                <w:sz w:val="21"/>
                <w:szCs w:val="21"/>
                <w:lang w:eastAsia="zh-CN"/>
              </w:rPr>
            </w:pPr>
            <w:r>
              <w:rPr>
                <w:rFonts w:hint="eastAsia" w:ascii="宋体" w:hAnsi="宋体" w:eastAsia="宋体" w:cs="宋体"/>
                <w:kern w:val="0"/>
                <w:sz w:val="21"/>
                <w:szCs w:val="21"/>
              </w:rPr>
              <w:t>3.竞选总报价低于最高限价85%的，评标委员会应当结合竞选人提供相关书面说明、证明材料对其报价进行评审，并对其是否低于成本价作出认定。竞选人不能合理说明或者没有提供相关证明材料的，评标委员会可以认定该竞选人以低于成本报价竞标，否决其竞选。</w:t>
            </w:r>
          </w:p>
        </w:tc>
      </w:tr>
      <w:tr w14:paraId="5AC57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1" w:type="pct"/>
            <w:vMerge w:val="continue"/>
            <w:tcBorders>
              <w:right w:val="single" w:color="auto" w:sz="4" w:space="0"/>
            </w:tcBorders>
            <w:vAlign w:val="center"/>
          </w:tcPr>
          <w:p w14:paraId="20F9C737">
            <w:pPr>
              <w:spacing w:afterLines="0" w:line="360" w:lineRule="auto"/>
              <w:jc w:val="center"/>
              <w:rPr>
                <w:rFonts w:hint="eastAsia" w:ascii="宋体" w:hAnsi="宋体" w:eastAsia="宋体" w:cs="宋体"/>
                <w:kern w:val="0"/>
                <w:sz w:val="21"/>
                <w:szCs w:val="21"/>
              </w:rPr>
            </w:pPr>
          </w:p>
        </w:tc>
        <w:tc>
          <w:tcPr>
            <w:tcW w:w="805" w:type="pct"/>
            <w:vMerge w:val="continue"/>
            <w:tcBorders>
              <w:left w:val="single" w:color="auto" w:sz="4" w:space="0"/>
            </w:tcBorders>
            <w:vAlign w:val="center"/>
          </w:tcPr>
          <w:p w14:paraId="0A074E31">
            <w:pPr>
              <w:spacing w:afterLines="0" w:line="360" w:lineRule="auto"/>
              <w:jc w:val="center"/>
              <w:rPr>
                <w:rFonts w:hint="eastAsia" w:ascii="宋体" w:hAnsi="宋体" w:eastAsia="宋体" w:cs="宋体"/>
                <w:kern w:val="0"/>
                <w:sz w:val="21"/>
                <w:szCs w:val="21"/>
              </w:rPr>
            </w:pPr>
          </w:p>
        </w:tc>
        <w:tc>
          <w:tcPr>
            <w:tcW w:w="1170" w:type="pct"/>
            <w:tcBorders>
              <w:right w:val="single" w:color="auto" w:sz="4" w:space="0"/>
            </w:tcBorders>
            <w:vAlign w:val="center"/>
          </w:tcPr>
          <w:p w14:paraId="78005332">
            <w:pPr>
              <w:snapToGrid w:val="0"/>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暂定金额</w:t>
            </w:r>
          </w:p>
        </w:tc>
        <w:tc>
          <w:tcPr>
            <w:tcW w:w="2382" w:type="pct"/>
            <w:tcBorders>
              <w:left w:val="single" w:color="auto" w:sz="4" w:space="0"/>
            </w:tcBorders>
            <w:vAlign w:val="center"/>
          </w:tcPr>
          <w:p w14:paraId="3441861E">
            <w:pPr>
              <w:snapToGrid w:val="0"/>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安全文明施工费等暂定金额必须按照竞争性比选文件给定的金额填报。</w:t>
            </w:r>
          </w:p>
        </w:tc>
      </w:tr>
      <w:tr w14:paraId="67116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1" w:type="pct"/>
            <w:vMerge w:val="continue"/>
            <w:tcBorders>
              <w:right w:val="single" w:color="auto" w:sz="4" w:space="0"/>
            </w:tcBorders>
            <w:vAlign w:val="center"/>
          </w:tcPr>
          <w:p w14:paraId="1E974A92">
            <w:pPr>
              <w:spacing w:afterLines="0" w:line="360" w:lineRule="auto"/>
              <w:jc w:val="center"/>
              <w:rPr>
                <w:rFonts w:hint="eastAsia" w:ascii="宋体" w:hAnsi="宋体" w:eastAsia="宋体" w:cs="宋体"/>
                <w:kern w:val="0"/>
                <w:sz w:val="21"/>
                <w:szCs w:val="21"/>
              </w:rPr>
            </w:pPr>
          </w:p>
        </w:tc>
        <w:tc>
          <w:tcPr>
            <w:tcW w:w="805" w:type="pct"/>
            <w:vMerge w:val="continue"/>
            <w:tcBorders>
              <w:left w:val="single" w:color="auto" w:sz="4" w:space="0"/>
            </w:tcBorders>
            <w:vAlign w:val="center"/>
          </w:tcPr>
          <w:p w14:paraId="492EC7D5">
            <w:pPr>
              <w:spacing w:afterLines="0" w:line="360" w:lineRule="auto"/>
              <w:jc w:val="center"/>
              <w:rPr>
                <w:rFonts w:hint="eastAsia" w:ascii="宋体" w:hAnsi="宋体" w:eastAsia="宋体" w:cs="宋体"/>
                <w:kern w:val="0"/>
                <w:sz w:val="21"/>
                <w:szCs w:val="21"/>
              </w:rPr>
            </w:pPr>
          </w:p>
        </w:tc>
        <w:tc>
          <w:tcPr>
            <w:tcW w:w="1170" w:type="pct"/>
            <w:tcBorders>
              <w:right w:val="single" w:color="auto" w:sz="4" w:space="0"/>
            </w:tcBorders>
            <w:vAlign w:val="center"/>
          </w:tcPr>
          <w:p w14:paraId="276A94C2">
            <w:pPr>
              <w:snapToGrid w:val="0"/>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竞选内容</w:t>
            </w:r>
          </w:p>
        </w:tc>
        <w:tc>
          <w:tcPr>
            <w:tcW w:w="2382" w:type="pct"/>
            <w:tcBorders>
              <w:left w:val="single" w:color="auto" w:sz="4" w:space="0"/>
            </w:tcBorders>
            <w:vAlign w:val="center"/>
          </w:tcPr>
          <w:p w14:paraId="786E6D24">
            <w:pPr>
              <w:snapToGrid w:val="0"/>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符合第二章“竞选人须知”第1.3.1项规定</w:t>
            </w:r>
          </w:p>
        </w:tc>
      </w:tr>
      <w:tr w14:paraId="31FD7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1" w:type="pct"/>
            <w:vMerge w:val="continue"/>
            <w:tcBorders>
              <w:right w:val="single" w:color="auto" w:sz="4" w:space="0"/>
            </w:tcBorders>
            <w:vAlign w:val="center"/>
          </w:tcPr>
          <w:p w14:paraId="12FA25EA">
            <w:pPr>
              <w:spacing w:afterLines="0" w:line="360" w:lineRule="auto"/>
              <w:jc w:val="center"/>
              <w:rPr>
                <w:rFonts w:hint="eastAsia" w:ascii="宋体" w:hAnsi="宋体" w:eastAsia="宋体" w:cs="宋体"/>
                <w:kern w:val="0"/>
                <w:sz w:val="21"/>
                <w:szCs w:val="21"/>
              </w:rPr>
            </w:pPr>
          </w:p>
        </w:tc>
        <w:tc>
          <w:tcPr>
            <w:tcW w:w="805" w:type="pct"/>
            <w:vMerge w:val="continue"/>
            <w:tcBorders>
              <w:left w:val="single" w:color="auto" w:sz="4" w:space="0"/>
            </w:tcBorders>
            <w:vAlign w:val="center"/>
          </w:tcPr>
          <w:p w14:paraId="5A711CE6">
            <w:pPr>
              <w:spacing w:afterLines="0" w:line="360" w:lineRule="auto"/>
              <w:jc w:val="center"/>
              <w:rPr>
                <w:rFonts w:hint="eastAsia" w:ascii="宋体" w:hAnsi="宋体" w:eastAsia="宋体" w:cs="宋体"/>
                <w:kern w:val="0"/>
                <w:sz w:val="21"/>
                <w:szCs w:val="21"/>
              </w:rPr>
            </w:pPr>
          </w:p>
        </w:tc>
        <w:tc>
          <w:tcPr>
            <w:tcW w:w="1170" w:type="pct"/>
            <w:tcBorders>
              <w:right w:val="single" w:color="auto" w:sz="4" w:space="0"/>
            </w:tcBorders>
            <w:vAlign w:val="center"/>
          </w:tcPr>
          <w:p w14:paraId="64310BB3">
            <w:pPr>
              <w:snapToGrid w:val="0"/>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工期</w:t>
            </w:r>
          </w:p>
        </w:tc>
        <w:tc>
          <w:tcPr>
            <w:tcW w:w="2382" w:type="pct"/>
            <w:tcBorders>
              <w:left w:val="single" w:color="auto" w:sz="4" w:space="0"/>
            </w:tcBorders>
            <w:vAlign w:val="center"/>
          </w:tcPr>
          <w:p w14:paraId="74C299F1">
            <w:pPr>
              <w:snapToGrid w:val="0"/>
              <w:spacing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符合第二章“竞选人须知”第1.3.2项规定</w:t>
            </w:r>
          </w:p>
        </w:tc>
      </w:tr>
      <w:tr w14:paraId="5D597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1" w:type="pct"/>
            <w:vMerge w:val="continue"/>
            <w:tcBorders>
              <w:right w:val="single" w:color="auto" w:sz="4" w:space="0"/>
            </w:tcBorders>
            <w:vAlign w:val="center"/>
          </w:tcPr>
          <w:p w14:paraId="431E54E7">
            <w:pPr>
              <w:spacing w:afterLines="0" w:line="360" w:lineRule="auto"/>
              <w:jc w:val="center"/>
              <w:rPr>
                <w:rFonts w:hint="eastAsia" w:ascii="宋体" w:hAnsi="宋体" w:eastAsia="宋体" w:cs="宋体"/>
                <w:kern w:val="0"/>
                <w:sz w:val="21"/>
                <w:szCs w:val="21"/>
              </w:rPr>
            </w:pPr>
          </w:p>
        </w:tc>
        <w:tc>
          <w:tcPr>
            <w:tcW w:w="805" w:type="pct"/>
            <w:vMerge w:val="continue"/>
            <w:tcBorders>
              <w:left w:val="single" w:color="auto" w:sz="4" w:space="0"/>
            </w:tcBorders>
            <w:vAlign w:val="center"/>
          </w:tcPr>
          <w:p w14:paraId="1C5458FB">
            <w:pPr>
              <w:spacing w:afterLines="0" w:line="360" w:lineRule="auto"/>
              <w:jc w:val="center"/>
              <w:rPr>
                <w:rFonts w:hint="eastAsia" w:ascii="宋体" w:hAnsi="宋体" w:eastAsia="宋体" w:cs="宋体"/>
                <w:kern w:val="0"/>
                <w:sz w:val="21"/>
                <w:szCs w:val="21"/>
              </w:rPr>
            </w:pPr>
          </w:p>
        </w:tc>
        <w:tc>
          <w:tcPr>
            <w:tcW w:w="1170" w:type="pct"/>
            <w:tcBorders>
              <w:right w:val="single" w:color="auto" w:sz="4" w:space="0"/>
            </w:tcBorders>
            <w:vAlign w:val="center"/>
          </w:tcPr>
          <w:p w14:paraId="1C7093B8">
            <w:pPr>
              <w:snapToGrid w:val="0"/>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工程质量</w:t>
            </w:r>
          </w:p>
        </w:tc>
        <w:tc>
          <w:tcPr>
            <w:tcW w:w="2382" w:type="pct"/>
            <w:tcBorders>
              <w:left w:val="single" w:color="auto" w:sz="4" w:space="0"/>
            </w:tcBorders>
            <w:vAlign w:val="center"/>
          </w:tcPr>
          <w:p w14:paraId="57C7BF6F">
            <w:pPr>
              <w:snapToGrid w:val="0"/>
              <w:spacing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符合第二章“竞选人须知”第1.3.3项规定</w:t>
            </w:r>
          </w:p>
        </w:tc>
      </w:tr>
      <w:tr w14:paraId="7E3E3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1" w:type="pct"/>
            <w:vMerge w:val="continue"/>
            <w:tcBorders>
              <w:right w:val="single" w:color="auto" w:sz="4" w:space="0"/>
            </w:tcBorders>
            <w:vAlign w:val="center"/>
          </w:tcPr>
          <w:p w14:paraId="5F41835C">
            <w:pPr>
              <w:spacing w:afterLines="0" w:line="360" w:lineRule="auto"/>
              <w:jc w:val="center"/>
              <w:rPr>
                <w:rFonts w:hint="eastAsia" w:ascii="宋体" w:hAnsi="宋体" w:eastAsia="宋体" w:cs="宋体"/>
                <w:kern w:val="0"/>
                <w:sz w:val="21"/>
                <w:szCs w:val="21"/>
              </w:rPr>
            </w:pPr>
          </w:p>
        </w:tc>
        <w:tc>
          <w:tcPr>
            <w:tcW w:w="805" w:type="pct"/>
            <w:vMerge w:val="continue"/>
            <w:tcBorders>
              <w:left w:val="single" w:color="auto" w:sz="4" w:space="0"/>
            </w:tcBorders>
            <w:vAlign w:val="center"/>
          </w:tcPr>
          <w:p w14:paraId="3E6F1FB5">
            <w:pPr>
              <w:spacing w:afterLines="0" w:line="360" w:lineRule="auto"/>
              <w:jc w:val="center"/>
              <w:rPr>
                <w:rFonts w:hint="eastAsia" w:ascii="宋体" w:hAnsi="宋体" w:eastAsia="宋体" w:cs="宋体"/>
                <w:kern w:val="0"/>
                <w:sz w:val="21"/>
                <w:szCs w:val="21"/>
              </w:rPr>
            </w:pPr>
          </w:p>
        </w:tc>
        <w:tc>
          <w:tcPr>
            <w:tcW w:w="1170" w:type="pct"/>
            <w:tcBorders>
              <w:right w:val="single" w:color="auto" w:sz="4" w:space="0"/>
            </w:tcBorders>
            <w:vAlign w:val="center"/>
          </w:tcPr>
          <w:p w14:paraId="6E9A20C5">
            <w:pPr>
              <w:snapToGrid w:val="0"/>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竞选有效期</w:t>
            </w:r>
          </w:p>
        </w:tc>
        <w:tc>
          <w:tcPr>
            <w:tcW w:w="2382" w:type="pct"/>
            <w:tcBorders>
              <w:left w:val="single" w:color="auto" w:sz="4" w:space="0"/>
            </w:tcBorders>
            <w:vAlign w:val="center"/>
          </w:tcPr>
          <w:p w14:paraId="694105E4">
            <w:pPr>
              <w:snapToGrid w:val="0"/>
              <w:spacing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符合第二章“竞选人须知”第3.3.1项规定</w:t>
            </w:r>
          </w:p>
        </w:tc>
      </w:tr>
      <w:tr w14:paraId="39A6D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1" w:type="pct"/>
            <w:vMerge w:val="continue"/>
            <w:tcBorders>
              <w:bottom w:val="single" w:color="auto" w:sz="4" w:space="0"/>
              <w:right w:val="single" w:color="auto" w:sz="4" w:space="0"/>
            </w:tcBorders>
            <w:vAlign w:val="center"/>
          </w:tcPr>
          <w:p w14:paraId="5D9B36BD">
            <w:pPr>
              <w:spacing w:afterLines="0" w:line="360" w:lineRule="auto"/>
              <w:jc w:val="center"/>
              <w:rPr>
                <w:rFonts w:hint="eastAsia" w:ascii="宋体" w:hAnsi="宋体" w:eastAsia="宋体" w:cs="宋体"/>
                <w:kern w:val="0"/>
                <w:sz w:val="21"/>
                <w:szCs w:val="21"/>
              </w:rPr>
            </w:pPr>
          </w:p>
        </w:tc>
        <w:tc>
          <w:tcPr>
            <w:tcW w:w="805" w:type="pct"/>
            <w:vMerge w:val="continue"/>
            <w:tcBorders>
              <w:left w:val="single" w:color="auto" w:sz="4" w:space="0"/>
              <w:bottom w:val="single" w:color="auto" w:sz="4" w:space="0"/>
            </w:tcBorders>
            <w:vAlign w:val="center"/>
          </w:tcPr>
          <w:p w14:paraId="5EDEF7CC">
            <w:pPr>
              <w:spacing w:afterLines="0" w:line="360" w:lineRule="auto"/>
              <w:jc w:val="center"/>
              <w:rPr>
                <w:rFonts w:hint="eastAsia" w:ascii="宋体" w:hAnsi="宋体" w:eastAsia="宋体" w:cs="宋体"/>
                <w:kern w:val="0"/>
                <w:sz w:val="21"/>
                <w:szCs w:val="21"/>
              </w:rPr>
            </w:pPr>
          </w:p>
        </w:tc>
        <w:tc>
          <w:tcPr>
            <w:tcW w:w="1170" w:type="pct"/>
            <w:tcBorders>
              <w:right w:val="single" w:color="auto" w:sz="4" w:space="0"/>
            </w:tcBorders>
            <w:vAlign w:val="center"/>
          </w:tcPr>
          <w:p w14:paraId="3C36E824">
            <w:pPr>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竞选保证金</w:t>
            </w:r>
          </w:p>
        </w:tc>
        <w:tc>
          <w:tcPr>
            <w:tcW w:w="2382" w:type="pct"/>
            <w:tcBorders>
              <w:left w:val="single" w:color="auto" w:sz="4" w:space="0"/>
            </w:tcBorders>
            <w:vAlign w:val="center"/>
          </w:tcPr>
          <w:p w14:paraId="4F105C4F">
            <w:pPr>
              <w:tabs>
                <w:tab w:val="left" w:pos="611"/>
                <w:tab w:val="left" w:pos="669"/>
              </w:tabs>
              <w:snapToGrid w:val="0"/>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符合第二章“竞选人须知前附表”第3.4项规定。</w:t>
            </w:r>
          </w:p>
        </w:tc>
      </w:tr>
      <w:tr w14:paraId="1DCB3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1" w:type="pct"/>
            <w:vMerge w:val="restart"/>
            <w:tcBorders>
              <w:bottom w:val="single" w:color="auto" w:sz="4" w:space="0"/>
              <w:right w:val="single" w:color="auto" w:sz="4" w:space="0"/>
            </w:tcBorders>
            <w:vAlign w:val="center"/>
          </w:tcPr>
          <w:p w14:paraId="04BB724C">
            <w:pPr>
              <w:spacing w:afterLines="0"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2.2.1</w:t>
            </w:r>
          </w:p>
        </w:tc>
        <w:tc>
          <w:tcPr>
            <w:tcW w:w="805" w:type="pct"/>
            <w:vMerge w:val="restart"/>
            <w:tcBorders>
              <w:left w:val="single" w:color="auto" w:sz="4" w:space="0"/>
              <w:bottom w:val="single" w:color="auto" w:sz="4" w:space="0"/>
            </w:tcBorders>
            <w:vAlign w:val="center"/>
          </w:tcPr>
          <w:p w14:paraId="20CE3688">
            <w:pPr>
              <w:spacing w:afterLines="0"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技术评审标准</w:t>
            </w:r>
          </w:p>
        </w:tc>
        <w:tc>
          <w:tcPr>
            <w:tcW w:w="1170" w:type="pct"/>
            <w:tcBorders>
              <w:right w:val="single" w:color="auto" w:sz="4" w:space="0"/>
            </w:tcBorders>
            <w:vAlign w:val="center"/>
          </w:tcPr>
          <w:p w14:paraId="00386727">
            <w:pPr>
              <w:snapToGrid w:val="0"/>
              <w:spacing w:afterLines="0" w:line="360" w:lineRule="auto"/>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技术方案形式要求</w:t>
            </w:r>
          </w:p>
        </w:tc>
        <w:tc>
          <w:tcPr>
            <w:tcW w:w="2382" w:type="pct"/>
            <w:tcBorders>
              <w:left w:val="single" w:color="auto" w:sz="4" w:space="0"/>
            </w:tcBorders>
            <w:vAlign w:val="center"/>
          </w:tcPr>
          <w:p w14:paraId="2E1DDF77">
            <w:pPr>
              <w:snapToGrid w:val="0"/>
              <w:spacing w:after="0" w:afterLines="0"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是否符合第二章投标人须知前附表第</w:t>
            </w:r>
            <w:r>
              <w:rPr>
                <w:rFonts w:hint="eastAsia" w:ascii="宋体" w:hAnsi="宋体" w:eastAsia="宋体" w:cs="宋体"/>
                <w:kern w:val="0"/>
                <w:sz w:val="21"/>
                <w:szCs w:val="21"/>
                <w:lang w:val="en-US" w:eastAsia="zh-CN"/>
              </w:rPr>
              <w:t>24</w:t>
            </w:r>
            <w:r>
              <w:rPr>
                <w:rFonts w:hint="eastAsia" w:ascii="宋体" w:hAnsi="宋体" w:eastAsia="宋体" w:cs="宋体"/>
                <w:kern w:val="0"/>
                <w:sz w:val="21"/>
                <w:szCs w:val="21"/>
              </w:rPr>
              <w:t>技术部分</w:t>
            </w:r>
            <w:r>
              <w:rPr>
                <w:rFonts w:hint="eastAsia" w:ascii="宋体" w:hAnsi="宋体" w:eastAsia="宋体" w:cs="宋体"/>
                <w:kern w:val="0"/>
                <w:sz w:val="21"/>
                <w:szCs w:val="21"/>
                <w:lang w:val="en-US" w:eastAsia="zh-CN"/>
              </w:rPr>
              <w:t>的</w:t>
            </w:r>
            <w:r>
              <w:rPr>
                <w:rFonts w:hint="eastAsia" w:ascii="宋体" w:hAnsi="宋体" w:eastAsia="宋体" w:cs="宋体"/>
                <w:kern w:val="0"/>
                <w:sz w:val="21"/>
                <w:szCs w:val="21"/>
              </w:rPr>
              <w:t>要求：符合/不符合</w:t>
            </w:r>
          </w:p>
        </w:tc>
      </w:tr>
      <w:tr w14:paraId="00F29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1" w:type="pct"/>
            <w:vMerge w:val="continue"/>
            <w:tcBorders>
              <w:bottom w:val="single" w:color="auto" w:sz="4" w:space="0"/>
              <w:right w:val="single" w:color="auto" w:sz="4" w:space="0"/>
            </w:tcBorders>
            <w:vAlign w:val="center"/>
          </w:tcPr>
          <w:p w14:paraId="3CB1BA96">
            <w:pPr>
              <w:spacing w:afterLines="0" w:line="360" w:lineRule="auto"/>
              <w:jc w:val="center"/>
              <w:rPr>
                <w:rFonts w:hint="eastAsia" w:ascii="宋体" w:hAnsi="宋体" w:eastAsia="宋体" w:cs="宋体"/>
                <w:kern w:val="0"/>
                <w:sz w:val="21"/>
                <w:szCs w:val="21"/>
              </w:rPr>
            </w:pPr>
          </w:p>
        </w:tc>
        <w:tc>
          <w:tcPr>
            <w:tcW w:w="805" w:type="pct"/>
            <w:vMerge w:val="continue"/>
            <w:tcBorders>
              <w:left w:val="single" w:color="auto" w:sz="4" w:space="0"/>
              <w:bottom w:val="single" w:color="auto" w:sz="4" w:space="0"/>
            </w:tcBorders>
            <w:vAlign w:val="center"/>
          </w:tcPr>
          <w:p w14:paraId="1122B348">
            <w:pPr>
              <w:spacing w:afterLines="0" w:line="360" w:lineRule="auto"/>
              <w:jc w:val="center"/>
              <w:rPr>
                <w:rFonts w:hint="eastAsia" w:ascii="宋体" w:hAnsi="宋体" w:eastAsia="宋体" w:cs="宋体"/>
                <w:kern w:val="0"/>
                <w:sz w:val="21"/>
                <w:szCs w:val="21"/>
              </w:rPr>
            </w:pPr>
          </w:p>
        </w:tc>
        <w:tc>
          <w:tcPr>
            <w:tcW w:w="1170" w:type="pct"/>
            <w:tcBorders>
              <w:right w:val="single" w:color="auto" w:sz="4" w:space="0"/>
            </w:tcBorders>
            <w:vAlign w:val="top"/>
          </w:tcPr>
          <w:p w14:paraId="0D191A3B">
            <w:pPr>
              <w:snapToGrid w:val="0"/>
              <w:spacing w:afterLines="0" w:line="360" w:lineRule="auto"/>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对工程施工重点、技术关键点的理解和认识</w:t>
            </w:r>
          </w:p>
        </w:tc>
        <w:tc>
          <w:tcPr>
            <w:tcW w:w="2382" w:type="pct"/>
            <w:vMerge w:val="restart"/>
            <w:tcBorders>
              <w:left w:val="single" w:color="auto" w:sz="4" w:space="0"/>
            </w:tcBorders>
            <w:vAlign w:val="center"/>
          </w:tcPr>
          <w:p w14:paraId="60210E45">
            <w:pPr>
              <w:snapToGrid w:val="0"/>
              <w:spacing w:after="0" w:afterLines="0"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评标委员会对投标人递交的技术方案</w:t>
            </w:r>
            <w:r>
              <w:rPr>
                <w:rFonts w:hint="eastAsia" w:ascii="宋体" w:hAnsi="宋体" w:eastAsia="宋体" w:cs="宋体"/>
                <w:kern w:val="0"/>
                <w:sz w:val="21"/>
                <w:szCs w:val="21"/>
                <w:lang w:val="en-US" w:eastAsia="zh-CN"/>
              </w:rPr>
              <w:t>结合实际情况</w:t>
            </w:r>
            <w:r>
              <w:rPr>
                <w:rFonts w:hint="eastAsia" w:ascii="宋体" w:hAnsi="宋体" w:eastAsia="宋体" w:cs="宋体"/>
                <w:kern w:val="0"/>
                <w:sz w:val="21"/>
                <w:szCs w:val="21"/>
              </w:rPr>
              <w:t>进行综合性评审，综合评判是否满足本工程需求：满足/不满足</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综合评判不满足</w:t>
            </w:r>
            <w:r>
              <w:rPr>
                <w:rFonts w:hint="eastAsia" w:ascii="宋体" w:hAnsi="宋体" w:eastAsia="宋体" w:cs="宋体"/>
                <w:kern w:val="0"/>
                <w:sz w:val="21"/>
                <w:szCs w:val="21"/>
                <w:lang w:val="en-US" w:eastAsia="zh-CN"/>
              </w:rPr>
              <w:t>本工程</w:t>
            </w:r>
            <w:r>
              <w:rPr>
                <w:rFonts w:hint="eastAsia" w:ascii="宋体" w:hAnsi="宋体" w:eastAsia="宋体" w:cs="宋体"/>
                <w:kern w:val="0"/>
                <w:sz w:val="21"/>
                <w:szCs w:val="21"/>
              </w:rPr>
              <w:t>需求的，须注明详实理由</w:t>
            </w:r>
            <w:r>
              <w:rPr>
                <w:rFonts w:hint="eastAsia" w:ascii="宋体" w:hAnsi="宋体" w:eastAsia="宋体" w:cs="宋体"/>
                <w:kern w:val="0"/>
                <w:sz w:val="21"/>
                <w:szCs w:val="21"/>
                <w:lang w:eastAsia="zh-CN"/>
              </w:rPr>
              <w:t>。</w:t>
            </w:r>
          </w:p>
        </w:tc>
      </w:tr>
      <w:tr w14:paraId="65299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1" w:type="pct"/>
            <w:vMerge w:val="continue"/>
            <w:tcBorders>
              <w:bottom w:val="single" w:color="auto" w:sz="4" w:space="0"/>
              <w:right w:val="single" w:color="auto" w:sz="4" w:space="0"/>
            </w:tcBorders>
            <w:vAlign w:val="center"/>
          </w:tcPr>
          <w:p w14:paraId="5AA8A181">
            <w:pPr>
              <w:spacing w:afterLines="0" w:line="360" w:lineRule="auto"/>
              <w:jc w:val="center"/>
              <w:rPr>
                <w:rFonts w:hint="eastAsia" w:ascii="宋体" w:hAnsi="宋体" w:eastAsia="宋体" w:cs="宋体"/>
                <w:kern w:val="0"/>
                <w:sz w:val="21"/>
                <w:szCs w:val="21"/>
              </w:rPr>
            </w:pPr>
          </w:p>
        </w:tc>
        <w:tc>
          <w:tcPr>
            <w:tcW w:w="805" w:type="pct"/>
            <w:vMerge w:val="continue"/>
            <w:tcBorders>
              <w:left w:val="single" w:color="auto" w:sz="4" w:space="0"/>
              <w:bottom w:val="single" w:color="auto" w:sz="4" w:space="0"/>
            </w:tcBorders>
            <w:vAlign w:val="center"/>
          </w:tcPr>
          <w:p w14:paraId="165E248C">
            <w:pPr>
              <w:spacing w:afterLines="0" w:line="360" w:lineRule="auto"/>
              <w:jc w:val="center"/>
              <w:rPr>
                <w:rFonts w:hint="eastAsia" w:ascii="宋体" w:hAnsi="宋体" w:eastAsia="宋体" w:cs="宋体"/>
                <w:kern w:val="0"/>
                <w:sz w:val="21"/>
                <w:szCs w:val="21"/>
              </w:rPr>
            </w:pPr>
          </w:p>
        </w:tc>
        <w:tc>
          <w:tcPr>
            <w:tcW w:w="1170" w:type="pct"/>
            <w:tcBorders>
              <w:right w:val="single" w:color="auto" w:sz="4" w:space="0"/>
            </w:tcBorders>
            <w:vAlign w:val="top"/>
          </w:tcPr>
          <w:p w14:paraId="1EBF11DB">
            <w:pPr>
              <w:snapToGrid w:val="0"/>
              <w:spacing w:afterLines="0" w:line="360" w:lineRule="auto"/>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施工方案与技术措施</w:t>
            </w:r>
          </w:p>
        </w:tc>
        <w:tc>
          <w:tcPr>
            <w:tcW w:w="2382" w:type="pct"/>
            <w:vMerge w:val="continue"/>
            <w:tcBorders>
              <w:left w:val="single" w:color="auto" w:sz="4" w:space="0"/>
            </w:tcBorders>
            <w:vAlign w:val="center"/>
          </w:tcPr>
          <w:p w14:paraId="4090B1DF">
            <w:pPr>
              <w:snapToGrid w:val="0"/>
              <w:spacing w:after="0" w:afterLines="0" w:line="360" w:lineRule="auto"/>
              <w:ind w:firstLine="420" w:firstLineChars="200"/>
              <w:rPr>
                <w:rFonts w:hint="eastAsia" w:ascii="宋体" w:hAnsi="宋体" w:eastAsia="宋体" w:cs="宋体"/>
                <w:kern w:val="0"/>
                <w:sz w:val="21"/>
                <w:szCs w:val="21"/>
              </w:rPr>
            </w:pPr>
          </w:p>
        </w:tc>
      </w:tr>
      <w:tr w14:paraId="3CB6D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1" w:type="pct"/>
            <w:vMerge w:val="continue"/>
            <w:tcBorders>
              <w:bottom w:val="single" w:color="auto" w:sz="4" w:space="0"/>
              <w:right w:val="single" w:color="auto" w:sz="4" w:space="0"/>
            </w:tcBorders>
            <w:vAlign w:val="center"/>
          </w:tcPr>
          <w:p w14:paraId="6C5AD468">
            <w:pPr>
              <w:spacing w:afterLines="0" w:line="360" w:lineRule="auto"/>
              <w:jc w:val="center"/>
              <w:rPr>
                <w:rFonts w:hint="eastAsia" w:ascii="宋体" w:hAnsi="宋体" w:eastAsia="宋体" w:cs="宋体"/>
                <w:kern w:val="0"/>
                <w:sz w:val="21"/>
                <w:szCs w:val="21"/>
              </w:rPr>
            </w:pPr>
          </w:p>
        </w:tc>
        <w:tc>
          <w:tcPr>
            <w:tcW w:w="805" w:type="pct"/>
            <w:vMerge w:val="continue"/>
            <w:tcBorders>
              <w:left w:val="single" w:color="auto" w:sz="4" w:space="0"/>
              <w:bottom w:val="single" w:color="auto" w:sz="4" w:space="0"/>
            </w:tcBorders>
            <w:vAlign w:val="center"/>
          </w:tcPr>
          <w:p w14:paraId="672063AC">
            <w:pPr>
              <w:spacing w:afterLines="0" w:line="360" w:lineRule="auto"/>
              <w:jc w:val="center"/>
              <w:rPr>
                <w:rFonts w:hint="eastAsia" w:ascii="宋体" w:hAnsi="宋体" w:eastAsia="宋体" w:cs="宋体"/>
                <w:kern w:val="0"/>
                <w:sz w:val="21"/>
                <w:szCs w:val="21"/>
              </w:rPr>
            </w:pPr>
          </w:p>
        </w:tc>
        <w:tc>
          <w:tcPr>
            <w:tcW w:w="1170" w:type="pct"/>
            <w:tcBorders>
              <w:right w:val="single" w:color="auto" w:sz="4" w:space="0"/>
            </w:tcBorders>
            <w:vAlign w:val="top"/>
          </w:tcPr>
          <w:p w14:paraId="2CE1E7CC">
            <w:pPr>
              <w:snapToGrid w:val="0"/>
              <w:spacing w:afterLines="0" w:line="360" w:lineRule="auto"/>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质量管理体系与措施</w:t>
            </w:r>
          </w:p>
        </w:tc>
        <w:tc>
          <w:tcPr>
            <w:tcW w:w="2382" w:type="pct"/>
            <w:vMerge w:val="continue"/>
            <w:tcBorders>
              <w:left w:val="single" w:color="auto" w:sz="4" w:space="0"/>
            </w:tcBorders>
            <w:vAlign w:val="center"/>
          </w:tcPr>
          <w:p w14:paraId="44C1EA15">
            <w:pPr>
              <w:snapToGrid w:val="0"/>
              <w:spacing w:after="0" w:afterLines="0" w:line="360" w:lineRule="auto"/>
              <w:ind w:firstLine="420" w:firstLineChars="200"/>
              <w:rPr>
                <w:rFonts w:hint="eastAsia" w:ascii="宋体" w:hAnsi="宋体" w:eastAsia="宋体" w:cs="宋体"/>
                <w:kern w:val="0"/>
                <w:sz w:val="21"/>
                <w:szCs w:val="21"/>
              </w:rPr>
            </w:pPr>
          </w:p>
        </w:tc>
      </w:tr>
      <w:tr w14:paraId="62EAC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1" w:type="pct"/>
            <w:vMerge w:val="continue"/>
            <w:tcBorders>
              <w:bottom w:val="single" w:color="auto" w:sz="4" w:space="0"/>
              <w:right w:val="single" w:color="auto" w:sz="4" w:space="0"/>
            </w:tcBorders>
            <w:vAlign w:val="center"/>
          </w:tcPr>
          <w:p w14:paraId="421445E7">
            <w:pPr>
              <w:spacing w:afterLines="0" w:line="360" w:lineRule="auto"/>
              <w:jc w:val="center"/>
              <w:rPr>
                <w:rFonts w:hint="eastAsia" w:ascii="宋体" w:hAnsi="宋体" w:eastAsia="宋体" w:cs="宋体"/>
                <w:kern w:val="0"/>
                <w:sz w:val="21"/>
                <w:szCs w:val="21"/>
              </w:rPr>
            </w:pPr>
          </w:p>
        </w:tc>
        <w:tc>
          <w:tcPr>
            <w:tcW w:w="805" w:type="pct"/>
            <w:vMerge w:val="continue"/>
            <w:tcBorders>
              <w:left w:val="single" w:color="auto" w:sz="4" w:space="0"/>
              <w:bottom w:val="single" w:color="auto" w:sz="4" w:space="0"/>
            </w:tcBorders>
            <w:vAlign w:val="center"/>
          </w:tcPr>
          <w:p w14:paraId="1F73CDF3">
            <w:pPr>
              <w:spacing w:afterLines="0" w:line="360" w:lineRule="auto"/>
              <w:jc w:val="center"/>
              <w:rPr>
                <w:rFonts w:hint="eastAsia" w:ascii="宋体" w:hAnsi="宋体" w:eastAsia="宋体" w:cs="宋体"/>
                <w:kern w:val="0"/>
                <w:sz w:val="21"/>
                <w:szCs w:val="21"/>
              </w:rPr>
            </w:pPr>
          </w:p>
        </w:tc>
        <w:tc>
          <w:tcPr>
            <w:tcW w:w="1170" w:type="pct"/>
            <w:tcBorders>
              <w:right w:val="single" w:color="auto" w:sz="4" w:space="0"/>
            </w:tcBorders>
            <w:vAlign w:val="top"/>
          </w:tcPr>
          <w:p w14:paraId="0775B388">
            <w:pPr>
              <w:snapToGrid w:val="0"/>
              <w:spacing w:afterLines="0" w:line="360" w:lineRule="auto"/>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安全管理体系与措施</w:t>
            </w:r>
          </w:p>
        </w:tc>
        <w:tc>
          <w:tcPr>
            <w:tcW w:w="2382" w:type="pct"/>
            <w:vMerge w:val="continue"/>
            <w:tcBorders>
              <w:left w:val="single" w:color="auto" w:sz="4" w:space="0"/>
            </w:tcBorders>
            <w:vAlign w:val="center"/>
          </w:tcPr>
          <w:p w14:paraId="063AFE08">
            <w:pPr>
              <w:snapToGrid w:val="0"/>
              <w:spacing w:after="0" w:afterLines="0" w:line="360" w:lineRule="auto"/>
              <w:ind w:firstLine="420" w:firstLineChars="200"/>
              <w:rPr>
                <w:rFonts w:hint="eastAsia" w:ascii="宋体" w:hAnsi="宋体" w:eastAsia="宋体" w:cs="宋体"/>
                <w:kern w:val="0"/>
                <w:sz w:val="21"/>
                <w:szCs w:val="21"/>
              </w:rPr>
            </w:pPr>
          </w:p>
        </w:tc>
      </w:tr>
      <w:tr w14:paraId="728EB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1" w:type="pct"/>
            <w:vMerge w:val="continue"/>
            <w:tcBorders>
              <w:bottom w:val="single" w:color="auto" w:sz="4" w:space="0"/>
              <w:right w:val="single" w:color="auto" w:sz="4" w:space="0"/>
            </w:tcBorders>
            <w:vAlign w:val="center"/>
          </w:tcPr>
          <w:p w14:paraId="26F89182">
            <w:pPr>
              <w:spacing w:afterLines="0" w:line="360" w:lineRule="auto"/>
              <w:jc w:val="center"/>
              <w:rPr>
                <w:rFonts w:hint="eastAsia" w:ascii="宋体" w:hAnsi="宋体" w:eastAsia="宋体" w:cs="宋体"/>
                <w:kern w:val="0"/>
                <w:sz w:val="21"/>
                <w:szCs w:val="21"/>
              </w:rPr>
            </w:pPr>
          </w:p>
        </w:tc>
        <w:tc>
          <w:tcPr>
            <w:tcW w:w="805" w:type="pct"/>
            <w:vMerge w:val="continue"/>
            <w:tcBorders>
              <w:left w:val="single" w:color="auto" w:sz="4" w:space="0"/>
              <w:bottom w:val="single" w:color="auto" w:sz="4" w:space="0"/>
            </w:tcBorders>
            <w:vAlign w:val="center"/>
          </w:tcPr>
          <w:p w14:paraId="77B312C6">
            <w:pPr>
              <w:spacing w:afterLines="0" w:line="360" w:lineRule="auto"/>
              <w:jc w:val="center"/>
              <w:rPr>
                <w:rFonts w:hint="eastAsia" w:ascii="宋体" w:hAnsi="宋体" w:eastAsia="宋体" w:cs="宋体"/>
                <w:kern w:val="0"/>
                <w:sz w:val="21"/>
                <w:szCs w:val="21"/>
              </w:rPr>
            </w:pPr>
          </w:p>
        </w:tc>
        <w:tc>
          <w:tcPr>
            <w:tcW w:w="1170" w:type="pct"/>
            <w:tcBorders>
              <w:right w:val="single" w:color="auto" w:sz="4" w:space="0"/>
            </w:tcBorders>
            <w:vAlign w:val="top"/>
          </w:tcPr>
          <w:p w14:paraId="0CCCA324">
            <w:pPr>
              <w:snapToGrid w:val="0"/>
              <w:spacing w:afterLines="0" w:line="360" w:lineRule="auto"/>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环境保护管理体系措施</w:t>
            </w:r>
          </w:p>
        </w:tc>
        <w:tc>
          <w:tcPr>
            <w:tcW w:w="2382" w:type="pct"/>
            <w:vMerge w:val="continue"/>
            <w:tcBorders>
              <w:left w:val="single" w:color="auto" w:sz="4" w:space="0"/>
            </w:tcBorders>
            <w:vAlign w:val="center"/>
          </w:tcPr>
          <w:p w14:paraId="04C729F8">
            <w:pPr>
              <w:snapToGrid w:val="0"/>
              <w:spacing w:after="0" w:afterLines="0" w:line="360" w:lineRule="auto"/>
              <w:ind w:firstLine="420" w:firstLineChars="200"/>
              <w:rPr>
                <w:rFonts w:hint="eastAsia" w:ascii="宋体" w:hAnsi="宋体" w:eastAsia="宋体" w:cs="宋体"/>
                <w:kern w:val="0"/>
                <w:sz w:val="21"/>
                <w:szCs w:val="21"/>
              </w:rPr>
            </w:pPr>
          </w:p>
        </w:tc>
      </w:tr>
      <w:tr w14:paraId="70F2C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1" w:type="pct"/>
            <w:vMerge w:val="continue"/>
            <w:tcBorders>
              <w:bottom w:val="single" w:color="auto" w:sz="4" w:space="0"/>
              <w:right w:val="single" w:color="auto" w:sz="4" w:space="0"/>
            </w:tcBorders>
            <w:vAlign w:val="center"/>
          </w:tcPr>
          <w:p w14:paraId="10410671">
            <w:pPr>
              <w:spacing w:afterLines="0" w:line="360" w:lineRule="auto"/>
              <w:jc w:val="center"/>
              <w:rPr>
                <w:rFonts w:hint="eastAsia" w:ascii="宋体" w:hAnsi="宋体" w:eastAsia="宋体" w:cs="宋体"/>
                <w:kern w:val="0"/>
                <w:sz w:val="21"/>
                <w:szCs w:val="21"/>
              </w:rPr>
            </w:pPr>
          </w:p>
        </w:tc>
        <w:tc>
          <w:tcPr>
            <w:tcW w:w="805" w:type="pct"/>
            <w:vMerge w:val="continue"/>
            <w:tcBorders>
              <w:left w:val="single" w:color="auto" w:sz="4" w:space="0"/>
              <w:bottom w:val="single" w:color="auto" w:sz="4" w:space="0"/>
            </w:tcBorders>
            <w:vAlign w:val="center"/>
          </w:tcPr>
          <w:p w14:paraId="632B6041">
            <w:pPr>
              <w:spacing w:afterLines="0" w:line="360" w:lineRule="auto"/>
              <w:jc w:val="center"/>
              <w:rPr>
                <w:rFonts w:hint="eastAsia" w:ascii="宋体" w:hAnsi="宋体" w:eastAsia="宋体" w:cs="宋体"/>
                <w:kern w:val="0"/>
                <w:sz w:val="21"/>
                <w:szCs w:val="21"/>
              </w:rPr>
            </w:pPr>
          </w:p>
        </w:tc>
        <w:tc>
          <w:tcPr>
            <w:tcW w:w="1170" w:type="pct"/>
            <w:tcBorders>
              <w:right w:val="single" w:color="auto" w:sz="4" w:space="0"/>
            </w:tcBorders>
            <w:vAlign w:val="top"/>
          </w:tcPr>
          <w:p w14:paraId="7AEA41EC">
            <w:pPr>
              <w:snapToGrid w:val="0"/>
              <w:spacing w:afterLines="0" w:line="360" w:lineRule="auto"/>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工程进度计划与措施</w:t>
            </w:r>
          </w:p>
        </w:tc>
        <w:tc>
          <w:tcPr>
            <w:tcW w:w="2382" w:type="pct"/>
            <w:vMerge w:val="continue"/>
            <w:tcBorders>
              <w:left w:val="single" w:color="auto" w:sz="4" w:space="0"/>
            </w:tcBorders>
            <w:vAlign w:val="center"/>
          </w:tcPr>
          <w:p w14:paraId="4BF444B9">
            <w:pPr>
              <w:snapToGrid w:val="0"/>
              <w:spacing w:after="0" w:afterLines="0" w:line="360" w:lineRule="auto"/>
              <w:ind w:firstLine="420" w:firstLineChars="200"/>
              <w:rPr>
                <w:rFonts w:hint="eastAsia" w:ascii="宋体" w:hAnsi="宋体" w:eastAsia="宋体" w:cs="宋体"/>
                <w:kern w:val="0"/>
                <w:sz w:val="21"/>
                <w:szCs w:val="21"/>
              </w:rPr>
            </w:pPr>
          </w:p>
        </w:tc>
      </w:tr>
      <w:tr w14:paraId="631C8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641" w:type="pct"/>
            <w:vMerge w:val="continue"/>
            <w:tcBorders>
              <w:bottom w:val="single" w:color="auto" w:sz="4" w:space="0"/>
              <w:right w:val="single" w:color="auto" w:sz="4" w:space="0"/>
            </w:tcBorders>
            <w:vAlign w:val="center"/>
          </w:tcPr>
          <w:p w14:paraId="20056877">
            <w:pPr>
              <w:spacing w:afterLines="0" w:line="360" w:lineRule="auto"/>
              <w:jc w:val="center"/>
              <w:rPr>
                <w:rFonts w:hint="eastAsia" w:ascii="宋体" w:hAnsi="宋体" w:eastAsia="宋体" w:cs="宋体"/>
                <w:kern w:val="0"/>
                <w:sz w:val="21"/>
                <w:szCs w:val="21"/>
              </w:rPr>
            </w:pPr>
          </w:p>
        </w:tc>
        <w:tc>
          <w:tcPr>
            <w:tcW w:w="805" w:type="pct"/>
            <w:vMerge w:val="continue"/>
            <w:tcBorders>
              <w:left w:val="single" w:color="auto" w:sz="4" w:space="0"/>
              <w:bottom w:val="single" w:color="auto" w:sz="4" w:space="0"/>
            </w:tcBorders>
            <w:vAlign w:val="center"/>
          </w:tcPr>
          <w:p w14:paraId="7EC70DBC">
            <w:pPr>
              <w:spacing w:afterLines="0" w:line="360" w:lineRule="auto"/>
              <w:jc w:val="center"/>
              <w:rPr>
                <w:rFonts w:hint="eastAsia" w:ascii="宋体" w:hAnsi="宋体" w:eastAsia="宋体" w:cs="宋体"/>
                <w:kern w:val="0"/>
                <w:sz w:val="21"/>
                <w:szCs w:val="21"/>
              </w:rPr>
            </w:pPr>
          </w:p>
        </w:tc>
        <w:tc>
          <w:tcPr>
            <w:tcW w:w="1170" w:type="pct"/>
            <w:tcBorders>
              <w:right w:val="single" w:color="auto" w:sz="4" w:space="0"/>
            </w:tcBorders>
            <w:vAlign w:val="top"/>
          </w:tcPr>
          <w:p w14:paraId="25376A6B">
            <w:pPr>
              <w:snapToGrid w:val="0"/>
              <w:spacing w:afterLines="0" w:line="360" w:lineRule="auto"/>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资源配备计划</w:t>
            </w:r>
          </w:p>
        </w:tc>
        <w:tc>
          <w:tcPr>
            <w:tcW w:w="2382" w:type="pct"/>
            <w:vMerge w:val="continue"/>
            <w:tcBorders>
              <w:left w:val="single" w:color="auto" w:sz="4" w:space="0"/>
            </w:tcBorders>
            <w:vAlign w:val="center"/>
          </w:tcPr>
          <w:p w14:paraId="02B2986F">
            <w:pPr>
              <w:snapToGrid w:val="0"/>
              <w:spacing w:after="0" w:afterLines="0" w:line="360" w:lineRule="auto"/>
              <w:ind w:firstLine="420" w:firstLineChars="200"/>
              <w:rPr>
                <w:rFonts w:hint="eastAsia" w:ascii="宋体" w:hAnsi="宋体" w:eastAsia="宋体" w:cs="宋体"/>
                <w:kern w:val="0"/>
                <w:sz w:val="21"/>
                <w:szCs w:val="21"/>
              </w:rPr>
            </w:pPr>
          </w:p>
        </w:tc>
      </w:tr>
      <w:tr w14:paraId="73A6E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641" w:type="pct"/>
            <w:tcBorders>
              <w:right w:val="single" w:color="auto" w:sz="4" w:space="0"/>
            </w:tcBorders>
            <w:vAlign w:val="center"/>
          </w:tcPr>
          <w:p w14:paraId="1EAC118B">
            <w:pPr>
              <w:spacing w:afterLines="0" w:line="360" w:lineRule="auto"/>
              <w:jc w:val="center"/>
              <w:rPr>
                <w:rFonts w:hint="eastAsia" w:ascii="宋体" w:hAnsi="宋体" w:eastAsia="宋体" w:cs="宋体"/>
                <w:sz w:val="21"/>
                <w:szCs w:val="21"/>
              </w:rPr>
            </w:pPr>
            <w:r>
              <w:rPr>
                <w:rFonts w:hint="eastAsia" w:ascii="宋体" w:hAnsi="宋体" w:eastAsia="宋体" w:cs="宋体"/>
                <w:sz w:val="21"/>
                <w:szCs w:val="21"/>
              </w:rPr>
              <w:t>3</w:t>
            </w:r>
          </w:p>
        </w:tc>
        <w:tc>
          <w:tcPr>
            <w:tcW w:w="805" w:type="pct"/>
            <w:tcBorders>
              <w:left w:val="single" w:color="auto" w:sz="4" w:space="0"/>
              <w:right w:val="single" w:color="auto" w:sz="4" w:space="0"/>
            </w:tcBorders>
            <w:vAlign w:val="center"/>
          </w:tcPr>
          <w:p w14:paraId="1D0A2B19">
            <w:pPr>
              <w:spacing w:afterLines="0" w:line="360" w:lineRule="auto"/>
              <w:jc w:val="center"/>
              <w:rPr>
                <w:rFonts w:hint="eastAsia" w:ascii="宋体" w:hAnsi="宋体" w:eastAsia="宋体" w:cs="宋体"/>
                <w:sz w:val="21"/>
                <w:szCs w:val="21"/>
              </w:rPr>
            </w:pPr>
            <w:r>
              <w:rPr>
                <w:rFonts w:hint="eastAsia" w:ascii="宋体" w:hAnsi="宋体" w:eastAsia="宋体" w:cs="宋体"/>
                <w:sz w:val="21"/>
                <w:szCs w:val="21"/>
              </w:rPr>
              <w:t>评标程序</w:t>
            </w:r>
          </w:p>
        </w:tc>
        <w:tc>
          <w:tcPr>
            <w:tcW w:w="3553" w:type="pct"/>
            <w:gridSpan w:val="2"/>
            <w:tcBorders>
              <w:left w:val="single" w:color="auto" w:sz="4" w:space="0"/>
            </w:tcBorders>
            <w:vAlign w:val="center"/>
          </w:tcPr>
          <w:p w14:paraId="049E579F">
            <w:pPr>
              <w:spacing w:after="0" w:afterLines="0"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1.对报价不高于最高限价的所有投标人的投标文件，按照报价由低到高的顺序排序。在投标函</w:t>
            </w:r>
            <w:r>
              <w:rPr>
                <w:rFonts w:hint="eastAsia" w:ascii="宋体" w:hAnsi="宋体" w:eastAsia="宋体" w:cs="宋体"/>
                <w:kern w:val="0"/>
                <w:sz w:val="21"/>
                <w:szCs w:val="21"/>
                <w:lang w:val="en-US" w:eastAsia="zh-CN"/>
              </w:rPr>
              <w:t>部分</w:t>
            </w:r>
            <w:r>
              <w:rPr>
                <w:rFonts w:hint="eastAsia" w:ascii="宋体" w:hAnsi="宋体" w:eastAsia="宋体" w:cs="宋体"/>
                <w:kern w:val="0"/>
                <w:sz w:val="21"/>
                <w:szCs w:val="21"/>
              </w:rPr>
              <w:t>评审前，推送给评标委员会的投标文件不得显示排序。</w:t>
            </w:r>
          </w:p>
          <w:p w14:paraId="19B71B4F">
            <w:pPr>
              <w:spacing w:after="0" w:afterLines="0" w:line="360" w:lineRule="auto"/>
              <w:ind w:firstLine="420" w:firstLineChars="200"/>
              <w:jc w:val="left"/>
              <w:rPr>
                <w:rFonts w:hint="eastAsia" w:ascii="宋体" w:hAnsi="宋体" w:eastAsia="宋体" w:cs="宋体"/>
                <w:i/>
                <w:color w:val="auto"/>
                <w:kern w:val="0"/>
                <w:sz w:val="21"/>
                <w:szCs w:val="21"/>
                <w:highlight w:val="none"/>
              </w:rPr>
            </w:pPr>
            <w:r>
              <w:rPr>
                <w:rFonts w:hint="eastAsia" w:ascii="宋体" w:hAnsi="宋体" w:eastAsia="宋体" w:cs="宋体"/>
                <w:kern w:val="0"/>
                <w:sz w:val="21"/>
                <w:szCs w:val="21"/>
              </w:rPr>
              <w:t>2.取</w:t>
            </w:r>
            <w:r>
              <w:rPr>
                <w:rFonts w:hint="eastAsia" w:ascii="宋体" w:hAnsi="宋体" w:eastAsia="宋体" w:cs="宋体"/>
                <w:kern w:val="0"/>
                <w:sz w:val="21"/>
                <w:szCs w:val="21"/>
                <w:lang w:val="en-US" w:eastAsia="zh-CN"/>
              </w:rPr>
              <w:t>投标</w:t>
            </w:r>
            <w:r>
              <w:rPr>
                <w:rFonts w:hint="eastAsia" w:ascii="宋体" w:hAnsi="宋体" w:eastAsia="宋体" w:cs="宋体"/>
                <w:kern w:val="0"/>
                <w:sz w:val="21"/>
                <w:szCs w:val="21"/>
              </w:rPr>
              <w:t>报价排序前</w:t>
            </w:r>
            <w:r>
              <w:rPr>
                <w:rFonts w:hint="eastAsia" w:ascii="宋体" w:hAnsi="宋体" w:eastAsia="宋体" w:cs="宋体"/>
                <w:kern w:val="0"/>
                <w:sz w:val="21"/>
                <w:szCs w:val="21"/>
                <w:u w:val="single"/>
                <w:lang w:val="en-US" w:eastAsia="zh-CN"/>
              </w:rPr>
              <w:t>5</w:t>
            </w:r>
            <w:r>
              <w:rPr>
                <w:rFonts w:hint="eastAsia" w:ascii="宋体" w:hAnsi="宋体" w:eastAsia="宋体" w:cs="宋体"/>
                <w:kern w:val="0"/>
                <w:sz w:val="21"/>
                <w:szCs w:val="21"/>
                <w:lang w:val="en-US" w:eastAsia="zh-CN"/>
              </w:rPr>
              <w:t>名</w:t>
            </w:r>
            <w:r>
              <w:rPr>
                <w:rFonts w:hint="eastAsia" w:ascii="宋体" w:hAnsi="宋体" w:eastAsia="宋体" w:cs="宋体"/>
                <w:i w:val="0"/>
                <w:iCs w:val="0"/>
                <w:kern w:val="0"/>
                <w:sz w:val="21"/>
                <w:szCs w:val="21"/>
                <w:lang w:val="en-US" w:eastAsia="zh-CN"/>
              </w:rPr>
              <w:t>（注：</w:t>
            </w:r>
            <w:r>
              <w:rPr>
                <w:rFonts w:hint="eastAsia" w:ascii="宋体" w:hAnsi="宋体" w:eastAsia="宋体" w:cs="宋体"/>
                <w:sz w:val="21"/>
                <w:szCs w:val="21"/>
                <w:lang w:eastAsia="zh-CN"/>
              </w:rPr>
              <w:t>与</w:t>
            </w:r>
            <w:r>
              <w:rPr>
                <w:rFonts w:hint="eastAsia" w:ascii="宋体" w:hAnsi="宋体" w:eastAsia="宋体" w:cs="宋体"/>
                <w:sz w:val="21"/>
                <w:szCs w:val="21"/>
                <w:u w:val="single"/>
                <w:lang w:val="en-US" w:eastAsia="zh-CN"/>
              </w:rPr>
              <w:t>5</w:t>
            </w:r>
            <w:r>
              <w:rPr>
                <w:rFonts w:hint="eastAsia" w:ascii="宋体" w:hAnsi="宋体" w:eastAsia="宋体" w:cs="宋体"/>
                <w:sz w:val="21"/>
                <w:szCs w:val="21"/>
                <w:u w:val="none"/>
                <w:lang w:val="en-US" w:eastAsia="zh-CN"/>
              </w:rPr>
              <w:t>名</w:t>
            </w:r>
            <w:r>
              <w:rPr>
                <w:rFonts w:hint="eastAsia" w:ascii="宋体" w:hAnsi="宋体" w:eastAsia="宋体" w:cs="宋体"/>
                <w:sz w:val="21"/>
                <w:szCs w:val="21"/>
              </w:rPr>
              <w:t>投标文件</w:t>
            </w:r>
            <w:r>
              <w:rPr>
                <w:rFonts w:hint="eastAsia" w:ascii="宋体" w:hAnsi="宋体" w:eastAsia="宋体" w:cs="宋体"/>
                <w:sz w:val="21"/>
                <w:szCs w:val="21"/>
                <w:lang w:eastAsia="zh-CN"/>
              </w:rPr>
              <w:t>的报价相同的所有投标文件</w:t>
            </w:r>
            <w:r>
              <w:rPr>
                <w:rFonts w:hint="eastAsia" w:ascii="宋体" w:hAnsi="宋体" w:eastAsia="宋体" w:cs="宋体"/>
                <w:sz w:val="21"/>
                <w:szCs w:val="21"/>
                <w:lang w:val="en-US" w:eastAsia="zh-CN"/>
              </w:rPr>
              <w:t>应全部纳入；</w:t>
            </w:r>
            <w:r>
              <w:rPr>
                <w:rFonts w:hint="eastAsia" w:ascii="宋体" w:hAnsi="宋体" w:eastAsia="宋体" w:cs="宋体"/>
                <w:i w:val="0"/>
                <w:iCs w:val="0"/>
                <w:kern w:val="0"/>
                <w:sz w:val="21"/>
                <w:szCs w:val="21"/>
              </w:rPr>
              <w:t>若实际投标人数量小于</w:t>
            </w:r>
            <w:r>
              <w:rPr>
                <w:rFonts w:hint="eastAsia" w:ascii="宋体" w:hAnsi="宋体" w:eastAsia="宋体" w:cs="宋体"/>
                <w:i w:val="0"/>
                <w:iCs w:val="0"/>
                <w:kern w:val="0"/>
                <w:sz w:val="21"/>
                <w:szCs w:val="21"/>
                <w:u w:val="single"/>
                <w:lang w:val="en-US" w:eastAsia="zh-CN"/>
              </w:rPr>
              <w:t>5</w:t>
            </w:r>
            <w:r>
              <w:rPr>
                <w:rFonts w:hint="eastAsia" w:ascii="宋体" w:hAnsi="宋体" w:eastAsia="宋体" w:cs="宋体"/>
                <w:i w:val="0"/>
                <w:iCs w:val="0"/>
                <w:kern w:val="0"/>
                <w:sz w:val="21"/>
                <w:szCs w:val="21"/>
                <w:u w:val="none"/>
                <w:lang w:val="en-US" w:eastAsia="zh-CN"/>
              </w:rPr>
              <w:t>名</w:t>
            </w:r>
            <w:r>
              <w:rPr>
                <w:rFonts w:hint="eastAsia" w:ascii="宋体" w:hAnsi="宋体" w:eastAsia="宋体" w:cs="宋体"/>
                <w:i w:val="0"/>
                <w:iCs w:val="0"/>
                <w:kern w:val="0"/>
                <w:sz w:val="21"/>
                <w:szCs w:val="21"/>
                <w:lang w:val="en-US" w:eastAsia="zh-CN"/>
              </w:rPr>
              <w:t>时应</w:t>
            </w:r>
            <w:r>
              <w:rPr>
                <w:rFonts w:hint="eastAsia" w:ascii="宋体" w:hAnsi="宋体" w:eastAsia="宋体" w:cs="宋体"/>
                <w:i w:val="0"/>
                <w:iCs w:val="0"/>
                <w:kern w:val="0"/>
                <w:sz w:val="21"/>
                <w:szCs w:val="21"/>
              </w:rPr>
              <w:t>全部纳入</w:t>
            </w:r>
            <w:r>
              <w:rPr>
                <w:rFonts w:hint="eastAsia" w:ascii="宋体" w:hAnsi="宋体" w:eastAsia="宋体" w:cs="宋体"/>
                <w:i w:val="0"/>
                <w:iCs w:val="0"/>
                <w:kern w:val="0"/>
                <w:sz w:val="21"/>
                <w:szCs w:val="21"/>
                <w:lang w:eastAsia="zh-CN"/>
              </w:rPr>
              <w:t>）</w:t>
            </w:r>
            <w:r>
              <w:rPr>
                <w:rFonts w:hint="eastAsia" w:ascii="宋体" w:hAnsi="宋体" w:eastAsia="宋体" w:cs="宋体"/>
                <w:kern w:val="0"/>
                <w:sz w:val="21"/>
                <w:szCs w:val="21"/>
                <w:lang w:val="en-US" w:eastAsia="zh-CN"/>
              </w:rPr>
              <w:t>的投标文件</w:t>
            </w:r>
            <w:r>
              <w:rPr>
                <w:rFonts w:hint="eastAsia" w:ascii="宋体" w:hAnsi="宋体" w:eastAsia="宋体" w:cs="宋体"/>
                <w:kern w:val="0"/>
                <w:sz w:val="21"/>
                <w:szCs w:val="21"/>
              </w:rPr>
              <w:t>进行</w:t>
            </w:r>
            <w:r>
              <w:rPr>
                <w:rFonts w:hint="eastAsia" w:ascii="宋体" w:hAnsi="宋体" w:eastAsia="宋体" w:cs="宋体"/>
                <w:kern w:val="0"/>
                <w:sz w:val="21"/>
                <w:szCs w:val="21"/>
                <w:lang w:val="en-US" w:eastAsia="zh-CN"/>
              </w:rPr>
              <w:t>评审</w:t>
            </w:r>
            <w:r>
              <w:rPr>
                <w:rFonts w:hint="eastAsia" w:ascii="宋体" w:hAnsi="宋体" w:eastAsia="宋体" w:cs="宋体"/>
                <w:kern w:val="0"/>
                <w:sz w:val="21"/>
                <w:szCs w:val="21"/>
              </w:rPr>
              <w:t>。</w:t>
            </w:r>
            <w:r>
              <w:rPr>
                <w:rFonts w:hint="eastAsia" w:ascii="宋体" w:hAnsi="宋体" w:eastAsia="宋体" w:cs="宋体"/>
                <w:kern w:val="0"/>
                <w:sz w:val="21"/>
                <w:szCs w:val="21"/>
                <w:lang w:eastAsia="zh-CN"/>
              </w:rPr>
              <w:t>评审顺序为</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初步评审（包括</w:t>
            </w:r>
            <w:r>
              <w:rPr>
                <w:rFonts w:hint="eastAsia" w:ascii="宋体" w:hAnsi="宋体" w:eastAsia="宋体" w:cs="宋体"/>
                <w:kern w:val="0"/>
                <w:sz w:val="21"/>
                <w:szCs w:val="21"/>
              </w:rPr>
              <w:t>资格评审、形式评审、响应性评审</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、技术评审。</w:t>
            </w:r>
            <w:r>
              <w:rPr>
                <w:rFonts w:hint="eastAsia" w:ascii="宋体" w:hAnsi="宋体" w:eastAsia="宋体" w:cs="宋体"/>
                <w:kern w:val="0"/>
                <w:sz w:val="21"/>
                <w:szCs w:val="21"/>
                <w:lang w:eastAsia="zh-CN"/>
              </w:rPr>
              <w:t>初步评审、技术评审均</w:t>
            </w:r>
            <w:r>
              <w:rPr>
                <w:rFonts w:hint="eastAsia" w:ascii="宋体" w:hAnsi="宋体" w:eastAsia="宋体" w:cs="宋体"/>
                <w:kern w:val="0"/>
                <w:sz w:val="21"/>
                <w:szCs w:val="21"/>
              </w:rPr>
              <w:t>合格的投标人中，经评审的投标价格最低的投标人为第一中标候选人，经评审的投标价格次低的为第二中标候选人，</w:t>
            </w:r>
            <w:r>
              <w:rPr>
                <w:rFonts w:hint="eastAsia" w:ascii="宋体" w:hAnsi="宋体" w:eastAsia="宋体" w:cs="宋体"/>
                <w:kern w:val="0"/>
                <w:sz w:val="21"/>
                <w:szCs w:val="21"/>
                <w:lang w:eastAsia="zh-CN"/>
              </w:rPr>
              <w:t>以此类推。</w:t>
            </w:r>
          </w:p>
          <w:p w14:paraId="14EBBFD3">
            <w:pPr>
              <w:spacing w:after="0" w:afterLines="0"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color w:val="auto"/>
                <w:kern w:val="0"/>
                <w:sz w:val="21"/>
                <w:szCs w:val="21"/>
                <w:highlight w:val="none"/>
              </w:rPr>
              <w:t>3.</w:t>
            </w:r>
            <w:r>
              <w:rPr>
                <w:rFonts w:hint="eastAsia" w:ascii="宋体" w:hAnsi="宋体" w:eastAsia="宋体" w:cs="宋体"/>
                <w:kern w:val="0"/>
                <w:sz w:val="21"/>
                <w:szCs w:val="21"/>
                <w:lang w:eastAsia="zh-CN"/>
              </w:rPr>
              <w:t>如果初步评审和技术评审（</w:t>
            </w:r>
            <w:r>
              <w:rPr>
                <w:rFonts w:hint="eastAsia" w:ascii="宋体" w:hAnsi="宋体" w:eastAsia="宋体" w:cs="宋体"/>
                <w:kern w:val="0"/>
                <w:sz w:val="21"/>
                <w:szCs w:val="21"/>
                <w:lang w:val="en-US" w:eastAsia="zh-CN"/>
              </w:rPr>
              <w:t>如有</w:t>
            </w:r>
            <w:r>
              <w:rPr>
                <w:rFonts w:hint="eastAsia" w:ascii="宋体" w:hAnsi="宋体" w:eastAsia="宋体" w:cs="宋体"/>
                <w:kern w:val="0"/>
                <w:sz w:val="21"/>
                <w:szCs w:val="21"/>
                <w:lang w:eastAsia="zh-CN"/>
              </w:rPr>
              <w:t>）均</w:t>
            </w:r>
            <w:r>
              <w:rPr>
                <w:rFonts w:hint="eastAsia" w:ascii="宋体" w:hAnsi="宋体" w:eastAsia="宋体" w:cs="宋体"/>
                <w:kern w:val="0"/>
                <w:sz w:val="21"/>
                <w:szCs w:val="21"/>
              </w:rPr>
              <w:t>合格</w:t>
            </w:r>
            <w:r>
              <w:rPr>
                <w:rFonts w:hint="eastAsia" w:ascii="宋体" w:hAnsi="宋体" w:eastAsia="宋体" w:cs="宋体"/>
                <w:kern w:val="0"/>
                <w:sz w:val="21"/>
                <w:szCs w:val="21"/>
                <w:lang w:eastAsia="zh-CN"/>
              </w:rPr>
              <w:t>的投标人数量少</w:t>
            </w:r>
            <w:r>
              <w:rPr>
                <w:rFonts w:hint="eastAsia" w:ascii="宋体" w:hAnsi="宋体" w:eastAsia="宋体" w:cs="宋体"/>
                <w:kern w:val="0"/>
                <w:sz w:val="21"/>
                <w:szCs w:val="21"/>
              </w:rPr>
              <w:t>于</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名，按</w:t>
            </w:r>
            <w:r>
              <w:rPr>
                <w:rFonts w:hint="eastAsia" w:ascii="宋体" w:hAnsi="宋体" w:eastAsia="宋体" w:cs="宋体"/>
                <w:spacing w:val="4"/>
                <w:kern w:val="0"/>
                <w:sz w:val="21"/>
                <w:szCs w:val="21"/>
                <w:lang w:val="en-US" w:eastAsia="zh-CN"/>
              </w:rPr>
              <w:t>投标报价顺序每次增补（3</w:t>
            </w:r>
            <w:r>
              <w:rPr>
                <w:rFonts w:hint="eastAsia" w:ascii="宋体" w:hAnsi="宋体" w:eastAsia="宋体" w:cs="宋体"/>
                <w:kern w:val="0"/>
                <w:sz w:val="21"/>
                <w:szCs w:val="21"/>
                <w:lang w:val="en-US" w:eastAsia="zh-CN"/>
              </w:rPr>
              <w:t>﹣</w:t>
            </w:r>
            <w:r>
              <w:rPr>
                <w:rFonts w:hint="eastAsia" w:ascii="宋体" w:hAnsi="宋体" w:eastAsia="宋体" w:cs="宋体"/>
                <w:spacing w:val="4"/>
                <w:kern w:val="0"/>
                <w:sz w:val="21"/>
                <w:szCs w:val="21"/>
                <w:lang w:val="en-US" w:eastAsia="zh-CN"/>
              </w:rPr>
              <w:t>合格投标人数量）（注：与增补数量末位的投标报价相同的所有投标文件应全部纳入）个</w:t>
            </w:r>
            <w:r>
              <w:rPr>
                <w:rFonts w:hint="eastAsia" w:ascii="宋体" w:hAnsi="宋体" w:eastAsia="宋体" w:cs="宋体"/>
                <w:kern w:val="0"/>
                <w:sz w:val="21"/>
                <w:szCs w:val="21"/>
                <w:lang w:val="en-US" w:eastAsia="zh-CN"/>
              </w:rPr>
              <w:t>投标文件进行</w:t>
            </w:r>
            <w:r>
              <w:rPr>
                <w:rFonts w:hint="eastAsia" w:ascii="宋体" w:hAnsi="宋体" w:eastAsia="宋体" w:cs="宋体"/>
                <w:spacing w:val="4"/>
                <w:kern w:val="0"/>
                <w:sz w:val="21"/>
                <w:szCs w:val="21"/>
                <w:lang w:val="en-US" w:eastAsia="zh-CN"/>
              </w:rPr>
              <w:t>初步评审和技术评审（如有）</w:t>
            </w:r>
            <w:r>
              <w:rPr>
                <w:rFonts w:hint="eastAsia" w:ascii="宋体" w:hAnsi="宋体" w:eastAsia="宋体" w:cs="宋体"/>
                <w:kern w:val="0"/>
                <w:sz w:val="21"/>
                <w:szCs w:val="21"/>
                <w:lang w:val="en-US" w:eastAsia="zh-CN"/>
              </w:rPr>
              <w:t>，直至</w:t>
            </w:r>
            <w:r>
              <w:rPr>
                <w:rFonts w:hint="eastAsia" w:ascii="宋体" w:hAnsi="宋体" w:eastAsia="宋体" w:cs="宋体"/>
                <w:kern w:val="0"/>
                <w:sz w:val="21"/>
                <w:szCs w:val="21"/>
              </w:rPr>
              <w:t>评出3名中标候选人，或者评审完所有投标文件。</w:t>
            </w:r>
          </w:p>
          <w:p w14:paraId="17563B26">
            <w:pPr>
              <w:spacing w:after="0" w:afterLines="0"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sz w:val="21"/>
                <w:szCs w:val="21"/>
                <w:lang w:val="en-US" w:eastAsia="zh-CN"/>
              </w:rPr>
              <w:t>注：1.</w:t>
            </w:r>
            <w:r>
              <w:rPr>
                <w:rFonts w:hint="eastAsia" w:ascii="宋体" w:hAnsi="宋体" w:eastAsia="宋体" w:cs="宋体"/>
                <w:kern w:val="0"/>
                <w:sz w:val="21"/>
                <w:szCs w:val="21"/>
              </w:rPr>
              <w:t>因评标委员会作否决投标处理，导致有效投标人不足三个的，评标委员会应当</w:t>
            </w:r>
            <w:r>
              <w:rPr>
                <w:rFonts w:hint="eastAsia" w:ascii="宋体" w:hAnsi="宋体" w:eastAsia="宋体" w:cs="宋体"/>
                <w:color w:val="auto"/>
                <w:spacing w:val="4"/>
                <w:kern w:val="0"/>
                <w:sz w:val="21"/>
                <w:szCs w:val="21"/>
                <w:highlight w:val="none"/>
                <w:lang w:eastAsia="zh-CN"/>
              </w:rPr>
              <w:t>对有效投标人是否仍具有竞争性进行论证</w:t>
            </w:r>
            <w:r>
              <w:rPr>
                <w:rFonts w:hint="eastAsia" w:ascii="宋体" w:hAnsi="宋体" w:eastAsia="宋体" w:cs="宋体"/>
                <w:color w:val="auto"/>
                <w:spacing w:val="4"/>
                <w:kern w:val="0"/>
                <w:sz w:val="21"/>
                <w:szCs w:val="21"/>
                <w:highlight w:val="none"/>
              </w:rPr>
              <w:t>。评标委员会</w:t>
            </w:r>
            <w:r>
              <w:rPr>
                <w:rFonts w:hint="eastAsia" w:ascii="宋体" w:hAnsi="宋体" w:eastAsia="宋体" w:cs="宋体"/>
                <w:color w:val="auto"/>
                <w:spacing w:val="4"/>
                <w:kern w:val="0"/>
                <w:sz w:val="21"/>
                <w:szCs w:val="21"/>
                <w:highlight w:val="none"/>
                <w:lang w:eastAsia="zh-CN"/>
              </w:rPr>
              <w:t>认为</w:t>
            </w:r>
            <w:r>
              <w:rPr>
                <w:rFonts w:hint="eastAsia" w:ascii="宋体" w:hAnsi="宋体" w:eastAsia="宋体" w:cs="宋体"/>
                <w:kern w:val="0"/>
                <w:sz w:val="21"/>
                <w:szCs w:val="21"/>
              </w:rPr>
              <w:t>有效投标人的经济、技术等指标仍然具有市场竞争力，并满足招标文件要求的，评标委员会可以继续评标并确定中标候选人。</w:t>
            </w:r>
            <w:r>
              <w:rPr>
                <w:rFonts w:hint="eastAsia" w:ascii="宋体" w:hAnsi="宋体" w:eastAsia="宋体" w:cs="宋体"/>
                <w:i w:val="0"/>
                <w:iCs w:val="0"/>
                <w:color w:val="auto"/>
                <w:kern w:val="0"/>
                <w:sz w:val="21"/>
                <w:szCs w:val="21"/>
                <w:highlight w:val="none"/>
                <w:lang w:val="en-US" w:eastAsia="zh-CN"/>
              </w:rPr>
              <w:t>（注：本款只适用于首次招标。）</w:t>
            </w:r>
          </w:p>
          <w:p w14:paraId="6F58FC54">
            <w:pPr>
              <w:spacing w:after="0" w:afterLines="0"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2.</w:t>
            </w:r>
            <w:r>
              <w:rPr>
                <w:rFonts w:hint="eastAsia" w:ascii="宋体" w:hAnsi="宋体" w:eastAsia="宋体" w:cs="宋体"/>
                <w:spacing w:val="4"/>
                <w:kern w:val="0"/>
                <w:sz w:val="21"/>
                <w:szCs w:val="21"/>
              </w:rPr>
              <w:t>若出现投标人投标报价相同的，由投标人</w:t>
            </w:r>
            <w:r>
              <w:rPr>
                <w:rFonts w:hint="eastAsia" w:ascii="宋体" w:hAnsi="宋体" w:eastAsia="宋体" w:cs="宋体"/>
                <w:spacing w:val="4"/>
                <w:kern w:val="0"/>
                <w:sz w:val="21"/>
                <w:szCs w:val="21"/>
                <w:u w:val="single"/>
              </w:rPr>
              <w:t>资质等级高</w:t>
            </w:r>
            <w:r>
              <w:rPr>
                <w:rFonts w:hint="eastAsia" w:ascii="宋体" w:hAnsi="宋体" w:eastAsia="宋体" w:cs="宋体"/>
                <w:spacing w:val="4"/>
                <w:kern w:val="0"/>
                <w:sz w:val="21"/>
                <w:szCs w:val="21"/>
              </w:rPr>
              <w:t>的优先，若投标人资质等级相同，由评标委员会</w:t>
            </w:r>
            <w:r>
              <w:rPr>
                <w:rFonts w:hint="eastAsia" w:ascii="宋体" w:hAnsi="宋体" w:eastAsia="宋体" w:cs="宋体"/>
                <w:spacing w:val="4"/>
                <w:kern w:val="0"/>
                <w:sz w:val="21"/>
                <w:szCs w:val="21"/>
                <w:u w:val="single"/>
              </w:rPr>
              <w:t>投票</w:t>
            </w:r>
            <w:r>
              <w:rPr>
                <w:rFonts w:hint="eastAsia" w:ascii="宋体" w:hAnsi="宋体" w:eastAsia="宋体" w:cs="宋体"/>
                <w:spacing w:val="4"/>
                <w:kern w:val="0"/>
                <w:sz w:val="21"/>
                <w:szCs w:val="21"/>
              </w:rPr>
              <w:t>决定排序</w:t>
            </w:r>
            <w:r>
              <w:rPr>
                <w:rFonts w:hint="eastAsia" w:ascii="宋体" w:hAnsi="宋体" w:eastAsia="宋体" w:cs="宋体"/>
                <w:kern w:val="0"/>
                <w:sz w:val="21"/>
                <w:szCs w:val="21"/>
              </w:rPr>
              <w:t>。</w:t>
            </w:r>
          </w:p>
        </w:tc>
      </w:tr>
      <w:tr w14:paraId="6B385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641" w:type="pct"/>
            <w:tcBorders>
              <w:right w:val="single" w:color="auto" w:sz="4" w:space="0"/>
            </w:tcBorders>
            <w:vAlign w:val="center"/>
          </w:tcPr>
          <w:p w14:paraId="5623BEBE">
            <w:pPr>
              <w:spacing w:afterLines="0" w:line="360" w:lineRule="auto"/>
              <w:jc w:val="center"/>
              <w:rPr>
                <w:rFonts w:hint="eastAsia" w:ascii="宋体" w:hAnsi="宋体" w:eastAsia="宋体" w:cs="宋体"/>
                <w:sz w:val="21"/>
                <w:szCs w:val="21"/>
              </w:rPr>
            </w:pPr>
            <w:r>
              <w:rPr>
                <w:rFonts w:hint="eastAsia" w:ascii="宋体" w:hAnsi="宋体" w:eastAsia="宋体" w:cs="宋体"/>
                <w:sz w:val="21"/>
                <w:szCs w:val="21"/>
              </w:rPr>
              <w:t>3.4</w:t>
            </w:r>
          </w:p>
        </w:tc>
        <w:tc>
          <w:tcPr>
            <w:tcW w:w="805" w:type="pct"/>
            <w:tcBorders>
              <w:left w:val="single" w:color="auto" w:sz="4" w:space="0"/>
              <w:right w:val="single" w:color="auto" w:sz="4" w:space="0"/>
            </w:tcBorders>
            <w:vAlign w:val="center"/>
          </w:tcPr>
          <w:p w14:paraId="1C4DADD6">
            <w:pPr>
              <w:spacing w:afterLines="0" w:line="360" w:lineRule="auto"/>
              <w:jc w:val="center"/>
              <w:rPr>
                <w:rFonts w:hint="eastAsia" w:ascii="宋体" w:hAnsi="宋体" w:eastAsia="宋体" w:cs="宋体"/>
                <w:sz w:val="21"/>
                <w:szCs w:val="21"/>
              </w:rPr>
            </w:pPr>
            <w:r>
              <w:rPr>
                <w:rFonts w:hint="eastAsia" w:ascii="宋体" w:hAnsi="宋体" w:eastAsia="宋体" w:cs="宋体"/>
                <w:sz w:val="21"/>
                <w:szCs w:val="21"/>
              </w:rPr>
              <w:t>评标结果</w:t>
            </w:r>
          </w:p>
        </w:tc>
        <w:tc>
          <w:tcPr>
            <w:tcW w:w="3553" w:type="pct"/>
            <w:gridSpan w:val="2"/>
            <w:tcBorders>
              <w:left w:val="single" w:color="auto" w:sz="4" w:space="0"/>
            </w:tcBorders>
            <w:vAlign w:val="center"/>
          </w:tcPr>
          <w:p w14:paraId="2F10D631">
            <w:pPr>
              <w:autoSpaceDE w:val="0"/>
              <w:autoSpaceDN w:val="0"/>
              <w:adjustRightInd w:val="0"/>
              <w:snapToGrid w:val="0"/>
              <w:spacing w:afterLines="0" w:line="360" w:lineRule="auto"/>
              <w:ind w:firstLine="420"/>
              <w:jc w:val="left"/>
              <w:rPr>
                <w:rFonts w:hint="eastAsia" w:ascii="宋体" w:hAnsi="宋体" w:eastAsia="宋体" w:cs="宋体"/>
                <w:kern w:val="0"/>
                <w:sz w:val="21"/>
                <w:szCs w:val="21"/>
              </w:rPr>
            </w:pPr>
            <w:r>
              <w:rPr>
                <w:rFonts w:hint="eastAsia" w:ascii="宋体" w:hAnsi="宋体" w:eastAsia="宋体" w:cs="宋体"/>
                <w:kern w:val="0"/>
                <w:sz w:val="21"/>
                <w:szCs w:val="21"/>
              </w:rPr>
              <w:t>3.</w:t>
            </w:r>
            <w:r>
              <w:rPr>
                <w:rFonts w:hint="eastAsia" w:ascii="宋体" w:hAnsi="宋体" w:eastAsia="宋体" w:cs="宋体"/>
                <w:spacing w:val="-1"/>
                <w:kern w:val="0"/>
                <w:sz w:val="21"/>
                <w:szCs w:val="21"/>
              </w:rPr>
              <w:t>4</w:t>
            </w:r>
            <w:r>
              <w:rPr>
                <w:rFonts w:hint="eastAsia" w:ascii="宋体" w:hAnsi="宋体" w:eastAsia="宋体" w:cs="宋体"/>
                <w:kern w:val="0"/>
                <w:sz w:val="21"/>
                <w:szCs w:val="21"/>
              </w:rPr>
              <w:t>.1 除第二章“投标</w:t>
            </w:r>
            <w:r>
              <w:rPr>
                <w:rFonts w:hint="eastAsia" w:ascii="宋体" w:hAnsi="宋体" w:eastAsia="宋体" w:cs="宋体"/>
                <w:spacing w:val="1"/>
                <w:kern w:val="0"/>
                <w:sz w:val="21"/>
                <w:szCs w:val="21"/>
              </w:rPr>
              <w:t>人</w:t>
            </w:r>
            <w:r>
              <w:rPr>
                <w:rFonts w:hint="eastAsia" w:ascii="宋体" w:hAnsi="宋体" w:eastAsia="宋体" w:cs="宋体"/>
                <w:kern w:val="0"/>
                <w:sz w:val="21"/>
                <w:szCs w:val="21"/>
              </w:rPr>
              <w:t>须知”前</w:t>
            </w:r>
            <w:r>
              <w:rPr>
                <w:rFonts w:hint="eastAsia" w:ascii="宋体" w:hAnsi="宋体" w:eastAsia="宋体" w:cs="宋体"/>
                <w:spacing w:val="1"/>
                <w:kern w:val="0"/>
                <w:sz w:val="21"/>
                <w:szCs w:val="21"/>
              </w:rPr>
              <w:t>附</w:t>
            </w:r>
            <w:r>
              <w:rPr>
                <w:rFonts w:hint="eastAsia" w:ascii="宋体" w:hAnsi="宋体" w:eastAsia="宋体" w:cs="宋体"/>
                <w:kern w:val="0"/>
                <w:sz w:val="21"/>
                <w:szCs w:val="21"/>
              </w:rPr>
              <w:t>表授权直</w:t>
            </w:r>
            <w:r>
              <w:rPr>
                <w:rFonts w:hint="eastAsia" w:ascii="宋体" w:hAnsi="宋体" w:eastAsia="宋体" w:cs="宋体"/>
                <w:spacing w:val="1"/>
                <w:kern w:val="0"/>
                <w:sz w:val="21"/>
                <w:szCs w:val="21"/>
              </w:rPr>
              <w:t>接</w:t>
            </w:r>
            <w:r>
              <w:rPr>
                <w:rFonts w:hint="eastAsia" w:ascii="宋体" w:hAnsi="宋体" w:eastAsia="宋体" w:cs="宋体"/>
                <w:kern w:val="0"/>
                <w:sz w:val="21"/>
                <w:szCs w:val="21"/>
              </w:rPr>
              <w:t>确定中标</w:t>
            </w:r>
            <w:r>
              <w:rPr>
                <w:rFonts w:hint="eastAsia" w:ascii="宋体" w:hAnsi="宋体" w:eastAsia="宋体" w:cs="宋体"/>
                <w:spacing w:val="1"/>
                <w:kern w:val="0"/>
                <w:sz w:val="21"/>
                <w:szCs w:val="21"/>
              </w:rPr>
              <w:t>人</w:t>
            </w:r>
            <w:r>
              <w:rPr>
                <w:rFonts w:hint="eastAsia" w:ascii="宋体" w:hAnsi="宋体" w:eastAsia="宋体" w:cs="宋体"/>
                <w:kern w:val="0"/>
                <w:sz w:val="21"/>
                <w:szCs w:val="21"/>
              </w:rPr>
              <w:t>外，评标</w:t>
            </w:r>
            <w:r>
              <w:rPr>
                <w:rFonts w:hint="eastAsia" w:ascii="宋体" w:hAnsi="宋体" w:eastAsia="宋体" w:cs="宋体"/>
                <w:spacing w:val="1"/>
                <w:kern w:val="0"/>
                <w:sz w:val="21"/>
                <w:szCs w:val="21"/>
              </w:rPr>
              <w:t>委</w:t>
            </w:r>
            <w:r>
              <w:rPr>
                <w:rFonts w:hint="eastAsia" w:ascii="宋体" w:hAnsi="宋体" w:eastAsia="宋体" w:cs="宋体"/>
                <w:kern w:val="0"/>
                <w:sz w:val="21"/>
                <w:szCs w:val="21"/>
              </w:rPr>
              <w:t>员会按经评审的最低投标价法推荐中标候选人。</w:t>
            </w:r>
          </w:p>
          <w:p w14:paraId="1E440219">
            <w:pPr>
              <w:spacing w:afterLines="0" w:line="360" w:lineRule="auto"/>
              <w:ind w:firstLine="424" w:firstLineChars="200"/>
              <w:rPr>
                <w:rFonts w:hint="eastAsia" w:ascii="宋体" w:hAnsi="宋体" w:eastAsia="宋体" w:cs="宋体"/>
                <w:sz w:val="21"/>
                <w:szCs w:val="21"/>
              </w:rPr>
            </w:pPr>
            <w:r>
              <w:rPr>
                <w:rFonts w:hint="eastAsia" w:ascii="宋体" w:hAnsi="宋体" w:eastAsia="宋体" w:cs="宋体"/>
                <w:spacing w:val="1"/>
                <w:kern w:val="0"/>
                <w:sz w:val="21"/>
                <w:szCs w:val="21"/>
              </w:rPr>
              <w:t>3</w:t>
            </w:r>
            <w:r>
              <w:rPr>
                <w:rFonts w:hint="eastAsia" w:ascii="宋体" w:hAnsi="宋体" w:eastAsia="宋体" w:cs="宋体"/>
                <w:kern w:val="0"/>
                <w:sz w:val="21"/>
                <w:szCs w:val="21"/>
              </w:rPr>
              <w:t>.4.2 评标</w:t>
            </w:r>
            <w:r>
              <w:rPr>
                <w:rFonts w:hint="eastAsia" w:ascii="宋体" w:hAnsi="宋体" w:eastAsia="宋体" w:cs="宋体"/>
                <w:spacing w:val="-1"/>
                <w:kern w:val="0"/>
                <w:sz w:val="21"/>
                <w:szCs w:val="21"/>
              </w:rPr>
              <w:t>委</w:t>
            </w:r>
            <w:r>
              <w:rPr>
                <w:rFonts w:hint="eastAsia" w:ascii="宋体" w:hAnsi="宋体" w:eastAsia="宋体" w:cs="宋体"/>
                <w:kern w:val="0"/>
                <w:sz w:val="21"/>
                <w:szCs w:val="21"/>
              </w:rPr>
              <w:t>员会完成评标后，应当向招标人提交书面评标报告和中标候选人名单。</w:t>
            </w:r>
          </w:p>
        </w:tc>
      </w:tr>
    </w:tbl>
    <w:p w14:paraId="286A0412">
      <w:pPr>
        <w:pStyle w:val="2"/>
        <w:rPr>
          <w:rFonts w:hint="eastAsia"/>
        </w:rPr>
      </w:pPr>
      <w:bookmarkStart w:id="181" w:name="_Toc28204"/>
      <w:bookmarkStart w:id="182" w:name="_Toc27750"/>
      <w:bookmarkStart w:id="183" w:name="_Toc7656"/>
    </w:p>
    <w:p w14:paraId="53A26EE6">
      <w:pPr>
        <w:rPr>
          <w:rFonts w:hint="eastAsia"/>
        </w:rPr>
      </w:pPr>
      <w:r>
        <w:rPr>
          <w:rFonts w:hint="eastAsia"/>
        </w:rPr>
        <w:br w:type="page"/>
      </w:r>
    </w:p>
    <w:p w14:paraId="2D245DA2">
      <w:pPr>
        <w:pStyle w:val="2"/>
        <w:rPr>
          <w:rFonts w:hint="eastAsia"/>
        </w:rPr>
      </w:pPr>
    </w:p>
    <w:p w14:paraId="7D886425">
      <w:pPr>
        <w:pStyle w:val="4"/>
        <w:spacing w:before="0" w:after="0" w:line="360" w:lineRule="auto"/>
        <w:jc w:val="left"/>
        <w:rPr>
          <w:rFonts w:ascii="宋体" w:hAnsi="宋体"/>
          <w:bCs w:val="0"/>
          <w:snapToGrid w:val="0"/>
        </w:rPr>
      </w:pPr>
      <w:r>
        <w:rPr>
          <w:rFonts w:hint="eastAsia" w:ascii="宋体" w:hAnsi="宋体" w:cs="宋体"/>
          <w:snapToGrid w:val="0"/>
        </w:rPr>
        <w:t>1.评标方法</w:t>
      </w:r>
      <w:bookmarkEnd w:id="181"/>
      <w:bookmarkEnd w:id="182"/>
      <w:bookmarkEnd w:id="183"/>
    </w:p>
    <w:p w14:paraId="4714A757">
      <w:pPr>
        <w:spacing w:line="360" w:lineRule="auto"/>
        <w:ind w:firstLine="420" w:firstLineChars="200"/>
        <w:rPr>
          <w:rFonts w:ascii="宋体" w:hAnsi="宋体"/>
        </w:rPr>
      </w:pPr>
      <w:r>
        <w:rPr>
          <w:rFonts w:hint="eastAsia" w:ascii="宋体" w:hAnsi="宋体"/>
        </w:rPr>
        <w:t>本次评标采用经评审的最低竞选价法，评标委员会按照本章第2.1款进行报价排序，按照本章第2.2款进行符合性审查，符合性审查合格的竞选人中按报价由低到高推荐中标候选人，或根据比选人授权直接确定中选人。若出现竞选人竞选报价相同的，以评标办法前附表约定的原则确定排序。</w:t>
      </w:r>
    </w:p>
    <w:p w14:paraId="7555697B">
      <w:pPr>
        <w:pStyle w:val="4"/>
        <w:spacing w:before="0" w:after="0" w:line="360" w:lineRule="auto"/>
        <w:rPr>
          <w:rFonts w:hint="eastAsia" w:ascii="宋体" w:hAnsi="宋体" w:cs="宋体"/>
          <w:snapToGrid w:val="0"/>
        </w:rPr>
      </w:pPr>
      <w:bookmarkStart w:id="184" w:name="_Toc21054"/>
      <w:bookmarkStart w:id="185" w:name="_Toc2298"/>
      <w:bookmarkStart w:id="186" w:name="_Toc20502"/>
      <w:r>
        <w:rPr>
          <w:rFonts w:hint="eastAsia" w:ascii="宋体" w:hAnsi="宋体" w:cs="宋体"/>
          <w:snapToGrid w:val="0"/>
        </w:rPr>
        <w:t>2.评审标准</w:t>
      </w:r>
      <w:bookmarkEnd w:id="184"/>
      <w:bookmarkEnd w:id="185"/>
      <w:bookmarkEnd w:id="186"/>
    </w:p>
    <w:p w14:paraId="7601F54F">
      <w:pPr>
        <w:pStyle w:val="5"/>
        <w:spacing w:before="0" w:after="0" w:line="360" w:lineRule="auto"/>
        <w:rPr>
          <w:rFonts w:ascii="宋体" w:hAnsi="宋体" w:cs="宋体"/>
          <w:sz w:val="21"/>
          <w:szCs w:val="21"/>
        </w:rPr>
      </w:pPr>
      <w:bookmarkStart w:id="187" w:name="_Toc3739"/>
      <w:bookmarkStart w:id="188" w:name="_Toc12919"/>
      <w:bookmarkStart w:id="189" w:name="_Toc19182"/>
      <w:r>
        <w:rPr>
          <w:rFonts w:ascii="宋体" w:hAnsi="宋体" w:cs="宋体"/>
          <w:sz w:val="21"/>
          <w:szCs w:val="21"/>
        </w:rPr>
        <w:t>2.1</w:t>
      </w:r>
      <w:r>
        <w:rPr>
          <w:rFonts w:hint="eastAsia" w:ascii="宋体" w:hAnsi="宋体" w:cs="宋体"/>
          <w:sz w:val="21"/>
          <w:szCs w:val="21"/>
        </w:rPr>
        <w:t>报价</w:t>
      </w:r>
      <w:r>
        <w:rPr>
          <w:rFonts w:ascii="宋体" w:hAnsi="宋体" w:cs="宋体"/>
          <w:sz w:val="21"/>
          <w:szCs w:val="21"/>
        </w:rPr>
        <w:t>排序</w:t>
      </w:r>
      <w:bookmarkEnd w:id="187"/>
      <w:r>
        <w:rPr>
          <w:rFonts w:hint="eastAsia" w:ascii="宋体" w:hAnsi="宋体" w:cs="宋体"/>
          <w:sz w:val="21"/>
          <w:szCs w:val="21"/>
        </w:rPr>
        <w:t>标准</w:t>
      </w:r>
      <w:bookmarkEnd w:id="188"/>
      <w:bookmarkEnd w:id="189"/>
    </w:p>
    <w:p w14:paraId="459A27ED">
      <w:pPr>
        <w:autoSpaceDE w:val="0"/>
        <w:autoSpaceDN w:val="0"/>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见评标办法前附表。</w:t>
      </w:r>
    </w:p>
    <w:p w14:paraId="4E54BE85">
      <w:pPr>
        <w:pStyle w:val="5"/>
        <w:spacing w:before="0" w:after="0" w:line="360" w:lineRule="auto"/>
        <w:rPr>
          <w:rFonts w:ascii="宋体" w:hAnsi="宋体" w:cs="宋体"/>
          <w:sz w:val="21"/>
          <w:szCs w:val="21"/>
        </w:rPr>
      </w:pPr>
      <w:bookmarkStart w:id="190" w:name="_Toc16832"/>
      <w:bookmarkStart w:id="191" w:name="_Toc5359"/>
      <w:bookmarkStart w:id="192" w:name="_Toc27143"/>
      <w:r>
        <w:rPr>
          <w:rFonts w:ascii="宋体" w:hAnsi="宋体" w:cs="宋体"/>
          <w:sz w:val="21"/>
          <w:szCs w:val="21"/>
        </w:rPr>
        <w:t>2.</w:t>
      </w:r>
      <w:r>
        <w:rPr>
          <w:rFonts w:hint="eastAsia" w:ascii="宋体" w:hAnsi="宋体" w:cs="宋体"/>
          <w:sz w:val="21"/>
          <w:szCs w:val="21"/>
        </w:rPr>
        <w:t>2符合性审查</w:t>
      </w:r>
      <w:bookmarkEnd w:id="190"/>
      <w:r>
        <w:rPr>
          <w:rFonts w:hint="eastAsia" w:ascii="宋体" w:hAnsi="宋体" w:cs="宋体"/>
          <w:sz w:val="21"/>
          <w:szCs w:val="21"/>
        </w:rPr>
        <w:t>标准</w:t>
      </w:r>
      <w:bookmarkEnd w:id="191"/>
      <w:bookmarkEnd w:id="192"/>
    </w:p>
    <w:p w14:paraId="0D303A9D">
      <w:pPr>
        <w:autoSpaceDE w:val="0"/>
        <w:autoSpaceDN w:val="0"/>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按评标办法前附表约定的竞选单位报价排序数量进行符合性审查</w:t>
      </w:r>
      <w:r>
        <w:rPr>
          <w:rFonts w:hint="eastAsia" w:ascii="宋体" w:hAnsi="宋体"/>
          <w:spacing w:val="4"/>
          <w:kern w:val="0"/>
          <w:szCs w:val="21"/>
        </w:rPr>
        <w:t>。符合性审查内容：资格评审、形式评审、响应性评审。</w:t>
      </w:r>
    </w:p>
    <w:p w14:paraId="2E254ACF">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1  资格评审标准：见评标办法前附表。</w:t>
      </w:r>
    </w:p>
    <w:p w14:paraId="53C591EA">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2  形式评审标准：见评标办法前附表。</w:t>
      </w:r>
    </w:p>
    <w:p w14:paraId="0DE8747B">
      <w:pPr>
        <w:autoSpaceDE w:val="0"/>
        <w:autoSpaceDN w:val="0"/>
        <w:adjustRightInd w:val="0"/>
        <w:snapToGrid w:val="0"/>
        <w:spacing w:line="360" w:lineRule="auto"/>
        <w:ind w:firstLine="420" w:firstLineChars="200"/>
        <w:jc w:val="left"/>
        <w:rPr>
          <w:rFonts w:hint="eastAsia"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3  响应性评审标准：见评标办法前附表。</w:t>
      </w:r>
    </w:p>
    <w:p w14:paraId="702E8362">
      <w:pPr>
        <w:autoSpaceDE w:val="0"/>
        <w:autoSpaceDN w:val="0"/>
        <w:adjustRightInd w:val="0"/>
        <w:snapToGrid w:val="0"/>
        <w:spacing w:line="360" w:lineRule="auto"/>
        <w:ind w:firstLine="420" w:firstLineChars="200"/>
        <w:jc w:val="left"/>
      </w:pPr>
      <w:r>
        <w:rPr>
          <w:rFonts w:hint="eastAsia" w:ascii="宋体" w:hAnsi="宋体" w:cs="宋体"/>
          <w:szCs w:val="21"/>
          <w:lang w:val="en-US" w:eastAsia="zh-CN"/>
        </w:rPr>
        <w:t xml:space="preserve">2.2.4  </w:t>
      </w:r>
      <w:r>
        <w:rPr>
          <w:rFonts w:ascii="宋体" w:hAnsi="宋体"/>
          <w:kern w:val="0"/>
        </w:rPr>
        <w:t>技术</w:t>
      </w:r>
      <w:r>
        <w:rPr>
          <w:rFonts w:hint="eastAsia" w:ascii="宋体" w:hAnsi="宋体"/>
          <w:kern w:val="0"/>
        </w:rPr>
        <w:t>评审</w:t>
      </w:r>
      <w:r>
        <w:rPr>
          <w:rFonts w:hint="eastAsia" w:ascii="宋体" w:hAnsi="宋体" w:cs="宋体"/>
          <w:szCs w:val="21"/>
        </w:rPr>
        <w:t>标准：见评标办法前附表。</w:t>
      </w:r>
    </w:p>
    <w:p w14:paraId="5C90BFE4">
      <w:pPr>
        <w:pStyle w:val="4"/>
        <w:spacing w:before="0" w:after="0" w:line="360" w:lineRule="auto"/>
        <w:rPr>
          <w:rFonts w:hint="eastAsia" w:ascii="宋体" w:hAnsi="宋体" w:cs="宋体"/>
          <w:snapToGrid w:val="0"/>
        </w:rPr>
      </w:pPr>
      <w:bookmarkStart w:id="193" w:name="_Toc6630"/>
      <w:bookmarkStart w:id="194" w:name="_Toc21131"/>
      <w:bookmarkStart w:id="195" w:name="_Toc10961"/>
      <w:r>
        <w:rPr>
          <w:rFonts w:hint="eastAsia" w:ascii="宋体" w:hAnsi="宋体" w:cs="宋体"/>
          <w:snapToGrid w:val="0"/>
        </w:rPr>
        <w:t>3.评标程序</w:t>
      </w:r>
      <w:bookmarkEnd w:id="193"/>
      <w:bookmarkEnd w:id="194"/>
      <w:bookmarkEnd w:id="195"/>
    </w:p>
    <w:p w14:paraId="0E5642CA">
      <w:pPr>
        <w:pStyle w:val="5"/>
        <w:spacing w:before="0" w:after="0" w:line="360" w:lineRule="auto"/>
        <w:rPr>
          <w:rFonts w:ascii="宋体" w:hAnsi="宋体" w:cs="宋体"/>
          <w:sz w:val="21"/>
          <w:szCs w:val="21"/>
        </w:rPr>
      </w:pPr>
      <w:bookmarkStart w:id="196" w:name="_Toc17317"/>
      <w:bookmarkStart w:id="197" w:name="_Toc7483"/>
      <w:bookmarkStart w:id="198" w:name="_Toc10625"/>
      <w:r>
        <w:rPr>
          <w:rFonts w:ascii="宋体" w:hAnsi="宋体" w:cs="宋体"/>
          <w:sz w:val="21"/>
          <w:szCs w:val="21"/>
        </w:rPr>
        <w:t>3.1</w:t>
      </w:r>
      <w:r>
        <w:rPr>
          <w:rFonts w:hint="eastAsia" w:ascii="宋体" w:hAnsi="宋体" w:cs="宋体"/>
          <w:sz w:val="21"/>
          <w:szCs w:val="21"/>
        </w:rPr>
        <w:t>报价排序</w:t>
      </w:r>
      <w:bookmarkEnd w:id="196"/>
      <w:bookmarkEnd w:id="197"/>
      <w:bookmarkEnd w:id="198"/>
    </w:p>
    <w:p w14:paraId="2DDE3E30">
      <w:pPr>
        <w:spacing w:line="360" w:lineRule="auto"/>
        <w:ind w:firstLine="413" w:firstLineChars="197"/>
        <w:rPr>
          <w:rFonts w:ascii="宋体" w:hAnsi="宋体" w:cs="宋体"/>
          <w:szCs w:val="21"/>
        </w:rPr>
      </w:pPr>
      <w:r>
        <w:rPr>
          <w:rFonts w:hint="eastAsia" w:ascii="宋体" w:hAnsi="宋体" w:cs="宋体"/>
          <w:szCs w:val="21"/>
        </w:rPr>
        <w:t>对报价不高于最高限价的所有竞选人的竞选文件，按照报价由低到高的顺序排序。</w:t>
      </w:r>
    </w:p>
    <w:p w14:paraId="6B2B3ACA">
      <w:pPr>
        <w:pStyle w:val="5"/>
        <w:spacing w:before="0" w:after="0" w:line="360" w:lineRule="auto"/>
        <w:rPr>
          <w:rFonts w:ascii="宋体" w:hAnsi="宋体" w:cs="宋体"/>
          <w:sz w:val="21"/>
          <w:szCs w:val="21"/>
        </w:rPr>
      </w:pPr>
      <w:bookmarkStart w:id="199" w:name="_Toc3405"/>
      <w:bookmarkStart w:id="200" w:name="_Toc9721"/>
      <w:bookmarkStart w:id="201" w:name="_Toc23300"/>
      <w:r>
        <w:rPr>
          <w:rFonts w:ascii="宋体" w:hAnsi="宋体" w:cs="宋体"/>
          <w:sz w:val="21"/>
          <w:szCs w:val="21"/>
        </w:rPr>
        <w:t>3.</w:t>
      </w:r>
      <w:r>
        <w:rPr>
          <w:rFonts w:hint="eastAsia" w:ascii="宋体" w:hAnsi="宋体" w:cs="宋体"/>
          <w:sz w:val="21"/>
          <w:szCs w:val="21"/>
        </w:rPr>
        <w:t>2符合性审查</w:t>
      </w:r>
      <w:bookmarkEnd w:id="199"/>
      <w:bookmarkEnd w:id="200"/>
      <w:bookmarkEnd w:id="201"/>
    </w:p>
    <w:p w14:paraId="72916889">
      <w:pPr>
        <w:spacing w:line="360" w:lineRule="auto"/>
        <w:ind w:firstLine="413" w:firstLineChars="197"/>
        <w:rPr>
          <w:rFonts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.1评标委员会依据本章第2.</w:t>
      </w:r>
      <w:r>
        <w:rPr>
          <w:rFonts w:hint="eastAsia" w:ascii="宋体" w:hAnsi="宋体" w:cs="宋体"/>
          <w:szCs w:val="21"/>
        </w:rPr>
        <w:t>2</w:t>
      </w:r>
      <w:r>
        <w:rPr>
          <w:rFonts w:ascii="宋体" w:hAnsi="宋体" w:cs="宋体"/>
          <w:szCs w:val="21"/>
        </w:rPr>
        <w:t xml:space="preserve"> </w:t>
      </w:r>
      <w:r>
        <w:rPr>
          <w:rFonts w:hint="eastAsia" w:ascii="宋体" w:hAnsi="宋体" w:cs="宋体"/>
          <w:szCs w:val="21"/>
        </w:rPr>
        <w:t>款规定的标准对竞选文件进行符合性审查。符合性审查顺序：资格评审、形式评审、响应性评审。</w:t>
      </w:r>
    </w:p>
    <w:p w14:paraId="25A72931">
      <w:pPr>
        <w:spacing w:line="360" w:lineRule="auto"/>
        <w:ind w:firstLine="413" w:firstLineChars="197"/>
        <w:rPr>
          <w:rFonts w:ascii="宋体" w:hAnsi="宋体" w:cs="宋体"/>
          <w:szCs w:val="21"/>
        </w:rPr>
      </w:pPr>
      <w:r>
        <w:rPr>
          <w:rFonts w:hint="eastAsia" w:ascii="宋体" w:hAnsi="宋体" w:cs="宋体"/>
          <w:szCs w:val="21"/>
        </w:rPr>
        <w:t>勾选技术方案评审的，符合性审查应首先进行技术方案暗标审查，再按照资格、形式、响应性的顺序进行评审。有一项不符合评审标准的，作否决竞选处理。</w:t>
      </w:r>
    </w:p>
    <w:p w14:paraId="75D8B98F">
      <w:pPr>
        <w:spacing w:line="360" w:lineRule="auto"/>
        <w:ind w:firstLine="420" w:firstLineChars="200"/>
        <w:rPr>
          <w:rFonts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 xml:space="preserve">.2 </w:t>
      </w:r>
      <w:r>
        <w:rPr>
          <w:rFonts w:hint="eastAsia" w:ascii="宋体" w:hAnsi="宋体" w:cs="宋体"/>
          <w:szCs w:val="21"/>
        </w:rPr>
        <w:t>竞选人</w:t>
      </w:r>
      <w:r>
        <w:rPr>
          <w:rFonts w:ascii="宋体" w:hAnsi="宋体" w:cs="宋体"/>
          <w:szCs w:val="21"/>
        </w:rPr>
        <w:t>有以下情形之一的，</w:t>
      </w:r>
      <w:r>
        <w:rPr>
          <w:rFonts w:hint="eastAsia" w:ascii="宋体" w:hAnsi="宋体" w:cs="宋体"/>
          <w:szCs w:val="21"/>
        </w:rPr>
        <w:t>其竞选文件将被否决：</w:t>
      </w:r>
    </w:p>
    <w:p w14:paraId="4AD33865">
      <w:pPr>
        <w:spacing w:line="360" w:lineRule="auto"/>
        <w:ind w:firstLine="405" w:firstLineChars="193"/>
        <w:rPr>
          <w:rFonts w:ascii="宋体" w:hAnsi="宋体" w:cs="宋体"/>
          <w:szCs w:val="21"/>
        </w:rPr>
      </w:pPr>
      <w:r>
        <w:rPr>
          <w:rFonts w:hint="eastAsia" w:ascii="宋体" w:hAnsi="宋体" w:cs="宋体"/>
          <w:szCs w:val="21"/>
        </w:rPr>
        <w:t>（1</w:t>
      </w:r>
      <w:r>
        <w:rPr>
          <w:rFonts w:ascii="宋体" w:hAnsi="宋体" w:cs="宋体"/>
          <w:szCs w:val="21"/>
        </w:rPr>
        <w:t>）第二章“</w:t>
      </w:r>
      <w:r>
        <w:rPr>
          <w:rFonts w:hint="eastAsia" w:ascii="宋体" w:hAnsi="宋体" w:cs="宋体"/>
          <w:szCs w:val="21"/>
        </w:rPr>
        <w:t>竞选人</w:t>
      </w:r>
      <w:r>
        <w:rPr>
          <w:rFonts w:ascii="宋体" w:hAnsi="宋体" w:cs="宋体"/>
          <w:szCs w:val="21"/>
        </w:rPr>
        <w:t xml:space="preserve">须知”第1.4.3 </w:t>
      </w:r>
      <w:r>
        <w:rPr>
          <w:rFonts w:hint="eastAsia" w:ascii="宋体" w:hAnsi="宋体" w:cs="宋体"/>
          <w:szCs w:val="21"/>
        </w:rPr>
        <w:t>项</w:t>
      </w:r>
      <w:r>
        <w:rPr>
          <w:rFonts w:ascii="宋体" w:hAnsi="宋体" w:cs="宋体"/>
          <w:szCs w:val="21"/>
        </w:rPr>
        <w:t>规定的任何一种情形的；</w:t>
      </w:r>
    </w:p>
    <w:p w14:paraId="7C2106C0">
      <w:pPr>
        <w:spacing w:line="360" w:lineRule="auto"/>
        <w:ind w:firstLine="420" w:firstLineChars="200"/>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本次竞选有串通竞选、弄虚作假等其他违反招竞选相关法律、法规行为的；</w:t>
      </w:r>
    </w:p>
    <w:p w14:paraId="70F756E3">
      <w:pPr>
        <w:spacing w:line="360" w:lineRule="auto"/>
        <w:ind w:firstLine="420" w:firstLineChars="200"/>
        <w:rPr>
          <w:rFonts w:ascii="宋体" w:hAnsi="宋体" w:cs="宋体"/>
          <w:szCs w:val="21"/>
        </w:rPr>
      </w:pPr>
      <w:r>
        <w:rPr>
          <w:rFonts w:hint="eastAsia" w:ascii="宋体" w:hAnsi="宋体" w:cs="宋体"/>
          <w:szCs w:val="21"/>
        </w:rPr>
        <w:t>（3）拒绝按评标委员会要求澄清、说明或补正的。</w:t>
      </w:r>
    </w:p>
    <w:p w14:paraId="7C36AF8B">
      <w:pPr>
        <w:spacing w:line="360" w:lineRule="auto"/>
        <w:ind w:firstLine="420" w:firstLineChars="200"/>
        <w:rPr>
          <w:rFonts w:ascii="宋体" w:hAnsi="宋体" w:cs="宋体"/>
          <w:szCs w:val="21"/>
        </w:rPr>
      </w:pPr>
      <w:r>
        <w:rPr>
          <w:rFonts w:hint="eastAsia" w:ascii="宋体" w:hAnsi="宋体" w:cs="宋体"/>
          <w:szCs w:val="21"/>
        </w:rPr>
        <w:t>3.2.3 竞选报价有算术错误的，评标委员会按以下原则对竞选报价进行修正，修正的价格经竞选人书面确认后具有约束力，修正原则如下：</w:t>
      </w:r>
    </w:p>
    <w:p w14:paraId="78CACD1C">
      <w:pPr>
        <w:spacing w:line="360" w:lineRule="auto"/>
        <w:ind w:firstLine="420" w:firstLineChars="200"/>
        <w:rPr>
          <w:rFonts w:ascii="宋体" w:hAnsi="宋体" w:cs="宋体"/>
          <w:szCs w:val="21"/>
        </w:rPr>
      </w:pPr>
      <w:r>
        <w:rPr>
          <w:rFonts w:hint="eastAsia" w:ascii="宋体" w:hAnsi="宋体" w:cs="宋体"/>
          <w:szCs w:val="21"/>
        </w:rPr>
        <w:t>（1）竞选文件中的大写金额与小写金额不一致的，以大写金额为准；</w:t>
      </w:r>
    </w:p>
    <w:p w14:paraId="16BD28CA">
      <w:pPr>
        <w:spacing w:line="360" w:lineRule="auto"/>
        <w:ind w:firstLine="420" w:firstLineChars="200"/>
        <w:rPr>
          <w:rFonts w:ascii="宋体" w:hAnsi="宋体" w:cs="宋体"/>
          <w:szCs w:val="21"/>
        </w:rPr>
      </w:pPr>
      <w:r>
        <w:rPr>
          <w:rFonts w:hint="eastAsia" w:ascii="宋体" w:hAnsi="宋体" w:cs="宋体"/>
          <w:szCs w:val="21"/>
        </w:rPr>
        <w:t>（2）竞选函中的总报价与已标价工程量清单总报价不一致的，由评标委员会作否决竞选处理。</w:t>
      </w:r>
    </w:p>
    <w:p w14:paraId="61376D03">
      <w:pPr>
        <w:pStyle w:val="5"/>
        <w:spacing w:before="0" w:after="0" w:line="360" w:lineRule="auto"/>
        <w:rPr>
          <w:rFonts w:ascii="宋体" w:hAnsi="宋体" w:cs="宋体"/>
          <w:sz w:val="21"/>
          <w:szCs w:val="21"/>
        </w:rPr>
      </w:pPr>
      <w:bookmarkStart w:id="202" w:name="_Toc5505"/>
      <w:bookmarkStart w:id="203" w:name="_Toc6479"/>
      <w:bookmarkStart w:id="204" w:name="_Toc14140"/>
      <w:r>
        <w:rPr>
          <w:rFonts w:ascii="宋体" w:hAnsi="宋体" w:cs="宋体"/>
          <w:sz w:val="21"/>
          <w:szCs w:val="21"/>
        </w:rPr>
        <w:t>3.</w:t>
      </w:r>
      <w:r>
        <w:rPr>
          <w:rFonts w:hint="eastAsia" w:ascii="宋体" w:hAnsi="宋体" w:cs="宋体"/>
          <w:sz w:val="21"/>
          <w:szCs w:val="21"/>
        </w:rPr>
        <w:t>3</w:t>
      </w:r>
      <w:r>
        <w:rPr>
          <w:rFonts w:ascii="宋体" w:hAnsi="宋体" w:cs="宋体"/>
          <w:sz w:val="21"/>
          <w:szCs w:val="21"/>
        </w:rPr>
        <w:t xml:space="preserve"> </w:t>
      </w:r>
      <w:r>
        <w:rPr>
          <w:rFonts w:hint="eastAsia" w:ascii="宋体" w:hAnsi="宋体" w:cs="宋体"/>
          <w:sz w:val="21"/>
          <w:szCs w:val="21"/>
          <w:lang w:eastAsia="zh-CN"/>
        </w:rPr>
        <w:t>竞选文件</w:t>
      </w:r>
      <w:r>
        <w:rPr>
          <w:rFonts w:hint="eastAsia" w:ascii="宋体" w:hAnsi="宋体" w:cs="宋体"/>
          <w:sz w:val="21"/>
          <w:szCs w:val="21"/>
        </w:rPr>
        <w:t>的澄清和补正</w:t>
      </w:r>
      <w:bookmarkEnd w:id="202"/>
      <w:bookmarkEnd w:id="203"/>
      <w:bookmarkEnd w:id="204"/>
    </w:p>
    <w:p w14:paraId="13AA4F27">
      <w:pPr>
        <w:spacing w:line="360" w:lineRule="auto"/>
        <w:ind w:firstLine="420" w:firstLineChars="200"/>
        <w:rPr>
          <w:rFonts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.1 </w:t>
      </w:r>
      <w:r>
        <w:rPr>
          <w:rFonts w:hint="eastAsia" w:ascii="宋体" w:hAnsi="宋体" w:cs="宋体"/>
          <w:szCs w:val="21"/>
        </w:rPr>
        <w:t>在评标过程中，评标委员会可以书面形式要求竞选人对所提交竞选文件中不明确的内容进行书面澄清或说明，或者对细微偏差进行补正。评标委员会不接受竞选人主动提出的澄清、说明或补正。</w:t>
      </w:r>
    </w:p>
    <w:p w14:paraId="1DEE48B7">
      <w:pPr>
        <w:spacing w:line="360" w:lineRule="auto"/>
        <w:ind w:firstLine="420" w:firstLineChars="200"/>
        <w:rPr>
          <w:rFonts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.2 </w:t>
      </w:r>
      <w:r>
        <w:rPr>
          <w:rFonts w:hint="eastAsia" w:ascii="宋体" w:hAnsi="宋体" w:cs="宋体"/>
          <w:szCs w:val="21"/>
        </w:rPr>
        <w:t>澄清、说明和补正不得改变竞选文件的实质性内容（算术性错误修正的除外）。竞选人的书面澄清、说明和补正属于竞选文件的组成部分。</w:t>
      </w:r>
    </w:p>
    <w:p w14:paraId="596F7CAB">
      <w:pPr>
        <w:spacing w:line="360" w:lineRule="auto"/>
        <w:ind w:firstLine="420" w:firstLineChars="200"/>
        <w:rPr>
          <w:rFonts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.3 </w:t>
      </w:r>
      <w:r>
        <w:rPr>
          <w:rFonts w:hint="eastAsia" w:ascii="宋体" w:hAnsi="宋体" w:cs="宋体"/>
          <w:szCs w:val="21"/>
        </w:rPr>
        <w:t>评标委员会对竞选人提交的澄清、说明或补正有疑问的，可以要求竞选人进一步澄清、说明或补正，直至满足评标委员会的要求。</w:t>
      </w:r>
    </w:p>
    <w:p w14:paraId="03EFB199">
      <w:pPr>
        <w:pStyle w:val="5"/>
        <w:spacing w:before="0" w:after="0" w:line="360" w:lineRule="auto"/>
        <w:rPr>
          <w:rFonts w:ascii="宋体" w:hAnsi="宋体" w:cs="宋体"/>
          <w:sz w:val="21"/>
          <w:szCs w:val="21"/>
        </w:rPr>
      </w:pPr>
      <w:bookmarkStart w:id="205" w:name="_Toc24239"/>
      <w:bookmarkStart w:id="206" w:name="_Toc15044"/>
      <w:bookmarkStart w:id="207" w:name="_Toc479262406"/>
      <w:bookmarkStart w:id="208" w:name="_Toc484465184"/>
      <w:bookmarkStart w:id="209" w:name="_Toc26860"/>
      <w:r>
        <w:rPr>
          <w:rFonts w:ascii="宋体" w:hAnsi="宋体" w:cs="宋体"/>
          <w:sz w:val="21"/>
          <w:szCs w:val="21"/>
        </w:rPr>
        <w:t>3.</w:t>
      </w:r>
      <w:r>
        <w:rPr>
          <w:rFonts w:hint="eastAsia" w:ascii="宋体" w:hAnsi="宋体" w:cs="宋体"/>
          <w:sz w:val="21"/>
          <w:szCs w:val="21"/>
        </w:rPr>
        <w:t>4</w:t>
      </w:r>
      <w:r>
        <w:rPr>
          <w:rFonts w:ascii="宋体" w:hAnsi="宋体" w:cs="宋体"/>
          <w:sz w:val="21"/>
          <w:szCs w:val="21"/>
        </w:rPr>
        <w:t xml:space="preserve"> </w:t>
      </w:r>
      <w:r>
        <w:rPr>
          <w:rFonts w:hint="eastAsia" w:ascii="宋体" w:hAnsi="宋体" w:cs="宋体"/>
          <w:sz w:val="21"/>
          <w:szCs w:val="21"/>
        </w:rPr>
        <w:t>评标结果</w:t>
      </w:r>
      <w:bookmarkEnd w:id="205"/>
      <w:bookmarkEnd w:id="206"/>
      <w:bookmarkEnd w:id="207"/>
      <w:bookmarkEnd w:id="208"/>
      <w:bookmarkEnd w:id="209"/>
    </w:p>
    <w:p w14:paraId="069A3C62">
      <w:pPr>
        <w:autoSpaceDE w:val="0"/>
        <w:autoSpaceDN w:val="0"/>
        <w:adjustRightInd w:val="0"/>
        <w:spacing w:line="360" w:lineRule="auto"/>
        <w:ind w:firstLine="420" w:firstLineChars="200"/>
        <w:jc w:val="left"/>
        <w:rPr>
          <w:rFonts w:ascii="宋体" w:hAnsi="宋体" w:cs="宋体"/>
          <w:kern w:val="0"/>
          <w:szCs w:val="21"/>
        </w:rPr>
      </w:pPr>
      <w:r>
        <w:rPr>
          <w:rFonts w:ascii="宋体" w:hAnsi="宋体" w:cs="宋体"/>
          <w:szCs w:val="21"/>
        </w:rPr>
        <w:t>3.</w:t>
      </w:r>
      <w:r>
        <w:rPr>
          <w:rFonts w:hint="eastAsia" w:ascii="宋体" w:hAnsi="宋体" w:cs="宋体"/>
          <w:szCs w:val="21"/>
        </w:rPr>
        <w:t>4</w:t>
      </w:r>
      <w:r>
        <w:rPr>
          <w:rFonts w:ascii="宋体" w:hAnsi="宋体" w:cs="宋体"/>
          <w:szCs w:val="21"/>
        </w:rPr>
        <w:t>.1</w:t>
      </w:r>
      <w:r>
        <w:rPr>
          <w:rFonts w:hint="eastAsia" w:ascii="宋体" w:hAnsi="宋体" w:cs="宋体"/>
          <w:szCs w:val="21"/>
        </w:rPr>
        <w:t>除第二章“竞选人须知”前附表授权直接确定中选人外，评标委员会按经评审的最低竞选价法推荐中标候选人。</w:t>
      </w:r>
    </w:p>
    <w:p w14:paraId="597D2E3F">
      <w:pPr>
        <w:spacing w:line="360" w:lineRule="auto"/>
        <w:ind w:firstLine="420" w:firstLineChars="200"/>
        <w:jc w:val="left"/>
        <w:rPr>
          <w:rFonts w:ascii="宋体" w:hAnsi="宋体" w:cs="宋体"/>
          <w:szCs w:val="21"/>
        </w:rPr>
      </w:pPr>
      <w:r>
        <w:rPr>
          <w:rFonts w:ascii="宋体" w:hAnsi="宋体" w:cs="宋体"/>
          <w:szCs w:val="21"/>
        </w:rPr>
        <w:t>3.</w:t>
      </w:r>
      <w:r>
        <w:rPr>
          <w:rFonts w:hint="eastAsia" w:ascii="宋体" w:hAnsi="宋体" w:cs="宋体"/>
          <w:szCs w:val="21"/>
        </w:rPr>
        <w:t>4</w:t>
      </w:r>
      <w:r>
        <w:rPr>
          <w:rFonts w:ascii="宋体" w:hAnsi="宋体" w:cs="宋体"/>
          <w:szCs w:val="21"/>
        </w:rPr>
        <w:t>.2</w:t>
      </w:r>
      <w:r>
        <w:rPr>
          <w:rFonts w:hint="eastAsia" w:ascii="宋体" w:hAnsi="宋体" w:cs="宋体"/>
          <w:szCs w:val="21"/>
        </w:rPr>
        <w:t xml:space="preserve"> 评标委员会完成评标后，应当向比选人提交书面评标报告和中标候选人名单。</w:t>
      </w:r>
    </w:p>
    <w:p w14:paraId="32C894D6">
      <w:pPr>
        <w:spacing w:line="360" w:lineRule="auto"/>
        <w:ind w:firstLine="420" w:firstLineChars="200"/>
        <w:jc w:val="left"/>
        <w:rPr>
          <w:rFonts w:ascii="宋体" w:hAnsi="宋体" w:cs="宋体"/>
          <w:szCs w:val="21"/>
        </w:rPr>
      </w:pPr>
    </w:p>
    <w:p w14:paraId="30F0B58D">
      <w:pPr>
        <w:spacing w:line="200" w:lineRule="exact"/>
        <w:rPr>
          <w:rFonts w:ascii="宋体" w:hAnsi="宋体"/>
          <w:kern w:val="0"/>
        </w:rPr>
      </w:pPr>
      <w:bookmarkStart w:id="210" w:name="招标文件03章02评标办法综合评估法"/>
      <w:bookmarkEnd w:id="210"/>
      <w:bookmarkStart w:id="211" w:name="招标文件03章02评标办法综合评估法00"/>
      <w:bookmarkEnd w:id="211"/>
      <w:bookmarkStart w:id="212" w:name="_Toc430530500"/>
      <w:bookmarkStart w:id="213" w:name="_Toc200513198"/>
      <w:bookmarkStart w:id="214" w:name="_Toc224103384"/>
      <w:bookmarkStart w:id="215" w:name="_Toc287620751"/>
      <w:bookmarkStart w:id="216" w:name="_Toc287607812"/>
      <w:bookmarkStart w:id="217" w:name="_Toc277082618"/>
    </w:p>
    <w:bookmarkEnd w:id="212"/>
    <w:bookmarkEnd w:id="213"/>
    <w:bookmarkEnd w:id="214"/>
    <w:bookmarkEnd w:id="215"/>
    <w:bookmarkEnd w:id="216"/>
    <w:bookmarkEnd w:id="217"/>
    <w:p w14:paraId="57FBBE07">
      <w:pPr>
        <w:autoSpaceDE w:val="0"/>
        <w:autoSpaceDN w:val="0"/>
        <w:adjustRightInd w:val="0"/>
        <w:snapToGrid w:val="0"/>
        <w:spacing w:before="340" w:after="330" w:line="360" w:lineRule="auto"/>
        <w:jc w:val="left"/>
        <w:rPr>
          <w:rFonts w:ascii="宋体" w:hAnsi="宋体"/>
          <w:kern w:val="0"/>
          <w:sz w:val="52"/>
          <w:szCs w:val="52"/>
        </w:rPr>
      </w:pPr>
    </w:p>
    <w:p w14:paraId="2545AB85">
      <w:pPr>
        <w:pStyle w:val="33"/>
        <w:spacing w:line="360" w:lineRule="auto"/>
        <w:rPr>
          <w:rFonts w:ascii="宋体" w:hAnsi="宋体"/>
          <w:sz w:val="28"/>
          <w:szCs w:val="28"/>
          <w:lang w:eastAsia="zh-CN"/>
        </w:rPr>
      </w:pPr>
      <w:r>
        <w:rPr>
          <w:rFonts w:hint="eastAsia" w:ascii="宋体" w:hAnsi="宋体"/>
          <w:lang w:eastAsia="zh-CN"/>
        </w:rPr>
        <w:br w:type="page"/>
      </w:r>
      <w:r>
        <w:rPr>
          <w:rFonts w:ascii="宋体" w:hAnsi="宋体"/>
          <w:sz w:val="28"/>
          <w:szCs w:val="28"/>
          <w:lang w:eastAsia="zh-CN"/>
        </w:rPr>
        <w:t>附件A：</w:t>
      </w:r>
      <w:r>
        <w:rPr>
          <w:rFonts w:hint="eastAsia" w:ascii="宋体" w:hAnsi="宋体"/>
          <w:sz w:val="28"/>
          <w:szCs w:val="28"/>
          <w:lang w:eastAsia="zh-CN"/>
        </w:rPr>
        <w:t>经评审的最低竞选价法</w:t>
      </w:r>
      <w:r>
        <w:rPr>
          <w:rFonts w:ascii="宋体" w:hAnsi="宋体"/>
          <w:sz w:val="28"/>
          <w:szCs w:val="28"/>
          <w:lang w:eastAsia="zh-CN"/>
        </w:rPr>
        <w:t>否决</w:t>
      </w:r>
      <w:r>
        <w:rPr>
          <w:rFonts w:hint="eastAsia" w:ascii="宋体" w:hAnsi="宋体"/>
          <w:sz w:val="28"/>
          <w:szCs w:val="28"/>
          <w:lang w:eastAsia="zh-CN"/>
        </w:rPr>
        <w:t>竞选</w:t>
      </w:r>
      <w:r>
        <w:rPr>
          <w:rFonts w:ascii="宋体" w:hAnsi="宋体"/>
          <w:sz w:val="28"/>
          <w:szCs w:val="28"/>
          <w:lang w:eastAsia="zh-CN"/>
        </w:rPr>
        <w:t>情况一览表</w:t>
      </w:r>
    </w:p>
    <w:p w14:paraId="11E64138">
      <w:pPr>
        <w:pStyle w:val="33"/>
        <w:spacing w:line="360" w:lineRule="auto"/>
        <w:ind w:firstLine="422" w:firstLineChars="200"/>
        <w:jc w:val="both"/>
        <w:rPr>
          <w:rFonts w:ascii="宋体" w:hAnsi="宋体"/>
          <w:sz w:val="21"/>
          <w:szCs w:val="21"/>
          <w:lang w:eastAsia="zh-CN"/>
        </w:rPr>
      </w:pPr>
      <w:r>
        <w:rPr>
          <w:rFonts w:hint="eastAsia" w:ascii="宋体" w:hAnsi="宋体"/>
          <w:sz w:val="21"/>
          <w:szCs w:val="21"/>
          <w:lang w:eastAsia="zh-CN"/>
        </w:rPr>
        <w:t>竞选文件存在本一览表下列情形之一的，竞选文件视为重大偏差并作否决竞选处理，否则，评标委员会不得视为重大偏差而否决竞选人的竞选文件</w:t>
      </w:r>
      <w:r>
        <w:rPr>
          <w:rFonts w:ascii="宋体" w:hAnsi="宋体"/>
          <w:sz w:val="21"/>
          <w:szCs w:val="21"/>
          <w:lang w:eastAsia="zh-CN"/>
        </w:rPr>
        <w:t>。</w:t>
      </w:r>
    </w:p>
    <w:tbl>
      <w:tblPr>
        <w:tblStyle w:val="46"/>
        <w:tblW w:w="946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237"/>
        <w:gridCol w:w="1899"/>
        <w:gridCol w:w="6333"/>
      </w:tblGrid>
      <w:tr w14:paraId="3BDD442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noWrap w:val="0"/>
            <w:vAlign w:val="center"/>
          </w:tcPr>
          <w:p w14:paraId="51BA5882">
            <w:pPr>
              <w:spacing w:line="400" w:lineRule="exact"/>
              <w:jc w:val="center"/>
              <w:rPr>
                <w:rFonts w:ascii="宋体" w:hAnsi="宋体"/>
                <w:b/>
                <w:szCs w:val="21"/>
              </w:rPr>
            </w:pPr>
            <w:r>
              <w:rPr>
                <w:rFonts w:ascii="宋体" w:hAnsi="宋体"/>
                <w:b/>
                <w:szCs w:val="21"/>
              </w:rPr>
              <w:t>章节号</w:t>
            </w:r>
          </w:p>
        </w:tc>
        <w:tc>
          <w:tcPr>
            <w:tcW w:w="1899" w:type="dxa"/>
            <w:noWrap w:val="0"/>
            <w:vAlign w:val="center"/>
          </w:tcPr>
          <w:p w14:paraId="289EFC7B">
            <w:pPr>
              <w:spacing w:line="400" w:lineRule="exact"/>
              <w:jc w:val="center"/>
              <w:rPr>
                <w:rFonts w:ascii="宋体" w:hAnsi="宋体"/>
                <w:b/>
                <w:szCs w:val="21"/>
              </w:rPr>
            </w:pPr>
            <w:r>
              <w:rPr>
                <w:rFonts w:ascii="宋体" w:hAnsi="宋体"/>
                <w:b/>
                <w:szCs w:val="21"/>
              </w:rPr>
              <w:t>条款名称</w:t>
            </w:r>
          </w:p>
        </w:tc>
        <w:tc>
          <w:tcPr>
            <w:tcW w:w="6333" w:type="dxa"/>
            <w:noWrap w:val="0"/>
            <w:vAlign w:val="center"/>
          </w:tcPr>
          <w:p w14:paraId="6359BED7">
            <w:pPr>
              <w:spacing w:line="400" w:lineRule="exact"/>
              <w:jc w:val="center"/>
              <w:rPr>
                <w:rFonts w:ascii="宋体" w:hAnsi="宋体"/>
                <w:b/>
                <w:szCs w:val="21"/>
              </w:rPr>
            </w:pPr>
            <w:r>
              <w:rPr>
                <w:rFonts w:ascii="宋体" w:hAnsi="宋体"/>
                <w:b/>
                <w:szCs w:val="21"/>
              </w:rPr>
              <w:t>否决</w:t>
            </w:r>
            <w:r>
              <w:rPr>
                <w:rFonts w:hint="eastAsia" w:ascii="宋体" w:hAnsi="宋体"/>
                <w:b/>
                <w:szCs w:val="21"/>
              </w:rPr>
              <w:t>竞选</w:t>
            </w:r>
            <w:r>
              <w:rPr>
                <w:rFonts w:ascii="宋体" w:hAnsi="宋体"/>
                <w:b/>
                <w:szCs w:val="21"/>
              </w:rPr>
              <w:t>条件</w:t>
            </w:r>
          </w:p>
        </w:tc>
      </w:tr>
      <w:tr w14:paraId="2C33B9A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restart"/>
            <w:noWrap w:val="0"/>
            <w:vAlign w:val="center"/>
          </w:tcPr>
          <w:p w14:paraId="0260A2CE">
            <w:pPr>
              <w:spacing w:line="400" w:lineRule="exact"/>
              <w:jc w:val="center"/>
              <w:rPr>
                <w:rFonts w:ascii="宋体" w:hAnsi="宋体"/>
                <w:szCs w:val="21"/>
              </w:rPr>
            </w:pPr>
          </w:p>
        </w:tc>
        <w:tc>
          <w:tcPr>
            <w:tcW w:w="1899" w:type="dxa"/>
            <w:vMerge w:val="restart"/>
            <w:noWrap w:val="0"/>
            <w:vAlign w:val="center"/>
          </w:tcPr>
          <w:p w14:paraId="435AB689">
            <w:pPr>
              <w:spacing w:line="400" w:lineRule="exact"/>
              <w:jc w:val="center"/>
              <w:rPr>
                <w:rFonts w:ascii="宋体" w:hAnsi="宋体"/>
                <w:szCs w:val="21"/>
              </w:rPr>
            </w:pPr>
            <w:r>
              <w:rPr>
                <w:rFonts w:hint="eastAsia" w:ascii="宋体" w:hAnsi="宋体"/>
                <w:szCs w:val="21"/>
              </w:rPr>
              <w:t>资格评审</w:t>
            </w:r>
          </w:p>
        </w:tc>
        <w:tc>
          <w:tcPr>
            <w:tcW w:w="6333" w:type="dxa"/>
            <w:noWrap w:val="0"/>
            <w:vAlign w:val="center"/>
          </w:tcPr>
          <w:p w14:paraId="1C4782C2">
            <w:pPr>
              <w:spacing w:line="400" w:lineRule="exact"/>
              <w:ind w:firstLine="420" w:firstLineChars="200"/>
              <w:rPr>
                <w:rFonts w:ascii="宋体" w:hAnsi="宋体"/>
                <w:szCs w:val="21"/>
              </w:rPr>
            </w:pPr>
            <w:r>
              <w:rPr>
                <w:rFonts w:hint="eastAsia" w:ascii="宋体" w:hAnsi="宋体"/>
                <w:szCs w:val="21"/>
              </w:rPr>
              <w:t>A-1竞选人的资质条件、营业执照及安全生产条件须满足竞选人须知前附表第1.4.1项的要求，否则由评标委员会作否决竞选处理。</w:t>
            </w:r>
          </w:p>
        </w:tc>
      </w:tr>
      <w:tr w14:paraId="2BFEBB9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noWrap w:val="0"/>
            <w:vAlign w:val="center"/>
          </w:tcPr>
          <w:p w14:paraId="1F7501E4">
            <w:pPr>
              <w:spacing w:line="400" w:lineRule="exact"/>
              <w:jc w:val="center"/>
              <w:rPr>
                <w:rFonts w:ascii="宋体" w:hAnsi="宋体"/>
                <w:szCs w:val="21"/>
              </w:rPr>
            </w:pPr>
          </w:p>
        </w:tc>
        <w:tc>
          <w:tcPr>
            <w:tcW w:w="1899" w:type="dxa"/>
            <w:vMerge w:val="continue"/>
            <w:noWrap w:val="0"/>
            <w:vAlign w:val="center"/>
          </w:tcPr>
          <w:p w14:paraId="1283DAFF">
            <w:pPr>
              <w:spacing w:line="400" w:lineRule="exact"/>
              <w:jc w:val="center"/>
              <w:rPr>
                <w:rFonts w:ascii="宋体" w:hAnsi="宋体"/>
                <w:szCs w:val="21"/>
              </w:rPr>
            </w:pPr>
          </w:p>
        </w:tc>
        <w:tc>
          <w:tcPr>
            <w:tcW w:w="6333" w:type="dxa"/>
            <w:noWrap w:val="0"/>
            <w:vAlign w:val="center"/>
          </w:tcPr>
          <w:p w14:paraId="0DA1C842">
            <w:pPr>
              <w:spacing w:line="400" w:lineRule="exact"/>
              <w:ind w:firstLine="420" w:firstLineChars="200"/>
              <w:rPr>
                <w:rFonts w:ascii="宋体" w:hAnsi="宋体"/>
                <w:szCs w:val="21"/>
              </w:rPr>
            </w:pPr>
            <w:r>
              <w:rPr>
                <w:rFonts w:hint="eastAsia" w:ascii="宋体" w:hAnsi="宋体"/>
                <w:szCs w:val="21"/>
              </w:rPr>
              <w:t>A-2竞选人的财务须满足竞选人须知前附表第1.4.1项的要求，否则由评标委员会作否决竞选处理（如有）。</w:t>
            </w:r>
          </w:p>
        </w:tc>
      </w:tr>
      <w:tr w14:paraId="2781D0F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noWrap w:val="0"/>
            <w:vAlign w:val="center"/>
          </w:tcPr>
          <w:p w14:paraId="5ACA9E1C">
            <w:pPr>
              <w:spacing w:line="400" w:lineRule="exact"/>
              <w:jc w:val="center"/>
              <w:rPr>
                <w:rFonts w:ascii="宋体" w:hAnsi="宋体"/>
                <w:szCs w:val="21"/>
              </w:rPr>
            </w:pPr>
          </w:p>
        </w:tc>
        <w:tc>
          <w:tcPr>
            <w:tcW w:w="1899" w:type="dxa"/>
            <w:vMerge w:val="continue"/>
            <w:noWrap w:val="0"/>
            <w:vAlign w:val="center"/>
          </w:tcPr>
          <w:p w14:paraId="1FB1014C">
            <w:pPr>
              <w:spacing w:line="400" w:lineRule="exact"/>
              <w:jc w:val="center"/>
              <w:rPr>
                <w:rFonts w:ascii="宋体" w:hAnsi="宋体"/>
                <w:szCs w:val="21"/>
              </w:rPr>
            </w:pPr>
          </w:p>
        </w:tc>
        <w:tc>
          <w:tcPr>
            <w:tcW w:w="6333" w:type="dxa"/>
            <w:noWrap w:val="0"/>
            <w:vAlign w:val="center"/>
          </w:tcPr>
          <w:p w14:paraId="26780233">
            <w:pPr>
              <w:spacing w:line="400" w:lineRule="exact"/>
              <w:ind w:firstLine="420" w:firstLineChars="200"/>
              <w:rPr>
                <w:rFonts w:ascii="宋体" w:hAnsi="宋体"/>
                <w:szCs w:val="21"/>
              </w:rPr>
            </w:pPr>
            <w:r>
              <w:rPr>
                <w:rFonts w:hint="eastAsia" w:ascii="宋体" w:hAnsi="宋体"/>
                <w:szCs w:val="21"/>
              </w:rPr>
              <w:t>A-3竞选人的业绩须满足竞选人须知前附表第1.4.1项的要求，否则由评标委员会作否决竞选处理（如有）。</w:t>
            </w:r>
          </w:p>
        </w:tc>
      </w:tr>
      <w:tr w14:paraId="021CB35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noWrap w:val="0"/>
            <w:vAlign w:val="center"/>
          </w:tcPr>
          <w:p w14:paraId="6B874EAB">
            <w:pPr>
              <w:spacing w:line="400" w:lineRule="exact"/>
              <w:jc w:val="center"/>
              <w:rPr>
                <w:rFonts w:ascii="宋体" w:hAnsi="宋体"/>
                <w:szCs w:val="21"/>
              </w:rPr>
            </w:pPr>
          </w:p>
        </w:tc>
        <w:tc>
          <w:tcPr>
            <w:tcW w:w="1899" w:type="dxa"/>
            <w:vMerge w:val="continue"/>
            <w:noWrap w:val="0"/>
            <w:vAlign w:val="center"/>
          </w:tcPr>
          <w:p w14:paraId="33250419">
            <w:pPr>
              <w:spacing w:line="400" w:lineRule="exact"/>
              <w:jc w:val="center"/>
              <w:rPr>
                <w:rFonts w:ascii="宋体" w:hAnsi="宋体"/>
                <w:szCs w:val="21"/>
              </w:rPr>
            </w:pPr>
          </w:p>
        </w:tc>
        <w:tc>
          <w:tcPr>
            <w:tcW w:w="6333" w:type="dxa"/>
            <w:noWrap w:val="0"/>
            <w:vAlign w:val="center"/>
          </w:tcPr>
          <w:p w14:paraId="2EAADFD3">
            <w:pPr>
              <w:spacing w:line="400" w:lineRule="exact"/>
              <w:ind w:firstLine="420" w:firstLineChars="200"/>
              <w:rPr>
                <w:rFonts w:ascii="宋体" w:hAnsi="宋体"/>
                <w:szCs w:val="21"/>
              </w:rPr>
            </w:pPr>
            <w:r>
              <w:rPr>
                <w:rFonts w:hint="eastAsia" w:ascii="宋体" w:hAnsi="宋体"/>
                <w:szCs w:val="21"/>
              </w:rPr>
              <w:t>A-4竞选人的竞选截止日竞选资格情况须满足竞选人须知前附表1.4.1项的要求，否则由评标委员会作否决竞选处理。</w:t>
            </w:r>
          </w:p>
        </w:tc>
      </w:tr>
      <w:tr w14:paraId="38E91E3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noWrap w:val="0"/>
            <w:vAlign w:val="center"/>
          </w:tcPr>
          <w:p w14:paraId="106AA387">
            <w:pPr>
              <w:spacing w:line="400" w:lineRule="exact"/>
              <w:jc w:val="center"/>
              <w:rPr>
                <w:rFonts w:ascii="宋体" w:hAnsi="宋体"/>
                <w:szCs w:val="21"/>
              </w:rPr>
            </w:pPr>
          </w:p>
        </w:tc>
        <w:tc>
          <w:tcPr>
            <w:tcW w:w="1899" w:type="dxa"/>
            <w:vMerge w:val="continue"/>
            <w:noWrap w:val="0"/>
            <w:vAlign w:val="center"/>
          </w:tcPr>
          <w:p w14:paraId="1A47CE25">
            <w:pPr>
              <w:spacing w:line="400" w:lineRule="exact"/>
              <w:jc w:val="center"/>
              <w:rPr>
                <w:rFonts w:ascii="宋体" w:hAnsi="宋体"/>
                <w:szCs w:val="21"/>
              </w:rPr>
            </w:pPr>
          </w:p>
        </w:tc>
        <w:tc>
          <w:tcPr>
            <w:tcW w:w="6333" w:type="dxa"/>
            <w:noWrap w:val="0"/>
            <w:vAlign w:val="center"/>
          </w:tcPr>
          <w:p w14:paraId="5AEF0998">
            <w:pPr>
              <w:spacing w:line="400" w:lineRule="exact"/>
              <w:ind w:firstLine="420" w:firstLineChars="200"/>
              <w:rPr>
                <w:rFonts w:ascii="宋体" w:hAnsi="宋体"/>
                <w:szCs w:val="21"/>
              </w:rPr>
            </w:pPr>
            <w:r>
              <w:rPr>
                <w:rFonts w:hint="eastAsia" w:ascii="宋体" w:hAnsi="宋体"/>
                <w:szCs w:val="21"/>
              </w:rPr>
              <w:t>A-5竞选人的项目经理资格须满足竞选人须知前附表第1.4.1项的要求，否则由评标委员会作否决竞选处理（如有）。</w:t>
            </w:r>
          </w:p>
        </w:tc>
      </w:tr>
      <w:tr w14:paraId="4150E05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noWrap w:val="0"/>
            <w:vAlign w:val="center"/>
          </w:tcPr>
          <w:p w14:paraId="7F88E5CA">
            <w:pPr>
              <w:spacing w:line="400" w:lineRule="exact"/>
              <w:jc w:val="center"/>
              <w:rPr>
                <w:rFonts w:ascii="宋体" w:hAnsi="宋体"/>
                <w:szCs w:val="21"/>
              </w:rPr>
            </w:pPr>
          </w:p>
        </w:tc>
        <w:tc>
          <w:tcPr>
            <w:tcW w:w="1899" w:type="dxa"/>
            <w:vMerge w:val="continue"/>
            <w:noWrap w:val="0"/>
            <w:vAlign w:val="center"/>
          </w:tcPr>
          <w:p w14:paraId="130F601C">
            <w:pPr>
              <w:spacing w:line="400" w:lineRule="exact"/>
              <w:jc w:val="center"/>
              <w:rPr>
                <w:rFonts w:ascii="宋体" w:hAnsi="宋体"/>
                <w:szCs w:val="21"/>
              </w:rPr>
            </w:pPr>
          </w:p>
        </w:tc>
        <w:tc>
          <w:tcPr>
            <w:tcW w:w="6333" w:type="dxa"/>
            <w:noWrap w:val="0"/>
            <w:vAlign w:val="center"/>
          </w:tcPr>
          <w:p w14:paraId="7D9F7FC0">
            <w:pPr>
              <w:spacing w:line="400" w:lineRule="exact"/>
              <w:ind w:firstLine="420" w:firstLineChars="200"/>
              <w:rPr>
                <w:rFonts w:ascii="宋体" w:hAnsi="宋体"/>
                <w:szCs w:val="21"/>
              </w:rPr>
            </w:pPr>
            <w:r>
              <w:rPr>
                <w:rFonts w:hint="eastAsia" w:ascii="宋体" w:hAnsi="宋体"/>
                <w:szCs w:val="21"/>
              </w:rPr>
              <w:t>A-6竞选人的其他要求须满足竞选人须知前附表第1.4.1项的要求，否则由评标委员会作否决竞选处理。</w:t>
            </w:r>
          </w:p>
        </w:tc>
      </w:tr>
      <w:tr w14:paraId="713EE03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2144CB5C">
            <w:pPr>
              <w:spacing w:line="400" w:lineRule="exact"/>
              <w:jc w:val="center"/>
              <w:rPr>
                <w:rFonts w:ascii="宋体" w:hAnsi="宋体"/>
                <w:szCs w:val="21"/>
              </w:rPr>
            </w:pPr>
          </w:p>
        </w:tc>
        <w:tc>
          <w:tcPr>
            <w:tcW w:w="1899" w:type="dxa"/>
            <w:vMerge w:val="restart"/>
            <w:noWrap w:val="0"/>
            <w:vAlign w:val="center"/>
          </w:tcPr>
          <w:p w14:paraId="4FD46741">
            <w:pPr>
              <w:spacing w:line="400" w:lineRule="exact"/>
              <w:jc w:val="center"/>
              <w:rPr>
                <w:rFonts w:ascii="宋体" w:hAnsi="宋体"/>
                <w:szCs w:val="21"/>
              </w:rPr>
            </w:pPr>
            <w:r>
              <w:rPr>
                <w:rFonts w:hint="eastAsia" w:ascii="宋体" w:hAnsi="宋体"/>
                <w:szCs w:val="21"/>
              </w:rPr>
              <w:t>形式评审</w:t>
            </w:r>
          </w:p>
        </w:tc>
        <w:tc>
          <w:tcPr>
            <w:tcW w:w="6333" w:type="dxa"/>
            <w:noWrap w:val="0"/>
            <w:vAlign w:val="top"/>
          </w:tcPr>
          <w:p w14:paraId="469A6F7A">
            <w:pPr>
              <w:spacing w:line="400" w:lineRule="exact"/>
              <w:ind w:firstLine="420" w:firstLineChars="200"/>
              <w:rPr>
                <w:rFonts w:ascii="宋体" w:hAnsi="宋体"/>
                <w:szCs w:val="21"/>
              </w:rPr>
            </w:pPr>
            <w:r>
              <w:rPr>
                <w:rFonts w:hint="eastAsia" w:ascii="宋体" w:hAnsi="宋体"/>
                <w:szCs w:val="21"/>
              </w:rPr>
              <w:t>A-7竞选人名称必须与营业执照、资质证书、安全生产许可证一致，依法变更名称的应提交相应证明材料，</w:t>
            </w:r>
            <w:r>
              <w:rPr>
                <w:rFonts w:ascii="宋体" w:hAnsi="宋体"/>
                <w:szCs w:val="21"/>
              </w:rPr>
              <w:t>否则</w:t>
            </w:r>
            <w:r>
              <w:rPr>
                <w:rFonts w:hint="eastAsia" w:ascii="宋体" w:hAnsi="宋体"/>
                <w:szCs w:val="21"/>
              </w:rPr>
              <w:t>由评标委员会</w:t>
            </w:r>
            <w:r>
              <w:rPr>
                <w:rFonts w:ascii="宋体" w:hAnsi="宋体"/>
                <w:szCs w:val="21"/>
              </w:rPr>
              <w:t>作否决</w:t>
            </w:r>
            <w:r>
              <w:rPr>
                <w:rFonts w:hint="eastAsia" w:ascii="宋体" w:hAnsi="宋体"/>
                <w:szCs w:val="21"/>
              </w:rPr>
              <w:t>竞选</w:t>
            </w:r>
            <w:r>
              <w:rPr>
                <w:rFonts w:ascii="宋体" w:hAnsi="宋体"/>
                <w:szCs w:val="21"/>
              </w:rPr>
              <w:t>处理。</w:t>
            </w:r>
          </w:p>
        </w:tc>
      </w:tr>
      <w:tr w14:paraId="6B25A1B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508C46DC">
            <w:pPr>
              <w:spacing w:line="400" w:lineRule="exact"/>
              <w:jc w:val="center"/>
              <w:rPr>
                <w:rFonts w:ascii="宋体" w:hAnsi="宋体"/>
                <w:szCs w:val="21"/>
              </w:rPr>
            </w:pPr>
          </w:p>
        </w:tc>
        <w:tc>
          <w:tcPr>
            <w:tcW w:w="1899" w:type="dxa"/>
            <w:vMerge w:val="continue"/>
            <w:noWrap w:val="0"/>
            <w:vAlign w:val="center"/>
          </w:tcPr>
          <w:p w14:paraId="368EE4E7">
            <w:pPr>
              <w:spacing w:line="400" w:lineRule="exact"/>
              <w:jc w:val="center"/>
              <w:rPr>
                <w:rFonts w:ascii="宋体" w:hAnsi="宋体"/>
                <w:szCs w:val="21"/>
              </w:rPr>
            </w:pPr>
          </w:p>
        </w:tc>
        <w:tc>
          <w:tcPr>
            <w:tcW w:w="6333" w:type="dxa"/>
            <w:noWrap w:val="0"/>
            <w:vAlign w:val="top"/>
          </w:tcPr>
          <w:p w14:paraId="53C4DFF9">
            <w:pPr>
              <w:spacing w:line="400" w:lineRule="exact"/>
              <w:ind w:firstLine="420" w:firstLineChars="200"/>
              <w:rPr>
                <w:rFonts w:ascii="宋体" w:hAnsi="宋体"/>
                <w:szCs w:val="21"/>
              </w:rPr>
            </w:pPr>
            <w:r>
              <w:rPr>
                <w:rFonts w:hint="eastAsia" w:ascii="宋体" w:hAnsi="宋体"/>
                <w:szCs w:val="21"/>
              </w:rPr>
              <w:t>A-8竞选函格式规定签名、盖章的位置有法定代表人或其委托代理人签名（或盖章）、加盖单位法人章，否则由评标委员会作否决竞选处理。</w:t>
            </w:r>
          </w:p>
        </w:tc>
      </w:tr>
      <w:tr w14:paraId="5B15353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61321950">
            <w:pPr>
              <w:spacing w:line="400" w:lineRule="exact"/>
              <w:jc w:val="center"/>
              <w:rPr>
                <w:rFonts w:ascii="宋体" w:hAnsi="宋体"/>
                <w:szCs w:val="21"/>
              </w:rPr>
            </w:pPr>
          </w:p>
        </w:tc>
        <w:tc>
          <w:tcPr>
            <w:tcW w:w="1899" w:type="dxa"/>
            <w:vMerge w:val="continue"/>
            <w:noWrap w:val="0"/>
            <w:vAlign w:val="center"/>
          </w:tcPr>
          <w:p w14:paraId="794F824E">
            <w:pPr>
              <w:spacing w:line="400" w:lineRule="exact"/>
              <w:jc w:val="center"/>
              <w:rPr>
                <w:rFonts w:ascii="宋体" w:hAnsi="宋体"/>
                <w:szCs w:val="21"/>
              </w:rPr>
            </w:pPr>
          </w:p>
        </w:tc>
        <w:tc>
          <w:tcPr>
            <w:tcW w:w="6333" w:type="dxa"/>
            <w:noWrap w:val="0"/>
            <w:vAlign w:val="top"/>
          </w:tcPr>
          <w:p w14:paraId="6D54E68A">
            <w:pPr>
              <w:spacing w:line="400" w:lineRule="exact"/>
              <w:ind w:firstLine="420" w:firstLineChars="200"/>
              <w:rPr>
                <w:rFonts w:ascii="宋体" w:hAnsi="宋体"/>
                <w:szCs w:val="21"/>
              </w:rPr>
            </w:pPr>
            <w:r>
              <w:rPr>
                <w:rFonts w:hint="eastAsia" w:ascii="宋体" w:hAnsi="宋体"/>
                <w:szCs w:val="21"/>
              </w:rPr>
              <w:t>A-9竞选文件格式符合第二章“竞选人须知”第3.7款的要求，否则由评标委员会作否决竞选处理。</w:t>
            </w:r>
          </w:p>
          <w:p w14:paraId="05012274">
            <w:pPr>
              <w:spacing w:line="400" w:lineRule="exact"/>
              <w:ind w:firstLine="420" w:firstLineChars="200"/>
              <w:rPr>
                <w:rFonts w:ascii="宋体" w:hAnsi="宋体"/>
                <w:szCs w:val="21"/>
              </w:rPr>
            </w:pPr>
            <w:r>
              <w:rPr>
                <w:rFonts w:hint="eastAsia" w:ascii="宋体" w:hAnsi="宋体"/>
                <w:kern w:val="0"/>
                <w:szCs w:val="21"/>
              </w:rPr>
              <w:t>编制竞选文件时不得对第六章“竞选文件格式”的相应要素作实质性修改，否则由评标委员会作否决竞选处理。</w:t>
            </w:r>
          </w:p>
        </w:tc>
      </w:tr>
      <w:tr w14:paraId="70F5E56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32176CF4">
            <w:pPr>
              <w:spacing w:line="400" w:lineRule="exact"/>
              <w:jc w:val="center"/>
              <w:rPr>
                <w:rFonts w:ascii="宋体" w:hAnsi="宋体"/>
                <w:szCs w:val="21"/>
              </w:rPr>
            </w:pPr>
          </w:p>
        </w:tc>
        <w:tc>
          <w:tcPr>
            <w:tcW w:w="1899" w:type="dxa"/>
            <w:vMerge w:val="continue"/>
            <w:noWrap w:val="0"/>
            <w:vAlign w:val="center"/>
          </w:tcPr>
          <w:p w14:paraId="12774B5E">
            <w:pPr>
              <w:spacing w:line="400" w:lineRule="exact"/>
              <w:jc w:val="center"/>
              <w:rPr>
                <w:rFonts w:ascii="宋体" w:hAnsi="宋体"/>
                <w:szCs w:val="21"/>
              </w:rPr>
            </w:pPr>
          </w:p>
        </w:tc>
        <w:tc>
          <w:tcPr>
            <w:tcW w:w="6333" w:type="dxa"/>
            <w:noWrap w:val="0"/>
            <w:vAlign w:val="top"/>
          </w:tcPr>
          <w:p w14:paraId="30B3E404">
            <w:pPr>
              <w:autoSpaceDE w:val="0"/>
              <w:autoSpaceDN w:val="0"/>
              <w:adjustRightInd w:val="0"/>
              <w:snapToGrid w:val="0"/>
              <w:spacing w:line="400" w:lineRule="exact"/>
              <w:ind w:firstLine="420" w:firstLineChars="200"/>
              <w:rPr>
                <w:rFonts w:ascii="宋体" w:hAnsi="宋体"/>
                <w:i/>
                <w:szCs w:val="21"/>
              </w:rPr>
            </w:pPr>
            <w:r>
              <w:rPr>
                <w:rFonts w:hint="eastAsia" w:ascii="宋体" w:hAnsi="宋体"/>
                <w:szCs w:val="21"/>
              </w:rPr>
              <w:t>A-10竞选文件份数符合第二章“竞选人须知”第3.7.4项的规定，</w:t>
            </w:r>
            <w:r>
              <w:rPr>
                <w:rFonts w:hint="eastAsia" w:ascii="宋体" w:hAnsi="宋体"/>
                <w:kern w:val="0"/>
                <w:szCs w:val="21"/>
              </w:rPr>
              <w:t>否则由评标委员会作否决竞选处理。</w:t>
            </w:r>
          </w:p>
        </w:tc>
      </w:tr>
      <w:tr w14:paraId="0FA6E47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1289CE2B">
            <w:pPr>
              <w:spacing w:line="400" w:lineRule="exact"/>
              <w:jc w:val="center"/>
              <w:rPr>
                <w:rFonts w:ascii="宋体" w:hAnsi="宋体"/>
                <w:szCs w:val="21"/>
              </w:rPr>
            </w:pPr>
          </w:p>
        </w:tc>
        <w:tc>
          <w:tcPr>
            <w:tcW w:w="1899" w:type="dxa"/>
            <w:vMerge w:val="continue"/>
            <w:noWrap w:val="0"/>
            <w:vAlign w:val="center"/>
          </w:tcPr>
          <w:p w14:paraId="5ADD7931">
            <w:pPr>
              <w:spacing w:line="400" w:lineRule="exact"/>
              <w:jc w:val="center"/>
              <w:rPr>
                <w:rFonts w:ascii="宋体" w:hAnsi="宋体"/>
                <w:szCs w:val="21"/>
              </w:rPr>
            </w:pPr>
          </w:p>
        </w:tc>
        <w:tc>
          <w:tcPr>
            <w:tcW w:w="6333" w:type="dxa"/>
            <w:noWrap w:val="0"/>
            <w:vAlign w:val="top"/>
          </w:tcPr>
          <w:p w14:paraId="6C6F5CD1">
            <w:pPr>
              <w:spacing w:line="400" w:lineRule="exact"/>
              <w:ind w:firstLine="420" w:firstLineChars="200"/>
              <w:rPr>
                <w:rFonts w:ascii="宋体" w:hAnsi="宋体"/>
                <w:szCs w:val="21"/>
              </w:rPr>
            </w:pPr>
            <w:r>
              <w:rPr>
                <w:rFonts w:hint="eastAsia" w:ascii="宋体" w:hAnsi="宋体"/>
                <w:szCs w:val="21"/>
              </w:rPr>
              <w:t>A-11只能有一个有效报价。在比选文件没有规定的情况下，不得提交选择性报价，否则由评标委员会作否决竞选处理。</w:t>
            </w:r>
          </w:p>
        </w:tc>
      </w:tr>
      <w:tr w14:paraId="3F668B8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3530C0E2">
            <w:pPr>
              <w:spacing w:line="400" w:lineRule="exact"/>
              <w:jc w:val="center"/>
              <w:rPr>
                <w:rFonts w:ascii="宋体" w:hAnsi="宋体"/>
                <w:szCs w:val="21"/>
              </w:rPr>
            </w:pPr>
          </w:p>
        </w:tc>
        <w:tc>
          <w:tcPr>
            <w:tcW w:w="1899" w:type="dxa"/>
            <w:vMerge w:val="continue"/>
            <w:noWrap w:val="0"/>
            <w:vAlign w:val="center"/>
          </w:tcPr>
          <w:p w14:paraId="3FD9B65E">
            <w:pPr>
              <w:spacing w:line="400" w:lineRule="exact"/>
              <w:jc w:val="center"/>
              <w:rPr>
                <w:rFonts w:ascii="宋体" w:hAnsi="宋体"/>
                <w:szCs w:val="21"/>
              </w:rPr>
            </w:pPr>
          </w:p>
        </w:tc>
        <w:tc>
          <w:tcPr>
            <w:tcW w:w="6333" w:type="dxa"/>
            <w:noWrap w:val="0"/>
            <w:vAlign w:val="top"/>
          </w:tcPr>
          <w:p w14:paraId="3527A903">
            <w:pPr>
              <w:autoSpaceDE w:val="0"/>
              <w:autoSpaceDN w:val="0"/>
              <w:adjustRightInd w:val="0"/>
              <w:snapToGrid w:val="0"/>
              <w:spacing w:line="400" w:lineRule="exact"/>
              <w:ind w:firstLine="420" w:firstLineChars="200"/>
              <w:rPr>
                <w:rFonts w:ascii="宋体" w:hAnsi="宋体"/>
                <w:szCs w:val="21"/>
              </w:rPr>
            </w:pPr>
            <w:r>
              <w:rPr>
                <w:rFonts w:hint="eastAsia" w:ascii="宋体" w:hAnsi="宋体"/>
                <w:szCs w:val="21"/>
              </w:rPr>
              <w:t>A-12</w:t>
            </w:r>
            <w:r>
              <w:rPr>
                <w:rFonts w:hint="eastAsia" w:ascii="宋体" w:hAnsi="宋体" w:cs="宋体"/>
                <w:kern w:val="0"/>
              </w:rPr>
              <w:t>第六章 竞选文件格式要求法定代表人或其委托代理人签名（或盖章）的须齐全。</w:t>
            </w:r>
          </w:p>
        </w:tc>
      </w:tr>
      <w:tr w14:paraId="2292992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01DE9253">
            <w:pPr>
              <w:spacing w:line="400" w:lineRule="exact"/>
              <w:jc w:val="center"/>
              <w:rPr>
                <w:rFonts w:ascii="宋体" w:hAnsi="宋体"/>
                <w:szCs w:val="21"/>
              </w:rPr>
            </w:pPr>
          </w:p>
        </w:tc>
        <w:tc>
          <w:tcPr>
            <w:tcW w:w="1899" w:type="dxa"/>
            <w:vMerge w:val="continue"/>
            <w:noWrap w:val="0"/>
            <w:vAlign w:val="center"/>
          </w:tcPr>
          <w:p w14:paraId="6B706BA2">
            <w:pPr>
              <w:spacing w:line="400" w:lineRule="exact"/>
              <w:jc w:val="center"/>
              <w:rPr>
                <w:rFonts w:ascii="宋体" w:hAnsi="宋体"/>
                <w:szCs w:val="21"/>
              </w:rPr>
            </w:pPr>
          </w:p>
        </w:tc>
        <w:tc>
          <w:tcPr>
            <w:tcW w:w="6333" w:type="dxa"/>
            <w:noWrap w:val="0"/>
            <w:vAlign w:val="top"/>
          </w:tcPr>
          <w:p w14:paraId="6B678618">
            <w:pPr>
              <w:spacing w:line="400" w:lineRule="exact"/>
              <w:ind w:firstLine="420" w:firstLineChars="200"/>
              <w:rPr>
                <w:rFonts w:ascii="宋体" w:hAnsi="宋体"/>
                <w:szCs w:val="21"/>
              </w:rPr>
            </w:pPr>
            <w:r>
              <w:rPr>
                <w:rFonts w:hint="eastAsia" w:ascii="宋体" w:hAnsi="宋体"/>
                <w:szCs w:val="21"/>
              </w:rPr>
              <w:t>A-13竞选人法定代表人的委托代理人有法定代表人签署的授权委托书和竞选人为其缴纳的养老保险证明材料，否则由评标委员会作否决竞选处理。</w:t>
            </w:r>
          </w:p>
        </w:tc>
      </w:tr>
      <w:tr w14:paraId="36F0112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352F9A46">
            <w:pPr>
              <w:spacing w:line="400" w:lineRule="exact"/>
              <w:jc w:val="center"/>
              <w:rPr>
                <w:rFonts w:ascii="宋体" w:hAnsi="宋体"/>
                <w:szCs w:val="21"/>
              </w:rPr>
            </w:pPr>
          </w:p>
        </w:tc>
        <w:tc>
          <w:tcPr>
            <w:tcW w:w="1899" w:type="dxa"/>
            <w:vMerge w:val="restart"/>
            <w:noWrap w:val="0"/>
            <w:vAlign w:val="center"/>
          </w:tcPr>
          <w:p w14:paraId="09775FCE">
            <w:pPr>
              <w:spacing w:line="400" w:lineRule="exact"/>
              <w:jc w:val="center"/>
              <w:rPr>
                <w:rFonts w:ascii="宋体" w:hAnsi="宋体"/>
                <w:szCs w:val="21"/>
              </w:rPr>
            </w:pPr>
            <w:r>
              <w:rPr>
                <w:rFonts w:hint="eastAsia" w:ascii="宋体" w:hAnsi="宋体"/>
                <w:szCs w:val="21"/>
              </w:rPr>
              <w:t>响应性评审</w:t>
            </w:r>
          </w:p>
        </w:tc>
        <w:tc>
          <w:tcPr>
            <w:tcW w:w="6333" w:type="dxa"/>
            <w:noWrap w:val="0"/>
            <w:vAlign w:val="center"/>
          </w:tcPr>
          <w:p w14:paraId="5F8CF6D8">
            <w:pPr>
              <w:spacing w:line="400" w:lineRule="exact"/>
              <w:ind w:firstLine="420" w:firstLineChars="200"/>
              <w:rPr>
                <w:rFonts w:ascii="宋体" w:hAnsi="宋体"/>
                <w:szCs w:val="21"/>
              </w:rPr>
            </w:pPr>
            <w:r>
              <w:rPr>
                <w:rFonts w:hint="eastAsia" w:ascii="宋体" w:hAnsi="宋体"/>
                <w:szCs w:val="21"/>
              </w:rPr>
              <w:t>A-14</w:t>
            </w:r>
            <w:r>
              <w:rPr>
                <w:rFonts w:hint="eastAsia" w:ascii="宋体" w:hAnsi="宋体" w:cs="宋体"/>
                <w:szCs w:val="21"/>
              </w:rPr>
              <w:t>竞选总报价必须与已标价工程量清单总报价一致</w:t>
            </w:r>
            <w:r>
              <w:rPr>
                <w:rFonts w:hint="eastAsia" w:ascii="宋体" w:hAnsi="宋体"/>
                <w:szCs w:val="21"/>
              </w:rPr>
              <w:t>，否则由评标委员会作否决竞选处理。</w:t>
            </w:r>
          </w:p>
        </w:tc>
      </w:tr>
      <w:tr w14:paraId="5699FA2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56C85998">
            <w:pPr>
              <w:spacing w:line="400" w:lineRule="exact"/>
              <w:jc w:val="center"/>
              <w:rPr>
                <w:rFonts w:ascii="宋体" w:hAnsi="宋体"/>
                <w:szCs w:val="21"/>
              </w:rPr>
            </w:pPr>
          </w:p>
        </w:tc>
        <w:tc>
          <w:tcPr>
            <w:tcW w:w="1899" w:type="dxa"/>
            <w:vMerge w:val="continue"/>
            <w:noWrap w:val="0"/>
            <w:vAlign w:val="center"/>
          </w:tcPr>
          <w:p w14:paraId="52B844CC">
            <w:pPr>
              <w:spacing w:line="400" w:lineRule="exact"/>
              <w:jc w:val="center"/>
              <w:rPr>
                <w:rFonts w:ascii="宋体" w:hAnsi="宋体"/>
                <w:szCs w:val="21"/>
              </w:rPr>
            </w:pPr>
          </w:p>
        </w:tc>
        <w:tc>
          <w:tcPr>
            <w:tcW w:w="6333" w:type="dxa"/>
            <w:noWrap w:val="0"/>
            <w:vAlign w:val="center"/>
          </w:tcPr>
          <w:p w14:paraId="731C978B">
            <w:pPr>
              <w:spacing w:line="400" w:lineRule="exact"/>
              <w:ind w:firstLine="420" w:firstLineChars="200"/>
              <w:rPr>
                <w:rFonts w:hint="eastAsia" w:ascii="宋体" w:hAnsi="宋体"/>
                <w:szCs w:val="21"/>
              </w:rPr>
            </w:pPr>
            <w:r>
              <w:rPr>
                <w:rFonts w:hint="eastAsia" w:ascii="宋体" w:hAnsi="宋体"/>
                <w:szCs w:val="21"/>
              </w:rPr>
              <w:t>A-15竞选总报价不得高于比选人公布的竞选总报价最高限价，否则由评标委员会作否决竞选处理。</w:t>
            </w:r>
          </w:p>
          <w:p w14:paraId="0C1FC543">
            <w:pPr>
              <w:spacing w:line="400" w:lineRule="exact"/>
              <w:ind w:firstLine="420" w:firstLineChars="200"/>
            </w:pPr>
            <w:r>
              <w:rPr>
                <w:rFonts w:hint="eastAsia" w:ascii="宋体" w:hAnsi="宋体"/>
                <w:szCs w:val="21"/>
              </w:rPr>
              <w:t>本工程招标将设置全部工程量清单综合单价最高限价，竞选人的每项清单综合单价报价不得超过每项清单综合单价最高限价，否则由评标委员会作否决竞选处理。</w:t>
            </w:r>
          </w:p>
        </w:tc>
      </w:tr>
      <w:tr w14:paraId="5924CD9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555BEDB1">
            <w:pPr>
              <w:spacing w:line="400" w:lineRule="exact"/>
              <w:jc w:val="center"/>
              <w:rPr>
                <w:rFonts w:ascii="宋体" w:hAnsi="宋体"/>
                <w:szCs w:val="21"/>
              </w:rPr>
            </w:pPr>
          </w:p>
        </w:tc>
        <w:tc>
          <w:tcPr>
            <w:tcW w:w="1899" w:type="dxa"/>
            <w:vMerge w:val="continue"/>
            <w:noWrap w:val="0"/>
            <w:vAlign w:val="center"/>
          </w:tcPr>
          <w:p w14:paraId="7CC4A6CA">
            <w:pPr>
              <w:spacing w:line="400" w:lineRule="exact"/>
              <w:jc w:val="center"/>
              <w:rPr>
                <w:rFonts w:ascii="宋体" w:hAnsi="宋体"/>
                <w:szCs w:val="21"/>
              </w:rPr>
            </w:pPr>
          </w:p>
        </w:tc>
        <w:tc>
          <w:tcPr>
            <w:tcW w:w="6333" w:type="dxa"/>
            <w:noWrap w:val="0"/>
            <w:vAlign w:val="center"/>
          </w:tcPr>
          <w:p w14:paraId="79BAF29F">
            <w:pPr>
              <w:spacing w:line="400" w:lineRule="exact"/>
              <w:ind w:firstLine="420" w:firstLineChars="200"/>
            </w:pPr>
            <w:r>
              <w:rPr>
                <w:rFonts w:hint="eastAsia" w:ascii="宋体" w:hAnsi="宋体"/>
                <w:szCs w:val="21"/>
              </w:rPr>
              <w:t>A-16竞选总报价低于最高限价85%的，竞选人应在编制竞选文件时，在竞选函部分中递交低价风险担保提交承诺书。承诺书格式详见第六章竞选文件格式，否则由评标委员会作否决竞选处理。</w:t>
            </w:r>
          </w:p>
        </w:tc>
      </w:tr>
      <w:tr w14:paraId="1C45F74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5F6CDCC9">
            <w:pPr>
              <w:spacing w:line="400" w:lineRule="exact"/>
              <w:jc w:val="center"/>
              <w:rPr>
                <w:rFonts w:ascii="宋体" w:hAnsi="宋体"/>
                <w:szCs w:val="21"/>
              </w:rPr>
            </w:pPr>
          </w:p>
        </w:tc>
        <w:tc>
          <w:tcPr>
            <w:tcW w:w="1899" w:type="dxa"/>
            <w:vMerge w:val="continue"/>
            <w:noWrap w:val="0"/>
            <w:vAlign w:val="center"/>
          </w:tcPr>
          <w:p w14:paraId="23901E1A">
            <w:pPr>
              <w:spacing w:line="400" w:lineRule="exact"/>
              <w:jc w:val="center"/>
              <w:rPr>
                <w:rFonts w:ascii="宋体" w:hAnsi="宋体"/>
                <w:szCs w:val="21"/>
              </w:rPr>
            </w:pPr>
          </w:p>
        </w:tc>
        <w:tc>
          <w:tcPr>
            <w:tcW w:w="6333" w:type="dxa"/>
            <w:noWrap w:val="0"/>
            <w:vAlign w:val="center"/>
          </w:tcPr>
          <w:p w14:paraId="3F026A92">
            <w:pPr>
              <w:spacing w:line="400" w:lineRule="exact"/>
              <w:ind w:firstLine="420" w:firstLineChars="200"/>
              <w:rPr>
                <w:rFonts w:ascii="宋体" w:hAnsi="宋体"/>
                <w:szCs w:val="21"/>
              </w:rPr>
            </w:pPr>
            <w:r>
              <w:rPr>
                <w:rFonts w:hint="eastAsia" w:ascii="宋体" w:hAnsi="宋体"/>
                <w:szCs w:val="21"/>
              </w:rPr>
              <w:t>A-17暂列金额、暂估价、安全文明施工费等暂定金额必须按照比选文件给定的金额填报，否则由评标委员会作否决竞选处理。</w:t>
            </w:r>
          </w:p>
        </w:tc>
      </w:tr>
      <w:tr w14:paraId="0F61AC3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56D71BDF">
            <w:pPr>
              <w:spacing w:line="400" w:lineRule="exact"/>
              <w:jc w:val="center"/>
              <w:rPr>
                <w:rFonts w:ascii="宋体" w:hAnsi="宋体"/>
                <w:szCs w:val="21"/>
              </w:rPr>
            </w:pPr>
          </w:p>
        </w:tc>
        <w:tc>
          <w:tcPr>
            <w:tcW w:w="1899" w:type="dxa"/>
            <w:vMerge w:val="continue"/>
            <w:noWrap w:val="0"/>
            <w:vAlign w:val="center"/>
          </w:tcPr>
          <w:p w14:paraId="11320A09">
            <w:pPr>
              <w:spacing w:line="400" w:lineRule="exact"/>
              <w:jc w:val="center"/>
              <w:rPr>
                <w:rFonts w:ascii="宋体" w:hAnsi="宋体"/>
                <w:szCs w:val="21"/>
              </w:rPr>
            </w:pPr>
          </w:p>
        </w:tc>
        <w:tc>
          <w:tcPr>
            <w:tcW w:w="6333" w:type="dxa"/>
            <w:noWrap w:val="0"/>
            <w:vAlign w:val="center"/>
          </w:tcPr>
          <w:p w14:paraId="372A2DD0">
            <w:pPr>
              <w:spacing w:line="400" w:lineRule="exact"/>
              <w:ind w:firstLine="420" w:firstLineChars="200"/>
              <w:rPr>
                <w:rFonts w:ascii="宋体" w:hAnsi="宋体"/>
                <w:szCs w:val="21"/>
              </w:rPr>
            </w:pPr>
            <w:r>
              <w:rPr>
                <w:rFonts w:hint="eastAsia" w:ascii="宋体" w:hAnsi="宋体"/>
                <w:szCs w:val="21"/>
              </w:rPr>
              <w:t>A-18竞选内容符合第二章“竞选人须知”第1.3.1项规定，否则由评标委员会作否决竞选处理。</w:t>
            </w:r>
          </w:p>
        </w:tc>
      </w:tr>
      <w:tr w14:paraId="5C074EF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7EDF7168">
            <w:pPr>
              <w:spacing w:line="400" w:lineRule="exact"/>
              <w:jc w:val="center"/>
              <w:rPr>
                <w:rFonts w:ascii="宋体" w:hAnsi="宋体"/>
                <w:szCs w:val="21"/>
              </w:rPr>
            </w:pPr>
          </w:p>
        </w:tc>
        <w:tc>
          <w:tcPr>
            <w:tcW w:w="1899" w:type="dxa"/>
            <w:vMerge w:val="continue"/>
            <w:noWrap w:val="0"/>
            <w:vAlign w:val="center"/>
          </w:tcPr>
          <w:p w14:paraId="1B0B28AC">
            <w:pPr>
              <w:spacing w:line="400" w:lineRule="exact"/>
              <w:jc w:val="center"/>
              <w:rPr>
                <w:rFonts w:ascii="宋体" w:hAnsi="宋体"/>
                <w:szCs w:val="21"/>
              </w:rPr>
            </w:pPr>
          </w:p>
        </w:tc>
        <w:tc>
          <w:tcPr>
            <w:tcW w:w="6333" w:type="dxa"/>
            <w:noWrap w:val="0"/>
            <w:vAlign w:val="center"/>
          </w:tcPr>
          <w:p w14:paraId="33763F99">
            <w:pPr>
              <w:spacing w:line="400" w:lineRule="exact"/>
              <w:ind w:firstLine="420" w:firstLineChars="200"/>
              <w:rPr>
                <w:rFonts w:ascii="宋体" w:hAnsi="宋体"/>
                <w:szCs w:val="21"/>
              </w:rPr>
            </w:pPr>
            <w:r>
              <w:rPr>
                <w:rFonts w:hint="eastAsia" w:ascii="宋体" w:hAnsi="宋体"/>
                <w:szCs w:val="21"/>
              </w:rPr>
              <w:t>A-19工期符合第二章“竞选人须知”第1.3.2项规定，否则由评标委员会作否决竞选处理。</w:t>
            </w:r>
          </w:p>
        </w:tc>
      </w:tr>
      <w:tr w14:paraId="7B2F984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3987275C">
            <w:pPr>
              <w:spacing w:line="400" w:lineRule="exact"/>
              <w:jc w:val="center"/>
              <w:rPr>
                <w:rFonts w:ascii="宋体" w:hAnsi="宋体"/>
                <w:szCs w:val="21"/>
              </w:rPr>
            </w:pPr>
          </w:p>
        </w:tc>
        <w:tc>
          <w:tcPr>
            <w:tcW w:w="1899" w:type="dxa"/>
            <w:vMerge w:val="continue"/>
            <w:noWrap w:val="0"/>
            <w:vAlign w:val="center"/>
          </w:tcPr>
          <w:p w14:paraId="21DFD639">
            <w:pPr>
              <w:spacing w:line="400" w:lineRule="exact"/>
              <w:jc w:val="center"/>
              <w:rPr>
                <w:rFonts w:ascii="宋体" w:hAnsi="宋体"/>
                <w:szCs w:val="21"/>
              </w:rPr>
            </w:pPr>
          </w:p>
        </w:tc>
        <w:tc>
          <w:tcPr>
            <w:tcW w:w="6333" w:type="dxa"/>
            <w:noWrap w:val="0"/>
            <w:vAlign w:val="center"/>
          </w:tcPr>
          <w:p w14:paraId="3403FB55">
            <w:pPr>
              <w:spacing w:line="400" w:lineRule="exact"/>
              <w:ind w:firstLine="420" w:firstLineChars="200"/>
              <w:rPr>
                <w:rFonts w:ascii="宋体" w:hAnsi="宋体"/>
                <w:szCs w:val="21"/>
              </w:rPr>
            </w:pPr>
            <w:r>
              <w:rPr>
                <w:rFonts w:hint="eastAsia" w:ascii="宋体" w:hAnsi="宋体"/>
                <w:szCs w:val="21"/>
              </w:rPr>
              <w:t>A-20工程质量符合第二章“竞选人须知”第1.3.3项规定，否则由评标委员会作否决竞选处理。</w:t>
            </w:r>
          </w:p>
        </w:tc>
      </w:tr>
      <w:tr w14:paraId="2F94EF7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345F9902">
            <w:pPr>
              <w:spacing w:line="400" w:lineRule="exact"/>
              <w:jc w:val="center"/>
              <w:rPr>
                <w:rFonts w:ascii="宋体" w:hAnsi="宋体"/>
                <w:szCs w:val="21"/>
              </w:rPr>
            </w:pPr>
          </w:p>
        </w:tc>
        <w:tc>
          <w:tcPr>
            <w:tcW w:w="1899" w:type="dxa"/>
            <w:vMerge w:val="continue"/>
            <w:noWrap w:val="0"/>
            <w:vAlign w:val="center"/>
          </w:tcPr>
          <w:p w14:paraId="690E733F">
            <w:pPr>
              <w:spacing w:line="400" w:lineRule="exact"/>
              <w:jc w:val="center"/>
              <w:rPr>
                <w:rFonts w:ascii="宋体" w:hAnsi="宋体"/>
                <w:szCs w:val="21"/>
              </w:rPr>
            </w:pPr>
          </w:p>
        </w:tc>
        <w:tc>
          <w:tcPr>
            <w:tcW w:w="6333" w:type="dxa"/>
            <w:noWrap w:val="0"/>
            <w:vAlign w:val="center"/>
          </w:tcPr>
          <w:p w14:paraId="271E2352">
            <w:pPr>
              <w:spacing w:line="400" w:lineRule="exact"/>
              <w:ind w:firstLine="420" w:firstLineChars="200"/>
              <w:rPr>
                <w:rFonts w:ascii="宋体" w:hAnsi="宋体"/>
                <w:szCs w:val="21"/>
              </w:rPr>
            </w:pPr>
            <w:r>
              <w:rPr>
                <w:rFonts w:hint="eastAsia" w:ascii="宋体" w:hAnsi="宋体"/>
                <w:szCs w:val="21"/>
              </w:rPr>
              <w:t>A-21竞选有效期符合第二章“竞选人须知”第3.3.1项规定，否则由评标委员会作否决竞选处理。</w:t>
            </w:r>
          </w:p>
        </w:tc>
      </w:tr>
      <w:tr w14:paraId="7427BB7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1A358EAE">
            <w:pPr>
              <w:spacing w:line="400" w:lineRule="exact"/>
              <w:jc w:val="center"/>
              <w:rPr>
                <w:rFonts w:ascii="宋体" w:hAnsi="宋体"/>
                <w:szCs w:val="21"/>
              </w:rPr>
            </w:pPr>
          </w:p>
        </w:tc>
        <w:tc>
          <w:tcPr>
            <w:tcW w:w="1899" w:type="dxa"/>
            <w:vMerge w:val="continue"/>
            <w:noWrap w:val="0"/>
            <w:vAlign w:val="center"/>
          </w:tcPr>
          <w:p w14:paraId="48ED4E76">
            <w:pPr>
              <w:spacing w:line="400" w:lineRule="exact"/>
              <w:jc w:val="center"/>
              <w:rPr>
                <w:rFonts w:ascii="宋体" w:hAnsi="宋体"/>
                <w:szCs w:val="21"/>
              </w:rPr>
            </w:pPr>
          </w:p>
        </w:tc>
        <w:tc>
          <w:tcPr>
            <w:tcW w:w="6333" w:type="dxa"/>
            <w:noWrap w:val="0"/>
            <w:vAlign w:val="center"/>
          </w:tcPr>
          <w:p w14:paraId="462E7AEA">
            <w:pPr>
              <w:spacing w:line="400" w:lineRule="exact"/>
              <w:ind w:firstLine="420" w:firstLineChars="200"/>
              <w:rPr>
                <w:rFonts w:ascii="宋体" w:hAnsi="宋体"/>
                <w:szCs w:val="21"/>
              </w:rPr>
            </w:pPr>
            <w:r>
              <w:rPr>
                <w:rFonts w:hint="eastAsia" w:ascii="宋体" w:hAnsi="宋体"/>
                <w:szCs w:val="21"/>
              </w:rPr>
              <w:t>A-22竞选</w:t>
            </w:r>
            <w:r>
              <w:rPr>
                <w:rFonts w:ascii="宋体" w:hAnsi="宋体"/>
                <w:szCs w:val="21"/>
              </w:rPr>
              <w:t>人应按</w:t>
            </w:r>
            <w:r>
              <w:rPr>
                <w:rFonts w:hint="eastAsia" w:ascii="宋体" w:hAnsi="宋体"/>
                <w:szCs w:val="21"/>
              </w:rPr>
              <w:t>竞选</w:t>
            </w:r>
            <w:r>
              <w:rPr>
                <w:rFonts w:ascii="宋体" w:hAnsi="宋体"/>
                <w:szCs w:val="21"/>
              </w:rPr>
              <w:t>人须知前附表</w:t>
            </w:r>
            <w:r>
              <w:rPr>
                <w:rFonts w:hint="eastAsia" w:ascii="宋体" w:hAnsi="宋体"/>
                <w:szCs w:val="21"/>
              </w:rPr>
              <w:t>第3.4款的</w:t>
            </w:r>
            <w:r>
              <w:rPr>
                <w:rFonts w:ascii="宋体" w:hAnsi="宋体"/>
                <w:szCs w:val="21"/>
              </w:rPr>
              <w:t>规定递交</w:t>
            </w:r>
            <w:r>
              <w:rPr>
                <w:rFonts w:hint="eastAsia" w:ascii="宋体" w:hAnsi="宋体"/>
                <w:szCs w:val="21"/>
              </w:rPr>
              <w:t>竞选</w:t>
            </w:r>
            <w:r>
              <w:rPr>
                <w:rFonts w:ascii="宋体" w:hAnsi="宋体"/>
                <w:szCs w:val="21"/>
              </w:rPr>
              <w:t>保证金，并作为其</w:t>
            </w:r>
            <w:r>
              <w:rPr>
                <w:rFonts w:hint="eastAsia" w:ascii="宋体" w:hAnsi="宋体"/>
                <w:szCs w:val="21"/>
              </w:rPr>
              <w:t>竞选</w:t>
            </w:r>
            <w:r>
              <w:rPr>
                <w:rFonts w:ascii="宋体" w:hAnsi="宋体"/>
                <w:szCs w:val="21"/>
              </w:rPr>
              <w:t>文件的组成部分</w:t>
            </w:r>
            <w:r>
              <w:rPr>
                <w:rFonts w:hint="eastAsia" w:ascii="宋体" w:hAnsi="宋体"/>
                <w:szCs w:val="21"/>
              </w:rPr>
              <w:t>，</w:t>
            </w:r>
            <w:r>
              <w:rPr>
                <w:rFonts w:ascii="宋体" w:hAnsi="宋体"/>
                <w:szCs w:val="21"/>
              </w:rPr>
              <w:t>否则</w:t>
            </w:r>
            <w:r>
              <w:rPr>
                <w:rFonts w:hint="eastAsia" w:ascii="宋体" w:hAnsi="宋体"/>
                <w:szCs w:val="21"/>
              </w:rPr>
              <w:t>由评标委员会</w:t>
            </w:r>
            <w:r>
              <w:rPr>
                <w:rFonts w:ascii="宋体" w:hAnsi="宋体"/>
                <w:szCs w:val="21"/>
              </w:rPr>
              <w:t>作否决</w:t>
            </w:r>
            <w:r>
              <w:rPr>
                <w:rFonts w:hint="eastAsia" w:ascii="宋体" w:hAnsi="宋体"/>
                <w:szCs w:val="21"/>
              </w:rPr>
              <w:t>竞选</w:t>
            </w:r>
            <w:r>
              <w:rPr>
                <w:rFonts w:ascii="宋体" w:hAnsi="宋体"/>
                <w:szCs w:val="21"/>
              </w:rPr>
              <w:t>处理。</w:t>
            </w:r>
          </w:p>
        </w:tc>
      </w:tr>
      <w:tr w14:paraId="10D9194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43BDAF22">
            <w:pPr>
              <w:spacing w:line="400" w:lineRule="exact"/>
              <w:jc w:val="center"/>
              <w:rPr>
                <w:rFonts w:ascii="宋体" w:hAnsi="宋体"/>
                <w:szCs w:val="21"/>
              </w:rPr>
            </w:pPr>
          </w:p>
        </w:tc>
        <w:tc>
          <w:tcPr>
            <w:tcW w:w="1899" w:type="dxa"/>
            <w:vMerge w:val="continue"/>
            <w:noWrap w:val="0"/>
            <w:vAlign w:val="center"/>
          </w:tcPr>
          <w:p w14:paraId="11941616">
            <w:pPr>
              <w:spacing w:line="400" w:lineRule="exact"/>
              <w:jc w:val="center"/>
              <w:rPr>
                <w:rFonts w:ascii="宋体" w:hAnsi="宋体"/>
                <w:szCs w:val="21"/>
              </w:rPr>
            </w:pPr>
          </w:p>
        </w:tc>
        <w:tc>
          <w:tcPr>
            <w:tcW w:w="6333" w:type="dxa"/>
            <w:noWrap w:val="0"/>
            <w:vAlign w:val="center"/>
          </w:tcPr>
          <w:p w14:paraId="7F5539D1">
            <w:pPr>
              <w:spacing w:line="400" w:lineRule="exact"/>
              <w:ind w:firstLine="420" w:firstLineChars="200"/>
              <w:rPr>
                <w:rFonts w:ascii="宋体" w:hAnsi="宋体"/>
                <w:szCs w:val="21"/>
              </w:rPr>
            </w:pPr>
            <w:r>
              <w:rPr>
                <w:rFonts w:hint="eastAsia" w:ascii="宋体" w:hAnsi="宋体"/>
                <w:szCs w:val="21"/>
              </w:rPr>
              <w:t>A-23符合第四章“合同条款及格式”规定，竞选文件不应附有比选人不能接受的条件，否则由评标委员会作否决竞选处理。（由竞选人承诺，承诺书格式详见第六章竞选文件格式。）</w:t>
            </w:r>
          </w:p>
        </w:tc>
      </w:tr>
      <w:tr w14:paraId="46E466C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0E07BCF0">
            <w:pPr>
              <w:spacing w:line="400" w:lineRule="exact"/>
              <w:jc w:val="center"/>
              <w:rPr>
                <w:rFonts w:ascii="宋体" w:hAnsi="宋体"/>
                <w:szCs w:val="21"/>
              </w:rPr>
            </w:pPr>
          </w:p>
        </w:tc>
        <w:tc>
          <w:tcPr>
            <w:tcW w:w="1899" w:type="dxa"/>
            <w:vMerge w:val="continue"/>
            <w:noWrap w:val="0"/>
            <w:vAlign w:val="center"/>
          </w:tcPr>
          <w:p w14:paraId="69B915B4">
            <w:pPr>
              <w:spacing w:line="400" w:lineRule="exact"/>
              <w:jc w:val="center"/>
              <w:rPr>
                <w:rFonts w:ascii="宋体" w:hAnsi="宋体"/>
                <w:szCs w:val="21"/>
              </w:rPr>
            </w:pPr>
          </w:p>
        </w:tc>
        <w:tc>
          <w:tcPr>
            <w:tcW w:w="6333" w:type="dxa"/>
            <w:noWrap w:val="0"/>
            <w:vAlign w:val="center"/>
          </w:tcPr>
          <w:p w14:paraId="66C4A6A4">
            <w:pPr>
              <w:spacing w:line="400" w:lineRule="exact"/>
              <w:ind w:firstLine="420" w:firstLineChars="200"/>
              <w:rPr>
                <w:rFonts w:ascii="宋体" w:hAnsi="宋体"/>
                <w:szCs w:val="21"/>
              </w:rPr>
            </w:pPr>
            <w:r>
              <w:rPr>
                <w:rFonts w:hint="eastAsia" w:ascii="宋体" w:hAnsi="宋体"/>
                <w:szCs w:val="21"/>
              </w:rPr>
              <w:t>A-24竞选人提供的关于已标价工程量清单的承诺符合比选文件的要求，</w:t>
            </w:r>
            <w:r>
              <w:rPr>
                <w:rFonts w:ascii="宋体" w:hAnsi="宋体"/>
                <w:szCs w:val="21"/>
              </w:rPr>
              <w:t>否则</w:t>
            </w:r>
            <w:r>
              <w:rPr>
                <w:rFonts w:hint="eastAsia" w:ascii="宋体" w:hAnsi="宋体"/>
                <w:szCs w:val="21"/>
              </w:rPr>
              <w:t>由评标委员会</w:t>
            </w:r>
            <w:r>
              <w:rPr>
                <w:rFonts w:ascii="宋体" w:hAnsi="宋体"/>
                <w:szCs w:val="21"/>
              </w:rPr>
              <w:t>作否决</w:t>
            </w:r>
            <w:r>
              <w:rPr>
                <w:rFonts w:hint="eastAsia" w:ascii="宋体" w:hAnsi="宋体"/>
                <w:szCs w:val="21"/>
              </w:rPr>
              <w:t>竞选</w:t>
            </w:r>
            <w:r>
              <w:rPr>
                <w:rFonts w:ascii="宋体" w:hAnsi="宋体"/>
                <w:szCs w:val="21"/>
              </w:rPr>
              <w:t>处理。</w:t>
            </w:r>
          </w:p>
        </w:tc>
      </w:tr>
      <w:tr w14:paraId="22A2135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26913C0F">
            <w:pPr>
              <w:spacing w:line="400" w:lineRule="exact"/>
              <w:jc w:val="center"/>
              <w:rPr>
                <w:rFonts w:ascii="宋体" w:hAnsi="宋体"/>
                <w:szCs w:val="21"/>
              </w:rPr>
            </w:pPr>
          </w:p>
        </w:tc>
        <w:tc>
          <w:tcPr>
            <w:tcW w:w="1899" w:type="dxa"/>
            <w:vMerge w:val="continue"/>
            <w:noWrap w:val="0"/>
            <w:vAlign w:val="center"/>
          </w:tcPr>
          <w:p w14:paraId="29F17666">
            <w:pPr>
              <w:spacing w:line="400" w:lineRule="exact"/>
              <w:jc w:val="center"/>
              <w:rPr>
                <w:rFonts w:ascii="宋体" w:hAnsi="宋体"/>
                <w:szCs w:val="21"/>
              </w:rPr>
            </w:pPr>
          </w:p>
        </w:tc>
        <w:tc>
          <w:tcPr>
            <w:tcW w:w="6333" w:type="dxa"/>
            <w:noWrap w:val="0"/>
            <w:vAlign w:val="center"/>
          </w:tcPr>
          <w:p w14:paraId="73B772BF">
            <w:pPr>
              <w:spacing w:line="400" w:lineRule="exact"/>
              <w:ind w:firstLine="420" w:firstLineChars="200"/>
              <w:rPr>
                <w:rFonts w:ascii="宋体" w:hAnsi="宋体"/>
                <w:szCs w:val="21"/>
              </w:rPr>
            </w:pPr>
            <w:r>
              <w:rPr>
                <w:rFonts w:hint="eastAsia" w:ascii="宋体" w:hAnsi="宋体"/>
                <w:szCs w:val="21"/>
              </w:rPr>
              <w:t>A-25竞选报价有算术错误的，按照第三章“评标办法”第3.2.3项规定执行，否则由评标委员会作否决竞选处理。</w:t>
            </w:r>
          </w:p>
        </w:tc>
      </w:tr>
      <w:tr w14:paraId="34B3F3B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noWrap w:val="0"/>
            <w:vAlign w:val="center"/>
          </w:tcPr>
          <w:p w14:paraId="230DEFB0">
            <w:pPr>
              <w:spacing w:line="400" w:lineRule="exact"/>
              <w:jc w:val="center"/>
              <w:rPr>
                <w:rFonts w:ascii="宋体" w:hAnsi="宋体"/>
                <w:szCs w:val="21"/>
              </w:rPr>
            </w:pPr>
          </w:p>
        </w:tc>
        <w:tc>
          <w:tcPr>
            <w:tcW w:w="1899" w:type="dxa"/>
            <w:vMerge w:val="continue"/>
            <w:noWrap w:val="0"/>
            <w:vAlign w:val="center"/>
          </w:tcPr>
          <w:p w14:paraId="107C12E9">
            <w:pPr>
              <w:spacing w:line="400" w:lineRule="exact"/>
              <w:jc w:val="center"/>
              <w:rPr>
                <w:rFonts w:ascii="宋体" w:hAnsi="宋体"/>
                <w:szCs w:val="21"/>
              </w:rPr>
            </w:pPr>
          </w:p>
        </w:tc>
        <w:tc>
          <w:tcPr>
            <w:tcW w:w="6333" w:type="dxa"/>
            <w:noWrap w:val="0"/>
            <w:vAlign w:val="center"/>
          </w:tcPr>
          <w:p w14:paraId="2FD3B29B">
            <w:pPr>
              <w:spacing w:line="400" w:lineRule="exact"/>
              <w:ind w:firstLine="420" w:firstLineChars="200"/>
              <w:rPr>
                <w:rFonts w:ascii="宋体" w:hAnsi="宋体"/>
                <w:szCs w:val="21"/>
              </w:rPr>
            </w:pPr>
            <w:r>
              <w:rPr>
                <w:rFonts w:hint="eastAsia" w:ascii="宋体" w:hAnsi="宋体"/>
                <w:szCs w:val="21"/>
              </w:rPr>
              <w:t>A-26竞选人有以下情形之一的，其竞选文件由评标委员会</w:t>
            </w:r>
            <w:r>
              <w:rPr>
                <w:rFonts w:ascii="宋体" w:hAnsi="宋体"/>
                <w:szCs w:val="21"/>
              </w:rPr>
              <w:t>作否决</w:t>
            </w:r>
            <w:r>
              <w:rPr>
                <w:rFonts w:hint="eastAsia" w:ascii="宋体" w:hAnsi="宋体"/>
                <w:szCs w:val="21"/>
              </w:rPr>
              <w:t>竞选</w:t>
            </w:r>
            <w:r>
              <w:rPr>
                <w:rFonts w:ascii="宋体" w:hAnsi="宋体"/>
                <w:szCs w:val="21"/>
              </w:rPr>
              <w:t>处理</w:t>
            </w:r>
            <w:r>
              <w:rPr>
                <w:rFonts w:hint="eastAsia" w:ascii="宋体" w:hAnsi="宋体"/>
                <w:szCs w:val="21"/>
              </w:rPr>
              <w:t>：</w:t>
            </w:r>
          </w:p>
          <w:p w14:paraId="6B66B5DD">
            <w:pPr>
              <w:spacing w:line="400" w:lineRule="exact"/>
              <w:ind w:firstLine="420" w:firstLineChars="200"/>
              <w:rPr>
                <w:rFonts w:ascii="宋体" w:hAnsi="宋体"/>
                <w:szCs w:val="21"/>
              </w:rPr>
            </w:pPr>
            <w:r>
              <w:rPr>
                <w:rFonts w:hint="eastAsia" w:ascii="宋体" w:hAnsi="宋体"/>
                <w:szCs w:val="21"/>
              </w:rPr>
              <w:t>1.第二章“竞选人须知”第1.4.3项规定的任何一种情形的；</w:t>
            </w:r>
          </w:p>
          <w:p w14:paraId="7EA5AE3A">
            <w:pPr>
              <w:spacing w:line="400" w:lineRule="exact"/>
              <w:ind w:firstLine="420" w:firstLineChars="200"/>
              <w:rPr>
                <w:rFonts w:ascii="宋体" w:hAnsi="宋体"/>
                <w:szCs w:val="21"/>
              </w:rPr>
            </w:pPr>
            <w:r>
              <w:rPr>
                <w:rFonts w:hint="eastAsia" w:ascii="宋体" w:hAnsi="宋体"/>
                <w:szCs w:val="21"/>
              </w:rPr>
              <w:t>2.本次竞选有串通竞选、弄虚作假等违反招竞选相关法律、法规的行为的；</w:t>
            </w:r>
          </w:p>
          <w:p w14:paraId="4C7913CD">
            <w:pPr>
              <w:spacing w:line="400" w:lineRule="exact"/>
              <w:ind w:firstLine="420" w:firstLineChars="200"/>
              <w:rPr>
                <w:rFonts w:ascii="宋体" w:hAnsi="宋体"/>
                <w:szCs w:val="21"/>
              </w:rPr>
            </w:pPr>
            <w:r>
              <w:rPr>
                <w:rFonts w:hint="eastAsia" w:ascii="宋体" w:hAnsi="宋体"/>
                <w:szCs w:val="21"/>
              </w:rPr>
              <w:t>3.拒绝按评标委员会要求澄清、说明或补正的。</w:t>
            </w:r>
          </w:p>
        </w:tc>
      </w:tr>
      <w:tr w14:paraId="2FFADF5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noWrap w:val="0"/>
            <w:vAlign w:val="center"/>
          </w:tcPr>
          <w:p w14:paraId="501E4CDD">
            <w:pPr>
              <w:spacing w:line="400" w:lineRule="exact"/>
              <w:jc w:val="both"/>
              <w:rPr>
                <w:rFonts w:hint="default" w:ascii="宋体" w:hAnsi="宋体" w:eastAsia="宋体"/>
                <w:szCs w:val="21"/>
                <w:lang w:val="en-US" w:eastAsia="zh-CN"/>
              </w:rPr>
            </w:pPr>
          </w:p>
        </w:tc>
        <w:tc>
          <w:tcPr>
            <w:tcW w:w="1899" w:type="dxa"/>
            <w:noWrap w:val="0"/>
            <w:vAlign w:val="center"/>
          </w:tcPr>
          <w:p w14:paraId="5870D6C2">
            <w:pPr>
              <w:spacing w:line="400" w:lineRule="exact"/>
              <w:jc w:val="center"/>
              <w:rPr>
                <w:rFonts w:ascii="宋体" w:hAnsi="宋体"/>
                <w:szCs w:val="21"/>
              </w:rPr>
            </w:pPr>
            <w:r>
              <w:rPr>
                <w:rFonts w:hint="eastAsia" w:ascii="宋体" w:hAnsi="宋体"/>
                <w:szCs w:val="21"/>
              </w:rPr>
              <w:t>技术评审</w:t>
            </w:r>
          </w:p>
        </w:tc>
        <w:tc>
          <w:tcPr>
            <w:tcW w:w="6333" w:type="dxa"/>
            <w:noWrap w:val="0"/>
            <w:vAlign w:val="center"/>
          </w:tcPr>
          <w:p w14:paraId="02F69847">
            <w:pPr>
              <w:spacing w:line="400" w:lineRule="exact"/>
              <w:ind w:firstLine="420" w:firstLineChars="200"/>
              <w:rPr>
                <w:rFonts w:ascii="宋体" w:hAnsi="宋体"/>
                <w:i/>
                <w:szCs w:val="21"/>
              </w:rPr>
            </w:pPr>
            <w:r>
              <w:rPr>
                <w:rFonts w:hint="eastAsia" w:ascii="宋体" w:hAnsi="宋体"/>
                <w:szCs w:val="21"/>
              </w:rPr>
              <w:t>A-</w:t>
            </w:r>
            <w:r>
              <w:rPr>
                <w:rFonts w:hint="eastAsia" w:ascii="宋体" w:hAnsi="宋体"/>
                <w:szCs w:val="21"/>
                <w:lang w:val="en-US" w:eastAsia="zh-CN"/>
              </w:rPr>
              <w:t>27</w:t>
            </w:r>
            <w:r>
              <w:rPr>
                <w:rFonts w:hint="eastAsia" w:ascii="宋体" w:hAnsi="宋体"/>
                <w:szCs w:val="21"/>
              </w:rPr>
              <w:t>投标人的技术方案综合性评审不合格。其竞选文件由评标委员会</w:t>
            </w:r>
            <w:r>
              <w:rPr>
                <w:rFonts w:ascii="宋体" w:hAnsi="宋体"/>
                <w:szCs w:val="21"/>
              </w:rPr>
              <w:t>作否决</w:t>
            </w:r>
            <w:r>
              <w:rPr>
                <w:rFonts w:hint="eastAsia" w:ascii="宋体" w:hAnsi="宋体"/>
                <w:szCs w:val="21"/>
              </w:rPr>
              <w:t>竞选</w:t>
            </w:r>
            <w:r>
              <w:rPr>
                <w:rFonts w:ascii="宋体" w:hAnsi="宋体"/>
                <w:szCs w:val="21"/>
              </w:rPr>
              <w:t>处理</w:t>
            </w:r>
            <w:r>
              <w:rPr>
                <w:rFonts w:hint="eastAsia" w:ascii="宋体" w:hAnsi="宋体"/>
                <w:szCs w:val="21"/>
              </w:rPr>
              <w:t>。</w:t>
            </w:r>
          </w:p>
        </w:tc>
      </w:tr>
    </w:tbl>
    <w:p w14:paraId="76A4FFA9">
      <w:pPr>
        <w:spacing w:line="360" w:lineRule="auto"/>
        <w:jc w:val="center"/>
        <w:rPr>
          <w:rFonts w:hint="eastAsia" w:ascii="宋体" w:hAnsi="宋体"/>
          <w:b/>
          <w:sz w:val="44"/>
          <w:szCs w:val="44"/>
        </w:rPr>
        <w:sectPr>
          <w:headerReference r:id="rId6" w:type="default"/>
          <w:footerReference r:id="rId7" w:type="default"/>
          <w:pgSz w:w="11906" w:h="16838"/>
          <w:pgMar w:top="1304" w:right="1134" w:bottom="1304" w:left="1298" w:header="851" w:footer="992" w:gutter="0"/>
          <w:pgNumType w:chapStyle="1"/>
          <w:cols w:space="720" w:num="1"/>
          <w:docGrid w:type="lines" w:linePitch="312" w:charSpace="0"/>
        </w:sectPr>
      </w:pPr>
    </w:p>
    <w:bookmarkEnd w:id="177"/>
    <w:bookmarkEnd w:id="178"/>
    <w:bookmarkEnd w:id="179"/>
    <w:bookmarkEnd w:id="180"/>
    <w:p w14:paraId="0F422DE2">
      <w:pPr>
        <w:spacing w:line="360" w:lineRule="auto"/>
        <w:ind w:left="1058" w:hanging="1058" w:hangingChars="504"/>
        <w:rPr>
          <w:rFonts w:ascii="宋体" w:cs="宋体"/>
          <w:szCs w:val="21"/>
        </w:rPr>
      </w:pPr>
      <w:bookmarkStart w:id="218" w:name="_Toc238797658"/>
      <w:bookmarkStart w:id="219" w:name="_Toc238552296"/>
    </w:p>
    <w:p w14:paraId="41CB94AF">
      <w:pPr>
        <w:spacing w:line="360" w:lineRule="auto"/>
        <w:jc w:val="center"/>
        <w:outlineLvl w:val="0"/>
        <w:rPr>
          <w:rFonts w:ascii="宋体"/>
          <w:b/>
          <w:sz w:val="44"/>
          <w:szCs w:val="44"/>
        </w:rPr>
      </w:pPr>
      <w:bookmarkStart w:id="220" w:name="_Toc14257"/>
      <w:bookmarkStart w:id="221" w:name="_Toc73140366"/>
      <w:bookmarkStart w:id="222" w:name="_Toc22439"/>
      <w:bookmarkStart w:id="223" w:name="_Toc9403"/>
      <w:r>
        <w:rPr>
          <w:rFonts w:hint="eastAsia" w:ascii="宋体" w:hAnsi="宋体"/>
          <w:b/>
          <w:sz w:val="44"/>
          <w:szCs w:val="44"/>
        </w:rPr>
        <w:t>第四章 合同条款及格式</w:t>
      </w:r>
      <w:bookmarkEnd w:id="220"/>
      <w:bookmarkEnd w:id="221"/>
      <w:bookmarkEnd w:id="222"/>
      <w:bookmarkEnd w:id="223"/>
    </w:p>
    <w:p w14:paraId="5B49ED0E">
      <w:pPr>
        <w:pStyle w:val="41"/>
        <w:spacing w:before="0" w:after="0"/>
        <w:ind w:firstLine="1540" w:firstLineChars="350"/>
        <w:rPr>
          <w:rFonts w:hint="eastAsia" w:ascii="方正小标宋_GBK" w:eastAsia="方正小标宋_GBK"/>
          <w:sz w:val="44"/>
          <w:szCs w:val="44"/>
          <w:u w:val="single"/>
        </w:rPr>
      </w:pPr>
    </w:p>
    <w:p w14:paraId="67EE46D9">
      <w:pPr>
        <w:spacing w:line="360" w:lineRule="auto"/>
        <w:jc w:val="center"/>
        <w:rPr>
          <w:rFonts w:hint="eastAsia" w:ascii="宋体" w:hAnsi="宋体" w:eastAsia="宋体" w:cs="宋体"/>
          <w:color w:val="auto"/>
          <w:sz w:val="44"/>
          <w:szCs w:val="44"/>
          <w:highlight w:val="none"/>
        </w:rPr>
      </w:pPr>
      <w:r>
        <w:rPr>
          <w:rFonts w:hint="eastAsia" w:ascii="方正小标宋_GBK" w:eastAsia="方正小标宋_GBK"/>
          <w:sz w:val="44"/>
          <w:szCs w:val="44"/>
          <w:u w:val="single"/>
        </w:rPr>
        <w:br w:type="page"/>
      </w:r>
      <w:r>
        <w:rPr>
          <w:rFonts w:hint="eastAsia" w:ascii="宋体" w:hAnsi="宋体" w:eastAsia="宋体" w:cs="宋体"/>
          <w:color w:val="auto"/>
          <w:sz w:val="44"/>
          <w:szCs w:val="44"/>
          <w:highlight w:val="none"/>
        </w:rPr>
        <w:t>第一部分 合同协议书</w:t>
      </w:r>
    </w:p>
    <w:p w14:paraId="0677973D">
      <w:pPr>
        <w:snapToGrid w:val="0"/>
        <w:spacing w:line="400" w:lineRule="exact"/>
        <w:ind w:firstLine="422" w:firstLineChars="200"/>
        <w:rPr>
          <w:rFonts w:hint="eastAsia" w:ascii="宋体" w:hAnsi="宋体" w:eastAsia="宋体" w:cs="宋体"/>
          <w:b/>
          <w:color w:val="auto"/>
          <w:szCs w:val="21"/>
          <w:highlight w:val="none"/>
          <w:u w:val="single"/>
        </w:rPr>
      </w:pPr>
      <w:r>
        <w:rPr>
          <w:rFonts w:hint="eastAsia" w:ascii="宋体" w:hAnsi="宋体" w:eastAsia="宋体" w:cs="宋体"/>
          <w:b/>
          <w:color w:val="auto"/>
          <w:szCs w:val="21"/>
          <w:highlight w:val="none"/>
        </w:rPr>
        <w:t>发包人（全称）：</w:t>
      </w:r>
      <w:r>
        <w:rPr>
          <w:rFonts w:hint="eastAsia" w:ascii="宋体" w:hAnsi="宋体" w:eastAsia="宋体" w:cs="宋体"/>
          <w:color w:val="auto"/>
          <w:szCs w:val="21"/>
          <w:highlight w:val="none"/>
          <w:u w:val="single"/>
        </w:rPr>
        <w:t xml:space="preserve">                             </w:t>
      </w:r>
    </w:p>
    <w:p w14:paraId="14060958">
      <w:pPr>
        <w:snapToGrid w:val="0"/>
        <w:spacing w:line="400" w:lineRule="exact"/>
        <w:ind w:firstLine="422" w:firstLineChars="200"/>
        <w:rPr>
          <w:rFonts w:hint="eastAsia" w:ascii="宋体" w:hAnsi="宋体" w:eastAsia="宋体" w:cs="宋体"/>
          <w:b/>
          <w:color w:val="auto"/>
          <w:szCs w:val="21"/>
          <w:highlight w:val="none"/>
          <w:u w:val="single"/>
        </w:rPr>
      </w:pPr>
      <w:r>
        <w:rPr>
          <w:rFonts w:hint="eastAsia" w:ascii="宋体" w:hAnsi="宋体" w:eastAsia="宋体" w:cs="宋体"/>
          <w:b/>
          <w:color w:val="auto"/>
          <w:szCs w:val="21"/>
          <w:highlight w:val="none"/>
        </w:rPr>
        <w:t>承包人（全称）：</w:t>
      </w:r>
      <w:r>
        <w:rPr>
          <w:rFonts w:hint="eastAsia" w:ascii="宋体" w:hAnsi="宋体" w:eastAsia="宋体" w:cs="宋体"/>
          <w:color w:val="auto"/>
          <w:szCs w:val="21"/>
          <w:highlight w:val="none"/>
          <w:u w:val="single"/>
        </w:rPr>
        <w:t xml:space="preserve">                             </w:t>
      </w:r>
    </w:p>
    <w:p w14:paraId="6572ADC6">
      <w:pPr>
        <w:spacing w:line="400" w:lineRule="exact"/>
        <w:ind w:firstLine="420" w:firstLineChars="200"/>
        <w:rPr>
          <w:rFonts w:hint="eastAsia" w:ascii="宋体" w:hAnsi="宋体" w:eastAsia="宋体" w:cs="宋体"/>
          <w:b/>
          <w:color w:val="auto"/>
          <w:szCs w:val="21"/>
          <w:highlight w:val="none"/>
          <w:u w:val="single"/>
        </w:rPr>
      </w:pPr>
      <w:r>
        <w:rPr>
          <w:rFonts w:hint="eastAsia" w:ascii="宋体" w:hAnsi="宋体" w:eastAsia="宋体" w:cs="宋体"/>
          <w:color w:val="auto"/>
          <w:szCs w:val="21"/>
          <w:highlight w:val="none"/>
        </w:rPr>
        <w:t>根据《中华人民共和国民法典》、《中华人民共和国建筑法》及有关法律、法规规定，遵循平等、自愿、公平和诚实信用的原则，双方就</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工程施工及有关事项协商一致，共同达成如下协议：</w:t>
      </w:r>
    </w:p>
    <w:p w14:paraId="25FDC578">
      <w:pPr>
        <w:pStyle w:val="6"/>
        <w:keepNext/>
        <w:keepLines/>
        <w:spacing w:before="120" w:after="120" w:line="400" w:lineRule="exact"/>
        <w:ind w:firstLine="422" w:firstLineChars="200"/>
        <w:jc w:val="both"/>
        <w:rPr>
          <w:rFonts w:hint="eastAsia" w:ascii="宋体" w:hAnsi="宋体" w:eastAsia="宋体" w:cs="宋体"/>
          <w:color w:val="auto"/>
          <w:kern w:val="2"/>
          <w:sz w:val="21"/>
          <w:szCs w:val="21"/>
          <w:highlight w:val="none"/>
        </w:rPr>
      </w:pPr>
      <w:bookmarkStart w:id="224" w:name="_Toc532377166"/>
      <w:bookmarkStart w:id="225" w:name="_Toc532375573"/>
      <w:bookmarkStart w:id="226" w:name="_Toc351203481"/>
      <w:r>
        <w:rPr>
          <w:rFonts w:hint="eastAsia" w:ascii="宋体" w:hAnsi="宋体" w:eastAsia="宋体" w:cs="宋体"/>
          <w:color w:val="auto"/>
          <w:kern w:val="2"/>
          <w:sz w:val="21"/>
          <w:szCs w:val="21"/>
          <w:highlight w:val="none"/>
        </w:rPr>
        <w:t>一、工程概况</w:t>
      </w:r>
      <w:bookmarkEnd w:id="224"/>
      <w:bookmarkEnd w:id="225"/>
      <w:bookmarkEnd w:id="226"/>
    </w:p>
    <w:p w14:paraId="506B4AAE">
      <w:pPr>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bCs/>
          <w:color w:val="auto"/>
          <w:szCs w:val="21"/>
          <w:highlight w:val="none"/>
        </w:rPr>
        <w:t>1.工程名称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1BA70881">
      <w:pPr>
        <w:snapToGrid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2.工程地点：</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6E453C9B">
      <w:pPr>
        <w:snapToGrid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3.工程批准</w:t>
      </w:r>
      <w:r>
        <w:rPr>
          <w:rFonts w:hint="eastAsia" w:ascii="宋体" w:hAnsi="宋体" w:eastAsia="宋体" w:cs="宋体"/>
          <w:bCs/>
          <w:color w:val="auto"/>
          <w:szCs w:val="21"/>
          <w:highlight w:val="none"/>
          <w:lang w:eastAsia="zh-CN"/>
        </w:rPr>
        <w:t>文件</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      </w:t>
      </w:r>
      <w:r>
        <w:rPr>
          <w:rFonts w:hint="eastAsia" w:ascii="宋体" w:hAnsi="宋体" w:eastAsia="宋体" w:cs="宋体"/>
          <w:bCs/>
          <w:color w:val="auto"/>
          <w:szCs w:val="21"/>
          <w:highlight w:val="none"/>
        </w:rPr>
        <w:t>。</w:t>
      </w:r>
    </w:p>
    <w:p w14:paraId="3AAD9509">
      <w:pPr>
        <w:snapToGrid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4.资金来源：</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7B570FE0">
      <w:pPr>
        <w:snapToGrid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5.工程内容：</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09A4B06C">
      <w:pPr>
        <w:snapToGrid w:val="0"/>
        <w:spacing w:line="40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6.工程承包范围：</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747A8E00">
      <w:pPr>
        <w:pStyle w:val="6"/>
        <w:keepNext/>
        <w:keepLines/>
        <w:spacing w:before="120" w:after="120" w:line="400" w:lineRule="exact"/>
        <w:ind w:firstLine="422" w:firstLineChars="200"/>
        <w:jc w:val="both"/>
        <w:rPr>
          <w:rFonts w:hint="eastAsia" w:ascii="宋体" w:hAnsi="宋体" w:eastAsia="宋体" w:cs="宋体"/>
          <w:color w:val="auto"/>
          <w:kern w:val="2"/>
          <w:sz w:val="21"/>
          <w:szCs w:val="21"/>
          <w:highlight w:val="none"/>
        </w:rPr>
      </w:pPr>
      <w:bookmarkStart w:id="227" w:name="_Toc532377167"/>
      <w:bookmarkStart w:id="228" w:name="_Toc351203482"/>
      <w:bookmarkStart w:id="229" w:name="_Toc532375574"/>
      <w:r>
        <w:rPr>
          <w:rFonts w:hint="eastAsia" w:ascii="宋体" w:hAnsi="宋体" w:eastAsia="宋体" w:cs="宋体"/>
          <w:color w:val="auto"/>
          <w:kern w:val="2"/>
          <w:sz w:val="21"/>
          <w:szCs w:val="21"/>
          <w:highlight w:val="none"/>
        </w:rPr>
        <w:t>二、合同工期</w:t>
      </w:r>
      <w:bookmarkEnd w:id="227"/>
      <w:bookmarkEnd w:id="228"/>
      <w:bookmarkEnd w:id="229"/>
    </w:p>
    <w:p w14:paraId="1A4B4D63">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承包人竞选函中承诺的工期：</w:t>
      </w:r>
      <w:r>
        <w:rPr>
          <w:rFonts w:hint="eastAsia" w:ascii="宋体" w:hAnsi="宋体" w:eastAsia="宋体" w:cs="宋体"/>
          <w:bCs/>
          <w:color w:val="auto"/>
          <w:szCs w:val="21"/>
          <w:highlight w:val="none"/>
          <w:u w:val="single"/>
        </w:rPr>
        <w:t>日历</w:t>
      </w:r>
      <w:r>
        <w:rPr>
          <w:rFonts w:hint="eastAsia" w:ascii="宋体" w:hAnsi="宋体" w:eastAsia="宋体" w:cs="宋体"/>
          <w:bCs/>
          <w:color w:val="auto"/>
          <w:szCs w:val="21"/>
          <w:highlight w:val="none"/>
        </w:rPr>
        <w:t>天。</w:t>
      </w:r>
    </w:p>
    <w:p w14:paraId="48CD525A">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计划开工日期：</w:t>
      </w:r>
      <w:r>
        <w:rPr>
          <w:rFonts w:hint="eastAsia" w:ascii="宋体" w:hAnsi="宋体" w:eastAsia="宋体" w:cs="宋体"/>
          <w:bCs/>
          <w:color w:val="auto"/>
          <w:szCs w:val="21"/>
          <w:highlight w:val="none"/>
          <w:u w:val="single"/>
        </w:rPr>
        <w:t></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u w:val="single"/>
        </w:rPr>
        <w:t></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u w:val="single"/>
        </w:rPr>
        <w:t></w:t>
      </w:r>
      <w:r>
        <w:rPr>
          <w:rFonts w:hint="eastAsia" w:ascii="宋体" w:hAnsi="宋体" w:eastAsia="宋体" w:cs="宋体"/>
          <w:bCs/>
          <w:color w:val="auto"/>
          <w:szCs w:val="21"/>
          <w:highlight w:val="none"/>
        </w:rPr>
        <w:t>日，实际开工日期以发包人签发的工程开工通知明确的开工日期为准。</w:t>
      </w:r>
    </w:p>
    <w:p w14:paraId="2218D450">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计划</w:t>
      </w:r>
      <w:r>
        <w:rPr>
          <w:rFonts w:hint="eastAsia" w:ascii="宋体" w:hAnsi="宋体" w:eastAsia="宋体" w:cs="宋体"/>
          <w:bCs/>
          <w:color w:val="auto"/>
          <w:szCs w:val="21"/>
          <w:highlight w:val="none"/>
          <w:lang w:eastAsia="zh-CN"/>
        </w:rPr>
        <w:t>完工</w:t>
      </w:r>
      <w:r>
        <w:rPr>
          <w:rFonts w:hint="eastAsia" w:ascii="宋体" w:hAnsi="宋体" w:eastAsia="宋体" w:cs="宋体"/>
          <w:bCs/>
          <w:color w:val="auto"/>
          <w:szCs w:val="21"/>
          <w:highlight w:val="none"/>
        </w:rPr>
        <w:t>日期：</w:t>
      </w:r>
      <w:r>
        <w:rPr>
          <w:rFonts w:hint="eastAsia" w:ascii="宋体" w:hAnsi="宋体" w:eastAsia="宋体" w:cs="宋体"/>
          <w:bCs/>
          <w:color w:val="auto"/>
          <w:szCs w:val="21"/>
          <w:highlight w:val="none"/>
          <w:u w:val="single"/>
        </w:rPr>
        <w:t></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u w:val="single"/>
        </w:rPr>
        <w:t></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u w:val="single"/>
        </w:rPr>
        <w:t></w:t>
      </w:r>
      <w:r>
        <w:rPr>
          <w:rFonts w:hint="eastAsia" w:ascii="宋体" w:hAnsi="宋体" w:eastAsia="宋体" w:cs="宋体"/>
          <w:bCs/>
          <w:color w:val="auto"/>
          <w:szCs w:val="21"/>
          <w:highlight w:val="none"/>
        </w:rPr>
        <w:t>日，实际</w:t>
      </w:r>
      <w:r>
        <w:rPr>
          <w:rFonts w:hint="eastAsia" w:ascii="宋体" w:hAnsi="宋体" w:eastAsia="宋体" w:cs="宋体"/>
          <w:bCs/>
          <w:color w:val="auto"/>
          <w:szCs w:val="21"/>
          <w:highlight w:val="none"/>
          <w:lang w:eastAsia="zh-CN"/>
        </w:rPr>
        <w:t>完工</w:t>
      </w:r>
      <w:r>
        <w:rPr>
          <w:rFonts w:hint="eastAsia" w:ascii="宋体" w:hAnsi="宋体" w:eastAsia="宋体" w:cs="宋体"/>
          <w:bCs/>
          <w:color w:val="auto"/>
          <w:szCs w:val="21"/>
          <w:highlight w:val="none"/>
        </w:rPr>
        <w:t>日期以工程验收合格之日为准。</w:t>
      </w:r>
    </w:p>
    <w:p w14:paraId="2E8EF585">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工期总日历天数</w:t>
      </w:r>
      <w:r>
        <w:rPr>
          <w:rFonts w:hint="eastAsia" w:ascii="宋体" w:hAnsi="宋体" w:eastAsia="宋体" w:cs="宋体"/>
          <w:bCs/>
          <w:color w:val="auto"/>
          <w:szCs w:val="21"/>
          <w:highlight w:val="none"/>
          <w:u w:val="single"/>
        </w:rPr>
        <w:t></w:t>
      </w:r>
      <w:r>
        <w:rPr>
          <w:rFonts w:hint="eastAsia" w:ascii="宋体" w:hAnsi="宋体" w:eastAsia="宋体" w:cs="宋体"/>
          <w:bCs/>
          <w:color w:val="auto"/>
          <w:szCs w:val="21"/>
          <w:highlight w:val="none"/>
        </w:rPr>
        <w:t>天。工期总日历天数与根据前述计划开竣工日期计算的工期天数不一</w:t>
      </w:r>
      <w:r>
        <w:rPr>
          <w:rFonts w:hint="eastAsia" w:ascii="宋体" w:hAnsi="宋体" w:eastAsia="宋体" w:cs="宋体"/>
          <w:color w:val="auto"/>
          <w:szCs w:val="21"/>
          <w:highlight w:val="none"/>
        </w:rPr>
        <w:t>致的，以工期总日历天数为准。</w:t>
      </w:r>
    </w:p>
    <w:p w14:paraId="3D5CBDC5">
      <w:pPr>
        <w:pStyle w:val="6"/>
        <w:keepNext/>
        <w:keepLines/>
        <w:spacing w:before="120" w:after="120" w:line="400" w:lineRule="exact"/>
        <w:ind w:firstLine="422" w:firstLineChars="200"/>
        <w:jc w:val="both"/>
        <w:rPr>
          <w:rFonts w:hint="eastAsia" w:ascii="宋体" w:hAnsi="宋体" w:eastAsia="宋体" w:cs="宋体"/>
          <w:color w:val="auto"/>
          <w:kern w:val="2"/>
          <w:sz w:val="21"/>
          <w:szCs w:val="21"/>
          <w:highlight w:val="none"/>
        </w:rPr>
      </w:pPr>
      <w:bookmarkStart w:id="230" w:name="_Toc351203483"/>
      <w:bookmarkStart w:id="231" w:name="_Toc532375575"/>
      <w:bookmarkStart w:id="232" w:name="_Toc532377168"/>
      <w:r>
        <w:rPr>
          <w:rFonts w:hint="eastAsia" w:ascii="宋体" w:hAnsi="宋体" w:eastAsia="宋体" w:cs="宋体"/>
          <w:color w:val="auto"/>
          <w:kern w:val="2"/>
          <w:sz w:val="21"/>
          <w:szCs w:val="21"/>
          <w:highlight w:val="none"/>
        </w:rPr>
        <w:t>三、质量标准</w:t>
      </w:r>
      <w:bookmarkEnd w:id="230"/>
      <w:bookmarkEnd w:id="231"/>
      <w:bookmarkEnd w:id="232"/>
    </w:p>
    <w:p w14:paraId="6120F14A">
      <w:pPr>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工程质量符合强制性质量标准，</w:t>
      </w:r>
      <w:r>
        <w:rPr>
          <w:rFonts w:hint="eastAsia" w:ascii="宋体" w:hAnsi="宋体" w:eastAsia="宋体" w:cs="宋体"/>
          <w:color w:val="auto"/>
          <w:szCs w:val="21"/>
          <w:highlight w:val="none"/>
          <w:u w:val="single"/>
        </w:rPr>
        <w:t>符合国家和重庆市现行有关施工质量验收规范和标准要求，并达到合格</w:t>
      </w:r>
      <w:r>
        <w:rPr>
          <w:rFonts w:hint="eastAsia" w:ascii="宋体" w:hAnsi="宋体" w:eastAsia="宋体" w:cs="宋体"/>
          <w:color w:val="auto"/>
          <w:szCs w:val="21"/>
          <w:highlight w:val="none"/>
        </w:rPr>
        <w:t>标准。</w:t>
      </w:r>
    </w:p>
    <w:p w14:paraId="1184DD13">
      <w:pPr>
        <w:pStyle w:val="6"/>
        <w:keepNext/>
        <w:keepLines/>
        <w:spacing w:before="120" w:after="120" w:line="400" w:lineRule="exact"/>
        <w:ind w:firstLine="422" w:firstLineChars="200"/>
        <w:jc w:val="both"/>
        <w:rPr>
          <w:rFonts w:hint="eastAsia" w:ascii="宋体" w:hAnsi="宋体" w:eastAsia="宋体" w:cs="宋体"/>
          <w:color w:val="auto"/>
          <w:kern w:val="2"/>
          <w:sz w:val="21"/>
          <w:szCs w:val="21"/>
          <w:highlight w:val="none"/>
        </w:rPr>
      </w:pPr>
      <w:bookmarkStart w:id="233" w:name="_Toc532377169"/>
      <w:bookmarkStart w:id="234" w:name="_Toc351203484"/>
      <w:bookmarkStart w:id="235" w:name="_Toc532375576"/>
      <w:r>
        <w:rPr>
          <w:rFonts w:hint="eastAsia" w:ascii="宋体" w:hAnsi="宋体" w:eastAsia="宋体" w:cs="宋体"/>
          <w:color w:val="auto"/>
          <w:kern w:val="2"/>
          <w:sz w:val="21"/>
          <w:szCs w:val="21"/>
          <w:highlight w:val="none"/>
        </w:rPr>
        <w:t>四、签约合同价与合同价格形式</w:t>
      </w:r>
      <w:bookmarkEnd w:id="233"/>
      <w:bookmarkEnd w:id="234"/>
      <w:bookmarkEnd w:id="235"/>
      <w:r>
        <w:rPr>
          <w:rFonts w:hint="eastAsia" w:ascii="宋体" w:hAnsi="宋体" w:eastAsia="宋体" w:cs="宋体"/>
          <w:color w:val="auto"/>
          <w:kern w:val="2"/>
          <w:sz w:val="21"/>
          <w:szCs w:val="21"/>
          <w:highlight w:val="none"/>
        </w:rPr>
        <w:tab/>
      </w:r>
    </w:p>
    <w:p w14:paraId="09863F81">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1.承包人竞选函中承诺的中标价为：</w:t>
      </w:r>
    </w:p>
    <w:p w14:paraId="6188B13E">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人民币（大写）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p>
    <w:p w14:paraId="21DE6722">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2.签约合同价为：</w:t>
      </w:r>
    </w:p>
    <w:p w14:paraId="45BBAA51">
      <w:pPr>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人民币（大写）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p>
    <w:p w14:paraId="599CC0C1">
      <w:pPr>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其中：</w:t>
      </w:r>
    </w:p>
    <w:p w14:paraId="3D3FC8CC">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（1）安全文明施工费：</w:t>
      </w:r>
    </w:p>
    <w:p w14:paraId="086BC820">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人民币（大写）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p>
    <w:p w14:paraId="3F2F55B4">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3.合同价格形式：</w:t>
      </w:r>
      <w:r>
        <w:rPr>
          <w:rFonts w:hint="eastAsia" w:ascii="宋体" w:hAnsi="宋体" w:eastAsia="宋体" w:cs="宋体"/>
          <w:color w:val="auto"/>
          <w:szCs w:val="21"/>
          <w:highlight w:val="none"/>
          <w:u w:val="single"/>
        </w:rPr>
        <w:t xml:space="preserve"> 固定单价合同  </w:t>
      </w:r>
      <w:r>
        <w:rPr>
          <w:rFonts w:hint="eastAsia" w:ascii="宋体" w:hAnsi="宋体" w:eastAsia="宋体" w:cs="宋体"/>
          <w:color w:val="auto"/>
          <w:szCs w:val="21"/>
          <w:highlight w:val="none"/>
        </w:rPr>
        <w:t>。</w:t>
      </w:r>
    </w:p>
    <w:p w14:paraId="3DDD176F">
      <w:pPr>
        <w:pStyle w:val="6"/>
        <w:keepNext/>
        <w:keepLines/>
        <w:spacing w:before="120" w:after="120" w:line="400" w:lineRule="exact"/>
        <w:ind w:firstLine="422" w:firstLineChars="200"/>
        <w:jc w:val="both"/>
        <w:rPr>
          <w:rFonts w:hint="eastAsia" w:ascii="宋体" w:hAnsi="宋体" w:eastAsia="宋体" w:cs="宋体"/>
          <w:color w:val="auto"/>
          <w:kern w:val="2"/>
          <w:sz w:val="21"/>
          <w:szCs w:val="21"/>
          <w:highlight w:val="none"/>
        </w:rPr>
      </w:pPr>
      <w:bookmarkStart w:id="236" w:name="_Toc351203485"/>
      <w:bookmarkStart w:id="237" w:name="_Toc532377170"/>
      <w:bookmarkStart w:id="238" w:name="_Toc532375577"/>
      <w:r>
        <w:rPr>
          <w:rFonts w:hint="eastAsia" w:ascii="宋体" w:hAnsi="宋体" w:eastAsia="宋体" w:cs="宋体"/>
          <w:color w:val="auto"/>
          <w:kern w:val="2"/>
          <w:sz w:val="21"/>
          <w:szCs w:val="21"/>
          <w:highlight w:val="none"/>
        </w:rPr>
        <w:t>五、</w:t>
      </w:r>
      <w:bookmarkEnd w:id="236"/>
      <w:bookmarkEnd w:id="237"/>
      <w:bookmarkEnd w:id="238"/>
      <w:bookmarkStart w:id="239" w:name="_Toc532377171"/>
      <w:bookmarkStart w:id="240" w:name="_Toc351203486"/>
      <w:bookmarkStart w:id="241" w:name="_Toc532375578"/>
      <w:r>
        <w:rPr>
          <w:rFonts w:hint="eastAsia" w:ascii="宋体" w:hAnsi="宋体" w:eastAsia="宋体" w:cs="宋体"/>
          <w:color w:val="auto"/>
          <w:kern w:val="2"/>
          <w:sz w:val="21"/>
          <w:szCs w:val="21"/>
          <w:highlight w:val="none"/>
        </w:rPr>
        <w:t>合同文件构成</w:t>
      </w:r>
      <w:bookmarkEnd w:id="239"/>
      <w:bookmarkEnd w:id="240"/>
      <w:bookmarkEnd w:id="241"/>
    </w:p>
    <w:p w14:paraId="1DF3812E">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合同由以下文件构成： </w:t>
      </w:r>
    </w:p>
    <w:p w14:paraId="775FDFE8">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（1）合同协议书；</w:t>
      </w:r>
    </w:p>
    <w:p w14:paraId="37F0BA7B">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成交通知书</w:t>
      </w:r>
      <w:r>
        <w:rPr>
          <w:rFonts w:hint="eastAsia" w:ascii="宋体" w:hAnsi="宋体" w:eastAsia="宋体" w:cs="宋体"/>
          <w:color w:val="auto"/>
          <w:szCs w:val="21"/>
          <w:highlight w:val="none"/>
        </w:rPr>
        <w:t>；</w:t>
      </w:r>
    </w:p>
    <w:p w14:paraId="418D9185">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（3）竞选函及竞选函附录；</w:t>
      </w:r>
    </w:p>
    <w:p w14:paraId="62E46A0B">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（4）专用合同条款及其附件；</w:t>
      </w:r>
    </w:p>
    <w:p w14:paraId="744D0652">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（5）通用合同条款；</w:t>
      </w:r>
    </w:p>
    <w:p w14:paraId="72F57209">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（6）竞选文件（竞选函及竞选函附录除外）；</w:t>
      </w:r>
    </w:p>
    <w:p w14:paraId="02FE477E">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（7）比选文件及补遗文件；</w:t>
      </w:r>
    </w:p>
    <w:p w14:paraId="28E55E0E">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（8）技术标准和要求；</w:t>
      </w:r>
    </w:p>
    <w:p w14:paraId="3726FD74">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（9）其他合同文件。</w:t>
      </w:r>
    </w:p>
    <w:p w14:paraId="12753EC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在合同订立、履行过程中形成的与合同有关的书面形式的文件均构成合同文件组成部分。</w:t>
      </w:r>
    </w:p>
    <w:p w14:paraId="419A147F">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上述各项合同文件包括合同当事人就该项合同文件所作出的补充和修改，属于同一类内容的文件，应以最新签署的为准。专用合同条款及其附件须经合同当事人签名或盖章。。</w:t>
      </w:r>
    </w:p>
    <w:p w14:paraId="62104407">
      <w:pPr>
        <w:pStyle w:val="6"/>
        <w:keepNext/>
        <w:keepLines/>
        <w:spacing w:before="120" w:after="120" w:line="400" w:lineRule="exact"/>
        <w:ind w:firstLine="422" w:firstLineChars="200"/>
        <w:jc w:val="both"/>
        <w:rPr>
          <w:rFonts w:hint="eastAsia" w:ascii="宋体" w:hAnsi="宋体" w:eastAsia="宋体" w:cs="宋体"/>
          <w:color w:val="auto"/>
          <w:kern w:val="2"/>
          <w:sz w:val="21"/>
          <w:szCs w:val="21"/>
          <w:highlight w:val="none"/>
        </w:rPr>
      </w:pPr>
      <w:bookmarkStart w:id="242" w:name="_Toc532375579"/>
      <w:bookmarkStart w:id="243" w:name="_Toc532377172"/>
      <w:bookmarkStart w:id="244" w:name="_Toc351203487"/>
      <w:r>
        <w:rPr>
          <w:rFonts w:hint="eastAsia" w:ascii="宋体" w:hAnsi="宋体" w:eastAsia="宋体" w:cs="宋体"/>
          <w:color w:val="auto"/>
          <w:kern w:val="2"/>
          <w:sz w:val="21"/>
          <w:szCs w:val="21"/>
          <w:highlight w:val="none"/>
          <w:lang w:eastAsia="zh-CN"/>
        </w:rPr>
        <w:t>六</w:t>
      </w:r>
      <w:r>
        <w:rPr>
          <w:rFonts w:hint="eastAsia" w:ascii="宋体" w:hAnsi="宋体" w:eastAsia="宋体" w:cs="宋体"/>
          <w:color w:val="auto"/>
          <w:kern w:val="2"/>
          <w:sz w:val="21"/>
          <w:szCs w:val="21"/>
          <w:highlight w:val="none"/>
        </w:rPr>
        <w:t>、承诺</w:t>
      </w:r>
      <w:bookmarkEnd w:id="242"/>
      <w:bookmarkEnd w:id="243"/>
      <w:bookmarkEnd w:id="244"/>
    </w:p>
    <w:p w14:paraId="1F835615">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1.发包人承诺按照法律规定履行项目审批手续、筹集工程建设资金并按照合同约定的期限和方式支付合同价款。</w:t>
      </w:r>
    </w:p>
    <w:p w14:paraId="206C3BCE">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color w:val="auto"/>
          <w:szCs w:val="21"/>
          <w:highlight w:val="none"/>
        </w:rPr>
        <w:t>承包人承诺按照法律规定及合同约定组织完成工程施工，确保工程质量和安全，不进行转包及违法分包，并在缺陷责任期及保修期内承担相应的工程维修责任</w:t>
      </w:r>
      <w:r>
        <w:rPr>
          <w:rFonts w:hint="eastAsia" w:ascii="宋体" w:hAnsi="宋体" w:eastAsia="宋体" w:cs="宋体"/>
          <w:bCs/>
          <w:color w:val="auto"/>
          <w:szCs w:val="21"/>
          <w:highlight w:val="none"/>
        </w:rPr>
        <w:t>。</w:t>
      </w:r>
    </w:p>
    <w:p w14:paraId="6CC6494B">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3.发包人和承包人通过招投标形式签订合同的，双方理解并承诺不再就同一工程另行签订与合同实质性内容相背离的协议。</w:t>
      </w:r>
    </w:p>
    <w:p w14:paraId="0633AAEC">
      <w:pPr>
        <w:pStyle w:val="6"/>
        <w:keepNext/>
        <w:keepLines/>
        <w:spacing w:before="120" w:after="120" w:line="400" w:lineRule="exact"/>
        <w:ind w:firstLine="422" w:firstLineChars="200"/>
        <w:jc w:val="both"/>
        <w:rPr>
          <w:rFonts w:hint="eastAsia" w:ascii="宋体" w:hAnsi="宋体" w:eastAsia="宋体" w:cs="宋体"/>
          <w:color w:val="auto"/>
          <w:kern w:val="2"/>
          <w:sz w:val="21"/>
          <w:szCs w:val="21"/>
          <w:highlight w:val="none"/>
        </w:rPr>
      </w:pPr>
      <w:bookmarkStart w:id="245" w:name="_Toc532375580"/>
      <w:bookmarkStart w:id="246" w:name="_Toc532377173"/>
      <w:bookmarkStart w:id="247" w:name="_Toc351203488"/>
      <w:r>
        <w:rPr>
          <w:rFonts w:hint="eastAsia" w:ascii="宋体" w:hAnsi="宋体" w:eastAsia="宋体" w:cs="宋体"/>
          <w:color w:val="auto"/>
          <w:kern w:val="2"/>
          <w:sz w:val="21"/>
          <w:szCs w:val="21"/>
          <w:highlight w:val="none"/>
          <w:lang w:eastAsia="zh-CN"/>
        </w:rPr>
        <w:t>七</w:t>
      </w:r>
      <w:r>
        <w:rPr>
          <w:rFonts w:hint="eastAsia" w:ascii="宋体" w:hAnsi="宋体" w:eastAsia="宋体" w:cs="宋体"/>
          <w:color w:val="auto"/>
          <w:kern w:val="2"/>
          <w:sz w:val="21"/>
          <w:szCs w:val="21"/>
          <w:highlight w:val="none"/>
        </w:rPr>
        <w:t>、词语含义</w:t>
      </w:r>
      <w:bookmarkEnd w:id="245"/>
      <w:bookmarkEnd w:id="246"/>
      <w:bookmarkEnd w:id="247"/>
    </w:p>
    <w:p w14:paraId="2D43915A">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本协议书中词语含义与专用合同条款及通用合同条款中赋予的含义相同。</w:t>
      </w:r>
    </w:p>
    <w:p w14:paraId="1C73B8F8">
      <w:pPr>
        <w:pStyle w:val="6"/>
        <w:keepNext/>
        <w:keepLines/>
        <w:spacing w:before="120" w:after="120" w:line="400" w:lineRule="exact"/>
        <w:ind w:firstLine="422" w:firstLineChars="200"/>
        <w:jc w:val="both"/>
        <w:rPr>
          <w:rFonts w:hint="eastAsia" w:ascii="宋体" w:hAnsi="宋体" w:eastAsia="宋体" w:cs="宋体"/>
          <w:color w:val="auto"/>
          <w:kern w:val="2"/>
          <w:sz w:val="21"/>
          <w:szCs w:val="21"/>
          <w:highlight w:val="none"/>
        </w:rPr>
      </w:pPr>
      <w:bookmarkStart w:id="248" w:name="_Toc532375581"/>
      <w:bookmarkStart w:id="249" w:name="_Toc532377174"/>
      <w:r>
        <w:rPr>
          <w:rFonts w:hint="eastAsia" w:ascii="宋体" w:hAnsi="宋体" w:eastAsia="宋体" w:cs="宋体"/>
          <w:color w:val="auto"/>
          <w:kern w:val="2"/>
          <w:sz w:val="21"/>
          <w:szCs w:val="21"/>
          <w:highlight w:val="none"/>
          <w:lang w:eastAsia="zh-CN"/>
        </w:rPr>
        <w:t>八</w:t>
      </w:r>
      <w:r>
        <w:rPr>
          <w:rFonts w:hint="eastAsia" w:ascii="宋体" w:hAnsi="宋体" w:eastAsia="宋体" w:cs="宋体"/>
          <w:color w:val="auto"/>
          <w:kern w:val="2"/>
          <w:sz w:val="21"/>
          <w:szCs w:val="21"/>
          <w:highlight w:val="none"/>
        </w:rPr>
        <w:t>、签订时间</w:t>
      </w:r>
      <w:bookmarkEnd w:id="248"/>
      <w:bookmarkEnd w:id="249"/>
    </w:p>
    <w:p w14:paraId="1C2B2693">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合同于</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日签订</w:t>
      </w:r>
    </w:p>
    <w:p w14:paraId="54D82AFD">
      <w:pPr>
        <w:pStyle w:val="6"/>
        <w:keepNext/>
        <w:keepLines/>
        <w:spacing w:before="120" w:after="120" w:line="400" w:lineRule="exact"/>
        <w:ind w:firstLine="422" w:firstLineChars="200"/>
        <w:jc w:val="both"/>
        <w:rPr>
          <w:rFonts w:hint="eastAsia" w:ascii="宋体" w:hAnsi="宋体" w:eastAsia="宋体" w:cs="宋体"/>
          <w:color w:val="auto"/>
          <w:kern w:val="2"/>
          <w:sz w:val="21"/>
          <w:szCs w:val="21"/>
          <w:highlight w:val="none"/>
        </w:rPr>
      </w:pPr>
      <w:bookmarkStart w:id="250" w:name="_Toc351203489"/>
      <w:bookmarkStart w:id="251" w:name="_Toc532377175"/>
      <w:bookmarkStart w:id="252" w:name="_Toc532375582"/>
      <w:r>
        <w:rPr>
          <w:rFonts w:hint="eastAsia" w:ascii="宋体" w:hAnsi="宋体" w:eastAsia="宋体" w:cs="宋体"/>
          <w:color w:val="auto"/>
          <w:kern w:val="2"/>
          <w:sz w:val="21"/>
          <w:szCs w:val="21"/>
          <w:highlight w:val="none"/>
          <w:lang w:eastAsia="zh-CN"/>
        </w:rPr>
        <w:t>九</w:t>
      </w:r>
      <w:r>
        <w:rPr>
          <w:rFonts w:hint="eastAsia" w:ascii="宋体" w:hAnsi="宋体" w:eastAsia="宋体" w:cs="宋体"/>
          <w:color w:val="auto"/>
          <w:kern w:val="2"/>
          <w:sz w:val="21"/>
          <w:szCs w:val="21"/>
          <w:highlight w:val="none"/>
        </w:rPr>
        <w:t>、</w:t>
      </w:r>
      <w:bookmarkEnd w:id="250"/>
      <w:bookmarkStart w:id="253" w:name="_Toc351203490"/>
      <w:r>
        <w:rPr>
          <w:rFonts w:hint="eastAsia" w:ascii="宋体" w:hAnsi="宋体" w:eastAsia="宋体" w:cs="宋体"/>
          <w:color w:val="auto"/>
          <w:kern w:val="2"/>
          <w:sz w:val="21"/>
          <w:szCs w:val="21"/>
          <w:highlight w:val="none"/>
        </w:rPr>
        <w:t>签订地点</w:t>
      </w:r>
      <w:bookmarkEnd w:id="251"/>
      <w:bookmarkEnd w:id="252"/>
      <w:bookmarkEnd w:id="253"/>
    </w:p>
    <w:p w14:paraId="3A9F6B68">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合同在</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签订。</w:t>
      </w:r>
    </w:p>
    <w:p w14:paraId="6768FAFF">
      <w:pPr>
        <w:pStyle w:val="6"/>
        <w:keepNext/>
        <w:keepLines/>
        <w:spacing w:before="120" w:after="120" w:line="400" w:lineRule="exact"/>
        <w:ind w:firstLine="422" w:firstLineChars="200"/>
        <w:jc w:val="both"/>
        <w:rPr>
          <w:rFonts w:hint="eastAsia" w:ascii="宋体" w:hAnsi="宋体" w:eastAsia="宋体" w:cs="宋体"/>
          <w:color w:val="auto"/>
          <w:kern w:val="2"/>
          <w:sz w:val="21"/>
          <w:szCs w:val="21"/>
          <w:highlight w:val="none"/>
        </w:rPr>
      </w:pPr>
      <w:bookmarkStart w:id="254" w:name="_Toc351203491"/>
      <w:bookmarkStart w:id="255" w:name="_Toc532375583"/>
      <w:bookmarkStart w:id="256" w:name="_Toc532377176"/>
      <w:r>
        <w:rPr>
          <w:rFonts w:hint="eastAsia" w:ascii="宋体" w:hAnsi="宋体" w:eastAsia="宋体" w:cs="宋体"/>
          <w:color w:val="auto"/>
          <w:kern w:val="2"/>
          <w:sz w:val="21"/>
          <w:szCs w:val="21"/>
          <w:highlight w:val="none"/>
        </w:rPr>
        <w:t>十、补充协议</w:t>
      </w:r>
      <w:bookmarkEnd w:id="254"/>
      <w:bookmarkEnd w:id="255"/>
      <w:bookmarkEnd w:id="256"/>
    </w:p>
    <w:p w14:paraId="54C756A0">
      <w:pPr>
        <w:spacing w:line="400" w:lineRule="exact"/>
        <w:ind w:firstLine="420" w:firstLineChars="200"/>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rPr>
        <w:t>合同未尽事宜，合同当事人另行签订补充协议，补充协议是合同的组成部分。</w:t>
      </w:r>
    </w:p>
    <w:p w14:paraId="69E78FBF">
      <w:pPr>
        <w:pStyle w:val="6"/>
        <w:keepNext/>
        <w:keepLines/>
        <w:spacing w:before="120" w:after="120" w:line="400" w:lineRule="exact"/>
        <w:ind w:firstLine="422" w:firstLineChars="200"/>
        <w:jc w:val="both"/>
        <w:rPr>
          <w:rFonts w:hint="eastAsia" w:ascii="宋体" w:hAnsi="宋体" w:eastAsia="宋体" w:cs="宋体"/>
          <w:color w:val="auto"/>
          <w:kern w:val="2"/>
          <w:sz w:val="21"/>
          <w:szCs w:val="21"/>
          <w:highlight w:val="none"/>
        </w:rPr>
      </w:pPr>
      <w:bookmarkStart w:id="257" w:name="_Toc351203492"/>
      <w:bookmarkStart w:id="258" w:name="_Toc532375584"/>
      <w:bookmarkStart w:id="259" w:name="_Toc532377177"/>
      <w:r>
        <w:rPr>
          <w:rFonts w:hint="eastAsia" w:ascii="宋体" w:hAnsi="宋体" w:eastAsia="宋体" w:cs="宋体"/>
          <w:color w:val="auto"/>
          <w:kern w:val="2"/>
          <w:sz w:val="21"/>
          <w:szCs w:val="21"/>
          <w:highlight w:val="none"/>
        </w:rPr>
        <w:t>十</w:t>
      </w:r>
      <w:r>
        <w:rPr>
          <w:rFonts w:hint="eastAsia" w:ascii="宋体" w:hAnsi="宋体" w:eastAsia="宋体" w:cs="宋体"/>
          <w:color w:val="auto"/>
          <w:kern w:val="2"/>
          <w:sz w:val="21"/>
          <w:szCs w:val="21"/>
          <w:highlight w:val="none"/>
          <w:lang w:eastAsia="zh-CN"/>
        </w:rPr>
        <w:t>一</w:t>
      </w:r>
      <w:r>
        <w:rPr>
          <w:rFonts w:hint="eastAsia" w:ascii="宋体" w:hAnsi="宋体" w:eastAsia="宋体" w:cs="宋体"/>
          <w:color w:val="auto"/>
          <w:kern w:val="2"/>
          <w:sz w:val="21"/>
          <w:szCs w:val="21"/>
          <w:highlight w:val="none"/>
        </w:rPr>
        <w:t>、合同生效</w:t>
      </w:r>
      <w:bookmarkEnd w:id="257"/>
      <w:bookmarkEnd w:id="258"/>
      <w:bookmarkEnd w:id="259"/>
    </w:p>
    <w:p w14:paraId="2585EE0E">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合同在以下条件全部满足之后生效：</w:t>
      </w:r>
    </w:p>
    <w:p w14:paraId="2C7BF96B">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1.合同</w:t>
      </w:r>
      <w:r>
        <w:rPr>
          <w:rFonts w:hint="eastAsia" w:ascii="宋体" w:hAnsi="宋体" w:eastAsia="宋体" w:cs="宋体"/>
          <w:color w:val="auto"/>
          <w:szCs w:val="21"/>
          <w:highlight w:val="none"/>
        </w:rPr>
        <w:t>经双方法定代表人或其委托代理人签字并加盖</w:t>
      </w:r>
      <w:r>
        <w:rPr>
          <w:rFonts w:hint="eastAsia" w:ascii="宋体" w:hAnsi="宋体" w:eastAsia="宋体" w:cs="宋体"/>
          <w:snapToGrid w:val="0"/>
          <w:color w:val="auto"/>
          <w:kern w:val="0"/>
          <w:szCs w:val="21"/>
          <w:highlight w:val="none"/>
        </w:rPr>
        <w:t>公章或合同专用章</w:t>
      </w:r>
      <w:r>
        <w:rPr>
          <w:rFonts w:hint="eastAsia" w:ascii="宋体" w:hAnsi="宋体" w:eastAsia="宋体" w:cs="宋体"/>
          <w:color w:val="auto"/>
          <w:szCs w:val="21"/>
          <w:highlight w:val="none"/>
        </w:rPr>
        <w:t>；</w:t>
      </w:r>
    </w:p>
    <w:p w14:paraId="223D7696">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4361947D">
      <w:pPr>
        <w:pStyle w:val="6"/>
        <w:keepNext/>
        <w:keepLines/>
        <w:spacing w:before="120" w:after="120" w:line="400" w:lineRule="exact"/>
        <w:ind w:firstLine="422" w:firstLineChars="200"/>
        <w:jc w:val="both"/>
        <w:rPr>
          <w:rFonts w:hint="eastAsia" w:ascii="宋体" w:hAnsi="宋体" w:eastAsia="宋体" w:cs="宋体"/>
          <w:color w:val="auto"/>
          <w:kern w:val="2"/>
          <w:sz w:val="21"/>
          <w:szCs w:val="21"/>
          <w:highlight w:val="none"/>
        </w:rPr>
      </w:pPr>
      <w:bookmarkStart w:id="260" w:name="_Toc532375585"/>
      <w:bookmarkStart w:id="261" w:name="_Toc351203493"/>
      <w:bookmarkStart w:id="262" w:name="_Toc532377178"/>
      <w:r>
        <w:rPr>
          <w:rFonts w:hint="eastAsia" w:ascii="宋体" w:hAnsi="宋体" w:eastAsia="宋体" w:cs="宋体"/>
          <w:color w:val="auto"/>
          <w:kern w:val="2"/>
          <w:sz w:val="21"/>
          <w:szCs w:val="21"/>
          <w:highlight w:val="none"/>
        </w:rPr>
        <w:t>十</w:t>
      </w:r>
      <w:r>
        <w:rPr>
          <w:rFonts w:hint="eastAsia" w:ascii="宋体" w:hAnsi="宋体" w:eastAsia="宋体" w:cs="宋体"/>
          <w:color w:val="auto"/>
          <w:kern w:val="2"/>
          <w:sz w:val="21"/>
          <w:szCs w:val="21"/>
          <w:highlight w:val="none"/>
          <w:lang w:eastAsia="zh-CN"/>
        </w:rPr>
        <w:t>二</w:t>
      </w:r>
      <w:r>
        <w:rPr>
          <w:rFonts w:hint="eastAsia" w:ascii="宋体" w:hAnsi="宋体" w:eastAsia="宋体" w:cs="宋体"/>
          <w:color w:val="auto"/>
          <w:kern w:val="2"/>
          <w:sz w:val="21"/>
          <w:szCs w:val="21"/>
          <w:highlight w:val="none"/>
        </w:rPr>
        <w:t>、合同份数</w:t>
      </w:r>
      <w:bookmarkEnd w:id="260"/>
      <w:bookmarkEnd w:id="261"/>
      <w:bookmarkEnd w:id="262"/>
    </w:p>
    <w:p w14:paraId="60EC68D9">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合同一式</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份，其中正本</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份，双方各持</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份，副本</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份，双方各执</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份。副本与正本不一致时，以正本为准。</w:t>
      </w:r>
    </w:p>
    <w:p w14:paraId="44ED86FD">
      <w:pPr>
        <w:spacing w:line="400" w:lineRule="exact"/>
        <w:ind w:firstLine="420" w:firstLineChars="200"/>
        <w:rPr>
          <w:rFonts w:hint="eastAsia" w:ascii="宋体" w:hAnsi="宋体" w:eastAsia="宋体" w:cs="宋体"/>
          <w:bCs/>
          <w:color w:val="auto"/>
          <w:szCs w:val="21"/>
          <w:highlight w:val="none"/>
        </w:rPr>
      </w:pPr>
    </w:p>
    <w:p w14:paraId="6B956FC9">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（以下为签字盖章页）。</w:t>
      </w:r>
    </w:p>
    <w:p w14:paraId="07F5DBC3">
      <w:pPr>
        <w:adjustRightInd w:val="0"/>
        <w:spacing w:line="360" w:lineRule="auto"/>
        <w:ind w:firstLine="420" w:firstLineChars="200"/>
        <w:rPr>
          <w:rFonts w:hint="eastAsia" w:ascii="宋体" w:hAnsi="宋体" w:eastAsia="宋体" w:cs="宋体"/>
          <w:snapToGrid w:val="0"/>
          <w:color w:val="auto"/>
          <w:kern w:val="0"/>
          <w:szCs w:val="21"/>
          <w:highlight w:val="none"/>
        </w:rPr>
      </w:pPr>
      <w:bookmarkStart w:id="263" w:name="_Toc467689623"/>
      <w:r>
        <w:rPr>
          <w:rFonts w:hint="eastAsia" w:ascii="宋体" w:hAnsi="宋体" w:eastAsia="宋体" w:cs="宋体"/>
          <w:snapToGrid w:val="0"/>
          <w:color w:val="auto"/>
          <w:kern w:val="0"/>
          <w:szCs w:val="21"/>
          <w:highlight w:val="none"/>
        </w:rPr>
        <w:t>发包人：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w:t>
      </w:r>
      <w:r>
        <w:rPr>
          <w:rFonts w:hint="eastAsia" w:ascii="宋体" w:hAnsi="宋体" w:eastAsia="宋体" w:cs="宋体"/>
          <w:snapToGrid w:val="0"/>
          <w:color w:val="auto"/>
          <w:kern w:val="0"/>
          <w:szCs w:val="21"/>
          <w:highlight w:val="none"/>
          <w:lang w:val="en-US" w:eastAsia="zh-CN"/>
        </w:rPr>
        <w:t>盖单位</w:t>
      </w:r>
      <w:r>
        <w:rPr>
          <w:rFonts w:hint="eastAsia" w:ascii="宋体" w:hAnsi="宋体" w:eastAsia="宋体" w:cs="宋体"/>
          <w:snapToGrid w:val="0"/>
          <w:color w:val="auto"/>
          <w:kern w:val="0"/>
          <w:szCs w:val="21"/>
          <w:highlight w:val="none"/>
        </w:rPr>
        <w:t>公章或合同专用章）</w:t>
      </w:r>
    </w:p>
    <w:p w14:paraId="0B4C5C24">
      <w:pPr>
        <w:spacing w:line="360" w:lineRule="auto"/>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法定代表人或其委托代理人：</w:t>
      </w:r>
      <w:r>
        <w:rPr>
          <w:rFonts w:hint="eastAsia" w:ascii="宋体" w:hAnsi="宋体" w:eastAsia="宋体" w:cs="宋体"/>
          <w:snapToGrid w:val="0"/>
          <w:color w:val="auto"/>
          <w:w w:val="200"/>
          <w:kern w:val="0"/>
          <w:szCs w:val="21"/>
          <w:highlight w:val="none"/>
          <w:u w:val="single"/>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（签名）</w:t>
      </w:r>
    </w:p>
    <w:p w14:paraId="74FB3AC0">
      <w:pPr>
        <w:spacing w:line="360" w:lineRule="auto"/>
        <w:ind w:firstLine="420" w:firstLineChars="200"/>
        <w:rPr>
          <w:rFonts w:hint="eastAsia" w:ascii="宋体" w:hAnsi="宋体" w:eastAsia="宋体" w:cs="宋体"/>
          <w:snapToGrid w:val="0"/>
          <w:color w:val="auto"/>
          <w:kern w:val="0"/>
          <w:szCs w:val="21"/>
          <w:highlight w:val="none"/>
          <w:u w:val="single"/>
        </w:rPr>
      </w:pPr>
      <w:r>
        <w:rPr>
          <w:rFonts w:hint="eastAsia" w:ascii="宋体" w:hAnsi="宋体" w:eastAsia="宋体" w:cs="宋体"/>
          <w:snapToGrid w:val="0"/>
          <w:color w:val="auto"/>
          <w:kern w:val="0"/>
          <w:szCs w:val="21"/>
          <w:highlight w:val="none"/>
        </w:rPr>
        <w:t>地    址：</w:t>
      </w:r>
      <w:r>
        <w:rPr>
          <w:rFonts w:hint="eastAsia" w:ascii="宋体" w:hAnsi="宋体" w:eastAsia="宋体" w:cs="宋体"/>
          <w:snapToGrid w:val="0"/>
          <w:color w:val="auto"/>
          <w:w w:val="200"/>
          <w:kern w:val="0"/>
          <w:szCs w:val="21"/>
          <w:highlight w:val="none"/>
          <w:u w:val="single"/>
        </w:rPr>
        <w:t xml:space="preserve"> </w:t>
      </w:r>
      <w:r>
        <w:rPr>
          <w:rFonts w:hint="eastAsia" w:ascii="宋体" w:hAnsi="宋体" w:eastAsia="宋体" w:cs="宋体"/>
          <w:snapToGrid w:val="0"/>
          <w:color w:val="auto"/>
          <w:kern w:val="0"/>
          <w:szCs w:val="21"/>
          <w:highlight w:val="none"/>
          <w:u w:val="single"/>
        </w:rPr>
        <w:t xml:space="preserve">                                  </w:t>
      </w:r>
    </w:p>
    <w:p w14:paraId="549A1356">
      <w:pPr>
        <w:spacing w:line="360" w:lineRule="auto"/>
        <w:ind w:firstLine="420" w:firstLineChars="200"/>
        <w:rPr>
          <w:rFonts w:hint="eastAsia" w:ascii="宋体" w:hAnsi="宋体" w:eastAsia="宋体" w:cs="宋体"/>
          <w:snapToGrid w:val="0"/>
          <w:color w:val="auto"/>
          <w:kern w:val="0"/>
          <w:szCs w:val="21"/>
          <w:highlight w:val="none"/>
          <w:u w:val="single"/>
        </w:rPr>
      </w:pPr>
      <w:r>
        <w:rPr>
          <w:rFonts w:hint="eastAsia" w:ascii="宋体" w:hAnsi="宋体" w:eastAsia="宋体" w:cs="宋体"/>
          <w:snapToGrid w:val="0"/>
          <w:color w:val="auto"/>
          <w:kern w:val="0"/>
          <w:szCs w:val="21"/>
          <w:highlight w:val="none"/>
        </w:rPr>
        <w:t>电    话：</w:t>
      </w:r>
      <w:r>
        <w:rPr>
          <w:rFonts w:hint="eastAsia" w:ascii="宋体" w:hAnsi="宋体" w:eastAsia="宋体" w:cs="宋体"/>
          <w:snapToGrid w:val="0"/>
          <w:color w:val="auto"/>
          <w:w w:val="200"/>
          <w:kern w:val="0"/>
          <w:szCs w:val="21"/>
          <w:highlight w:val="none"/>
          <w:u w:val="single"/>
        </w:rPr>
        <w:t xml:space="preserve"> </w:t>
      </w:r>
      <w:r>
        <w:rPr>
          <w:rFonts w:hint="eastAsia" w:ascii="宋体" w:hAnsi="宋体" w:eastAsia="宋体" w:cs="宋体"/>
          <w:snapToGrid w:val="0"/>
          <w:color w:val="auto"/>
          <w:kern w:val="0"/>
          <w:szCs w:val="21"/>
          <w:highlight w:val="none"/>
          <w:u w:val="single"/>
        </w:rPr>
        <w:t xml:space="preserve">                                  </w:t>
      </w:r>
    </w:p>
    <w:p w14:paraId="491222F7">
      <w:pPr>
        <w:spacing w:line="400" w:lineRule="exact"/>
        <w:rPr>
          <w:rFonts w:hint="eastAsia" w:ascii="宋体" w:hAnsi="宋体" w:eastAsia="宋体" w:cs="宋体"/>
          <w:snapToGrid w:val="0"/>
          <w:color w:val="auto"/>
          <w:kern w:val="0"/>
          <w:szCs w:val="21"/>
          <w:highlight w:val="none"/>
        </w:rPr>
      </w:pPr>
    </w:p>
    <w:p w14:paraId="5CC6F34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snapToGrid w:val="0"/>
          <w:color w:val="auto"/>
          <w:kern w:val="0"/>
          <w:szCs w:val="21"/>
          <w:highlight w:val="none"/>
        </w:rPr>
        <w:t>承包人：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w:t>
      </w:r>
      <w:r>
        <w:rPr>
          <w:rFonts w:hint="eastAsia" w:ascii="宋体" w:hAnsi="宋体" w:eastAsia="宋体" w:cs="宋体"/>
          <w:snapToGrid w:val="0"/>
          <w:color w:val="auto"/>
          <w:kern w:val="0"/>
          <w:szCs w:val="21"/>
          <w:highlight w:val="none"/>
          <w:lang w:val="en-US" w:eastAsia="zh-CN"/>
        </w:rPr>
        <w:t>盖单位</w:t>
      </w:r>
      <w:r>
        <w:rPr>
          <w:rFonts w:hint="eastAsia" w:ascii="宋体" w:hAnsi="宋体" w:eastAsia="宋体" w:cs="宋体"/>
          <w:snapToGrid w:val="0"/>
          <w:color w:val="auto"/>
          <w:kern w:val="0"/>
          <w:szCs w:val="21"/>
          <w:highlight w:val="none"/>
        </w:rPr>
        <w:t>公章或合同专用章）</w:t>
      </w:r>
    </w:p>
    <w:p w14:paraId="3289BDA0">
      <w:pPr>
        <w:spacing w:line="360" w:lineRule="auto"/>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法定代表人或其委托代理人：</w:t>
      </w:r>
      <w:r>
        <w:rPr>
          <w:rFonts w:hint="eastAsia" w:ascii="宋体" w:hAnsi="宋体" w:eastAsia="宋体" w:cs="宋体"/>
          <w:snapToGrid w:val="0"/>
          <w:color w:val="auto"/>
          <w:w w:val="200"/>
          <w:kern w:val="0"/>
          <w:szCs w:val="21"/>
          <w:highlight w:val="none"/>
          <w:u w:val="single"/>
        </w:rPr>
        <w:t xml:space="preserve">          </w:t>
      </w:r>
      <w:r>
        <w:rPr>
          <w:rFonts w:hint="eastAsia" w:ascii="宋体" w:hAnsi="宋体" w:eastAsia="宋体" w:cs="宋体"/>
          <w:snapToGrid w:val="0"/>
          <w:color w:val="auto"/>
          <w:kern w:val="0"/>
          <w:szCs w:val="21"/>
          <w:highlight w:val="none"/>
        </w:rPr>
        <w:t>（签名）</w:t>
      </w:r>
    </w:p>
    <w:p w14:paraId="1FA1DF4B">
      <w:pPr>
        <w:spacing w:line="360" w:lineRule="auto"/>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统一社会信用代码：</w:t>
      </w:r>
      <w:r>
        <w:rPr>
          <w:rFonts w:hint="eastAsia" w:ascii="宋体" w:hAnsi="宋体" w:eastAsia="宋体" w:cs="宋体"/>
          <w:snapToGrid w:val="0"/>
          <w:color w:val="auto"/>
          <w:w w:val="200"/>
          <w:kern w:val="0"/>
          <w:szCs w:val="21"/>
          <w:highlight w:val="none"/>
          <w:u w:val="single"/>
        </w:rPr>
        <w:t xml:space="preserve"> </w:t>
      </w:r>
      <w:r>
        <w:rPr>
          <w:rFonts w:hint="eastAsia" w:ascii="宋体" w:hAnsi="宋体" w:eastAsia="宋体" w:cs="宋体"/>
          <w:snapToGrid w:val="0"/>
          <w:color w:val="auto"/>
          <w:kern w:val="0"/>
          <w:szCs w:val="21"/>
          <w:highlight w:val="none"/>
          <w:u w:val="single"/>
        </w:rPr>
        <w:t xml:space="preserve">                          </w:t>
      </w:r>
    </w:p>
    <w:p w14:paraId="7FFE6680">
      <w:pPr>
        <w:spacing w:line="360" w:lineRule="auto"/>
        <w:ind w:firstLine="420" w:firstLineChars="200"/>
        <w:rPr>
          <w:rFonts w:hint="eastAsia" w:ascii="宋体" w:hAnsi="宋体" w:eastAsia="宋体" w:cs="宋体"/>
          <w:snapToGrid w:val="0"/>
          <w:color w:val="auto"/>
          <w:kern w:val="0"/>
          <w:szCs w:val="21"/>
          <w:highlight w:val="none"/>
          <w:u w:val="single"/>
        </w:rPr>
      </w:pPr>
      <w:r>
        <w:rPr>
          <w:rFonts w:hint="eastAsia" w:ascii="宋体" w:hAnsi="宋体" w:eastAsia="宋体" w:cs="宋体"/>
          <w:snapToGrid w:val="0"/>
          <w:color w:val="auto"/>
          <w:kern w:val="0"/>
          <w:szCs w:val="21"/>
          <w:highlight w:val="none"/>
        </w:rPr>
        <w:t>纳税人识别号：</w:t>
      </w:r>
      <w:r>
        <w:rPr>
          <w:rFonts w:hint="eastAsia" w:ascii="宋体" w:hAnsi="宋体" w:eastAsia="宋体" w:cs="宋体"/>
          <w:snapToGrid w:val="0"/>
          <w:color w:val="auto"/>
          <w:w w:val="200"/>
          <w:kern w:val="0"/>
          <w:szCs w:val="21"/>
          <w:highlight w:val="none"/>
          <w:u w:val="single"/>
        </w:rPr>
        <w:t xml:space="preserve"> </w:t>
      </w:r>
      <w:r>
        <w:rPr>
          <w:rFonts w:hint="eastAsia" w:ascii="宋体" w:hAnsi="宋体" w:eastAsia="宋体" w:cs="宋体"/>
          <w:snapToGrid w:val="0"/>
          <w:color w:val="auto"/>
          <w:kern w:val="0"/>
          <w:szCs w:val="21"/>
          <w:highlight w:val="none"/>
          <w:u w:val="single"/>
        </w:rPr>
        <w:t xml:space="preserve">                              </w:t>
      </w:r>
    </w:p>
    <w:p w14:paraId="44B21665">
      <w:pPr>
        <w:spacing w:line="360" w:lineRule="auto"/>
        <w:ind w:firstLine="420" w:firstLineChars="200"/>
        <w:rPr>
          <w:rFonts w:hint="eastAsia" w:ascii="宋体" w:hAnsi="宋体" w:eastAsia="宋体" w:cs="宋体"/>
          <w:snapToGrid w:val="0"/>
          <w:color w:val="auto"/>
          <w:kern w:val="0"/>
          <w:szCs w:val="21"/>
          <w:highlight w:val="none"/>
          <w:u w:val="single"/>
        </w:rPr>
      </w:pPr>
      <w:r>
        <w:rPr>
          <w:rFonts w:hint="eastAsia" w:ascii="宋体" w:hAnsi="宋体" w:eastAsia="宋体" w:cs="宋体"/>
          <w:snapToGrid w:val="0"/>
          <w:color w:val="auto"/>
          <w:kern w:val="0"/>
          <w:szCs w:val="21"/>
          <w:highlight w:val="none"/>
        </w:rPr>
        <w:t>地    址：</w:t>
      </w:r>
      <w:r>
        <w:rPr>
          <w:rFonts w:hint="eastAsia" w:ascii="宋体" w:hAnsi="宋体" w:eastAsia="宋体" w:cs="宋体"/>
          <w:snapToGrid w:val="0"/>
          <w:color w:val="auto"/>
          <w:w w:val="200"/>
          <w:kern w:val="0"/>
          <w:szCs w:val="21"/>
          <w:highlight w:val="none"/>
          <w:u w:val="single"/>
        </w:rPr>
        <w:t xml:space="preserve"> </w:t>
      </w:r>
      <w:r>
        <w:rPr>
          <w:rFonts w:hint="eastAsia" w:ascii="宋体" w:hAnsi="宋体" w:eastAsia="宋体" w:cs="宋体"/>
          <w:snapToGrid w:val="0"/>
          <w:color w:val="auto"/>
          <w:kern w:val="0"/>
          <w:szCs w:val="21"/>
          <w:highlight w:val="none"/>
          <w:u w:val="single"/>
        </w:rPr>
        <w:t xml:space="preserve">                                  </w:t>
      </w:r>
    </w:p>
    <w:p w14:paraId="5727CB94">
      <w:pPr>
        <w:spacing w:line="360" w:lineRule="auto"/>
        <w:ind w:firstLine="420" w:firstLineChars="200"/>
        <w:rPr>
          <w:rFonts w:hint="eastAsia" w:ascii="宋体" w:hAnsi="宋体" w:eastAsia="宋体" w:cs="宋体"/>
          <w:snapToGrid w:val="0"/>
          <w:color w:val="auto"/>
          <w:kern w:val="0"/>
          <w:szCs w:val="21"/>
          <w:highlight w:val="none"/>
          <w:u w:val="single"/>
        </w:rPr>
      </w:pPr>
      <w:r>
        <w:rPr>
          <w:rFonts w:hint="eastAsia" w:ascii="宋体" w:hAnsi="宋体" w:eastAsia="宋体" w:cs="宋体"/>
          <w:snapToGrid w:val="0"/>
          <w:color w:val="auto"/>
          <w:kern w:val="0"/>
          <w:szCs w:val="21"/>
          <w:highlight w:val="none"/>
        </w:rPr>
        <w:t>电    话：</w:t>
      </w:r>
      <w:r>
        <w:rPr>
          <w:rFonts w:hint="eastAsia" w:ascii="宋体" w:hAnsi="宋体" w:eastAsia="宋体" w:cs="宋体"/>
          <w:snapToGrid w:val="0"/>
          <w:color w:val="auto"/>
          <w:w w:val="200"/>
          <w:kern w:val="0"/>
          <w:szCs w:val="21"/>
          <w:highlight w:val="none"/>
          <w:u w:val="single"/>
        </w:rPr>
        <w:t xml:space="preserve"> </w:t>
      </w:r>
      <w:r>
        <w:rPr>
          <w:rFonts w:hint="eastAsia" w:ascii="宋体" w:hAnsi="宋体" w:eastAsia="宋体" w:cs="宋体"/>
          <w:snapToGrid w:val="0"/>
          <w:color w:val="auto"/>
          <w:kern w:val="0"/>
          <w:szCs w:val="21"/>
          <w:highlight w:val="none"/>
          <w:u w:val="single"/>
        </w:rPr>
        <w:t xml:space="preserve">                                  </w:t>
      </w:r>
    </w:p>
    <w:p w14:paraId="055BDA6C">
      <w:pPr>
        <w:spacing w:line="360" w:lineRule="auto"/>
        <w:ind w:firstLine="420" w:firstLineChars="200"/>
        <w:rPr>
          <w:rFonts w:hint="eastAsia" w:ascii="宋体" w:hAnsi="宋体" w:eastAsia="宋体" w:cs="宋体"/>
          <w:snapToGrid w:val="0"/>
          <w:color w:val="auto"/>
          <w:kern w:val="0"/>
          <w:szCs w:val="21"/>
          <w:highlight w:val="none"/>
          <w:u w:val="single"/>
        </w:rPr>
      </w:pPr>
      <w:r>
        <w:rPr>
          <w:rFonts w:hint="eastAsia" w:ascii="宋体" w:hAnsi="宋体" w:eastAsia="宋体" w:cs="宋体"/>
          <w:snapToGrid w:val="0"/>
          <w:color w:val="auto"/>
          <w:kern w:val="0"/>
          <w:szCs w:val="21"/>
          <w:highlight w:val="none"/>
        </w:rPr>
        <w:t>开户银行：</w:t>
      </w:r>
      <w:r>
        <w:rPr>
          <w:rFonts w:hint="eastAsia" w:ascii="宋体" w:hAnsi="宋体" w:eastAsia="宋体" w:cs="宋体"/>
          <w:snapToGrid w:val="0"/>
          <w:color w:val="auto"/>
          <w:w w:val="200"/>
          <w:kern w:val="0"/>
          <w:szCs w:val="21"/>
          <w:highlight w:val="none"/>
          <w:u w:val="single"/>
        </w:rPr>
        <w:t xml:space="preserve"> </w:t>
      </w:r>
      <w:r>
        <w:rPr>
          <w:rFonts w:hint="eastAsia" w:ascii="宋体" w:hAnsi="宋体" w:eastAsia="宋体" w:cs="宋体"/>
          <w:snapToGrid w:val="0"/>
          <w:color w:val="auto"/>
          <w:kern w:val="0"/>
          <w:szCs w:val="21"/>
          <w:highlight w:val="none"/>
          <w:u w:val="single"/>
        </w:rPr>
        <w:t xml:space="preserve">                                  </w:t>
      </w:r>
    </w:p>
    <w:p w14:paraId="59F6A681">
      <w:pPr>
        <w:spacing w:line="360" w:lineRule="auto"/>
        <w:ind w:firstLine="420" w:firstLineChars="200"/>
        <w:rPr>
          <w:rFonts w:hint="eastAsia" w:ascii="宋体" w:hAnsi="宋体" w:eastAsia="宋体" w:cs="宋体"/>
          <w:snapToGrid w:val="0"/>
          <w:color w:val="auto"/>
          <w:kern w:val="0"/>
          <w:szCs w:val="21"/>
          <w:highlight w:val="none"/>
          <w:u w:val="single"/>
        </w:rPr>
      </w:pPr>
      <w:r>
        <w:rPr>
          <w:rFonts w:hint="eastAsia" w:ascii="宋体" w:hAnsi="宋体" w:eastAsia="宋体" w:cs="宋体"/>
          <w:snapToGrid w:val="0"/>
          <w:color w:val="auto"/>
          <w:kern w:val="0"/>
          <w:szCs w:val="21"/>
          <w:highlight w:val="none"/>
        </w:rPr>
        <w:t>账    号：</w:t>
      </w:r>
      <w:r>
        <w:rPr>
          <w:rFonts w:hint="eastAsia" w:ascii="宋体" w:hAnsi="宋体" w:eastAsia="宋体" w:cs="宋体"/>
          <w:snapToGrid w:val="0"/>
          <w:color w:val="auto"/>
          <w:w w:val="200"/>
          <w:kern w:val="0"/>
          <w:szCs w:val="21"/>
          <w:highlight w:val="none"/>
          <w:u w:val="single"/>
        </w:rPr>
        <w:t xml:space="preserve"> </w:t>
      </w:r>
      <w:r>
        <w:rPr>
          <w:rFonts w:hint="eastAsia" w:ascii="宋体" w:hAnsi="宋体" w:eastAsia="宋体" w:cs="宋体"/>
          <w:snapToGrid w:val="0"/>
          <w:color w:val="auto"/>
          <w:kern w:val="0"/>
          <w:szCs w:val="21"/>
          <w:highlight w:val="none"/>
          <w:u w:val="single"/>
        </w:rPr>
        <w:t xml:space="preserve">                                  </w:t>
      </w:r>
    </w:p>
    <w:p w14:paraId="0996C1F9">
      <w:pPr>
        <w:spacing w:line="400" w:lineRule="exact"/>
        <w:ind w:firstLine="840" w:firstLineChars="200"/>
        <w:rPr>
          <w:rFonts w:hint="eastAsia" w:ascii="宋体" w:hAnsi="宋体" w:eastAsia="宋体" w:cs="宋体"/>
          <w:snapToGrid w:val="0"/>
          <w:color w:val="auto"/>
          <w:kern w:val="0"/>
          <w:szCs w:val="21"/>
          <w:highlight w:val="none"/>
          <w:u w:val="single"/>
        </w:rPr>
      </w:pPr>
      <w:r>
        <w:rPr>
          <w:rFonts w:hint="eastAsia" w:ascii="宋体" w:hAnsi="宋体" w:eastAsia="宋体" w:cs="宋体"/>
          <w:snapToGrid w:val="0"/>
          <w:color w:val="auto"/>
          <w:w w:val="200"/>
          <w:kern w:val="0"/>
          <w:szCs w:val="21"/>
          <w:highlight w:val="none"/>
          <w:u w:val="single"/>
        </w:rPr>
        <w:t xml:space="preserve"> </w:t>
      </w:r>
      <w:r>
        <w:rPr>
          <w:rFonts w:hint="eastAsia" w:ascii="宋体" w:hAnsi="宋体" w:eastAsia="宋体" w:cs="宋体"/>
          <w:snapToGrid w:val="0"/>
          <w:color w:val="auto"/>
          <w:kern w:val="0"/>
          <w:szCs w:val="21"/>
          <w:highlight w:val="none"/>
          <w:u w:val="single"/>
        </w:rPr>
        <w:t xml:space="preserve">                                  </w:t>
      </w:r>
    </w:p>
    <w:p w14:paraId="5DB9E281">
      <w:pPr>
        <w:spacing w:line="400" w:lineRule="exact"/>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签约时间：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bookmarkEnd w:id="263"/>
    </w:p>
    <w:p w14:paraId="133E7B21">
      <w:pPr>
        <w:pStyle w:val="5"/>
        <w:jc w:val="center"/>
        <w:rPr>
          <w:rFonts w:hint="eastAsia" w:ascii="宋体" w:hAnsi="宋体" w:eastAsia="宋体" w:cs="宋体"/>
          <w:bCs w:val="0"/>
          <w:color w:val="auto"/>
          <w:sz w:val="21"/>
          <w:szCs w:val="21"/>
          <w:highlight w:val="none"/>
        </w:rPr>
      </w:pPr>
      <w:bookmarkStart w:id="264" w:name="_Toc532377179"/>
      <w:bookmarkStart w:id="265" w:name="_Toc532375586"/>
      <w:bookmarkStart w:id="266" w:name="_Toc19224"/>
      <w:bookmarkStart w:id="267" w:name="_Toc17165"/>
      <w:bookmarkStart w:id="268" w:name="_Toc529388289"/>
      <w:r>
        <w:rPr>
          <w:rFonts w:hint="eastAsia" w:ascii="宋体" w:hAnsi="宋体" w:eastAsia="宋体" w:cs="宋体"/>
          <w:color w:val="auto"/>
          <w:sz w:val="44"/>
          <w:szCs w:val="44"/>
          <w:highlight w:val="none"/>
        </w:rPr>
        <w:br w:type="page"/>
      </w:r>
      <w:r>
        <w:rPr>
          <w:rFonts w:hint="eastAsia" w:ascii="宋体" w:hAnsi="宋体" w:eastAsia="宋体" w:cs="宋体"/>
          <w:color w:val="auto"/>
          <w:sz w:val="44"/>
          <w:szCs w:val="44"/>
          <w:highlight w:val="none"/>
        </w:rPr>
        <w:t>第二部分 通用合同条款</w:t>
      </w:r>
      <w:bookmarkEnd w:id="264"/>
      <w:bookmarkEnd w:id="265"/>
      <w:bookmarkEnd w:id="266"/>
      <w:bookmarkEnd w:id="267"/>
      <w:bookmarkEnd w:id="268"/>
    </w:p>
    <w:p w14:paraId="67E18659">
      <w:pPr>
        <w:ind w:firstLine="420" w:firstLineChars="200"/>
        <w:jc w:val="center"/>
        <w:rPr>
          <w:rFonts w:hint="eastAsia" w:ascii="宋体" w:hAnsi="宋体" w:eastAsia="宋体" w:cs="宋体"/>
          <w:snapToGrid w:val="0"/>
          <w:color w:val="auto"/>
          <w:kern w:val="0"/>
          <w:szCs w:val="21"/>
          <w:highlight w:val="none"/>
          <w:lang w:val="zh-CN"/>
        </w:rPr>
      </w:pPr>
      <w:bookmarkStart w:id="269" w:name="_Toc7576"/>
      <w:bookmarkStart w:id="270" w:name="_Toc4397"/>
      <w:bookmarkStart w:id="271" w:name="_Toc22123"/>
      <w:bookmarkStart w:id="272" w:name="_Toc8518"/>
      <w:bookmarkStart w:id="273" w:name="_Toc296503028"/>
      <w:bookmarkStart w:id="274" w:name="_Toc351203496"/>
      <w:bookmarkStart w:id="275" w:name="_Toc532377181"/>
      <w:bookmarkStart w:id="276" w:name="_Toc337558728"/>
      <w:bookmarkStart w:id="277" w:name="_Toc296346529"/>
      <w:r>
        <w:rPr>
          <w:rFonts w:hint="eastAsia" w:ascii="宋体" w:hAnsi="宋体" w:eastAsia="宋体" w:cs="宋体"/>
          <w:snapToGrid w:val="0"/>
          <w:color w:val="auto"/>
          <w:kern w:val="0"/>
          <w:szCs w:val="21"/>
          <w:highlight w:val="none"/>
          <w:lang w:val="zh-CN"/>
        </w:rPr>
        <w:t>参照《建设工程施工合同（示范文本）》（GF-2017-0201）</w:t>
      </w:r>
      <w:bookmarkEnd w:id="269"/>
      <w:r>
        <w:rPr>
          <w:rFonts w:hint="eastAsia" w:ascii="宋体" w:hAnsi="宋体" w:eastAsia="宋体" w:cs="宋体"/>
          <w:snapToGrid w:val="0"/>
          <w:color w:val="auto"/>
          <w:kern w:val="0"/>
          <w:szCs w:val="21"/>
          <w:highlight w:val="none"/>
          <w:lang w:val="zh-CN"/>
        </w:rPr>
        <w:t>中的通用合同条款</w:t>
      </w:r>
      <w:bookmarkEnd w:id="270"/>
      <w:bookmarkEnd w:id="271"/>
      <w:bookmarkEnd w:id="272"/>
    </w:p>
    <w:bookmarkEnd w:id="273"/>
    <w:bookmarkEnd w:id="274"/>
    <w:bookmarkEnd w:id="275"/>
    <w:bookmarkEnd w:id="276"/>
    <w:bookmarkEnd w:id="277"/>
    <w:p w14:paraId="72F11A67">
      <w:pPr>
        <w:rPr>
          <w:rFonts w:hint="eastAsia" w:ascii="宋体" w:hAnsi="宋体" w:eastAsia="宋体" w:cs="宋体"/>
          <w:color w:val="auto"/>
          <w:highlight w:val="none"/>
          <w:lang w:val="zh-CN"/>
        </w:rPr>
      </w:pPr>
    </w:p>
    <w:p w14:paraId="6EDA0AEB">
      <w:pPr>
        <w:rPr>
          <w:rFonts w:hint="eastAsia" w:ascii="宋体" w:hAnsi="宋体" w:eastAsia="宋体" w:cs="宋体"/>
          <w:color w:val="auto"/>
          <w:highlight w:val="none"/>
          <w:lang w:val="zh-CN"/>
        </w:rPr>
      </w:pPr>
    </w:p>
    <w:p w14:paraId="1407AF08">
      <w:pPr>
        <w:rPr>
          <w:rFonts w:hint="eastAsia" w:ascii="宋体" w:hAnsi="宋体" w:eastAsia="宋体" w:cs="宋体"/>
          <w:color w:val="auto"/>
          <w:highlight w:val="none"/>
          <w:lang w:val="zh-CN"/>
        </w:rPr>
      </w:pPr>
    </w:p>
    <w:p w14:paraId="6346C3D9">
      <w:pPr>
        <w:rPr>
          <w:rFonts w:hint="eastAsia" w:ascii="宋体" w:hAnsi="宋体" w:eastAsia="宋体" w:cs="宋体"/>
          <w:color w:val="auto"/>
          <w:highlight w:val="none"/>
          <w:lang w:val="zh-CN"/>
        </w:rPr>
      </w:pPr>
    </w:p>
    <w:p w14:paraId="3796E813">
      <w:pPr>
        <w:rPr>
          <w:rFonts w:hint="eastAsia" w:ascii="宋体" w:hAnsi="宋体" w:eastAsia="宋体" w:cs="宋体"/>
          <w:color w:val="auto"/>
          <w:highlight w:val="none"/>
          <w:lang w:val="zh-CN"/>
        </w:rPr>
      </w:pPr>
    </w:p>
    <w:p w14:paraId="597E9A5B">
      <w:pPr>
        <w:rPr>
          <w:rFonts w:hint="eastAsia" w:ascii="宋体" w:hAnsi="宋体" w:eastAsia="宋体" w:cs="宋体"/>
          <w:color w:val="auto"/>
          <w:highlight w:val="none"/>
          <w:lang w:val="zh-CN"/>
        </w:rPr>
      </w:pPr>
    </w:p>
    <w:p w14:paraId="6D899E2D">
      <w:pPr>
        <w:rPr>
          <w:rFonts w:hint="eastAsia" w:ascii="宋体" w:hAnsi="宋体" w:eastAsia="宋体" w:cs="宋体"/>
          <w:color w:val="auto"/>
          <w:highlight w:val="none"/>
          <w:lang w:val="zh-CN"/>
        </w:rPr>
      </w:pPr>
    </w:p>
    <w:p w14:paraId="7D22681D">
      <w:pPr>
        <w:rPr>
          <w:rFonts w:hint="eastAsia" w:ascii="宋体" w:hAnsi="宋体" w:eastAsia="宋体" w:cs="宋体"/>
          <w:color w:val="auto"/>
          <w:highlight w:val="none"/>
          <w:lang w:val="zh-CN"/>
        </w:rPr>
      </w:pPr>
    </w:p>
    <w:p w14:paraId="3C9ADD9E">
      <w:pPr>
        <w:rPr>
          <w:rFonts w:hint="eastAsia" w:ascii="宋体" w:hAnsi="宋体" w:eastAsia="宋体" w:cs="宋体"/>
          <w:color w:val="auto"/>
          <w:highlight w:val="none"/>
          <w:lang w:val="zh-CN"/>
        </w:rPr>
      </w:pPr>
    </w:p>
    <w:p w14:paraId="24864789">
      <w:pPr>
        <w:rPr>
          <w:rFonts w:hint="eastAsia" w:ascii="宋体" w:hAnsi="宋体" w:eastAsia="宋体" w:cs="宋体"/>
          <w:color w:val="auto"/>
          <w:highlight w:val="none"/>
          <w:lang w:val="zh-CN"/>
        </w:rPr>
      </w:pPr>
    </w:p>
    <w:p w14:paraId="35D4FB8A">
      <w:pPr>
        <w:rPr>
          <w:rFonts w:hint="eastAsia" w:ascii="宋体" w:hAnsi="宋体" w:eastAsia="宋体" w:cs="宋体"/>
          <w:color w:val="auto"/>
          <w:highlight w:val="none"/>
          <w:lang w:val="zh-CN"/>
        </w:rPr>
      </w:pPr>
    </w:p>
    <w:p w14:paraId="4304427D">
      <w:pPr>
        <w:rPr>
          <w:rFonts w:hint="eastAsia" w:ascii="宋体" w:hAnsi="宋体" w:eastAsia="宋体" w:cs="宋体"/>
          <w:color w:val="auto"/>
          <w:highlight w:val="none"/>
          <w:lang w:val="zh-CN"/>
        </w:rPr>
      </w:pPr>
    </w:p>
    <w:p w14:paraId="51778D7E">
      <w:pPr>
        <w:rPr>
          <w:rFonts w:hint="eastAsia" w:ascii="宋体" w:hAnsi="宋体" w:eastAsia="宋体" w:cs="宋体"/>
          <w:color w:val="auto"/>
          <w:highlight w:val="none"/>
          <w:lang w:val="zh-CN"/>
        </w:rPr>
      </w:pPr>
    </w:p>
    <w:p w14:paraId="3FCC0EB3">
      <w:pPr>
        <w:rPr>
          <w:rFonts w:hint="eastAsia" w:ascii="宋体" w:hAnsi="宋体" w:eastAsia="宋体" w:cs="宋体"/>
          <w:color w:val="auto"/>
          <w:highlight w:val="none"/>
          <w:lang w:val="zh-CN"/>
        </w:rPr>
      </w:pPr>
    </w:p>
    <w:p w14:paraId="319936C9">
      <w:pPr>
        <w:rPr>
          <w:rFonts w:hint="eastAsia" w:ascii="宋体" w:hAnsi="宋体" w:eastAsia="宋体" w:cs="宋体"/>
          <w:color w:val="auto"/>
          <w:highlight w:val="none"/>
          <w:lang w:val="zh-CN"/>
        </w:rPr>
      </w:pPr>
    </w:p>
    <w:p w14:paraId="797E53D2">
      <w:pPr>
        <w:pStyle w:val="5"/>
        <w:jc w:val="center"/>
        <w:rPr>
          <w:rFonts w:hint="eastAsia" w:ascii="宋体" w:hAnsi="宋体" w:eastAsia="宋体" w:cs="宋体"/>
          <w:color w:val="auto"/>
          <w:sz w:val="44"/>
          <w:szCs w:val="44"/>
          <w:highlight w:val="none"/>
        </w:rPr>
      </w:pPr>
      <w:bookmarkStart w:id="278" w:name="_Toc532377320"/>
      <w:bookmarkStart w:id="279" w:name="_Toc10561"/>
      <w:bookmarkStart w:id="280" w:name="_Toc532375607"/>
      <w:bookmarkStart w:id="281" w:name="_Toc529388290"/>
      <w:r>
        <w:rPr>
          <w:rFonts w:hint="eastAsia" w:ascii="宋体" w:hAnsi="宋体" w:eastAsia="宋体" w:cs="宋体"/>
          <w:color w:val="auto"/>
          <w:sz w:val="44"/>
          <w:szCs w:val="44"/>
          <w:highlight w:val="none"/>
        </w:rPr>
        <w:br w:type="page"/>
      </w:r>
      <w:bookmarkStart w:id="282" w:name="_Toc18028"/>
      <w:r>
        <w:rPr>
          <w:rFonts w:hint="eastAsia" w:ascii="宋体" w:hAnsi="宋体" w:eastAsia="宋体" w:cs="宋体"/>
          <w:color w:val="auto"/>
          <w:sz w:val="44"/>
          <w:szCs w:val="44"/>
          <w:highlight w:val="none"/>
        </w:rPr>
        <w:t>第三部分 专用合同条款</w:t>
      </w:r>
      <w:bookmarkEnd w:id="278"/>
      <w:bookmarkEnd w:id="279"/>
      <w:bookmarkEnd w:id="280"/>
      <w:bookmarkEnd w:id="281"/>
      <w:bookmarkEnd w:id="282"/>
    </w:p>
    <w:p w14:paraId="20D2CA30">
      <w:pPr>
        <w:pStyle w:val="4"/>
        <w:keepNext w:val="0"/>
        <w:keepLines w:val="0"/>
        <w:pageBreakBefore w:val="0"/>
        <w:widowControl w:val="0"/>
        <w:kinsoku/>
        <w:wordWrap/>
        <w:overflowPunct/>
        <w:topLinePunct w:val="0"/>
        <w:bidi w:val="0"/>
        <w:spacing w:before="0" w:after="10" w:line="360" w:lineRule="auto"/>
        <w:rPr>
          <w:rFonts w:hint="eastAsia" w:ascii="宋体" w:hAnsi="宋体" w:eastAsia="宋体" w:cs="宋体"/>
          <w:snapToGrid w:val="0"/>
          <w:color w:val="auto"/>
          <w:sz w:val="21"/>
          <w:szCs w:val="21"/>
          <w:highlight w:val="none"/>
        </w:rPr>
      </w:pPr>
      <w:bookmarkStart w:id="283" w:name="_Toc350961203"/>
      <w:bookmarkStart w:id="284" w:name="_Toc243980010"/>
      <w:r>
        <w:rPr>
          <w:rFonts w:hint="eastAsia" w:ascii="宋体" w:hAnsi="宋体" w:eastAsia="宋体" w:cs="宋体"/>
          <w:snapToGrid w:val="0"/>
          <w:color w:val="auto"/>
          <w:sz w:val="21"/>
          <w:szCs w:val="21"/>
          <w:highlight w:val="none"/>
        </w:rPr>
        <w:t>1.一般约定</w:t>
      </w:r>
      <w:bookmarkEnd w:id="283"/>
      <w:bookmarkEnd w:id="284"/>
    </w:p>
    <w:p w14:paraId="5A6014FE">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bookmarkStart w:id="285" w:name="_Toc350961204"/>
      <w:bookmarkStart w:id="286" w:name="_Toc243980011"/>
      <w:r>
        <w:rPr>
          <w:rFonts w:hint="eastAsia" w:ascii="宋体" w:hAnsi="宋体" w:eastAsia="宋体" w:cs="宋体"/>
          <w:snapToGrid w:val="0"/>
          <w:color w:val="auto"/>
          <w:sz w:val="21"/>
          <w:szCs w:val="21"/>
          <w:highlight w:val="none"/>
        </w:rPr>
        <w:t>1.1词语定义</w:t>
      </w:r>
      <w:bookmarkEnd w:id="285"/>
      <w:bookmarkEnd w:id="286"/>
    </w:p>
    <w:p w14:paraId="4F6D99DE">
      <w:pPr>
        <w:keepNext w:val="0"/>
        <w:keepLines w:val="0"/>
        <w:pageBreakBefore w:val="0"/>
        <w:widowControl w:val="0"/>
        <w:kinsoku/>
        <w:wordWrap/>
        <w:overflowPunct/>
        <w:topLinePunct w:val="0"/>
        <w:bidi w:val="0"/>
        <w:spacing w:after="1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1.1.2  合同当事人和人员</w:t>
      </w:r>
    </w:p>
    <w:p w14:paraId="268AA744">
      <w:pPr>
        <w:keepNext w:val="0"/>
        <w:keepLines w:val="0"/>
        <w:pageBreakBefore w:val="0"/>
        <w:widowControl w:val="0"/>
        <w:kinsoku/>
        <w:wordWrap/>
        <w:overflowPunct/>
        <w:topLinePunct w:val="0"/>
        <w:bidi w:val="0"/>
        <w:spacing w:after="10" w:line="360" w:lineRule="auto"/>
        <w:ind w:firstLine="465"/>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1.1.2.2  发包人：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u w:val="single"/>
        </w:rPr>
        <w:t xml:space="preserve"> </w:t>
      </w:r>
    </w:p>
    <w:p w14:paraId="19F3B307">
      <w:pPr>
        <w:keepNext w:val="0"/>
        <w:keepLines w:val="0"/>
        <w:pageBreakBefore w:val="0"/>
        <w:widowControl w:val="0"/>
        <w:kinsoku/>
        <w:wordWrap/>
        <w:overflowPunct/>
        <w:topLinePunct w:val="0"/>
        <w:autoSpaceDE w:val="0"/>
        <w:autoSpaceDN w:val="0"/>
        <w:bidi w:val="0"/>
        <w:adjustRightInd w:val="0"/>
        <w:spacing w:after="10"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发包人派驻的现场代表</w:t>
      </w:r>
      <w:r>
        <w:rPr>
          <w:rFonts w:hint="eastAsia" w:ascii="宋体" w:hAnsi="宋体" w:eastAsia="宋体" w:cs="宋体"/>
          <w:color w:val="auto"/>
          <w:sz w:val="21"/>
          <w:szCs w:val="21"/>
          <w:highlight w:val="none"/>
          <w:lang w:eastAsia="zh-CN"/>
        </w:rPr>
        <w:t>：</w:t>
      </w:r>
    </w:p>
    <w:p w14:paraId="01DF3DB9">
      <w:pPr>
        <w:keepNext w:val="0"/>
        <w:keepLines w:val="0"/>
        <w:pageBreakBefore w:val="0"/>
        <w:widowControl w:val="0"/>
        <w:kinsoku/>
        <w:wordWrap/>
        <w:overflowPunct/>
        <w:topLinePunct w:val="0"/>
        <w:autoSpaceDE w:val="0"/>
        <w:autoSpaceDN w:val="0"/>
        <w:bidi w:val="0"/>
        <w:adjustRightInd w:val="0"/>
        <w:spacing w:after="10" w:line="360" w:lineRule="auto"/>
        <w:ind w:firstLine="420" w:firstLineChars="200"/>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rPr>
        <w:t>姓名：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职务：</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none"/>
          <w:lang w:eastAsia="zh-CN"/>
        </w:rPr>
        <w:t>。</w:t>
      </w:r>
    </w:p>
    <w:p w14:paraId="62413581">
      <w:pPr>
        <w:keepNext w:val="0"/>
        <w:keepLines w:val="0"/>
        <w:pageBreakBefore w:val="0"/>
        <w:widowControl w:val="0"/>
        <w:kinsoku/>
        <w:wordWrap/>
        <w:overflowPunct/>
        <w:topLinePunct w:val="0"/>
        <w:bidi w:val="0"/>
        <w:spacing w:after="10" w:line="360" w:lineRule="auto"/>
        <w:ind w:firstLine="465"/>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1.1.2.3  承包人： </w:t>
      </w:r>
    </w:p>
    <w:p w14:paraId="1C6FAAC1">
      <w:pPr>
        <w:keepNext w:val="0"/>
        <w:keepLines w:val="0"/>
        <w:pageBreakBefore w:val="0"/>
        <w:widowControl w:val="0"/>
        <w:kinsoku/>
        <w:wordWrap/>
        <w:overflowPunct/>
        <w:topLinePunct w:val="0"/>
        <w:autoSpaceDE w:val="0"/>
        <w:autoSpaceDN w:val="0"/>
        <w:bidi w:val="0"/>
        <w:adjustRightInd w:val="0"/>
        <w:spacing w:after="10"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承包人派驻的</w:t>
      </w:r>
      <w:r>
        <w:rPr>
          <w:rFonts w:hint="eastAsia" w:ascii="宋体" w:hAnsi="宋体" w:eastAsia="宋体" w:cs="宋体"/>
          <w:color w:val="auto"/>
          <w:sz w:val="21"/>
          <w:szCs w:val="21"/>
          <w:highlight w:val="none"/>
          <w:lang w:eastAsia="zh-CN"/>
        </w:rPr>
        <w:t>联系人</w:t>
      </w:r>
    </w:p>
    <w:p w14:paraId="7AECBCFA">
      <w:pPr>
        <w:keepNext w:val="0"/>
        <w:keepLines w:val="0"/>
        <w:pageBreakBefore w:val="0"/>
        <w:widowControl w:val="0"/>
        <w:kinsoku/>
        <w:wordWrap/>
        <w:overflowPunct/>
        <w:topLinePunct w:val="0"/>
        <w:bidi w:val="0"/>
        <w:spacing w:after="10" w:line="360" w:lineRule="auto"/>
        <w:ind w:firstLine="465"/>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姓名：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职务：</w:t>
      </w:r>
      <w:r>
        <w:rPr>
          <w:rFonts w:hint="eastAsia" w:ascii="宋体" w:hAnsi="宋体" w:eastAsia="宋体" w:cs="宋体"/>
          <w:color w:val="auto"/>
          <w:sz w:val="21"/>
          <w:szCs w:val="21"/>
          <w:highlight w:val="none"/>
          <w:u w:val="single"/>
        </w:rPr>
        <w:t xml:space="preserve">          </w:t>
      </w:r>
    </w:p>
    <w:p w14:paraId="4BCA0351">
      <w:pPr>
        <w:keepNext w:val="0"/>
        <w:keepLines w:val="0"/>
        <w:pageBreakBefore w:val="0"/>
        <w:widowControl w:val="0"/>
        <w:kinsoku/>
        <w:wordWrap/>
        <w:overflowPunct/>
        <w:topLinePunct w:val="0"/>
        <w:bidi w:val="0"/>
        <w:spacing w:after="1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  工程和设备</w:t>
      </w:r>
    </w:p>
    <w:p w14:paraId="7F575898">
      <w:pPr>
        <w:keepNext w:val="0"/>
        <w:keepLines w:val="0"/>
        <w:pageBreakBefore w:val="0"/>
        <w:widowControl w:val="0"/>
        <w:kinsoku/>
        <w:wordWrap/>
        <w:overflowPunct/>
        <w:topLinePunct w:val="0"/>
        <w:bidi w:val="0"/>
        <w:spacing w:after="10" w:line="360" w:lineRule="auto"/>
        <w:ind w:firstLine="45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1.1.3.3  临时工程：</w:t>
      </w:r>
      <w:r>
        <w:rPr>
          <w:rFonts w:hint="eastAsia" w:ascii="宋体" w:hAnsi="宋体" w:eastAsia="宋体" w:cs="宋体"/>
          <w:b/>
          <w:color w:val="auto"/>
          <w:sz w:val="21"/>
          <w:szCs w:val="21"/>
          <w:highlight w:val="none"/>
          <w:u w:val="single"/>
        </w:rPr>
        <w:t>施工用水、用电接口由发包人指定地点，承包人自行接通并负责维护和营运，由承包人承担由此发生的费用，且此费用均包括在合同包干价中。其他临时设施由承包人自行负责解决并承担其费用，且此费用均包括在合同包干价中。</w:t>
      </w:r>
    </w:p>
    <w:p w14:paraId="58BA24D8">
      <w:pPr>
        <w:keepNext w:val="0"/>
        <w:keepLines w:val="0"/>
        <w:pageBreakBefore w:val="0"/>
        <w:widowControl w:val="0"/>
        <w:kinsoku/>
        <w:wordWrap/>
        <w:overflowPunct/>
        <w:topLinePunct w:val="0"/>
        <w:bidi w:val="0"/>
        <w:spacing w:after="10" w:line="360" w:lineRule="auto"/>
        <w:ind w:firstLine="450"/>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rPr>
        <w:t>1.1.3.4  单位工程：</w:t>
      </w:r>
      <w:r>
        <w:rPr>
          <w:rFonts w:hint="eastAsia" w:ascii="宋体" w:hAnsi="宋体" w:eastAsia="宋体" w:cs="宋体"/>
          <w:b/>
          <w:color w:val="auto"/>
          <w:sz w:val="21"/>
          <w:szCs w:val="21"/>
          <w:highlight w:val="none"/>
          <w:u w:val="single"/>
        </w:rPr>
        <w:t>工程量清单及比选文件范围内的全部内容。</w:t>
      </w:r>
    </w:p>
    <w:p w14:paraId="63D67758">
      <w:pPr>
        <w:keepNext w:val="0"/>
        <w:keepLines w:val="0"/>
        <w:pageBreakBefore w:val="0"/>
        <w:widowControl w:val="0"/>
        <w:kinsoku/>
        <w:wordWrap/>
        <w:overflowPunct/>
        <w:topLinePunct w:val="0"/>
        <w:bidi w:val="0"/>
        <w:spacing w:after="1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1.1.4  日期</w:t>
      </w:r>
    </w:p>
    <w:p w14:paraId="04118E99">
      <w:pPr>
        <w:keepNext w:val="0"/>
        <w:keepLines w:val="0"/>
        <w:pageBreakBefore w:val="0"/>
        <w:widowControl w:val="0"/>
        <w:kinsoku/>
        <w:wordWrap/>
        <w:overflowPunct/>
        <w:topLinePunct w:val="0"/>
        <w:bidi w:val="0"/>
        <w:spacing w:after="1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1.1.4.5 缺陷责任期：</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个月，</w:t>
      </w:r>
      <w:r>
        <w:rPr>
          <w:rFonts w:hint="eastAsia" w:ascii="宋体" w:hAnsi="宋体" w:eastAsia="宋体" w:cs="宋体"/>
          <w:color w:val="auto"/>
          <w:sz w:val="21"/>
          <w:szCs w:val="21"/>
          <w:highlight w:val="none"/>
          <w:u w:val="single"/>
        </w:rPr>
        <w:t>从工程验收合格后次日计起计算 。</w:t>
      </w:r>
    </w:p>
    <w:p w14:paraId="7E1BA8D8">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b w:val="0"/>
          <w:bCs w:val="0"/>
          <w:color w:val="auto"/>
          <w:sz w:val="21"/>
          <w:szCs w:val="21"/>
          <w:highlight w:val="none"/>
        </w:rPr>
      </w:pPr>
      <w:bookmarkStart w:id="287" w:name="_Toc350961205"/>
      <w:bookmarkStart w:id="288" w:name="_Toc243980012"/>
      <w:r>
        <w:rPr>
          <w:rFonts w:hint="eastAsia" w:ascii="宋体" w:hAnsi="宋体" w:eastAsia="宋体" w:cs="宋体"/>
          <w:snapToGrid w:val="0"/>
          <w:color w:val="auto"/>
          <w:sz w:val="21"/>
          <w:szCs w:val="21"/>
          <w:highlight w:val="none"/>
        </w:rPr>
        <w:t>1.4合同文件的优先顺序</w:t>
      </w:r>
      <w:bookmarkEnd w:id="287"/>
      <w:bookmarkEnd w:id="288"/>
      <w:r>
        <w:rPr>
          <w:rFonts w:hint="eastAsia" w:ascii="宋体" w:hAnsi="宋体" w:eastAsia="宋体" w:cs="宋体"/>
          <w:snapToGrid w:val="0"/>
          <w:color w:val="auto"/>
          <w:sz w:val="21"/>
          <w:szCs w:val="21"/>
          <w:highlight w:val="none"/>
        </w:rPr>
        <w:t xml:space="preserve">                </w:t>
      </w:r>
    </w:p>
    <w:p w14:paraId="242DC8CF">
      <w:pPr>
        <w:keepNext w:val="0"/>
        <w:keepLines w:val="0"/>
        <w:pageBreakBefore w:val="0"/>
        <w:widowControl w:val="0"/>
        <w:kinsoku/>
        <w:wordWrap/>
        <w:overflowPunct/>
        <w:topLinePunct w:val="0"/>
        <w:bidi w:val="0"/>
        <w:spacing w:after="10" w:line="360" w:lineRule="auto"/>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rPr>
        <w:t xml:space="preserve">    </w:t>
      </w:r>
      <w:r>
        <w:rPr>
          <w:rFonts w:hint="eastAsia" w:ascii="宋体" w:hAnsi="宋体" w:eastAsia="宋体" w:cs="宋体"/>
          <w:snapToGrid w:val="0"/>
          <w:color w:val="auto"/>
          <w:kern w:val="0"/>
          <w:sz w:val="21"/>
          <w:szCs w:val="21"/>
          <w:highlight w:val="none"/>
        </w:rPr>
        <w:t>合同文件的优先顺序</w:t>
      </w:r>
      <w:r>
        <w:rPr>
          <w:rFonts w:hint="eastAsia" w:ascii="宋体" w:hAnsi="宋体" w:eastAsia="宋体" w:cs="宋体"/>
          <w:snapToGrid w:val="0"/>
          <w:color w:val="auto"/>
          <w:sz w:val="21"/>
          <w:szCs w:val="21"/>
          <w:highlight w:val="none"/>
        </w:rPr>
        <w:t>：</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u w:val="single"/>
        </w:rPr>
        <w:t>1）本合同协议书；（2）</w:t>
      </w:r>
      <w:r>
        <w:rPr>
          <w:rFonts w:hint="eastAsia" w:ascii="宋体" w:hAnsi="宋体" w:eastAsia="宋体" w:cs="宋体"/>
          <w:b/>
          <w:color w:val="auto"/>
          <w:sz w:val="21"/>
          <w:szCs w:val="21"/>
          <w:highlight w:val="none"/>
          <w:u w:val="single"/>
          <w:lang w:eastAsia="zh-CN"/>
        </w:rPr>
        <w:t>成交通知书</w:t>
      </w:r>
      <w:r>
        <w:rPr>
          <w:rFonts w:hint="eastAsia" w:ascii="宋体" w:hAnsi="宋体" w:eastAsia="宋体" w:cs="宋体"/>
          <w:b/>
          <w:color w:val="auto"/>
          <w:sz w:val="21"/>
          <w:szCs w:val="21"/>
          <w:highlight w:val="none"/>
          <w:u w:val="single"/>
        </w:rPr>
        <w:t>；（3）专用合同条款；（4）通用合同条款；（5）技术标准和要求；（6）图纸</w:t>
      </w:r>
      <w:r>
        <w:rPr>
          <w:rFonts w:hint="eastAsia" w:ascii="宋体" w:hAnsi="宋体" w:eastAsia="宋体" w:cs="宋体"/>
          <w:b/>
          <w:color w:val="auto"/>
          <w:sz w:val="21"/>
          <w:szCs w:val="21"/>
          <w:highlight w:val="none"/>
          <w:u w:val="single"/>
          <w:lang w:eastAsia="zh-CN"/>
        </w:rPr>
        <w:t>（如有）</w:t>
      </w:r>
      <w:r>
        <w:rPr>
          <w:rFonts w:hint="eastAsia" w:ascii="宋体" w:hAnsi="宋体" w:eastAsia="宋体" w:cs="宋体"/>
          <w:b/>
          <w:color w:val="auto"/>
          <w:sz w:val="21"/>
          <w:szCs w:val="21"/>
          <w:highlight w:val="none"/>
          <w:u w:val="single"/>
        </w:rPr>
        <w:t>；（7）合同履行中，发包人承包人有关工程的洽商、变更等书面协议或文件视为本合同的组成部分；（8）报价函及报价函附录；（9）已标价工程量清单；（10）其他合同文件</w:t>
      </w:r>
      <w:r>
        <w:rPr>
          <w:rFonts w:hint="eastAsia" w:ascii="宋体" w:hAnsi="宋体" w:eastAsia="宋体" w:cs="宋体"/>
          <w:color w:val="auto"/>
          <w:sz w:val="21"/>
          <w:szCs w:val="21"/>
          <w:highlight w:val="none"/>
        </w:rPr>
        <w:t>。</w:t>
      </w:r>
    </w:p>
    <w:p w14:paraId="4772248C">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bookmarkStart w:id="289" w:name="_Toc243980013"/>
      <w:bookmarkStart w:id="290" w:name="_Toc350961206"/>
      <w:r>
        <w:rPr>
          <w:rFonts w:hint="eastAsia" w:ascii="宋体" w:hAnsi="宋体" w:eastAsia="宋体" w:cs="宋体"/>
          <w:snapToGrid w:val="0"/>
          <w:color w:val="auto"/>
          <w:sz w:val="21"/>
          <w:szCs w:val="21"/>
          <w:highlight w:val="none"/>
        </w:rPr>
        <w:t>1.5</w:t>
      </w:r>
      <w:bookmarkEnd w:id="289"/>
      <w:r>
        <w:rPr>
          <w:rFonts w:hint="eastAsia" w:ascii="宋体" w:hAnsi="宋体" w:eastAsia="宋体" w:cs="宋体"/>
          <w:snapToGrid w:val="0"/>
          <w:color w:val="auto"/>
          <w:sz w:val="21"/>
          <w:szCs w:val="21"/>
          <w:highlight w:val="none"/>
        </w:rPr>
        <w:t>合同协议书</w:t>
      </w:r>
      <w:bookmarkEnd w:id="290"/>
    </w:p>
    <w:p w14:paraId="16671EA9">
      <w:pPr>
        <w:keepNext w:val="0"/>
        <w:keepLines w:val="0"/>
        <w:pageBreakBefore w:val="0"/>
        <w:widowControl w:val="0"/>
        <w:kinsoku/>
        <w:wordWrap/>
        <w:overflowPunct/>
        <w:topLinePunct w:val="0"/>
        <w:bidi w:val="0"/>
        <w:spacing w:after="1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snapToGrid w:val="0"/>
          <w:color w:val="auto"/>
          <w:sz w:val="21"/>
          <w:szCs w:val="21"/>
          <w:highlight w:val="none"/>
        </w:rPr>
        <w:t>合同生效的条件：</w:t>
      </w:r>
      <w:r>
        <w:rPr>
          <w:rFonts w:hint="eastAsia" w:ascii="宋体" w:hAnsi="宋体" w:eastAsia="宋体" w:cs="宋体"/>
          <w:b/>
          <w:color w:val="auto"/>
          <w:sz w:val="21"/>
          <w:szCs w:val="21"/>
          <w:highlight w:val="none"/>
          <w:u w:val="single"/>
        </w:rPr>
        <w:t>承包人按</w:t>
      </w:r>
      <w:r>
        <w:rPr>
          <w:rFonts w:hint="eastAsia" w:ascii="宋体" w:hAnsi="宋体" w:eastAsia="宋体" w:cs="宋体"/>
          <w:b/>
          <w:color w:val="auto"/>
          <w:sz w:val="21"/>
          <w:szCs w:val="21"/>
          <w:highlight w:val="none"/>
          <w:u w:val="single"/>
          <w:lang w:eastAsia="zh-CN"/>
        </w:rPr>
        <w:t>成交通知书</w:t>
      </w:r>
      <w:r>
        <w:rPr>
          <w:rFonts w:hint="eastAsia" w:ascii="宋体" w:hAnsi="宋体" w:eastAsia="宋体" w:cs="宋体"/>
          <w:b/>
          <w:color w:val="auto"/>
          <w:sz w:val="21"/>
          <w:szCs w:val="21"/>
          <w:highlight w:val="none"/>
          <w:u w:val="single"/>
        </w:rPr>
        <w:t>规定的时间与发包人签订合同协议书。除法律另有规定或合同另有约定外，发包人和承包人的法定代表人或其授权代理人在合同协议书上签字并盖单位章后，合同生效。</w:t>
      </w:r>
    </w:p>
    <w:p w14:paraId="72A3EC9E">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bookmarkStart w:id="291" w:name="_Toc350961207"/>
      <w:bookmarkStart w:id="292" w:name="_Toc243980014"/>
      <w:r>
        <w:rPr>
          <w:rFonts w:hint="eastAsia" w:ascii="宋体" w:hAnsi="宋体" w:eastAsia="宋体" w:cs="宋体"/>
          <w:snapToGrid w:val="0"/>
          <w:color w:val="auto"/>
          <w:sz w:val="21"/>
          <w:szCs w:val="21"/>
          <w:highlight w:val="none"/>
        </w:rPr>
        <w:t>1.6图纸和承包人文件</w:t>
      </w:r>
      <w:bookmarkEnd w:id="291"/>
      <w:bookmarkEnd w:id="292"/>
    </w:p>
    <w:p w14:paraId="6048C58A">
      <w:pPr>
        <w:keepNext w:val="0"/>
        <w:keepLines w:val="0"/>
        <w:pageBreakBefore w:val="0"/>
        <w:widowControl w:val="0"/>
        <w:kinsoku/>
        <w:wordWrap/>
        <w:overflowPunct/>
        <w:topLinePunct w:val="0"/>
        <w:autoSpaceDE w:val="0"/>
        <w:autoSpaceDN w:val="0"/>
        <w:bidi w:val="0"/>
        <w:adjustRightInd w:val="0"/>
        <w:spacing w:after="10"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承包人提供文件的期限、数量：</w:t>
      </w:r>
      <w:r>
        <w:rPr>
          <w:rFonts w:hint="eastAsia" w:ascii="宋体" w:hAnsi="宋体" w:eastAsia="宋体" w:cs="宋体"/>
          <w:b/>
          <w:color w:val="auto"/>
          <w:sz w:val="21"/>
          <w:szCs w:val="21"/>
          <w:highlight w:val="none"/>
          <w:u w:val="single"/>
        </w:rPr>
        <w:t>工程验收前提供全套工程技术档案资料3套。</w:t>
      </w:r>
    </w:p>
    <w:p w14:paraId="774F8F6D">
      <w:pPr>
        <w:keepNext w:val="0"/>
        <w:keepLines w:val="0"/>
        <w:pageBreakBefore w:val="0"/>
        <w:widowControl w:val="0"/>
        <w:kinsoku/>
        <w:wordWrap/>
        <w:overflowPunct/>
        <w:topLinePunct w:val="0"/>
        <w:bidi w:val="0"/>
        <w:spacing w:after="10" w:line="360" w:lineRule="auto"/>
        <w:rPr>
          <w:rFonts w:hint="eastAsia" w:ascii="宋体" w:hAnsi="宋体" w:eastAsia="宋体" w:cs="宋体"/>
          <w:snapToGrid w:val="0"/>
          <w:color w:val="auto"/>
          <w:sz w:val="21"/>
          <w:szCs w:val="21"/>
          <w:highlight w:val="none"/>
        </w:rPr>
      </w:pPr>
      <w:r>
        <w:rPr>
          <w:rFonts w:hint="eastAsia" w:ascii="宋体" w:hAnsi="宋体" w:eastAsia="宋体" w:cs="宋体"/>
          <w:color w:val="auto"/>
          <w:sz w:val="21"/>
          <w:szCs w:val="21"/>
          <w:highlight w:val="none"/>
        </w:rPr>
        <w:t xml:space="preserve">    </w:t>
      </w:r>
      <w:bookmarkStart w:id="293" w:name="_Toc350961208"/>
      <w:bookmarkStart w:id="294" w:name="_Toc243980015"/>
      <w:r>
        <w:rPr>
          <w:rFonts w:hint="eastAsia" w:ascii="宋体" w:hAnsi="宋体" w:eastAsia="宋体" w:cs="宋体"/>
          <w:snapToGrid w:val="0"/>
          <w:color w:val="auto"/>
          <w:sz w:val="21"/>
          <w:szCs w:val="21"/>
          <w:highlight w:val="none"/>
        </w:rPr>
        <w:t>1.7联络</w:t>
      </w:r>
      <w:bookmarkEnd w:id="293"/>
      <w:bookmarkEnd w:id="294"/>
    </w:p>
    <w:p w14:paraId="36BFAC94">
      <w:pPr>
        <w:keepNext w:val="0"/>
        <w:keepLines w:val="0"/>
        <w:pageBreakBefore w:val="0"/>
        <w:widowControl w:val="0"/>
        <w:kinsoku/>
        <w:wordWrap/>
        <w:overflowPunct/>
        <w:topLinePunct w:val="0"/>
        <w:bidi w:val="0"/>
        <w:spacing w:after="10" w:line="360" w:lineRule="auto"/>
        <w:ind w:firstLine="420"/>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1.7.2  联络送达的期限：</w:t>
      </w:r>
      <w:r>
        <w:rPr>
          <w:rFonts w:hint="eastAsia" w:ascii="宋体" w:hAnsi="宋体" w:eastAsia="宋体" w:cs="宋体"/>
          <w:b/>
          <w:color w:val="auto"/>
          <w:sz w:val="21"/>
          <w:szCs w:val="21"/>
          <w:highlight w:val="none"/>
          <w:u w:val="single"/>
        </w:rPr>
        <w:t>按通</w:t>
      </w:r>
      <w:r>
        <w:rPr>
          <w:rFonts w:hint="eastAsia" w:ascii="宋体" w:hAnsi="宋体" w:eastAsia="宋体" w:cs="宋体"/>
          <w:b/>
          <w:bCs/>
          <w:color w:val="auto"/>
          <w:kern w:val="0"/>
          <w:sz w:val="21"/>
          <w:szCs w:val="21"/>
          <w:highlight w:val="none"/>
          <w:u w:val="single"/>
        </w:rPr>
        <w:t>用条款执行</w:t>
      </w:r>
      <w:r>
        <w:rPr>
          <w:rFonts w:hint="eastAsia" w:ascii="宋体" w:hAnsi="宋体" w:eastAsia="宋体" w:cs="宋体"/>
          <w:b/>
          <w:bCs/>
          <w:color w:val="auto"/>
          <w:kern w:val="0"/>
          <w:sz w:val="21"/>
          <w:szCs w:val="21"/>
          <w:highlight w:val="none"/>
        </w:rPr>
        <w:t>。</w:t>
      </w:r>
    </w:p>
    <w:p w14:paraId="78F14EF3">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bookmarkStart w:id="295" w:name="_Toc350961209"/>
      <w:bookmarkStart w:id="296" w:name="_Toc243980016"/>
      <w:r>
        <w:rPr>
          <w:rFonts w:hint="eastAsia" w:ascii="宋体" w:hAnsi="宋体" w:eastAsia="宋体" w:cs="宋体"/>
          <w:snapToGrid w:val="0"/>
          <w:color w:val="auto"/>
          <w:sz w:val="21"/>
          <w:szCs w:val="21"/>
          <w:highlight w:val="none"/>
        </w:rPr>
        <w:t>1.8转让</w:t>
      </w:r>
      <w:bookmarkEnd w:id="295"/>
    </w:p>
    <w:p w14:paraId="00A2166E">
      <w:pPr>
        <w:keepNext w:val="0"/>
        <w:keepLines w:val="0"/>
        <w:pageBreakBefore w:val="0"/>
        <w:widowControl w:val="0"/>
        <w:kinsoku/>
        <w:wordWrap/>
        <w:overflowPunct/>
        <w:topLinePunct w:val="0"/>
        <w:bidi w:val="0"/>
        <w:spacing w:after="10" w:line="360" w:lineRule="auto"/>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不允许。</w:t>
      </w:r>
    </w:p>
    <w:p w14:paraId="6489C31E">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bookmarkStart w:id="297" w:name="_Toc350961210"/>
      <w:r>
        <w:rPr>
          <w:rFonts w:hint="eastAsia" w:ascii="宋体" w:hAnsi="宋体" w:eastAsia="宋体" w:cs="宋体"/>
          <w:snapToGrid w:val="0"/>
          <w:color w:val="auto"/>
          <w:sz w:val="21"/>
          <w:szCs w:val="21"/>
          <w:highlight w:val="none"/>
        </w:rPr>
        <w:t>1.9严禁贿赂</w:t>
      </w:r>
      <w:bookmarkEnd w:id="297"/>
    </w:p>
    <w:p w14:paraId="602901C1">
      <w:pPr>
        <w:keepNext w:val="0"/>
        <w:keepLines w:val="0"/>
        <w:pageBreakBefore w:val="0"/>
        <w:widowControl w:val="0"/>
        <w:kinsoku/>
        <w:wordWrap/>
        <w:overflowPunct/>
        <w:topLinePunct w:val="0"/>
        <w:bidi w:val="0"/>
        <w:spacing w:after="1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合同双方当事人不得以贿赂或变相贿赂的方式，谋取不当利益或损害双方权益。因贿赂造成双方损失的，行为人应赔偿损失，并承担相应的法律责任。</w:t>
      </w:r>
    </w:p>
    <w:p w14:paraId="13C6D75D">
      <w:pPr>
        <w:pStyle w:val="4"/>
        <w:keepNext w:val="0"/>
        <w:keepLines w:val="0"/>
        <w:pageBreakBefore w:val="0"/>
        <w:widowControl w:val="0"/>
        <w:kinsoku/>
        <w:wordWrap/>
        <w:overflowPunct/>
        <w:topLinePunct w:val="0"/>
        <w:bidi w:val="0"/>
        <w:spacing w:before="0" w:after="10" w:line="360" w:lineRule="auto"/>
        <w:rPr>
          <w:rFonts w:hint="eastAsia" w:ascii="宋体" w:hAnsi="宋体" w:eastAsia="宋体" w:cs="宋体"/>
          <w:snapToGrid w:val="0"/>
          <w:color w:val="auto"/>
          <w:sz w:val="21"/>
          <w:szCs w:val="21"/>
          <w:highlight w:val="none"/>
        </w:rPr>
      </w:pPr>
      <w:bookmarkStart w:id="298" w:name="_Toc350961211"/>
      <w:r>
        <w:rPr>
          <w:rFonts w:hint="eastAsia" w:ascii="宋体" w:hAnsi="宋体" w:eastAsia="宋体" w:cs="宋体"/>
          <w:snapToGrid w:val="0"/>
          <w:color w:val="auto"/>
          <w:sz w:val="21"/>
          <w:szCs w:val="21"/>
          <w:highlight w:val="none"/>
        </w:rPr>
        <w:t>2发包人义务</w:t>
      </w:r>
      <w:bookmarkEnd w:id="296"/>
      <w:bookmarkEnd w:id="298"/>
    </w:p>
    <w:p w14:paraId="5317ED3C">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bookmarkStart w:id="299" w:name="_Toc243980017"/>
      <w:bookmarkStart w:id="300" w:name="_Toc350961212"/>
      <w:r>
        <w:rPr>
          <w:rFonts w:hint="eastAsia" w:ascii="宋体" w:hAnsi="宋体" w:eastAsia="宋体" w:cs="宋体"/>
          <w:snapToGrid w:val="0"/>
          <w:color w:val="auto"/>
          <w:sz w:val="21"/>
          <w:szCs w:val="21"/>
          <w:highlight w:val="none"/>
        </w:rPr>
        <w:t>2.3提供施工场地</w:t>
      </w:r>
      <w:bookmarkEnd w:id="299"/>
      <w:bookmarkEnd w:id="300"/>
    </w:p>
    <w:p w14:paraId="6D345A43">
      <w:pPr>
        <w:keepNext w:val="0"/>
        <w:keepLines w:val="0"/>
        <w:pageBreakBefore w:val="0"/>
        <w:widowControl w:val="0"/>
        <w:kinsoku/>
        <w:wordWrap/>
        <w:overflowPunct/>
        <w:topLinePunct w:val="0"/>
        <w:bidi w:val="0"/>
        <w:spacing w:after="1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（1）发包人提供施工场地和有关资料的时间：</w:t>
      </w:r>
      <w:r>
        <w:rPr>
          <w:rFonts w:hint="eastAsia" w:ascii="宋体" w:hAnsi="宋体" w:eastAsia="宋体" w:cs="宋体"/>
          <w:b/>
          <w:color w:val="auto"/>
          <w:sz w:val="21"/>
          <w:szCs w:val="21"/>
          <w:highlight w:val="none"/>
          <w:u w:val="single"/>
        </w:rPr>
        <w:t>有关资料在合同签订后三天内提供,施工场地由发包人根据实际情况,以实际提供时间为准 ，不因此增加任何费用</w:t>
      </w:r>
      <w:r>
        <w:rPr>
          <w:rFonts w:hint="eastAsia" w:ascii="宋体" w:hAnsi="宋体" w:eastAsia="宋体" w:cs="宋体"/>
          <w:color w:val="auto"/>
          <w:sz w:val="21"/>
          <w:szCs w:val="21"/>
          <w:highlight w:val="none"/>
          <w:u w:val="single"/>
        </w:rPr>
        <w:t>。</w:t>
      </w:r>
    </w:p>
    <w:p w14:paraId="25ED7BB1">
      <w:pPr>
        <w:keepNext w:val="0"/>
        <w:keepLines w:val="0"/>
        <w:pageBreakBefore w:val="0"/>
        <w:widowControl w:val="0"/>
        <w:kinsoku/>
        <w:wordWrap/>
        <w:overflowPunct/>
        <w:topLinePunct w:val="0"/>
        <w:bidi w:val="0"/>
        <w:spacing w:after="10" w:line="360" w:lineRule="auto"/>
        <w:ind w:firstLine="420" w:firstLineChars="20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（2）施工场地具备施工条件的要求及完成的时间：</w:t>
      </w:r>
      <w:r>
        <w:rPr>
          <w:rFonts w:hint="eastAsia" w:ascii="宋体" w:hAnsi="宋体" w:eastAsia="宋体" w:cs="宋体"/>
          <w:b/>
          <w:bCs/>
          <w:color w:val="auto"/>
          <w:sz w:val="21"/>
          <w:szCs w:val="21"/>
          <w:highlight w:val="none"/>
          <w:u w:val="single"/>
        </w:rPr>
        <w:t xml:space="preserve">正式开工前完成，并满足施工要求 </w:t>
      </w:r>
      <w:r>
        <w:rPr>
          <w:rFonts w:hint="eastAsia" w:ascii="宋体" w:hAnsi="宋体" w:eastAsia="宋体" w:cs="宋体"/>
          <w:b/>
          <w:bCs/>
          <w:color w:val="auto"/>
          <w:sz w:val="21"/>
          <w:szCs w:val="21"/>
          <w:highlight w:val="none"/>
        </w:rPr>
        <w:t>。</w:t>
      </w:r>
    </w:p>
    <w:p w14:paraId="4EB96336">
      <w:pPr>
        <w:keepNext w:val="0"/>
        <w:keepLines w:val="0"/>
        <w:pageBreakBefore w:val="0"/>
        <w:widowControl w:val="0"/>
        <w:kinsoku/>
        <w:wordWrap/>
        <w:overflowPunct/>
        <w:topLinePunct w:val="0"/>
        <w:bidi w:val="0"/>
        <w:spacing w:after="1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（3）将施工所需的水、电、电讯线路接至施工场地的时间、地点和供应要求：</w:t>
      </w:r>
      <w:r>
        <w:rPr>
          <w:rFonts w:hint="eastAsia" w:ascii="宋体" w:hAnsi="宋体" w:eastAsia="宋体" w:cs="宋体"/>
          <w:b/>
          <w:color w:val="auto"/>
          <w:kern w:val="0"/>
          <w:sz w:val="21"/>
          <w:szCs w:val="21"/>
          <w:highlight w:val="none"/>
          <w:u w:val="single"/>
        </w:rPr>
        <w:t>发包人指定现场施工用水、用电接管接线位置，由承包人根据施工现场情况安表并接通，承包人按表计量缴纳水电费</w:t>
      </w:r>
      <w:r>
        <w:rPr>
          <w:rFonts w:hint="eastAsia" w:ascii="宋体" w:hAnsi="宋体" w:eastAsia="宋体" w:cs="宋体"/>
          <w:color w:val="auto"/>
          <w:sz w:val="21"/>
          <w:szCs w:val="21"/>
          <w:highlight w:val="none"/>
        </w:rPr>
        <w:t>。</w:t>
      </w:r>
    </w:p>
    <w:p w14:paraId="480280E9">
      <w:pPr>
        <w:keepNext w:val="0"/>
        <w:keepLines w:val="0"/>
        <w:pageBreakBefore w:val="0"/>
        <w:widowControl w:val="0"/>
        <w:kinsoku/>
        <w:wordWrap/>
        <w:overflowPunct/>
        <w:topLinePunct w:val="0"/>
        <w:autoSpaceDE w:val="0"/>
        <w:autoSpaceDN w:val="0"/>
        <w:bidi w:val="0"/>
        <w:adjustRightInd w:val="0"/>
        <w:spacing w:after="10" w:line="360" w:lineRule="auto"/>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）双方约定发包人应做的其他工作:</w:t>
      </w:r>
      <w:r>
        <w:rPr>
          <w:rFonts w:hint="eastAsia" w:ascii="宋体" w:hAnsi="宋体" w:eastAsia="宋体" w:cs="宋体"/>
          <w:b/>
          <w:color w:val="auto"/>
          <w:kern w:val="0"/>
          <w:sz w:val="21"/>
          <w:szCs w:val="21"/>
          <w:highlight w:val="none"/>
          <w:u w:val="single"/>
        </w:rPr>
        <w:t>无，若有发生，双方另行签补充协议书。</w:t>
      </w:r>
    </w:p>
    <w:p w14:paraId="42425F1E">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bookmarkStart w:id="301" w:name="_Toc350961213"/>
      <w:bookmarkStart w:id="302" w:name="_Toc243980018"/>
      <w:r>
        <w:rPr>
          <w:rFonts w:hint="eastAsia" w:ascii="宋体" w:hAnsi="宋体" w:eastAsia="宋体" w:cs="宋体"/>
          <w:snapToGrid w:val="0"/>
          <w:color w:val="auto"/>
          <w:sz w:val="21"/>
          <w:szCs w:val="21"/>
          <w:highlight w:val="none"/>
        </w:rPr>
        <w:t>2.8其他义务</w:t>
      </w:r>
      <w:bookmarkEnd w:id="301"/>
      <w:bookmarkEnd w:id="302"/>
    </w:p>
    <w:p w14:paraId="37717371">
      <w:pPr>
        <w:keepNext w:val="0"/>
        <w:keepLines w:val="0"/>
        <w:pageBreakBefore w:val="0"/>
        <w:widowControl w:val="0"/>
        <w:kinsoku/>
        <w:wordWrap/>
        <w:overflowPunct/>
        <w:topLinePunct w:val="0"/>
        <w:bidi w:val="0"/>
        <w:spacing w:after="1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发包人向承包人提供支付担保的金额、方式和提交时间：</w:t>
      </w:r>
      <w:r>
        <w:rPr>
          <w:rFonts w:hint="eastAsia" w:ascii="宋体" w:hAnsi="宋体" w:eastAsia="宋体" w:cs="宋体"/>
          <w:b/>
          <w:color w:val="auto"/>
          <w:sz w:val="21"/>
          <w:szCs w:val="21"/>
          <w:highlight w:val="none"/>
          <w:u w:val="single"/>
        </w:rPr>
        <w:t xml:space="preserve">   无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065DCEE">
      <w:pPr>
        <w:pStyle w:val="4"/>
        <w:keepNext w:val="0"/>
        <w:keepLines w:val="0"/>
        <w:pageBreakBefore w:val="0"/>
        <w:widowControl w:val="0"/>
        <w:kinsoku/>
        <w:wordWrap/>
        <w:overflowPunct/>
        <w:topLinePunct w:val="0"/>
        <w:bidi w:val="0"/>
        <w:spacing w:before="0" w:after="10" w:line="360" w:lineRule="auto"/>
        <w:rPr>
          <w:rFonts w:hint="eastAsia" w:ascii="宋体" w:hAnsi="宋体" w:eastAsia="宋体" w:cs="宋体"/>
          <w:b w:val="0"/>
          <w:color w:val="auto"/>
          <w:sz w:val="21"/>
          <w:szCs w:val="21"/>
          <w:highlight w:val="none"/>
          <w:lang w:eastAsia="zh-CN"/>
        </w:rPr>
      </w:pPr>
      <w:bookmarkStart w:id="303" w:name="_Toc350961214"/>
      <w:bookmarkStart w:id="304" w:name="_Toc243980019"/>
      <w:r>
        <w:rPr>
          <w:rFonts w:hint="eastAsia" w:ascii="宋体" w:hAnsi="宋体" w:eastAsia="宋体" w:cs="宋体"/>
          <w:snapToGrid w:val="0"/>
          <w:color w:val="auto"/>
          <w:sz w:val="21"/>
          <w:szCs w:val="21"/>
          <w:highlight w:val="none"/>
        </w:rPr>
        <w:t>3监理人</w:t>
      </w:r>
      <w:bookmarkEnd w:id="303"/>
      <w:bookmarkEnd w:id="304"/>
      <w:r>
        <w:rPr>
          <w:rFonts w:hint="eastAsia" w:ascii="宋体" w:hAnsi="宋体" w:eastAsia="宋体" w:cs="宋体"/>
          <w:snapToGrid w:val="0"/>
          <w:color w:val="auto"/>
          <w:sz w:val="21"/>
          <w:szCs w:val="21"/>
          <w:highlight w:val="none"/>
          <w:lang w:eastAsia="zh-CN"/>
        </w:rPr>
        <w:t>：无</w:t>
      </w:r>
    </w:p>
    <w:p w14:paraId="311DB79F">
      <w:pPr>
        <w:pStyle w:val="4"/>
        <w:keepNext w:val="0"/>
        <w:keepLines w:val="0"/>
        <w:pageBreakBefore w:val="0"/>
        <w:widowControl w:val="0"/>
        <w:kinsoku/>
        <w:wordWrap/>
        <w:overflowPunct/>
        <w:topLinePunct w:val="0"/>
        <w:bidi w:val="0"/>
        <w:spacing w:before="0" w:after="10" w:line="360" w:lineRule="auto"/>
        <w:rPr>
          <w:rFonts w:hint="eastAsia" w:ascii="宋体" w:hAnsi="宋体" w:eastAsia="宋体" w:cs="宋体"/>
          <w:snapToGrid w:val="0"/>
          <w:color w:val="auto"/>
          <w:sz w:val="21"/>
          <w:szCs w:val="21"/>
          <w:highlight w:val="none"/>
        </w:rPr>
      </w:pPr>
      <w:bookmarkStart w:id="305" w:name="_Toc350961216"/>
      <w:bookmarkStart w:id="306" w:name="_Toc243980021"/>
      <w:r>
        <w:rPr>
          <w:rFonts w:hint="eastAsia" w:ascii="宋体" w:hAnsi="宋体" w:eastAsia="宋体" w:cs="宋体"/>
          <w:snapToGrid w:val="0"/>
          <w:color w:val="auto"/>
          <w:sz w:val="21"/>
          <w:szCs w:val="21"/>
          <w:highlight w:val="none"/>
        </w:rPr>
        <w:t>4承包人</w:t>
      </w:r>
      <w:bookmarkEnd w:id="305"/>
      <w:bookmarkEnd w:id="306"/>
    </w:p>
    <w:p w14:paraId="21B7AA75">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bookmarkStart w:id="307" w:name="_Toc350961217"/>
      <w:bookmarkStart w:id="308" w:name="_Toc243980022"/>
      <w:r>
        <w:rPr>
          <w:rFonts w:hint="eastAsia" w:ascii="宋体" w:hAnsi="宋体" w:eastAsia="宋体" w:cs="宋体"/>
          <w:snapToGrid w:val="0"/>
          <w:color w:val="auto"/>
          <w:sz w:val="21"/>
          <w:szCs w:val="21"/>
          <w:highlight w:val="none"/>
        </w:rPr>
        <w:t>4.1承包人的一般义务</w:t>
      </w:r>
      <w:bookmarkEnd w:id="307"/>
      <w:bookmarkEnd w:id="308"/>
    </w:p>
    <w:p w14:paraId="016EE92A">
      <w:pPr>
        <w:keepNext w:val="0"/>
        <w:keepLines w:val="0"/>
        <w:pageBreakBefore w:val="0"/>
        <w:widowControl w:val="0"/>
        <w:kinsoku/>
        <w:wordWrap/>
        <w:overflowPunct/>
        <w:topLinePunct w:val="0"/>
        <w:bidi w:val="0"/>
        <w:spacing w:after="1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4.1.8  为他人提供方便</w:t>
      </w:r>
    </w:p>
    <w:p w14:paraId="2F427833">
      <w:pPr>
        <w:keepNext w:val="0"/>
        <w:keepLines w:val="0"/>
        <w:pageBreakBefore w:val="0"/>
        <w:widowControl w:val="0"/>
        <w:kinsoku/>
        <w:wordWrap/>
        <w:overflowPunct/>
        <w:topLinePunct w:val="0"/>
        <w:bidi w:val="0"/>
        <w:spacing w:after="10" w:line="360" w:lineRule="auto"/>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rPr>
        <w:t xml:space="preserve">    承包人为他人提供条件的内容：</w:t>
      </w:r>
      <w:r>
        <w:rPr>
          <w:rFonts w:hint="eastAsia" w:ascii="宋体" w:hAnsi="宋体" w:eastAsia="宋体" w:cs="宋体"/>
          <w:b/>
          <w:color w:val="auto"/>
          <w:sz w:val="21"/>
          <w:szCs w:val="21"/>
          <w:highlight w:val="none"/>
          <w:u w:val="single"/>
        </w:rPr>
        <w:t>对于可能存在同步进行或交叉作业情况的其他专业工程，承包人应为其他专业工程作业提供作业面、施工道路等条件并作好衔接配合工作</w:t>
      </w:r>
      <w:r>
        <w:rPr>
          <w:rFonts w:hint="eastAsia" w:ascii="宋体" w:hAnsi="宋体" w:eastAsia="宋体" w:cs="宋体"/>
          <w:b/>
          <w:iCs/>
          <w:color w:val="auto"/>
          <w:sz w:val="21"/>
          <w:szCs w:val="21"/>
          <w:highlight w:val="none"/>
          <w:u w:val="single"/>
        </w:rPr>
        <w:t>。</w:t>
      </w:r>
    </w:p>
    <w:p w14:paraId="2189158E">
      <w:pPr>
        <w:keepNext w:val="0"/>
        <w:keepLines w:val="0"/>
        <w:pageBreakBefore w:val="0"/>
        <w:widowControl w:val="0"/>
        <w:kinsoku/>
        <w:wordWrap/>
        <w:overflowPunct/>
        <w:topLinePunct w:val="0"/>
        <w:bidi w:val="0"/>
        <w:spacing w:after="1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承包人为他人提供条件可能发生费用的处理方法：</w:t>
      </w:r>
      <w:r>
        <w:rPr>
          <w:rFonts w:hint="eastAsia" w:ascii="宋体" w:hAnsi="宋体" w:eastAsia="宋体" w:cs="宋体"/>
          <w:b/>
          <w:color w:val="auto"/>
          <w:kern w:val="0"/>
          <w:sz w:val="21"/>
          <w:szCs w:val="21"/>
          <w:highlight w:val="none"/>
          <w:u w:val="single"/>
        </w:rPr>
        <w:t>承包人为他人提供条件可能发生的费用均包含在合同价中，不再单独计取。</w:t>
      </w:r>
    </w:p>
    <w:p w14:paraId="6774BFF6">
      <w:pPr>
        <w:keepNext w:val="0"/>
        <w:keepLines w:val="0"/>
        <w:pageBreakBefore w:val="0"/>
        <w:widowControl w:val="0"/>
        <w:kinsoku/>
        <w:wordWrap/>
        <w:overflowPunct/>
        <w:topLinePunct w:val="0"/>
        <w:bidi w:val="0"/>
        <w:spacing w:after="1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4.1.10  其他义务</w:t>
      </w:r>
    </w:p>
    <w:p w14:paraId="30E3B50F">
      <w:pPr>
        <w:keepNext w:val="0"/>
        <w:keepLines w:val="0"/>
        <w:pageBreakBefore w:val="0"/>
        <w:widowControl w:val="0"/>
        <w:kinsoku/>
        <w:wordWrap/>
        <w:overflowPunct/>
        <w:topLinePunct w:val="0"/>
        <w:autoSpaceDE w:val="0"/>
        <w:autoSpaceDN w:val="0"/>
        <w:bidi w:val="0"/>
        <w:adjustRightInd w:val="0"/>
        <w:spacing w:after="10" w:line="360" w:lineRule="auto"/>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施工场地清洁卫生的要求：</w:t>
      </w:r>
      <w:r>
        <w:rPr>
          <w:rFonts w:hint="eastAsia" w:ascii="宋体" w:hAnsi="宋体" w:eastAsia="宋体" w:cs="宋体"/>
          <w:b/>
          <w:color w:val="auto"/>
          <w:kern w:val="0"/>
          <w:sz w:val="21"/>
          <w:szCs w:val="21"/>
          <w:highlight w:val="none"/>
          <w:u w:val="single"/>
        </w:rPr>
        <w:t>施工期间做到安全生产，文明施工；保持施工场地清洁，材料堆放有序，工程交付使用前应将施工场地内的环境卫生清理、打扫干净。</w:t>
      </w:r>
    </w:p>
    <w:p w14:paraId="28CD9DFF">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bookmarkStart w:id="309" w:name="_Toc350961218"/>
      <w:bookmarkStart w:id="310" w:name="_Toc243980023"/>
      <w:r>
        <w:rPr>
          <w:rFonts w:hint="eastAsia" w:ascii="宋体" w:hAnsi="宋体" w:eastAsia="宋体" w:cs="宋体"/>
          <w:snapToGrid w:val="0"/>
          <w:color w:val="auto"/>
          <w:sz w:val="21"/>
          <w:szCs w:val="21"/>
          <w:highlight w:val="none"/>
        </w:rPr>
        <w:t>4.2履约担保</w:t>
      </w:r>
      <w:bookmarkEnd w:id="309"/>
      <w:bookmarkEnd w:id="310"/>
    </w:p>
    <w:p w14:paraId="2D5D6172">
      <w:pPr>
        <w:keepNext w:val="0"/>
        <w:keepLines w:val="0"/>
        <w:pageBreakBefore w:val="0"/>
        <w:widowControl w:val="0"/>
        <w:kinsoku/>
        <w:wordWrap/>
        <w:overflowPunct/>
        <w:topLinePunct w:val="0"/>
        <w:bidi w:val="0"/>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4.2.1</w:t>
      </w:r>
      <w:r>
        <w:rPr>
          <w:rFonts w:hint="eastAsia" w:ascii="宋体" w:hAnsi="宋体" w:eastAsia="宋体" w:cs="宋体"/>
          <w:color w:val="auto"/>
          <w:kern w:val="0"/>
          <w:sz w:val="21"/>
          <w:szCs w:val="21"/>
          <w:highlight w:val="none"/>
          <w:lang w:eastAsia="zh-CN"/>
        </w:rPr>
        <w:t>中选人</w:t>
      </w:r>
      <w:r>
        <w:rPr>
          <w:rFonts w:hint="eastAsia" w:ascii="宋体" w:hAnsi="宋体" w:eastAsia="宋体" w:cs="宋体"/>
          <w:color w:val="auto"/>
          <w:kern w:val="0"/>
          <w:sz w:val="21"/>
          <w:szCs w:val="21"/>
          <w:highlight w:val="none"/>
        </w:rPr>
        <w:t>是否提供履约担保：</w:t>
      </w:r>
      <w:r>
        <w:rPr>
          <w:rFonts w:hint="eastAsia" w:ascii="宋体" w:hAnsi="宋体" w:eastAsia="宋体" w:cs="宋体"/>
          <w:color w:val="auto"/>
          <w:kern w:val="0"/>
          <w:sz w:val="21"/>
          <w:szCs w:val="21"/>
          <w:highlight w:val="none"/>
          <w:u w:val="single"/>
          <w:lang w:eastAsia="zh-CN"/>
        </w:rPr>
        <w:t>无</w:t>
      </w:r>
      <w:r>
        <w:rPr>
          <w:rFonts w:hint="eastAsia" w:ascii="宋体" w:hAnsi="宋体" w:eastAsia="宋体" w:cs="宋体"/>
          <w:color w:val="auto"/>
          <w:kern w:val="0"/>
          <w:sz w:val="21"/>
          <w:szCs w:val="21"/>
          <w:highlight w:val="none"/>
        </w:rPr>
        <w:t>。</w:t>
      </w:r>
    </w:p>
    <w:p w14:paraId="4E2EBED8">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bookmarkStart w:id="311" w:name="_Toc350961219"/>
      <w:bookmarkStart w:id="312" w:name="_Toc243980024"/>
      <w:r>
        <w:rPr>
          <w:rFonts w:hint="eastAsia" w:ascii="宋体" w:hAnsi="宋体" w:eastAsia="宋体" w:cs="宋体"/>
          <w:snapToGrid w:val="0"/>
          <w:color w:val="auto"/>
          <w:sz w:val="21"/>
          <w:szCs w:val="21"/>
          <w:highlight w:val="none"/>
        </w:rPr>
        <w:t>4.3分包</w:t>
      </w:r>
      <w:bookmarkEnd w:id="311"/>
      <w:bookmarkEnd w:id="312"/>
    </w:p>
    <w:p w14:paraId="3C6A29C1">
      <w:pPr>
        <w:keepNext w:val="0"/>
        <w:keepLines w:val="0"/>
        <w:pageBreakBefore w:val="0"/>
        <w:widowControl w:val="0"/>
        <w:kinsoku/>
        <w:wordWrap/>
        <w:overflowPunct/>
        <w:topLinePunct w:val="0"/>
        <w:bidi w:val="0"/>
        <w:spacing w:after="1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4.3.2  分包的内容</w:t>
      </w:r>
    </w:p>
    <w:p w14:paraId="0A74234B">
      <w:pPr>
        <w:keepNext w:val="0"/>
        <w:keepLines w:val="0"/>
        <w:pageBreakBefore w:val="0"/>
        <w:widowControl w:val="0"/>
        <w:kinsoku/>
        <w:wordWrap/>
        <w:overflowPunct/>
        <w:topLinePunct w:val="0"/>
        <w:bidi w:val="0"/>
        <w:spacing w:after="10" w:line="360" w:lineRule="auto"/>
        <w:ind w:firstLine="422" w:firstLineChars="200"/>
        <w:rPr>
          <w:rFonts w:hint="eastAsia" w:ascii="宋体" w:hAnsi="宋体" w:eastAsia="宋体" w:cs="宋体"/>
          <w:b/>
          <w:color w:val="auto"/>
          <w:sz w:val="21"/>
          <w:szCs w:val="21"/>
          <w:highlight w:val="none"/>
          <w:u w:val="single"/>
        </w:rPr>
      </w:pPr>
      <w:bookmarkStart w:id="313" w:name="_Toc243980025"/>
      <w:bookmarkStart w:id="314" w:name="_Toc350961220"/>
      <w:r>
        <w:rPr>
          <w:rFonts w:hint="eastAsia" w:ascii="宋体" w:hAnsi="宋体" w:eastAsia="宋体" w:cs="宋体"/>
          <w:b/>
          <w:color w:val="auto"/>
          <w:sz w:val="21"/>
          <w:szCs w:val="21"/>
          <w:highlight w:val="none"/>
          <w:u w:val="single"/>
        </w:rPr>
        <w:t>不允许分包。</w:t>
      </w:r>
    </w:p>
    <w:p w14:paraId="42D54AAF">
      <w:pPr>
        <w:keepNext w:val="0"/>
        <w:keepLines w:val="0"/>
        <w:pageBreakBefore w:val="0"/>
        <w:widowControl w:val="0"/>
        <w:kinsoku/>
        <w:wordWrap/>
        <w:overflowPunct/>
        <w:topLinePunct w:val="0"/>
        <w:bidi w:val="0"/>
        <w:spacing w:after="10" w:line="360" w:lineRule="auto"/>
        <w:ind w:firstLine="420" w:firstLineChars="20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4.11  不利物质条件</w:t>
      </w:r>
      <w:bookmarkEnd w:id="313"/>
      <w:bookmarkEnd w:id="314"/>
    </w:p>
    <w:p w14:paraId="316DE39E">
      <w:pPr>
        <w:keepNext w:val="0"/>
        <w:keepLines w:val="0"/>
        <w:pageBreakBefore w:val="0"/>
        <w:widowControl w:val="0"/>
        <w:kinsoku/>
        <w:wordWrap/>
        <w:overflowPunct/>
        <w:topLinePunct w:val="0"/>
        <w:bidi w:val="0"/>
        <w:spacing w:after="10" w:line="360" w:lineRule="auto"/>
        <w:rPr>
          <w:rFonts w:hint="eastAsia" w:ascii="宋体" w:hAnsi="宋体" w:eastAsia="宋体" w:cs="宋体"/>
          <w:b/>
          <w:color w:val="auto"/>
          <w:kern w:val="0"/>
          <w:sz w:val="21"/>
          <w:szCs w:val="21"/>
          <w:highlight w:val="none"/>
          <w:u w:val="single"/>
        </w:rPr>
      </w:pPr>
      <w:r>
        <w:rPr>
          <w:rFonts w:hint="eastAsia" w:ascii="宋体" w:hAnsi="宋体" w:eastAsia="宋体" w:cs="宋体"/>
          <w:color w:val="auto"/>
          <w:sz w:val="21"/>
          <w:szCs w:val="21"/>
          <w:highlight w:val="none"/>
        </w:rPr>
        <w:t xml:space="preserve">    4.11.1不利物质条件的范围：</w:t>
      </w:r>
      <w:r>
        <w:rPr>
          <w:rFonts w:hint="eastAsia" w:ascii="宋体" w:hAnsi="宋体" w:eastAsia="宋体" w:cs="宋体"/>
          <w:b/>
          <w:color w:val="auto"/>
          <w:sz w:val="21"/>
          <w:szCs w:val="21"/>
          <w:highlight w:val="none"/>
          <w:u w:val="single"/>
        </w:rPr>
        <w:t>承包人在竞选申请报价时已充分考虑，施工中不再单独计取任何费用</w:t>
      </w:r>
      <w:r>
        <w:rPr>
          <w:rFonts w:hint="eastAsia" w:ascii="宋体" w:hAnsi="宋体" w:eastAsia="宋体" w:cs="宋体"/>
          <w:b/>
          <w:color w:val="auto"/>
          <w:sz w:val="21"/>
          <w:szCs w:val="21"/>
          <w:highlight w:val="none"/>
        </w:rPr>
        <w:t>。</w:t>
      </w:r>
    </w:p>
    <w:p w14:paraId="1EC771AB">
      <w:pPr>
        <w:pStyle w:val="4"/>
        <w:keepNext w:val="0"/>
        <w:keepLines w:val="0"/>
        <w:pageBreakBefore w:val="0"/>
        <w:widowControl w:val="0"/>
        <w:kinsoku/>
        <w:wordWrap/>
        <w:overflowPunct/>
        <w:topLinePunct w:val="0"/>
        <w:bidi w:val="0"/>
        <w:spacing w:before="0" w:after="10" w:line="360" w:lineRule="auto"/>
        <w:rPr>
          <w:rFonts w:hint="eastAsia" w:ascii="宋体" w:hAnsi="宋体" w:eastAsia="宋体" w:cs="宋体"/>
          <w:snapToGrid w:val="0"/>
          <w:color w:val="auto"/>
          <w:sz w:val="21"/>
          <w:szCs w:val="21"/>
          <w:highlight w:val="none"/>
        </w:rPr>
      </w:pPr>
      <w:bookmarkStart w:id="315" w:name="_Toc350961221"/>
      <w:bookmarkStart w:id="316" w:name="_Toc243980026"/>
      <w:r>
        <w:rPr>
          <w:rFonts w:hint="eastAsia" w:ascii="宋体" w:hAnsi="宋体" w:eastAsia="宋体" w:cs="宋体"/>
          <w:snapToGrid w:val="0"/>
          <w:color w:val="auto"/>
          <w:sz w:val="21"/>
          <w:szCs w:val="21"/>
          <w:highlight w:val="none"/>
        </w:rPr>
        <w:t>5材料和工程设备</w:t>
      </w:r>
      <w:bookmarkEnd w:id="315"/>
      <w:bookmarkEnd w:id="316"/>
    </w:p>
    <w:p w14:paraId="263A1BC4">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bookmarkStart w:id="317" w:name="_Toc350961222"/>
      <w:bookmarkStart w:id="318" w:name="_Toc243980027"/>
      <w:r>
        <w:rPr>
          <w:rFonts w:hint="eastAsia" w:ascii="宋体" w:hAnsi="宋体" w:eastAsia="宋体" w:cs="宋体"/>
          <w:snapToGrid w:val="0"/>
          <w:color w:val="auto"/>
          <w:sz w:val="21"/>
          <w:szCs w:val="21"/>
          <w:highlight w:val="none"/>
        </w:rPr>
        <w:t>5.1承包人提供的材料和工程设备</w:t>
      </w:r>
      <w:bookmarkEnd w:id="317"/>
      <w:bookmarkEnd w:id="318"/>
    </w:p>
    <w:p w14:paraId="0C046AD4">
      <w:pPr>
        <w:keepNext w:val="0"/>
        <w:keepLines w:val="0"/>
        <w:pageBreakBefore w:val="0"/>
        <w:widowControl w:val="0"/>
        <w:kinsoku/>
        <w:wordWrap/>
        <w:overflowPunct/>
        <w:topLinePunct w:val="0"/>
        <w:bidi w:val="0"/>
        <w:spacing w:after="10" w:line="360" w:lineRule="auto"/>
        <w:ind w:firstLine="420" w:firstLineChars="200"/>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rPr>
        <w:t>5.1.1  承包人负责采购、运输和保管的材料、工程设备：</w:t>
      </w:r>
      <w:r>
        <w:rPr>
          <w:rFonts w:hint="eastAsia" w:ascii="宋体" w:hAnsi="宋体" w:eastAsia="宋体" w:cs="宋体"/>
          <w:b/>
          <w:color w:val="auto"/>
          <w:sz w:val="21"/>
          <w:szCs w:val="21"/>
          <w:highlight w:val="none"/>
          <w:u w:val="single"/>
        </w:rPr>
        <w:t>本工程承包范围内所用的全部材料、设备原则上均由承包人按施工图纸</w:t>
      </w:r>
      <w:r>
        <w:rPr>
          <w:rFonts w:hint="eastAsia" w:ascii="宋体" w:hAnsi="宋体" w:eastAsia="宋体" w:cs="宋体"/>
          <w:b/>
          <w:color w:val="auto"/>
          <w:sz w:val="21"/>
          <w:szCs w:val="21"/>
          <w:highlight w:val="none"/>
          <w:u w:val="single"/>
          <w:lang w:eastAsia="zh-CN"/>
        </w:rPr>
        <w:t>（</w:t>
      </w:r>
      <w:r>
        <w:rPr>
          <w:rFonts w:hint="eastAsia" w:ascii="宋体" w:hAnsi="宋体" w:eastAsia="宋体" w:cs="宋体"/>
          <w:b/>
          <w:color w:val="auto"/>
          <w:sz w:val="21"/>
          <w:szCs w:val="21"/>
          <w:highlight w:val="none"/>
          <w:u w:val="single"/>
          <w:lang w:val="en-US" w:eastAsia="zh-CN"/>
        </w:rPr>
        <w:t>如有</w:t>
      </w:r>
      <w:r>
        <w:rPr>
          <w:rFonts w:hint="eastAsia" w:ascii="宋体" w:hAnsi="宋体" w:eastAsia="宋体" w:cs="宋体"/>
          <w:b/>
          <w:color w:val="auto"/>
          <w:sz w:val="21"/>
          <w:szCs w:val="21"/>
          <w:highlight w:val="none"/>
          <w:u w:val="single"/>
          <w:lang w:eastAsia="zh-CN"/>
        </w:rPr>
        <w:t>）</w:t>
      </w:r>
      <w:r>
        <w:rPr>
          <w:rFonts w:hint="eastAsia" w:ascii="宋体" w:hAnsi="宋体" w:eastAsia="宋体" w:cs="宋体"/>
          <w:b/>
          <w:color w:val="auto"/>
          <w:sz w:val="21"/>
          <w:szCs w:val="21"/>
          <w:highlight w:val="none"/>
          <w:u w:val="single"/>
        </w:rPr>
        <w:t>和比选文件要求负责采购、运输、保管，但承包人必须提供材料、设备的产地、生产企业、数量、规格、技术经济参数、质量等级、色彩、价格等报发包人书面认可后才能采购，否则一切后果由承包人承担。</w:t>
      </w:r>
    </w:p>
    <w:p w14:paraId="5D1A63F8">
      <w:pPr>
        <w:pStyle w:val="4"/>
        <w:keepNext w:val="0"/>
        <w:keepLines w:val="0"/>
        <w:pageBreakBefore w:val="0"/>
        <w:widowControl w:val="0"/>
        <w:kinsoku/>
        <w:wordWrap/>
        <w:overflowPunct/>
        <w:topLinePunct w:val="0"/>
        <w:bidi w:val="0"/>
        <w:spacing w:before="0" w:after="10" w:line="360" w:lineRule="auto"/>
        <w:rPr>
          <w:rFonts w:hint="eastAsia" w:ascii="宋体" w:hAnsi="宋体" w:eastAsia="宋体" w:cs="宋体"/>
          <w:color w:val="auto"/>
          <w:sz w:val="21"/>
          <w:szCs w:val="21"/>
          <w:highlight w:val="none"/>
        </w:rPr>
      </w:pPr>
      <w:bookmarkStart w:id="319" w:name="_Toc243980029"/>
      <w:bookmarkStart w:id="320" w:name="_Toc350961224"/>
      <w:r>
        <w:rPr>
          <w:rFonts w:hint="eastAsia" w:ascii="宋体" w:hAnsi="宋体" w:eastAsia="宋体" w:cs="宋体"/>
          <w:snapToGrid w:val="0"/>
          <w:color w:val="auto"/>
          <w:sz w:val="21"/>
          <w:szCs w:val="21"/>
          <w:highlight w:val="none"/>
        </w:rPr>
        <w:t>6.施工设备和临时设施</w:t>
      </w:r>
      <w:bookmarkEnd w:id="319"/>
      <w:bookmarkEnd w:id="320"/>
      <w:r>
        <w:rPr>
          <w:rFonts w:hint="eastAsia" w:ascii="宋体" w:hAnsi="宋体" w:eastAsia="宋体" w:cs="宋体"/>
          <w:color w:val="auto"/>
          <w:sz w:val="21"/>
          <w:szCs w:val="21"/>
          <w:highlight w:val="none"/>
        </w:rPr>
        <w:t>：</w:t>
      </w:r>
      <w:r>
        <w:rPr>
          <w:rFonts w:hint="eastAsia" w:ascii="宋体" w:hAnsi="宋体" w:eastAsia="宋体" w:cs="宋体"/>
          <w:b/>
          <w:bCs/>
          <w:snapToGrid w:val="0"/>
          <w:color w:val="auto"/>
          <w:sz w:val="21"/>
          <w:szCs w:val="21"/>
          <w:highlight w:val="none"/>
          <w:u w:val="single"/>
        </w:rPr>
        <w:t xml:space="preserve">无 </w:t>
      </w:r>
      <w:r>
        <w:rPr>
          <w:rFonts w:hint="eastAsia" w:ascii="宋体" w:hAnsi="宋体" w:eastAsia="宋体" w:cs="宋体"/>
          <w:color w:val="auto"/>
          <w:sz w:val="21"/>
          <w:szCs w:val="21"/>
          <w:highlight w:val="none"/>
          <w:u w:val="single"/>
        </w:rPr>
        <w:t xml:space="preserve"> </w:t>
      </w:r>
    </w:p>
    <w:p w14:paraId="2BCE0968">
      <w:pPr>
        <w:keepNext w:val="0"/>
        <w:keepLines w:val="0"/>
        <w:pageBreakBefore w:val="0"/>
        <w:widowControl w:val="0"/>
        <w:kinsoku/>
        <w:wordWrap/>
        <w:overflowPunct/>
        <w:topLinePunct w:val="0"/>
        <w:bidi w:val="0"/>
        <w:spacing w:after="10" w:line="360" w:lineRule="auto"/>
        <w:rPr>
          <w:rFonts w:hint="eastAsia" w:ascii="宋体" w:hAnsi="宋体" w:eastAsia="宋体" w:cs="宋体"/>
          <w:snapToGrid w:val="0"/>
          <w:color w:val="auto"/>
          <w:sz w:val="21"/>
          <w:szCs w:val="21"/>
          <w:highlight w:val="none"/>
        </w:rPr>
      </w:pPr>
      <w:bookmarkStart w:id="321" w:name="_Toc350961227"/>
      <w:bookmarkStart w:id="322" w:name="_Toc243980032"/>
      <w:r>
        <w:rPr>
          <w:rFonts w:hint="eastAsia" w:ascii="宋体" w:hAnsi="宋体" w:eastAsia="宋体" w:cs="宋体"/>
          <w:b/>
          <w:bCs/>
          <w:snapToGrid w:val="0"/>
          <w:color w:val="auto"/>
          <w:kern w:val="2"/>
          <w:sz w:val="21"/>
          <w:szCs w:val="21"/>
          <w:highlight w:val="none"/>
          <w:lang w:val="en-US" w:eastAsia="zh-CN" w:bidi="ar-SA"/>
        </w:rPr>
        <w:t>7.交通运输</w:t>
      </w:r>
      <w:bookmarkEnd w:id="321"/>
      <w:bookmarkEnd w:id="322"/>
    </w:p>
    <w:p w14:paraId="7C65753A">
      <w:pPr>
        <w:keepNext w:val="0"/>
        <w:keepLines w:val="0"/>
        <w:pageBreakBefore w:val="0"/>
        <w:widowControl w:val="0"/>
        <w:kinsoku/>
        <w:wordWrap/>
        <w:overflowPunct/>
        <w:topLinePunct w:val="0"/>
        <w:bidi w:val="0"/>
        <w:spacing w:after="10"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临时道路和交通设施的修建、维护、养护和管理人：</w:t>
      </w:r>
      <w:r>
        <w:rPr>
          <w:rFonts w:hint="eastAsia" w:ascii="宋体" w:hAnsi="宋体" w:eastAsia="宋体" w:cs="宋体"/>
          <w:b/>
          <w:color w:val="auto"/>
          <w:sz w:val="21"/>
          <w:szCs w:val="21"/>
          <w:highlight w:val="none"/>
          <w:u w:val="single"/>
        </w:rPr>
        <w:t xml:space="preserve">承包人  </w:t>
      </w:r>
    </w:p>
    <w:p w14:paraId="5A6B8D3A">
      <w:pPr>
        <w:keepNext w:val="0"/>
        <w:keepLines w:val="0"/>
        <w:pageBreakBefore w:val="0"/>
        <w:widowControl w:val="0"/>
        <w:kinsoku/>
        <w:wordWrap/>
        <w:overflowPunct/>
        <w:topLinePunct w:val="0"/>
        <w:bidi w:val="0"/>
        <w:spacing w:after="1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临时道路和交通设施相关费用的承担：</w:t>
      </w:r>
      <w:r>
        <w:rPr>
          <w:rFonts w:hint="eastAsia" w:ascii="宋体" w:hAnsi="宋体" w:eastAsia="宋体" w:cs="宋体"/>
          <w:b/>
          <w:color w:val="auto"/>
          <w:sz w:val="21"/>
          <w:szCs w:val="21"/>
          <w:highlight w:val="none"/>
          <w:u w:val="single"/>
        </w:rPr>
        <w:t>由承包人承担，发包人不另行支付</w:t>
      </w: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 xml:space="preserve">  </w:t>
      </w:r>
    </w:p>
    <w:p w14:paraId="0F486A23">
      <w:pPr>
        <w:pStyle w:val="4"/>
        <w:keepNext w:val="0"/>
        <w:keepLines w:val="0"/>
        <w:pageBreakBefore w:val="0"/>
        <w:widowControl w:val="0"/>
        <w:kinsoku/>
        <w:wordWrap/>
        <w:overflowPunct/>
        <w:topLinePunct w:val="0"/>
        <w:bidi w:val="0"/>
        <w:spacing w:before="0" w:after="10" w:line="360" w:lineRule="auto"/>
        <w:rPr>
          <w:rFonts w:hint="eastAsia" w:ascii="宋体" w:hAnsi="宋体" w:eastAsia="宋体" w:cs="宋体"/>
          <w:snapToGrid w:val="0"/>
          <w:color w:val="auto"/>
          <w:sz w:val="21"/>
          <w:szCs w:val="21"/>
          <w:highlight w:val="none"/>
        </w:rPr>
      </w:pPr>
      <w:bookmarkStart w:id="323" w:name="_Toc243980036"/>
      <w:bookmarkStart w:id="324" w:name="_Toc350961231"/>
      <w:r>
        <w:rPr>
          <w:rFonts w:hint="eastAsia" w:ascii="宋体" w:hAnsi="宋体" w:eastAsia="宋体" w:cs="宋体"/>
          <w:snapToGrid w:val="0"/>
          <w:color w:val="auto"/>
          <w:sz w:val="21"/>
          <w:szCs w:val="21"/>
          <w:highlight w:val="none"/>
        </w:rPr>
        <w:t>8测量放</w:t>
      </w:r>
      <w:bookmarkEnd w:id="323"/>
      <w:bookmarkEnd w:id="324"/>
      <w:r>
        <w:rPr>
          <w:rFonts w:hint="eastAsia" w:ascii="宋体" w:hAnsi="宋体" w:eastAsia="宋体" w:cs="宋体"/>
          <w:snapToGrid w:val="0"/>
          <w:color w:val="auto"/>
          <w:sz w:val="21"/>
          <w:szCs w:val="21"/>
          <w:highlight w:val="none"/>
        </w:rPr>
        <w:t>线</w:t>
      </w:r>
    </w:p>
    <w:p w14:paraId="1E0F29BA">
      <w:pPr>
        <w:keepNext w:val="0"/>
        <w:keepLines w:val="0"/>
        <w:pageBreakBefore w:val="0"/>
        <w:widowControl w:val="0"/>
        <w:kinsoku/>
        <w:wordWrap/>
        <w:overflowPunct/>
        <w:topLinePunct w:val="0"/>
        <w:bidi w:val="0"/>
        <w:spacing w:after="10" w:line="360" w:lineRule="auto"/>
        <w:rPr>
          <w:rFonts w:hint="eastAsia" w:ascii="宋体" w:hAnsi="宋体" w:eastAsia="宋体" w:cs="宋体"/>
          <w:color w:val="auto"/>
          <w:sz w:val="21"/>
          <w:szCs w:val="21"/>
          <w:highlight w:val="none"/>
        </w:rPr>
      </w:pPr>
      <w:bookmarkStart w:id="325" w:name="_Toc243980037"/>
      <w:bookmarkStart w:id="326" w:name="_Toc350961232"/>
      <w:r>
        <w:rPr>
          <w:rFonts w:hint="eastAsia" w:ascii="宋体" w:hAnsi="宋体" w:eastAsia="宋体" w:cs="宋体"/>
          <w:snapToGrid w:val="0"/>
          <w:color w:val="auto"/>
          <w:sz w:val="21"/>
          <w:szCs w:val="21"/>
          <w:highlight w:val="none"/>
        </w:rPr>
        <w:t>8.1施工控制网</w:t>
      </w:r>
      <w:bookmarkEnd w:id="325"/>
      <w:bookmarkEnd w:id="326"/>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u w:val="single"/>
        </w:rPr>
        <w:t>无</w:t>
      </w:r>
      <w:r>
        <w:rPr>
          <w:rFonts w:hint="eastAsia" w:ascii="宋体" w:hAnsi="宋体" w:eastAsia="宋体" w:cs="宋体"/>
          <w:color w:val="auto"/>
          <w:sz w:val="21"/>
          <w:szCs w:val="21"/>
          <w:highlight w:val="none"/>
          <w:u w:val="single"/>
        </w:rPr>
        <w:t xml:space="preserve"> </w:t>
      </w:r>
    </w:p>
    <w:p w14:paraId="3717C645">
      <w:pPr>
        <w:pStyle w:val="4"/>
        <w:keepNext w:val="0"/>
        <w:keepLines w:val="0"/>
        <w:pageBreakBefore w:val="0"/>
        <w:widowControl w:val="0"/>
        <w:kinsoku/>
        <w:wordWrap/>
        <w:overflowPunct/>
        <w:topLinePunct w:val="0"/>
        <w:bidi w:val="0"/>
        <w:spacing w:before="0" w:after="10" w:line="360" w:lineRule="auto"/>
        <w:rPr>
          <w:rFonts w:hint="eastAsia" w:ascii="宋体" w:hAnsi="宋体" w:eastAsia="宋体" w:cs="宋体"/>
          <w:snapToGrid w:val="0"/>
          <w:color w:val="auto"/>
          <w:sz w:val="21"/>
          <w:szCs w:val="21"/>
          <w:highlight w:val="none"/>
        </w:rPr>
      </w:pPr>
      <w:bookmarkStart w:id="327" w:name="_Toc243980038"/>
      <w:bookmarkStart w:id="328" w:name="_Toc350961233"/>
      <w:r>
        <w:rPr>
          <w:rFonts w:hint="eastAsia" w:ascii="宋体" w:hAnsi="宋体" w:eastAsia="宋体" w:cs="宋体"/>
          <w:snapToGrid w:val="0"/>
          <w:color w:val="auto"/>
          <w:sz w:val="21"/>
          <w:szCs w:val="21"/>
          <w:highlight w:val="none"/>
        </w:rPr>
        <w:t>9施工安全、治安保卫和环境保护</w:t>
      </w:r>
      <w:bookmarkEnd w:id="327"/>
      <w:bookmarkEnd w:id="328"/>
    </w:p>
    <w:p w14:paraId="219B5A38">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bookmarkStart w:id="329" w:name="_Toc350961234"/>
      <w:bookmarkStart w:id="330" w:name="_Toc243980039"/>
      <w:r>
        <w:rPr>
          <w:rFonts w:hint="eastAsia" w:ascii="宋体" w:hAnsi="宋体" w:eastAsia="宋体" w:cs="宋体"/>
          <w:snapToGrid w:val="0"/>
          <w:color w:val="auto"/>
          <w:sz w:val="21"/>
          <w:szCs w:val="21"/>
          <w:highlight w:val="none"/>
        </w:rPr>
        <w:t>9.1发包人的施工安全责任</w:t>
      </w:r>
      <w:bookmarkEnd w:id="329"/>
      <w:bookmarkEnd w:id="330"/>
    </w:p>
    <w:p w14:paraId="47D1A4E5">
      <w:pPr>
        <w:keepNext w:val="0"/>
        <w:keepLines w:val="0"/>
        <w:pageBreakBefore w:val="0"/>
        <w:widowControl w:val="0"/>
        <w:kinsoku/>
        <w:wordWrap/>
        <w:overflowPunct/>
        <w:topLinePunct w:val="0"/>
        <w:bidi w:val="0"/>
        <w:adjustRightInd w:val="0"/>
        <w:snapToGrid w:val="0"/>
        <w:spacing w:after="10" w:line="360" w:lineRule="auto"/>
        <w:ind w:firstLine="420" w:firstLineChars="200"/>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rPr>
        <w:t>9.1.1 发包人按照《重庆市建设工程安全生产监督管理办法》（渝建发〔2008〕177号）等相关规定履行好发包人的施工安全责任。</w:t>
      </w:r>
    </w:p>
    <w:p w14:paraId="3BB1202C">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bookmarkStart w:id="331" w:name="_Toc350961235"/>
      <w:bookmarkStart w:id="332" w:name="_Toc243980040"/>
      <w:r>
        <w:rPr>
          <w:rFonts w:hint="eastAsia" w:ascii="宋体" w:hAnsi="宋体" w:eastAsia="宋体" w:cs="宋体"/>
          <w:snapToGrid w:val="0"/>
          <w:color w:val="auto"/>
          <w:sz w:val="21"/>
          <w:szCs w:val="21"/>
          <w:highlight w:val="none"/>
        </w:rPr>
        <w:t>9.2承包人的施工安全责任</w:t>
      </w:r>
      <w:bookmarkEnd w:id="331"/>
      <w:bookmarkEnd w:id="332"/>
    </w:p>
    <w:p w14:paraId="2D85060A">
      <w:pPr>
        <w:keepNext w:val="0"/>
        <w:keepLines w:val="0"/>
        <w:pageBreakBefore w:val="0"/>
        <w:widowControl w:val="0"/>
        <w:kinsoku/>
        <w:wordWrap/>
        <w:overflowPunct/>
        <w:topLinePunct w:val="0"/>
        <w:bidi w:val="0"/>
        <w:spacing w:after="1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9.2.1承包人还应按照《重庆市建设工程安全生产监督管理办法》（渝建发〔2008〕177号）、《重庆市房屋建筑和市政基础设施工程现场文明施工标准》（渝建发〔2008〕169号）等相关规定履行好承包人的施工安全责任。</w:t>
      </w:r>
    </w:p>
    <w:p w14:paraId="2EB31480">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bookmarkStart w:id="333" w:name="_Toc243980041"/>
      <w:bookmarkStart w:id="334" w:name="_Toc350961236"/>
      <w:r>
        <w:rPr>
          <w:rFonts w:hint="eastAsia" w:ascii="宋体" w:hAnsi="宋体" w:eastAsia="宋体" w:cs="宋体"/>
          <w:snapToGrid w:val="0"/>
          <w:color w:val="auto"/>
          <w:sz w:val="21"/>
          <w:szCs w:val="21"/>
          <w:highlight w:val="none"/>
        </w:rPr>
        <w:t>9.3治安保卫</w:t>
      </w:r>
      <w:bookmarkEnd w:id="333"/>
      <w:bookmarkEnd w:id="334"/>
    </w:p>
    <w:p w14:paraId="7E7079C5">
      <w:pPr>
        <w:keepNext w:val="0"/>
        <w:keepLines w:val="0"/>
        <w:pageBreakBefore w:val="0"/>
        <w:widowControl w:val="0"/>
        <w:kinsoku/>
        <w:wordWrap/>
        <w:overflowPunct/>
        <w:topLinePunct w:val="0"/>
        <w:bidi w:val="0"/>
        <w:spacing w:after="10" w:line="360" w:lineRule="auto"/>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 xml:space="preserve">    9.3.1现场治安管理机构或联防组织的组建：</w:t>
      </w:r>
      <w:r>
        <w:rPr>
          <w:rFonts w:hint="eastAsia" w:ascii="宋体" w:hAnsi="宋体" w:eastAsia="宋体" w:cs="宋体"/>
          <w:b/>
          <w:color w:val="auto"/>
          <w:sz w:val="21"/>
          <w:szCs w:val="21"/>
          <w:highlight w:val="none"/>
          <w:u w:val="single"/>
        </w:rPr>
        <w:t xml:space="preserve"> 由承包人负责并承担相关费用</w:t>
      </w:r>
      <w:r>
        <w:rPr>
          <w:rFonts w:hint="eastAsia" w:ascii="宋体" w:hAnsi="宋体" w:eastAsia="宋体" w:cs="宋体"/>
          <w:b/>
          <w:bCs/>
          <w:color w:val="auto"/>
          <w:sz w:val="21"/>
          <w:szCs w:val="21"/>
          <w:highlight w:val="none"/>
          <w:u w:val="single"/>
        </w:rPr>
        <w:t xml:space="preserve"> </w:t>
      </w:r>
      <w:r>
        <w:rPr>
          <w:rFonts w:hint="eastAsia" w:ascii="宋体" w:hAnsi="宋体" w:eastAsia="宋体" w:cs="宋体"/>
          <w:b/>
          <w:bCs/>
          <w:color w:val="auto"/>
          <w:sz w:val="21"/>
          <w:szCs w:val="21"/>
          <w:highlight w:val="none"/>
        </w:rPr>
        <w:t>。</w:t>
      </w:r>
    </w:p>
    <w:p w14:paraId="2B5E8D5C">
      <w:pPr>
        <w:keepNext w:val="0"/>
        <w:keepLines w:val="0"/>
        <w:pageBreakBefore w:val="0"/>
        <w:widowControl w:val="0"/>
        <w:kinsoku/>
        <w:wordWrap/>
        <w:overflowPunct/>
        <w:topLinePunct w:val="0"/>
        <w:bidi w:val="0"/>
        <w:spacing w:after="10" w:line="360" w:lineRule="auto"/>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 xml:space="preserve">    9.3.2 施工场地治安管理计划和突发治安事件紧急预案的编制：</w:t>
      </w:r>
      <w:r>
        <w:rPr>
          <w:rFonts w:hint="eastAsia" w:ascii="宋体" w:hAnsi="宋体" w:eastAsia="宋体" w:cs="宋体"/>
          <w:b/>
          <w:bCs/>
          <w:color w:val="auto"/>
          <w:sz w:val="21"/>
          <w:szCs w:val="21"/>
          <w:highlight w:val="none"/>
          <w:u w:val="single"/>
        </w:rPr>
        <w:t>由承包人负责</w:t>
      </w:r>
      <w:r>
        <w:rPr>
          <w:rFonts w:hint="eastAsia" w:ascii="宋体" w:hAnsi="宋体" w:eastAsia="宋体" w:cs="宋体"/>
          <w:b/>
          <w:bCs/>
          <w:color w:val="auto"/>
          <w:sz w:val="21"/>
          <w:szCs w:val="21"/>
          <w:highlight w:val="none"/>
        </w:rPr>
        <w:t>。</w:t>
      </w:r>
    </w:p>
    <w:p w14:paraId="3A57E59D">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bookmarkStart w:id="335" w:name="_Toc350961237"/>
      <w:bookmarkStart w:id="336" w:name="_Toc243980042"/>
      <w:r>
        <w:rPr>
          <w:rFonts w:hint="eastAsia" w:ascii="宋体" w:hAnsi="宋体" w:eastAsia="宋体" w:cs="宋体"/>
          <w:snapToGrid w:val="0"/>
          <w:color w:val="auto"/>
          <w:sz w:val="21"/>
          <w:szCs w:val="21"/>
          <w:highlight w:val="none"/>
        </w:rPr>
        <w:t>9.4环境保护</w:t>
      </w:r>
      <w:bookmarkEnd w:id="335"/>
      <w:bookmarkEnd w:id="336"/>
    </w:p>
    <w:p w14:paraId="24339139">
      <w:pPr>
        <w:keepNext w:val="0"/>
        <w:keepLines w:val="0"/>
        <w:pageBreakBefore w:val="0"/>
        <w:widowControl w:val="0"/>
        <w:kinsoku/>
        <w:wordWrap/>
        <w:overflowPunct/>
        <w:topLinePunct w:val="0"/>
        <w:bidi w:val="0"/>
        <w:spacing w:after="1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9.4.1承包人还应按照《房屋建筑和市政基础设施工程施工扬尘控制工作方案》（渝建发〔2009〕13号）、《重庆市房屋建筑和市政基础设施工程现场文明施工标准》（渝建发〔2008〕169号）等相关规定履行好施工扬尘控制、文明施工等责任。</w:t>
      </w:r>
    </w:p>
    <w:p w14:paraId="364B2E44">
      <w:pPr>
        <w:pStyle w:val="4"/>
        <w:keepNext w:val="0"/>
        <w:keepLines w:val="0"/>
        <w:pageBreakBefore w:val="0"/>
        <w:widowControl w:val="0"/>
        <w:kinsoku/>
        <w:wordWrap/>
        <w:overflowPunct/>
        <w:topLinePunct w:val="0"/>
        <w:bidi w:val="0"/>
        <w:spacing w:before="0" w:after="10" w:line="360" w:lineRule="auto"/>
        <w:rPr>
          <w:rFonts w:hint="eastAsia" w:ascii="宋体" w:hAnsi="宋体" w:eastAsia="宋体" w:cs="宋体"/>
          <w:snapToGrid w:val="0"/>
          <w:color w:val="auto"/>
          <w:sz w:val="21"/>
          <w:szCs w:val="21"/>
          <w:highlight w:val="none"/>
        </w:rPr>
      </w:pPr>
      <w:bookmarkStart w:id="337" w:name="_Toc243980043"/>
      <w:bookmarkStart w:id="338" w:name="_Toc350961238"/>
      <w:r>
        <w:rPr>
          <w:rFonts w:hint="eastAsia" w:ascii="宋体" w:hAnsi="宋体" w:eastAsia="宋体" w:cs="宋体"/>
          <w:snapToGrid w:val="0"/>
          <w:color w:val="auto"/>
          <w:sz w:val="21"/>
          <w:szCs w:val="21"/>
          <w:highlight w:val="none"/>
        </w:rPr>
        <w:t>10进度计划</w:t>
      </w:r>
      <w:bookmarkEnd w:id="337"/>
      <w:bookmarkEnd w:id="338"/>
    </w:p>
    <w:p w14:paraId="759A0F2A">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bookmarkStart w:id="339" w:name="_Toc350961239"/>
      <w:bookmarkStart w:id="340" w:name="_Toc243980044"/>
      <w:r>
        <w:rPr>
          <w:rFonts w:hint="eastAsia" w:ascii="宋体" w:hAnsi="宋体" w:eastAsia="宋体" w:cs="宋体"/>
          <w:snapToGrid w:val="0"/>
          <w:color w:val="auto"/>
          <w:sz w:val="21"/>
          <w:szCs w:val="21"/>
          <w:highlight w:val="none"/>
        </w:rPr>
        <w:t>10.1合同进度计划</w:t>
      </w:r>
      <w:bookmarkEnd w:id="339"/>
      <w:bookmarkEnd w:id="340"/>
    </w:p>
    <w:p w14:paraId="1007EAC8">
      <w:pPr>
        <w:keepNext w:val="0"/>
        <w:keepLines w:val="0"/>
        <w:pageBreakBefore w:val="0"/>
        <w:widowControl w:val="0"/>
        <w:kinsoku/>
        <w:wordWrap/>
        <w:overflowPunct/>
        <w:topLinePunct w:val="0"/>
        <w:bidi w:val="0"/>
        <w:spacing w:after="10" w:line="360" w:lineRule="auto"/>
        <w:ind w:firstLine="420"/>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施工方案的内容：</w:t>
      </w:r>
      <w:r>
        <w:rPr>
          <w:rFonts w:hint="eastAsia" w:ascii="宋体" w:hAnsi="宋体" w:eastAsia="宋体" w:cs="宋体"/>
          <w:b/>
          <w:bCs/>
          <w:color w:val="auto"/>
          <w:sz w:val="21"/>
          <w:szCs w:val="21"/>
          <w:highlight w:val="none"/>
          <w:u w:val="single"/>
        </w:rPr>
        <w:t>按国家相关规定执行</w:t>
      </w:r>
      <w:r>
        <w:rPr>
          <w:rFonts w:hint="eastAsia" w:ascii="宋体" w:hAnsi="宋体" w:eastAsia="宋体" w:cs="宋体"/>
          <w:b/>
          <w:bCs/>
          <w:color w:val="auto"/>
          <w:kern w:val="0"/>
          <w:sz w:val="21"/>
          <w:szCs w:val="21"/>
          <w:highlight w:val="none"/>
        </w:rPr>
        <w:t>。</w:t>
      </w:r>
    </w:p>
    <w:p w14:paraId="5B858441">
      <w:pPr>
        <w:pStyle w:val="4"/>
        <w:keepNext w:val="0"/>
        <w:keepLines w:val="0"/>
        <w:pageBreakBefore w:val="0"/>
        <w:widowControl w:val="0"/>
        <w:kinsoku/>
        <w:wordWrap/>
        <w:overflowPunct/>
        <w:topLinePunct w:val="0"/>
        <w:bidi w:val="0"/>
        <w:spacing w:before="0" w:after="10" w:line="360" w:lineRule="auto"/>
        <w:rPr>
          <w:rFonts w:hint="eastAsia" w:ascii="宋体" w:hAnsi="宋体" w:eastAsia="宋体" w:cs="宋体"/>
          <w:snapToGrid w:val="0"/>
          <w:color w:val="auto"/>
          <w:sz w:val="21"/>
          <w:szCs w:val="21"/>
          <w:highlight w:val="none"/>
        </w:rPr>
      </w:pPr>
      <w:bookmarkStart w:id="341" w:name="_Toc350961240"/>
      <w:bookmarkStart w:id="342" w:name="_Toc243980045"/>
      <w:r>
        <w:rPr>
          <w:rFonts w:hint="eastAsia" w:ascii="宋体" w:hAnsi="宋体" w:eastAsia="宋体" w:cs="宋体"/>
          <w:snapToGrid w:val="0"/>
          <w:color w:val="auto"/>
          <w:sz w:val="21"/>
          <w:szCs w:val="21"/>
          <w:highlight w:val="none"/>
        </w:rPr>
        <w:t>11开工和竣工</w:t>
      </w:r>
      <w:bookmarkEnd w:id="341"/>
      <w:bookmarkEnd w:id="342"/>
    </w:p>
    <w:p w14:paraId="5A6CD7F7">
      <w:pPr>
        <w:keepNext w:val="0"/>
        <w:keepLines w:val="0"/>
        <w:pageBreakBefore w:val="0"/>
        <w:widowControl w:val="0"/>
        <w:kinsoku/>
        <w:wordWrap/>
        <w:overflowPunct/>
        <w:topLinePunct w:val="0"/>
        <w:bidi w:val="0"/>
        <w:spacing w:after="10" w:line="360" w:lineRule="auto"/>
        <w:rPr>
          <w:rFonts w:hint="eastAsia" w:ascii="宋体" w:hAnsi="宋体" w:eastAsia="宋体" w:cs="宋体"/>
          <w:b/>
          <w:color w:val="auto"/>
          <w:kern w:val="0"/>
          <w:sz w:val="21"/>
          <w:szCs w:val="21"/>
          <w:highlight w:val="none"/>
          <w:u w:val="singl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kern w:val="0"/>
          <w:sz w:val="21"/>
          <w:szCs w:val="21"/>
          <w:highlight w:val="none"/>
        </w:rPr>
        <w:t>工期确定：</w:t>
      </w:r>
      <w:r>
        <w:rPr>
          <w:rFonts w:hint="eastAsia" w:ascii="宋体" w:hAnsi="宋体" w:eastAsia="宋体" w:cs="宋体"/>
          <w:b/>
          <w:color w:val="auto"/>
          <w:kern w:val="0"/>
          <w:sz w:val="21"/>
          <w:szCs w:val="21"/>
          <w:highlight w:val="none"/>
          <w:u w:val="single"/>
        </w:rPr>
        <w:t>从发包人向承包人下达的开工通知标明开工日期起至工程竣工验收合格后交付发包人之日止为工程建设工期。</w:t>
      </w:r>
    </w:p>
    <w:p w14:paraId="5DBB8644">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bookmarkStart w:id="343" w:name="_Toc350961241"/>
      <w:r>
        <w:rPr>
          <w:rFonts w:hint="eastAsia" w:ascii="宋体" w:hAnsi="宋体" w:eastAsia="宋体" w:cs="宋体"/>
          <w:snapToGrid w:val="0"/>
          <w:color w:val="auto"/>
          <w:sz w:val="21"/>
          <w:szCs w:val="21"/>
          <w:highlight w:val="none"/>
        </w:rPr>
        <w:t>11.3发包人的工期延误</w:t>
      </w:r>
      <w:bookmarkEnd w:id="343"/>
    </w:p>
    <w:p w14:paraId="4B36E45C">
      <w:pPr>
        <w:keepNext w:val="0"/>
        <w:keepLines w:val="0"/>
        <w:pageBreakBefore w:val="0"/>
        <w:widowControl w:val="0"/>
        <w:kinsoku/>
        <w:wordWrap/>
        <w:overflowPunct/>
        <w:topLinePunct w:val="0"/>
        <w:bidi w:val="0"/>
        <w:spacing w:after="1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因发包人及不可抗力原因造成的工期延误，顺延工期由双方协商确定，经发包方现场代表签字后确认。</w:t>
      </w:r>
    </w:p>
    <w:p w14:paraId="1AB72FC6">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bookmarkStart w:id="344" w:name="_Toc350961242"/>
      <w:bookmarkStart w:id="345" w:name="_Toc243980046"/>
      <w:r>
        <w:rPr>
          <w:rFonts w:hint="eastAsia" w:ascii="宋体" w:hAnsi="宋体" w:eastAsia="宋体" w:cs="宋体"/>
          <w:snapToGrid w:val="0"/>
          <w:color w:val="auto"/>
          <w:sz w:val="21"/>
          <w:szCs w:val="21"/>
          <w:highlight w:val="none"/>
        </w:rPr>
        <w:t>11.4异常恶劣的气候条件</w:t>
      </w:r>
      <w:bookmarkEnd w:id="344"/>
      <w:bookmarkEnd w:id="345"/>
    </w:p>
    <w:p w14:paraId="7E9C3804">
      <w:pPr>
        <w:keepNext w:val="0"/>
        <w:keepLines w:val="0"/>
        <w:pageBreakBefore w:val="0"/>
        <w:widowControl w:val="0"/>
        <w:kinsoku/>
        <w:wordWrap/>
        <w:overflowPunct/>
        <w:topLinePunct w:val="0"/>
        <w:bidi w:val="0"/>
        <w:spacing w:after="10" w:line="360" w:lineRule="auto"/>
        <w:ind w:firstLine="420" w:firstLineChars="200"/>
        <w:jc w:val="left"/>
        <w:rPr>
          <w:rFonts w:hint="eastAsia" w:ascii="宋体" w:hAnsi="宋体" w:eastAsia="宋体" w:cs="宋体"/>
          <w:b/>
          <w:bCs/>
          <w:color w:val="auto"/>
          <w:sz w:val="21"/>
          <w:szCs w:val="21"/>
          <w:highlight w:val="none"/>
          <w:u w:val="single"/>
        </w:rPr>
      </w:pPr>
      <w:r>
        <w:rPr>
          <w:rFonts w:hint="eastAsia" w:ascii="宋体" w:hAnsi="宋体" w:eastAsia="宋体" w:cs="宋体"/>
          <w:color w:val="auto"/>
          <w:sz w:val="21"/>
          <w:szCs w:val="21"/>
          <w:highlight w:val="none"/>
        </w:rPr>
        <w:t>异常恶劣的气候条件的范围：</w:t>
      </w:r>
      <w:r>
        <w:rPr>
          <w:rFonts w:hint="eastAsia" w:ascii="宋体" w:hAnsi="宋体" w:eastAsia="宋体" w:cs="宋体"/>
          <w:b/>
          <w:bCs/>
          <w:color w:val="auto"/>
          <w:sz w:val="21"/>
          <w:szCs w:val="21"/>
          <w:highlight w:val="none"/>
          <w:u w:val="single"/>
        </w:rPr>
        <w:t xml:space="preserve">无 </w:t>
      </w:r>
    </w:p>
    <w:p w14:paraId="4F9D3DE8">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bookmarkStart w:id="346" w:name="_Toc350961243"/>
      <w:bookmarkStart w:id="347" w:name="_Toc243980047"/>
      <w:r>
        <w:rPr>
          <w:rFonts w:hint="eastAsia" w:ascii="宋体" w:hAnsi="宋体" w:eastAsia="宋体" w:cs="宋体"/>
          <w:snapToGrid w:val="0"/>
          <w:color w:val="auto"/>
          <w:sz w:val="21"/>
          <w:szCs w:val="21"/>
          <w:highlight w:val="none"/>
        </w:rPr>
        <w:t>11.5承包人的工期延误</w:t>
      </w:r>
      <w:bookmarkEnd w:id="346"/>
      <w:bookmarkEnd w:id="347"/>
    </w:p>
    <w:p w14:paraId="0431D9F8">
      <w:pPr>
        <w:keepNext w:val="0"/>
        <w:keepLines w:val="0"/>
        <w:pageBreakBefore w:val="0"/>
        <w:widowControl w:val="0"/>
        <w:kinsoku/>
        <w:wordWrap/>
        <w:overflowPunct/>
        <w:topLinePunct w:val="0"/>
        <w:bidi w:val="0"/>
        <w:spacing w:after="1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逾期竣工违约金的计算方法：</w:t>
      </w:r>
      <w:r>
        <w:rPr>
          <w:rFonts w:hint="eastAsia" w:ascii="宋体" w:hAnsi="宋体" w:eastAsia="宋体" w:cs="宋体"/>
          <w:color w:val="auto"/>
          <w:sz w:val="21"/>
          <w:szCs w:val="21"/>
          <w:highlight w:val="none"/>
          <w:u w:val="single"/>
        </w:rPr>
        <w:t xml:space="preserve"> </w:t>
      </w:r>
      <w:r>
        <w:rPr>
          <w:rFonts w:hint="eastAsia" w:ascii="宋体" w:hAnsi="宋体" w:eastAsia="宋体" w:cs="宋体"/>
          <w:b/>
          <w:color w:val="auto"/>
          <w:kern w:val="0"/>
          <w:sz w:val="21"/>
          <w:szCs w:val="21"/>
          <w:highlight w:val="none"/>
          <w:u w:val="single"/>
        </w:rPr>
        <w:t>逾期竣工违约金按500元/天计算。</w:t>
      </w:r>
      <w:r>
        <w:rPr>
          <w:rFonts w:hint="eastAsia" w:ascii="宋体" w:hAnsi="宋体" w:eastAsia="宋体" w:cs="宋体"/>
          <w:b/>
          <w:color w:val="auto"/>
          <w:sz w:val="21"/>
          <w:szCs w:val="21"/>
          <w:highlight w:val="none"/>
          <w:u w:val="single"/>
        </w:rPr>
        <w:t xml:space="preserve"> </w:t>
      </w:r>
    </w:p>
    <w:p w14:paraId="1F9E7112">
      <w:pPr>
        <w:keepNext w:val="0"/>
        <w:keepLines w:val="0"/>
        <w:pageBreakBefore w:val="0"/>
        <w:widowControl w:val="0"/>
        <w:kinsoku/>
        <w:wordWrap/>
        <w:overflowPunct/>
        <w:topLinePunct w:val="0"/>
        <w:bidi w:val="0"/>
        <w:spacing w:after="1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逾期竣工违约金的限额：</w:t>
      </w:r>
      <w:r>
        <w:rPr>
          <w:rFonts w:hint="eastAsia" w:ascii="宋体" w:hAnsi="宋体" w:eastAsia="宋体" w:cs="宋体"/>
          <w:b/>
          <w:color w:val="auto"/>
          <w:kern w:val="0"/>
          <w:sz w:val="21"/>
          <w:szCs w:val="21"/>
          <w:highlight w:val="none"/>
          <w:u w:val="single"/>
        </w:rPr>
        <w:t xml:space="preserve">最高不超过签约合同价款的3％ </w:t>
      </w:r>
    </w:p>
    <w:p w14:paraId="7F9DB51F">
      <w:pPr>
        <w:keepNext w:val="0"/>
        <w:keepLines w:val="0"/>
        <w:pageBreakBefore w:val="0"/>
        <w:widowControl w:val="0"/>
        <w:kinsoku/>
        <w:wordWrap/>
        <w:overflowPunct/>
        <w:topLinePunct w:val="0"/>
        <w:bidi w:val="0"/>
        <w:spacing w:after="10" w:line="360" w:lineRule="auto"/>
        <w:rPr>
          <w:rFonts w:hint="eastAsia" w:ascii="宋体" w:hAnsi="宋体" w:eastAsia="宋体" w:cs="宋体"/>
          <w:b/>
          <w:snapToGrid w:val="0"/>
          <w:color w:val="auto"/>
          <w:w w:val="99"/>
          <w:kern w:val="0"/>
          <w:sz w:val="21"/>
          <w:szCs w:val="21"/>
          <w:highlight w:val="none"/>
        </w:rPr>
      </w:pPr>
      <w:r>
        <w:rPr>
          <w:rFonts w:hint="eastAsia" w:ascii="宋体" w:hAnsi="宋体" w:eastAsia="宋体" w:cs="宋体"/>
          <w:b/>
          <w:snapToGrid w:val="0"/>
          <w:color w:val="auto"/>
          <w:w w:val="99"/>
          <w:kern w:val="0"/>
          <w:sz w:val="21"/>
          <w:szCs w:val="21"/>
          <w:highlight w:val="none"/>
        </w:rPr>
        <w:t>12暂停施工</w:t>
      </w:r>
    </w:p>
    <w:p w14:paraId="02ACD961">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bookmarkStart w:id="348" w:name="_Toc350961245"/>
      <w:bookmarkStart w:id="349" w:name="_Toc243980049"/>
      <w:r>
        <w:rPr>
          <w:rFonts w:hint="eastAsia" w:ascii="宋体" w:hAnsi="宋体" w:eastAsia="宋体" w:cs="宋体"/>
          <w:snapToGrid w:val="0"/>
          <w:color w:val="auto"/>
          <w:sz w:val="21"/>
          <w:szCs w:val="21"/>
          <w:highlight w:val="none"/>
        </w:rPr>
        <w:t>12.1承包人暂停施工的责任</w:t>
      </w:r>
      <w:bookmarkEnd w:id="348"/>
      <w:bookmarkEnd w:id="349"/>
    </w:p>
    <w:p w14:paraId="039CA132">
      <w:pPr>
        <w:keepNext w:val="0"/>
        <w:keepLines w:val="0"/>
        <w:pageBreakBefore w:val="0"/>
        <w:widowControl w:val="0"/>
        <w:kinsoku/>
        <w:wordWrap/>
        <w:overflowPunct/>
        <w:topLinePunct w:val="0"/>
        <w:bidi w:val="0"/>
        <w:spacing w:after="10" w:line="360" w:lineRule="auto"/>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rPr>
        <w:t xml:space="preserve">    承包人承担暂停施工责任的其他情形：</w:t>
      </w:r>
      <w:r>
        <w:rPr>
          <w:rFonts w:hint="eastAsia" w:ascii="宋体" w:hAnsi="宋体" w:eastAsia="宋体" w:cs="宋体"/>
          <w:b/>
          <w:color w:val="auto"/>
          <w:kern w:val="0"/>
          <w:sz w:val="21"/>
          <w:szCs w:val="21"/>
          <w:highlight w:val="none"/>
          <w:u w:val="single"/>
        </w:rPr>
        <w:t>按通用条款执行</w:t>
      </w:r>
      <w:r>
        <w:rPr>
          <w:rFonts w:hint="eastAsia" w:ascii="宋体" w:hAnsi="宋体" w:eastAsia="宋体" w:cs="宋体"/>
          <w:b/>
          <w:color w:val="auto"/>
          <w:sz w:val="21"/>
          <w:szCs w:val="21"/>
          <w:highlight w:val="none"/>
          <w:u w:val="single"/>
        </w:rPr>
        <w:t xml:space="preserve">  </w:t>
      </w:r>
    </w:p>
    <w:p w14:paraId="3FF3F06F">
      <w:pPr>
        <w:keepNext w:val="0"/>
        <w:keepLines w:val="0"/>
        <w:pageBreakBefore w:val="0"/>
        <w:widowControl w:val="0"/>
        <w:kinsoku/>
        <w:wordWrap/>
        <w:overflowPunct/>
        <w:topLinePunct w:val="0"/>
        <w:bidi w:val="0"/>
        <w:spacing w:after="10" w:line="360" w:lineRule="auto"/>
        <w:rPr>
          <w:rFonts w:hint="eastAsia" w:ascii="宋体" w:hAnsi="宋体" w:eastAsia="宋体" w:cs="宋体"/>
          <w:b/>
          <w:snapToGrid w:val="0"/>
          <w:color w:val="auto"/>
          <w:w w:val="99"/>
          <w:kern w:val="0"/>
          <w:sz w:val="21"/>
          <w:szCs w:val="21"/>
          <w:highlight w:val="none"/>
        </w:rPr>
      </w:pPr>
      <w:r>
        <w:rPr>
          <w:rFonts w:hint="eastAsia" w:ascii="宋体" w:hAnsi="宋体" w:eastAsia="宋体" w:cs="宋体"/>
          <w:b/>
          <w:snapToGrid w:val="0"/>
          <w:color w:val="auto"/>
          <w:w w:val="99"/>
          <w:kern w:val="0"/>
          <w:sz w:val="21"/>
          <w:szCs w:val="21"/>
          <w:highlight w:val="none"/>
        </w:rPr>
        <w:t>13 工程质量</w:t>
      </w:r>
    </w:p>
    <w:p w14:paraId="4D29D1E3">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bookmarkStart w:id="350" w:name="_Toc350961246"/>
      <w:bookmarkStart w:id="351" w:name="_Toc243980050"/>
      <w:r>
        <w:rPr>
          <w:rFonts w:hint="eastAsia" w:ascii="宋体" w:hAnsi="宋体" w:eastAsia="宋体" w:cs="宋体"/>
          <w:snapToGrid w:val="0"/>
          <w:color w:val="auto"/>
          <w:sz w:val="21"/>
          <w:szCs w:val="21"/>
          <w:highlight w:val="none"/>
        </w:rPr>
        <w:t>13.1工程质量要求</w:t>
      </w:r>
      <w:bookmarkEnd w:id="350"/>
      <w:bookmarkEnd w:id="351"/>
    </w:p>
    <w:p w14:paraId="0FFFB706">
      <w:pPr>
        <w:keepNext w:val="0"/>
        <w:keepLines w:val="0"/>
        <w:pageBreakBefore w:val="0"/>
        <w:widowControl w:val="0"/>
        <w:kinsoku/>
        <w:wordWrap/>
        <w:overflowPunct/>
        <w:topLinePunct w:val="0"/>
        <w:bidi w:val="0"/>
        <w:spacing w:after="10" w:line="360" w:lineRule="auto"/>
        <w:jc w:val="left"/>
        <w:rPr>
          <w:rFonts w:hint="eastAsia" w:ascii="宋体" w:hAnsi="宋体" w:eastAsia="宋体" w:cs="宋体"/>
          <w:color w:val="auto"/>
          <w:sz w:val="21"/>
          <w:szCs w:val="21"/>
          <w:highlight w:val="none"/>
        </w:rPr>
      </w:pPr>
      <w:bookmarkStart w:id="352" w:name="_Toc243980051"/>
      <w:bookmarkStart w:id="353" w:name="_Toc350961247"/>
      <w:r>
        <w:rPr>
          <w:rFonts w:hint="eastAsia" w:ascii="宋体" w:hAnsi="宋体" w:eastAsia="宋体" w:cs="宋体"/>
          <w:color w:val="auto"/>
          <w:sz w:val="21"/>
          <w:szCs w:val="21"/>
          <w:highlight w:val="none"/>
          <w:u w:val="none"/>
        </w:rPr>
        <w:t>工程质量符合强制性质量标准，符合国家和重庆市现行有关施工质量验收规范要求，并达到合格标准</w:t>
      </w:r>
      <w:r>
        <w:rPr>
          <w:rFonts w:hint="eastAsia" w:ascii="宋体" w:hAnsi="宋体" w:eastAsia="宋体" w:cs="宋体"/>
          <w:color w:val="auto"/>
          <w:sz w:val="21"/>
          <w:szCs w:val="21"/>
          <w:highlight w:val="none"/>
        </w:rPr>
        <w:t>。</w:t>
      </w:r>
    </w:p>
    <w:p w14:paraId="6EBF49CB">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13.2承包人的质量检查</w:t>
      </w:r>
      <w:bookmarkEnd w:id="352"/>
      <w:bookmarkEnd w:id="353"/>
    </w:p>
    <w:p w14:paraId="0AAC7319">
      <w:pPr>
        <w:keepNext w:val="0"/>
        <w:keepLines w:val="0"/>
        <w:pageBreakBefore w:val="0"/>
        <w:widowControl w:val="0"/>
        <w:kinsoku/>
        <w:wordWrap/>
        <w:overflowPunct/>
        <w:topLinePunct w:val="0"/>
        <w:autoSpaceDE w:val="0"/>
        <w:autoSpaceDN w:val="0"/>
        <w:bidi w:val="0"/>
        <w:adjustRightInd w:val="0"/>
        <w:spacing w:after="10"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工程质量达不到约定标准的部分，工程师要求拆除和重新施工的，直到符合约定标准。因承包人原因达不到约定标准，由承包人承担拆除和重新施工的费用，工期不予顺延。</w:t>
      </w:r>
    </w:p>
    <w:p w14:paraId="2607259F">
      <w:pPr>
        <w:keepNext w:val="0"/>
        <w:keepLines w:val="0"/>
        <w:pageBreakBefore w:val="0"/>
        <w:widowControl w:val="0"/>
        <w:kinsoku/>
        <w:wordWrap/>
        <w:overflowPunct/>
        <w:topLinePunct w:val="0"/>
        <w:bidi w:val="0"/>
        <w:spacing w:after="10"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施工中，发包人发现质量及问题的，发包人可责令承包人整改或停工，直至达到合格要求，所费工料及损失由承包人承担。</w:t>
      </w:r>
    </w:p>
    <w:p w14:paraId="5E1DCF63">
      <w:pPr>
        <w:keepNext w:val="0"/>
        <w:keepLines w:val="0"/>
        <w:pageBreakBefore w:val="0"/>
        <w:widowControl w:val="0"/>
        <w:kinsoku/>
        <w:wordWrap/>
        <w:overflowPunct/>
        <w:topLinePunct w:val="0"/>
        <w:bidi w:val="0"/>
        <w:spacing w:after="10" w:line="360" w:lineRule="auto"/>
        <w:rPr>
          <w:rFonts w:hint="eastAsia" w:ascii="宋体" w:hAnsi="宋体" w:eastAsia="宋体" w:cs="宋体"/>
          <w:b/>
          <w:snapToGrid w:val="0"/>
          <w:color w:val="auto"/>
          <w:w w:val="99"/>
          <w:kern w:val="0"/>
          <w:sz w:val="21"/>
          <w:szCs w:val="21"/>
          <w:highlight w:val="none"/>
        </w:rPr>
      </w:pPr>
      <w:r>
        <w:rPr>
          <w:rFonts w:hint="eastAsia" w:ascii="宋体" w:hAnsi="宋体" w:eastAsia="宋体" w:cs="宋体"/>
          <w:b/>
          <w:snapToGrid w:val="0"/>
          <w:color w:val="auto"/>
          <w:w w:val="99"/>
          <w:kern w:val="0"/>
          <w:sz w:val="21"/>
          <w:szCs w:val="21"/>
          <w:highlight w:val="none"/>
        </w:rPr>
        <w:t>15  变更</w:t>
      </w:r>
    </w:p>
    <w:p w14:paraId="48F97B1B">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b w:val="0"/>
          <w:bCs/>
          <w:snapToGrid w:val="0"/>
          <w:color w:val="auto"/>
          <w:sz w:val="21"/>
          <w:szCs w:val="21"/>
          <w:highlight w:val="none"/>
          <w:lang w:eastAsia="zh-CN"/>
        </w:rPr>
      </w:pPr>
      <w:bookmarkStart w:id="354" w:name="_Hlk524296629"/>
      <w:r>
        <w:rPr>
          <w:rFonts w:hint="eastAsia" w:ascii="宋体" w:hAnsi="宋体" w:eastAsia="宋体" w:cs="宋体"/>
          <w:b w:val="0"/>
          <w:bCs/>
          <w:snapToGrid w:val="0"/>
          <w:color w:val="auto"/>
          <w:sz w:val="21"/>
          <w:szCs w:val="21"/>
          <w:highlight w:val="none"/>
          <w:lang w:eastAsia="zh-CN"/>
        </w:rPr>
        <w:t>1</w:t>
      </w:r>
      <w:r>
        <w:rPr>
          <w:rFonts w:hint="eastAsia" w:ascii="宋体" w:hAnsi="宋体" w:eastAsia="宋体" w:cs="宋体"/>
          <w:b w:val="0"/>
          <w:bCs/>
          <w:snapToGrid w:val="0"/>
          <w:color w:val="auto"/>
          <w:sz w:val="21"/>
          <w:szCs w:val="21"/>
          <w:highlight w:val="none"/>
          <w:lang w:val="en-US" w:eastAsia="zh-CN"/>
        </w:rPr>
        <w:t>5</w:t>
      </w:r>
      <w:r>
        <w:rPr>
          <w:rFonts w:hint="eastAsia" w:ascii="宋体" w:hAnsi="宋体" w:eastAsia="宋体" w:cs="宋体"/>
          <w:b w:val="0"/>
          <w:bCs/>
          <w:snapToGrid w:val="0"/>
          <w:color w:val="auto"/>
          <w:sz w:val="21"/>
          <w:szCs w:val="21"/>
          <w:highlight w:val="none"/>
          <w:lang w:eastAsia="zh-CN"/>
        </w:rPr>
        <w:t>.</w:t>
      </w:r>
      <w:r>
        <w:rPr>
          <w:rFonts w:hint="eastAsia" w:ascii="宋体" w:hAnsi="宋体" w:eastAsia="宋体" w:cs="宋体"/>
          <w:b w:val="0"/>
          <w:bCs/>
          <w:snapToGrid w:val="0"/>
          <w:color w:val="auto"/>
          <w:sz w:val="21"/>
          <w:szCs w:val="21"/>
          <w:highlight w:val="none"/>
          <w:lang w:val="en-US" w:eastAsia="zh-CN"/>
        </w:rPr>
        <w:t>1</w:t>
      </w:r>
      <w:r>
        <w:rPr>
          <w:rFonts w:hint="eastAsia" w:ascii="宋体" w:hAnsi="宋体" w:eastAsia="宋体" w:cs="宋体"/>
          <w:b w:val="0"/>
          <w:bCs/>
          <w:snapToGrid w:val="0"/>
          <w:color w:val="auto"/>
          <w:sz w:val="21"/>
          <w:szCs w:val="21"/>
          <w:highlight w:val="none"/>
          <w:lang w:eastAsia="zh-CN"/>
        </w:rPr>
        <w:t>.1 变更估价原则</w:t>
      </w:r>
    </w:p>
    <w:p w14:paraId="3E77432B">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b w:val="0"/>
          <w:bCs/>
          <w:snapToGrid w:val="0"/>
          <w:color w:val="auto"/>
          <w:sz w:val="21"/>
          <w:szCs w:val="21"/>
          <w:highlight w:val="none"/>
          <w:lang w:eastAsia="zh-CN"/>
        </w:rPr>
      </w:pPr>
      <w:r>
        <w:rPr>
          <w:rFonts w:hint="eastAsia" w:ascii="宋体" w:hAnsi="宋体" w:eastAsia="宋体" w:cs="宋体"/>
          <w:b w:val="0"/>
          <w:bCs/>
          <w:snapToGrid w:val="0"/>
          <w:color w:val="auto"/>
          <w:sz w:val="21"/>
          <w:szCs w:val="21"/>
          <w:highlight w:val="none"/>
          <w:lang w:eastAsia="zh-CN"/>
        </w:rPr>
        <w:t>当发生工程变更时，工程量按</w:t>
      </w:r>
      <w:r>
        <w:rPr>
          <w:rFonts w:hint="eastAsia" w:ascii="宋体" w:hAnsi="宋体" w:eastAsia="宋体" w:cs="宋体"/>
          <w:b w:val="0"/>
          <w:bCs/>
          <w:snapToGrid w:val="0"/>
          <w:color w:val="auto"/>
          <w:sz w:val="21"/>
          <w:szCs w:val="21"/>
          <w:highlight w:val="none"/>
          <w:u w:val="single"/>
          <w:lang w:eastAsia="zh-CN"/>
        </w:rPr>
        <w:t xml:space="preserve">        </w:t>
      </w:r>
      <w:r>
        <w:rPr>
          <w:rFonts w:hint="eastAsia" w:ascii="宋体" w:hAnsi="宋体" w:eastAsia="宋体" w:cs="宋体"/>
          <w:b w:val="0"/>
          <w:bCs/>
          <w:snapToGrid w:val="0"/>
          <w:color w:val="auto"/>
          <w:sz w:val="21"/>
          <w:szCs w:val="21"/>
          <w:highlight w:val="none"/>
          <w:lang w:eastAsia="zh-CN"/>
        </w:rPr>
        <w:t>规定的计算规则及已标价工程量清单规定的工程量计算规则计量，按以下办法计价：</w:t>
      </w:r>
      <w:bookmarkStart w:id="355" w:name="_Hlk524770102"/>
    </w:p>
    <w:bookmarkEnd w:id="355"/>
    <w:p w14:paraId="161FF433">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b w:val="0"/>
          <w:bCs/>
          <w:snapToGrid w:val="0"/>
          <w:color w:val="auto"/>
          <w:sz w:val="21"/>
          <w:szCs w:val="21"/>
          <w:highlight w:val="none"/>
          <w:lang w:eastAsia="zh-CN"/>
        </w:rPr>
      </w:pPr>
      <w:r>
        <w:rPr>
          <w:rFonts w:hint="eastAsia" w:ascii="宋体" w:hAnsi="宋体" w:eastAsia="宋体" w:cs="宋体"/>
          <w:b w:val="0"/>
          <w:bCs/>
          <w:snapToGrid w:val="0"/>
          <w:color w:val="auto"/>
          <w:sz w:val="21"/>
          <w:szCs w:val="21"/>
          <w:highlight w:val="none"/>
          <w:lang w:eastAsia="zh-CN"/>
        </w:rPr>
        <w:t>1</w:t>
      </w:r>
      <w:r>
        <w:rPr>
          <w:rFonts w:hint="eastAsia" w:ascii="宋体" w:hAnsi="宋体" w:eastAsia="宋体" w:cs="宋体"/>
          <w:b w:val="0"/>
          <w:bCs/>
          <w:snapToGrid w:val="0"/>
          <w:color w:val="auto"/>
          <w:sz w:val="21"/>
          <w:szCs w:val="21"/>
          <w:highlight w:val="none"/>
          <w:lang w:val="en-US" w:eastAsia="zh-CN"/>
        </w:rPr>
        <w:t>5</w:t>
      </w:r>
      <w:r>
        <w:rPr>
          <w:rFonts w:hint="eastAsia" w:ascii="宋体" w:hAnsi="宋体" w:eastAsia="宋体" w:cs="宋体"/>
          <w:b w:val="0"/>
          <w:bCs/>
          <w:snapToGrid w:val="0"/>
          <w:color w:val="auto"/>
          <w:sz w:val="21"/>
          <w:szCs w:val="21"/>
          <w:highlight w:val="none"/>
          <w:lang w:eastAsia="zh-CN"/>
        </w:rPr>
        <w:t>.1.</w:t>
      </w:r>
      <w:r>
        <w:rPr>
          <w:rFonts w:hint="eastAsia" w:ascii="宋体" w:hAnsi="宋体" w:eastAsia="宋体" w:cs="宋体"/>
          <w:b w:val="0"/>
          <w:bCs/>
          <w:snapToGrid w:val="0"/>
          <w:color w:val="auto"/>
          <w:sz w:val="21"/>
          <w:szCs w:val="21"/>
          <w:highlight w:val="none"/>
          <w:lang w:val="en-US" w:eastAsia="zh-CN"/>
        </w:rPr>
        <w:t>2</w:t>
      </w:r>
      <w:r>
        <w:rPr>
          <w:rFonts w:hint="eastAsia" w:ascii="宋体" w:hAnsi="宋体" w:eastAsia="宋体" w:cs="宋体"/>
          <w:b w:val="0"/>
          <w:bCs/>
          <w:snapToGrid w:val="0"/>
          <w:color w:val="auto"/>
          <w:sz w:val="21"/>
          <w:szCs w:val="21"/>
          <w:highlight w:val="none"/>
          <w:lang w:eastAsia="zh-CN"/>
        </w:rPr>
        <w:t>已标价工程量清单中有相同项目的，按照相同项目单价计算；</w:t>
      </w:r>
    </w:p>
    <w:p w14:paraId="48DD02D4">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b w:val="0"/>
          <w:bCs/>
          <w:snapToGrid w:val="0"/>
          <w:color w:val="auto"/>
          <w:sz w:val="21"/>
          <w:szCs w:val="21"/>
          <w:highlight w:val="none"/>
          <w:lang w:eastAsia="zh-CN"/>
        </w:rPr>
      </w:pPr>
      <w:r>
        <w:rPr>
          <w:rFonts w:hint="eastAsia" w:ascii="宋体" w:hAnsi="宋体" w:eastAsia="宋体" w:cs="宋体"/>
          <w:b w:val="0"/>
          <w:bCs/>
          <w:snapToGrid w:val="0"/>
          <w:color w:val="auto"/>
          <w:sz w:val="21"/>
          <w:szCs w:val="21"/>
          <w:highlight w:val="none"/>
          <w:lang w:eastAsia="zh-CN"/>
        </w:rPr>
        <w:t>1</w:t>
      </w:r>
      <w:r>
        <w:rPr>
          <w:rFonts w:hint="eastAsia" w:ascii="宋体" w:hAnsi="宋体" w:eastAsia="宋体" w:cs="宋体"/>
          <w:b w:val="0"/>
          <w:bCs/>
          <w:snapToGrid w:val="0"/>
          <w:color w:val="auto"/>
          <w:sz w:val="21"/>
          <w:szCs w:val="21"/>
          <w:highlight w:val="none"/>
          <w:lang w:val="en-US" w:eastAsia="zh-CN"/>
        </w:rPr>
        <w:t>5</w:t>
      </w:r>
      <w:r>
        <w:rPr>
          <w:rFonts w:hint="eastAsia" w:ascii="宋体" w:hAnsi="宋体" w:eastAsia="宋体" w:cs="宋体"/>
          <w:b w:val="0"/>
          <w:bCs/>
          <w:snapToGrid w:val="0"/>
          <w:color w:val="auto"/>
          <w:sz w:val="21"/>
          <w:szCs w:val="21"/>
          <w:highlight w:val="none"/>
          <w:lang w:eastAsia="zh-CN"/>
        </w:rPr>
        <w:t>.1.</w:t>
      </w:r>
      <w:r>
        <w:rPr>
          <w:rFonts w:hint="eastAsia" w:ascii="宋体" w:hAnsi="宋体" w:eastAsia="宋体" w:cs="宋体"/>
          <w:b w:val="0"/>
          <w:bCs/>
          <w:snapToGrid w:val="0"/>
          <w:color w:val="auto"/>
          <w:sz w:val="21"/>
          <w:szCs w:val="21"/>
          <w:highlight w:val="none"/>
          <w:lang w:val="en-US" w:eastAsia="zh-CN"/>
        </w:rPr>
        <w:t>3</w:t>
      </w:r>
      <w:r>
        <w:rPr>
          <w:rFonts w:hint="eastAsia" w:ascii="宋体" w:hAnsi="宋体" w:eastAsia="宋体" w:cs="宋体"/>
          <w:b w:val="0"/>
          <w:bCs/>
          <w:snapToGrid w:val="0"/>
          <w:color w:val="auto"/>
          <w:sz w:val="21"/>
          <w:szCs w:val="21"/>
          <w:highlight w:val="none"/>
          <w:lang w:eastAsia="zh-CN"/>
        </w:rPr>
        <w:t>已标价工程量清单中有类似项目的，参考类似项目单价计算；</w:t>
      </w:r>
    </w:p>
    <w:p w14:paraId="550338E5">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b w:val="0"/>
          <w:bCs/>
          <w:snapToGrid w:val="0"/>
          <w:color w:val="auto"/>
          <w:sz w:val="21"/>
          <w:szCs w:val="21"/>
          <w:highlight w:val="none"/>
          <w:lang w:eastAsia="zh-CN"/>
        </w:rPr>
      </w:pPr>
      <w:r>
        <w:rPr>
          <w:rFonts w:hint="eastAsia" w:ascii="宋体" w:hAnsi="宋体" w:eastAsia="宋体" w:cs="宋体"/>
          <w:b w:val="0"/>
          <w:bCs/>
          <w:snapToGrid w:val="0"/>
          <w:color w:val="auto"/>
          <w:sz w:val="21"/>
          <w:szCs w:val="21"/>
          <w:highlight w:val="none"/>
          <w:lang w:eastAsia="zh-CN"/>
        </w:rPr>
        <w:t>1</w:t>
      </w:r>
      <w:r>
        <w:rPr>
          <w:rFonts w:hint="eastAsia" w:ascii="宋体" w:hAnsi="宋体" w:eastAsia="宋体" w:cs="宋体"/>
          <w:b w:val="0"/>
          <w:bCs/>
          <w:snapToGrid w:val="0"/>
          <w:color w:val="auto"/>
          <w:sz w:val="21"/>
          <w:szCs w:val="21"/>
          <w:highlight w:val="none"/>
          <w:lang w:val="en-US" w:eastAsia="zh-CN"/>
        </w:rPr>
        <w:t>5</w:t>
      </w:r>
      <w:r>
        <w:rPr>
          <w:rFonts w:hint="eastAsia" w:ascii="宋体" w:hAnsi="宋体" w:eastAsia="宋体" w:cs="宋体"/>
          <w:b w:val="0"/>
          <w:bCs/>
          <w:snapToGrid w:val="0"/>
          <w:color w:val="auto"/>
          <w:sz w:val="21"/>
          <w:szCs w:val="21"/>
          <w:highlight w:val="none"/>
          <w:lang w:eastAsia="zh-CN"/>
        </w:rPr>
        <w:t>.1.</w:t>
      </w:r>
      <w:r>
        <w:rPr>
          <w:rFonts w:hint="eastAsia" w:ascii="宋体" w:hAnsi="宋体" w:eastAsia="宋体" w:cs="宋体"/>
          <w:b w:val="0"/>
          <w:bCs/>
          <w:snapToGrid w:val="0"/>
          <w:color w:val="auto"/>
          <w:sz w:val="21"/>
          <w:szCs w:val="21"/>
          <w:highlight w:val="none"/>
          <w:lang w:val="en-US" w:eastAsia="zh-CN"/>
        </w:rPr>
        <w:t>4</w:t>
      </w:r>
      <w:r>
        <w:rPr>
          <w:rFonts w:hint="eastAsia" w:ascii="宋体" w:hAnsi="宋体" w:eastAsia="宋体" w:cs="宋体"/>
          <w:b w:val="0"/>
          <w:bCs/>
          <w:snapToGrid w:val="0"/>
          <w:color w:val="auto"/>
          <w:sz w:val="21"/>
          <w:szCs w:val="21"/>
          <w:highlight w:val="none"/>
          <w:lang w:eastAsia="zh-CN"/>
        </w:rPr>
        <w:t>已标价工程量清单中无相同项目亦无类似项目的，按照以下原则执行：</w:t>
      </w:r>
    </w:p>
    <w:p w14:paraId="7FAED690">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b w:val="0"/>
          <w:bCs/>
          <w:snapToGrid w:val="0"/>
          <w:color w:val="auto"/>
          <w:sz w:val="21"/>
          <w:szCs w:val="21"/>
          <w:highlight w:val="none"/>
          <w:lang w:eastAsia="zh-CN"/>
        </w:rPr>
      </w:pPr>
      <w:r>
        <w:rPr>
          <w:rFonts w:hint="eastAsia" w:ascii="宋体" w:hAnsi="宋体" w:eastAsia="宋体" w:cs="宋体"/>
          <w:b w:val="0"/>
          <w:bCs/>
          <w:snapToGrid w:val="0"/>
          <w:color w:val="auto"/>
          <w:sz w:val="21"/>
          <w:szCs w:val="21"/>
          <w:highlight w:val="none"/>
          <w:lang w:eastAsia="zh-CN"/>
        </w:rPr>
        <w:t>按《建设工程工程量清单计价规范》(GB50500-2013)、《重庆市建设工程工程量清单计价规则》(CQJJGZ-2013)、《重庆市建设工程工程量清单计算规则》(CQJLGZ-2013)、《重庆市房屋建筑与装饰工程计价定额》(CQJZZSDE-2018)、《重庆市通用安装工程计价定额》(CQAZDE-2018)、《重庆市房屋修缮工程计价定额》(CQXSDE-2018)、《重庆市建设工程施工机械台班定额》(CQJXDE-2018)、《重庆市建设工程施工仪器仪表台班定额》(CQYQYBDE-2018)、《重庆市建设工程混凝土及砂浆配合比表》(CQPHBB-2018)、《重庆市建设工程费用定额》(CQFYDE-2018)等及相关配套文件进行组价并按承包人报价浮动率下浮（认质核价的设备和材料不参与浮动），经监理人、跟审单位、发包人审定后执行。</w:t>
      </w:r>
    </w:p>
    <w:p w14:paraId="2FE7EA65">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b w:val="0"/>
          <w:bCs/>
          <w:snapToGrid w:val="0"/>
          <w:color w:val="auto"/>
          <w:sz w:val="21"/>
          <w:szCs w:val="21"/>
          <w:highlight w:val="none"/>
          <w:lang w:eastAsia="zh-CN"/>
        </w:rPr>
      </w:pPr>
      <w:r>
        <w:rPr>
          <w:rFonts w:hint="eastAsia" w:ascii="宋体" w:hAnsi="宋体" w:eastAsia="宋体" w:cs="宋体"/>
          <w:b w:val="0"/>
          <w:bCs/>
          <w:snapToGrid w:val="0"/>
          <w:color w:val="auto"/>
          <w:sz w:val="21"/>
          <w:szCs w:val="21"/>
          <w:highlight w:val="none"/>
          <w:lang w:eastAsia="zh-CN"/>
        </w:rPr>
        <w:t>承包人报价浮动率按下列公式计算：承包人报价浮动率=（1-中标价/最高限价）×100%。</w:t>
      </w:r>
    </w:p>
    <w:p w14:paraId="26AC2AB1">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b w:val="0"/>
          <w:bCs/>
          <w:snapToGrid w:val="0"/>
          <w:color w:val="auto"/>
          <w:sz w:val="21"/>
          <w:szCs w:val="21"/>
          <w:highlight w:val="none"/>
          <w:lang w:eastAsia="zh-CN"/>
        </w:rPr>
      </w:pPr>
      <w:r>
        <w:rPr>
          <w:rFonts w:hint="eastAsia" w:ascii="宋体" w:hAnsi="宋体" w:eastAsia="宋体" w:cs="宋体"/>
          <w:b w:val="0"/>
          <w:bCs/>
          <w:snapToGrid w:val="0"/>
          <w:color w:val="auto"/>
          <w:sz w:val="21"/>
          <w:szCs w:val="21"/>
          <w:highlight w:val="none"/>
          <w:lang w:eastAsia="zh-CN"/>
        </w:rPr>
        <w:t>（1）人工单价：按第</w:t>
      </w:r>
      <w:r>
        <w:rPr>
          <w:rFonts w:hint="eastAsia" w:ascii="宋体" w:hAnsi="宋体" w:eastAsia="宋体" w:cs="宋体"/>
          <w:b w:val="0"/>
          <w:bCs/>
          <w:snapToGrid w:val="0"/>
          <w:color w:val="auto"/>
          <w:sz w:val="21"/>
          <w:szCs w:val="21"/>
          <w:highlight w:val="none"/>
          <w:lang w:val="en-US" w:eastAsia="zh-CN"/>
        </w:rPr>
        <w:t>5</w:t>
      </w:r>
      <w:r>
        <w:rPr>
          <w:rFonts w:hint="eastAsia" w:ascii="宋体" w:hAnsi="宋体" w:eastAsia="宋体" w:cs="宋体"/>
          <w:b w:val="0"/>
          <w:bCs/>
          <w:snapToGrid w:val="0"/>
          <w:color w:val="auto"/>
          <w:sz w:val="21"/>
          <w:szCs w:val="21"/>
          <w:highlight w:val="none"/>
          <w:lang w:eastAsia="zh-CN"/>
        </w:rPr>
        <w:t>期《重庆工程造价信息》发布的项目所在地的人工单价执行。</w:t>
      </w:r>
    </w:p>
    <w:p w14:paraId="564D9BF0">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b w:val="0"/>
          <w:bCs/>
          <w:snapToGrid w:val="0"/>
          <w:color w:val="auto"/>
          <w:sz w:val="21"/>
          <w:szCs w:val="21"/>
          <w:highlight w:val="none"/>
          <w:lang w:eastAsia="zh-CN"/>
        </w:rPr>
      </w:pPr>
      <w:bookmarkStart w:id="356" w:name="_Hlk529023896"/>
      <w:r>
        <w:rPr>
          <w:rFonts w:hint="eastAsia" w:ascii="宋体" w:hAnsi="宋体" w:eastAsia="宋体" w:cs="宋体"/>
          <w:b w:val="0"/>
          <w:bCs/>
          <w:snapToGrid w:val="0"/>
          <w:color w:val="auto"/>
          <w:sz w:val="21"/>
          <w:szCs w:val="21"/>
          <w:highlight w:val="none"/>
          <w:lang w:eastAsia="zh-CN"/>
        </w:rPr>
        <w:t>（2）材料单价：</w:t>
      </w:r>
    </w:p>
    <w:p w14:paraId="44F6E66D">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b w:val="0"/>
          <w:bCs/>
          <w:snapToGrid w:val="0"/>
          <w:color w:val="auto"/>
          <w:sz w:val="21"/>
          <w:szCs w:val="21"/>
          <w:highlight w:val="none"/>
          <w:lang w:eastAsia="zh-CN"/>
        </w:rPr>
      </w:pPr>
      <w:r>
        <w:rPr>
          <w:rFonts w:hint="eastAsia" w:ascii="宋体" w:hAnsi="宋体" w:eastAsia="宋体" w:cs="宋体"/>
          <w:b w:val="0"/>
          <w:bCs/>
          <w:snapToGrid w:val="0"/>
          <w:color w:val="auto"/>
          <w:sz w:val="21"/>
          <w:szCs w:val="21"/>
          <w:highlight w:val="none"/>
          <w:lang w:eastAsia="zh-CN"/>
        </w:rPr>
        <w:t>①按</w:t>
      </w:r>
      <w:bookmarkStart w:id="357" w:name="_Hlk529023354"/>
      <w:r>
        <w:rPr>
          <w:rFonts w:hint="eastAsia" w:ascii="宋体" w:hAnsi="宋体" w:eastAsia="宋体" w:cs="宋体"/>
          <w:b w:val="0"/>
          <w:bCs/>
          <w:snapToGrid w:val="0"/>
          <w:color w:val="auto"/>
          <w:sz w:val="21"/>
          <w:szCs w:val="21"/>
          <w:highlight w:val="none"/>
          <w:lang w:eastAsia="zh-CN"/>
        </w:rPr>
        <w:t>开标当期《重庆工程造价信息》发布的项目所在地的信息价</w:t>
      </w:r>
      <w:bookmarkEnd w:id="357"/>
      <w:r>
        <w:rPr>
          <w:rFonts w:hint="eastAsia" w:ascii="宋体" w:hAnsi="宋体" w:eastAsia="宋体" w:cs="宋体"/>
          <w:b w:val="0"/>
          <w:bCs/>
          <w:snapToGrid w:val="0"/>
          <w:color w:val="auto"/>
          <w:sz w:val="21"/>
          <w:szCs w:val="21"/>
          <w:highlight w:val="none"/>
          <w:lang w:eastAsia="zh-CN"/>
        </w:rPr>
        <w:t>执行；</w:t>
      </w:r>
    </w:p>
    <w:p w14:paraId="369588FC">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b w:val="0"/>
          <w:bCs/>
          <w:snapToGrid w:val="0"/>
          <w:color w:val="auto"/>
          <w:sz w:val="21"/>
          <w:szCs w:val="21"/>
          <w:highlight w:val="none"/>
          <w:lang w:eastAsia="zh-CN"/>
        </w:rPr>
      </w:pPr>
      <w:r>
        <w:rPr>
          <w:rFonts w:hint="eastAsia" w:ascii="宋体" w:hAnsi="宋体" w:eastAsia="宋体" w:cs="宋体"/>
          <w:b w:val="0"/>
          <w:bCs/>
          <w:snapToGrid w:val="0"/>
          <w:color w:val="auto"/>
          <w:sz w:val="21"/>
          <w:szCs w:val="21"/>
          <w:highlight w:val="none"/>
          <w:lang w:eastAsia="zh-CN"/>
        </w:rPr>
        <w:t>②开标当期《重庆工程造价信息》中没有的，承包人投标报价中有的，按承包人投标报价中相同材料单价的最低值执行；</w:t>
      </w:r>
    </w:p>
    <w:p w14:paraId="6DD0CC55">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b w:val="0"/>
          <w:bCs/>
          <w:snapToGrid w:val="0"/>
          <w:color w:val="auto"/>
          <w:sz w:val="21"/>
          <w:szCs w:val="21"/>
          <w:highlight w:val="none"/>
          <w:lang w:eastAsia="zh-CN"/>
        </w:rPr>
      </w:pPr>
      <w:r>
        <w:rPr>
          <w:rFonts w:hint="eastAsia" w:ascii="宋体" w:hAnsi="宋体" w:eastAsia="宋体" w:cs="宋体"/>
          <w:b w:val="0"/>
          <w:bCs/>
          <w:snapToGrid w:val="0"/>
          <w:color w:val="auto"/>
          <w:sz w:val="21"/>
          <w:szCs w:val="21"/>
          <w:highlight w:val="none"/>
          <w:lang w:eastAsia="zh-CN"/>
        </w:rPr>
        <w:t>③开标当期《重庆工程造价信息》和承包人投标报价没有的，由承包人申报、监理人会同跟审单位、发包人根据市场行情认质核价确定。</w:t>
      </w:r>
    </w:p>
    <w:bookmarkEnd w:id="356"/>
    <w:p w14:paraId="7567E286">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b w:val="0"/>
          <w:bCs/>
          <w:snapToGrid w:val="0"/>
          <w:color w:val="auto"/>
          <w:sz w:val="21"/>
          <w:szCs w:val="21"/>
          <w:highlight w:val="none"/>
          <w:lang w:eastAsia="zh-CN"/>
        </w:rPr>
      </w:pPr>
      <w:r>
        <w:rPr>
          <w:rFonts w:hint="eastAsia" w:ascii="宋体" w:hAnsi="宋体" w:eastAsia="宋体" w:cs="宋体"/>
          <w:b w:val="0"/>
          <w:bCs/>
          <w:snapToGrid w:val="0"/>
          <w:color w:val="auto"/>
          <w:sz w:val="21"/>
          <w:szCs w:val="21"/>
          <w:highlight w:val="none"/>
          <w:lang w:eastAsia="zh-CN"/>
        </w:rPr>
        <w:t>（3）企业管理费和利润：按承包人投标报价中相同工程分类的费用标准执行（投标报价中费用标准高于《重庆市建设工程费用定额》（CQFYDE-2018）费用标准的，按《重庆市建设工程费用定额》（CQFYDE-2018）费用标准执行）。</w:t>
      </w:r>
    </w:p>
    <w:p w14:paraId="61CDD78C">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b w:val="0"/>
          <w:bCs/>
          <w:snapToGrid w:val="0"/>
          <w:color w:val="auto"/>
          <w:sz w:val="21"/>
          <w:szCs w:val="21"/>
          <w:highlight w:val="none"/>
          <w:lang w:eastAsia="zh-CN"/>
        </w:rPr>
      </w:pPr>
      <w:r>
        <w:rPr>
          <w:rFonts w:hint="eastAsia" w:ascii="宋体" w:hAnsi="宋体" w:eastAsia="宋体" w:cs="宋体"/>
          <w:b w:val="0"/>
          <w:bCs/>
          <w:snapToGrid w:val="0"/>
          <w:color w:val="auto"/>
          <w:sz w:val="21"/>
          <w:szCs w:val="21"/>
          <w:highlight w:val="none"/>
          <w:lang w:eastAsia="zh-CN"/>
        </w:rPr>
        <w:t>（4）规费：按《重庆市建设工程费用定额》（CQFYDE-2018）费用标准进行计算。</w:t>
      </w:r>
    </w:p>
    <w:p w14:paraId="7CE28FBE">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b w:val="0"/>
          <w:bCs/>
          <w:snapToGrid w:val="0"/>
          <w:color w:val="auto"/>
          <w:sz w:val="21"/>
          <w:szCs w:val="21"/>
          <w:highlight w:val="none"/>
          <w:lang w:eastAsia="zh-CN"/>
        </w:rPr>
      </w:pPr>
      <w:r>
        <w:rPr>
          <w:rFonts w:hint="eastAsia" w:ascii="宋体" w:hAnsi="宋体" w:eastAsia="宋体" w:cs="宋体"/>
          <w:b w:val="0"/>
          <w:bCs/>
          <w:snapToGrid w:val="0"/>
          <w:color w:val="auto"/>
          <w:sz w:val="21"/>
          <w:szCs w:val="21"/>
          <w:highlight w:val="none"/>
          <w:lang w:eastAsia="zh-CN"/>
        </w:rPr>
        <w:t>（5）税金：包含增值税、城市维护建设税、教育费附加、地方教育附加以及环境保护税。其中增值税按《重庆市建设工程费用定额》（CQFYDE-2018）规定及配套文件执行。</w:t>
      </w:r>
    </w:p>
    <w:p w14:paraId="2C1D220B">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b w:val="0"/>
          <w:bCs/>
          <w:snapToGrid w:val="0"/>
          <w:color w:val="auto"/>
          <w:sz w:val="21"/>
          <w:szCs w:val="21"/>
          <w:highlight w:val="none"/>
          <w:lang w:eastAsia="zh-CN"/>
        </w:rPr>
      </w:pPr>
      <w:r>
        <w:rPr>
          <w:rFonts w:hint="eastAsia" w:ascii="宋体" w:hAnsi="宋体" w:eastAsia="宋体" w:cs="宋体"/>
          <w:b w:val="0"/>
          <w:bCs/>
          <w:snapToGrid w:val="0"/>
          <w:color w:val="auto"/>
          <w:sz w:val="21"/>
          <w:szCs w:val="21"/>
          <w:highlight w:val="none"/>
          <w:lang w:eastAsia="zh-CN"/>
        </w:rPr>
        <w:t>1</w:t>
      </w:r>
      <w:r>
        <w:rPr>
          <w:rFonts w:hint="eastAsia" w:ascii="宋体" w:hAnsi="宋体" w:eastAsia="宋体" w:cs="宋体"/>
          <w:b w:val="0"/>
          <w:bCs/>
          <w:snapToGrid w:val="0"/>
          <w:color w:val="auto"/>
          <w:sz w:val="21"/>
          <w:szCs w:val="21"/>
          <w:highlight w:val="none"/>
          <w:lang w:val="en-US" w:eastAsia="zh-CN"/>
        </w:rPr>
        <w:t>5</w:t>
      </w:r>
      <w:r>
        <w:rPr>
          <w:rFonts w:hint="eastAsia" w:ascii="宋体" w:hAnsi="宋体" w:eastAsia="宋体" w:cs="宋体"/>
          <w:b w:val="0"/>
          <w:bCs/>
          <w:snapToGrid w:val="0"/>
          <w:color w:val="auto"/>
          <w:sz w:val="21"/>
          <w:szCs w:val="21"/>
          <w:highlight w:val="none"/>
          <w:lang w:eastAsia="zh-CN"/>
        </w:rPr>
        <w:t>.1.</w:t>
      </w:r>
      <w:r>
        <w:rPr>
          <w:rFonts w:hint="eastAsia" w:ascii="宋体" w:hAnsi="宋体" w:eastAsia="宋体" w:cs="宋体"/>
          <w:b w:val="0"/>
          <w:bCs/>
          <w:snapToGrid w:val="0"/>
          <w:color w:val="auto"/>
          <w:sz w:val="21"/>
          <w:szCs w:val="21"/>
          <w:highlight w:val="none"/>
          <w:lang w:val="en-US" w:eastAsia="zh-CN"/>
        </w:rPr>
        <w:t>3</w:t>
      </w:r>
      <w:r>
        <w:rPr>
          <w:rFonts w:hint="eastAsia" w:ascii="宋体" w:hAnsi="宋体" w:eastAsia="宋体" w:cs="宋体"/>
          <w:b w:val="0"/>
          <w:bCs/>
          <w:snapToGrid w:val="0"/>
          <w:color w:val="auto"/>
          <w:sz w:val="21"/>
          <w:szCs w:val="21"/>
          <w:highlight w:val="none"/>
          <w:lang w:eastAsia="zh-CN"/>
        </w:rPr>
        <w:t>已标价工程量清单中无相同项目亦无类似项目，也无定额可套用的，由承包人会同监理人、跟审单位、发包人按相关原则、编制方法编制补充定额（人工、材料、机械基价执行2018年计价定额的基价，2018年计价定额没有的基价，按市场价计），按照第10.4.1.3目约定执行；或参照重庆市场相同工作的市场价格上报监理人，最终价格按承包人、监理人、跟审单位、发包人共同询价确认的价格执行。</w:t>
      </w:r>
    </w:p>
    <w:p w14:paraId="7702F875">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b w:val="0"/>
          <w:bCs/>
          <w:snapToGrid w:val="0"/>
          <w:color w:val="auto"/>
          <w:sz w:val="21"/>
          <w:szCs w:val="21"/>
          <w:highlight w:val="none"/>
          <w:lang w:eastAsia="zh-CN"/>
        </w:rPr>
      </w:pPr>
      <w:r>
        <w:rPr>
          <w:rFonts w:hint="eastAsia" w:ascii="宋体" w:hAnsi="宋体" w:eastAsia="宋体" w:cs="宋体"/>
          <w:b w:val="0"/>
          <w:bCs/>
          <w:snapToGrid w:val="0"/>
          <w:color w:val="auto"/>
          <w:sz w:val="21"/>
          <w:szCs w:val="21"/>
          <w:highlight w:val="none"/>
          <w:lang w:eastAsia="zh-CN"/>
        </w:rPr>
        <w:t>本款补充1</w:t>
      </w:r>
      <w:r>
        <w:rPr>
          <w:rFonts w:hint="eastAsia" w:ascii="宋体" w:hAnsi="宋体" w:eastAsia="宋体" w:cs="宋体"/>
          <w:b w:val="0"/>
          <w:bCs/>
          <w:snapToGrid w:val="0"/>
          <w:color w:val="auto"/>
          <w:sz w:val="21"/>
          <w:szCs w:val="21"/>
          <w:highlight w:val="none"/>
          <w:lang w:val="en-US" w:eastAsia="zh-CN"/>
        </w:rPr>
        <w:t>5</w:t>
      </w:r>
      <w:r>
        <w:rPr>
          <w:rFonts w:hint="eastAsia" w:ascii="宋体" w:hAnsi="宋体" w:eastAsia="宋体" w:cs="宋体"/>
          <w:b w:val="0"/>
          <w:bCs/>
          <w:snapToGrid w:val="0"/>
          <w:color w:val="auto"/>
          <w:sz w:val="21"/>
          <w:szCs w:val="21"/>
          <w:highlight w:val="none"/>
          <w:lang w:eastAsia="zh-CN"/>
        </w:rPr>
        <w:t>.</w:t>
      </w:r>
      <w:r>
        <w:rPr>
          <w:rFonts w:hint="eastAsia" w:ascii="宋体" w:hAnsi="宋体" w:eastAsia="宋体" w:cs="宋体"/>
          <w:b w:val="0"/>
          <w:bCs/>
          <w:snapToGrid w:val="0"/>
          <w:color w:val="auto"/>
          <w:sz w:val="21"/>
          <w:szCs w:val="21"/>
          <w:highlight w:val="none"/>
          <w:lang w:val="en-US" w:eastAsia="zh-CN"/>
        </w:rPr>
        <w:t>1</w:t>
      </w:r>
      <w:r>
        <w:rPr>
          <w:rFonts w:hint="eastAsia" w:ascii="宋体" w:hAnsi="宋体" w:eastAsia="宋体" w:cs="宋体"/>
          <w:b w:val="0"/>
          <w:bCs/>
          <w:snapToGrid w:val="0"/>
          <w:color w:val="auto"/>
          <w:sz w:val="21"/>
          <w:szCs w:val="21"/>
          <w:highlight w:val="none"/>
          <w:lang w:eastAsia="zh-CN"/>
        </w:rPr>
        <w:t>.</w:t>
      </w:r>
      <w:r>
        <w:rPr>
          <w:rFonts w:hint="eastAsia" w:ascii="宋体" w:hAnsi="宋体" w:eastAsia="宋体" w:cs="宋体"/>
          <w:b w:val="0"/>
          <w:bCs/>
          <w:snapToGrid w:val="0"/>
          <w:color w:val="auto"/>
          <w:sz w:val="21"/>
          <w:szCs w:val="21"/>
          <w:highlight w:val="none"/>
          <w:lang w:val="en-US" w:eastAsia="zh-CN"/>
        </w:rPr>
        <w:t>4</w:t>
      </w:r>
      <w:r>
        <w:rPr>
          <w:rFonts w:hint="eastAsia" w:ascii="宋体" w:hAnsi="宋体" w:eastAsia="宋体" w:cs="宋体"/>
          <w:b w:val="0"/>
          <w:bCs/>
          <w:snapToGrid w:val="0"/>
          <w:color w:val="auto"/>
          <w:sz w:val="21"/>
          <w:szCs w:val="21"/>
          <w:highlight w:val="none"/>
          <w:lang w:eastAsia="zh-CN"/>
        </w:rPr>
        <w:t>项：</w:t>
      </w:r>
    </w:p>
    <w:p w14:paraId="7F00349F">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b w:val="0"/>
          <w:bCs/>
          <w:snapToGrid w:val="0"/>
          <w:color w:val="auto"/>
          <w:sz w:val="21"/>
          <w:szCs w:val="21"/>
          <w:highlight w:val="none"/>
          <w:lang w:eastAsia="zh-CN"/>
        </w:rPr>
      </w:pPr>
      <w:r>
        <w:rPr>
          <w:rFonts w:hint="eastAsia" w:ascii="宋体" w:hAnsi="宋体" w:eastAsia="宋体" w:cs="宋体"/>
          <w:b w:val="0"/>
          <w:bCs/>
          <w:snapToGrid w:val="0"/>
          <w:color w:val="auto"/>
          <w:sz w:val="21"/>
          <w:szCs w:val="21"/>
          <w:highlight w:val="none"/>
          <w:lang w:eastAsia="zh-CN"/>
        </w:rPr>
        <w:t>1</w:t>
      </w:r>
      <w:r>
        <w:rPr>
          <w:rFonts w:hint="eastAsia" w:ascii="宋体" w:hAnsi="宋体" w:eastAsia="宋体" w:cs="宋体"/>
          <w:b w:val="0"/>
          <w:bCs/>
          <w:snapToGrid w:val="0"/>
          <w:color w:val="auto"/>
          <w:sz w:val="21"/>
          <w:szCs w:val="21"/>
          <w:highlight w:val="none"/>
          <w:lang w:val="en-US" w:eastAsia="zh-CN"/>
        </w:rPr>
        <w:t>5</w:t>
      </w:r>
      <w:r>
        <w:rPr>
          <w:rFonts w:hint="eastAsia" w:ascii="宋体" w:hAnsi="宋体" w:eastAsia="宋体" w:cs="宋体"/>
          <w:b w:val="0"/>
          <w:bCs/>
          <w:snapToGrid w:val="0"/>
          <w:color w:val="auto"/>
          <w:sz w:val="21"/>
          <w:szCs w:val="21"/>
          <w:highlight w:val="none"/>
          <w:lang w:eastAsia="zh-CN"/>
        </w:rPr>
        <w:t>.</w:t>
      </w:r>
      <w:r>
        <w:rPr>
          <w:rFonts w:hint="eastAsia" w:ascii="宋体" w:hAnsi="宋体" w:eastAsia="宋体" w:cs="宋体"/>
          <w:b w:val="0"/>
          <w:bCs/>
          <w:snapToGrid w:val="0"/>
          <w:color w:val="auto"/>
          <w:sz w:val="21"/>
          <w:szCs w:val="21"/>
          <w:highlight w:val="none"/>
          <w:lang w:val="en-US" w:eastAsia="zh-CN"/>
        </w:rPr>
        <w:t>1</w:t>
      </w:r>
      <w:r>
        <w:rPr>
          <w:rFonts w:hint="eastAsia" w:ascii="宋体" w:hAnsi="宋体" w:eastAsia="宋体" w:cs="宋体"/>
          <w:b w:val="0"/>
          <w:bCs/>
          <w:snapToGrid w:val="0"/>
          <w:color w:val="auto"/>
          <w:sz w:val="21"/>
          <w:szCs w:val="21"/>
          <w:highlight w:val="none"/>
          <w:lang w:eastAsia="zh-CN"/>
        </w:rPr>
        <w:t>.</w:t>
      </w:r>
      <w:r>
        <w:rPr>
          <w:rFonts w:hint="eastAsia" w:ascii="宋体" w:hAnsi="宋体" w:eastAsia="宋体" w:cs="宋体"/>
          <w:b w:val="0"/>
          <w:bCs/>
          <w:snapToGrid w:val="0"/>
          <w:color w:val="auto"/>
          <w:sz w:val="21"/>
          <w:szCs w:val="21"/>
          <w:highlight w:val="none"/>
          <w:lang w:val="en-US" w:eastAsia="zh-CN"/>
        </w:rPr>
        <w:t>4</w:t>
      </w:r>
      <w:r>
        <w:rPr>
          <w:rFonts w:hint="eastAsia" w:ascii="宋体" w:hAnsi="宋体" w:eastAsia="宋体" w:cs="宋体"/>
          <w:b w:val="0"/>
          <w:bCs/>
          <w:snapToGrid w:val="0"/>
          <w:color w:val="auto"/>
          <w:sz w:val="21"/>
          <w:szCs w:val="21"/>
          <w:highlight w:val="none"/>
          <w:lang w:eastAsia="zh-CN"/>
        </w:rPr>
        <w:t>工程变更引起施工方案改变并使措施项目发生变化时，承包人提出调整措施项目费的，应事前将拟实施的方案提交监理人审核报发包人确认，并应详细说明与原方案措施项目相比的变化情况。拟实施的方案经发承包双方确认后执行，并应按照下列规定调整措施项目费：</w:t>
      </w:r>
    </w:p>
    <w:p w14:paraId="39DB78C0">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b w:val="0"/>
          <w:bCs/>
          <w:snapToGrid w:val="0"/>
          <w:color w:val="auto"/>
          <w:sz w:val="21"/>
          <w:szCs w:val="21"/>
          <w:highlight w:val="none"/>
          <w:lang w:eastAsia="zh-CN"/>
        </w:rPr>
      </w:pPr>
      <w:r>
        <w:rPr>
          <w:rFonts w:hint="eastAsia" w:ascii="宋体" w:hAnsi="宋体" w:eastAsia="宋体" w:cs="宋体"/>
          <w:b w:val="0"/>
          <w:bCs/>
          <w:snapToGrid w:val="0"/>
          <w:color w:val="auto"/>
          <w:sz w:val="21"/>
          <w:szCs w:val="21"/>
          <w:highlight w:val="none"/>
          <w:lang w:eastAsia="zh-CN"/>
        </w:rPr>
        <w:t>（1）安全文明施工费应按照实际发生变化的措施项目依据现行安全文明施工费计取及管理政策规定及《重庆市建设工程费用定额》（CQFYDE-2018）规定执行；</w:t>
      </w:r>
    </w:p>
    <w:p w14:paraId="14718D03">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b w:val="0"/>
          <w:bCs/>
          <w:snapToGrid w:val="0"/>
          <w:color w:val="auto"/>
          <w:sz w:val="21"/>
          <w:szCs w:val="21"/>
          <w:highlight w:val="none"/>
          <w:lang w:eastAsia="zh-CN"/>
        </w:rPr>
      </w:pPr>
      <w:r>
        <w:rPr>
          <w:rFonts w:hint="eastAsia" w:ascii="宋体" w:hAnsi="宋体" w:eastAsia="宋体" w:cs="宋体"/>
          <w:b w:val="0"/>
          <w:bCs/>
          <w:snapToGrid w:val="0"/>
          <w:color w:val="auto"/>
          <w:sz w:val="21"/>
          <w:szCs w:val="21"/>
          <w:highlight w:val="none"/>
          <w:lang w:eastAsia="zh-CN"/>
        </w:rPr>
        <w:t>（2）按照单价计算的措施项目费，应按照实际发生变化的措施项目，按照第1</w:t>
      </w:r>
      <w:r>
        <w:rPr>
          <w:rFonts w:hint="eastAsia" w:ascii="宋体" w:hAnsi="宋体" w:eastAsia="宋体" w:cs="宋体"/>
          <w:b w:val="0"/>
          <w:bCs/>
          <w:snapToGrid w:val="0"/>
          <w:color w:val="auto"/>
          <w:sz w:val="21"/>
          <w:szCs w:val="21"/>
          <w:highlight w:val="none"/>
          <w:lang w:val="en-US" w:eastAsia="zh-CN"/>
        </w:rPr>
        <w:t>5</w:t>
      </w:r>
      <w:r>
        <w:rPr>
          <w:rFonts w:hint="eastAsia" w:ascii="宋体" w:hAnsi="宋体" w:eastAsia="宋体" w:cs="宋体"/>
          <w:b w:val="0"/>
          <w:bCs/>
          <w:snapToGrid w:val="0"/>
          <w:color w:val="auto"/>
          <w:sz w:val="21"/>
          <w:szCs w:val="21"/>
          <w:highlight w:val="none"/>
          <w:lang w:eastAsia="zh-CN"/>
        </w:rPr>
        <w:t>.</w:t>
      </w:r>
      <w:r>
        <w:rPr>
          <w:rFonts w:hint="eastAsia" w:ascii="宋体" w:hAnsi="宋体" w:eastAsia="宋体" w:cs="宋体"/>
          <w:b w:val="0"/>
          <w:bCs/>
          <w:snapToGrid w:val="0"/>
          <w:color w:val="auto"/>
          <w:sz w:val="21"/>
          <w:szCs w:val="21"/>
          <w:highlight w:val="none"/>
          <w:lang w:val="en-US" w:eastAsia="zh-CN"/>
        </w:rPr>
        <w:t>1</w:t>
      </w:r>
      <w:r>
        <w:rPr>
          <w:rFonts w:hint="eastAsia" w:ascii="宋体" w:hAnsi="宋体" w:eastAsia="宋体" w:cs="宋体"/>
          <w:b w:val="0"/>
          <w:bCs/>
          <w:snapToGrid w:val="0"/>
          <w:color w:val="auto"/>
          <w:sz w:val="21"/>
          <w:szCs w:val="21"/>
          <w:highlight w:val="none"/>
          <w:lang w:eastAsia="zh-CN"/>
        </w:rPr>
        <w:t>.1项〔变更估价原则〕约定执行；</w:t>
      </w:r>
    </w:p>
    <w:p w14:paraId="1526D587">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b w:val="0"/>
          <w:bCs/>
          <w:snapToGrid w:val="0"/>
          <w:color w:val="auto"/>
          <w:sz w:val="21"/>
          <w:szCs w:val="21"/>
          <w:highlight w:val="none"/>
          <w:lang w:eastAsia="zh-CN"/>
        </w:rPr>
      </w:pPr>
      <w:r>
        <w:rPr>
          <w:rFonts w:hint="eastAsia" w:ascii="宋体" w:hAnsi="宋体" w:eastAsia="宋体" w:cs="宋体"/>
          <w:b w:val="0"/>
          <w:bCs/>
          <w:snapToGrid w:val="0"/>
          <w:color w:val="auto"/>
          <w:sz w:val="21"/>
          <w:szCs w:val="21"/>
          <w:highlight w:val="none"/>
          <w:lang w:eastAsia="zh-CN"/>
        </w:rPr>
        <w:t>（3）按总价（或系数）计算的措施项目费，应按照实际发生变化的措施项目费按承包人报价浮动率下浮后的金额计算；</w:t>
      </w:r>
    </w:p>
    <w:p w14:paraId="303095B5">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b w:val="0"/>
          <w:bCs/>
          <w:snapToGrid w:val="0"/>
          <w:color w:val="auto"/>
          <w:sz w:val="21"/>
          <w:szCs w:val="21"/>
          <w:highlight w:val="none"/>
          <w:lang w:eastAsia="zh-CN"/>
        </w:rPr>
      </w:pPr>
      <w:r>
        <w:rPr>
          <w:rFonts w:hint="eastAsia" w:ascii="宋体" w:hAnsi="宋体" w:eastAsia="宋体" w:cs="宋体"/>
          <w:b w:val="0"/>
          <w:bCs/>
          <w:snapToGrid w:val="0"/>
          <w:color w:val="auto"/>
          <w:sz w:val="21"/>
          <w:szCs w:val="21"/>
          <w:highlight w:val="none"/>
          <w:lang w:eastAsia="zh-CN"/>
        </w:rPr>
        <w:t>（4）如果承包人未事前将拟实施的方案提交给发包人确认，则应视为工程变更不引起措施项目费的调整或承包人放弃调整措施项目费的权利。</w:t>
      </w:r>
      <w:bookmarkEnd w:id="354"/>
    </w:p>
    <w:p w14:paraId="69D0CC5E">
      <w:pPr>
        <w:keepNext w:val="0"/>
        <w:keepLines w:val="0"/>
        <w:pageBreakBefore w:val="0"/>
        <w:widowControl w:val="0"/>
        <w:kinsoku/>
        <w:wordWrap/>
        <w:overflowPunct/>
        <w:topLinePunct w:val="0"/>
        <w:bidi w:val="0"/>
        <w:adjustRightInd w:val="0"/>
        <w:snapToGrid w:val="0"/>
        <w:spacing w:after="10" w:line="360" w:lineRule="auto"/>
        <w:rPr>
          <w:rFonts w:hint="eastAsia" w:ascii="宋体" w:hAnsi="宋体" w:eastAsia="宋体" w:cs="宋体"/>
          <w:b/>
          <w:bCs/>
          <w:snapToGrid w:val="0"/>
          <w:color w:val="auto"/>
          <w:sz w:val="21"/>
          <w:szCs w:val="21"/>
          <w:highlight w:val="none"/>
        </w:rPr>
      </w:pPr>
      <w:r>
        <w:rPr>
          <w:rFonts w:hint="eastAsia" w:ascii="宋体" w:hAnsi="宋体" w:eastAsia="宋体" w:cs="宋体"/>
          <w:b/>
          <w:bCs/>
          <w:snapToGrid w:val="0"/>
          <w:color w:val="auto"/>
          <w:sz w:val="21"/>
          <w:szCs w:val="21"/>
          <w:highlight w:val="none"/>
        </w:rPr>
        <w:t>15.5 承包人的合理化建议</w:t>
      </w:r>
    </w:p>
    <w:p w14:paraId="679F6616">
      <w:pPr>
        <w:keepNext w:val="0"/>
        <w:keepLines w:val="0"/>
        <w:pageBreakBefore w:val="0"/>
        <w:widowControl w:val="0"/>
        <w:kinsoku/>
        <w:wordWrap/>
        <w:overflowPunct/>
        <w:topLinePunct w:val="0"/>
        <w:bidi w:val="0"/>
        <w:spacing w:after="1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15.5.2 对承包人提出合理化建议的奖励方法：</w:t>
      </w:r>
      <w:r>
        <w:rPr>
          <w:rFonts w:hint="eastAsia" w:ascii="宋体" w:hAnsi="宋体" w:eastAsia="宋体" w:cs="宋体"/>
          <w:b/>
          <w:color w:val="auto"/>
          <w:sz w:val="21"/>
          <w:szCs w:val="21"/>
          <w:highlight w:val="none"/>
          <w:u w:val="single"/>
        </w:rPr>
        <w:t xml:space="preserve">无 </w:t>
      </w:r>
      <w:r>
        <w:rPr>
          <w:rFonts w:hint="eastAsia" w:ascii="宋体" w:hAnsi="宋体" w:eastAsia="宋体" w:cs="宋体"/>
          <w:color w:val="auto"/>
          <w:sz w:val="21"/>
          <w:szCs w:val="21"/>
          <w:highlight w:val="none"/>
          <w:u w:val="single"/>
        </w:rPr>
        <w:t xml:space="preserve">  </w:t>
      </w:r>
    </w:p>
    <w:p w14:paraId="12342990">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color w:val="auto"/>
          <w:sz w:val="21"/>
          <w:szCs w:val="21"/>
          <w:highlight w:val="none"/>
        </w:rPr>
      </w:pPr>
      <w:bookmarkStart w:id="358" w:name="_Toc243980055"/>
      <w:bookmarkStart w:id="359" w:name="_Toc350961252"/>
      <w:r>
        <w:rPr>
          <w:rFonts w:hint="eastAsia" w:ascii="宋体" w:hAnsi="宋体" w:eastAsia="宋体" w:cs="宋体"/>
          <w:snapToGrid w:val="0"/>
          <w:color w:val="auto"/>
          <w:sz w:val="21"/>
          <w:szCs w:val="21"/>
          <w:highlight w:val="none"/>
        </w:rPr>
        <w:t>15.8暂估价</w:t>
      </w:r>
      <w:bookmarkEnd w:id="358"/>
      <w:bookmarkEnd w:id="359"/>
      <w:r>
        <w:rPr>
          <w:rFonts w:hint="eastAsia" w:ascii="宋体" w:hAnsi="宋体" w:eastAsia="宋体" w:cs="宋体"/>
          <w:snapToGrid w:val="0"/>
          <w:color w:val="auto"/>
          <w:sz w:val="21"/>
          <w:szCs w:val="21"/>
          <w:highlight w:val="none"/>
          <w:lang w:eastAsia="zh-CN"/>
        </w:rPr>
        <w:t>：无</w:t>
      </w:r>
      <w:r>
        <w:rPr>
          <w:rFonts w:hint="eastAsia" w:ascii="宋体" w:hAnsi="宋体" w:eastAsia="宋体" w:cs="宋体"/>
          <w:color w:val="auto"/>
          <w:sz w:val="21"/>
          <w:szCs w:val="21"/>
          <w:highlight w:val="none"/>
          <w:u w:val="single"/>
        </w:rPr>
        <w:t xml:space="preserve">  </w:t>
      </w:r>
    </w:p>
    <w:p w14:paraId="49E86F65">
      <w:pPr>
        <w:pStyle w:val="4"/>
        <w:keepNext w:val="0"/>
        <w:keepLines w:val="0"/>
        <w:pageBreakBefore w:val="0"/>
        <w:widowControl w:val="0"/>
        <w:kinsoku/>
        <w:wordWrap/>
        <w:overflowPunct/>
        <w:topLinePunct w:val="0"/>
        <w:bidi w:val="0"/>
        <w:spacing w:before="0" w:after="10" w:line="360" w:lineRule="auto"/>
        <w:rPr>
          <w:rFonts w:hint="eastAsia" w:ascii="宋体" w:hAnsi="宋体" w:eastAsia="宋体" w:cs="宋体"/>
          <w:snapToGrid w:val="0"/>
          <w:color w:val="auto"/>
          <w:sz w:val="21"/>
          <w:szCs w:val="21"/>
          <w:highlight w:val="none"/>
        </w:rPr>
      </w:pPr>
      <w:bookmarkStart w:id="360" w:name="_Toc350961253"/>
      <w:bookmarkStart w:id="361" w:name="_Toc243980056"/>
      <w:r>
        <w:rPr>
          <w:rFonts w:hint="eastAsia" w:ascii="宋体" w:hAnsi="宋体" w:eastAsia="宋体" w:cs="宋体"/>
          <w:snapToGrid w:val="0"/>
          <w:color w:val="auto"/>
          <w:sz w:val="21"/>
          <w:szCs w:val="21"/>
          <w:highlight w:val="none"/>
        </w:rPr>
        <w:t>16价格调整</w:t>
      </w:r>
      <w:bookmarkEnd w:id="360"/>
      <w:bookmarkEnd w:id="361"/>
      <w:bookmarkStart w:id="362" w:name="_Toc350961254"/>
      <w:bookmarkStart w:id="363" w:name="_Toc243980057"/>
    </w:p>
    <w:p w14:paraId="4198899D">
      <w:pPr>
        <w:keepNext w:val="0"/>
        <w:keepLines w:val="0"/>
        <w:pageBreakBefore w:val="0"/>
        <w:widowControl w:val="0"/>
        <w:kinsoku/>
        <w:wordWrap/>
        <w:overflowPunct/>
        <w:topLinePunct w:val="0"/>
        <w:bidi w:val="0"/>
        <w:spacing w:after="10" w:line="360" w:lineRule="auto"/>
        <w:ind w:firstLine="480"/>
        <w:rPr>
          <w:rFonts w:hint="eastAsia" w:ascii="宋体" w:hAnsi="宋体" w:eastAsia="宋体" w:cs="宋体"/>
          <w:b/>
          <w:color w:val="auto"/>
          <w:kern w:val="0"/>
          <w:sz w:val="21"/>
          <w:szCs w:val="21"/>
          <w:highlight w:val="none"/>
          <w:u w:val="single"/>
        </w:rPr>
      </w:pPr>
      <w:r>
        <w:rPr>
          <w:rFonts w:hint="eastAsia" w:ascii="宋体" w:hAnsi="宋体" w:eastAsia="宋体" w:cs="宋体"/>
          <w:snapToGrid w:val="0"/>
          <w:color w:val="auto"/>
          <w:sz w:val="21"/>
          <w:szCs w:val="21"/>
          <w:highlight w:val="none"/>
        </w:rPr>
        <w:t>16.1 物价波动引起的价格调整</w:t>
      </w:r>
      <w:bookmarkEnd w:id="362"/>
      <w:bookmarkEnd w:id="363"/>
      <w:r>
        <w:rPr>
          <w:rFonts w:hint="eastAsia" w:ascii="宋体" w:hAnsi="宋体" w:eastAsia="宋体" w:cs="宋体"/>
          <w:b/>
          <w:color w:val="auto"/>
          <w:kern w:val="0"/>
          <w:sz w:val="21"/>
          <w:szCs w:val="21"/>
          <w:highlight w:val="none"/>
          <w:u w:val="none"/>
        </w:rPr>
        <w:t>:</w:t>
      </w:r>
      <w:r>
        <w:rPr>
          <w:rFonts w:hint="eastAsia" w:ascii="宋体" w:hAnsi="宋体" w:eastAsia="宋体" w:cs="宋体"/>
          <w:b/>
          <w:color w:val="auto"/>
          <w:kern w:val="0"/>
          <w:sz w:val="21"/>
          <w:szCs w:val="21"/>
          <w:highlight w:val="none"/>
          <w:u w:val="single"/>
        </w:rPr>
        <w:t>不采用。</w:t>
      </w:r>
    </w:p>
    <w:p w14:paraId="7AA9456B">
      <w:pPr>
        <w:pStyle w:val="4"/>
        <w:keepNext w:val="0"/>
        <w:keepLines w:val="0"/>
        <w:pageBreakBefore w:val="0"/>
        <w:widowControl w:val="0"/>
        <w:kinsoku/>
        <w:wordWrap/>
        <w:overflowPunct/>
        <w:topLinePunct w:val="0"/>
        <w:bidi w:val="0"/>
        <w:spacing w:before="0" w:after="10" w:line="360" w:lineRule="auto"/>
        <w:rPr>
          <w:rFonts w:hint="eastAsia" w:ascii="宋体" w:hAnsi="宋体" w:eastAsia="宋体" w:cs="宋体"/>
          <w:snapToGrid w:val="0"/>
          <w:color w:val="auto"/>
          <w:sz w:val="21"/>
          <w:szCs w:val="21"/>
          <w:highlight w:val="none"/>
        </w:rPr>
      </w:pPr>
      <w:bookmarkStart w:id="364" w:name="_Toc243980058"/>
      <w:bookmarkStart w:id="365" w:name="_Toc350961255"/>
      <w:r>
        <w:rPr>
          <w:rFonts w:hint="eastAsia" w:ascii="宋体" w:hAnsi="宋体" w:eastAsia="宋体" w:cs="宋体"/>
          <w:snapToGrid w:val="0"/>
          <w:color w:val="auto"/>
          <w:sz w:val="21"/>
          <w:szCs w:val="21"/>
          <w:highlight w:val="none"/>
        </w:rPr>
        <w:t>17计量与支付</w:t>
      </w:r>
      <w:bookmarkEnd w:id="364"/>
      <w:bookmarkEnd w:id="365"/>
    </w:p>
    <w:p w14:paraId="4C986FFE">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bookmarkStart w:id="366" w:name="_Toc243980059"/>
      <w:bookmarkStart w:id="367" w:name="_Toc350961256"/>
      <w:r>
        <w:rPr>
          <w:rFonts w:hint="eastAsia" w:ascii="宋体" w:hAnsi="宋体" w:eastAsia="宋体" w:cs="宋体"/>
          <w:snapToGrid w:val="0"/>
          <w:color w:val="auto"/>
          <w:sz w:val="21"/>
          <w:szCs w:val="21"/>
          <w:highlight w:val="none"/>
        </w:rPr>
        <w:t>17.1计量</w:t>
      </w:r>
      <w:bookmarkEnd w:id="366"/>
      <w:bookmarkEnd w:id="367"/>
    </w:p>
    <w:p w14:paraId="20427D3F">
      <w:pPr>
        <w:keepNext w:val="0"/>
        <w:keepLines w:val="0"/>
        <w:pageBreakBefore w:val="0"/>
        <w:widowControl w:val="0"/>
        <w:kinsoku/>
        <w:wordWrap/>
        <w:overflowPunct/>
        <w:topLinePunct w:val="0"/>
        <w:bidi w:val="0"/>
        <w:spacing w:after="1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17.1.3  计量周期</w:t>
      </w:r>
    </w:p>
    <w:p w14:paraId="341B2BA8">
      <w:pPr>
        <w:keepNext w:val="0"/>
        <w:keepLines w:val="0"/>
        <w:pageBreakBefore w:val="0"/>
        <w:widowControl w:val="0"/>
        <w:kinsoku/>
        <w:wordWrap/>
        <w:overflowPunct/>
        <w:topLinePunct w:val="0"/>
        <w:bidi w:val="0"/>
        <w:spacing w:after="1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本合同的计量周期：</w:t>
      </w:r>
      <w:r>
        <w:rPr>
          <w:rFonts w:hint="eastAsia" w:ascii="宋体" w:hAnsi="宋体" w:eastAsia="宋体" w:cs="宋体"/>
          <w:b/>
          <w:color w:val="auto"/>
          <w:sz w:val="21"/>
          <w:szCs w:val="21"/>
          <w:highlight w:val="none"/>
          <w:u w:val="single"/>
        </w:rPr>
        <w:t>不采用</w:t>
      </w:r>
      <w:r>
        <w:rPr>
          <w:rFonts w:hint="eastAsia" w:ascii="宋体" w:hAnsi="宋体" w:eastAsia="宋体" w:cs="宋体"/>
          <w:color w:val="auto"/>
          <w:sz w:val="21"/>
          <w:szCs w:val="21"/>
          <w:highlight w:val="none"/>
          <w:u w:val="single"/>
        </w:rPr>
        <w:t>。</w:t>
      </w:r>
    </w:p>
    <w:p w14:paraId="22CB7F87">
      <w:pPr>
        <w:keepNext w:val="0"/>
        <w:keepLines w:val="0"/>
        <w:pageBreakBefore w:val="0"/>
        <w:widowControl w:val="0"/>
        <w:kinsoku/>
        <w:wordWrap/>
        <w:overflowPunct/>
        <w:topLinePunct w:val="0"/>
        <w:bidi w:val="0"/>
        <w:spacing w:after="1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17.1.5  总价子目的计量</w:t>
      </w:r>
    </w:p>
    <w:p w14:paraId="61BA1E9D">
      <w:pPr>
        <w:keepNext w:val="0"/>
        <w:keepLines w:val="0"/>
        <w:pageBreakBefore w:val="0"/>
        <w:widowControl w:val="0"/>
        <w:kinsoku/>
        <w:wordWrap/>
        <w:overflowPunct/>
        <w:topLinePunct w:val="0"/>
        <w:bidi w:val="0"/>
        <w:spacing w:after="1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总价子目的计量方法：</w:t>
      </w:r>
      <w:r>
        <w:rPr>
          <w:rFonts w:hint="eastAsia" w:ascii="宋体" w:hAnsi="宋体" w:eastAsia="宋体" w:cs="宋体"/>
          <w:b/>
          <w:color w:val="auto"/>
          <w:sz w:val="21"/>
          <w:szCs w:val="21"/>
          <w:highlight w:val="none"/>
          <w:u w:val="single"/>
        </w:rPr>
        <w:t>不采用。</w:t>
      </w:r>
    </w:p>
    <w:p w14:paraId="112F9932">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bookmarkStart w:id="368" w:name="_Toc243980060"/>
      <w:bookmarkStart w:id="369" w:name="_Toc350961257"/>
      <w:r>
        <w:rPr>
          <w:rFonts w:hint="eastAsia" w:ascii="宋体" w:hAnsi="宋体" w:eastAsia="宋体" w:cs="宋体"/>
          <w:snapToGrid w:val="0"/>
          <w:color w:val="auto"/>
          <w:sz w:val="21"/>
          <w:szCs w:val="21"/>
          <w:highlight w:val="none"/>
        </w:rPr>
        <w:t>17.2预付款</w:t>
      </w:r>
      <w:bookmarkEnd w:id="368"/>
      <w:bookmarkEnd w:id="369"/>
      <w:r>
        <w:rPr>
          <w:rFonts w:hint="eastAsia" w:ascii="宋体" w:hAnsi="宋体" w:eastAsia="宋体" w:cs="宋体"/>
          <w:snapToGrid w:val="0"/>
          <w:color w:val="auto"/>
          <w:sz w:val="21"/>
          <w:szCs w:val="21"/>
          <w:highlight w:val="none"/>
          <w:lang w:eastAsia="zh-CN"/>
        </w:rPr>
        <w:t>：</w:t>
      </w:r>
      <w:r>
        <w:rPr>
          <w:rFonts w:hint="eastAsia" w:ascii="宋体" w:hAnsi="宋体" w:eastAsia="宋体" w:cs="宋体"/>
          <w:snapToGrid w:val="0"/>
          <w:color w:val="auto"/>
          <w:sz w:val="21"/>
          <w:szCs w:val="21"/>
          <w:highlight w:val="none"/>
        </w:rPr>
        <w:t>无</w:t>
      </w:r>
    </w:p>
    <w:p w14:paraId="0707AF90">
      <w:pPr>
        <w:keepNext w:val="0"/>
        <w:keepLines w:val="0"/>
        <w:pageBreakBefore w:val="0"/>
        <w:widowControl w:val="0"/>
        <w:kinsoku/>
        <w:wordWrap/>
        <w:overflowPunct/>
        <w:topLinePunct w:val="0"/>
        <w:bidi w:val="0"/>
        <w:spacing w:after="10"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17.3工程进度付款</w:t>
      </w:r>
    </w:p>
    <w:p w14:paraId="1DEBCF2C">
      <w:pPr>
        <w:keepNext w:val="0"/>
        <w:keepLines w:val="0"/>
        <w:pageBreakBefore w:val="0"/>
        <w:widowControl w:val="0"/>
        <w:kinsoku/>
        <w:wordWrap/>
        <w:overflowPunct/>
        <w:topLinePunct w:val="0"/>
        <w:bidi w:val="0"/>
        <w:spacing w:after="10"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工程竣工验收合格；完成结算审计并交付全套竣工资料后，以结算审计金额3%作为质保金，扣除质保金后付清工程款；质保金于</w:t>
      </w:r>
      <w:r>
        <w:rPr>
          <w:rFonts w:hint="eastAsia" w:ascii="宋体" w:hAnsi="宋体" w:eastAsia="宋体" w:cs="宋体"/>
          <w:bCs/>
          <w:color w:val="auto"/>
          <w:sz w:val="21"/>
          <w:szCs w:val="21"/>
          <w:highlight w:val="none"/>
        </w:rPr>
        <w:t>质量保修期满后无质量缺陷或质量缺陷已整改完毕并通过验收后支付</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无息</w:t>
      </w:r>
      <w:r>
        <w:rPr>
          <w:rFonts w:hint="eastAsia" w:ascii="宋体" w:hAnsi="宋体" w:eastAsia="宋体" w:cs="宋体"/>
          <w:bCs/>
          <w:color w:val="auto"/>
          <w:sz w:val="21"/>
          <w:szCs w:val="21"/>
          <w:highlight w:val="none"/>
          <w:lang w:eastAsia="zh-CN"/>
        </w:rPr>
        <w:t>）。</w:t>
      </w:r>
    </w:p>
    <w:p w14:paraId="63D86874">
      <w:pPr>
        <w:keepNext w:val="0"/>
        <w:keepLines w:val="0"/>
        <w:pageBreakBefore w:val="0"/>
        <w:widowControl w:val="0"/>
        <w:kinsoku/>
        <w:wordWrap/>
        <w:overflowPunct/>
        <w:topLinePunct w:val="0"/>
        <w:bidi w:val="0"/>
        <w:spacing w:after="10"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w:t>
      </w:r>
      <w:bookmarkStart w:id="370" w:name="_Toc350961259"/>
      <w:bookmarkStart w:id="371" w:name="_Toc243980062"/>
      <w:r>
        <w:rPr>
          <w:rFonts w:hint="eastAsia" w:ascii="宋体" w:hAnsi="宋体" w:eastAsia="宋体" w:cs="宋体"/>
          <w:b/>
          <w:color w:val="auto"/>
          <w:sz w:val="21"/>
          <w:szCs w:val="21"/>
          <w:highlight w:val="none"/>
        </w:rPr>
        <w:t xml:space="preserve"> 17.4质量保证金</w:t>
      </w:r>
      <w:bookmarkEnd w:id="370"/>
      <w:bookmarkEnd w:id="371"/>
    </w:p>
    <w:p w14:paraId="36933518">
      <w:pPr>
        <w:keepNext w:val="0"/>
        <w:keepLines w:val="0"/>
        <w:pageBreakBefore w:val="0"/>
        <w:widowControl w:val="0"/>
        <w:kinsoku/>
        <w:wordWrap/>
        <w:overflowPunct/>
        <w:topLinePunct w:val="0"/>
        <w:bidi w:val="0"/>
        <w:spacing w:after="1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17.4.1 质量保证金的金额或比例：</w:t>
      </w:r>
      <w:r>
        <w:rPr>
          <w:rFonts w:hint="eastAsia" w:ascii="宋体" w:hAnsi="宋体" w:eastAsia="宋体" w:cs="宋体"/>
          <w:b/>
          <w:bCs/>
          <w:i w:val="0"/>
          <w:iCs w:val="0"/>
          <w:color w:val="auto"/>
          <w:sz w:val="21"/>
          <w:szCs w:val="21"/>
          <w:highlight w:val="none"/>
          <w:u w:val="single"/>
          <w:lang w:val="en-US" w:eastAsia="zh-CN"/>
        </w:rPr>
        <w:t>施工结算审计金额</w:t>
      </w:r>
      <w:r>
        <w:rPr>
          <w:rFonts w:hint="eastAsia" w:ascii="宋体" w:hAnsi="宋体" w:eastAsia="宋体" w:cs="宋体"/>
          <w:b/>
          <w:bCs/>
          <w:i w:val="0"/>
          <w:iCs w:val="0"/>
          <w:color w:val="auto"/>
          <w:sz w:val="21"/>
          <w:szCs w:val="21"/>
          <w:highlight w:val="none"/>
          <w:u w:val="single"/>
        </w:rPr>
        <w:t>的3%</w:t>
      </w:r>
      <w:r>
        <w:rPr>
          <w:rFonts w:hint="eastAsia" w:ascii="宋体" w:hAnsi="宋体" w:eastAsia="宋体" w:cs="宋体"/>
          <w:b/>
          <w:color w:val="auto"/>
          <w:sz w:val="21"/>
          <w:szCs w:val="21"/>
          <w:highlight w:val="none"/>
          <w:u w:val="single"/>
        </w:rPr>
        <w:t>作为质量保证金</w:t>
      </w:r>
      <w:r>
        <w:rPr>
          <w:rFonts w:hint="eastAsia" w:ascii="宋体" w:hAnsi="宋体" w:eastAsia="宋体" w:cs="宋体"/>
          <w:color w:val="auto"/>
          <w:sz w:val="21"/>
          <w:szCs w:val="21"/>
          <w:highlight w:val="none"/>
          <w:u w:val="single"/>
        </w:rPr>
        <w:t xml:space="preserve">  </w:t>
      </w:r>
    </w:p>
    <w:p w14:paraId="3D56678D">
      <w:pPr>
        <w:keepNext w:val="0"/>
        <w:keepLines w:val="0"/>
        <w:pageBreakBefore w:val="0"/>
        <w:widowControl w:val="0"/>
        <w:kinsoku/>
        <w:wordWrap/>
        <w:overflowPunct/>
        <w:topLinePunct w:val="0"/>
        <w:bidi w:val="0"/>
        <w:spacing w:after="10" w:line="360" w:lineRule="auto"/>
        <w:ind w:firstLine="465"/>
        <w:rPr>
          <w:rFonts w:hint="eastAsia" w:ascii="宋体" w:hAnsi="宋体" w:eastAsia="宋体" w:cs="宋体"/>
          <w:b/>
          <w:bCs/>
          <w:color w:val="auto"/>
          <w:kern w:val="0"/>
          <w:sz w:val="21"/>
          <w:szCs w:val="21"/>
          <w:highlight w:val="none"/>
          <w:u w:val="single"/>
          <w:lang w:val="en-US" w:eastAsia="zh-CN"/>
        </w:rPr>
      </w:pPr>
      <w:r>
        <w:rPr>
          <w:rFonts w:hint="eastAsia" w:ascii="宋体" w:hAnsi="宋体" w:eastAsia="宋体" w:cs="宋体"/>
          <w:color w:val="auto"/>
          <w:sz w:val="21"/>
          <w:szCs w:val="21"/>
          <w:highlight w:val="none"/>
        </w:rPr>
        <w:t>质量保证金的提交方法：</w:t>
      </w:r>
      <w:r>
        <w:rPr>
          <w:rFonts w:hint="eastAsia" w:ascii="宋体" w:hAnsi="宋体" w:eastAsia="宋体" w:cs="宋体"/>
          <w:b/>
          <w:bCs/>
          <w:color w:val="auto"/>
          <w:kern w:val="0"/>
          <w:sz w:val="21"/>
          <w:szCs w:val="21"/>
          <w:highlight w:val="none"/>
          <w:u w:val="single"/>
          <w:lang w:val="en-US" w:eastAsia="zh-CN"/>
        </w:rPr>
        <w:t>质保金在结算审计金额中扣除</w:t>
      </w:r>
      <w:r>
        <w:rPr>
          <w:rFonts w:hint="eastAsia" w:ascii="宋体" w:hAnsi="宋体" w:eastAsia="宋体" w:cs="宋体"/>
          <w:b/>
          <w:bCs/>
          <w:color w:val="auto"/>
          <w:kern w:val="0"/>
          <w:sz w:val="21"/>
          <w:szCs w:val="21"/>
          <w:highlight w:val="none"/>
          <w:u w:val="single"/>
        </w:rPr>
        <w:t>，</w:t>
      </w:r>
      <w:r>
        <w:rPr>
          <w:rFonts w:hint="eastAsia" w:ascii="宋体" w:hAnsi="宋体" w:eastAsia="宋体" w:cs="宋体"/>
          <w:b/>
          <w:bCs/>
          <w:color w:val="auto"/>
          <w:sz w:val="21"/>
          <w:szCs w:val="21"/>
          <w:highlight w:val="none"/>
          <w:u w:val="single"/>
        </w:rPr>
        <w:t>质保期满28天内</w:t>
      </w:r>
      <w:r>
        <w:rPr>
          <w:rFonts w:hint="eastAsia" w:ascii="宋体" w:hAnsi="宋体" w:eastAsia="宋体" w:cs="宋体"/>
          <w:b/>
          <w:bCs/>
          <w:color w:val="auto"/>
          <w:kern w:val="0"/>
          <w:sz w:val="21"/>
          <w:szCs w:val="21"/>
          <w:highlight w:val="none"/>
          <w:u w:val="single"/>
        </w:rPr>
        <w:t>，</w:t>
      </w:r>
      <w:r>
        <w:rPr>
          <w:rFonts w:hint="eastAsia" w:ascii="宋体" w:hAnsi="宋体" w:eastAsia="宋体" w:cs="宋体"/>
          <w:b/>
          <w:bCs/>
          <w:color w:val="auto"/>
          <w:kern w:val="0"/>
          <w:sz w:val="21"/>
          <w:szCs w:val="21"/>
          <w:highlight w:val="none"/>
          <w:u w:val="single"/>
          <w:lang w:eastAsia="zh-CN"/>
        </w:rPr>
        <w:t>一次性</w:t>
      </w:r>
      <w:r>
        <w:rPr>
          <w:rFonts w:hint="eastAsia" w:ascii="宋体" w:hAnsi="宋体" w:eastAsia="宋体" w:cs="宋体"/>
          <w:b/>
          <w:bCs/>
          <w:color w:val="auto"/>
          <w:kern w:val="0"/>
          <w:sz w:val="21"/>
          <w:szCs w:val="21"/>
          <w:highlight w:val="none"/>
          <w:u w:val="single"/>
        </w:rPr>
        <w:t>退还</w:t>
      </w:r>
      <w:r>
        <w:rPr>
          <w:rFonts w:hint="eastAsia" w:ascii="宋体" w:hAnsi="宋体" w:eastAsia="宋体" w:cs="宋体"/>
          <w:b/>
          <w:bCs/>
          <w:color w:val="auto"/>
          <w:kern w:val="0"/>
          <w:sz w:val="21"/>
          <w:szCs w:val="21"/>
          <w:highlight w:val="none"/>
          <w:u w:val="single"/>
          <w:lang w:eastAsia="zh-CN"/>
        </w:rPr>
        <w:t>。</w:t>
      </w:r>
    </w:p>
    <w:p w14:paraId="029F0B2D">
      <w:pPr>
        <w:keepNext w:val="0"/>
        <w:keepLines w:val="0"/>
        <w:pageBreakBefore w:val="0"/>
        <w:widowControl w:val="0"/>
        <w:kinsoku/>
        <w:wordWrap/>
        <w:overflowPunct/>
        <w:topLinePunct w:val="0"/>
        <w:bidi w:val="0"/>
        <w:spacing w:after="10" w:line="360" w:lineRule="auto"/>
        <w:ind w:firstLine="465"/>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rPr>
        <w:t>工程质量保修范围、期限和责任：</w:t>
      </w:r>
      <w:r>
        <w:rPr>
          <w:rFonts w:hint="eastAsia" w:ascii="宋体" w:hAnsi="宋体" w:eastAsia="宋体" w:cs="宋体"/>
          <w:b/>
          <w:color w:val="auto"/>
          <w:sz w:val="21"/>
          <w:szCs w:val="21"/>
          <w:highlight w:val="none"/>
          <w:u w:val="single"/>
        </w:rPr>
        <w:t>本工程的质量保修范围和责任及保修期限按《建筑工程质量管理条例》规定执行。在保修期内承包人应对由于施工质量原因造成的损坏进行自费修复；若承包人不履行义务和责任，则应承担由于违约造成的法律后果</w:t>
      </w:r>
      <w:r>
        <w:rPr>
          <w:rFonts w:hint="eastAsia" w:ascii="宋体" w:hAnsi="宋体" w:eastAsia="宋体" w:cs="宋体"/>
          <w:color w:val="auto"/>
          <w:sz w:val="21"/>
          <w:szCs w:val="21"/>
          <w:highlight w:val="none"/>
          <w:u w:val="single"/>
        </w:rPr>
        <w:t>。</w:t>
      </w:r>
    </w:p>
    <w:p w14:paraId="4C7DCE6D">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bookmarkStart w:id="372" w:name="_Toc350961260"/>
      <w:bookmarkStart w:id="373" w:name="_Toc243980063"/>
      <w:r>
        <w:rPr>
          <w:rFonts w:hint="eastAsia" w:ascii="宋体" w:hAnsi="宋体" w:eastAsia="宋体" w:cs="宋体"/>
          <w:snapToGrid w:val="0"/>
          <w:color w:val="auto"/>
          <w:sz w:val="21"/>
          <w:szCs w:val="21"/>
          <w:highlight w:val="none"/>
        </w:rPr>
        <w:t>17.5竣工结算</w:t>
      </w:r>
      <w:bookmarkEnd w:id="372"/>
      <w:bookmarkEnd w:id="373"/>
    </w:p>
    <w:p w14:paraId="79E6C481">
      <w:pPr>
        <w:keepNext w:val="0"/>
        <w:keepLines w:val="0"/>
        <w:pageBreakBefore w:val="0"/>
        <w:widowControl w:val="0"/>
        <w:kinsoku/>
        <w:wordWrap/>
        <w:overflowPunct/>
        <w:topLinePunct w:val="0"/>
        <w:bidi w:val="0"/>
        <w:spacing w:line="360" w:lineRule="auto"/>
        <w:ind w:right="105" w:rightChars="50" w:firstLine="420" w:firstLineChars="200"/>
        <w:jc w:val="left"/>
        <w:rPr>
          <w:rFonts w:hint="eastAsia" w:ascii="宋体" w:hAnsi="宋体" w:eastAsia="宋体" w:cs="宋体"/>
          <w:color w:val="auto"/>
          <w:sz w:val="21"/>
          <w:szCs w:val="21"/>
          <w:highlight w:val="none"/>
        </w:rPr>
      </w:pPr>
      <w:bookmarkStart w:id="374" w:name="_Toc243980064"/>
      <w:bookmarkStart w:id="375" w:name="_Toc350961262"/>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.2.1.1计量原则</w:t>
      </w:r>
    </w:p>
    <w:p w14:paraId="7FEFD6D2">
      <w:pPr>
        <w:keepNext w:val="0"/>
        <w:keepLines w:val="0"/>
        <w:pageBreakBefore w:val="0"/>
        <w:widowControl w:val="0"/>
        <w:kinsoku/>
        <w:wordWrap/>
        <w:overflowPunct/>
        <w:topLinePunct w:val="0"/>
        <w:bidi w:val="0"/>
        <w:spacing w:line="360" w:lineRule="auto"/>
        <w:ind w:right="105" w:rightChars="50"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工程量按《房屋建筑与装饰工程工程量计算规范》（GB50854-2013）、《通用安装工程工程量计算规范》（GB50856-2013）、《市政工程工程量计算规范》（GB50857-2013）、《园林绿化工程工程量计算规范》（GB50858-2013）、《构筑物工程工程量计算规范》（GB50860-2013）、《重庆市建设工程工程量清单计价规则》（CQJJGZ-2013）、《重庆市建设工程工程量计算规则》（CQJLGZ-2013）等规定的计算规则及已标价工程量清单规定的工程量计算规则计量。</w:t>
      </w:r>
    </w:p>
    <w:p w14:paraId="58BD35EC">
      <w:pPr>
        <w:keepNext w:val="0"/>
        <w:keepLines w:val="0"/>
        <w:pageBreakBefore w:val="0"/>
        <w:widowControl w:val="0"/>
        <w:kinsoku/>
        <w:wordWrap/>
        <w:overflowPunct/>
        <w:topLinePunct w:val="0"/>
        <w:bidi w:val="0"/>
        <w:spacing w:line="360" w:lineRule="auto"/>
        <w:ind w:right="105" w:rightChars="5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.2.1.2计价原则</w:t>
      </w:r>
    </w:p>
    <w:p w14:paraId="3A86FD0A">
      <w:pPr>
        <w:keepNext w:val="0"/>
        <w:keepLines w:val="0"/>
        <w:pageBreakBefore w:val="0"/>
        <w:widowControl w:val="0"/>
        <w:kinsoku/>
        <w:wordWrap/>
        <w:overflowPunct/>
        <w:topLinePunct w:val="0"/>
        <w:bidi w:val="0"/>
        <w:adjustRightInd w:val="0"/>
        <w:snapToGrid w:val="0"/>
        <w:spacing w:after="1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b w:val="0"/>
          <w:bCs/>
          <w:color w:val="auto"/>
          <w:sz w:val="21"/>
          <w:szCs w:val="21"/>
          <w:highlight w:val="none"/>
          <w:lang w:val="en-US" w:eastAsia="zh-CN"/>
        </w:rPr>
        <w:t>结算总价=（∑实际完成分部分项工程量×中标分部分项工程量清单综合单价+中标措施费）+安全文明施工费用（按照渝建发〔2014〕25号、渝建发（2016）35号、渝建（2018）195号、渝建（2019）143号和2018年《重庆市建设工程费用定额》）+规费+税金±设计变更及调整施工过程中出现新增项目（含清单范围以外的项目）价款结算价±暂定价部分的结算价+合同约定其它费用</w:t>
      </w:r>
      <w:r>
        <w:rPr>
          <w:rFonts w:hint="eastAsia" w:ascii="宋体" w:hAnsi="宋体" w:eastAsia="宋体" w:cs="宋体"/>
          <w:color w:val="auto"/>
          <w:sz w:val="21"/>
          <w:szCs w:val="21"/>
          <w:highlight w:val="none"/>
        </w:rPr>
        <w:t>。</w:t>
      </w:r>
    </w:p>
    <w:p w14:paraId="75F7BF06">
      <w:pPr>
        <w:keepNext w:val="0"/>
        <w:keepLines w:val="0"/>
        <w:pageBreakBefore w:val="0"/>
        <w:widowControl w:val="0"/>
        <w:kinsoku/>
        <w:wordWrap/>
        <w:overflowPunct/>
        <w:topLinePunct w:val="0"/>
        <w:bidi w:val="0"/>
        <w:spacing w:line="360" w:lineRule="auto"/>
        <w:ind w:right="105" w:rightChars="5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具体结算办法如下：</w:t>
      </w:r>
    </w:p>
    <w:p w14:paraId="482720DD">
      <w:pPr>
        <w:keepNext w:val="0"/>
        <w:keepLines w:val="0"/>
        <w:pageBreakBefore w:val="0"/>
        <w:widowControl w:val="0"/>
        <w:tabs>
          <w:tab w:val="left" w:pos="711"/>
          <w:tab w:val="left" w:pos="2580"/>
        </w:tabs>
        <w:kinsoku/>
        <w:wordWrap/>
        <w:overflowPunct/>
        <w:topLinePunct w:val="0"/>
        <w:bidi w:val="0"/>
        <w:spacing w:line="360" w:lineRule="auto"/>
        <w:ind w:right="105" w:rightChars="50" w:firstLine="420"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（1）分部分项工程：</w:t>
      </w:r>
    </w:p>
    <w:p w14:paraId="2D76CA03">
      <w:pPr>
        <w:keepNext w:val="0"/>
        <w:keepLines w:val="0"/>
        <w:pageBreakBefore w:val="0"/>
        <w:widowControl w:val="0"/>
        <w:tabs>
          <w:tab w:val="left" w:pos="711"/>
          <w:tab w:val="left" w:pos="2580"/>
        </w:tabs>
        <w:kinsoku/>
        <w:wordWrap/>
        <w:overflowPunct/>
        <w:topLinePunct w:val="0"/>
        <w:bidi w:val="0"/>
        <w:spacing w:line="360" w:lineRule="auto"/>
        <w:ind w:right="105" w:rightChars="50" w:firstLine="420" w:firstLineChars="200"/>
        <w:jc w:val="left"/>
        <w:textAlignment w:val="baseline"/>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①已标价工程量清单子目综合单价按合同约定无需调整的，以按照竣工图和第</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项〔计量原则〕约定确定的工程量乘以相应的已标价工程量清单子目综合单价确定该部分分部分项工程结算价</w:t>
      </w:r>
      <w:r>
        <w:rPr>
          <w:rFonts w:hint="eastAsia" w:ascii="宋体" w:hAnsi="宋体" w:eastAsia="宋体" w:cs="宋体"/>
          <w:color w:val="auto"/>
          <w:sz w:val="21"/>
          <w:szCs w:val="21"/>
          <w:highlight w:val="none"/>
        </w:rPr>
        <w:t>；</w:t>
      </w:r>
    </w:p>
    <w:p w14:paraId="1CFEA3C8">
      <w:pPr>
        <w:keepNext w:val="0"/>
        <w:keepLines w:val="0"/>
        <w:pageBreakBefore w:val="0"/>
        <w:widowControl w:val="0"/>
        <w:tabs>
          <w:tab w:val="left" w:pos="711"/>
          <w:tab w:val="left" w:pos="2580"/>
        </w:tabs>
        <w:kinsoku/>
        <w:wordWrap/>
        <w:overflowPunct/>
        <w:topLinePunct w:val="0"/>
        <w:bidi w:val="0"/>
        <w:spacing w:line="360" w:lineRule="auto"/>
        <w:ind w:right="105" w:rightChars="50" w:firstLine="420" w:firstLineChars="200"/>
        <w:jc w:val="left"/>
        <w:textAlignment w:val="baseline"/>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②已标价工程量清单子目综合单价按第11.3款〔严重不平衡报价引起的调整〕约定需要修正综合单价的，结算工程量超过已标价工程量15%的，超出部分工程量乘以按第</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款〔严重不平衡报价引起的调整〕约定修正综合单价确定该部分分部分项工程结算价</w:t>
      </w:r>
      <w:r>
        <w:rPr>
          <w:rFonts w:hint="eastAsia" w:ascii="宋体" w:hAnsi="宋体" w:eastAsia="宋体" w:cs="宋体"/>
          <w:color w:val="auto"/>
          <w:sz w:val="21"/>
          <w:szCs w:val="21"/>
          <w:highlight w:val="none"/>
        </w:rPr>
        <w:t>；</w:t>
      </w:r>
    </w:p>
    <w:p w14:paraId="7474BFAE">
      <w:pPr>
        <w:keepNext w:val="0"/>
        <w:keepLines w:val="0"/>
        <w:pageBreakBefore w:val="0"/>
        <w:widowControl w:val="0"/>
        <w:tabs>
          <w:tab w:val="left" w:pos="711"/>
          <w:tab w:val="left" w:pos="2580"/>
        </w:tabs>
        <w:kinsoku/>
        <w:wordWrap/>
        <w:overflowPunct/>
        <w:topLinePunct w:val="0"/>
        <w:bidi w:val="0"/>
        <w:spacing w:line="360" w:lineRule="auto"/>
        <w:ind w:right="105" w:rightChars="50" w:firstLine="420" w:firstLineChars="200"/>
        <w:jc w:val="left"/>
        <w:textAlignment w:val="baseline"/>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③需要对没有填入综合单价或总额价的子目项目进行扣减的，第</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项〔计量原则〕约定确定的工程量乘以按照1</w:t>
      </w:r>
      <w:r>
        <w:rPr>
          <w:rFonts w:hint="eastAsia" w:ascii="宋体" w:hAnsi="宋体" w:eastAsia="宋体" w:cs="宋体"/>
          <w:color w:val="auto"/>
          <w:sz w:val="21"/>
          <w:szCs w:val="21"/>
          <w:highlight w:val="none"/>
          <w:u w:val="single"/>
          <w:lang w:val="en-US" w:eastAsia="zh-CN"/>
        </w:rPr>
        <w:t>5</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.1〔变更估价原则〕（3）目约定的综合单价进行扣减</w:t>
      </w:r>
      <w:r>
        <w:rPr>
          <w:rFonts w:hint="eastAsia" w:ascii="宋体" w:hAnsi="宋体" w:eastAsia="宋体" w:cs="宋体"/>
          <w:color w:val="auto"/>
          <w:sz w:val="21"/>
          <w:szCs w:val="21"/>
          <w:highlight w:val="none"/>
        </w:rPr>
        <w:t>；</w:t>
      </w:r>
    </w:p>
    <w:p w14:paraId="6859D2DD">
      <w:pPr>
        <w:keepNext w:val="0"/>
        <w:keepLines w:val="0"/>
        <w:pageBreakBefore w:val="0"/>
        <w:widowControl w:val="0"/>
        <w:tabs>
          <w:tab w:val="left" w:pos="711"/>
          <w:tab w:val="left" w:pos="2580"/>
        </w:tabs>
        <w:kinsoku/>
        <w:wordWrap/>
        <w:overflowPunct/>
        <w:topLinePunct w:val="0"/>
        <w:bidi w:val="0"/>
        <w:spacing w:line="360" w:lineRule="auto"/>
        <w:ind w:right="105" w:rightChars="50" w:firstLine="420" w:firstLineChars="200"/>
        <w:jc w:val="left"/>
        <w:textAlignment w:val="baseline"/>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④合同、已标价工程量清单和招标文件另有约定的，按照其约定执行</w:t>
      </w:r>
      <w:r>
        <w:rPr>
          <w:rFonts w:hint="eastAsia" w:ascii="宋体" w:hAnsi="宋体" w:eastAsia="宋体" w:cs="宋体"/>
          <w:color w:val="auto"/>
          <w:sz w:val="21"/>
          <w:szCs w:val="21"/>
          <w:highlight w:val="none"/>
        </w:rPr>
        <w:t>。</w:t>
      </w:r>
    </w:p>
    <w:p w14:paraId="31B90352">
      <w:pPr>
        <w:keepNext w:val="0"/>
        <w:keepLines w:val="0"/>
        <w:pageBreakBefore w:val="0"/>
        <w:widowControl w:val="0"/>
        <w:tabs>
          <w:tab w:val="left" w:pos="711"/>
          <w:tab w:val="left" w:pos="2580"/>
        </w:tabs>
        <w:kinsoku/>
        <w:wordWrap/>
        <w:overflowPunct/>
        <w:topLinePunct w:val="0"/>
        <w:bidi w:val="0"/>
        <w:spacing w:line="360" w:lineRule="auto"/>
        <w:ind w:right="105" w:rightChars="50" w:firstLine="420"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（2）措施项目：</w:t>
      </w:r>
    </w:p>
    <w:p w14:paraId="1C82C33D">
      <w:pPr>
        <w:keepNext w:val="0"/>
        <w:keepLines w:val="0"/>
        <w:pageBreakBefore w:val="0"/>
        <w:widowControl w:val="0"/>
        <w:tabs>
          <w:tab w:val="left" w:pos="711"/>
          <w:tab w:val="left" w:pos="2580"/>
        </w:tabs>
        <w:kinsoku/>
        <w:wordWrap/>
        <w:overflowPunct/>
        <w:topLinePunct w:val="0"/>
        <w:bidi w:val="0"/>
        <w:spacing w:line="360" w:lineRule="auto"/>
        <w:ind w:right="105" w:rightChars="50" w:firstLine="420" w:firstLineChars="200"/>
        <w:jc w:val="left"/>
        <w:textAlignment w:val="baseline"/>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①已标价工程量清单范围内以项为计量单位的措施项目费（安全文明施工费除外）包干使用；不以项为计量单位的措施项目费按第1</w:t>
      </w:r>
      <w:r>
        <w:rPr>
          <w:rFonts w:hint="eastAsia" w:ascii="宋体" w:hAnsi="宋体" w:eastAsia="宋体" w:cs="宋体"/>
          <w:color w:val="auto"/>
          <w:sz w:val="21"/>
          <w:szCs w:val="21"/>
          <w:highlight w:val="none"/>
          <w:u w:val="single"/>
          <w:lang w:val="en-US" w:eastAsia="zh-CN"/>
        </w:rPr>
        <w:t>5</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.1项〔竣工结算办理办法〕分部分项约定执行</w:t>
      </w:r>
      <w:r>
        <w:rPr>
          <w:rFonts w:hint="eastAsia" w:ascii="宋体" w:hAnsi="宋体" w:eastAsia="宋体" w:cs="宋体"/>
          <w:color w:val="auto"/>
          <w:sz w:val="21"/>
          <w:szCs w:val="21"/>
          <w:highlight w:val="none"/>
        </w:rPr>
        <w:t>。</w:t>
      </w:r>
    </w:p>
    <w:p w14:paraId="54EFFA78">
      <w:pPr>
        <w:keepNext w:val="0"/>
        <w:keepLines w:val="0"/>
        <w:pageBreakBefore w:val="0"/>
        <w:widowControl w:val="0"/>
        <w:tabs>
          <w:tab w:val="left" w:pos="711"/>
          <w:tab w:val="left" w:pos="2580"/>
        </w:tabs>
        <w:kinsoku/>
        <w:wordWrap/>
        <w:overflowPunct/>
        <w:topLinePunct w:val="0"/>
        <w:bidi w:val="0"/>
        <w:spacing w:line="360" w:lineRule="auto"/>
        <w:ind w:right="105" w:rightChars="50" w:firstLine="420" w:firstLineChars="200"/>
        <w:jc w:val="left"/>
        <w:textAlignment w:val="baseline"/>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②工程变更引起施工方案改变使措施项目发生变化的，经监理人、发包人确定后执行</w:t>
      </w:r>
      <w:r>
        <w:rPr>
          <w:rFonts w:hint="eastAsia" w:ascii="宋体" w:hAnsi="宋体" w:eastAsia="宋体" w:cs="宋体"/>
          <w:color w:val="auto"/>
          <w:sz w:val="21"/>
          <w:szCs w:val="21"/>
          <w:highlight w:val="none"/>
        </w:rPr>
        <w:t>。</w:t>
      </w:r>
    </w:p>
    <w:p w14:paraId="0B50BCF8">
      <w:pPr>
        <w:keepNext w:val="0"/>
        <w:keepLines w:val="0"/>
        <w:pageBreakBefore w:val="0"/>
        <w:widowControl w:val="0"/>
        <w:tabs>
          <w:tab w:val="left" w:pos="711"/>
          <w:tab w:val="left" w:pos="2580"/>
        </w:tabs>
        <w:kinsoku/>
        <w:wordWrap/>
        <w:overflowPunct/>
        <w:topLinePunct w:val="0"/>
        <w:bidi w:val="0"/>
        <w:spacing w:line="360" w:lineRule="auto"/>
        <w:ind w:right="105" w:rightChars="50" w:firstLine="420" w:firstLineChars="200"/>
        <w:jc w:val="left"/>
        <w:textAlignment w:val="baseline"/>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③安全文明施工费按照《重庆市建设工程安全文明施工费计取及使用管理规定》（渝建发〔2014〕25号）、《重庆市住房和城乡建设委员会关于调整建设施工现场形象品质提升安全文明施工费计取的通知》（渝建管〔2020〕97号）、《重庆市建设工程费用定额》（CQFYDE-2018）、《重庆市城乡建设委员会关于适用增值税新税率调整建设工程计价依据的通知》（渝建〔2019〕143号）的规定进行结算</w:t>
      </w:r>
      <w:r>
        <w:rPr>
          <w:rFonts w:hint="eastAsia" w:ascii="宋体" w:hAnsi="宋体" w:eastAsia="宋体" w:cs="宋体"/>
          <w:color w:val="auto"/>
          <w:sz w:val="21"/>
          <w:szCs w:val="21"/>
          <w:highlight w:val="none"/>
        </w:rPr>
        <w:t>。</w:t>
      </w:r>
    </w:p>
    <w:p w14:paraId="5EF81690">
      <w:pPr>
        <w:keepNext w:val="0"/>
        <w:keepLines w:val="0"/>
        <w:pageBreakBefore w:val="0"/>
        <w:widowControl w:val="0"/>
        <w:tabs>
          <w:tab w:val="left" w:pos="711"/>
          <w:tab w:val="left" w:pos="2580"/>
        </w:tabs>
        <w:kinsoku/>
        <w:wordWrap/>
        <w:overflowPunct/>
        <w:topLinePunct w:val="0"/>
        <w:bidi w:val="0"/>
        <w:spacing w:line="360" w:lineRule="auto"/>
        <w:ind w:right="105" w:rightChars="50" w:firstLine="420"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（3）其他项目：</w:t>
      </w:r>
    </w:p>
    <w:p w14:paraId="64F0078F">
      <w:pPr>
        <w:keepNext w:val="0"/>
        <w:keepLines w:val="0"/>
        <w:pageBreakBefore w:val="0"/>
        <w:widowControl w:val="0"/>
        <w:kinsoku/>
        <w:wordWrap/>
        <w:overflowPunct/>
        <w:topLinePunct w:val="0"/>
        <w:bidi w:val="0"/>
        <w:spacing w:line="360" w:lineRule="auto"/>
        <w:ind w:right="105" w:rightChars="5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①材料（工程设备）暂估价：</w:t>
      </w:r>
      <w:r>
        <w:rPr>
          <w:rFonts w:hint="eastAsia" w:ascii="宋体" w:hAnsi="宋体" w:eastAsia="宋体" w:cs="宋体"/>
          <w:color w:val="auto"/>
          <w:sz w:val="21"/>
          <w:szCs w:val="21"/>
          <w:highlight w:val="none"/>
          <w:u w:val="single"/>
        </w:rPr>
        <w:t>按照第12.3.1项〔计量原则〕约定及对应定额消耗量确定的数量乘以监理人、跟审单位、发包人根据市场行情认质核价确定的价格进行结算</w:t>
      </w:r>
      <w:r>
        <w:rPr>
          <w:rFonts w:hint="eastAsia" w:ascii="宋体" w:hAnsi="宋体" w:eastAsia="宋体" w:cs="宋体"/>
          <w:color w:val="auto"/>
          <w:sz w:val="21"/>
          <w:szCs w:val="21"/>
          <w:highlight w:val="none"/>
        </w:rPr>
        <w:t>。</w:t>
      </w:r>
    </w:p>
    <w:p w14:paraId="491F6656">
      <w:pPr>
        <w:keepNext w:val="0"/>
        <w:keepLines w:val="0"/>
        <w:pageBreakBefore w:val="0"/>
        <w:widowControl w:val="0"/>
        <w:kinsoku/>
        <w:wordWrap/>
        <w:overflowPunct/>
        <w:topLinePunct w:val="0"/>
        <w:bidi w:val="0"/>
        <w:spacing w:line="360" w:lineRule="auto"/>
        <w:ind w:right="105" w:rightChars="5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②专业工程暂估价：</w:t>
      </w:r>
    </w:p>
    <w:p w14:paraId="0F80C5C6">
      <w:pPr>
        <w:keepNext w:val="0"/>
        <w:keepLines w:val="0"/>
        <w:pageBreakBefore w:val="0"/>
        <w:widowControl w:val="0"/>
        <w:kinsoku/>
        <w:wordWrap/>
        <w:overflowPunct/>
        <w:topLinePunct w:val="0"/>
        <w:bidi w:val="0"/>
        <w:spacing w:line="360" w:lineRule="auto"/>
        <w:ind w:right="105" w:rightChars="5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1）对于不属于依法必须招标的暂估价项目：按发包人审定的价格进行结算</w:t>
      </w:r>
      <w:r>
        <w:rPr>
          <w:rFonts w:hint="eastAsia" w:ascii="宋体" w:hAnsi="宋体" w:eastAsia="宋体" w:cs="宋体"/>
          <w:color w:val="auto"/>
          <w:sz w:val="21"/>
          <w:szCs w:val="21"/>
          <w:highlight w:val="none"/>
        </w:rPr>
        <w:t>。</w:t>
      </w:r>
    </w:p>
    <w:p w14:paraId="0C68420F">
      <w:pPr>
        <w:keepNext w:val="0"/>
        <w:keepLines w:val="0"/>
        <w:pageBreakBefore w:val="0"/>
        <w:widowControl w:val="0"/>
        <w:kinsoku/>
        <w:wordWrap/>
        <w:overflowPunct/>
        <w:topLinePunct w:val="0"/>
        <w:bidi w:val="0"/>
        <w:spacing w:line="360" w:lineRule="auto"/>
        <w:ind w:right="105" w:rightChars="5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2）对于依法必须招标的暂估价项目：达到招标规模标准的暂估价内容，包括专业工程暂估价和材料设备暂估价均应招标确定，并按暂估价招标文件约定结算</w:t>
      </w:r>
      <w:r>
        <w:rPr>
          <w:rFonts w:hint="eastAsia" w:ascii="宋体" w:hAnsi="宋体" w:eastAsia="宋体" w:cs="宋体"/>
          <w:color w:val="auto"/>
          <w:sz w:val="21"/>
          <w:szCs w:val="21"/>
          <w:highlight w:val="none"/>
        </w:rPr>
        <w:t>。</w:t>
      </w:r>
    </w:p>
    <w:p w14:paraId="313C349D">
      <w:pPr>
        <w:keepNext w:val="0"/>
        <w:keepLines w:val="0"/>
        <w:pageBreakBefore w:val="0"/>
        <w:widowControl w:val="0"/>
        <w:kinsoku/>
        <w:wordWrap/>
        <w:overflowPunct/>
        <w:topLinePunct w:val="0"/>
        <w:bidi w:val="0"/>
        <w:spacing w:line="360" w:lineRule="auto"/>
        <w:ind w:right="105" w:rightChars="5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3）总承包服务费：总承包服务费包干使用，结算时不作调整</w:t>
      </w:r>
      <w:r>
        <w:rPr>
          <w:rFonts w:hint="eastAsia" w:ascii="宋体" w:hAnsi="宋体" w:eastAsia="宋体" w:cs="宋体"/>
          <w:color w:val="auto"/>
          <w:sz w:val="21"/>
          <w:szCs w:val="21"/>
          <w:highlight w:val="none"/>
        </w:rPr>
        <w:t>。</w:t>
      </w:r>
    </w:p>
    <w:p w14:paraId="18A17E20">
      <w:pPr>
        <w:keepNext w:val="0"/>
        <w:keepLines w:val="0"/>
        <w:pageBreakBefore w:val="0"/>
        <w:widowControl w:val="0"/>
        <w:tabs>
          <w:tab w:val="left" w:pos="711"/>
          <w:tab w:val="left" w:pos="2580"/>
        </w:tabs>
        <w:kinsoku/>
        <w:wordWrap/>
        <w:overflowPunct/>
        <w:topLinePunct w:val="0"/>
        <w:bidi w:val="0"/>
        <w:spacing w:line="360" w:lineRule="auto"/>
        <w:ind w:right="105" w:rightChars="50" w:firstLine="420"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（4）价格调整：</w:t>
      </w:r>
      <w:r>
        <w:rPr>
          <w:rFonts w:hint="eastAsia" w:ascii="宋体" w:hAnsi="宋体" w:eastAsia="宋体" w:cs="宋体"/>
          <w:color w:val="auto"/>
          <w:sz w:val="21"/>
          <w:szCs w:val="21"/>
          <w:highlight w:val="none"/>
          <w:u w:val="single"/>
        </w:rPr>
        <w:t>按照第11条〔价格调整〕约定约定执行</w:t>
      </w:r>
      <w:r>
        <w:rPr>
          <w:rFonts w:hint="eastAsia" w:ascii="宋体" w:hAnsi="宋体" w:eastAsia="宋体" w:cs="宋体"/>
          <w:color w:val="auto"/>
          <w:sz w:val="21"/>
          <w:szCs w:val="21"/>
          <w:highlight w:val="none"/>
        </w:rPr>
        <w:t>。</w:t>
      </w:r>
    </w:p>
    <w:p w14:paraId="5DB674C4">
      <w:pPr>
        <w:keepNext w:val="0"/>
        <w:keepLines w:val="0"/>
        <w:pageBreakBefore w:val="0"/>
        <w:widowControl w:val="0"/>
        <w:tabs>
          <w:tab w:val="left" w:pos="711"/>
          <w:tab w:val="left" w:pos="2580"/>
        </w:tabs>
        <w:kinsoku/>
        <w:wordWrap/>
        <w:overflowPunct/>
        <w:topLinePunct w:val="0"/>
        <w:bidi w:val="0"/>
        <w:spacing w:line="360" w:lineRule="auto"/>
        <w:ind w:right="105" w:rightChars="50" w:firstLine="420" w:firstLineChars="200"/>
        <w:jc w:val="left"/>
        <w:textAlignment w:val="baseline"/>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（5）工程变更、索赔与现场签证：</w:t>
      </w:r>
    </w:p>
    <w:p w14:paraId="46067E1D">
      <w:pPr>
        <w:keepNext w:val="0"/>
        <w:keepLines w:val="0"/>
        <w:pageBreakBefore w:val="0"/>
        <w:widowControl w:val="0"/>
        <w:tabs>
          <w:tab w:val="left" w:pos="711"/>
          <w:tab w:val="left" w:pos="2580"/>
        </w:tabs>
        <w:kinsoku/>
        <w:wordWrap/>
        <w:overflowPunct/>
        <w:topLinePunct w:val="0"/>
        <w:bidi w:val="0"/>
        <w:spacing w:line="360" w:lineRule="auto"/>
        <w:ind w:right="105" w:rightChars="50" w:firstLine="420" w:firstLineChars="200"/>
        <w:jc w:val="left"/>
        <w:textAlignment w:val="baseline"/>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1）工程变更：按照第1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.1项〔变更估价原则〕约定确定为总价包干的，按审定包干总价计入结算；其余项目按照有效的竣工结算资料和第12.3.1项〔计量原则〕约定确定的工程量乘以相应的按照第1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.1项〔变更估价原则〕约定确定综合单价来确定该部分结算价。</w:t>
      </w:r>
    </w:p>
    <w:p w14:paraId="7B0EE1D3">
      <w:pPr>
        <w:keepNext w:val="0"/>
        <w:keepLines w:val="0"/>
        <w:pageBreakBefore w:val="0"/>
        <w:widowControl w:val="0"/>
        <w:tabs>
          <w:tab w:val="left" w:pos="711"/>
          <w:tab w:val="left" w:pos="2580"/>
        </w:tabs>
        <w:kinsoku/>
        <w:wordWrap/>
        <w:overflowPunct/>
        <w:topLinePunct w:val="0"/>
        <w:bidi w:val="0"/>
        <w:spacing w:line="360" w:lineRule="auto"/>
        <w:ind w:right="105" w:rightChars="50" w:firstLine="420" w:firstLineChars="200"/>
        <w:jc w:val="left"/>
        <w:textAlignment w:val="baseline"/>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2）索赔：按照第1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.1项〔变更估价原则〕和第14.2.1项〔竣工结算办法〕约定执行。</w:t>
      </w:r>
    </w:p>
    <w:p w14:paraId="2E14D323">
      <w:pPr>
        <w:keepNext w:val="0"/>
        <w:keepLines w:val="0"/>
        <w:pageBreakBefore w:val="0"/>
        <w:widowControl w:val="0"/>
        <w:tabs>
          <w:tab w:val="left" w:pos="711"/>
          <w:tab w:val="left" w:pos="2580"/>
        </w:tabs>
        <w:kinsoku/>
        <w:wordWrap/>
        <w:overflowPunct/>
        <w:topLinePunct w:val="0"/>
        <w:bidi w:val="0"/>
        <w:spacing w:line="360" w:lineRule="auto"/>
        <w:ind w:right="105" w:rightChars="50" w:firstLine="420" w:firstLineChars="200"/>
        <w:jc w:val="left"/>
        <w:textAlignment w:val="baseline"/>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3）现场签证：按照第1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.1项〔变更估价原则〕和第14.2.1项〔竣工结算办法〕约定执行。</w:t>
      </w:r>
    </w:p>
    <w:p w14:paraId="72B9E7E8">
      <w:pPr>
        <w:keepNext w:val="0"/>
        <w:keepLines w:val="0"/>
        <w:pageBreakBefore w:val="0"/>
        <w:widowControl w:val="0"/>
        <w:tabs>
          <w:tab w:val="left" w:pos="711"/>
          <w:tab w:val="left" w:pos="2580"/>
        </w:tabs>
        <w:kinsoku/>
        <w:wordWrap/>
        <w:overflowPunct/>
        <w:topLinePunct w:val="0"/>
        <w:bidi w:val="0"/>
        <w:spacing w:line="360" w:lineRule="auto"/>
        <w:ind w:right="105" w:rightChars="50" w:firstLine="420" w:firstLineChars="200"/>
        <w:jc w:val="left"/>
        <w:textAlignment w:val="baseline"/>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（6）奖励、罚金、违约金及其他费用：</w:t>
      </w:r>
      <w:r>
        <w:rPr>
          <w:rFonts w:hint="eastAsia" w:ascii="宋体" w:hAnsi="宋体" w:eastAsia="宋体" w:cs="宋体"/>
          <w:color w:val="auto"/>
          <w:sz w:val="21"/>
          <w:szCs w:val="21"/>
          <w:highlight w:val="none"/>
          <w:u w:val="single"/>
        </w:rPr>
        <w:t>按实进行结算</w:t>
      </w:r>
      <w:r>
        <w:rPr>
          <w:rFonts w:hint="eastAsia" w:ascii="宋体" w:hAnsi="宋体" w:eastAsia="宋体" w:cs="宋体"/>
          <w:color w:val="auto"/>
          <w:sz w:val="21"/>
          <w:szCs w:val="21"/>
          <w:highlight w:val="none"/>
        </w:rPr>
        <w:t>。</w:t>
      </w:r>
    </w:p>
    <w:p w14:paraId="59F026B9">
      <w:pPr>
        <w:keepNext w:val="0"/>
        <w:keepLines w:val="0"/>
        <w:pageBreakBefore w:val="0"/>
        <w:widowControl w:val="0"/>
        <w:tabs>
          <w:tab w:val="left" w:pos="711"/>
          <w:tab w:val="left" w:pos="2580"/>
        </w:tabs>
        <w:kinsoku/>
        <w:wordWrap/>
        <w:overflowPunct/>
        <w:topLinePunct w:val="0"/>
        <w:bidi w:val="0"/>
        <w:spacing w:line="360" w:lineRule="auto"/>
        <w:ind w:right="105" w:rightChars="50" w:firstLine="420" w:firstLineChars="200"/>
        <w:jc w:val="left"/>
        <w:textAlignment w:val="baseline"/>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（7）规费：已标价工程量清单中规费费用按《重庆市建设工程费用定额》（CQFYDE-2018）执行。</w:t>
      </w:r>
    </w:p>
    <w:p w14:paraId="0987D8C7">
      <w:pPr>
        <w:keepNext w:val="0"/>
        <w:keepLines w:val="0"/>
        <w:pageBreakBefore w:val="0"/>
        <w:widowControl w:val="0"/>
        <w:tabs>
          <w:tab w:val="left" w:pos="711"/>
          <w:tab w:val="left" w:pos="2580"/>
        </w:tabs>
        <w:kinsoku/>
        <w:wordWrap/>
        <w:overflowPunct/>
        <w:topLinePunct w:val="0"/>
        <w:bidi w:val="0"/>
        <w:spacing w:line="360" w:lineRule="auto"/>
        <w:ind w:right="105" w:rightChars="50" w:firstLine="420" w:firstLineChars="200"/>
        <w:jc w:val="left"/>
        <w:textAlignment w:val="baseline"/>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8）税金：包含增值税、城市维护建设税、教育费附加、地方教育附加以及环境保护税。其中增值税按《重庆市建设工程费用定额》（CQFYDE-2018）、《重庆市城乡建设委员会关于适用增值税新税率调整建设工程计价依据的通知》（渝建〔2019〕143号）规定执行，环境保护税按实结算。</w:t>
      </w:r>
    </w:p>
    <w:p w14:paraId="273A8C47">
      <w:pPr>
        <w:keepNext w:val="0"/>
        <w:keepLines w:val="0"/>
        <w:pageBreakBefore w:val="0"/>
        <w:widowControl w:val="0"/>
        <w:kinsoku/>
        <w:wordWrap/>
        <w:overflowPunct/>
        <w:topLinePunct w:val="0"/>
        <w:bidi w:val="0"/>
        <w:spacing w:line="360" w:lineRule="auto"/>
        <w:ind w:right="105" w:rightChars="5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14.2.1.3竣工结算价</w:t>
      </w:r>
    </w:p>
    <w:p w14:paraId="58137184">
      <w:pPr>
        <w:keepNext w:val="0"/>
        <w:keepLines w:val="0"/>
        <w:pageBreakBefore w:val="0"/>
        <w:widowControl w:val="0"/>
        <w:tabs>
          <w:tab w:val="left" w:pos="711"/>
          <w:tab w:val="left" w:pos="2580"/>
        </w:tabs>
        <w:kinsoku/>
        <w:wordWrap/>
        <w:overflowPunct/>
        <w:topLinePunct w:val="0"/>
        <w:bidi w:val="0"/>
        <w:spacing w:line="360" w:lineRule="auto"/>
        <w:ind w:right="105" w:rightChars="50" w:firstLine="420" w:firstLineChars="200"/>
        <w:jc w:val="left"/>
        <w:textAlignment w:val="baseline"/>
        <w:rPr>
          <w:rFonts w:hint="eastAsia" w:ascii="宋体" w:hAnsi="宋体" w:eastAsia="宋体" w:cs="宋体"/>
          <w:color w:val="auto"/>
          <w:sz w:val="21"/>
          <w:szCs w:val="21"/>
          <w:highlight w:val="none"/>
          <w:u w:val="single"/>
        </w:rPr>
      </w:pPr>
      <w:bookmarkStart w:id="376" w:name="_Hlk528660512"/>
      <w:r>
        <w:rPr>
          <w:rFonts w:hint="eastAsia" w:ascii="宋体" w:hAnsi="宋体" w:eastAsia="宋体" w:cs="宋体"/>
          <w:color w:val="auto"/>
          <w:sz w:val="21"/>
          <w:szCs w:val="21"/>
          <w:highlight w:val="none"/>
          <w:u w:val="single"/>
        </w:rPr>
        <w:t>以发包人会同跟审单位、监理人、承包人根据有效资料共同确定竣工结算金额作为合同竣工结算价</w:t>
      </w:r>
      <w:r>
        <w:rPr>
          <w:rFonts w:hint="eastAsia" w:ascii="宋体" w:hAnsi="宋体" w:eastAsia="宋体" w:cs="宋体"/>
          <w:color w:val="auto"/>
          <w:sz w:val="21"/>
          <w:szCs w:val="21"/>
          <w:highlight w:val="none"/>
        </w:rPr>
        <w:t>。</w:t>
      </w:r>
    </w:p>
    <w:bookmarkEnd w:id="376"/>
    <w:p w14:paraId="52C1B504">
      <w:pPr>
        <w:keepNext w:val="0"/>
        <w:keepLines w:val="0"/>
        <w:pageBreakBefore w:val="0"/>
        <w:widowControl w:val="0"/>
        <w:kinsoku/>
        <w:wordWrap/>
        <w:overflowPunct/>
        <w:topLinePunct w:val="0"/>
        <w:bidi w:val="0"/>
        <w:spacing w:line="360" w:lineRule="auto"/>
        <w:ind w:right="105" w:rightChars="5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14.2.2 竣工结算审核期限</w:t>
      </w:r>
    </w:p>
    <w:p w14:paraId="5956D81A">
      <w:pPr>
        <w:keepNext w:val="0"/>
        <w:keepLines w:val="0"/>
        <w:pageBreakBefore w:val="0"/>
        <w:widowControl w:val="0"/>
        <w:kinsoku/>
        <w:wordWrap/>
        <w:overflowPunct/>
        <w:topLinePunct w:val="0"/>
        <w:bidi w:val="0"/>
        <w:spacing w:line="360" w:lineRule="auto"/>
        <w:ind w:right="105" w:rightChars="5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监理人审核竣工付款申请单的期限：</w:t>
      </w:r>
      <w:r>
        <w:rPr>
          <w:rFonts w:hint="eastAsia" w:ascii="宋体" w:hAnsi="宋体" w:eastAsia="宋体" w:cs="宋体"/>
          <w:color w:val="auto"/>
          <w:sz w:val="21"/>
          <w:szCs w:val="21"/>
          <w:highlight w:val="none"/>
          <w:u w:val="single"/>
        </w:rPr>
        <w:t>不超过  日</w:t>
      </w:r>
      <w:r>
        <w:rPr>
          <w:rFonts w:hint="eastAsia" w:ascii="宋体" w:hAnsi="宋体" w:eastAsia="宋体" w:cs="宋体"/>
          <w:color w:val="auto"/>
          <w:sz w:val="21"/>
          <w:szCs w:val="21"/>
          <w:highlight w:val="none"/>
        </w:rPr>
        <w:t>。</w:t>
      </w:r>
    </w:p>
    <w:p w14:paraId="3B87E158">
      <w:pPr>
        <w:keepNext w:val="0"/>
        <w:keepLines w:val="0"/>
        <w:pageBreakBefore w:val="0"/>
        <w:widowControl w:val="0"/>
        <w:kinsoku/>
        <w:wordWrap/>
        <w:overflowPunct/>
        <w:topLinePunct w:val="0"/>
        <w:bidi w:val="0"/>
        <w:spacing w:line="360" w:lineRule="auto"/>
        <w:ind w:right="105" w:rightChars="5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发包人审核竣工付款申请单的期限：</w:t>
      </w:r>
      <w:r>
        <w:rPr>
          <w:rFonts w:hint="eastAsia" w:ascii="宋体" w:hAnsi="宋体" w:eastAsia="宋体" w:cs="宋体"/>
          <w:color w:val="auto"/>
          <w:sz w:val="21"/>
          <w:szCs w:val="21"/>
          <w:highlight w:val="none"/>
          <w:u w:val="single"/>
        </w:rPr>
        <w:t>不超过  日</w:t>
      </w:r>
      <w:r>
        <w:rPr>
          <w:rFonts w:hint="eastAsia" w:ascii="宋体" w:hAnsi="宋体" w:eastAsia="宋体" w:cs="宋体"/>
          <w:color w:val="auto"/>
          <w:sz w:val="21"/>
          <w:szCs w:val="21"/>
          <w:highlight w:val="none"/>
        </w:rPr>
        <w:t>。</w:t>
      </w:r>
    </w:p>
    <w:p w14:paraId="3EE5AE05">
      <w:pPr>
        <w:keepNext w:val="0"/>
        <w:keepLines w:val="0"/>
        <w:pageBreakBefore w:val="0"/>
        <w:widowControl w:val="0"/>
        <w:kinsoku/>
        <w:wordWrap/>
        <w:overflowPunct/>
        <w:topLinePunct w:val="0"/>
        <w:bidi w:val="0"/>
        <w:spacing w:line="360" w:lineRule="auto"/>
        <w:ind w:right="105" w:rightChars="5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发包人完成竣工付款的期限：</w:t>
      </w:r>
      <w:r>
        <w:rPr>
          <w:rFonts w:hint="eastAsia" w:ascii="宋体" w:hAnsi="宋体" w:eastAsia="宋体" w:cs="宋体"/>
          <w:color w:val="auto"/>
          <w:sz w:val="21"/>
          <w:szCs w:val="21"/>
          <w:highlight w:val="none"/>
          <w:u w:val="single"/>
        </w:rPr>
        <w:t>完成竣工付款申请单审核后  天内</w:t>
      </w:r>
      <w:r>
        <w:rPr>
          <w:rFonts w:hint="eastAsia" w:ascii="宋体" w:hAnsi="宋体" w:eastAsia="宋体" w:cs="宋体"/>
          <w:color w:val="auto"/>
          <w:sz w:val="21"/>
          <w:szCs w:val="21"/>
          <w:highlight w:val="none"/>
        </w:rPr>
        <w:t>。</w:t>
      </w:r>
    </w:p>
    <w:p w14:paraId="336EC8A0">
      <w:pPr>
        <w:keepNext w:val="0"/>
        <w:keepLines w:val="0"/>
        <w:pageBreakBefore w:val="0"/>
        <w:widowControl w:val="0"/>
        <w:kinsoku/>
        <w:wordWrap/>
        <w:overflowPunct/>
        <w:topLinePunct w:val="0"/>
        <w:bidi w:val="0"/>
        <w:spacing w:line="360" w:lineRule="auto"/>
        <w:ind w:right="105" w:rightChars="5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关于竣工付款证书异议部分复核的方式和程序： 按照第20条〔争议解决〕约定处理。</w:t>
      </w:r>
    </w:p>
    <w:p w14:paraId="3B87A88D">
      <w:pPr>
        <w:pStyle w:val="5"/>
        <w:keepNext w:val="0"/>
        <w:keepLines w:val="0"/>
        <w:pageBreakBefore w:val="0"/>
        <w:widowControl w:val="0"/>
        <w:kinsoku/>
        <w:wordWrap/>
        <w:overflowPunct/>
        <w:topLinePunct w:val="0"/>
        <w:bidi w:val="0"/>
        <w:snapToGrid w:val="0"/>
        <w:spacing w:before="0" w:after="10" w:line="360" w:lineRule="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17.6最终结清</w:t>
      </w:r>
      <w:bookmarkEnd w:id="374"/>
      <w:bookmarkEnd w:id="375"/>
    </w:p>
    <w:p w14:paraId="6F82DC47">
      <w:pPr>
        <w:keepNext w:val="0"/>
        <w:keepLines w:val="0"/>
        <w:pageBreakBefore w:val="0"/>
        <w:widowControl w:val="0"/>
        <w:kinsoku/>
        <w:wordWrap/>
        <w:overflowPunct/>
        <w:topLinePunct w:val="0"/>
        <w:bidi w:val="0"/>
        <w:spacing w:after="1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17.6.1最终结清申请单</w:t>
      </w:r>
    </w:p>
    <w:p w14:paraId="42C11054">
      <w:pPr>
        <w:keepNext w:val="0"/>
        <w:keepLines w:val="0"/>
        <w:pageBreakBefore w:val="0"/>
        <w:widowControl w:val="0"/>
        <w:kinsoku/>
        <w:wordWrap/>
        <w:overflowPunct/>
        <w:topLinePunct w:val="0"/>
        <w:bidi w:val="0"/>
        <w:spacing w:after="10" w:line="360" w:lineRule="auto"/>
        <w:ind w:firstLine="435"/>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rPr>
        <w:t>最终结清申请单的份数和提交期限：</w:t>
      </w:r>
      <w:r>
        <w:rPr>
          <w:rFonts w:hint="eastAsia" w:ascii="宋体" w:hAnsi="宋体" w:eastAsia="宋体" w:cs="宋体"/>
          <w:b/>
          <w:color w:val="auto"/>
          <w:sz w:val="21"/>
          <w:szCs w:val="21"/>
          <w:highlight w:val="none"/>
          <w:u w:val="single"/>
        </w:rPr>
        <w:t>在缺陷责任期终止证书颁发后</w:t>
      </w:r>
      <w:r>
        <w:rPr>
          <w:rFonts w:hint="eastAsia" w:ascii="宋体" w:hAnsi="宋体" w:eastAsia="宋体" w:cs="宋体"/>
          <w:b/>
          <w:color w:val="auto"/>
          <w:sz w:val="21"/>
          <w:szCs w:val="21"/>
          <w:highlight w:val="none"/>
          <w:u w:val="single"/>
          <w:lang w:val="en-US" w:eastAsia="zh-CN"/>
        </w:rPr>
        <w:t>14</w:t>
      </w:r>
      <w:r>
        <w:rPr>
          <w:rFonts w:hint="eastAsia" w:ascii="宋体" w:hAnsi="宋体" w:eastAsia="宋体" w:cs="宋体"/>
          <w:b/>
          <w:color w:val="auto"/>
          <w:sz w:val="21"/>
          <w:szCs w:val="21"/>
          <w:highlight w:val="none"/>
          <w:u w:val="single"/>
        </w:rPr>
        <w:t>天内提交</w:t>
      </w:r>
      <w:r>
        <w:rPr>
          <w:rFonts w:hint="eastAsia" w:ascii="宋体" w:hAnsi="宋体" w:eastAsia="宋体" w:cs="宋体"/>
          <w:b/>
          <w:color w:val="auto"/>
          <w:sz w:val="21"/>
          <w:szCs w:val="21"/>
          <w:highlight w:val="none"/>
          <w:u w:val="single"/>
          <w:lang w:val="en-US" w:eastAsia="zh-CN"/>
        </w:rPr>
        <w:t>3</w:t>
      </w:r>
      <w:r>
        <w:rPr>
          <w:rFonts w:hint="eastAsia" w:ascii="宋体" w:hAnsi="宋体" w:eastAsia="宋体" w:cs="宋体"/>
          <w:b/>
          <w:color w:val="auto"/>
          <w:sz w:val="21"/>
          <w:szCs w:val="21"/>
          <w:highlight w:val="none"/>
          <w:u w:val="single"/>
        </w:rPr>
        <w:t>份最终结清申请单。</w:t>
      </w:r>
    </w:p>
    <w:p w14:paraId="3AB21AF0">
      <w:pPr>
        <w:spacing w:after="10" w:line="360" w:lineRule="auto"/>
        <w:ind w:firstLine="435"/>
        <w:rPr>
          <w:rFonts w:hint="eastAsia" w:ascii="宋体" w:hAnsi="宋体" w:eastAsia="宋体" w:cs="宋体"/>
          <w:snapToGrid w:val="0"/>
          <w:color w:val="auto"/>
          <w:sz w:val="21"/>
          <w:szCs w:val="21"/>
          <w:highlight w:val="none"/>
        </w:rPr>
      </w:pPr>
      <w:bookmarkStart w:id="377" w:name="_Toc350961263"/>
      <w:bookmarkStart w:id="378" w:name="_Toc243980065"/>
      <w:r>
        <w:rPr>
          <w:rFonts w:hint="eastAsia" w:ascii="宋体" w:hAnsi="宋体" w:eastAsia="宋体" w:cs="宋体"/>
          <w:snapToGrid w:val="0"/>
          <w:color w:val="auto"/>
          <w:sz w:val="21"/>
          <w:szCs w:val="21"/>
          <w:highlight w:val="none"/>
        </w:rPr>
        <w:t>18竣工验收</w:t>
      </w:r>
      <w:bookmarkEnd w:id="377"/>
      <w:bookmarkEnd w:id="378"/>
    </w:p>
    <w:p w14:paraId="6786FAA7">
      <w:pPr>
        <w:pStyle w:val="5"/>
        <w:snapToGrid w:val="0"/>
        <w:spacing w:before="0" w:after="10" w:line="360" w:lineRule="auto"/>
        <w:rPr>
          <w:rFonts w:hint="eastAsia" w:ascii="宋体" w:hAnsi="宋体" w:eastAsia="宋体" w:cs="宋体"/>
          <w:snapToGrid w:val="0"/>
          <w:color w:val="auto"/>
          <w:sz w:val="21"/>
          <w:szCs w:val="21"/>
          <w:highlight w:val="none"/>
        </w:rPr>
      </w:pPr>
      <w:bookmarkStart w:id="379" w:name="_Toc350961264"/>
      <w:bookmarkStart w:id="380" w:name="_Toc243980066"/>
      <w:r>
        <w:rPr>
          <w:rFonts w:hint="eastAsia" w:ascii="宋体" w:hAnsi="宋体" w:eastAsia="宋体" w:cs="宋体"/>
          <w:snapToGrid w:val="0"/>
          <w:color w:val="auto"/>
          <w:sz w:val="21"/>
          <w:szCs w:val="21"/>
          <w:highlight w:val="none"/>
        </w:rPr>
        <w:t>18.2竣工验收申请报告</w:t>
      </w:r>
      <w:bookmarkEnd w:id="379"/>
      <w:bookmarkEnd w:id="380"/>
    </w:p>
    <w:p w14:paraId="13897870">
      <w:pPr>
        <w:spacing w:after="1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竣工资料内容：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b/>
          <w:color w:val="auto"/>
          <w:sz w:val="21"/>
          <w:szCs w:val="21"/>
          <w:highlight w:val="none"/>
          <w:u w:val="single"/>
        </w:rPr>
        <w:t xml:space="preserve">完整竣工资料 </w:t>
      </w:r>
      <w:r>
        <w:rPr>
          <w:rFonts w:hint="eastAsia" w:ascii="宋体" w:hAnsi="宋体" w:eastAsia="宋体" w:cs="宋体"/>
          <w:color w:val="auto"/>
          <w:sz w:val="21"/>
          <w:szCs w:val="21"/>
          <w:highlight w:val="none"/>
          <w:u w:val="single"/>
        </w:rPr>
        <w:t xml:space="preserve">  </w:t>
      </w:r>
    </w:p>
    <w:p w14:paraId="7A5CA1A1">
      <w:pPr>
        <w:spacing w:after="10" w:line="360" w:lineRule="auto"/>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竣工资料份数：</w:t>
      </w:r>
      <w:r>
        <w:rPr>
          <w:rFonts w:hint="eastAsia" w:ascii="宋体" w:hAnsi="宋体" w:eastAsia="宋体" w:cs="宋体"/>
          <w:color w:val="auto"/>
          <w:sz w:val="21"/>
          <w:szCs w:val="21"/>
          <w:highlight w:val="none"/>
          <w:u w:val="single"/>
        </w:rPr>
        <w:t xml:space="preserve"> </w:t>
      </w:r>
      <w:r>
        <w:rPr>
          <w:rFonts w:hint="eastAsia" w:ascii="宋体" w:hAnsi="宋体" w:eastAsia="宋体" w:cs="宋体"/>
          <w:b/>
          <w:bCs/>
          <w:color w:val="auto"/>
          <w:sz w:val="21"/>
          <w:szCs w:val="21"/>
          <w:highlight w:val="none"/>
          <w:u w:val="single"/>
        </w:rPr>
        <w:t xml:space="preserve"> 一式贰套  </w:t>
      </w:r>
      <w:r>
        <w:rPr>
          <w:rFonts w:hint="eastAsia" w:ascii="宋体" w:hAnsi="宋体" w:eastAsia="宋体" w:cs="宋体"/>
          <w:color w:val="auto"/>
          <w:sz w:val="21"/>
          <w:szCs w:val="21"/>
          <w:highlight w:val="none"/>
          <w:u w:val="single"/>
        </w:rPr>
        <w:t xml:space="preserve"> </w:t>
      </w:r>
    </w:p>
    <w:p w14:paraId="3F0B73FF">
      <w:pPr>
        <w:pStyle w:val="5"/>
        <w:snapToGrid w:val="0"/>
        <w:spacing w:before="0" w:after="10" w:line="360" w:lineRule="auto"/>
        <w:rPr>
          <w:rFonts w:hint="eastAsia" w:ascii="宋体" w:hAnsi="宋体" w:eastAsia="宋体" w:cs="宋体"/>
          <w:b w:val="0"/>
          <w:color w:val="auto"/>
          <w:sz w:val="21"/>
          <w:szCs w:val="21"/>
          <w:highlight w:val="none"/>
          <w:u w:val="single"/>
        </w:rPr>
      </w:pPr>
      <w:bookmarkStart w:id="381" w:name="_Toc350961265"/>
      <w:bookmarkStart w:id="382" w:name="_Toc243980067"/>
      <w:r>
        <w:rPr>
          <w:rFonts w:hint="eastAsia" w:ascii="宋体" w:hAnsi="宋体" w:eastAsia="宋体" w:cs="宋体"/>
          <w:snapToGrid w:val="0"/>
          <w:color w:val="auto"/>
          <w:sz w:val="21"/>
          <w:szCs w:val="21"/>
          <w:highlight w:val="none"/>
        </w:rPr>
        <w:t>18.3验收</w:t>
      </w:r>
      <w:bookmarkEnd w:id="381"/>
      <w:bookmarkEnd w:id="382"/>
      <w:r>
        <w:rPr>
          <w:rFonts w:hint="eastAsia" w:ascii="宋体" w:hAnsi="宋体" w:eastAsia="宋体" w:cs="宋体"/>
          <w:snapToGrid w:val="0"/>
          <w:color w:val="auto"/>
          <w:sz w:val="21"/>
          <w:szCs w:val="21"/>
          <w:highlight w:val="none"/>
          <w:lang w:eastAsia="zh-CN"/>
        </w:rPr>
        <w:t>：</w:t>
      </w:r>
      <w:r>
        <w:rPr>
          <w:rFonts w:hint="eastAsia" w:ascii="宋体" w:hAnsi="宋体" w:eastAsia="宋体" w:cs="宋体"/>
          <w:b/>
          <w:bCs w:val="0"/>
          <w:color w:val="auto"/>
          <w:kern w:val="2"/>
          <w:sz w:val="21"/>
          <w:szCs w:val="21"/>
          <w:highlight w:val="none"/>
          <w:u w:val="single"/>
          <w:lang w:val="en-US" w:eastAsia="zh-CN" w:bidi="ar-SA"/>
        </w:rPr>
        <w:t>由比选人自行组织验收。</w:t>
      </w:r>
    </w:p>
    <w:p w14:paraId="4EEF1690">
      <w:pPr>
        <w:pStyle w:val="5"/>
        <w:snapToGrid w:val="0"/>
        <w:spacing w:before="0" w:after="10" w:line="360" w:lineRule="auto"/>
        <w:rPr>
          <w:rFonts w:hint="eastAsia" w:ascii="宋体" w:hAnsi="宋体" w:eastAsia="宋体" w:cs="宋体"/>
          <w:snapToGrid w:val="0"/>
          <w:color w:val="auto"/>
          <w:sz w:val="21"/>
          <w:szCs w:val="21"/>
          <w:highlight w:val="none"/>
        </w:rPr>
      </w:pPr>
      <w:bookmarkStart w:id="383" w:name="_Toc243980070"/>
      <w:bookmarkStart w:id="384" w:name="_Toc350961268"/>
      <w:r>
        <w:rPr>
          <w:rFonts w:hint="eastAsia" w:ascii="宋体" w:hAnsi="宋体" w:eastAsia="宋体" w:cs="宋体"/>
          <w:snapToGrid w:val="0"/>
          <w:color w:val="auto"/>
          <w:sz w:val="21"/>
          <w:szCs w:val="21"/>
          <w:highlight w:val="none"/>
        </w:rPr>
        <w:t>18.7竣工清场</w:t>
      </w:r>
      <w:bookmarkEnd w:id="383"/>
      <w:bookmarkEnd w:id="384"/>
    </w:p>
    <w:p w14:paraId="00B971E7">
      <w:pPr>
        <w:spacing w:after="1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18.7.1竣工清场：</w:t>
      </w:r>
      <w:r>
        <w:rPr>
          <w:rFonts w:hint="eastAsia" w:ascii="宋体" w:hAnsi="宋体" w:eastAsia="宋体" w:cs="宋体"/>
          <w:b/>
          <w:color w:val="auto"/>
          <w:sz w:val="21"/>
          <w:szCs w:val="21"/>
          <w:highlight w:val="none"/>
          <w:u w:val="single"/>
        </w:rPr>
        <w:t>由承包人负责。此价款已包含在合同总价中，发包人不再单独支付。如果承包人不履行职责，则由发包人另行委托承包人以外的第三人组织竣工清场，相关费用从承包人的竣工结算款中扣除。</w:t>
      </w:r>
    </w:p>
    <w:p w14:paraId="30FBBB91">
      <w:pPr>
        <w:pStyle w:val="5"/>
        <w:snapToGrid w:val="0"/>
        <w:spacing w:before="0" w:after="10" w:line="360" w:lineRule="auto"/>
        <w:rPr>
          <w:rFonts w:hint="eastAsia" w:ascii="宋体" w:hAnsi="宋体" w:eastAsia="宋体" w:cs="宋体"/>
          <w:snapToGrid w:val="0"/>
          <w:color w:val="auto"/>
          <w:sz w:val="21"/>
          <w:szCs w:val="21"/>
          <w:highlight w:val="none"/>
        </w:rPr>
      </w:pPr>
      <w:bookmarkStart w:id="385" w:name="_Toc350961269"/>
      <w:bookmarkStart w:id="386" w:name="_Toc243980071"/>
      <w:r>
        <w:rPr>
          <w:rFonts w:hint="eastAsia" w:ascii="宋体" w:hAnsi="宋体" w:eastAsia="宋体" w:cs="宋体"/>
          <w:snapToGrid w:val="0"/>
          <w:color w:val="auto"/>
          <w:sz w:val="21"/>
          <w:szCs w:val="21"/>
          <w:highlight w:val="none"/>
        </w:rPr>
        <w:t>18.8施工队伍的撤离</w:t>
      </w:r>
      <w:bookmarkEnd w:id="385"/>
      <w:bookmarkEnd w:id="386"/>
    </w:p>
    <w:p w14:paraId="61549E8A">
      <w:pPr>
        <w:spacing w:after="10" w:line="360" w:lineRule="auto"/>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施工人员、施工设备及其临时工程撤离的要求：</w:t>
      </w:r>
      <w:r>
        <w:rPr>
          <w:rFonts w:hint="eastAsia" w:ascii="宋体" w:hAnsi="宋体" w:eastAsia="宋体" w:cs="宋体"/>
          <w:b/>
          <w:color w:val="auto"/>
          <w:sz w:val="21"/>
          <w:szCs w:val="21"/>
          <w:highlight w:val="none"/>
          <w:u w:val="single"/>
        </w:rPr>
        <w:t xml:space="preserve"> </w:t>
      </w:r>
      <w:r>
        <w:rPr>
          <w:rFonts w:hint="eastAsia" w:ascii="宋体" w:hAnsi="宋体" w:eastAsia="宋体" w:cs="宋体"/>
          <w:b/>
          <w:color w:val="auto"/>
          <w:sz w:val="21"/>
          <w:szCs w:val="21"/>
          <w:highlight w:val="none"/>
          <w:u w:val="single"/>
          <w:lang w:eastAsia="zh-CN"/>
        </w:rPr>
        <w:t>完工</w:t>
      </w:r>
      <w:r>
        <w:rPr>
          <w:rFonts w:hint="eastAsia" w:ascii="宋体" w:hAnsi="宋体" w:eastAsia="宋体" w:cs="宋体"/>
          <w:b/>
          <w:color w:val="auto"/>
          <w:sz w:val="21"/>
          <w:szCs w:val="21"/>
          <w:highlight w:val="none"/>
          <w:u w:val="single"/>
        </w:rPr>
        <w:t>后，承包人全部撤离施工人员、施工设备。</w:t>
      </w:r>
    </w:p>
    <w:p w14:paraId="11BA3195">
      <w:pPr>
        <w:pStyle w:val="4"/>
        <w:spacing w:before="0" w:after="10" w:line="360" w:lineRule="auto"/>
        <w:rPr>
          <w:rFonts w:hint="eastAsia" w:ascii="宋体" w:hAnsi="宋体" w:eastAsia="宋体" w:cs="宋体"/>
          <w:snapToGrid w:val="0"/>
          <w:color w:val="auto"/>
          <w:sz w:val="21"/>
          <w:szCs w:val="21"/>
          <w:highlight w:val="none"/>
        </w:rPr>
      </w:pPr>
      <w:bookmarkStart w:id="387" w:name="_Toc243980072"/>
      <w:bookmarkStart w:id="388" w:name="_Toc350961270"/>
      <w:r>
        <w:rPr>
          <w:rFonts w:hint="eastAsia" w:ascii="宋体" w:hAnsi="宋体" w:eastAsia="宋体" w:cs="宋体"/>
          <w:snapToGrid w:val="0"/>
          <w:color w:val="auto"/>
          <w:sz w:val="21"/>
          <w:szCs w:val="21"/>
          <w:highlight w:val="none"/>
        </w:rPr>
        <w:t>19缺陷责任与保修责任</w:t>
      </w:r>
      <w:bookmarkEnd w:id="387"/>
      <w:bookmarkEnd w:id="388"/>
    </w:p>
    <w:p w14:paraId="16DCD18F">
      <w:pPr>
        <w:pStyle w:val="5"/>
        <w:snapToGrid w:val="0"/>
        <w:spacing w:before="0" w:after="10" w:line="360" w:lineRule="auto"/>
        <w:rPr>
          <w:rFonts w:hint="eastAsia" w:ascii="宋体" w:hAnsi="宋体" w:eastAsia="宋体" w:cs="宋体"/>
          <w:snapToGrid w:val="0"/>
          <w:color w:val="auto"/>
          <w:sz w:val="21"/>
          <w:szCs w:val="21"/>
          <w:highlight w:val="none"/>
        </w:rPr>
      </w:pPr>
      <w:bookmarkStart w:id="389" w:name="_Toc243980073"/>
      <w:bookmarkStart w:id="390" w:name="_Toc350961271"/>
      <w:r>
        <w:rPr>
          <w:rFonts w:hint="eastAsia" w:ascii="宋体" w:hAnsi="宋体" w:eastAsia="宋体" w:cs="宋体"/>
          <w:snapToGrid w:val="0"/>
          <w:color w:val="auto"/>
          <w:sz w:val="21"/>
          <w:szCs w:val="21"/>
          <w:highlight w:val="none"/>
        </w:rPr>
        <w:t>19.7保修责任</w:t>
      </w:r>
      <w:bookmarkEnd w:id="389"/>
      <w:bookmarkEnd w:id="390"/>
    </w:p>
    <w:p w14:paraId="75F36344">
      <w:pPr>
        <w:spacing w:after="10" w:line="360" w:lineRule="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 xml:space="preserve">    工程质量保修范围、期限和责任：</w:t>
      </w:r>
      <w:r>
        <w:rPr>
          <w:rFonts w:hint="eastAsia" w:ascii="宋体" w:hAnsi="宋体" w:eastAsia="宋体" w:cs="宋体"/>
          <w:color w:val="auto"/>
          <w:sz w:val="21"/>
          <w:szCs w:val="21"/>
          <w:highlight w:val="none"/>
          <w:u w:val="single"/>
        </w:rPr>
        <w:t xml:space="preserve"> </w:t>
      </w:r>
      <w:r>
        <w:rPr>
          <w:rFonts w:hint="eastAsia" w:ascii="宋体" w:hAnsi="宋体" w:eastAsia="宋体" w:cs="宋体"/>
          <w:b/>
          <w:bCs/>
          <w:color w:val="auto"/>
          <w:kern w:val="0"/>
          <w:sz w:val="21"/>
          <w:szCs w:val="21"/>
          <w:highlight w:val="none"/>
          <w:u w:val="single"/>
        </w:rPr>
        <w:t>执行国家相关规定</w:t>
      </w:r>
      <w:r>
        <w:rPr>
          <w:rFonts w:hint="eastAsia" w:ascii="宋体" w:hAnsi="宋体" w:eastAsia="宋体" w:cs="宋体"/>
          <w:b/>
          <w:bCs/>
          <w:color w:val="auto"/>
          <w:sz w:val="21"/>
          <w:szCs w:val="21"/>
          <w:highlight w:val="none"/>
          <w:u w:val="single"/>
        </w:rPr>
        <w:t xml:space="preserve"> </w:t>
      </w:r>
    </w:p>
    <w:p w14:paraId="78FA6D61">
      <w:pPr>
        <w:pStyle w:val="4"/>
        <w:spacing w:before="0" w:after="10" w:line="360" w:lineRule="auto"/>
        <w:rPr>
          <w:rFonts w:hint="eastAsia" w:ascii="宋体" w:hAnsi="宋体" w:eastAsia="宋体" w:cs="宋体"/>
          <w:snapToGrid w:val="0"/>
          <w:color w:val="auto"/>
          <w:sz w:val="21"/>
          <w:szCs w:val="21"/>
          <w:highlight w:val="none"/>
          <w:lang w:eastAsia="zh-CN"/>
        </w:rPr>
      </w:pPr>
      <w:bookmarkStart w:id="391" w:name="_Toc243980074"/>
      <w:bookmarkStart w:id="392" w:name="_Toc350961272"/>
      <w:r>
        <w:rPr>
          <w:rFonts w:hint="eastAsia" w:ascii="宋体" w:hAnsi="宋体" w:eastAsia="宋体" w:cs="宋体"/>
          <w:snapToGrid w:val="0"/>
          <w:color w:val="auto"/>
          <w:sz w:val="21"/>
          <w:szCs w:val="21"/>
          <w:highlight w:val="none"/>
        </w:rPr>
        <w:t>20保险</w:t>
      </w:r>
      <w:bookmarkEnd w:id="391"/>
      <w:bookmarkEnd w:id="392"/>
      <w:r>
        <w:rPr>
          <w:rFonts w:hint="eastAsia" w:ascii="宋体" w:hAnsi="宋体" w:eastAsia="宋体" w:cs="宋体"/>
          <w:snapToGrid w:val="0"/>
          <w:color w:val="auto"/>
          <w:sz w:val="21"/>
          <w:szCs w:val="21"/>
          <w:highlight w:val="none"/>
          <w:lang w:eastAsia="zh-CN"/>
        </w:rPr>
        <w:t>：由承包人自行购买所有保险。</w:t>
      </w:r>
    </w:p>
    <w:p w14:paraId="351B2CB6">
      <w:pPr>
        <w:pStyle w:val="4"/>
        <w:spacing w:before="0" w:after="10" w:line="360" w:lineRule="auto"/>
        <w:rPr>
          <w:rFonts w:hint="eastAsia" w:ascii="宋体" w:hAnsi="宋体" w:eastAsia="宋体" w:cs="宋体"/>
          <w:snapToGrid w:val="0"/>
          <w:color w:val="auto"/>
          <w:sz w:val="21"/>
          <w:szCs w:val="21"/>
          <w:highlight w:val="none"/>
        </w:rPr>
      </w:pPr>
      <w:bookmarkStart w:id="393" w:name="_Toc350961277"/>
      <w:bookmarkStart w:id="394" w:name="_Toc243980079"/>
      <w:r>
        <w:rPr>
          <w:rFonts w:hint="eastAsia" w:ascii="宋体" w:hAnsi="宋体" w:eastAsia="宋体" w:cs="宋体"/>
          <w:snapToGrid w:val="0"/>
          <w:color w:val="auto"/>
          <w:sz w:val="21"/>
          <w:szCs w:val="21"/>
          <w:highlight w:val="none"/>
        </w:rPr>
        <w:t>21不可抗力</w:t>
      </w:r>
      <w:bookmarkEnd w:id="393"/>
      <w:bookmarkEnd w:id="394"/>
    </w:p>
    <w:p w14:paraId="67B16F56">
      <w:pPr>
        <w:pStyle w:val="5"/>
        <w:snapToGrid w:val="0"/>
        <w:spacing w:before="0" w:after="10" w:line="360" w:lineRule="auto"/>
        <w:rPr>
          <w:rFonts w:hint="eastAsia" w:ascii="宋体" w:hAnsi="宋体" w:eastAsia="宋体" w:cs="宋体"/>
          <w:snapToGrid w:val="0"/>
          <w:color w:val="auto"/>
          <w:sz w:val="21"/>
          <w:szCs w:val="21"/>
          <w:highlight w:val="none"/>
        </w:rPr>
      </w:pPr>
      <w:bookmarkStart w:id="395" w:name="_Toc350961278"/>
      <w:bookmarkStart w:id="396" w:name="_Toc243980080"/>
      <w:r>
        <w:rPr>
          <w:rFonts w:hint="eastAsia" w:ascii="宋体" w:hAnsi="宋体" w:eastAsia="宋体" w:cs="宋体"/>
          <w:snapToGrid w:val="0"/>
          <w:color w:val="auto"/>
          <w:sz w:val="21"/>
          <w:szCs w:val="21"/>
          <w:highlight w:val="none"/>
        </w:rPr>
        <w:t>21.1不可抗力的确认</w:t>
      </w:r>
      <w:bookmarkEnd w:id="395"/>
      <w:bookmarkEnd w:id="396"/>
    </w:p>
    <w:p w14:paraId="04E9946E">
      <w:pPr>
        <w:spacing w:after="1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不可抗力的范围：</w:t>
      </w:r>
      <w:r>
        <w:rPr>
          <w:rFonts w:hint="eastAsia" w:ascii="宋体" w:hAnsi="宋体" w:eastAsia="宋体" w:cs="宋体"/>
          <w:b/>
          <w:color w:val="auto"/>
          <w:sz w:val="21"/>
          <w:szCs w:val="21"/>
          <w:highlight w:val="none"/>
          <w:u w:val="single"/>
        </w:rPr>
        <w:t xml:space="preserve"> 执行通用条款  </w:t>
      </w:r>
    </w:p>
    <w:p w14:paraId="12B8FE16">
      <w:pPr>
        <w:pStyle w:val="5"/>
        <w:snapToGrid w:val="0"/>
        <w:spacing w:before="0" w:after="10" w:line="360" w:lineRule="auto"/>
        <w:rPr>
          <w:rFonts w:hint="eastAsia" w:ascii="宋体" w:hAnsi="宋体" w:eastAsia="宋体" w:cs="宋体"/>
          <w:snapToGrid w:val="0"/>
          <w:color w:val="auto"/>
          <w:sz w:val="21"/>
          <w:szCs w:val="21"/>
          <w:highlight w:val="none"/>
        </w:rPr>
      </w:pPr>
      <w:bookmarkStart w:id="397" w:name="_Toc243980081"/>
      <w:bookmarkStart w:id="398" w:name="_Toc350961279"/>
      <w:r>
        <w:rPr>
          <w:rFonts w:hint="eastAsia" w:ascii="宋体" w:hAnsi="宋体" w:eastAsia="宋体" w:cs="宋体"/>
          <w:snapToGrid w:val="0"/>
          <w:color w:val="auto"/>
          <w:sz w:val="21"/>
          <w:szCs w:val="21"/>
          <w:highlight w:val="none"/>
        </w:rPr>
        <w:t>21.3不可抗力后果及其处理</w:t>
      </w:r>
      <w:bookmarkEnd w:id="397"/>
      <w:bookmarkEnd w:id="398"/>
    </w:p>
    <w:p w14:paraId="34E4A76F">
      <w:pPr>
        <w:spacing w:after="1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21.3.1  不可抗力造成损害的责任</w:t>
      </w:r>
    </w:p>
    <w:p w14:paraId="76D29BD1">
      <w:pPr>
        <w:spacing w:after="1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不可抗力导致的人员伤亡、财产损失、费用增加和(或)工期延误由合同双方按以下方法承担：</w:t>
      </w:r>
      <w:r>
        <w:rPr>
          <w:rFonts w:hint="eastAsia" w:ascii="宋体" w:hAnsi="宋体" w:eastAsia="宋体" w:cs="宋体"/>
          <w:b/>
          <w:color w:val="auto"/>
          <w:sz w:val="21"/>
          <w:szCs w:val="21"/>
          <w:highlight w:val="none"/>
          <w:u w:val="single"/>
        </w:rPr>
        <w:t xml:space="preserve">执行通用条款  </w:t>
      </w:r>
      <w:r>
        <w:rPr>
          <w:rFonts w:hint="eastAsia" w:ascii="宋体" w:hAnsi="宋体" w:eastAsia="宋体" w:cs="宋体"/>
          <w:color w:val="auto"/>
          <w:sz w:val="21"/>
          <w:szCs w:val="21"/>
          <w:highlight w:val="none"/>
          <w:u w:val="single"/>
        </w:rPr>
        <w:t xml:space="preserve">  </w:t>
      </w:r>
    </w:p>
    <w:p w14:paraId="47595633">
      <w:pPr>
        <w:pStyle w:val="4"/>
        <w:spacing w:before="0" w:after="10" w:line="360" w:lineRule="auto"/>
        <w:rPr>
          <w:rFonts w:hint="eastAsia" w:ascii="宋体" w:hAnsi="宋体" w:eastAsia="宋体" w:cs="宋体"/>
          <w:snapToGrid w:val="0"/>
          <w:color w:val="auto"/>
          <w:sz w:val="21"/>
          <w:szCs w:val="21"/>
          <w:highlight w:val="none"/>
        </w:rPr>
      </w:pPr>
      <w:bookmarkStart w:id="399" w:name="_Toc243980082"/>
      <w:bookmarkStart w:id="400" w:name="_Toc350961280"/>
      <w:r>
        <w:rPr>
          <w:rFonts w:hint="eastAsia" w:ascii="宋体" w:hAnsi="宋体" w:eastAsia="宋体" w:cs="宋体"/>
          <w:snapToGrid w:val="0"/>
          <w:color w:val="auto"/>
          <w:sz w:val="21"/>
          <w:szCs w:val="21"/>
          <w:highlight w:val="none"/>
        </w:rPr>
        <w:t>24争议的解决</w:t>
      </w:r>
      <w:bookmarkEnd w:id="399"/>
      <w:bookmarkEnd w:id="400"/>
    </w:p>
    <w:p w14:paraId="3B61719B">
      <w:pPr>
        <w:pStyle w:val="5"/>
        <w:snapToGrid w:val="0"/>
        <w:spacing w:before="0" w:after="10" w:line="360" w:lineRule="auto"/>
        <w:rPr>
          <w:rFonts w:hint="eastAsia" w:ascii="宋体" w:hAnsi="宋体" w:eastAsia="宋体" w:cs="宋体"/>
          <w:snapToGrid w:val="0"/>
          <w:color w:val="auto"/>
          <w:sz w:val="21"/>
          <w:szCs w:val="21"/>
          <w:highlight w:val="none"/>
        </w:rPr>
      </w:pPr>
      <w:bookmarkStart w:id="401" w:name="_Toc243980083"/>
      <w:bookmarkStart w:id="402" w:name="_Toc350961281"/>
      <w:r>
        <w:rPr>
          <w:rFonts w:hint="eastAsia" w:ascii="宋体" w:hAnsi="宋体" w:eastAsia="宋体" w:cs="宋体"/>
          <w:snapToGrid w:val="0"/>
          <w:color w:val="auto"/>
          <w:sz w:val="21"/>
          <w:szCs w:val="21"/>
          <w:highlight w:val="none"/>
        </w:rPr>
        <w:t>24.1争议的解决方式</w:t>
      </w:r>
      <w:bookmarkEnd w:id="401"/>
      <w:bookmarkEnd w:id="402"/>
    </w:p>
    <w:p w14:paraId="6A38F225">
      <w:pPr>
        <w:spacing w:line="360" w:lineRule="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争议的解决方式：</w:t>
      </w:r>
      <w:r>
        <w:rPr>
          <w:rFonts w:hint="eastAsia" w:ascii="宋体" w:hAnsi="宋体" w:eastAsia="宋体" w:cs="宋体"/>
          <w:b/>
          <w:bCs/>
          <w:color w:val="auto"/>
          <w:sz w:val="21"/>
          <w:szCs w:val="21"/>
          <w:highlight w:val="none"/>
        </w:rPr>
        <w:t>向</w:t>
      </w:r>
      <w:r>
        <w:rPr>
          <w:rFonts w:hint="eastAsia" w:ascii="宋体" w:hAnsi="宋体" w:eastAsia="宋体" w:cs="宋体"/>
          <w:b/>
          <w:bCs/>
          <w:color w:val="auto"/>
          <w:sz w:val="21"/>
          <w:szCs w:val="21"/>
          <w:highlight w:val="none"/>
          <w:u w:val="single"/>
        </w:rPr>
        <w:t>项目所在地</w:t>
      </w:r>
      <w:r>
        <w:rPr>
          <w:rFonts w:hint="eastAsia" w:ascii="宋体" w:hAnsi="宋体" w:eastAsia="宋体" w:cs="宋体"/>
          <w:b/>
          <w:bCs/>
          <w:color w:val="auto"/>
          <w:sz w:val="21"/>
          <w:szCs w:val="21"/>
          <w:highlight w:val="none"/>
        </w:rPr>
        <w:t xml:space="preserve">人民法院起诉。 </w:t>
      </w:r>
      <w:r>
        <w:rPr>
          <w:rFonts w:hint="eastAsia" w:ascii="宋体" w:hAnsi="宋体" w:eastAsia="宋体" w:cs="宋体"/>
          <w:b/>
          <w:bCs/>
          <w:color w:val="auto"/>
          <w:szCs w:val="21"/>
          <w:highlight w:val="none"/>
        </w:rPr>
        <w:br w:type="page"/>
      </w:r>
      <w:r>
        <w:rPr>
          <w:rFonts w:hint="eastAsia" w:ascii="宋体" w:hAnsi="宋体" w:eastAsia="宋体" w:cs="宋体"/>
          <w:color w:val="auto"/>
          <w:szCs w:val="21"/>
          <w:highlight w:val="none"/>
        </w:rPr>
        <w:t>附</w:t>
      </w:r>
      <w:bookmarkStart w:id="403" w:name="_Toc296346727"/>
      <w:bookmarkStart w:id="404" w:name="_Toc296944565"/>
      <w:bookmarkStart w:id="405" w:name="_Toc296891054"/>
      <w:bookmarkStart w:id="406" w:name="_Toc296347225"/>
      <w:bookmarkStart w:id="407" w:name="_Toc296891266"/>
      <w:bookmarkStart w:id="408" w:name="_Toc296503226"/>
      <w:bookmarkStart w:id="409" w:name="_Toc267261693"/>
      <w:r>
        <w:rPr>
          <w:rFonts w:hint="eastAsia" w:ascii="宋体" w:hAnsi="宋体" w:eastAsia="宋体" w:cs="宋体"/>
          <w:color w:val="auto"/>
          <w:szCs w:val="21"/>
          <w:highlight w:val="none"/>
        </w:rPr>
        <w:t>件1：</w:t>
      </w:r>
      <w:bookmarkEnd w:id="403"/>
      <w:bookmarkEnd w:id="404"/>
      <w:bookmarkEnd w:id="405"/>
      <w:bookmarkEnd w:id="406"/>
      <w:bookmarkEnd w:id="407"/>
      <w:bookmarkEnd w:id="408"/>
      <w:bookmarkEnd w:id="409"/>
    </w:p>
    <w:p w14:paraId="6DF39DD5">
      <w:pPr>
        <w:spacing w:before="156" w:beforeLines="50" w:after="156" w:afterLines="50"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工程质量保修书</w:t>
      </w:r>
    </w:p>
    <w:p w14:paraId="5F7893AC">
      <w:pPr>
        <w:snapToGrid w:val="0"/>
        <w:spacing w:line="360" w:lineRule="auto"/>
        <w:ind w:firstLine="422" w:firstLineChars="200"/>
        <w:rPr>
          <w:rFonts w:hint="eastAsia" w:ascii="宋体" w:hAnsi="宋体" w:eastAsia="宋体" w:cs="宋体"/>
          <w:b/>
          <w:color w:val="auto"/>
          <w:szCs w:val="21"/>
          <w:highlight w:val="none"/>
          <w:u w:val="single"/>
        </w:rPr>
      </w:pPr>
      <w:r>
        <w:rPr>
          <w:rFonts w:hint="eastAsia" w:ascii="宋体" w:hAnsi="宋体" w:eastAsia="宋体" w:cs="宋体"/>
          <w:b/>
          <w:color w:val="auto"/>
          <w:szCs w:val="21"/>
          <w:highlight w:val="none"/>
        </w:rPr>
        <w:t>发包人（全称）：</w:t>
      </w:r>
      <w:r>
        <w:rPr>
          <w:rFonts w:hint="eastAsia" w:ascii="宋体" w:hAnsi="宋体" w:eastAsia="宋体" w:cs="宋体"/>
          <w:color w:val="auto"/>
          <w:szCs w:val="21"/>
          <w:highlight w:val="none"/>
          <w:u w:val="single"/>
        </w:rPr>
        <w:t xml:space="preserve">                             </w:t>
      </w:r>
    </w:p>
    <w:p w14:paraId="347A7BB0">
      <w:pPr>
        <w:snapToGrid w:val="0"/>
        <w:spacing w:line="360" w:lineRule="auto"/>
        <w:ind w:firstLine="422" w:firstLineChars="200"/>
        <w:rPr>
          <w:rFonts w:hint="eastAsia" w:ascii="宋体" w:hAnsi="宋体" w:eastAsia="宋体" w:cs="宋体"/>
          <w:b/>
          <w:color w:val="auto"/>
          <w:szCs w:val="21"/>
          <w:highlight w:val="none"/>
          <w:u w:val="single"/>
        </w:rPr>
      </w:pPr>
      <w:r>
        <w:rPr>
          <w:rFonts w:hint="eastAsia" w:ascii="宋体" w:hAnsi="宋体" w:eastAsia="宋体" w:cs="宋体"/>
          <w:b/>
          <w:color w:val="auto"/>
          <w:szCs w:val="21"/>
          <w:highlight w:val="none"/>
        </w:rPr>
        <w:t>承包人（全称）：</w:t>
      </w:r>
      <w:r>
        <w:rPr>
          <w:rFonts w:hint="eastAsia" w:ascii="宋体" w:hAnsi="宋体" w:eastAsia="宋体" w:cs="宋体"/>
          <w:color w:val="auto"/>
          <w:szCs w:val="21"/>
          <w:highlight w:val="none"/>
          <w:u w:val="single"/>
        </w:rPr>
        <w:t xml:space="preserve">                             </w:t>
      </w:r>
    </w:p>
    <w:p w14:paraId="7C58FFF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发包人和承包人根据《中华人民共和国建筑法》和《建设工程质量管理条例》，经协商一致就</w:t>
      </w:r>
    </w:p>
    <w:p w14:paraId="437E7FE1">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（工程全称）签订工程质量保修书。</w:t>
      </w:r>
    </w:p>
    <w:p w14:paraId="79ED4270">
      <w:pPr>
        <w:spacing w:line="360" w:lineRule="auto"/>
        <w:ind w:firstLine="420" w:firstLineChars="200"/>
        <w:rPr>
          <w:rFonts w:hint="eastAsia" w:ascii="宋体" w:hAnsi="宋体" w:eastAsia="宋体" w:cs="宋体"/>
          <w:color w:val="auto"/>
          <w:szCs w:val="21"/>
          <w:highlight w:val="none"/>
        </w:rPr>
      </w:pPr>
      <w:bookmarkStart w:id="410" w:name="_Toc532375687"/>
      <w:r>
        <w:rPr>
          <w:rFonts w:hint="eastAsia" w:ascii="宋体" w:hAnsi="宋体" w:eastAsia="宋体" w:cs="宋体"/>
          <w:color w:val="auto"/>
          <w:szCs w:val="21"/>
          <w:highlight w:val="none"/>
        </w:rPr>
        <w:t>一、工程质量保修范围和内容</w:t>
      </w:r>
      <w:bookmarkEnd w:id="410"/>
    </w:p>
    <w:p w14:paraId="5622E6B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承包人在质量保修期内，按照有关法律规定和合同约定，承担工程质量保修责任。</w:t>
      </w:r>
    </w:p>
    <w:p w14:paraId="30924EA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28D28BB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承包人承包范围内容均属质量保修范围内容；其中：</w:t>
      </w:r>
    </w:p>
    <w:p w14:paraId="2678EC2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1.属于设计原因造成的质量问题，承包人负责维修，不留隐患，费用由发包人承担；</w:t>
      </w:r>
    </w:p>
    <w:p w14:paraId="588CD45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2.属于施工造成的质量问题，承包人负责维修，不留隐患；</w:t>
      </w:r>
    </w:p>
    <w:p w14:paraId="5F6C06C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3.属于业主使用不当造成的质量问题，配合抢修，费用由发包人承担。</w:t>
      </w:r>
    </w:p>
    <w:p w14:paraId="0ACA7349">
      <w:pPr>
        <w:spacing w:line="360" w:lineRule="auto"/>
        <w:ind w:firstLine="420" w:firstLineChars="200"/>
        <w:rPr>
          <w:rFonts w:hint="eastAsia" w:ascii="宋体" w:hAnsi="宋体" w:eastAsia="宋体" w:cs="宋体"/>
          <w:color w:val="auto"/>
          <w:szCs w:val="21"/>
          <w:highlight w:val="none"/>
        </w:rPr>
      </w:pPr>
      <w:bookmarkStart w:id="411" w:name="_Toc532375688"/>
      <w:r>
        <w:rPr>
          <w:rFonts w:hint="eastAsia" w:ascii="宋体" w:hAnsi="宋体" w:eastAsia="宋体" w:cs="宋体"/>
          <w:color w:val="auto"/>
          <w:szCs w:val="21"/>
          <w:highlight w:val="none"/>
        </w:rPr>
        <w:t>二、质量保修期</w:t>
      </w:r>
      <w:bookmarkEnd w:id="411"/>
    </w:p>
    <w:p w14:paraId="65F8170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根据《建设工程质量管理条例》及有关规定，本工程质量保修期约定如下：</w:t>
      </w:r>
    </w:p>
    <w:p w14:paraId="3424790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1.基础设施工程、房屋建筑的地基基础工程和主体结构工程，为设计文件规定的该工程的合理使用年限；</w:t>
      </w:r>
    </w:p>
    <w:p w14:paraId="59AAA7F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2.屋面防水工程、有防水要求的卫生间、房间和外墙面的防渗漏，为5年；</w:t>
      </w:r>
    </w:p>
    <w:p w14:paraId="5FDE7FE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3.供热与供冷系统，为2个采暖期、供冷期；</w:t>
      </w:r>
    </w:p>
    <w:p w14:paraId="49261DA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4.电气管线、给排水管道、设备安装和装修工程，为2年；</w:t>
      </w:r>
    </w:p>
    <w:p w14:paraId="2A204C3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5.其他项目保修期限：2年；</w:t>
      </w:r>
      <w:r>
        <w:rPr>
          <w:rFonts w:hint="eastAsia" w:ascii="宋体" w:hAnsi="宋体" w:eastAsia="宋体" w:cs="宋体"/>
          <w:i/>
          <w:color w:val="auto"/>
          <w:szCs w:val="21"/>
          <w:highlight w:val="none"/>
        </w:rPr>
        <w:t>[提示：如有不同，根据具体情况修改]</w:t>
      </w:r>
    </w:p>
    <w:p w14:paraId="40F3EE4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建设工程的保修期，自工程竣工验收合格之日起计算。</w:t>
      </w:r>
    </w:p>
    <w:p w14:paraId="4C695959">
      <w:pPr>
        <w:spacing w:line="360" w:lineRule="auto"/>
        <w:ind w:firstLine="420" w:firstLineChars="200"/>
        <w:rPr>
          <w:rFonts w:hint="eastAsia" w:ascii="宋体" w:hAnsi="宋体" w:eastAsia="宋体" w:cs="宋体"/>
          <w:color w:val="auto"/>
          <w:szCs w:val="21"/>
          <w:highlight w:val="none"/>
        </w:rPr>
      </w:pPr>
      <w:bookmarkStart w:id="412" w:name="_Toc532375689"/>
      <w:r>
        <w:rPr>
          <w:rFonts w:hint="eastAsia" w:ascii="宋体" w:hAnsi="宋体" w:eastAsia="宋体" w:cs="宋体"/>
          <w:color w:val="auto"/>
          <w:szCs w:val="21"/>
          <w:highlight w:val="none"/>
        </w:rPr>
        <w:t>三、质量保修责任</w:t>
      </w:r>
      <w:bookmarkEnd w:id="412"/>
    </w:p>
    <w:p w14:paraId="411376D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1.属于保修范围、内容的项目，承包人应当在接到保修通知之日起7天内派人保修。承包人不在约定期限内派人保修的，发包人可以委托他人修理。</w:t>
      </w:r>
    </w:p>
    <w:p w14:paraId="22CA492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2.发生紧急事故需抢修的，承包人在接到事故通知后，应当立即到达事故现场抢修。</w:t>
      </w:r>
    </w:p>
    <w:p w14:paraId="375BCE5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14:paraId="518BC7F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4.质量保修完成后，由发包人组织验收。</w:t>
      </w:r>
    </w:p>
    <w:p w14:paraId="207D6F24">
      <w:pPr>
        <w:spacing w:line="360" w:lineRule="auto"/>
        <w:ind w:firstLine="420" w:firstLineChars="200"/>
        <w:rPr>
          <w:rFonts w:hint="eastAsia" w:ascii="宋体" w:hAnsi="宋体" w:eastAsia="宋体" w:cs="宋体"/>
          <w:color w:val="auto"/>
          <w:szCs w:val="21"/>
          <w:highlight w:val="none"/>
        </w:rPr>
      </w:pPr>
      <w:bookmarkStart w:id="413" w:name="_Toc532375690"/>
      <w:r>
        <w:rPr>
          <w:rFonts w:hint="eastAsia" w:ascii="宋体" w:hAnsi="宋体" w:eastAsia="宋体" w:cs="宋体"/>
          <w:color w:val="auto"/>
          <w:szCs w:val="21"/>
          <w:highlight w:val="none"/>
        </w:rPr>
        <w:t>四、保修费用</w:t>
      </w:r>
      <w:bookmarkEnd w:id="413"/>
    </w:p>
    <w:p w14:paraId="0880141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保修费用由质量缺陷的责任方承担。</w:t>
      </w:r>
    </w:p>
    <w:p w14:paraId="676EE196">
      <w:pPr>
        <w:spacing w:line="360" w:lineRule="auto"/>
        <w:ind w:firstLine="420" w:firstLineChars="200"/>
        <w:rPr>
          <w:rFonts w:hint="eastAsia" w:ascii="宋体" w:hAnsi="宋体" w:eastAsia="宋体" w:cs="宋体"/>
          <w:color w:val="auto"/>
          <w:szCs w:val="21"/>
          <w:highlight w:val="none"/>
        </w:rPr>
      </w:pPr>
      <w:bookmarkStart w:id="414" w:name="_Toc532375691"/>
      <w:r>
        <w:rPr>
          <w:rFonts w:hint="eastAsia" w:ascii="宋体" w:hAnsi="宋体" w:eastAsia="宋体" w:cs="宋体"/>
          <w:color w:val="auto"/>
          <w:szCs w:val="21"/>
          <w:highlight w:val="none"/>
        </w:rPr>
        <w:t>五、双方约定的其他工程质量保修事项</w:t>
      </w:r>
    </w:p>
    <w:p w14:paraId="657C40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按国家相关法律和规定执行</w:t>
      </w:r>
      <w:r>
        <w:rPr>
          <w:rFonts w:hint="eastAsia" w:ascii="宋体" w:hAnsi="宋体" w:eastAsia="宋体" w:cs="宋体"/>
          <w:color w:val="auto"/>
          <w:szCs w:val="21"/>
          <w:highlight w:val="none"/>
        </w:rPr>
        <w:t>。</w:t>
      </w:r>
      <w:bookmarkEnd w:id="414"/>
    </w:p>
    <w:p w14:paraId="04CEB8A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本工程质量保修书由发包人、承包人在工程竣工验收前共同签署，作为施工合同附件，其有效期限至保修期满。</w:t>
      </w:r>
    </w:p>
    <w:p w14:paraId="3053D7B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六、本文件生效</w:t>
      </w:r>
    </w:p>
    <w:p w14:paraId="7722497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本工程质量保修书经发包人与承包人盖章后生效。</w:t>
      </w:r>
    </w:p>
    <w:p w14:paraId="4EB10414">
      <w:pPr>
        <w:pStyle w:val="2"/>
        <w:spacing w:line="360" w:lineRule="auto"/>
        <w:ind w:firstLine="420" w:firstLineChars="200"/>
        <w:rPr>
          <w:rFonts w:hint="eastAsia" w:ascii="宋体" w:hAnsi="宋体" w:eastAsia="宋体" w:cs="宋体"/>
          <w:color w:val="auto"/>
          <w:szCs w:val="21"/>
          <w:highlight w:val="none"/>
        </w:rPr>
      </w:pPr>
    </w:p>
    <w:p w14:paraId="24CEBD12">
      <w:pPr>
        <w:spacing w:line="360" w:lineRule="auto"/>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发包人：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（盖单位公章）</w:t>
      </w:r>
    </w:p>
    <w:p w14:paraId="3884B7BD">
      <w:pPr>
        <w:spacing w:line="360" w:lineRule="auto"/>
        <w:ind w:firstLine="420" w:firstLineChars="200"/>
        <w:rPr>
          <w:rFonts w:hint="eastAsia" w:ascii="宋体" w:hAnsi="宋体" w:eastAsia="宋体" w:cs="宋体"/>
          <w:snapToGrid w:val="0"/>
          <w:color w:val="auto"/>
          <w:kern w:val="0"/>
          <w:szCs w:val="21"/>
          <w:highlight w:val="none"/>
        </w:rPr>
      </w:pPr>
    </w:p>
    <w:p w14:paraId="00CE2D30">
      <w:pPr>
        <w:spacing w:line="360" w:lineRule="auto"/>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法定代表人或其委托代理人：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（签名）</w:t>
      </w:r>
    </w:p>
    <w:p w14:paraId="0C5B5939">
      <w:pPr>
        <w:spacing w:line="360" w:lineRule="auto"/>
        <w:ind w:firstLine="420" w:firstLineChars="200"/>
        <w:rPr>
          <w:rFonts w:hint="eastAsia" w:ascii="宋体" w:hAnsi="宋体" w:eastAsia="宋体" w:cs="宋体"/>
          <w:snapToGrid w:val="0"/>
          <w:color w:val="auto"/>
          <w:kern w:val="0"/>
          <w:szCs w:val="21"/>
          <w:highlight w:val="none"/>
        </w:rPr>
      </w:pPr>
    </w:p>
    <w:p w14:paraId="54FB7ED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snapToGrid w:val="0"/>
          <w:color w:val="auto"/>
          <w:kern w:val="0"/>
          <w:szCs w:val="21"/>
          <w:highlight w:val="none"/>
        </w:rPr>
        <w:t>承包人：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（盖单位公章）</w:t>
      </w:r>
    </w:p>
    <w:p w14:paraId="22A8E4B5">
      <w:pPr>
        <w:spacing w:line="360" w:lineRule="auto"/>
        <w:ind w:firstLine="420" w:firstLineChars="200"/>
        <w:rPr>
          <w:rFonts w:hint="eastAsia" w:ascii="宋体" w:hAnsi="宋体" w:eastAsia="宋体" w:cs="宋体"/>
          <w:snapToGrid w:val="0"/>
          <w:color w:val="auto"/>
          <w:kern w:val="0"/>
          <w:szCs w:val="21"/>
          <w:highlight w:val="none"/>
        </w:rPr>
      </w:pPr>
    </w:p>
    <w:p w14:paraId="2164FAE6">
      <w:pPr>
        <w:spacing w:line="360" w:lineRule="auto"/>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法定代表人或其委托代理人：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（签名）</w:t>
      </w:r>
    </w:p>
    <w:p w14:paraId="19468F86">
      <w:pPr>
        <w:spacing w:line="360" w:lineRule="auto"/>
        <w:ind w:firstLine="420" w:firstLineChars="200"/>
        <w:rPr>
          <w:rFonts w:hint="eastAsia" w:ascii="宋体" w:hAnsi="宋体" w:eastAsia="宋体" w:cs="宋体"/>
          <w:snapToGrid w:val="0"/>
          <w:color w:val="auto"/>
          <w:kern w:val="0"/>
          <w:szCs w:val="21"/>
          <w:highlight w:val="none"/>
        </w:rPr>
      </w:pPr>
    </w:p>
    <w:p w14:paraId="471AF411">
      <w:pPr>
        <w:spacing w:line="360" w:lineRule="auto"/>
        <w:ind w:firstLine="420" w:firstLineChars="200"/>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rPr>
        <w:t>签约时间：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4C038C3">
      <w:pPr>
        <w:spacing w:after="10" w:line="400" w:lineRule="atLeast"/>
        <w:rPr>
          <w:rFonts w:hint="eastAsia" w:ascii="宋体" w:hAnsi="宋体" w:eastAsia="宋体" w:cs="宋体"/>
          <w:b/>
          <w:color w:val="auto"/>
          <w:szCs w:val="21"/>
          <w:highlight w:val="none"/>
        </w:rPr>
      </w:pPr>
    </w:p>
    <w:p w14:paraId="467B7C80">
      <w:pPr>
        <w:spacing w:after="10" w:line="400" w:lineRule="atLeast"/>
        <w:rPr>
          <w:rFonts w:hint="eastAsia" w:ascii="宋体" w:hAnsi="宋体" w:eastAsia="宋体" w:cs="宋体"/>
          <w:b/>
          <w:color w:val="auto"/>
          <w:szCs w:val="21"/>
          <w:highlight w:val="none"/>
        </w:rPr>
      </w:pPr>
    </w:p>
    <w:p w14:paraId="09C8D575">
      <w:pPr>
        <w:spacing w:after="10" w:line="400" w:lineRule="atLeast"/>
        <w:rPr>
          <w:rFonts w:hint="eastAsia" w:ascii="宋体" w:hAnsi="宋体" w:eastAsia="宋体" w:cs="宋体"/>
          <w:b/>
          <w:color w:val="auto"/>
          <w:szCs w:val="21"/>
          <w:highlight w:val="none"/>
        </w:rPr>
      </w:pPr>
    </w:p>
    <w:p w14:paraId="46D178A4">
      <w:pPr>
        <w:spacing w:after="10" w:line="400" w:lineRule="atLeast"/>
        <w:rPr>
          <w:rFonts w:hint="eastAsia" w:ascii="宋体" w:hAnsi="宋体" w:eastAsia="宋体" w:cs="宋体"/>
          <w:b/>
          <w:color w:val="auto"/>
          <w:szCs w:val="21"/>
          <w:highlight w:val="none"/>
        </w:rPr>
      </w:pPr>
    </w:p>
    <w:p w14:paraId="155EFC57">
      <w:pPr>
        <w:spacing w:after="10" w:line="400" w:lineRule="atLeast"/>
        <w:rPr>
          <w:rFonts w:hint="eastAsia" w:ascii="宋体" w:hAnsi="宋体" w:eastAsia="宋体" w:cs="宋体"/>
          <w:b/>
          <w:color w:val="auto"/>
          <w:szCs w:val="21"/>
          <w:highlight w:val="none"/>
        </w:rPr>
      </w:pPr>
    </w:p>
    <w:p w14:paraId="417047E4">
      <w:pPr>
        <w:spacing w:after="10" w:line="400" w:lineRule="atLeast"/>
        <w:rPr>
          <w:rFonts w:hint="eastAsia" w:ascii="宋体" w:hAnsi="宋体" w:eastAsia="宋体" w:cs="宋体"/>
          <w:b/>
          <w:color w:val="auto"/>
          <w:szCs w:val="21"/>
          <w:highlight w:val="none"/>
        </w:rPr>
      </w:pPr>
    </w:p>
    <w:p w14:paraId="45AA79E3">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br w:type="page"/>
      </w:r>
      <w:r>
        <w:rPr>
          <w:rFonts w:hint="eastAsia" w:ascii="宋体" w:hAnsi="宋体" w:eastAsia="宋体" w:cs="宋体"/>
          <w:color w:val="auto"/>
          <w:szCs w:val="21"/>
          <w:highlight w:val="none"/>
          <w:lang w:eastAsia="zh-CN"/>
        </w:rPr>
        <w:t>附件</w:t>
      </w:r>
      <w:r>
        <w:rPr>
          <w:rFonts w:hint="eastAsia" w:ascii="宋体" w:hAnsi="宋体" w:eastAsia="宋体" w:cs="宋体"/>
          <w:color w:val="auto"/>
          <w:szCs w:val="21"/>
          <w:highlight w:val="none"/>
        </w:rPr>
        <w:t>2</w:t>
      </w:r>
      <w:r>
        <w:rPr>
          <w:rFonts w:hint="eastAsia" w:ascii="宋体" w:hAnsi="宋体" w:cs="宋体"/>
          <w:color w:val="auto"/>
          <w:szCs w:val="21"/>
          <w:highlight w:val="none"/>
          <w:lang w:eastAsia="zh-CN"/>
        </w:rPr>
        <w:t>：</w:t>
      </w:r>
    </w:p>
    <w:p w14:paraId="0A90040A">
      <w:pPr>
        <w:spacing w:before="156" w:beforeLines="50" w:after="156" w:afterLines="50" w:line="480" w:lineRule="auto"/>
        <w:jc w:val="center"/>
        <w:rPr>
          <w:rFonts w:hint="eastAsia" w:ascii="宋体" w:hAnsi="宋体" w:eastAsia="宋体" w:cs="宋体"/>
          <w:color w:val="auto"/>
          <w:szCs w:val="21"/>
          <w:highlight w:val="none"/>
        </w:rPr>
      </w:pPr>
      <w:r>
        <w:rPr>
          <w:rFonts w:hint="eastAsia" w:ascii="宋体" w:hAnsi="宋体" w:eastAsia="宋体" w:cs="宋体"/>
          <w:b/>
          <w:bCs/>
          <w:color w:val="auto"/>
          <w:sz w:val="24"/>
          <w:szCs w:val="24"/>
          <w:highlight w:val="none"/>
        </w:rPr>
        <w:t>廉洁从业协议</w:t>
      </w:r>
    </w:p>
    <w:p w14:paraId="3B5AC085">
      <w:pPr>
        <w:snapToGrid w:val="0"/>
        <w:spacing w:line="360" w:lineRule="auto"/>
        <w:ind w:firstLine="422" w:firstLineChars="200"/>
        <w:rPr>
          <w:rFonts w:hint="eastAsia" w:ascii="宋体" w:hAnsi="宋体" w:eastAsia="宋体" w:cs="宋体"/>
          <w:b/>
          <w:color w:val="auto"/>
          <w:szCs w:val="21"/>
          <w:highlight w:val="none"/>
          <w:u w:val="single"/>
        </w:rPr>
      </w:pPr>
      <w:r>
        <w:rPr>
          <w:rFonts w:hint="eastAsia" w:ascii="宋体" w:hAnsi="宋体" w:eastAsia="宋体" w:cs="宋体"/>
          <w:b/>
          <w:color w:val="auto"/>
          <w:szCs w:val="21"/>
          <w:highlight w:val="none"/>
        </w:rPr>
        <w:t>发包人（全称）：</w:t>
      </w:r>
      <w:r>
        <w:rPr>
          <w:rFonts w:hint="eastAsia" w:ascii="宋体" w:hAnsi="宋体" w:eastAsia="宋体" w:cs="宋体"/>
          <w:color w:val="auto"/>
          <w:szCs w:val="21"/>
          <w:highlight w:val="none"/>
          <w:u w:val="single"/>
        </w:rPr>
        <w:t xml:space="preserve">                             </w:t>
      </w:r>
    </w:p>
    <w:p w14:paraId="14BA7A26">
      <w:pPr>
        <w:snapToGrid w:val="0"/>
        <w:spacing w:line="360" w:lineRule="auto"/>
        <w:ind w:firstLine="422" w:firstLineChars="200"/>
        <w:rPr>
          <w:rFonts w:hint="eastAsia" w:ascii="宋体" w:hAnsi="宋体" w:eastAsia="宋体" w:cs="宋体"/>
          <w:b/>
          <w:color w:val="auto"/>
          <w:szCs w:val="21"/>
          <w:highlight w:val="none"/>
          <w:u w:val="single"/>
        </w:rPr>
      </w:pPr>
      <w:r>
        <w:rPr>
          <w:rFonts w:hint="eastAsia" w:ascii="宋体" w:hAnsi="宋体" w:eastAsia="宋体" w:cs="宋体"/>
          <w:b/>
          <w:color w:val="auto"/>
          <w:szCs w:val="21"/>
          <w:highlight w:val="none"/>
        </w:rPr>
        <w:t>承包人（全称）：</w:t>
      </w:r>
      <w:r>
        <w:rPr>
          <w:rFonts w:hint="eastAsia" w:ascii="宋体" w:hAnsi="宋体" w:eastAsia="宋体" w:cs="宋体"/>
          <w:color w:val="auto"/>
          <w:szCs w:val="21"/>
          <w:highlight w:val="none"/>
          <w:u w:val="single"/>
        </w:rPr>
        <w:t xml:space="preserve">                             </w:t>
      </w:r>
    </w:p>
    <w:p w14:paraId="60FB1A8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国家有关部门以及有关工程建设、廉政建设的规定，为做好工程建设中的党风廉政建设，保证工程建设高效优质，保证建设资金的安全和有效使用以及投资效益，建设工程的项目法人（以下简称“发包人”）与承包人（以下简称“承包人”），特订立如下协议。</w:t>
      </w:r>
    </w:p>
    <w:p w14:paraId="01AC46E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1. 发包人承包人的权利和义务</w:t>
      </w:r>
    </w:p>
    <w:p w14:paraId="4B35157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（1）严格遵守党的政策规定和国家有关法律法规及相关部门的有关规定。</w:t>
      </w:r>
    </w:p>
    <w:p w14:paraId="7635D51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（2）严格执行 工程的合同文件，自觉按合同办事。</w:t>
      </w:r>
    </w:p>
    <w:p w14:paraId="3264339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（3）双方的业务活动坚持公开、公正、诚信、透明的原则（法律认定的商业秘密和合同文件另有规定除外），不得损害国家和集体利益，违反工程建设管理规章制度。</w:t>
      </w:r>
    </w:p>
    <w:p w14:paraId="25946BB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（4）建立健全廉政制度，开展廉政教育，设立廉政告示牌，公布举报电话，监督并认真查处违法违纪行为。</w:t>
      </w:r>
    </w:p>
    <w:p w14:paraId="50C85BE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（5）发现对方在业务活动中有违反廉政规定的行为，有及时提醒对方纠正的权利和义务。</w:t>
      </w:r>
    </w:p>
    <w:p w14:paraId="224B420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（6）发现对方严重违反协议义务条款的行为，有向其上级有关部门举报、建议给予处理并要求告知处理结果的权利。</w:t>
      </w:r>
    </w:p>
    <w:p w14:paraId="2DE7C42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发包人的义务</w:t>
      </w:r>
    </w:p>
    <w:p w14:paraId="49057DD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（1）发包人及其工作人员不得索要或接受承包人的礼金、有价证券和贵重物品，不得在承包人报销任何应由发包人或发包人工作人员个人支付的费用等。</w:t>
      </w:r>
    </w:p>
    <w:p w14:paraId="4201456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（2）发包人工作人员不得参加承包人安排的超标准宴请和娱乐活动；不得接受承包人提供的通讯工具、交通工具和高档办公用品等。</w:t>
      </w:r>
    </w:p>
    <w:p w14:paraId="0A9DC94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（3）发包人及其工作人员不得要求或者接受承包人为其住房装修、婚丧嫁娶活动、配偶子女的工作安排以及出国出境、旅游等提供方便等。</w:t>
      </w:r>
    </w:p>
    <w:p w14:paraId="0E065AD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（4）发包人工作人员及其配偶、子女不得从事与发包人工程有关的材料设备供应、工程分包、劳务等经济活动等。</w:t>
      </w:r>
    </w:p>
    <w:p w14:paraId="383D16D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（5）发包人及其工作人员不得以任何理由向承包人推荐分包单位或推销材料，不得要求承包人购买合同规定外的材料和设备。</w:t>
      </w:r>
    </w:p>
    <w:p w14:paraId="5BA7E8E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（6）发包人工作人员要秉公办事，不准营私舞弊，不准利用职权从事各种个人有偿中介活动和安排个人施工队伍。</w:t>
      </w:r>
    </w:p>
    <w:p w14:paraId="2B125FC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 承包人义务</w:t>
      </w:r>
    </w:p>
    <w:p w14:paraId="5BD04B9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（1）承包人不得以任何理由向发包人及其工作人员行贿或馈赠礼金、有价证券、贵重礼品。</w:t>
      </w:r>
    </w:p>
    <w:p w14:paraId="65B4683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（2）承包人不得以任何名义为发包人及其工作人员报销应由发包人单位或个人支付的任何费用。</w:t>
      </w:r>
    </w:p>
    <w:p w14:paraId="10142AC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（3）承包人不得以任何理由安排发包人工作人员参加超标准宴请及娱乐活动。</w:t>
      </w:r>
    </w:p>
    <w:p w14:paraId="6D01A29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（4）承包人不得为发包人单位和个人购置或提供通讯工具、交通工具和高档办公用品等。</w:t>
      </w:r>
    </w:p>
    <w:p w14:paraId="2DBB29D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 违约责任</w:t>
      </w:r>
    </w:p>
    <w:p w14:paraId="1B396AF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（1）发包人及其工作人员违反合同第1、2条，按管理权限，依据有关规定给予党纪、政纪或组织处理；涉嫌犯罪的，移交司法机关追究刑事责任；给承包人单位造成经济损失的，应予以赔偿。</w:t>
      </w:r>
    </w:p>
    <w:p w14:paraId="61981D6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（2）承包人及其工作人员违反合同第1、3条，按管理权限，依据有关规定给予党纪、政纪或组织处理；给发包人单位造成经济损失的，应予以赔偿。</w:t>
      </w:r>
    </w:p>
    <w:p w14:paraId="69E0379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 双方约定：协议由双方或双方上级单位的纪检监察机关负责监督执行。由发包人或发包人上级单位的纪检监察机关约请承包人或承包人上级单位纪检监察机关对合同执行情况进行检查，提出在协议规定范围内的裁定意见。</w:t>
      </w:r>
    </w:p>
    <w:p w14:paraId="230139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 协议有效期为甲乙双方签署之日起至该工程项目竣工验收后止。</w:t>
      </w:r>
    </w:p>
    <w:p w14:paraId="4C38EC7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7.协议作为 工程施工合同的附件，与工程施工合同具有同等的法律效力，经合同双方签署立即生效。</w:t>
      </w:r>
    </w:p>
    <w:p w14:paraId="1533ECE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（以下无正文）</w:t>
      </w:r>
    </w:p>
    <w:p w14:paraId="333CB615">
      <w:pPr>
        <w:pStyle w:val="2"/>
        <w:spacing w:line="360" w:lineRule="auto"/>
        <w:rPr>
          <w:rFonts w:hint="eastAsia" w:ascii="宋体" w:hAnsi="宋体" w:eastAsia="宋体" w:cs="宋体"/>
          <w:color w:val="auto"/>
          <w:szCs w:val="21"/>
          <w:highlight w:val="none"/>
        </w:rPr>
      </w:pPr>
    </w:p>
    <w:p w14:paraId="3115A8AD">
      <w:pPr>
        <w:spacing w:line="360" w:lineRule="auto"/>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发包人：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（盖单位公章）</w:t>
      </w:r>
    </w:p>
    <w:p w14:paraId="071010FC">
      <w:pPr>
        <w:spacing w:line="360" w:lineRule="auto"/>
        <w:ind w:firstLine="420" w:firstLineChars="200"/>
        <w:rPr>
          <w:rFonts w:hint="eastAsia" w:ascii="宋体" w:hAnsi="宋体" w:eastAsia="宋体" w:cs="宋体"/>
          <w:snapToGrid w:val="0"/>
          <w:color w:val="auto"/>
          <w:kern w:val="0"/>
          <w:szCs w:val="21"/>
          <w:highlight w:val="none"/>
        </w:rPr>
      </w:pPr>
    </w:p>
    <w:p w14:paraId="099BD768">
      <w:pPr>
        <w:spacing w:line="360" w:lineRule="auto"/>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法定代表人或其委托代理人：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（签名）</w:t>
      </w:r>
    </w:p>
    <w:p w14:paraId="0DDA6CC3">
      <w:pPr>
        <w:spacing w:line="360" w:lineRule="auto"/>
        <w:ind w:firstLine="420" w:firstLineChars="200"/>
        <w:rPr>
          <w:rFonts w:hint="eastAsia" w:ascii="宋体" w:hAnsi="宋体" w:eastAsia="宋体" w:cs="宋体"/>
          <w:snapToGrid w:val="0"/>
          <w:color w:val="auto"/>
          <w:kern w:val="0"/>
          <w:szCs w:val="21"/>
          <w:highlight w:val="none"/>
        </w:rPr>
      </w:pPr>
    </w:p>
    <w:p w14:paraId="45919A1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snapToGrid w:val="0"/>
          <w:color w:val="auto"/>
          <w:kern w:val="0"/>
          <w:szCs w:val="21"/>
          <w:highlight w:val="none"/>
        </w:rPr>
        <w:t>承包人：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（盖单位公章）</w:t>
      </w:r>
    </w:p>
    <w:p w14:paraId="1BB318B7">
      <w:pPr>
        <w:spacing w:line="360" w:lineRule="auto"/>
        <w:ind w:firstLine="420" w:firstLineChars="200"/>
        <w:rPr>
          <w:rFonts w:hint="eastAsia" w:ascii="宋体" w:hAnsi="宋体" w:eastAsia="宋体" w:cs="宋体"/>
          <w:snapToGrid w:val="0"/>
          <w:color w:val="auto"/>
          <w:kern w:val="0"/>
          <w:szCs w:val="21"/>
          <w:highlight w:val="none"/>
        </w:rPr>
      </w:pPr>
    </w:p>
    <w:p w14:paraId="15BC787F">
      <w:pPr>
        <w:spacing w:line="360" w:lineRule="auto"/>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法定代表人或其委托代理人：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（签名）</w:t>
      </w:r>
    </w:p>
    <w:p w14:paraId="31864E9A">
      <w:pPr>
        <w:spacing w:line="360" w:lineRule="auto"/>
        <w:ind w:firstLine="420" w:firstLineChars="200"/>
        <w:rPr>
          <w:rFonts w:hint="eastAsia" w:ascii="宋体" w:hAnsi="宋体" w:eastAsia="宋体" w:cs="宋体"/>
          <w:snapToGrid w:val="0"/>
          <w:color w:val="auto"/>
          <w:kern w:val="0"/>
          <w:szCs w:val="21"/>
          <w:highlight w:val="none"/>
        </w:rPr>
      </w:pPr>
    </w:p>
    <w:p w14:paraId="086C6179">
      <w:pPr>
        <w:spacing w:line="360" w:lineRule="auto"/>
        <w:jc w:val="right"/>
        <w:rPr>
          <w:rFonts w:hint="eastAsia" w:ascii="宋体" w:hAnsi="宋体" w:eastAsia="宋体" w:cs="宋体"/>
          <w:color w:val="auto"/>
          <w:szCs w:val="21"/>
          <w:highlight w:val="none"/>
        </w:rPr>
      </w:pPr>
      <w:r>
        <w:rPr>
          <w:rFonts w:hint="eastAsia" w:ascii="宋体" w:hAnsi="宋体" w:eastAsia="宋体" w:cs="宋体"/>
          <w:snapToGrid w:val="0"/>
          <w:color w:val="auto"/>
          <w:kern w:val="0"/>
          <w:szCs w:val="21"/>
          <w:highlight w:val="none"/>
        </w:rPr>
        <w:t>签约时间：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7E60A4AB">
      <w:pPr>
        <w:pStyle w:val="304"/>
        <w:rPr>
          <w:rFonts w:hint="eastAsia" w:ascii="宋体" w:hAnsi="宋体" w:eastAsia="宋体" w:cs="宋体"/>
          <w:color w:val="auto"/>
          <w:highlight w:val="none"/>
        </w:rPr>
      </w:pPr>
    </w:p>
    <w:p w14:paraId="3D5B82B5">
      <w:pPr>
        <w:spacing w:line="500" w:lineRule="atLeast"/>
        <w:jc w:val="left"/>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br w:type="page"/>
      </w:r>
      <w:r>
        <w:rPr>
          <w:rFonts w:hint="eastAsia" w:ascii="宋体" w:hAnsi="宋体" w:eastAsia="宋体" w:cs="宋体"/>
          <w:color w:val="auto"/>
          <w:szCs w:val="21"/>
          <w:highlight w:val="none"/>
          <w:lang w:eastAsia="zh-CN"/>
        </w:rPr>
        <w:t>附件</w:t>
      </w:r>
      <w:r>
        <w:rPr>
          <w:rFonts w:hint="eastAsia" w:ascii="宋体" w:hAnsi="宋体" w:eastAsia="宋体" w:cs="宋体"/>
          <w:color w:val="auto"/>
          <w:szCs w:val="21"/>
          <w:highlight w:val="none"/>
          <w:lang w:val="en-US" w:eastAsia="zh-CN"/>
        </w:rPr>
        <w:t>3</w:t>
      </w:r>
      <w:r>
        <w:rPr>
          <w:rFonts w:hint="eastAsia" w:ascii="宋体" w:hAnsi="宋体" w:cs="宋体"/>
          <w:color w:val="auto"/>
          <w:szCs w:val="21"/>
          <w:highlight w:val="none"/>
          <w:lang w:eastAsia="zh-CN"/>
        </w:rPr>
        <w:t>：</w:t>
      </w:r>
    </w:p>
    <w:p w14:paraId="0C2C981A">
      <w:pPr>
        <w:spacing w:line="500" w:lineRule="atLeast"/>
        <w:jc w:val="center"/>
        <w:rPr>
          <w:rFonts w:hint="eastAsia" w:ascii="宋体" w:hAnsi="宋体" w:eastAsia="宋体" w:cs="宋体"/>
          <w:bCs/>
          <w:color w:val="auto"/>
          <w:sz w:val="44"/>
          <w:szCs w:val="44"/>
          <w:highlight w:val="none"/>
        </w:rPr>
      </w:pPr>
      <w:r>
        <w:rPr>
          <w:rFonts w:hint="eastAsia" w:ascii="宋体" w:hAnsi="宋体" w:eastAsia="宋体" w:cs="宋体"/>
          <w:b/>
          <w:bCs/>
          <w:color w:val="auto"/>
          <w:sz w:val="24"/>
          <w:szCs w:val="24"/>
          <w:highlight w:val="none"/>
        </w:rPr>
        <w:t>施工安全责任书</w:t>
      </w:r>
    </w:p>
    <w:p w14:paraId="2DDECAFE">
      <w:pPr>
        <w:pStyle w:val="311"/>
        <w:spacing w:line="500" w:lineRule="atLeast"/>
        <w:rPr>
          <w:rFonts w:hint="eastAsia" w:ascii="宋体" w:hAnsi="宋体" w:eastAsia="宋体" w:cs="宋体"/>
          <w:color w:val="auto"/>
          <w:highlight w:val="none"/>
        </w:rPr>
      </w:pPr>
    </w:p>
    <w:p w14:paraId="21C72765">
      <w:pPr>
        <w:snapToGrid w:val="0"/>
        <w:spacing w:line="360" w:lineRule="auto"/>
        <w:ind w:firstLine="422" w:firstLineChars="200"/>
        <w:rPr>
          <w:rFonts w:hint="eastAsia" w:ascii="宋体" w:hAnsi="宋体" w:eastAsia="宋体" w:cs="宋体"/>
          <w:b/>
          <w:color w:val="auto"/>
          <w:szCs w:val="21"/>
          <w:highlight w:val="none"/>
          <w:u w:val="single"/>
        </w:rPr>
      </w:pPr>
      <w:r>
        <w:rPr>
          <w:rFonts w:hint="eastAsia" w:ascii="宋体" w:hAnsi="宋体" w:eastAsia="宋体" w:cs="宋体"/>
          <w:b/>
          <w:color w:val="auto"/>
          <w:szCs w:val="21"/>
          <w:highlight w:val="none"/>
        </w:rPr>
        <w:t>发包人（全称）：</w:t>
      </w:r>
      <w:r>
        <w:rPr>
          <w:rFonts w:hint="eastAsia" w:ascii="宋体" w:hAnsi="宋体" w:eastAsia="宋体" w:cs="宋体"/>
          <w:color w:val="auto"/>
          <w:szCs w:val="21"/>
          <w:highlight w:val="none"/>
          <w:u w:val="single"/>
        </w:rPr>
        <w:t xml:space="preserve">                            </w:t>
      </w:r>
    </w:p>
    <w:p w14:paraId="067317B2">
      <w:pPr>
        <w:pStyle w:val="23"/>
        <w:spacing w:line="500" w:lineRule="atLeast"/>
        <w:ind w:firstLine="402" w:firstLineChars="200"/>
        <w:rPr>
          <w:rFonts w:hint="eastAsia" w:ascii="宋体" w:hAnsi="宋体" w:eastAsia="宋体" w:cs="宋体"/>
          <w:b/>
          <w:color w:val="auto"/>
          <w:spacing w:val="20"/>
          <w:sz w:val="24"/>
          <w:szCs w:val="24"/>
          <w:highlight w:val="none"/>
          <w:u w:val="single"/>
        </w:rPr>
      </w:pPr>
      <w:r>
        <w:rPr>
          <w:rFonts w:hint="eastAsia" w:ascii="宋体" w:hAnsi="宋体" w:eastAsia="宋体" w:cs="宋体"/>
          <w:b/>
          <w:color w:val="auto"/>
          <w:szCs w:val="21"/>
          <w:highlight w:val="none"/>
        </w:rPr>
        <w:t>承包人（全称）：</w:t>
      </w:r>
      <w:r>
        <w:rPr>
          <w:rFonts w:hint="eastAsia" w:ascii="宋体" w:hAnsi="宋体" w:eastAsia="宋体" w:cs="宋体"/>
          <w:color w:val="auto"/>
          <w:szCs w:val="21"/>
          <w:highlight w:val="none"/>
          <w:u w:val="single"/>
        </w:rPr>
        <w:t>                  </w:t>
      </w:r>
      <w:r>
        <w:rPr>
          <w:rFonts w:hint="eastAsia" w:ascii="宋体" w:hAnsi="宋体" w:eastAsia="宋体" w:cs="宋体"/>
          <w:b/>
          <w:color w:val="auto"/>
          <w:spacing w:val="20"/>
          <w:sz w:val="28"/>
          <w:szCs w:val="28"/>
          <w:highlight w:val="none"/>
          <w:u w:val="single"/>
        </w:rPr>
        <w:t xml:space="preserve">      </w:t>
      </w:r>
    </w:p>
    <w:p w14:paraId="07A81925">
      <w:pPr>
        <w:spacing w:line="5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根据《中华人民共和国安全生产法》、《重庆市安全生产条例</w:t>
      </w:r>
      <w:r>
        <w:rPr>
          <w:rFonts w:hint="eastAsia" w:ascii="宋体" w:hAnsi="宋体" w:eastAsia="宋体" w:cs="宋体"/>
          <w:bCs/>
          <w:color w:val="auto"/>
          <w:sz w:val="21"/>
          <w:szCs w:val="21"/>
          <w:highlight w:val="none"/>
        </w:rPr>
        <w:t>》及其相关规定，</w:t>
      </w:r>
      <w:r>
        <w:rPr>
          <w:rFonts w:hint="eastAsia" w:ascii="宋体" w:hAnsi="宋体" w:eastAsia="宋体" w:cs="宋体"/>
          <w:color w:val="auto"/>
          <w:sz w:val="21"/>
          <w:szCs w:val="21"/>
          <w:highlight w:val="none"/>
        </w:rPr>
        <w:t>为确保各项施工任务圆满完成，有效预防安全事故的发生，依照国家合同法的有关原则，发包人与承包人双方签定安全文明施工责任书，其安全职责如下：</w:t>
      </w:r>
    </w:p>
    <w:p w14:paraId="79A72492">
      <w:pPr>
        <w:spacing w:line="5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一、发包人安全职责</w:t>
      </w:r>
    </w:p>
    <w:p w14:paraId="12D6E9A6">
      <w:pPr>
        <w:spacing w:line="5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1、应对承包人事先提交的营业执照、施工资质证书进行审查及备案，了解在此前的施工业绩及施工安全情况。</w:t>
      </w:r>
    </w:p>
    <w:p w14:paraId="4559A512">
      <w:pPr>
        <w:spacing w:line="5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2、督促承包人制定相应的安全文明施工责任制。并负责定期对施工作业现场进行安全检查。</w:t>
      </w:r>
    </w:p>
    <w:p w14:paraId="716E3113">
      <w:pPr>
        <w:spacing w:line="5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3、施工期间发包人有权对施工现场进行安全监督，发现违规作业及危及人身、设备安全时应及时制止、纠正，必要时有权停止其施工作业，并向承包人提出整改要求。</w:t>
      </w:r>
    </w:p>
    <w:p w14:paraId="43385460">
      <w:pPr>
        <w:spacing w:line="5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二、承包人安全职责</w:t>
      </w:r>
    </w:p>
    <w:p w14:paraId="36C2587F">
      <w:pPr>
        <w:spacing w:line="5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1、施工单位在施工期间及后期管理维护期间应严格遵守《中华人民共和国安全生产法》及重庆市各相关管理部门的各项法令、法规。</w:t>
      </w:r>
    </w:p>
    <w:p w14:paraId="0528A7CD">
      <w:pPr>
        <w:spacing w:line="5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、施工期间各种交通工具、设备和工具器具等均由承包人自备</w:t>
      </w:r>
      <w:r>
        <w:rPr>
          <w:rFonts w:hint="eastAsia" w:ascii="宋体" w:hAnsi="宋体" w:eastAsia="宋体" w:cs="宋体"/>
          <w:color w:val="auto"/>
          <w:sz w:val="21"/>
          <w:szCs w:val="21"/>
          <w:highlight w:val="none"/>
          <w:lang w:eastAsia="zh-CN"/>
        </w:rPr>
        <w:t>，并做好管理工作</w:t>
      </w:r>
      <w:r>
        <w:rPr>
          <w:rFonts w:hint="eastAsia" w:ascii="宋体" w:hAnsi="宋体" w:eastAsia="宋体" w:cs="宋体"/>
          <w:color w:val="auto"/>
          <w:sz w:val="21"/>
          <w:szCs w:val="21"/>
          <w:highlight w:val="none"/>
        </w:rPr>
        <w:t>。</w:t>
      </w:r>
    </w:p>
    <w:p w14:paraId="5DE601D3">
      <w:pPr>
        <w:spacing w:line="5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若有</w:t>
      </w:r>
      <w:r>
        <w:rPr>
          <w:rFonts w:hint="eastAsia" w:ascii="宋体" w:hAnsi="宋体" w:eastAsia="宋体" w:cs="宋体"/>
          <w:color w:val="auto"/>
          <w:sz w:val="21"/>
          <w:szCs w:val="21"/>
          <w:highlight w:val="none"/>
        </w:rPr>
        <w:t>高空作业时，必须按相关规定搭好固定安全架，作业人员必须系好安全带等安全技术措施。</w:t>
      </w:r>
    </w:p>
    <w:p w14:paraId="56FBDD0A">
      <w:pPr>
        <w:spacing w:line="5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、制定好科学合理的工人排班制度，不得疲劳操作。</w:t>
      </w:r>
    </w:p>
    <w:p w14:paraId="235985FD">
      <w:pPr>
        <w:spacing w:line="5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、做好施工作业现场的保洁工作，材料、机械、器具应堆放有序。施工车辆、机械不得带泥上路，对施工过程中产生的垃圾要及时清运。</w:t>
      </w:r>
    </w:p>
    <w:p w14:paraId="62D8E792">
      <w:pPr>
        <w:spacing w:line="5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、施工过程中损毁的道路、构筑物等要及时恢复，对被污染的场地要及时冲洗清理。</w:t>
      </w:r>
    </w:p>
    <w:p w14:paraId="48D1FA0A">
      <w:pPr>
        <w:spacing w:line="5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、承包人必须接受发包人监督和指导，如发生施工安全情况，应及时报告相关部门和发包人，并立即采取处理措施。承包人应按照相关安全管理规定、技术措施要求或发包人提出的合理建议和意见及时进行整改。</w:t>
      </w:r>
    </w:p>
    <w:p w14:paraId="4DF0046B">
      <w:pPr>
        <w:spacing w:line="5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、施工单位在施工过程中和后期管理维护期间所产生的任何直接或间接的安全事故均与发包人无关，由承包人自行负责解决。</w:t>
      </w:r>
    </w:p>
    <w:p w14:paraId="118A868B">
      <w:pPr>
        <w:spacing w:line="5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本施工安全责任书一式贰份，发包人执</w:t>
      </w:r>
      <w:r>
        <w:rPr>
          <w:rFonts w:hint="eastAsia" w:ascii="宋体" w:hAnsi="宋体" w:eastAsia="宋体" w:cs="宋体"/>
          <w:color w:val="auto"/>
          <w:sz w:val="21"/>
          <w:szCs w:val="21"/>
          <w:highlight w:val="none"/>
          <w:lang w:eastAsia="zh-CN"/>
        </w:rPr>
        <w:t>壹</w:t>
      </w:r>
      <w:r>
        <w:rPr>
          <w:rFonts w:hint="eastAsia" w:ascii="宋体" w:hAnsi="宋体" w:eastAsia="宋体" w:cs="宋体"/>
          <w:color w:val="auto"/>
          <w:sz w:val="21"/>
          <w:szCs w:val="21"/>
          <w:highlight w:val="none"/>
        </w:rPr>
        <w:t>份，承包人执</w:t>
      </w:r>
      <w:r>
        <w:rPr>
          <w:rFonts w:hint="eastAsia" w:ascii="宋体" w:hAnsi="宋体" w:eastAsia="宋体" w:cs="宋体"/>
          <w:color w:val="auto"/>
          <w:sz w:val="21"/>
          <w:szCs w:val="21"/>
          <w:highlight w:val="none"/>
          <w:lang w:eastAsia="zh-CN"/>
        </w:rPr>
        <w:t>壹</w:t>
      </w:r>
      <w:r>
        <w:rPr>
          <w:rFonts w:hint="eastAsia" w:ascii="宋体" w:hAnsi="宋体" w:eastAsia="宋体" w:cs="宋体"/>
          <w:color w:val="auto"/>
          <w:sz w:val="21"/>
          <w:szCs w:val="21"/>
          <w:highlight w:val="none"/>
        </w:rPr>
        <w:t>份，具有同等法律效力。</w:t>
      </w:r>
    </w:p>
    <w:p w14:paraId="313FFE8A">
      <w:pPr>
        <w:shd w:val="clear" w:color="auto" w:fill="FFFFFF"/>
        <w:spacing w:line="500" w:lineRule="atLeast"/>
        <w:rPr>
          <w:rFonts w:hint="eastAsia" w:ascii="宋体" w:hAnsi="宋体" w:eastAsia="宋体" w:cs="宋体"/>
          <w:bCs/>
          <w:color w:val="auto"/>
          <w:spacing w:val="20"/>
          <w:sz w:val="21"/>
          <w:szCs w:val="21"/>
          <w:highlight w:val="none"/>
        </w:rPr>
      </w:pPr>
    </w:p>
    <w:p w14:paraId="1FC5E349">
      <w:pPr>
        <w:spacing w:line="5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（以下无正文）</w:t>
      </w:r>
    </w:p>
    <w:p w14:paraId="23A1F504">
      <w:pPr>
        <w:spacing w:line="500" w:lineRule="atLeast"/>
        <w:ind w:firstLine="420" w:firstLineChars="200"/>
        <w:rPr>
          <w:rFonts w:hint="eastAsia" w:ascii="宋体" w:hAnsi="宋体" w:eastAsia="宋体" w:cs="宋体"/>
          <w:color w:val="auto"/>
          <w:sz w:val="21"/>
          <w:szCs w:val="21"/>
          <w:highlight w:val="none"/>
        </w:rPr>
      </w:pPr>
    </w:p>
    <w:p w14:paraId="3B7319F3">
      <w:pPr>
        <w:spacing w:line="5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                                （盖单位公章）</w:t>
      </w:r>
    </w:p>
    <w:p w14:paraId="1BCB1463">
      <w:pPr>
        <w:spacing w:line="500" w:lineRule="atLeast"/>
        <w:ind w:firstLine="420" w:firstLineChars="200"/>
        <w:rPr>
          <w:rFonts w:hint="eastAsia" w:ascii="宋体" w:hAnsi="宋体" w:eastAsia="宋体" w:cs="宋体"/>
          <w:color w:val="auto"/>
          <w:sz w:val="21"/>
          <w:szCs w:val="21"/>
          <w:highlight w:val="none"/>
        </w:rPr>
      </w:pPr>
    </w:p>
    <w:p w14:paraId="1EF9C2EF">
      <w:pPr>
        <w:spacing w:line="5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                （签名）</w:t>
      </w:r>
    </w:p>
    <w:p w14:paraId="5BFFBFFC">
      <w:pPr>
        <w:spacing w:line="500" w:lineRule="atLeast"/>
        <w:ind w:firstLine="420" w:firstLineChars="200"/>
        <w:rPr>
          <w:rFonts w:hint="eastAsia" w:ascii="宋体" w:hAnsi="宋体" w:eastAsia="宋体" w:cs="宋体"/>
          <w:color w:val="auto"/>
          <w:sz w:val="21"/>
          <w:szCs w:val="21"/>
          <w:highlight w:val="none"/>
        </w:rPr>
      </w:pPr>
    </w:p>
    <w:p w14:paraId="2F820388">
      <w:pPr>
        <w:spacing w:line="5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                                （盖单位公章）</w:t>
      </w:r>
    </w:p>
    <w:p w14:paraId="00F58B4E">
      <w:pPr>
        <w:spacing w:line="500" w:lineRule="atLeast"/>
        <w:ind w:firstLine="420" w:firstLineChars="200"/>
        <w:rPr>
          <w:rFonts w:hint="eastAsia" w:ascii="宋体" w:hAnsi="宋体" w:eastAsia="宋体" w:cs="宋体"/>
          <w:color w:val="auto"/>
          <w:sz w:val="21"/>
          <w:szCs w:val="21"/>
          <w:highlight w:val="none"/>
        </w:rPr>
      </w:pPr>
    </w:p>
    <w:p w14:paraId="427571C1">
      <w:pPr>
        <w:spacing w:line="5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                （签名）</w:t>
      </w:r>
    </w:p>
    <w:p w14:paraId="168782FD">
      <w:pPr>
        <w:spacing w:line="500" w:lineRule="atLeast"/>
        <w:ind w:firstLine="420" w:firstLineChars="200"/>
        <w:rPr>
          <w:rFonts w:hint="eastAsia" w:ascii="宋体" w:hAnsi="宋体" w:eastAsia="宋体" w:cs="宋体"/>
          <w:color w:val="auto"/>
          <w:sz w:val="21"/>
          <w:szCs w:val="21"/>
          <w:highlight w:val="none"/>
        </w:rPr>
      </w:pPr>
    </w:p>
    <w:p w14:paraId="4D192C37">
      <w:pPr>
        <w:keepNext w:val="0"/>
        <w:keepLines w:val="0"/>
        <w:pageBreakBefore w:val="0"/>
        <w:widowControl w:val="0"/>
        <w:kinsoku/>
        <w:wordWrap/>
        <w:overflowPunct/>
        <w:topLinePunct w:val="0"/>
        <w:autoSpaceDE/>
        <w:autoSpaceDN/>
        <w:bidi w:val="0"/>
        <w:adjustRightInd/>
        <w:snapToGrid/>
        <w:spacing w:line="480" w:lineRule="exact"/>
        <w:ind w:firstLine="1260" w:firstLineChars="6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签约时间：     年     月     日</w:t>
      </w:r>
    </w:p>
    <w:p w14:paraId="553DF2AB">
      <w:pPr>
        <w:pStyle w:val="41"/>
        <w:spacing w:before="0" w:after="0" w:line="520" w:lineRule="exact"/>
        <w:ind w:right="640" w:firstLine="1120" w:firstLineChars="350"/>
        <w:rPr>
          <w:rFonts w:hint="eastAsia" w:ascii="方正仿宋_GBK" w:eastAsia="方正仿宋_GBK"/>
          <w:sz w:val="32"/>
          <w:szCs w:val="32"/>
        </w:rPr>
      </w:pPr>
    </w:p>
    <w:p w14:paraId="7E5809D8">
      <w:pPr>
        <w:rPr>
          <w:rFonts w:ascii="宋体" w:hAnsi="宋体"/>
          <w:szCs w:val="21"/>
        </w:rPr>
      </w:pPr>
      <w:bookmarkStart w:id="415" w:name="_Toc416769000"/>
    </w:p>
    <w:bookmarkEnd w:id="218"/>
    <w:bookmarkEnd w:id="219"/>
    <w:bookmarkEnd w:id="415"/>
    <w:p w14:paraId="1537D025">
      <w:pPr>
        <w:rPr>
          <w:rFonts w:hint="eastAsia" w:ascii="宋体" w:hAnsi="宋体" w:cs="宋体"/>
          <w:lang w:val="en-US" w:eastAsia="zh-CN"/>
        </w:rPr>
      </w:pPr>
      <w:bookmarkStart w:id="416" w:name="_Toc144974855"/>
      <w:bookmarkStart w:id="417" w:name="_Toc238797660"/>
      <w:bookmarkStart w:id="418" w:name="_Toc152045786"/>
      <w:bookmarkStart w:id="419" w:name="_Toc238552298"/>
      <w:bookmarkStart w:id="420" w:name="_Toc9048"/>
      <w:bookmarkStart w:id="421" w:name="_Toc8248"/>
      <w:bookmarkStart w:id="422" w:name="_Toc73140415"/>
      <w:bookmarkStart w:id="423" w:name="_Toc152042575"/>
      <w:bookmarkStart w:id="424" w:name="_Toc416769001"/>
      <w:bookmarkStart w:id="425" w:name="_Toc21535"/>
      <w:r>
        <w:rPr>
          <w:rFonts w:hint="eastAsia" w:ascii="宋体" w:hAnsi="宋体" w:cs="宋体"/>
          <w:lang w:val="en-US" w:eastAsia="zh-CN"/>
        </w:rPr>
        <w:br w:type="page"/>
      </w:r>
    </w:p>
    <w:p w14:paraId="1A907B23">
      <w:pPr>
        <w:pStyle w:val="3"/>
        <w:spacing w:before="0" w:after="0" w:line="240" w:lineRule="auto"/>
        <w:jc w:val="center"/>
        <w:rPr>
          <w:rFonts w:hint="eastAsia" w:ascii="宋体" w:hAnsi="宋体" w:cs="宋体"/>
          <w:lang w:val="en-US" w:eastAsia="zh-CN"/>
        </w:rPr>
      </w:pPr>
      <w:r>
        <w:rPr>
          <w:rFonts w:hint="eastAsia" w:ascii="宋体" w:hAnsi="宋体" w:cs="宋体"/>
          <w:lang w:val="en-US" w:eastAsia="zh-CN"/>
        </w:rPr>
        <w:t>第五章 技术标准</w:t>
      </w:r>
    </w:p>
    <w:p w14:paraId="2487166B">
      <w:pPr>
        <w:autoSpaceDE w:val="0"/>
        <w:autoSpaceDN w:val="0"/>
        <w:adjustRightInd w:val="0"/>
        <w:snapToGrid w:val="0"/>
        <w:spacing w:line="360" w:lineRule="auto"/>
        <w:ind w:left="1" w:firstLine="535" w:firstLineChars="255"/>
        <w:jc w:val="left"/>
        <w:rPr>
          <w:rFonts w:hint="eastAsia" w:ascii="宋体" w:hAnsi="宋体" w:eastAsia="宋体" w:cs="宋体"/>
          <w:color w:val="auto"/>
          <w:kern w:val="0"/>
          <w:szCs w:val="21"/>
          <w:highlight w:val="none"/>
        </w:rPr>
      </w:pPr>
      <w:bookmarkStart w:id="426" w:name="_Toc205550224"/>
    </w:p>
    <w:p w14:paraId="0E536716">
      <w:pPr>
        <w:autoSpaceDE w:val="0"/>
        <w:autoSpaceDN w:val="0"/>
        <w:adjustRightInd w:val="0"/>
        <w:snapToGrid w:val="0"/>
        <w:spacing w:line="360" w:lineRule="auto"/>
        <w:ind w:left="1" w:firstLine="535" w:firstLineChars="255"/>
        <w:jc w:val="left"/>
        <w:rPr>
          <w:rFonts w:hint="eastAsia" w:ascii="仿宋" w:hAnsi="仿宋" w:eastAsia="仿宋" w:cs="仿宋"/>
          <w:sz w:val="28"/>
          <w:szCs w:val="28"/>
          <w:lang w:val="en-US" w:eastAsia="zh-CN"/>
        </w:rPr>
      </w:pPr>
      <w:r>
        <w:rPr>
          <w:rFonts w:hint="eastAsia" w:ascii="宋体" w:hAnsi="宋体" w:eastAsia="宋体" w:cs="宋体"/>
          <w:color w:val="auto"/>
          <w:kern w:val="0"/>
          <w:szCs w:val="21"/>
          <w:highlight w:val="none"/>
        </w:rPr>
        <w:t>本工程项目的材料、设备、施工必须达到现行规范及标准规定的要求。</w:t>
      </w:r>
    </w:p>
    <w:p w14:paraId="30FBA48C">
      <w:pPr>
        <w:pStyle w:val="3"/>
        <w:jc w:val="center"/>
        <w:rPr>
          <w:rFonts w:hint="eastAsia"/>
          <w:sz w:val="32"/>
          <w:szCs w:val="32"/>
        </w:rPr>
      </w:pPr>
      <w:r>
        <w:rPr>
          <w:rFonts w:hint="eastAsia"/>
          <w:sz w:val="32"/>
          <w:szCs w:val="32"/>
        </w:rPr>
        <w:br w:type="page"/>
      </w:r>
      <w:r>
        <w:rPr>
          <w:rFonts w:hint="eastAsia" w:ascii="宋体" w:hAnsi="宋体" w:cs="宋体"/>
          <w:lang w:val="en-US" w:eastAsia="zh-CN"/>
        </w:rPr>
        <w:t>第六章 竞选文件格式</w:t>
      </w:r>
      <w:bookmarkEnd w:id="426"/>
    </w:p>
    <w:p w14:paraId="1F1C2101">
      <w:pPr>
        <w:spacing w:line="360" w:lineRule="auto"/>
        <w:jc w:val="center"/>
        <w:rPr>
          <w:rFonts w:ascii="宋体" w:hAnsi="宋体"/>
          <w:kern w:val="0"/>
          <w:sz w:val="44"/>
          <w:szCs w:val="44"/>
        </w:rPr>
      </w:pPr>
      <w:r>
        <w:rPr>
          <w:rFonts w:hint="eastAsia" w:ascii="宋体" w:hAnsi="宋体" w:cs="宋体"/>
          <w:i/>
        </w:rPr>
        <w:br w:type="page"/>
      </w:r>
      <w:r>
        <w:rPr>
          <w:rFonts w:hint="eastAsia" w:ascii="宋体" w:hAnsi="宋体" w:cs="宋体"/>
          <w:sz w:val="44"/>
          <w:szCs w:val="44"/>
        </w:rPr>
        <w:t xml:space="preserve"> </w:t>
      </w:r>
      <w:bookmarkEnd w:id="416"/>
      <w:bookmarkEnd w:id="417"/>
      <w:bookmarkEnd w:id="418"/>
      <w:bookmarkEnd w:id="419"/>
      <w:bookmarkEnd w:id="420"/>
      <w:bookmarkEnd w:id="421"/>
      <w:bookmarkEnd w:id="422"/>
      <w:bookmarkEnd w:id="423"/>
      <w:bookmarkEnd w:id="424"/>
      <w:bookmarkEnd w:id="425"/>
      <w:r>
        <w:rPr>
          <w:rFonts w:hint="eastAsia" w:ascii="宋体" w:hAnsi="宋体"/>
          <w:kern w:val="0"/>
          <w:sz w:val="44"/>
          <w:szCs w:val="44"/>
          <w:u w:val="single"/>
        </w:rPr>
        <w:t xml:space="preserve">                   （项目名称）</w:t>
      </w:r>
    </w:p>
    <w:p w14:paraId="7AE7FADF">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05C67345">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08A99AA1">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090F2D28">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03ED4FC9">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52C952D1">
      <w:pPr>
        <w:tabs>
          <w:tab w:val="left" w:pos="3600"/>
          <w:tab w:val="left" w:pos="4480"/>
          <w:tab w:val="left" w:pos="5360"/>
        </w:tabs>
        <w:autoSpaceDE w:val="0"/>
        <w:autoSpaceDN w:val="0"/>
        <w:adjustRightInd w:val="0"/>
        <w:snapToGrid w:val="0"/>
        <w:spacing w:line="360" w:lineRule="auto"/>
        <w:jc w:val="center"/>
        <w:rPr>
          <w:rFonts w:ascii="宋体" w:hAnsi="宋体"/>
          <w:kern w:val="0"/>
          <w:sz w:val="72"/>
          <w:szCs w:val="72"/>
        </w:rPr>
      </w:pPr>
      <w:r>
        <w:rPr>
          <w:rFonts w:hint="eastAsia" w:ascii="宋体" w:hAnsi="宋体"/>
          <w:kern w:val="0"/>
          <w:sz w:val="72"/>
          <w:szCs w:val="72"/>
        </w:rPr>
        <w:t>投 标 文 件</w:t>
      </w:r>
    </w:p>
    <w:p w14:paraId="343D6A6A">
      <w:pPr>
        <w:autoSpaceDE w:val="0"/>
        <w:autoSpaceDN w:val="0"/>
        <w:adjustRightInd w:val="0"/>
        <w:snapToGrid w:val="0"/>
        <w:spacing w:line="360" w:lineRule="auto"/>
        <w:jc w:val="left"/>
        <w:rPr>
          <w:rFonts w:ascii="宋体" w:hAnsi="宋体"/>
          <w:kern w:val="0"/>
          <w:sz w:val="16"/>
          <w:szCs w:val="16"/>
        </w:rPr>
      </w:pPr>
    </w:p>
    <w:p w14:paraId="0264C495">
      <w:pPr>
        <w:autoSpaceDE w:val="0"/>
        <w:autoSpaceDN w:val="0"/>
        <w:adjustRightInd w:val="0"/>
        <w:snapToGrid w:val="0"/>
        <w:spacing w:line="360" w:lineRule="auto"/>
        <w:jc w:val="left"/>
        <w:rPr>
          <w:rFonts w:ascii="宋体" w:hAnsi="宋体"/>
          <w:b/>
          <w:kern w:val="0"/>
          <w:sz w:val="20"/>
          <w:szCs w:val="20"/>
        </w:rPr>
      </w:pPr>
    </w:p>
    <w:p w14:paraId="317AB09A">
      <w:pPr>
        <w:autoSpaceDE w:val="0"/>
        <w:autoSpaceDN w:val="0"/>
        <w:adjustRightInd w:val="0"/>
        <w:snapToGrid w:val="0"/>
        <w:spacing w:line="360" w:lineRule="auto"/>
        <w:jc w:val="left"/>
        <w:rPr>
          <w:rFonts w:ascii="宋体" w:hAnsi="宋体"/>
          <w:b/>
          <w:kern w:val="0"/>
          <w:sz w:val="20"/>
          <w:szCs w:val="20"/>
        </w:rPr>
      </w:pPr>
    </w:p>
    <w:p w14:paraId="1EBB3BBF">
      <w:pPr>
        <w:autoSpaceDE w:val="0"/>
        <w:autoSpaceDN w:val="0"/>
        <w:adjustRightInd w:val="0"/>
        <w:snapToGrid w:val="0"/>
        <w:spacing w:line="360" w:lineRule="auto"/>
        <w:jc w:val="left"/>
        <w:rPr>
          <w:rFonts w:ascii="宋体" w:hAnsi="宋体"/>
          <w:b/>
          <w:kern w:val="0"/>
          <w:sz w:val="20"/>
          <w:szCs w:val="20"/>
        </w:rPr>
      </w:pPr>
    </w:p>
    <w:p w14:paraId="6C25627A">
      <w:pPr>
        <w:autoSpaceDE w:val="0"/>
        <w:autoSpaceDN w:val="0"/>
        <w:adjustRightInd w:val="0"/>
        <w:snapToGrid w:val="0"/>
        <w:spacing w:line="360" w:lineRule="auto"/>
        <w:jc w:val="left"/>
        <w:rPr>
          <w:rFonts w:ascii="宋体" w:hAnsi="宋体"/>
          <w:b/>
          <w:kern w:val="0"/>
          <w:sz w:val="20"/>
          <w:szCs w:val="20"/>
        </w:rPr>
      </w:pPr>
    </w:p>
    <w:p w14:paraId="00C8DE52">
      <w:pPr>
        <w:autoSpaceDE w:val="0"/>
        <w:autoSpaceDN w:val="0"/>
        <w:adjustRightInd w:val="0"/>
        <w:snapToGrid w:val="0"/>
        <w:spacing w:line="360" w:lineRule="auto"/>
        <w:jc w:val="left"/>
        <w:rPr>
          <w:rFonts w:ascii="宋体" w:hAnsi="宋体"/>
          <w:b/>
          <w:kern w:val="0"/>
          <w:sz w:val="20"/>
          <w:szCs w:val="20"/>
        </w:rPr>
      </w:pPr>
    </w:p>
    <w:p w14:paraId="2B9240AB">
      <w:pPr>
        <w:autoSpaceDE w:val="0"/>
        <w:autoSpaceDN w:val="0"/>
        <w:adjustRightInd w:val="0"/>
        <w:snapToGrid w:val="0"/>
        <w:spacing w:line="360" w:lineRule="auto"/>
        <w:jc w:val="left"/>
        <w:rPr>
          <w:rFonts w:ascii="宋体" w:hAnsi="宋体"/>
          <w:b/>
          <w:kern w:val="0"/>
          <w:sz w:val="20"/>
          <w:szCs w:val="20"/>
        </w:rPr>
      </w:pPr>
    </w:p>
    <w:p w14:paraId="5ACB47E5">
      <w:pPr>
        <w:autoSpaceDE w:val="0"/>
        <w:autoSpaceDN w:val="0"/>
        <w:adjustRightInd w:val="0"/>
        <w:snapToGrid w:val="0"/>
        <w:spacing w:line="360" w:lineRule="auto"/>
        <w:jc w:val="left"/>
        <w:rPr>
          <w:rFonts w:ascii="宋体" w:hAnsi="宋体"/>
          <w:b/>
          <w:kern w:val="0"/>
          <w:sz w:val="20"/>
          <w:szCs w:val="20"/>
        </w:rPr>
      </w:pPr>
    </w:p>
    <w:p w14:paraId="5BE70885">
      <w:pPr>
        <w:autoSpaceDE w:val="0"/>
        <w:autoSpaceDN w:val="0"/>
        <w:adjustRightInd w:val="0"/>
        <w:snapToGrid w:val="0"/>
        <w:spacing w:line="360" w:lineRule="auto"/>
        <w:jc w:val="left"/>
        <w:rPr>
          <w:rFonts w:ascii="宋体" w:hAnsi="宋体"/>
          <w:b/>
          <w:kern w:val="0"/>
          <w:sz w:val="20"/>
          <w:szCs w:val="20"/>
        </w:rPr>
      </w:pPr>
    </w:p>
    <w:p w14:paraId="7FE8A3E6">
      <w:pPr>
        <w:autoSpaceDE w:val="0"/>
        <w:autoSpaceDN w:val="0"/>
        <w:adjustRightInd w:val="0"/>
        <w:snapToGrid w:val="0"/>
        <w:spacing w:line="360" w:lineRule="auto"/>
        <w:jc w:val="left"/>
        <w:rPr>
          <w:rFonts w:ascii="宋体" w:hAnsi="宋体"/>
          <w:b/>
          <w:kern w:val="0"/>
          <w:sz w:val="20"/>
          <w:szCs w:val="20"/>
        </w:rPr>
      </w:pPr>
    </w:p>
    <w:p w14:paraId="400ED0A2">
      <w:pPr>
        <w:autoSpaceDE w:val="0"/>
        <w:autoSpaceDN w:val="0"/>
        <w:adjustRightInd w:val="0"/>
        <w:snapToGrid w:val="0"/>
        <w:spacing w:line="360" w:lineRule="auto"/>
        <w:jc w:val="left"/>
        <w:rPr>
          <w:rFonts w:ascii="宋体" w:hAnsi="宋体"/>
          <w:b/>
          <w:kern w:val="0"/>
          <w:sz w:val="20"/>
          <w:szCs w:val="20"/>
        </w:rPr>
      </w:pPr>
    </w:p>
    <w:p w14:paraId="236BA082">
      <w:pPr>
        <w:autoSpaceDE w:val="0"/>
        <w:autoSpaceDN w:val="0"/>
        <w:adjustRightInd w:val="0"/>
        <w:snapToGrid w:val="0"/>
        <w:spacing w:line="360" w:lineRule="auto"/>
        <w:jc w:val="left"/>
        <w:rPr>
          <w:rFonts w:ascii="宋体" w:hAnsi="宋体"/>
          <w:b/>
          <w:kern w:val="0"/>
          <w:sz w:val="20"/>
          <w:szCs w:val="20"/>
        </w:rPr>
      </w:pPr>
    </w:p>
    <w:p w14:paraId="506DBAB3">
      <w:pPr>
        <w:tabs>
          <w:tab w:val="left" w:pos="6080"/>
          <w:tab w:val="left" w:pos="6640"/>
        </w:tabs>
        <w:autoSpaceDE w:val="0"/>
        <w:autoSpaceDN w:val="0"/>
        <w:adjustRightInd w:val="0"/>
        <w:snapToGrid w:val="0"/>
        <w:spacing w:after="120" w:afterLines="50" w:line="360" w:lineRule="auto"/>
        <w:jc w:val="center"/>
        <w:rPr>
          <w:rFonts w:ascii="宋体" w:hAnsi="宋体"/>
          <w:w w:val="99"/>
          <w:kern w:val="0"/>
          <w:sz w:val="28"/>
          <w:szCs w:val="28"/>
        </w:rPr>
      </w:pPr>
      <w:r>
        <w:rPr>
          <w:rFonts w:hint="eastAsia" w:ascii="宋体" w:hAnsi="宋体"/>
          <w:w w:val="99"/>
          <w:kern w:val="0"/>
          <w:sz w:val="28"/>
          <w:szCs w:val="28"/>
        </w:rPr>
        <w:t>竞选</w:t>
      </w:r>
      <w:r>
        <w:rPr>
          <w:rFonts w:ascii="宋体" w:hAnsi="宋体"/>
          <w:w w:val="99"/>
          <w:kern w:val="0"/>
          <w:sz w:val="28"/>
          <w:szCs w:val="28"/>
        </w:rPr>
        <w:t>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（盖单位法人章）</w:t>
      </w:r>
    </w:p>
    <w:p w14:paraId="4AD3125A">
      <w:pPr>
        <w:tabs>
          <w:tab w:val="left" w:pos="6080"/>
          <w:tab w:val="left" w:pos="6640"/>
        </w:tabs>
        <w:autoSpaceDE w:val="0"/>
        <w:autoSpaceDN w:val="0"/>
        <w:adjustRightInd w:val="0"/>
        <w:snapToGrid w:val="0"/>
        <w:spacing w:after="120" w:afterLines="50" w:line="360" w:lineRule="auto"/>
        <w:jc w:val="center"/>
        <w:rPr>
          <w:rFonts w:ascii="宋体" w:hAnsi="宋体"/>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w:t>
      </w:r>
      <w:r>
        <w:rPr>
          <w:rFonts w:hint="eastAsia" w:ascii="宋体" w:hAnsi="宋体"/>
          <w:w w:val="99"/>
          <w:kern w:val="0"/>
          <w:sz w:val="28"/>
          <w:szCs w:val="28"/>
        </w:rPr>
        <w:t>签名</w:t>
      </w:r>
      <w:r>
        <w:rPr>
          <w:rFonts w:ascii="宋体" w:hAnsi="宋体"/>
          <w:w w:val="99"/>
          <w:kern w:val="0"/>
          <w:sz w:val="28"/>
          <w:szCs w:val="28"/>
        </w:rPr>
        <w:t>或盖章）</w:t>
      </w:r>
    </w:p>
    <w:p w14:paraId="64B50129">
      <w:pPr>
        <w:autoSpaceDE w:val="0"/>
        <w:autoSpaceDN w:val="0"/>
        <w:adjustRightInd w:val="0"/>
        <w:snapToGrid w:val="0"/>
        <w:spacing w:line="360" w:lineRule="auto"/>
        <w:jc w:val="center"/>
        <w:rPr>
          <w:rFonts w:ascii="宋体" w:hAnsi="宋体"/>
          <w:kern w:val="0"/>
          <w:sz w:val="24"/>
          <w:szCs w:val="21"/>
        </w:rPr>
      </w:pPr>
      <w:r>
        <w:rPr>
          <w:rFonts w:hint="eastAsia" w:ascii="宋体" w:hAnsi="宋体"/>
          <w:w w:val="99"/>
          <w:kern w:val="0"/>
          <w:sz w:val="28"/>
          <w:szCs w:val="28"/>
          <w:u w:val="single"/>
        </w:rPr>
        <w:t xml:space="preserve">    </w:t>
      </w:r>
      <w:r>
        <w:rPr>
          <w:rFonts w:hint="eastAsia" w:ascii="宋体" w:hAnsi="宋体"/>
          <w:w w:val="99"/>
          <w:kern w:val="0"/>
          <w:sz w:val="28"/>
          <w:szCs w:val="28"/>
        </w:rPr>
        <w:t>年</w:t>
      </w:r>
      <w:r>
        <w:rPr>
          <w:rFonts w:hint="eastAsia" w:ascii="宋体" w:hAnsi="宋体"/>
          <w:w w:val="99"/>
          <w:kern w:val="0"/>
          <w:sz w:val="28"/>
          <w:szCs w:val="28"/>
          <w:u w:val="single"/>
        </w:rPr>
        <w:t xml:space="preserve">    </w:t>
      </w:r>
      <w:r>
        <w:rPr>
          <w:rFonts w:hint="eastAsia" w:ascii="宋体" w:hAnsi="宋体"/>
          <w:w w:val="99"/>
          <w:kern w:val="0"/>
          <w:sz w:val="28"/>
          <w:szCs w:val="28"/>
        </w:rPr>
        <w:t>月</w:t>
      </w:r>
      <w:r>
        <w:rPr>
          <w:rFonts w:hint="eastAsia" w:ascii="宋体" w:hAnsi="宋体"/>
          <w:w w:val="99"/>
          <w:kern w:val="0"/>
          <w:sz w:val="28"/>
          <w:szCs w:val="28"/>
          <w:u w:val="single"/>
        </w:rPr>
        <w:t xml:space="preserve">    </w:t>
      </w:r>
      <w:r>
        <w:rPr>
          <w:rFonts w:hint="eastAsia" w:ascii="宋体" w:hAnsi="宋体"/>
          <w:w w:val="99"/>
          <w:kern w:val="0"/>
          <w:sz w:val="28"/>
          <w:szCs w:val="28"/>
        </w:rPr>
        <w:t>日</w:t>
      </w:r>
      <w:r>
        <w:rPr>
          <w:rFonts w:ascii="宋体" w:hAnsi="宋体"/>
          <w:kern w:val="0"/>
          <w:sz w:val="24"/>
          <w:szCs w:val="21"/>
        </w:rPr>
        <w:br w:type="page"/>
      </w:r>
    </w:p>
    <w:p w14:paraId="39D1AB8D">
      <w:pPr>
        <w:autoSpaceDE w:val="0"/>
        <w:autoSpaceDN w:val="0"/>
        <w:adjustRightInd w:val="0"/>
        <w:snapToGrid w:val="0"/>
        <w:spacing w:line="360" w:lineRule="auto"/>
        <w:jc w:val="center"/>
        <w:rPr>
          <w:rFonts w:ascii="宋体" w:hAnsi="宋体"/>
          <w:sz w:val="36"/>
          <w:szCs w:val="36"/>
        </w:rPr>
      </w:pPr>
      <w:r>
        <w:rPr>
          <w:rFonts w:hint="eastAsia" w:ascii="宋体" w:hAnsi="宋体"/>
          <w:kern w:val="0"/>
          <w:sz w:val="36"/>
          <w:szCs w:val="36"/>
        </w:rPr>
        <w:t>目  录</w:t>
      </w:r>
    </w:p>
    <w:p w14:paraId="5F6F5228">
      <w:pPr>
        <w:spacing w:line="360" w:lineRule="auto"/>
        <w:jc w:val="center"/>
        <w:rPr>
          <w:rFonts w:ascii="宋体" w:hAnsi="宋体"/>
          <w:szCs w:val="20"/>
        </w:rPr>
      </w:pPr>
    </w:p>
    <w:p w14:paraId="68CC9C6B">
      <w:pPr>
        <w:spacing w:line="360" w:lineRule="auto"/>
        <w:ind w:firstLine="420" w:firstLineChars="200"/>
        <w:rPr>
          <w:rFonts w:ascii="宋体" w:hAnsi="宋体"/>
        </w:rPr>
      </w:pPr>
      <w:r>
        <w:rPr>
          <w:rFonts w:ascii="宋体" w:hAnsi="宋体"/>
        </w:rPr>
        <w:t>（一）</w:t>
      </w:r>
      <w:r>
        <w:rPr>
          <w:rFonts w:hint="eastAsia" w:ascii="宋体" w:hAnsi="宋体"/>
        </w:rPr>
        <w:t>竞选</w:t>
      </w:r>
      <w:r>
        <w:rPr>
          <w:rFonts w:ascii="宋体" w:hAnsi="宋体"/>
        </w:rPr>
        <w:t>函</w:t>
      </w:r>
    </w:p>
    <w:p w14:paraId="38BEBC28">
      <w:pPr>
        <w:spacing w:line="360" w:lineRule="auto"/>
        <w:ind w:firstLine="420" w:firstLineChars="200"/>
        <w:rPr>
          <w:rFonts w:ascii="宋体" w:hAnsi="宋体"/>
        </w:rPr>
      </w:pPr>
      <w:r>
        <w:rPr>
          <w:rFonts w:ascii="宋体" w:hAnsi="宋体"/>
        </w:rPr>
        <w:t>（二）</w:t>
      </w:r>
      <w:r>
        <w:rPr>
          <w:rFonts w:hint="eastAsia" w:ascii="宋体" w:hAnsi="宋体"/>
        </w:rPr>
        <w:t>竞选</w:t>
      </w:r>
      <w:r>
        <w:rPr>
          <w:rFonts w:ascii="宋体" w:hAnsi="宋体"/>
        </w:rPr>
        <w:t>函附录</w:t>
      </w:r>
    </w:p>
    <w:p w14:paraId="6B01D4C4">
      <w:pPr>
        <w:spacing w:line="360" w:lineRule="auto"/>
        <w:ind w:firstLine="420" w:firstLineChars="200"/>
        <w:rPr>
          <w:rFonts w:ascii="宋体" w:hAnsi="宋体"/>
        </w:rPr>
      </w:pPr>
      <w:r>
        <w:rPr>
          <w:rFonts w:ascii="宋体" w:hAnsi="宋体"/>
        </w:rPr>
        <w:t>（三）</w:t>
      </w:r>
      <w:r>
        <w:rPr>
          <w:rFonts w:hint="eastAsia" w:ascii="宋体" w:hAnsi="宋体"/>
        </w:rPr>
        <w:t>法定代表人身份证明或附有法定代表人身份证明的授权委托书</w:t>
      </w:r>
    </w:p>
    <w:p w14:paraId="438DCBB1">
      <w:pPr>
        <w:spacing w:line="360" w:lineRule="auto"/>
        <w:ind w:firstLine="420" w:firstLineChars="200"/>
        <w:rPr>
          <w:rFonts w:ascii="宋体" w:hAnsi="宋体"/>
        </w:rPr>
      </w:pPr>
      <w:r>
        <w:rPr>
          <w:rFonts w:ascii="宋体" w:hAnsi="宋体"/>
        </w:rPr>
        <w:t>（四）</w:t>
      </w:r>
      <w:r>
        <w:rPr>
          <w:rFonts w:hint="eastAsia" w:ascii="宋体" w:hAnsi="宋体"/>
        </w:rPr>
        <w:t>低价风险担保提交承诺书（如有）</w:t>
      </w:r>
    </w:p>
    <w:p w14:paraId="5C4FC0B2">
      <w:pPr>
        <w:spacing w:line="360" w:lineRule="auto"/>
        <w:ind w:firstLine="420" w:firstLineChars="200"/>
        <w:rPr>
          <w:rFonts w:ascii="宋体" w:hAnsi="宋体"/>
        </w:rPr>
      </w:pPr>
      <w:r>
        <w:rPr>
          <w:rFonts w:hint="eastAsia" w:ascii="宋体" w:hAnsi="宋体"/>
        </w:rPr>
        <w:t>（五）</w:t>
      </w:r>
      <w:r>
        <w:rPr>
          <w:rFonts w:ascii="宋体" w:hAnsi="宋体"/>
        </w:rPr>
        <w:t>已标价工程量清单</w:t>
      </w:r>
    </w:p>
    <w:p w14:paraId="089AFCDD">
      <w:pPr>
        <w:spacing w:line="360" w:lineRule="auto"/>
        <w:ind w:firstLine="420" w:firstLineChars="200"/>
        <w:rPr>
          <w:rFonts w:ascii="宋体" w:hAnsi="宋体"/>
        </w:rPr>
      </w:pPr>
      <w:r>
        <w:rPr>
          <w:rFonts w:ascii="宋体" w:hAnsi="宋体"/>
        </w:rPr>
        <w:t>（</w:t>
      </w:r>
      <w:r>
        <w:rPr>
          <w:rFonts w:hint="eastAsia" w:ascii="宋体" w:hAnsi="宋体"/>
        </w:rPr>
        <w:t>六</w:t>
      </w:r>
      <w:r>
        <w:rPr>
          <w:rFonts w:ascii="宋体" w:hAnsi="宋体"/>
        </w:rPr>
        <w:t>）</w:t>
      </w:r>
      <w:r>
        <w:rPr>
          <w:rFonts w:hint="eastAsia" w:ascii="宋体" w:hAnsi="宋体"/>
        </w:rPr>
        <w:t>竞选</w:t>
      </w:r>
      <w:r>
        <w:rPr>
          <w:rFonts w:ascii="宋体" w:hAnsi="宋体"/>
        </w:rPr>
        <w:t>人基本情况表</w:t>
      </w:r>
    </w:p>
    <w:p w14:paraId="6E5B5E7D">
      <w:pPr>
        <w:spacing w:line="360" w:lineRule="auto"/>
        <w:ind w:firstLine="420" w:firstLineChars="200"/>
        <w:rPr>
          <w:rFonts w:ascii="宋体" w:hAnsi="宋体"/>
        </w:rPr>
      </w:pPr>
      <w:r>
        <w:rPr>
          <w:rFonts w:ascii="宋体" w:hAnsi="宋体"/>
        </w:rPr>
        <w:t>（</w:t>
      </w:r>
      <w:r>
        <w:rPr>
          <w:rFonts w:hint="eastAsia" w:ascii="宋体" w:hAnsi="宋体"/>
          <w:lang w:val="en-US" w:eastAsia="zh-CN"/>
        </w:rPr>
        <w:t>七</w:t>
      </w:r>
      <w:r>
        <w:rPr>
          <w:rFonts w:ascii="宋体" w:hAnsi="宋体"/>
        </w:rPr>
        <w:t>）</w:t>
      </w:r>
      <w:r>
        <w:rPr>
          <w:rFonts w:hint="eastAsia" w:ascii="宋体" w:hAnsi="宋体"/>
        </w:rPr>
        <w:t>承诺</w:t>
      </w:r>
    </w:p>
    <w:p w14:paraId="0B78425E">
      <w:pPr>
        <w:spacing w:line="360" w:lineRule="auto"/>
        <w:ind w:firstLine="420" w:firstLineChars="200"/>
        <w:rPr>
          <w:rFonts w:ascii="宋体" w:hAnsi="宋体"/>
        </w:rPr>
      </w:pPr>
      <w:r>
        <w:rPr>
          <w:rFonts w:ascii="宋体" w:hAnsi="宋体"/>
        </w:rPr>
        <w:t>（</w:t>
      </w:r>
      <w:r>
        <w:rPr>
          <w:rFonts w:hint="eastAsia" w:ascii="宋体" w:hAnsi="宋体"/>
          <w:lang w:val="en-US" w:eastAsia="zh-CN"/>
        </w:rPr>
        <w:t>八</w:t>
      </w:r>
      <w:r>
        <w:rPr>
          <w:rFonts w:ascii="宋体" w:hAnsi="宋体"/>
        </w:rPr>
        <w:t>）其他资料</w:t>
      </w:r>
    </w:p>
    <w:p w14:paraId="1615DA91">
      <w:pPr>
        <w:pStyle w:val="2"/>
        <w:rPr>
          <w:rFonts w:hint="default" w:eastAsia="宋体"/>
          <w:lang w:val="en-US" w:eastAsia="zh-CN"/>
        </w:rPr>
      </w:pPr>
      <w:r>
        <w:rPr>
          <w:rFonts w:hint="eastAsia" w:ascii="宋体" w:hAnsi="宋体"/>
          <w:lang w:val="en-US" w:eastAsia="zh-CN"/>
        </w:rPr>
        <w:t xml:space="preserve">    （九）技术方案</w:t>
      </w:r>
    </w:p>
    <w:p w14:paraId="392BAD40">
      <w:pPr>
        <w:autoSpaceDE w:val="0"/>
        <w:autoSpaceDN w:val="0"/>
        <w:adjustRightInd w:val="0"/>
        <w:snapToGrid w:val="0"/>
        <w:spacing w:line="360" w:lineRule="auto"/>
        <w:jc w:val="left"/>
        <w:rPr>
          <w:rFonts w:ascii="宋体" w:hAnsi="宋体"/>
          <w:w w:val="99"/>
          <w:kern w:val="0"/>
          <w:sz w:val="28"/>
          <w:szCs w:val="28"/>
        </w:rPr>
      </w:pPr>
    </w:p>
    <w:p w14:paraId="538AC910">
      <w:pPr>
        <w:pStyle w:val="5"/>
        <w:spacing w:before="0" w:after="0" w:line="400" w:lineRule="exact"/>
        <w:jc w:val="center"/>
        <w:rPr>
          <w:rFonts w:ascii="宋体" w:hAnsi="宋体"/>
          <w:b w:val="0"/>
        </w:rPr>
      </w:pPr>
      <w:bookmarkStart w:id="427" w:name="_Toc287607867"/>
      <w:bookmarkStart w:id="428" w:name="_Toc287620814"/>
      <w:bookmarkStart w:id="429" w:name="_Toc430530530"/>
      <w:bookmarkStart w:id="430" w:name="_Toc534185831"/>
      <w:bookmarkStart w:id="431" w:name="_Toc509218854"/>
      <w:bookmarkStart w:id="432" w:name="_Toc224103495"/>
      <w:bookmarkStart w:id="433" w:name="_Toc277082643"/>
      <w:r>
        <w:rPr>
          <w:rFonts w:ascii="宋体" w:hAnsi="宋体"/>
        </w:rPr>
        <w:br w:type="page"/>
      </w:r>
      <w:bookmarkStart w:id="434" w:name="_Toc24275"/>
      <w:bookmarkStart w:id="435" w:name="_Toc26071"/>
      <w:r>
        <w:rPr>
          <w:rFonts w:hint="eastAsia"/>
        </w:rPr>
        <w:t>（一）</w:t>
      </w:r>
      <w:r>
        <w:rPr>
          <w:rFonts w:hint="eastAsia"/>
          <w:lang w:eastAsia="zh-CN"/>
        </w:rPr>
        <w:t>竞选</w:t>
      </w:r>
      <w:r>
        <w:rPr>
          <w:rFonts w:hint="eastAsia"/>
        </w:rPr>
        <w:t>函</w:t>
      </w:r>
      <w:bookmarkEnd w:id="427"/>
      <w:bookmarkEnd w:id="428"/>
      <w:bookmarkEnd w:id="429"/>
      <w:bookmarkEnd w:id="430"/>
      <w:bookmarkEnd w:id="431"/>
      <w:bookmarkEnd w:id="432"/>
      <w:bookmarkEnd w:id="433"/>
      <w:bookmarkEnd w:id="434"/>
      <w:bookmarkEnd w:id="435"/>
    </w:p>
    <w:p w14:paraId="12165F39">
      <w:pPr>
        <w:tabs>
          <w:tab w:val="left" w:pos="2640"/>
        </w:tabs>
        <w:autoSpaceDE w:val="0"/>
        <w:autoSpaceDN w:val="0"/>
        <w:adjustRightInd w:val="0"/>
        <w:spacing w:line="360" w:lineRule="auto"/>
        <w:rPr>
          <w:rFonts w:ascii="宋体" w:hAnsi="宋体"/>
          <w:snapToGrid w:val="0"/>
          <w:kern w:val="0"/>
          <w:sz w:val="21"/>
          <w:szCs w:val="21"/>
          <w:u w:val="single"/>
        </w:rPr>
      </w:pPr>
    </w:p>
    <w:p w14:paraId="1E70EA8D">
      <w:pPr>
        <w:tabs>
          <w:tab w:val="left" w:pos="2640"/>
        </w:tabs>
        <w:autoSpaceDE w:val="0"/>
        <w:autoSpaceDN w:val="0"/>
        <w:adjustRightInd w:val="0"/>
        <w:spacing w:line="360" w:lineRule="auto"/>
        <w:rPr>
          <w:rFonts w:ascii="宋体" w:hAnsi="宋体"/>
          <w:snapToGrid w:val="0"/>
          <w:kern w:val="0"/>
          <w:sz w:val="21"/>
          <w:szCs w:val="21"/>
        </w:rPr>
      </w:pPr>
      <w:r>
        <w:rPr>
          <w:rFonts w:ascii="宋体" w:hAnsi="宋体"/>
          <w:snapToGrid w:val="0"/>
          <w:kern w:val="0"/>
          <w:sz w:val="21"/>
          <w:szCs w:val="21"/>
          <w:u w:val="single"/>
        </w:rPr>
        <w:tab/>
      </w:r>
      <w:r>
        <w:rPr>
          <w:rFonts w:ascii="宋体" w:hAnsi="宋体"/>
          <w:snapToGrid w:val="0"/>
          <w:kern w:val="0"/>
          <w:sz w:val="21"/>
          <w:szCs w:val="21"/>
          <w:u w:val="single"/>
        </w:rPr>
        <w:t>（</w:t>
      </w:r>
      <w:r>
        <w:rPr>
          <w:rFonts w:hint="eastAsia" w:ascii="宋体" w:hAnsi="宋体"/>
          <w:snapToGrid w:val="0"/>
          <w:kern w:val="0"/>
          <w:sz w:val="21"/>
          <w:szCs w:val="21"/>
          <w:u w:val="single"/>
        </w:rPr>
        <w:t>比选</w:t>
      </w:r>
      <w:r>
        <w:rPr>
          <w:rFonts w:ascii="宋体" w:hAnsi="宋体"/>
          <w:snapToGrid w:val="0"/>
          <w:kern w:val="0"/>
          <w:sz w:val="21"/>
          <w:szCs w:val="21"/>
          <w:u w:val="single"/>
        </w:rPr>
        <w:t>人名称）</w:t>
      </w:r>
      <w:r>
        <w:rPr>
          <w:rFonts w:ascii="宋体" w:hAnsi="宋体"/>
          <w:snapToGrid w:val="0"/>
          <w:kern w:val="0"/>
          <w:sz w:val="21"/>
          <w:szCs w:val="21"/>
        </w:rPr>
        <w:t>：</w:t>
      </w:r>
    </w:p>
    <w:p w14:paraId="2F5A56E7">
      <w:pPr>
        <w:numPr>
          <w:ilvl w:val="0"/>
          <w:numId w:val="2"/>
        </w:numPr>
        <w:tabs>
          <w:tab w:val="left" w:pos="2655"/>
          <w:tab w:val="left" w:pos="3520"/>
          <w:tab w:val="left" w:pos="4920"/>
          <w:tab w:val="left" w:pos="5715"/>
          <w:tab w:val="left" w:pos="6945"/>
          <w:tab w:val="left" w:pos="7980"/>
        </w:tabs>
        <w:autoSpaceDE w:val="0"/>
        <w:autoSpaceDN w:val="0"/>
        <w:adjustRightInd w:val="0"/>
        <w:spacing w:line="360" w:lineRule="auto"/>
        <w:ind w:left="120" w:leftChars="57" w:right="94" w:rightChars="0" w:firstLine="420" w:firstLineChars="200"/>
        <w:rPr>
          <w:rFonts w:ascii="宋体" w:hAnsi="宋体" w:cs="MingLiU"/>
          <w:snapToGrid w:val="0"/>
          <w:kern w:val="0"/>
          <w:sz w:val="21"/>
          <w:szCs w:val="21"/>
        </w:rPr>
      </w:pPr>
      <w:r>
        <w:rPr>
          <w:rFonts w:hint="eastAsia" w:ascii="宋体" w:hAnsi="宋体" w:cs="MingLiU"/>
          <w:snapToGrid w:val="0"/>
          <w:kern w:val="0"/>
          <w:sz w:val="21"/>
          <w:szCs w:val="21"/>
        </w:rPr>
        <w:t>我方已仔细研究了</w:t>
      </w:r>
      <w:r>
        <w:rPr>
          <w:rFonts w:hint="eastAsia" w:ascii="宋体" w:hAnsi="宋体" w:cs="MingLiU"/>
          <w:snapToGrid w:val="0"/>
          <w:kern w:val="0"/>
          <w:sz w:val="21"/>
          <w:szCs w:val="21"/>
          <w:u w:val="single"/>
        </w:rPr>
        <w:t xml:space="preserve">                   </w:t>
      </w:r>
      <w:r>
        <w:rPr>
          <w:rFonts w:hint="eastAsia" w:ascii="宋体" w:hAnsi="宋体" w:cs="MingLiU"/>
          <w:snapToGrid w:val="0"/>
          <w:kern w:val="0"/>
          <w:sz w:val="21"/>
          <w:szCs w:val="21"/>
        </w:rPr>
        <w:t>（项目名称）比选文件的全部内容，总报价</w:t>
      </w:r>
      <w:r>
        <w:rPr>
          <w:rFonts w:hint="eastAsia" w:ascii="宋体" w:hAnsi="宋体" w:cs="MingLiU"/>
          <w:snapToGrid w:val="0"/>
          <w:kern w:val="0"/>
          <w:sz w:val="21"/>
          <w:szCs w:val="21"/>
          <w:lang w:val="en-US" w:eastAsia="zh-CN"/>
        </w:rPr>
        <w:t>为</w:t>
      </w:r>
      <w:r>
        <w:rPr>
          <w:rFonts w:hint="eastAsia"/>
          <w:sz w:val="21"/>
          <w:szCs w:val="21"/>
        </w:rPr>
        <w:t>人民币（大写）</w:t>
      </w:r>
      <w:r>
        <w:rPr>
          <w:rFonts w:hint="eastAsia"/>
          <w:sz w:val="21"/>
          <w:szCs w:val="21"/>
          <w:u w:val="single"/>
        </w:rPr>
        <w:t xml:space="preserve">          </w:t>
      </w:r>
      <w:r>
        <w:rPr>
          <w:rFonts w:hint="eastAsia"/>
          <w:sz w:val="21"/>
          <w:szCs w:val="21"/>
        </w:rPr>
        <w:t>（¥</w:t>
      </w:r>
      <w:r>
        <w:rPr>
          <w:rFonts w:hint="eastAsia"/>
          <w:sz w:val="21"/>
          <w:szCs w:val="21"/>
          <w:u w:val="single"/>
        </w:rPr>
        <w:t xml:space="preserve">           元</w:t>
      </w:r>
      <w:r>
        <w:rPr>
          <w:rFonts w:hint="eastAsia"/>
          <w:sz w:val="21"/>
          <w:szCs w:val="21"/>
        </w:rPr>
        <w:t>），</w:t>
      </w:r>
      <w:r>
        <w:rPr>
          <w:rFonts w:hint="eastAsia" w:ascii="宋体" w:hAnsi="宋体"/>
          <w:sz w:val="21"/>
          <w:szCs w:val="21"/>
        </w:rPr>
        <w:t>安全文明施工费</w:t>
      </w:r>
      <w:r>
        <w:rPr>
          <w:rFonts w:hint="eastAsia" w:ascii="宋体" w:hAnsi="宋体"/>
          <w:sz w:val="21"/>
          <w:szCs w:val="21"/>
          <w:lang w:val="en-US" w:eastAsia="zh-CN"/>
        </w:rPr>
        <w:t>为</w:t>
      </w:r>
      <w:r>
        <w:rPr>
          <w:rFonts w:hint="eastAsia"/>
          <w:sz w:val="21"/>
          <w:szCs w:val="21"/>
        </w:rPr>
        <w:t>人民币（大写）</w:t>
      </w:r>
      <w:r>
        <w:rPr>
          <w:rFonts w:hint="eastAsia"/>
          <w:sz w:val="21"/>
          <w:szCs w:val="21"/>
          <w:u w:val="single"/>
        </w:rPr>
        <w:t xml:space="preserve">          </w:t>
      </w:r>
      <w:r>
        <w:rPr>
          <w:rFonts w:hint="eastAsia"/>
          <w:sz w:val="21"/>
          <w:szCs w:val="21"/>
        </w:rPr>
        <w:t>（¥</w:t>
      </w:r>
      <w:r>
        <w:rPr>
          <w:rFonts w:hint="eastAsia"/>
          <w:sz w:val="21"/>
          <w:szCs w:val="21"/>
          <w:u w:val="single"/>
        </w:rPr>
        <w:t xml:space="preserve">           元</w:t>
      </w:r>
      <w:r>
        <w:rPr>
          <w:rFonts w:hint="eastAsia"/>
          <w:sz w:val="21"/>
          <w:szCs w:val="21"/>
        </w:rPr>
        <w:t>）</w:t>
      </w:r>
      <w:r>
        <w:rPr>
          <w:rFonts w:hint="eastAsia" w:ascii="宋体" w:hAnsi="宋体" w:cs="MingLiU"/>
          <w:snapToGrid w:val="0"/>
          <w:kern w:val="0"/>
          <w:sz w:val="21"/>
          <w:szCs w:val="21"/>
        </w:rPr>
        <w:t>。工期:</w:t>
      </w:r>
      <w:r>
        <w:rPr>
          <w:rFonts w:hint="eastAsia" w:ascii="宋体" w:hAnsi="宋体" w:cs="MingLiU"/>
          <w:snapToGrid w:val="0"/>
          <w:kern w:val="0"/>
          <w:sz w:val="21"/>
          <w:szCs w:val="21"/>
          <w:u w:val="single"/>
        </w:rPr>
        <w:t>达到招标文件的要求</w:t>
      </w:r>
      <w:r>
        <w:rPr>
          <w:rFonts w:hint="eastAsia" w:ascii="宋体" w:hAnsi="宋体" w:cs="MingLiU"/>
          <w:snapToGrid w:val="0"/>
          <w:kern w:val="0"/>
          <w:sz w:val="21"/>
          <w:szCs w:val="21"/>
        </w:rPr>
        <w:t>，</w:t>
      </w:r>
      <w:r>
        <w:rPr>
          <w:rFonts w:hint="eastAsia" w:ascii="宋体" w:hAnsi="宋体" w:cs="宋体"/>
          <w:kern w:val="0"/>
          <w:sz w:val="21"/>
          <w:szCs w:val="21"/>
        </w:rPr>
        <w:t>质保期:</w:t>
      </w:r>
      <w:r>
        <w:rPr>
          <w:rFonts w:hint="eastAsia" w:ascii="宋体" w:hAnsi="宋体" w:cs="MingLiU"/>
          <w:snapToGrid w:val="0"/>
          <w:kern w:val="0"/>
          <w:sz w:val="21"/>
          <w:szCs w:val="21"/>
          <w:u w:val="single"/>
        </w:rPr>
        <w:t>达到招标文件的要求</w:t>
      </w:r>
      <w:r>
        <w:rPr>
          <w:rFonts w:hint="eastAsia" w:ascii="宋体" w:hAnsi="宋体" w:cs="宋体"/>
          <w:kern w:val="0"/>
          <w:sz w:val="21"/>
          <w:szCs w:val="21"/>
        </w:rPr>
        <w:t>，</w:t>
      </w:r>
      <w:r>
        <w:rPr>
          <w:rFonts w:hint="eastAsia" w:ascii="宋体" w:hAnsi="宋体" w:cs="MingLiU"/>
          <w:snapToGrid w:val="0"/>
          <w:kern w:val="0"/>
          <w:sz w:val="21"/>
          <w:szCs w:val="21"/>
        </w:rPr>
        <w:t>按合同约定</w:t>
      </w:r>
      <w:r>
        <w:rPr>
          <w:rFonts w:ascii="宋体" w:hAnsi="宋体"/>
          <w:snapToGrid w:val="0"/>
          <w:kern w:val="0"/>
          <w:sz w:val="21"/>
          <w:szCs w:val="21"/>
        </w:rPr>
        <w:t>实施和完成</w:t>
      </w:r>
      <w:r>
        <w:rPr>
          <w:rFonts w:hint="eastAsia" w:ascii="宋体" w:hAnsi="宋体"/>
          <w:snapToGrid w:val="0"/>
          <w:kern w:val="0"/>
          <w:sz w:val="21"/>
          <w:szCs w:val="21"/>
        </w:rPr>
        <w:t>总</w:t>
      </w:r>
      <w:r>
        <w:rPr>
          <w:rFonts w:ascii="宋体" w:hAnsi="宋体"/>
          <w:snapToGrid w:val="0"/>
          <w:kern w:val="0"/>
          <w:sz w:val="21"/>
          <w:szCs w:val="21"/>
        </w:rPr>
        <w:t>承包工程</w:t>
      </w:r>
      <w:r>
        <w:rPr>
          <w:rFonts w:hint="eastAsia" w:ascii="宋体" w:hAnsi="宋体" w:cs="MingLiU"/>
          <w:snapToGrid w:val="0"/>
          <w:kern w:val="0"/>
          <w:sz w:val="21"/>
          <w:szCs w:val="21"/>
        </w:rPr>
        <w:t>，修补工程中的任何缺陷，施工质量：</w:t>
      </w:r>
      <w:r>
        <w:rPr>
          <w:rFonts w:hint="eastAsia" w:ascii="宋体" w:hAnsi="宋体" w:cs="MingLiU"/>
          <w:snapToGrid w:val="0"/>
          <w:kern w:val="0"/>
          <w:sz w:val="21"/>
          <w:szCs w:val="21"/>
          <w:u w:val="single"/>
        </w:rPr>
        <w:t>达到招标文件的要求</w:t>
      </w:r>
      <w:r>
        <w:rPr>
          <w:rFonts w:hint="eastAsia" w:ascii="宋体" w:hAnsi="宋体" w:cs="MingLiU"/>
          <w:snapToGrid w:val="0"/>
          <w:kern w:val="0"/>
          <w:sz w:val="21"/>
          <w:szCs w:val="21"/>
        </w:rPr>
        <w:t>。</w:t>
      </w:r>
    </w:p>
    <w:p w14:paraId="1DCE93A2">
      <w:pPr>
        <w:autoSpaceDE w:val="0"/>
        <w:autoSpaceDN w:val="0"/>
        <w:adjustRightInd w:val="0"/>
        <w:spacing w:line="360" w:lineRule="auto"/>
        <w:ind w:firstLine="420" w:firstLineChars="200"/>
        <w:rPr>
          <w:rFonts w:ascii="宋体" w:hAnsi="宋体"/>
          <w:snapToGrid w:val="0"/>
          <w:kern w:val="0"/>
          <w:sz w:val="21"/>
          <w:szCs w:val="21"/>
        </w:rPr>
      </w:pPr>
      <w:r>
        <w:rPr>
          <w:rFonts w:ascii="宋体" w:hAnsi="宋体"/>
          <w:snapToGrid w:val="0"/>
          <w:kern w:val="0"/>
          <w:sz w:val="21"/>
          <w:szCs w:val="21"/>
        </w:rPr>
        <w:t>2</w:t>
      </w:r>
      <w:r>
        <w:rPr>
          <w:rFonts w:hint="eastAsia" w:ascii="宋体" w:hAnsi="宋体"/>
          <w:snapToGrid w:val="0"/>
          <w:kern w:val="0"/>
          <w:sz w:val="21"/>
          <w:szCs w:val="21"/>
        </w:rPr>
        <w:t xml:space="preserve">. </w:t>
      </w:r>
      <w:r>
        <w:rPr>
          <w:rFonts w:ascii="宋体" w:hAnsi="宋体"/>
          <w:snapToGrid w:val="0"/>
          <w:kern w:val="0"/>
          <w:sz w:val="21"/>
          <w:szCs w:val="21"/>
        </w:rPr>
        <w:t>我方承诺</w:t>
      </w:r>
      <w:r>
        <w:rPr>
          <w:rFonts w:hint="eastAsia" w:ascii="宋体" w:hAnsi="宋体"/>
          <w:snapToGrid w:val="0"/>
          <w:kern w:val="0"/>
          <w:sz w:val="21"/>
          <w:szCs w:val="21"/>
        </w:rPr>
        <w:t>响应比选文件规定的竞选有效期，</w:t>
      </w:r>
      <w:r>
        <w:rPr>
          <w:rFonts w:ascii="宋体" w:hAnsi="宋体"/>
          <w:snapToGrid w:val="0"/>
          <w:kern w:val="0"/>
          <w:sz w:val="21"/>
          <w:szCs w:val="21"/>
        </w:rPr>
        <w:t>在</w:t>
      </w:r>
      <w:r>
        <w:rPr>
          <w:rFonts w:hint="eastAsia" w:ascii="宋体" w:hAnsi="宋体"/>
          <w:snapToGrid w:val="0"/>
          <w:kern w:val="0"/>
          <w:sz w:val="21"/>
          <w:szCs w:val="21"/>
        </w:rPr>
        <w:t>竞选</w:t>
      </w:r>
      <w:r>
        <w:rPr>
          <w:rFonts w:ascii="宋体" w:hAnsi="宋体"/>
          <w:snapToGrid w:val="0"/>
          <w:kern w:val="0"/>
          <w:sz w:val="21"/>
          <w:szCs w:val="21"/>
        </w:rPr>
        <w:t>有效期内不修改、撤销</w:t>
      </w:r>
      <w:r>
        <w:rPr>
          <w:rFonts w:hint="eastAsia" w:ascii="宋体" w:hAnsi="宋体"/>
          <w:snapToGrid w:val="0"/>
          <w:kern w:val="0"/>
          <w:sz w:val="21"/>
          <w:szCs w:val="21"/>
        </w:rPr>
        <w:t>竞选</w:t>
      </w:r>
      <w:r>
        <w:rPr>
          <w:rFonts w:ascii="宋体" w:hAnsi="宋体"/>
          <w:snapToGrid w:val="0"/>
          <w:kern w:val="0"/>
          <w:sz w:val="21"/>
          <w:szCs w:val="21"/>
        </w:rPr>
        <w:t>文件。</w:t>
      </w:r>
    </w:p>
    <w:p w14:paraId="355C01FB">
      <w:pPr>
        <w:tabs>
          <w:tab w:val="left" w:pos="2730"/>
          <w:tab w:val="left" w:pos="7980"/>
        </w:tabs>
        <w:autoSpaceDE w:val="0"/>
        <w:autoSpaceDN w:val="0"/>
        <w:adjustRightInd w:val="0"/>
        <w:spacing w:line="360" w:lineRule="auto"/>
        <w:ind w:firstLine="420" w:firstLineChars="200"/>
        <w:rPr>
          <w:rFonts w:ascii="宋体" w:hAnsi="宋体"/>
          <w:snapToGrid w:val="0"/>
          <w:kern w:val="0"/>
          <w:sz w:val="21"/>
          <w:szCs w:val="21"/>
        </w:rPr>
      </w:pPr>
      <w:r>
        <w:rPr>
          <w:rFonts w:ascii="宋体" w:hAnsi="宋体"/>
          <w:snapToGrid w:val="0"/>
          <w:kern w:val="0"/>
          <w:sz w:val="21"/>
          <w:szCs w:val="21"/>
        </w:rPr>
        <w:t>3</w:t>
      </w:r>
      <w:r>
        <w:rPr>
          <w:rFonts w:hint="eastAsia" w:ascii="宋体" w:hAnsi="宋体"/>
          <w:snapToGrid w:val="0"/>
          <w:kern w:val="0"/>
          <w:sz w:val="21"/>
          <w:szCs w:val="21"/>
        </w:rPr>
        <w:t xml:space="preserve">. </w:t>
      </w:r>
      <w:r>
        <w:rPr>
          <w:rFonts w:ascii="宋体" w:hAnsi="宋体"/>
          <w:snapToGrid w:val="0"/>
          <w:kern w:val="0"/>
          <w:sz w:val="21"/>
          <w:szCs w:val="21"/>
        </w:rPr>
        <w:t>随同本</w:t>
      </w:r>
      <w:r>
        <w:rPr>
          <w:rFonts w:hint="eastAsia" w:ascii="宋体" w:hAnsi="宋体"/>
          <w:snapToGrid w:val="0"/>
          <w:kern w:val="0"/>
          <w:sz w:val="21"/>
          <w:szCs w:val="21"/>
        </w:rPr>
        <w:t>竞选</w:t>
      </w:r>
      <w:r>
        <w:rPr>
          <w:rFonts w:ascii="宋体" w:hAnsi="宋体"/>
          <w:snapToGrid w:val="0"/>
          <w:kern w:val="0"/>
          <w:sz w:val="21"/>
          <w:szCs w:val="21"/>
        </w:rPr>
        <w:t>函提交</w:t>
      </w:r>
      <w:r>
        <w:rPr>
          <w:rFonts w:hint="eastAsia" w:ascii="宋体" w:hAnsi="宋体"/>
          <w:snapToGrid w:val="0"/>
          <w:kern w:val="0"/>
          <w:sz w:val="21"/>
          <w:szCs w:val="21"/>
        </w:rPr>
        <w:t>竞选</w:t>
      </w:r>
      <w:r>
        <w:rPr>
          <w:rFonts w:ascii="宋体" w:hAnsi="宋体"/>
          <w:snapToGrid w:val="0"/>
          <w:kern w:val="0"/>
          <w:sz w:val="21"/>
          <w:szCs w:val="21"/>
        </w:rPr>
        <w:t>保证金一份，金额为人民币（大写）</w:t>
      </w:r>
      <w:r>
        <w:rPr>
          <w:rFonts w:ascii="宋体" w:hAnsi="宋体"/>
          <w:snapToGrid w:val="0"/>
          <w:kern w:val="0"/>
          <w:sz w:val="21"/>
          <w:szCs w:val="21"/>
          <w:u w:val="single"/>
        </w:rPr>
        <w:tab/>
      </w:r>
      <w:r>
        <w:rPr>
          <w:rFonts w:ascii="宋体" w:hAnsi="宋体"/>
          <w:snapToGrid w:val="0"/>
          <w:kern w:val="0"/>
          <w:sz w:val="21"/>
          <w:szCs w:val="21"/>
        </w:rPr>
        <w:t>（¥</w:t>
      </w:r>
      <w:r>
        <w:rPr>
          <w:rFonts w:hint="eastAsia" w:ascii="宋体" w:hAnsi="宋体"/>
          <w:snapToGrid w:val="0"/>
          <w:kern w:val="0"/>
          <w:sz w:val="21"/>
          <w:szCs w:val="21"/>
          <w:u w:val="single"/>
        </w:rPr>
        <w:t xml:space="preserve">    </w:t>
      </w:r>
      <w:r>
        <w:rPr>
          <w:rFonts w:ascii="宋体" w:hAnsi="宋体"/>
          <w:snapToGrid w:val="0"/>
          <w:kern w:val="0"/>
          <w:sz w:val="21"/>
          <w:szCs w:val="21"/>
        </w:rPr>
        <w:t>）。</w:t>
      </w:r>
      <w:r>
        <w:rPr>
          <w:rFonts w:hint="eastAsia" w:ascii="宋体" w:hAnsi="宋体"/>
          <w:snapToGrid w:val="0"/>
          <w:kern w:val="0"/>
          <w:sz w:val="21"/>
          <w:szCs w:val="21"/>
        </w:rPr>
        <w:t>竞选</w:t>
      </w:r>
      <w:r>
        <w:rPr>
          <w:rFonts w:ascii="宋体" w:hAnsi="宋体"/>
          <w:snapToGrid w:val="0"/>
          <w:kern w:val="0"/>
          <w:sz w:val="21"/>
          <w:szCs w:val="21"/>
        </w:rPr>
        <w:t>保证金</w:t>
      </w:r>
      <w:r>
        <w:rPr>
          <w:rFonts w:hint="eastAsia" w:ascii="宋体" w:hAnsi="宋体"/>
          <w:snapToGrid w:val="0"/>
          <w:kern w:val="0"/>
          <w:sz w:val="21"/>
          <w:szCs w:val="21"/>
        </w:rPr>
        <w:t>有效期</w:t>
      </w:r>
      <w:r>
        <w:rPr>
          <w:rFonts w:ascii="宋体" w:hAnsi="宋体"/>
          <w:snapToGrid w:val="0"/>
          <w:kern w:val="0"/>
          <w:sz w:val="21"/>
          <w:szCs w:val="21"/>
        </w:rPr>
        <w:t>与</w:t>
      </w:r>
      <w:r>
        <w:rPr>
          <w:rFonts w:hint="eastAsia" w:ascii="宋体" w:hAnsi="宋体"/>
          <w:snapToGrid w:val="0"/>
          <w:kern w:val="0"/>
          <w:sz w:val="21"/>
          <w:szCs w:val="21"/>
        </w:rPr>
        <w:t>竞选有效期</w:t>
      </w:r>
      <w:r>
        <w:rPr>
          <w:rFonts w:ascii="宋体" w:hAnsi="宋体"/>
          <w:snapToGrid w:val="0"/>
          <w:kern w:val="0"/>
          <w:sz w:val="21"/>
          <w:szCs w:val="21"/>
        </w:rPr>
        <w:t>一致，在此期间，若我方违反招</w:t>
      </w:r>
      <w:r>
        <w:rPr>
          <w:rFonts w:hint="eastAsia" w:ascii="宋体" w:hAnsi="宋体"/>
          <w:snapToGrid w:val="0"/>
          <w:kern w:val="0"/>
          <w:sz w:val="21"/>
          <w:szCs w:val="21"/>
        </w:rPr>
        <w:t>竞选</w:t>
      </w:r>
      <w:r>
        <w:rPr>
          <w:rFonts w:ascii="宋体" w:hAnsi="宋体"/>
          <w:snapToGrid w:val="0"/>
          <w:kern w:val="0"/>
          <w:sz w:val="21"/>
          <w:szCs w:val="21"/>
        </w:rPr>
        <w:t>有关法律、法规及本</w:t>
      </w:r>
      <w:r>
        <w:rPr>
          <w:rFonts w:hint="eastAsia" w:ascii="宋体" w:hAnsi="宋体"/>
          <w:snapToGrid w:val="0"/>
          <w:kern w:val="0"/>
          <w:sz w:val="21"/>
          <w:szCs w:val="21"/>
        </w:rPr>
        <w:t>比选文件</w:t>
      </w:r>
      <w:r>
        <w:rPr>
          <w:rFonts w:ascii="宋体" w:hAnsi="宋体"/>
          <w:snapToGrid w:val="0"/>
          <w:kern w:val="0"/>
          <w:sz w:val="21"/>
          <w:szCs w:val="21"/>
        </w:rPr>
        <w:t>的相关规定，</w:t>
      </w:r>
      <w:r>
        <w:rPr>
          <w:rFonts w:hint="eastAsia" w:ascii="宋体" w:hAnsi="宋体"/>
          <w:snapToGrid w:val="0"/>
          <w:kern w:val="0"/>
          <w:sz w:val="21"/>
          <w:szCs w:val="21"/>
        </w:rPr>
        <w:t>竞选</w:t>
      </w:r>
      <w:r>
        <w:rPr>
          <w:rFonts w:ascii="宋体" w:hAnsi="宋体"/>
          <w:snapToGrid w:val="0"/>
          <w:kern w:val="0"/>
          <w:sz w:val="21"/>
          <w:szCs w:val="21"/>
        </w:rPr>
        <w:t>保证金的受益人为</w:t>
      </w:r>
      <w:r>
        <w:rPr>
          <w:rFonts w:hint="eastAsia" w:ascii="宋体" w:hAnsi="宋体"/>
          <w:snapToGrid w:val="0"/>
          <w:kern w:val="0"/>
          <w:sz w:val="21"/>
          <w:szCs w:val="21"/>
        </w:rPr>
        <w:t>比选</w:t>
      </w:r>
      <w:r>
        <w:rPr>
          <w:rFonts w:ascii="宋体" w:hAnsi="宋体"/>
          <w:snapToGrid w:val="0"/>
          <w:kern w:val="0"/>
          <w:sz w:val="21"/>
          <w:szCs w:val="21"/>
        </w:rPr>
        <w:t>人。</w:t>
      </w:r>
    </w:p>
    <w:p w14:paraId="17035E4B">
      <w:pPr>
        <w:autoSpaceDE w:val="0"/>
        <w:autoSpaceDN w:val="0"/>
        <w:adjustRightInd w:val="0"/>
        <w:spacing w:line="360" w:lineRule="auto"/>
        <w:ind w:firstLine="420" w:firstLineChars="200"/>
        <w:rPr>
          <w:rFonts w:ascii="宋体" w:hAnsi="宋体"/>
          <w:snapToGrid w:val="0"/>
          <w:kern w:val="0"/>
          <w:sz w:val="21"/>
          <w:szCs w:val="21"/>
        </w:rPr>
      </w:pPr>
      <w:r>
        <w:rPr>
          <w:rFonts w:ascii="宋体" w:hAnsi="宋体"/>
          <w:snapToGrid w:val="0"/>
          <w:kern w:val="0"/>
          <w:sz w:val="21"/>
          <w:szCs w:val="21"/>
        </w:rPr>
        <w:t>4</w:t>
      </w:r>
      <w:r>
        <w:rPr>
          <w:rFonts w:hint="eastAsia" w:ascii="宋体" w:hAnsi="宋体"/>
          <w:snapToGrid w:val="0"/>
          <w:kern w:val="0"/>
          <w:sz w:val="21"/>
          <w:szCs w:val="21"/>
        </w:rPr>
        <w:t xml:space="preserve">. </w:t>
      </w:r>
      <w:r>
        <w:rPr>
          <w:rFonts w:ascii="宋体" w:hAnsi="宋体"/>
          <w:snapToGrid w:val="0"/>
          <w:kern w:val="0"/>
          <w:sz w:val="21"/>
          <w:szCs w:val="21"/>
        </w:rPr>
        <w:t>如我方中</w:t>
      </w:r>
      <w:r>
        <w:rPr>
          <w:rFonts w:hint="eastAsia" w:ascii="宋体" w:hAnsi="宋体"/>
          <w:snapToGrid w:val="0"/>
          <w:kern w:val="0"/>
          <w:sz w:val="21"/>
          <w:szCs w:val="21"/>
        </w:rPr>
        <w:t>选</w:t>
      </w:r>
      <w:r>
        <w:rPr>
          <w:rFonts w:ascii="宋体" w:hAnsi="宋体"/>
          <w:snapToGrid w:val="0"/>
          <w:kern w:val="0"/>
          <w:sz w:val="21"/>
          <w:szCs w:val="21"/>
        </w:rPr>
        <w:t>：</w:t>
      </w:r>
    </w:p>
    <w:p w14:paraId="41FB3D46">
      <w:pPr>
        <w:autoSpaceDE w:val="0"/>
        <w:autoSpaceDN w:val="0"/>
        <w:adjustRightInd w:val="0"/>
        <w:spacing w:line="360" w:lineRule="auto"/>
        <w:ind w:firstLine="420" w:firstLineChars="200"/>
        <w:rPr>
          <w:rFonts w:ascii="宋体" w:hAnsi="宋体"/>
          <w:snapToGrid w:val="0"/>
          <w:kern w:val="0"/>
          <w:sz w:val="21"/>
          <w:szCs w:val="21"/>
        </w:rPr>
      </w:pPr>
      <w:r>
        <w:rPr>
          <w:rFonts w:ascii="宋体" w:hAnsi="宋体"/>
          <w:snapToGrid w:val="0"/>
          <w:kern w:val="0"/>
          <w:sz w:val="21"/>
          <w:szCs w:val="21"/>
        </w:rPr>
        <w:t>（1）我方承诺在收到</w:t>
      </w:r>
      <w:r>
        <w:rPr>
          <w:rFonts w:hint="eastAsia" w:ascii="宋体" w:hAnsi="宋体"/>
          <w:snapToGrid w:val="0"/>
          <w:kern w:val="0"/>
          <w:sz w:val="21"/>
          <w:szCs w:val="21"/>
        </w:rPr>
        <w:t>中选通知书</w:t>
      </w:r>
      <w:r>
        <w:rPr>
          <w:rFonts w:ascii="宋体" w:hAnsi="宋体"/>
          <w:snapToGrid w:val="0"/>
          <w:kern w:val="0"/>
          <w:sz w:val="21"/>
          <w:szCs w:val="21"/>
        </w:rPr>
        <w:t>后，在</w:t>
      </w:r>
      <w:r>
        <w:rPr>
          <w:rFonts w:hint="eastAsia" w:ascii="宋体" w:hAnsi="宋体"/>
          <w:snapToGrid w:val="0"/>
          <w:kern w:val="0"/>
          <w:sz w:val="21"/>
          <w:szCs w:val="21"/>
        </w:rPr>
        <w:t>中选通知书</w:t>
      </w:r>
      <w:r>
        <w:rPr>
          <w:rFonts w:ascii="宋体" w:hAnsi="宋体"/>
          <w:snapToGrid w:val="0"/>
          <w:kern w:val="0"/>
          <w:sz w:val="21"/>
          <w:szCs w:val="21"/>
        </w:rPr>
        <w:t>规定的期限内与你方签订合同。</w:t>
      </w:r>
    </w:p>
    <w:p w14:paraId="250D9D46">
      <w:pPr>
        <w:autoSpaceDE w:val="0"/>
        <w:autoSpaceDN w:val="0"/>
        <w:adjustRightInd w:val="0"/>
        <w:spacing w:line="360" w:lineRule="auto"/>
        <w:ind w:firstLine="420" w:firstLineChars="200"/>
        <w:rPr>
          <w:rFonts w:ascii="宋体" w:hAnsi="宋体"/>
          <w:snapToGrid w:val="0"/>
          <w:kern w:val="0"/>
          <w:sz w:val="21"/>
          <w:szCs w:val="21"/>
        </w:rPr>
      </w:pPr>
      <w:r>
        <w:rPr>
          <w:rFonts w:ascii="宋体" w:hAnsi="宋体"/>
          <w:snapToGrid w:val="0"/>
          <w:kern w:val="0"/>
          <w:sz w:val="21"/>
          <w:szCs w:val="21"/>
        </w:rPr>
        <w:t>（2）随同本</w:t>
      </w:r>
      <w:r>
        <w:rPr>
          <w:rFonts w:hint="eastAsia" w:ascii="宋体" w:hAnsi="宋体"/>
          <w:snapToGrid w:val="0"/>
          <w:kern w:val="0"/>
          <w:sz w:val="21"/>
          <w:szCs w:val="21"/>
        </w:rPr>
        <w:t>竞选</w:t>
      </w:r>
      <w:r>
        <w:rPr>
          <w:rFonts w:ascii="宋体" w:hAnsi="宋体"/>
          <w:snapToGrid w:val="0"/>
          <w:kern w:val="0"/>
          <w:sz w:val="21"/>
          <w:szCs w:val="21"/>
        </w:rPr>
        <w:t>函递交的</w:t>
      </w:r>
      <w:r>
        <w:rPr>
          <w:rFonts w:hint="eastAsia" w:ascii="宋体" w:hAnsi="宋体"/>
          <w:snapToGrid w:val="0"/>
          <w:kern w:val="0"/>
          <w:sz w:val="21"/>
          <w:szCs w:val="21"/>
        </w:rPr>
        <w:t>竞选</w:t>
      </w:r>
      <w:r>
        <w:rPr>
          <w:rFonts w:ascii="宋体" w:hAnsi="宋体"/>
          <w:snapToGrid w:val="0"/>
          <w:kern w:val="0"/>
          <w:sz w:val="21"/>
          <w:szCs w:val="21"/>
        </w:rPr>
        <w:t>函附录属于合同文件的组成部分。</w:t>
      </w:r>
    </w:p>
    <w:p w14:paraId="2603435B">
      <w:pPr>
        <w:autoSpaceDE w:val="0"/>
        <w:autoSpaceDN w:val="0"/>
        <w:adjustRightInd w:val="0"/>
        <w:spacing w:line="360" w:lineRule="auto"/>
        <w:ind w:firstLine="420" w:firstLineChars="200"/>
        <w:rPr>
          <w:rFonts w:ascii="宋体" w:hAnsi="宋体"/>
          <w:snapToGrid w:val="0"/>
          <w:kern w:val="0"/>
          <w:sz w:val="21"/>
          <w:szCs w:val="21"/>
        </w:rPr>
      </w:pPr>
      <w:r>
        <w:rPr>
          <w:rFonts w:ascii="宋体" w:hAnsi="宋体"/>
          <w:snapToGrid w:val="0"/>
          <w:kern w:val="0"/>
          <w:sz w:val="21"/>
          <w:szCs w:val="21"/>
        </w:rPr>
        <w:t>（3）我方承诺按照</w:t>
      </w:r>
      <w:r>
        <w:rPr>
          <w:rFonts w:hint="eastAsia" w:ascii="宋体" w:hAnsi="宋体"/>
          <w:snapToGrid w:val="0"/>
          <w:kern w:val="0"/>
          <w:sz w:val="21"/>
          <w:szCs w:val="21"/>
        </w:rPr>
        <w:t>比选文件</w:t>
      </w:r>
      <w:r>
        <w:rPr>
          <w:rFonts w:ascii="宋体" w:hAnsi="宋体"/>
          <w:snapToGrid w:val="0"/>
          <w:kern w:val="0"/>
          <w:sz w:val="21"/>
          <w:szCs w:val="21"/>
        </w:rPr>
        <w:t>规定向你方递交履约担保。</w:t>
      </w:r>
    </w:p>
    <w:p w14:paraId="5084FF2A">
      <w:pPr>
        <w:autoSpaceDE w:val="0"/>
        <w:autoSpaceDN w:val="0"/>
        <w:adjustRightInd w:val="0"/>
        <w:spacing w:line="360" w:lineRule="auto"/>
        <w:ind w:firstLine="420" w:firstLineChars="200"/>
        <w:rPr>
          <w:rFonts w:ascii="宋体" w:hAnsi="宋体"/>
          <w:snapToGrid w:val="0"/>
          <w:kern w:val="0"/>
          <w:sz w:val="21"/>
          <w:szCs w:val="21"/>
        </w:rPr>
      </w:pPr>
      <w:r>
        <w:rPr>
          <w:rFonts w:ascii="宋体" w:hAnsi="宋体"/>
          <w:snapToGrid w:val="0"/>
          <w:kern w:val="0"/>
          <w:sz w:val="21"/>
          <w:szCs w:val="21"/>
        </w:rPr>
        <w:t>（4）我方承诺在合同约定的期限内完成并移交全部合同工程。</w:t>
      </w:r>
    </w:p>
    <w:p w14:paraId="08745ABA">
      <w:pPr>
        <w:tabs>
          <w:tab w:val="left" w:pos="5985"/>
        </w:tabs>
        <w:autoSpaceDE w:val="0"/>
        <w:autoSpaceDN w:val="0"/>
        <w:adjustRightInd w:val="0"/>
        <w:spacing w:line="360" w:lineRule="auto"/>
        <w:ind w:firstLine="420" w:firstLineChars="200"/>
        <w:rPr>
          <w:rFonts w:ascii="宋体" w:hAnsi="宋体"/>
          <w:snapToGrid w:val="0"/>
          <w:kern w:val="0"/>
          <w:sz w:val="21"/>
          <w:szCs w:val="21"/>
        </w:rPr>
      </w:pPr>
      <w:r>
        <w:rPr>
          <w:rFonts w:ascii="宋体" w:hAnsi="宋体"/>
          <w:snapToGrid w:val="0"/>
          <w:kern w:val="0"/>
          <w:sz w:val="21"/>
          <w:szCs w:val="21"/>
        </w:rPr>
        <w:t>5</w:t>
      </w:r>
      <w:r>
        <w:rPr>
          <w:rFonts w:hint="eastAsia" w:ascii="宋体" w:hAnsi="宋体"/>
          <w:snapToGrid w:val="0"/>
          <w:kern w:val="0"/>
          <w:sz w:val="21"/>
          <w:szCs w:val="21"/>
        </w:rPr>
        <w:t xml:space="preserve">. </w:t>
      </w:r>
      <w:r>
        <w:rPr>
          <w:rFonts w:ascii="宋体" w:hAnsi="宋体"/>
          <w:snapToGrid w:val="0"/>
          <w:kern w:val="0"/>
          <w:sz w:val="21"/>
          <w:szCs w:val="21"/>
        </w:rPr>
        <w:t>我方</w:t>
      </w:r>
      <w:r>
        <w:rPr>
          <w:rFonts w:ascii="宋体" w:hAnsi="宋体"/>
          <w:snapToGrid w:val="0"/>
          <w:spacing w:val="-2"/>
          <w:kern w:val="0"/>
          <w:sz w:val="21"/>
          <w:szCs w:val="21"/>
        </w:rPr>
        <w:t>在此声明，所递交的</w:t>
      </w:r>
      <w:r>
        <w:rPr>
          <w:rFonts w:hint="eastAsia" w:ascii="宋体" w:hAnsi="宋体"/>
          <w:snapToGrid w:val="0"/>
          <w:spacing w:val="-2"/>
          <w:kern w:val="0"/>
          <w:sz w:val="21"/>
          <w:szCs w:val="21"/>
        </w:rPr>
        <w:t>竞选</w:t>
      </w:r>
      <w:r>
        <w:rPr>
          <w:rFonts w:ascii="宋体" w:hAnsi="宋体"/>
          <w:snapToGrid w:val="0"/>
          <w:spacing w:val="-2"/>
          <w:kern w:val="0"/>
          <w:sz w:val="21"/>
          <w:szCs w:val="21"/>
        </w:rPr>
        <w:t>文件及有关资料内容完整、真实和准确，且不存在第二章“</w:t>
      </w:r>
      <w:r>
        <w:rPr>
          <w:rFonts w:hint="eastAsia" w:ascii="宋体" w:hAnsi="宋体"/>
          <w:snapToGrid w:val="0"/>
          <w:spacing w:val="-2"/>
          <w:kern w:val="0"/>
          <w:sz w:val="21"/>
          <w:szCs w:val="21"/>
        </w:rPr>
        <w:t>竞选</w:t>
      </w:r>
      <w:r>
        <w:rPr>
          <w:rFonts w:ascii="宋体" w:hAnsi="宋体"/>
          <w:snapToGrid w:val="0"/>
          <w:spacing w:val="-2"/>
          <w:kern w:val="0"/>
          <w:sz w:val="21"/>
          <w:szCs w:val="21"/>
        </w:rPr>
        <w:t>人</w:t>
      </w:r>
      <w:r>
        <w:rPr>
          <w:rFonts w:ascii="宋体" w:hAnsi="宋体"/>
          <w:snapToGrid w:val="0"/>
          <w:kern w:val="0"/>
          <w:sz w:val="21"/>
          <w:szCs w:val="21"/>
        </w:rPr>
        <w:t>须知”第 1.4.</w:t>
      </w:r>
      <w:r>
        <w:rPr>
          <w:rFonts w:hint="eastAsia" w:ascii="宋体" w:hAnsi="宋体"/>
          <w:snapToGrid w:val="0"/>
          <w:kern w:val="0"/>
          <w:sz w:val="21"/>
          <w:szCs w:val="21"/>
        </w:rPr>
        <w:t>2</w:t>
      </w:r>
      <w:r>
        <w:rPr>
          <w:rFonts w:ascii="宋体" w:hAnsi="宋体"/>
          <w:snapToGrid w:val="0"/>
          <w:kern w:val="0"/>
          <w:sz w:val="21"/>
          <w:szCs w:val="21"/>
        </w:rPr>
        <w:t xml:space="preserve"> 项规定的任何一种情形。同时我方承诺接受</w:t>
      </w:r>
      <w:r>
        <w:rPr>
          <w:rFonts w:hint="eastAsia" w:ascii="宋体" w:hAnsi="宋体"/>
          <w:snapToGrid w:val="0"/>
          <w:kern w:val="0"/>
          <w:sz w:val="21"/>
          <w:szCs w:val="21"/>
        </w:rPr>
        <w:t>比选文件</w:t>
      </w:r>
      <w:r>
        <w:rPr>
          <w:rFonts w:ascii="宋体" w:hAnsi="宋体"/>
          <w:snapToGrid w:val="0"/>
          <w:kern w:val="0"/>
          <w:sz w:val="21"/>
          <w:szCs w:val="21"/>
        </w:rPr>
        <w:t>及附件、澄清及</w:t>
      </w:r>
      <w:r>
        <w:rPr>
          <w:rFonts w:hint="eastAsia" w:ascii="宋体" w:hAnsi="宋体"/>
          <w:snapToGrid w:val="0"/>
          <w:kern w:val="0"/>
          <w:sz w:val="21"/>
          <w:szCs w:val="21"/>
        </w:rPr>
        <w:t>修改</w:t>
      </w:r>
      <w:r>
        <w:rPr>
          <w:rFonts w:ascii="宋体" w:hAnsi="宋体"/>
          <w:snapToGrid w:val="0"/>
          <w:kern w:val="0"/>
          <w:sz w:val="21"/>
          <w:szCs w:val="21"/>
        </w:rPr>
        <w:t>通知中所有的内容。</w:t>
      </w:r>
    </w:p>
    <w:p w14:paraId="73AEB158">
      <w:pPr>
        <w:tabs>
          <w:tab w:val="left" w:pos="5985"/>
        </w:tabs>
        <w:autoSpaceDE w:val="0"/>
        <w:autoSpaceDN w:val="0"/>
        <w:adjustRightInd w:val="0"/>
        <w:spacing w:line="360" w:lineRule="auto"/>
        <w:ind w:firstLine="420" w:firstLineChars="200"/>
        <w:rPr>
          <w:rFonts w:ascii="宋体" w:hAnsi="宋体"/>
          <w:snapToGrid w:val="0"/>
          <w:kern w:val="0"/>
          <w:sz w:val="21"/>
          <w:szCs w:val="21"/>
        </w:rPr>
      </w:pPr>
      <w:r>
        <w:rPr>
          <w:rFonts w:ascii="宋体" w:hAnsi="宋体"/>
          <w:snapToGrid w:val="0"/>
          <w:kern w:val="0"/>
          <w:sz w:val="21"/>
          <w:szCs w:val="21"/>
        </w:rPr>
        <w:t>6</w:t>
      </w:r>
      <w:r>
        <w:rPr>
          <w:rFonts w:hint="eastAsia" w:ascii="宋体" w:hAnsi="宋体"/>
          <w:snapToGrid w:val="0"/>
          <w:kern w:val="0"/>
          <w:sz w:val="21"/>
          <w:szCs w:val="21"/>
        </w:rPr>
        <w:t xml:space="preserve">. </w:t>
      </w:r>
      <w:r>
        <w:rPr>
          <w:rFonts w:ascii="宋体" w:hAnsi="宋体"/>
          <w:snapToGrid w:val="0"/>
          <w:w w:val="200"/>
          <w:kern w:val="0"/>
          <w:sz w:val="21"/>
          <w:szCs w:val="21"/>
          <w:u w:val="single"/>
        </w:rPr>
        <w:t xml:space="preserve"> </w:t>
      </w:r>
      <w:r>
        <w:rPr>
          <w:rFonts w:ascii="宋体" w:hAnsi="宋体"/>
          <w:snapToGrid w:val="0"/>
          <w:kern w:val="0"/>
          <w:sz w:val="21"/>
          <w:szCs w:val="21"/>
          <w:u w:val="single"/>
        </w:rPr>
        <w:tab/>
      </w:r>
      <w:r>
        <w:rPr>
          <w:rFonts w:ascii="宋体" w:hAnsi="宋体"/>
          <w:snapToGrid w:val="0"/>
          <w:kern w:val="0"/>
          <w:sz w:val="21"/>
          <w:szCs w:val="21"/>
          <w:u w:val="single"/>
        </w:rPr>
        <w:t>（其他补充说明）</w:t>
      </w:r>
      <w:r>
        <w:rPr>
          <w:rFonts w:ascii="宋体" w:hAnsi="宋体"/>
          <w:snapToGrid w:val="0"/>
          <w:kern w:val="0"/>
          <w:sz w:val="21"/>
          <w:szCs w:val="21"/>
        </w:rPr>
        <w:t>。</w:t>
      </w:r>
    </w:p>
    <w:p w14:paraId="1F537DAE">
      <w:pPr>
        <w:tabs>
          <w:tab w:val="left" w:pos="7140"/>
          <w:tab w:val="left" w:pos="7560"/>
          <w:tab w:val="left" w:pos="8300"/>
        </w:tabs>
        <w:autoSpaceDE w:val="0"/>
        <w:autoSpaceDN w:val="0"/>
        <w:adjustRightInd w:val="0"/>
        <w:spacing w:line="360" w:lineRule="auto"/>
        <w:ind w:firstLine="420" w:firstLineChars="200"/>
        <w:rPr>
          <w:rFonts w:ascii="宋体" w:hAnsi="宋体"/>
          <w:snapToGrid w:val="0"/>
          <w:kern w:val="0"/>
          <w:sz w:val="21"/>
          <w:szCs w:val="21"/>
        </w:rPr>
      </w:pPr>
    </w:p>
    <w:p w14:paraId="451AF45F">
      <w:pPr>
        <w:tabs>
          <w:tab w:val="left" w:pos="7140"/>
          <w:tab w:val="left" w:pos="7560"/>
          <w:tab w:val="left" w:pos="8300"/>
        </w:tabs>
        <w:autoSpaceDE w:val="0"/>
        <w:autoSpaceDN w:val="0"/>
        <w:adjustRightInd w:val="0"/>
        <w:spacing w:line="360" w:lineRule="auto"/>
        <w:ind w:firstLine="420" w:firstLineChars="200"/>
        <w:rPr>
          <w:rFonts w:ascii="宋体" w:hAnsi="宋体"/>
          <w:snapToGrid w:val="0"/>
          <w:kern w:val="0"/>
          <w:sz w:val="21"/>
          <w:szCs w:val="21"/>
        </w:rPr>
      </w:pPr>
      <w:r>
        <w:rPr>
          <w:rFonts w:ascii="宋体" w:hAnsi="宋体"/>
          <w:snapToGrid w:val="0"/>
          <w:kern w:val="0"/>
          <w:sz w:val="21"/>
          <w:szCs w:val="21"/>
        </w:rPr>
        <w:t>投  标  人：</w:t>
      </w:r>
      <w:r>
        <w:rPr>
          <w:rFonts w:ascii="宋体" w:hAnsi="宋体"/>
          <w:snapToGrid w:val="0"/>
          <w:kern w:val="0"/>
          <w:sz w:val="21"/>
          <w:szCs w:val="21"/>
          <w:u w:val="single"/>
        </w:rPr>
        <w:t xml:space="preserve">                　　　　　 </w:t>
      </w:r>
      <w:r>
        <w:rPr>
          <w:rFonts w:hint="eastAsia" w:ascii="宋体" w:hAnsi="宋体"/>
          <w:snapToGrid w:val="0"/>
          <w:kern w:val="0"/>
          <w:sz w:val="21"/>
          <w:szCs w:val="21"/>
          <w:u w:val="single"/>
        </w:rPr>
        <w:t xml:space="preserve">          </w:t>
      </w:r>
      <w:r>
        <w:rPr>
          <w:rFonts w:ascii="宋体" w:hAnsi="宋体"/>
          <w:snapToGrid w:val="0"/>
          <w:kern w:val="0"/>
          <w:sz w:val="21"/>
          <w:szCs w:val="21"/>
          <w:u w:val="single"/>
        </w:rPr>
        <w:t xml:space="preserve">    </w:t>
      </w:r>
      <w:r>
        <w:rPr>
          <w:rFonts w:ascii="宋体" w:hAnsi="宋体"/>
          <w:snapToGrid w:val="0"/>
          <w:kern w:val="0"/>
          <w:sz w:val="21"/>
          <w:szCs w:val="21"/>
        </w:rPr>
        <w:t xml:space="preserve">（盖单位法人章） </w:t>
      </w:r>
    </w:p>
    <w:p w14:paraId="1BF43154">
      <w:pPr>
        <w:tabs>
          <w:tab w:val="left" w:pos="7140"/>
          <w:tab w:val="left" w:pos="7560"/>
          <w:tab w:val="left" w:pos="8300"/>
        </w:tabs>
        <w:autoSpaceDE w:val="0"/>
        <w:autoSpaceDN w:val="0"/>
        <w:adjustRightInd w:val="0"/>
        <w:spacing w:line="360" w:lineRule="auto"/>
        <w:ind w:firstLine="420" w:firstLineChars="200"/>
        <w:rPr>
          <w:rFonts w:ascii="宋体" w:hAnsi="宋体"/>
          <w:snapToGrid w:val="0"/>
          <w:kern w:val="0"/>
          <w:sz w:val="21"/>
          <w:szCs w:val="21"/>
        </w:rPr>
      </w:pPr>
      <w:r>
        <w:rPr>
          <w:rFonts w:ascii="宋体" w:hAnsi="宋体"/>
          <w:snapToGrid w:val="0"/>
          <w:kern w:val="0"/>
          <w:sz w:val="21"/>
          <w:szCs w:val="21"/>
        </w:rPr>
        <w:t>法定代表人</w:t>
      </w:r>
      <w:r>
        <w:rPr>
          <w:rFonts w:hint="eastAsia" w:ascii="宋体" w:hAnsi="宋体"/>
          <w:snapToGrid w:val="0"/>
          <w:kern w:val="0"/>
          <w:sz w:val="21"/>
          <w:szCs w:val="21"/>
        </w:rPr>
        <w:t>或其委托代理人</w:t>
      </w:r>
      <w:r>
        <w:rPr>
          <w:rFonts w:ascii="宋体" w:hAnsi="宋体"/>
          <w:snapToGrid w:val="0"/>
          <w:kern w:val="0"/>
          <w:sz w:val="21"/>
          <w:szCs w:val="21"/>
        </w:rPr>
        <w:t>：</w:t>
      </w:r>
      <w:r>
        <w:rPr>
          <w:rFonts w:ascii="宋体" w:hAnsi="宋体"/>
          <w:snapToGrid w:val="0"/>
          <w:kern w:val="0"/>
          <w:sz w:val="21"/>
          <w:szCs w:val="21"/>
          <w:u w:val="single"/>
        </w:rPr>
        <w:t xml:space="preserve">      </w:t>
      </w:r>
      <w:r>
        <w:rPr>
          <w:rFonts w:hint="eastAsia" w:ascii="宋体" w:hAnsi="宋体"/>
          <w:snapToGrid w:val="0"/>
          <w:kern w:val="0"/>
          <w:sz w:val="21"/>
          <w:szCs w:val="21"/>
          <w:u w:val="single"/>
        </w:rPr>
        <w:t xml:space="preserve">      </w:t>
      </w:r>
      <w:r>
        <w:rPr>
          <w:rFonts w:ascii="宋体" w:hAnsi="宋体"/>
          <w:snapToGrid w:val="0"/>
          <w:kern w:val="0"/>
          <w:sz w:val="21"/>
          <w:szCs w:val="21"/>
          <w:u w:val="single"/>
        </w:rPr>
        <w:t xml:space="preserve">     </w:t>
      </w:r>
      <w:r>
        <w:rPr>
          <w:rFonts w:hint="eastAsia" w:ascii="宋体" w:hAnsi="宋体"/>
          <w:snapToGrid w:val="0"/>
          <w:kern w:val="0"/>
          <w:sz w:val="21"/>
          <w:szCs w:val="21"/>
          <w:u w:val="single"/>
        </w:rPr>
        <w:t xml:space="preserve">    </w:t>
      </w:r>
      <w:r>
        <w:rPr>
          <w:rFonts w:ascii="宋体" w:hAnsi="宋体"/>
          <w:snapToGrid w:val="0"/>
          <w:kern w:val="0"/>
          <w:sz w:val="21"/>
          <w:szCs w:val="21"/>
          <w:u w:val="single"/>
        </w:rPr>
        <w:t xml:space="preserve">   </w:t>
      </w:r>
      <w:r>
        <w:rPr>
          <w:rFonts w:hint="eastAsia" w:ascii="宋体" w:hAnsi="宋体"/>
          <w:snapToGrid w:val="0"/>
          <w:kern w:val="0"/>
          <w:sz w:val="21"/>
          <w:szCs w:val="21"/>
          <w:u w:val="single"/>
        </w:rPr>
        <w:t xml:space="preserve">   </w:t>
      </w:r>
      <w:r>
        <w:rPr>
          <w:rFonts w:ascii="宋体" w:hAnsi="宋体"/>
          <w:snapToGrid w:val="0"/>
          <w:kern w:val="0"/>
          <w:sz w:val="21"/>
          <w:szCs w:val="21"/>
        </w:rPr>
        <w:t>（</w:t>
      </w:r>
      <w:r>
        <w:rPr>
          <w:rFonts w:hint="eastAsia" w:ascii="宋体" w:hAnsi="宋体"/>
          <w:snapToGrid w:val="0"/>
          <w:kern w:val="0"/>
          <w:sz w:val="21"/>
          <w:szCs w:val="21"/>
        </w:rPr>
        <w:t>签名</w:t>
      </w:r>
      <w:r>
        <w:rPr>
          <w:rFonts w:ascii="宋体" w:hAnsi="宋体"/>
          <w:snapToGrid w:val="0"/>
          <w:kern w:val="0"/>
          <w:sz w:val="21"/>
          <w:szCs w:val="21"/>
        </w:rPr>
        <w:t>或盖章）</w:t>
      </w:r>
    </w:p>
    <w:p w14:paraId="647EFEB3">
      <w:pPr>
        <w:tabs>
          <w:tab w:val="left" w:pos="7035"/>
          <w:tab w:val="left" w:pos="7560"/>
          <w:tab w:val="left" w:pos="8300"/>
        </w:tabs>
        <w:autoSpaceDE w:val="0"/>
        <w:autoSpaceDN w:val="0"/>
        <w:adjustRightInd w:val="0"/>
        <w:spacing w:line="360" w:lineRule="auto"/>
        <w:ind w:firstLine="420" w:firstLineChars="200"/>
        <w:rPr>
          <w:rFonts w:ascii="宋体" w:hAnsi="宋体"/>
          <w:snapToGrid w:val="0"/>
          <w:kern w:val="0"/>
          <w:sz w:val="21"/>
          <w:szCs w:val="21"/>
        </w:rPr>
      </w:pPr>
      <w:r>
        <w:rPr>
          <w:rFonts w:ascii="宋体" w:hAnsi="宋体"/>
          <w:snapToGrid w:val="0"/>
          <w:kern w:val="0"/>
          <w:sz w:val="21"/>
          <w:szCs w:val="21"/>
        </w:rPr>
        <w:t>地</w:t>
      </w:r>
      <w:r>
        <w:rPr>
          <w:rFonts w:hint="eastAsia" w:ascii="宋体" w:hAnsi="宋体"/>
          <w:snapToGrid w:val="0"/>
          <w:kern w:val="0"/>
          <w:sz w:val="21"/>
          <w:szCs w:val="21"/>
        </w:rPr>
        <w:t xml:space="preserve">    </w:t>
      </w:r>
      <w:r>
        <w:rPr>
          <w:rFonts w:ascii="宋体" w:hAnsi="宋体"/>
          <w:snapToGrid w:val="0"/>
          <w:kern w:val="0"/>
          <w:sz w:val="21"/>
          <w:szCs w:val="21"/>
        </w:rPr>
        <w:t>址：</w:t>
      </w:r>
      <w:r>
        <w:rPr>
          <w:rFonts w:ascii="宋体" w:hAnsi="宋体"/>
          <w:snapToGrid w:val="0"/>
          <w:kern w:val="0"/>
          <w:sz w:val="21"/>
          <w:szCs w:val="21"/>
          <w:u w:val="single"/>
        </w:rPr>
        <w:t xml:space="preserve">     </w:t>
      </w:r>
      <w:r>
        <w:rPr>
          <w:rFonts w:hint="eastAsia" w:ascii="宋体" w:hAnsi="宋体"/>
          <w:snapToGrid w:val="0"/>
          <w:kern w:val="0"/>
          <w:sz w:val="21"/>
          <w:szCs w:val="21"/>
          <w:u w:val="single"/>
        </w:rPr>
        <w:t xml:space="preserve">                                                                 </w:t>
      </w:r>
      <w:r>
        <w:rPr>
          <w:rFonts w:ascii="宋体" w:hAnsi="宋体"/>
          <w:snapToGrid w:val="0"/>
          <w:kern w:val="0"/>
          <w:sz w:val="21"/>
          <w:szCs w:val="21"/>
          <w:u w:val="single"/>
        </w:rPr>
        <w:t xml:space="preserve">       </w:t>
      </w:r>
    </w:p>
    <w:p w14:paraId="7B6300BD">
      <w:pPr>
        <w:tabs>
          <w:tab w:val="left" w:pos="8300"/>
        </w:tabs>
        <w:autoSpaceDE w:val="0"/>
        <w:autoSpaceDN w:val="0"/>
        <w:adjustRightInd w:val="0"/>
        <w:spacing w:line="360" w:lineRule="auto"/>
        <w:ind w:firstLine="420" w:firstLineChars="200"/>
        <w:rPr>
          <w:rFonts w:ascii="宋体" w:hAnsi="宋体"/>
          <w:snapToGrid w:val="0"/>
          <w:kern w:val="0"/>
          <w:sz w:val="21"/>
          <w:szCs w:val="21"/>
        </w:rPr>
      </w:pPr>
      <w:r>
        <w:rPr>
          <w:rFonts w:ascii="宋体" w:hAnsi="宋体"/>
          <w:snapToGrid w:val="0"/>
          <w:kern w:val="0"/>
          <w:sz w:val="21"/>
          <w:szCs w:val="21"/>
        </w:rPr>
        <w:t>网</w:t>
      </w:r>
      <w:r>
        <w:rPr>
          <w:rFonts w:hint="eastAsia" w:ascii="宋体" w:hAnsi="宋体"/>
          <w:snapToGrid w:val="0"/>
          <w:kern w:val="0"/>
          <w:sz w:val="21"/>
          <w:szCs w:val="21"/>
        </w:rPr>
        <w:t xml:space="preserve">    </w:t>
      </w:r>
      <w:r>
        <w:rPr>
          <w:rFonts w:ascii="宋体" w:hAnsi="宋体"/>
          <w:snapToGrid w:val="0"/>
          <w:kern w:val="0"/>
          <w:sz w:val="21"/>
          <w:szCs w:val="21"/>
        </w:rPr>
        <w:t>址：</w:t>
      </w:r>
      <w:r>
        <w:rPr>
          <w:rFonts w:ascii="宋体" w:hAnsi="宋体"/>
          <w:snapToGrid w:val="0"/>
          <w:kern w:val="0"/>
          <w:sz w:val="21"/>
          <w:szCs w:val="21"/>
          <w:u w:val="single"/>
        </w:rPr>
        <w:t xml:space="preserve">     </w:t>
      </w:r>
      <w:r>
        <w:rPr>
          <w:rFonts w:hint="eastAsia" w:ascii="宋体" w:hAnsi="宋体"/>
          <w:snapToGrid w:val="0"/>
          <w:kern w:val="0"/>
          <w:sz w:val="21"/>
          <w:szCs w:val="21"/>
          <w:u w:val="single"/>
        </w:rPr>
        <w:t xml:space="preserve">                                                                 </w:t>
      </w:r>
      <w:r>
        <w:rPr>
          <w:rFonts w:ascii="宋体" w:hAnsi="宋体"/>
          <w:snapToGrid w:val="0"/>
          <w:kern w:val="0"/>
          <w:sz w:val="21"/>
          <w:szCs w:val="21"/>
          <w:u w:val="single"/>
        </w:rPr>
        <w:t xml:space="preserve">      </w:t>
      </w:r>
    </w:p>
    <w:p w14:paraId="3F49014A">
      <w:pPr>
        <w:tabs>
          <w:tab w:val="left" w:pos="8300"/>
        </w:tabs>
        <w:autoSpaceDE w:val="0"/>
        <w:autoSpaceDN w:val="0"/>
        <w:adjustRightInd w:val="0"/>
        <w:spacing w:line="360" w:lineRule="auto"/>
        <w:ind w:firstLine="420" w:firstLineChars="200"/>
        <w:rPr>
          <w:rFonts w:ascii="宋体" w:hAnsi="宋体"/>
          <w:snapToGrid w:val="0"/>
          <w:kern w:val="0"/>
          <w:sz w:val="21"/>
          <w:szCs w:val="21"/>
          <w:u w:val="single"/>
        </w:rPr>
      </w:pPr>
      <w:r>
        <w:rPr>
          <w:rFonts w:hint="eastAsia" w:ascii="宋体" w:hAnsi="宋体"/>
          <w:snapToGrid w:val="0"/>
          <w:kern w:val="0"/>
          <w:sz w:val="21"/>
          <w:szCs w:val="21"/>
        </w:rPr>
        <w:t>单位电话（座机）：</w:t>
      </w:r>
      <w:r>
        <w:rPr>
          <w:rFonts w:hint="eastAsia" w:ascii="宋体" w:hAnsi="宋体"/>
          <w:snapToGrid w:val="0"/>
          <w:kern w:val="0"/>
          <w:sz w:val="21"/>
          <w:szCs w:val="21"/>
          <w:u w:val="single"/>
        </w:rPr>
        <w:t xml:space="preserve">                      </w:t>
      </w:r>
      <w:r>
        <w:rPr>
          <w:rFonts w:hint="eastAsia" w:ascii="宋体" w:hAnsi="宋体"/>
          <w:snapToGrid w:val="0"/>
          <w:kern w:val="0"/>
          <w:sz w:val="21"/>
          <w:szCs w:val="21"/>
        </w:rPr>
        <w:t>委托代理人电话（手机）：</w:t>
      </w:r>
      <w:r>
        <w:rPr>
          <w:rFonts w:ascii="宋体" w:hAnsi="宋体"/>
          <w:snapToGrid w:val="0"/>
          <w:kern w:val="0"/>
          <w:sz w:val="21"/>
          <w:szCs w:val="21"/>
          <w:u w:val="single"/>
        </w:rPr>
        <w:t xml:space="preserve">     </w:t>
      </w:r>
      <w:r>
        <w:rPr>
          <w:rFonts w:hint="eastAsia" w:ascii="宋体" w:hAnsi="宋体"/>
          <w:snapToGrid w:val="0"/>
          <w:kern w:val="0"/>
          <w:sz w:val="21"/>
          <w:szCs w:val="21"/>
          <w:u w:val="single"/>
        </w:rPr>
        <w:t xml:space="preserve">                 </w:t>
      </w:r>
    </w:p>
    <w:p w14:paraId="487B2159">
      <w:pPr>
        <w:tabs>
          <w:tab w:val="left" w:pos="8300"/>
        </w:tabs>
        <w:autoSpaceDE w:val="0"/>
        <w:autoSpaceDN w:val="0"/>
        <w:adjustRightInd w:val="0"/>
        <w:spacing w:line="360" w:lineRule="auto"/>
        <w:ind w:firstLine="420" w:firstLineChars="200"/>
        <w:rPr>
          <w:rFonts w:ascii="宋体" w:hAnsi="宋体"/>
          <w:snapToGrid w:val="0"/>
          <w:kern w:val="0"/>
          <w:sz w:val="21"/>
          <w:szCs w:val="21"/>
        </w:rPr>
      </w:pPr>
      <w:r>
        <w:rPr>
          <w:rFonts w:ascii="宋体" w:hAnsi="宋体"/>
          <w:snapToGrid w:val="0"/>
          <w:kern w:val="0"/>
          <w:sz w:val="21"/>
          <w:szCs w:val="21"/>
        </w:rPr>
        <w:t>传</w:t>
      </w:r>
      <w:r>
        <w:rPr>
          <w:rFonts w:hint="eastAsia" w:ascii="宋体" w:hAnsi="宋体"/>
          <w:snapToGrid w:val="0"/>
          <w:kern w:val="0"/>
          <w:sz w:val="21"/>
          <w:szCs w:val="21"/>
        </w:rPr>
        <w:t xml:space="preserve">    </w:t>
      </w:r>
      <w:r>
        <w:rPr>
          <w:rFonts w:ascii="宋体" w:hAnsi="宋体"/>
          <w:snapToGrid w:val="0"/>
          <w:kern w:val="0"/>
          <w:sz w:val="21"/>
          <w:szCs w:val="21"/>
        </w:rPr>
        <w:t>真：</w:t>
      </w:r>
      <w:r>
        <w:rPr>
          <w:rFonts w:ascii="宋体" w:hAnsi="宋体"/>
          <w:snapToGrid w:val="0"/>
          <w:kern w:val="0"/>
          <w:sz w:val="21"/>
          <w:szCs w:val="21"/>
          <w:u w:val="single"/>
        </w:rPr>
        <w:t xml:space="preserve">     </w:t>
      </w:r>
      <w:r>
        <w:rPr>
          <w:rFonts w:hint="eastAsia" w:ascii="宋体" w:hAnsi="宋体"/>
          <w:snapToGrid w:val="0"/>
          <w:kern w:val="0"/>
          <w:sz w:val="21"/>
          <w:szCs w:val="21"/>
          <w:u w:val="single"/>
        </w:rPr>
        <w:t xml:space="preserve">                                                                 </w:t>
      </w:r>
      <w:r>
        <w:rPr>
          <w:rFonts w:ascii="宋体" w:hAnsi="宋体"/>
          <w:snapToGrid w:val="0"/>
          <w:kern w:val="0"/>
          <w:sz w:val="21"/>
          <w:szCs w:val="21"/>
          <w:u w:val="single"/>
        </w:rPr>
        <w:t xml:space="preserve">      </w:t>
      </w:r>
    </w:p>
    <w:p w14:paraId="699A6B1E">
      <w:pPr>
        <w:tabs>
          <w:tab w:val="left" w:pos="8300"/>
        </w:tabs>
        <w:autoSpaceDE w:val="0"/>
        <w:autoSpaceDN w:val="0"/>
        <w:adjustRightInd w:val="0"/>
        <w:spacing w:line="360" w:lineRule="auto"/>
        <w:ind w:firstLine="420" w:firstLineChars="200"/>
        <w:rPr>
          <w:rFonts w:ascii="宋体" w:hAnsi="宋体"/>
          <w:snapToGrid w:val="0"/>
          <w:kern w:val="0"/>
          <w:sz w:val="21"/>
          <w:szCs w:val="21"/>
          <w:u w:val="single"/>
        </w:rPr>
      </w:pPr>
      <w:r>
        <w:rPr>
          <w:rFonts w:ascii="宋体" w:hAnsi="宋体"/>
          <w:snapToGrid w:val="0"/>
          <w:kern w:val="0"/>
          <w:sz w:val="21"/>
          <w:szCs w:val="21"/>
        </w:rPr>
        <w:t>邮政编码：</w:t>
      </w:r>
      <w:r>
        <w:rPr>
          <w:rFonts w:ascii="宋体" w:hAnsi="宋体"/>
          <w:snapToGrid w:val="0"/>
          <w:kern w:val="0"/>
          <w:sz w:val="21"/>
          <w:szCs w:val="21"/>
          <w:u w:val="single"/>
        </w:rPr>
        <w:t xml:space="preserve">     </w:t>
      </w:r>
      <w:r>
        <w:rPr>
          <w:rFonts w:hint="eastAsia" w:ascii="宋体" w:hAnsi="宋体"/>
          <w:snapToGrid w:val="0"/>
          <w:kern w:val="0"/>
          <w:sz w:val="21"/>
          <w:szCs w:val="21"/>
          <w:u w:val="single"/>
        </w:rPr>
        <w:t xml:space="preserve">                                                                 </w:t>
      </w:r>
      <w:r>
        <w:rPr>
          <w:rFonts w:ascii="宋体" w:hAnsi="宋体"/>
          <w:snapToGrid w:val="0"/>
          <w:kern w:val="0"/>
          <w:sz w:val="21"/>
          <w:szCs w:val="21"/>
          <w:u w:val="single"/>
        </w:rPr>
        <w:t xml:space="preserve">      </w:t>
      </w:r>
    </w:p>
    <w:p w14:paraId="4FCCC87B">
      <w:pPr>
        <w:tabs>
          <w:tab w:val="left" w:pos="8300"/>
        </w:tabs>
        <w:autoSpaceDE w:val="0"/>
        <w:autoSpaceDN w:val="0"/>
        <w:adjustRightInd w:val="0"/>
        <w:spacing w:line="360" w:lineRule="auto"/>
        <w:ind w:firstLine="420" w:firstLineChars="200"/>
        <w:rPr>
          <w:rFonts w:ascii="宋体" w:hAnsi="宋体"/>
          <w:snapToGrid w:val="0"/>
          <w:kern w:val="0"/>
          <w:sz w:val="21"/>
          <w:szCs w:val="21"/>
        </w:rPr>
      </w:pPr>
    </w:p>
    <w:p w14:paraId="4F47EDF6">
      <w:pPr>
        <w:tabs>
          <w:tab w:val="left" w:pos="8300"/>
        </w:tabs>
        <w:autoSpaceDE w:val="0"/>
        <w:autoSpaceDN w:val="0"/>
        <w:adjustRightInd w:val="0"/>
        <w:spacing w:line="360" w:lineRule="auto"/>
        <w:ind w:firstLine="420" w:firstLineChars="200"/>
        <w:jc w:val="right"/>
        <w:rPr>
          <w:rFonts w:ascii="宋体" w:hAnsi="宋体"/>
          <w:kern w:val="0"/>
          <w:szCs w:val="21"/>
        </w:rPr>
      </w:pPr>
      <w:r>
        <w:rPr>
          <w:rFonts w:hint="eastAsia" w:ascii="宋体" w:hAnsi="宋体"/>
          <w:kern w:val="0"/>
          <w:sz w:val="21"/>
          <w:szCs w:val="21"/>
          <w:u w:val="single"/>
        </w:rPr>
        <w:t xml:space="preserve">    </w:t>
      </w:r>
      <w:r>
        <w:rPr>
          <w:rFonts w:ascii="宋体" w:hAnsi="宋体"/>
          <w:kern w:val="0"/>
          <w:sz w:val="21"/>
          <w:szCs w:val="21"/>
        </w:rPr>
        <w:t>年</w:t>
      </w:r>
      <w:r>
        <w:rPr>
          <w:rFonts w:hint="eastAsia" w:ascii="宋体" w:hAnsi="宋体"/>
          <w:kern w:val="0"/>
          <w:sz w:val="21"/>
          <w:szCs w:val="21"/>
          <w:u w:val="single"/>
        </w:rPr>
        <w:t xml:space="preserve">    </w:t>
      </w:r>
      <w:r>
        <w:rPr>
          <w:rFonts w:ascii="宋体" w:hAnsi="宋体"/>
          <w:kern w:val="0"/>
          <w:sz w:val="21"/>
          <w:szCs w:val="21"/>
        </w:rPr>
        <w:t>月</w:t>
      </w:r>
      <w:r>
        <w:rPr>
          <w:rFonts w:hint="eastAsia" w:ascii="宋体" w:hAnsi="宋体"/>
          <w:kern w:val="0"/>
          <w:sz w:val="21"/>
          <w:szCs w:val="21"/>
          <w:u w:val="single"/>
        </w:rPr>
        <w:t xml:space="preserve">    </w:t>
      </w:r>
      <w:r>
        <w:rPr>
          <w:rFonts w:ascii="宋体" w:hAnsi="宋体"/>
          <w:kern w:val="0"/>
          <w:sz w:val="21"/>
          <w:szCs w:val="21"/>
        </w:rPr>
        <w:t>日</w:t>
      </w:r>
    </w:p>
    <w:p w14:paraId="5961936B">
      <w:pPr>
        <w:tabs>
          <w:tab w:val="left" w:pos="8300"/>
        </w:tabs>
        <w:autoSpaceDE w:val="0"/>
        <w:autoSpaceDN w:val="0"/>
        <w:adjustRightInd w:val="0"/>
        <w:spacing w:line="400" w:lineRule="exact"/>
        <w:ind w:firstLine="420" w:firstLineChars="200"/>
        <w:jc w:val="right"/>
        <w:rPr>
          <w:rFonts w:ascii="宋体" w:hAnsi="宋体"/>
          <w:kern w:val="0"/>
          <w:szCs w:val="21"/>
        </w:rPr>
      </w:pPr>
    </w:p>
    <w:p w14:paraId="6A1F0CE4">
      <w:pPr>
        <w:tabs>
          <w:tab w:val="left" w:pos="8300"/>
        </w:tabs>
        <w:autoSpaceDE w:val="0"/>
        <w:autoSpaceDN w:val="0"/>
        <w:adjustRightInd w:val="0"/>
        <w:spacing w:line="400" w:lineRule="exact"/>
        <w:ind w:firstLine="400" w:firstLineChars="200"/>
        <w:jc w:val="right"/>
        <w:rPr>
          <w:rFonts w:ascii="宋体" w:hAnsi="宋体"/>
          <w:snapToGrid w:val="0"/>
          <w:kern w:val="0"/>
          <w:sz w:val="20"/>
          <w:szCs w:val="20"/>
        </w:rPr>
      </w:pPr>
    </w:p>
    <w:p w14:paraId="2630165F">
      <w:pPr>
        <w:pStyle w:val="5"/>
        <w:jc w:val="center"/>
        <w:rPr>
          <w:rFonts w:ascii="宋体" w:hAnsi="宋体"/>
          <w:snapToGrid w:val="0"/>
          <w:szCs w:val="21"/>
        </w:rPr>
      </w:pPr>
      <w:bookmarkStart w:id="436" w:name="_Toc430530531"/>
      <w:bookmarkStart w:id="437" w:name="_Toc287620815"/>
      <w:bookmarkStart w:id="438" w:name="_Toc277082644"/>
      <w:bookmarkStart w:id="439" w:name="_Toc287607868"/>
      <w:bookmarkStart w:id="440" w:name="_Toc224103496"/>
      <w:r>
        <w:rPr>
          <w:rFonts w:ascii="宋体" w:hAnsi="宋体"/>
          <w:sz w:val="28"/>
        </w:rPr>
        <w:br w:type="page"/>
      </w:r>
      <w:bookmarkStart w:id="441" w:name="_Toc534185832"/>
      <w:bookmarkStart w:id="442" w:name="_Toc32123"/>
      <w:bookmarkStart w:id="443" w:name="_Toc30967"/>
      <w:bookmarkStart w:id="444" w:name="_Toc509218855"/>
      <w:r>
        <w:t>（二）</w:t>
      </w:r>
      <w:r>
        <w:rPr>
          <w:rFonts w:hint="eastAsia"/>
          <w:lang w:eastAsia="zh-CN"/>
        </w:rPr>
        <w:t>竞选</w:t>
      </w:r>
      <w:r>
        <w:t>函附录</w:t>
      </w:r>
      <w:bookmarkEnd w:id="436"/>
      <w:bookmarkEnd w:id="437"/>
      <w:bookmarkEnd w:id="438"/>
      <w:bookmarkEnd w:id="439"/>
      <w:bookmarkEnd w:id="440"/>
      <w:bookmarkEnd w:id="441"/>
      <w:bookmarkEnd w:id="442"/>
      <w:bookmarkEnd w:id="443"/>
      <w:bookmarkEnd w:id="444"/>
    </w:p>
    <w:tbl>
      <w:tblPr>
        <w:tblStyle w:val="46"/>
        <w:tblW w:w="9469" w:type="dxa"/>
        <w:tblInd w:w="-1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720"/>
        <w:gridCol w:w="2582"/>
        <w:gridCol w:w="2388"/>
        <w:gridCol w:w="2987"/>
        <w:gridCol w:w="792"/>
      </w:tblGrid>
      <w:tr w14:paraId="57BF46A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noWrap w:val="0"/>
            <w:vAlign w:val="center"/>
          </w:tcPr>
          <w:p w14:paraId="04C05958">
            <w:pPr>
              <w:autoSpaceDE w:val="0"/>
              <w:autoSpaceDN w:val="0"/>
              <w:adjustRightInd w:val="0"/>
              <w:jc w:val="center"/>
              <w:rPr>
                <w:rFonts w:ascii="宋体" w:hAnsi="宋体"/>
                <w:snapToGrid w:val="0"/>
                <w:kern w:val="0"/>
                <w:szCs w:val="21"/>
              </w:rPr>
            </w:pPr>
            <w:r>
              <w:rPr>
                <w:rFonts w:ascii="宋体" w:hAnsi="宋体"/>
                <w:snapToGrid w:val="0"/>
                <w:kern w:val="0"/>
                <w:szCs w:val="21"/>
              </w:rPr>
              <w:t>序号</w:t>
            </w:r>
          </w:p>
        </w:tc>
        <w:tc>
          <w:tcPr>
            <w:tcW w:w="2582" w:type="dxa"/>
            <w:noWrap w:val="0"/>
            <w:vAlign w:val="center"/>
          </w:tcPr>
          <w:p w14:paraId="44BDDE73">
            <w:pPr>
              <w:autoSpaceDE w:val="0"/>
              <w:autoSpaceDN w:val="0"/>
              <w:adjustRightInd w:val="0"/>
              <w:jc w:val="center"/>
              <w:rPr>
                <w:rFonts w:ascii="宋体" w:hAnsi="宋体"/>
                <w:snapToGrid w:val="0"/>
                <w:kern w:val="0"/>
                <w:szCs w:val="21"/>
              </w:rPr>
            </w:pPr>
            <w:r>
              <w:rPr>
                <w:rFonts w:ascii="宋体" w:hAnsi="宋体"/>
                <w:snapToGrid w:val="0"/>
                <w:kern w:val="0"/>
                <w:szCs w:val="21"/>
              </w:rPr>
              <w:t>条款名称</w:t>
            </w:r>
          </w:p>
        </w:tc>
        <w:tc>
          <w:tcPr>
            <w:tcW w:w="2388" w:type="dxa"/>
            <w:noWrap w:val="0"/>
            <w:vAlign w:val="center"/>
          </w:tcPr>
          <w:p w14:paraId="48B44744">
            <w:pPr>
              <w:autoSpaceDE w:val="0"/>
              <w:autoSpaceDN w:val="0"/>
              <w:adjustRightInd w:val="0"/>
              <w:jc w:val="center"/>
              <w:rPr>
                <w:rFonts w:ascii="宋体" w:hAnsi="宋体"/>
                <w:snapToGrid w:val="0"/>
                <w:kern w:val="0"/>
                <w:szCs w:val="21"/>
              </w:rPr>
            </w:pPr>
            <w:r>
              <w:rPr>
                <w:rFonts w:ascii="宋体" w:hAnsi="宋体"/>
                <w:snapToGrid w:val="0"/>
                <w:kern w:val="0"/>
                <w:szCs w:val="21"/>
              </w:rPr>
              <w:t>合同条款号</w:t>
            </w:r>
          </w:p>
        </w:tc>
        <w:tc>
          <w:tcPr>
            <w:tcW w:w="2987" w:type="dxa"/>
            <w:noWrap w:val="0"/>
            <w:vAlign w:val="center"/>
          </w:tcPr>
          <w:p w14:paraId="3FE2B0CA">
            <w:pPr>
              <w:autoSpaceDE w:val="0"/>
              <w:autoSpaceDN w:val="0"/>
              <w:adjustRightInd w:val="0"/>
              <w:jc w:val="center"/>
              <w:rPr>
                <w:rFonts w:ascii="宋体" w:hAnsi="宋体"/>
                <w:snapToGrid w:val="0"/>
                <w:kern w:val="0"/>
                <w:szCs w:val="21"/>
              </w:rPr>
            </w:pPr>
            <w:r>
              <w:rPr>
                <w:rFonts w:ascii="宋体" w:hAnsi="宋体"/>
                <w:snapToGrid w:val="0"/>
                <w:kern w:val="0"/>
                <w:szCs w:val="21"/>
              </w:rPr>
              <w:t>约定内容</w:t>
            </w:r>
          </w:p>
        </w:tc>
        <w:tc>
          <w:tcPr>
            <w:tcW w:w="792" w:type="dxa"/>
            <w:noWrap w:val="0"/>
            <w:vAlign w:val="center"/>
          </w:tcPr>
          <w:p w14:paraId="676AC6E8">
            <w:pPr>
              <w:autoSpaceDE w:val="0"/>
              <w:autoSpaceDN w:val="0"/>
              <w:adjustRightInd w:val="0"/>
              <w:jc w:val="center"/>
              <w:rPr>
                <w:rFonts w:ascii="宋体" w:hAnsi="宋体"/>
                <w:snapToGrid w:val="0"/>
                <w:kern w:val="0"/>
                <w:szCs w:val="21"/>
              </w:rPr>
            </w:pPr>
            <w:r>
              <w:rPr>
                <w:rFonts w:ascii="宋体" w:hAnsi="宋体"/>
                <w:snapToGrid w:val="0"/>
                <w:kern w:val="0"/>
                <w:szCs w:val="21"/>
              </w:rPr>
              <w:t>备注</w:t>
            </w:r>
          </w:p>
        </w:tc>
      </w:tr>
      <w:tr w14:paraId="493B124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noWrap w:val="0"/>
            <w:vAlign w:val="center"/>
          </w:tcPr>
          <w:p w14:paraId="206E47DE">
            <w:pPr>
              <w:autoSpaceDE w:val="0"/>
              <w:autoSpaceDN w:val="0"/>
              <w:adjustRightInd w:val="0"/>
              <w:jc w:val="center"/>
              <w:rPr>
                <w:rFonts w:ascii="宋体" w:hAnsi="宋体"/>
                <w:snapToGrid w:val="0"/>
                <w:kern w:val="0"/>
                <w:szCs w:val="21"/>
              </w:rPr>
            </w:pPr>
            <w:r>
              <w:rPr>
                <w:rFonts w:hint="eastAsia" w:ascii="宋体" w:hAnsi="宋体"/>
                <w:snapToGrid w:val="0"/>
                <w:kern w:val="0"/>
                <w:szCs w:val="21"/>
              </w:rPr>
              <w:t>1</w:t>
            </w:r>
          </w:p>
        </w:tc>
        <w:tc>
          <w:tcPr>
            <w:tcW w:w="2582" w:type="dxa"/>
            <w:noWrap w:val="0"/>
            <w:vAlign w:val="center"/>
          </w:tcPr>
          <w:p w14:paraId="3FB34BCB">
            <w:pPr>
              <w:autoSpaceDE w:val="0"/>
              <w:autoSpaceDN w:val="0"/>
              <w:adjustRightInd w:val="0"/>
              <w:jc w:val="center"/>
              <w:rPr>
                <w:rFonts w:ascii="宋体" w:hAnsi="宋体"/>
                <w:snapToGrid w:val="0"/>
                <w:kern w:val="0"/>
                <w:szCs w:val="21"/>
              </w:rPr>
            </w:pPr>
            <w:r>
              <w:rPr>
                <w:rFonts w:ascii="宋体" w:hAnsi="宋体"/>
                <w:snapToGrid w:val="0"/>
                <w:kern w:val="0"/>
                <w:szCs w:val="21"/>
              </w:rPr>
              <w:t>工期</w:t>
            </w:r>
          </w:p>
        </w:tc>
        <w:tc>
          <w:tcPr>
            <w:tcW w:w="2388" w:type="dxa"/>
            <w:noWrap w:val="0"/>
            <w:vAlign w:val="center"/>
          </w:tcPr>
          <w:p w14:paraId="02C4F7CE">
            <w:pPr>
              <w:tabs>
                <w:tab w:val="left" w:pos="2051"/>
              </w:tabs>
              <w:autoSpaceDE w:val="0"/>
              <w:autoSpaceDN w:val="0"/>
              <w:adjustRightInd w:val="0"/>
              <w:rPr>
                <w:rFonts w:ascii="宋体" w:hAnsi="宋体"/>
                <w:snapToGrid w:val="0"/>
                <w:kern w:val="0"/>
                <w:szCs w:val="21"/>
              </w:rPr>
            </w:pPr>
          </w:p>
        </w:tc>
        <w:tc>
          <w:tcPr>
            <w:tcW w:w="2987" w:type="dxa"/>
            <w:noWrap w:val="0"/>
            <w:vAlign w:val="center"/>
          </w:tcPr>
          <w:p w14:paraId="64D37379">
            <w:pPr>
              <w:tabs>
                <w:tab w:val="left" w:pos="1560"/>
              </w:tabs>
              <w:autoSpaceDE w:val="0"/>
              <w:autoSpaceDN w:val="0"/>
              <w:adjustRightInd w:val="0"/>
              <w:ind w:firstLine="630" w:firstLineChars="300"/>
              <w:jc w:val="center"/>
              <w:rPr>
                <w:rFonts w:ascii="宋体" w:hAnsi="宋体"/>
                <w:snapToGrid w:val="0"/>
                <w:kern w:val="0"/>
                <w:szCs w:val="21"/>
              </w:rPr>
            </w:pPr>
          </w:p>
        </w:tc>
        <w:tc>
          <w:tcPr>
            <w:tcW w:w="792" w:type="dxa"/>
            <w:noWrap w:val="0"/>
            <w:vAlign w:val="center"/>
          </w:tcPr>
          <w:p w14:paraId="3C63D918">
            <w:pPr>
              <w:autoSpaceDE w:val="0"/>
              <w:autoSpaceDN w:val="0"/>
              <w:adjustRightInd w:val="0"/>
              <w:jc w:val="center"/>
              <w:rPr>
                <w:rFonts w:ascii="宋体" w:hAnsi="宋体"/>
                <w:snapToGrid w:val="0"/>
                <w:kern w:val="0"/>
                <w:szCs w:val="21"/>
              </w:rPr>
            </w:pPr>
          </w:p>
        </w:tc>
      </w:tr>
      <w:tr w14:paraId="3FCFE04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noWrap w:val="0"/>
            <w:vAlign w:val="center"/>
          </w:tcPr>
          <w:p w14:paraId="2FF9AAD8">
            <w:pPr>
              <w:autoSpaceDE w:val="0"/>
              <w:autoSpaceDN w:val="0"/>
              <w:adjustRightInd w:val="0"/>
              <w:jc w:val="center"/>
              <w:rPr>
                <w:rFonts w:ascii="宋体" w:hAnsi="宋体"/>
                <w:snapToGrid w:val="0"/>
                <w:kern w:val="0"/>
                <w:szCs w:val="21"/>
              </w:rPr>
            </w:pPr>
            <w:r>
              <w:rPr>
                <w:rFonts w:hint="eastAsia" w:ascii="宋体" w:hAnsi="宋体"/>
                <w:snapToGrid w:val="0"/>
                <w:kern w:val="0"/>
                <w:szCs w:val="21"/>
              </w:rPr>
              <w:t>2</w:t>
            </w:r>
          </w:p>
        </w:tc>
        <w:tc>
          <w:tcPr>
            <w:tcW w:w="2582" w:type="dxa"/>
            <w:noWrap w:val="0"/>
            <w:vAlign w:val="center"/>
          </w:tcPr>
          <w:p w14:paraId="2B8CC3BF">
            <w:pPr>
              <w:autoSpaceDE w:val="0"/>
              <w:autoSpaceDN w:val="0"/>
              <w:adjustRightInd w:val="0"/>
              <w:jc w:val="center"/>
              <w:rPr>
                <w:rFonts w:ascii="宋体" w:hAnsi="宋体"/>
                <w:snapToGrid w:val="0"/>
                <w:kern w:val="0"/>
                <w:szCs w:val="21"/>
              </w:rPr>
            </w:pPr>
            <w:r>
              <w:rPr>
                <w:rFonts w:hint="eastAsia" w:ascii="宋体" w:hAnsi="宋体"/>
                <w:snapToGrid w:val="0"/>
                <w:kern w:val="0"/>
                <w:szCs w:val="21"/>
              </w:rPr>
              <w:t>工程质量</w:t>
            </w:r>
          </w:p>
        </w:tc>
        <w:tc>
          <w:tcPr>
            <w:tcW w:w="2388" w:type="dxa"/>
            <w:noWrap w:val="0"/>
            <w:vAlign w:val="center"/>
          </w:tcPr>
          <w:p w14:paraId="75C5CF78">
            <w:pPr>
              <w:tabs>
                <w:tab w:val="left" w:pos="2051"/>
              </w:tabs>
              <w:autoSpaceDE w:val="0"/>
              <w:autoSpaceDN w:val="0"/>
              <w:adjustRightInd w:val="0"/>
              <w:rPr>
                <w:rFonts w:ascii="宋体" w:hAnsi="宋体"/>
                <w:snapToGrid w:val="0"/>
                <w:kern w:val="0"/>
                <w:szCs w:val="21"/>
              </w:rPr>
            </w:pPr>
          </w:p>
        </w:tc>
        <w:tc>
          <w:tcPr>
            <w:tcW w:w="2987" w:type="dxa"/>
            <w:noWrap w:val="0"/>
            <w:vAlign w:val="center"/>
          </w:tcPr>
          <w:p w14:paraId="1E2CA9B5">
            <w:pPr>
              <w:autoSpaceDE w:val="0"/>
              <w:autoSpaceDN w:val="0"/>
              <w:adjustRightInd w:val="0"/>
              <w:jc w:val="center"/>
              <w:rPr>
                <w:rFonts w:ascii="宋体" w:hAnsi="宋体"/>
                <w:snapToGrid w:val="0"/>
                <w:kern w:val="0"/>
                <w:szCs w:val="21"/>
              </w:rPr>
            </w:pPr>
          </w:p>
        </w:tc>
        <w:tc>
          <w:tcPr>
            <w:tcW w:w="792" w:type="dxa"/>
            <w:noWrap w:val="0"/>
            <w:vAlign w:val="center"/>
          </w:tcPr>
          <w:p w14:paraId="53AB441F">
            <w:pPr>
              <w:autoSpaceDE w:val="0"/>
              <w:autoSpaceDN w:val="0"/>
              <w:adjustRightInd w:val="0"/>
              <w:jc w:val="center"/>
              <w:rPr>
                <w:rFonts w:ascii="宋体" w:hAnsi="宋体"/>
                <w:snapToGrid w:val="0"/>
                <w:kern w:val="0"/>
                <w:szCs w:val="21"/>
              </w:rPr>
            </w:pPr>
          </w:p>
        </w:tc>
      </w:tr>
      <w:tr w14:paraId="5EDB512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noWrap w:val="0"/>
            <w:vAlign w:val="center"/>
          </w:tcPr>
          <w:p w14:paraId="495DB5D3">
            <w:pPr>
              <w:tabs>
                <w:tab w:val="left" w:pos="2051"/>
              </w:tabs>
              <w:autoSpaceDE w:val="0"/>
              <w:autoSpaceDN w:val="0"/>
              <w:adjustRightInd w:val="0"/>
              <w:jc w:val="center"/>
              <w:rPr>
                <w:rFonts w:ascii="宋体" w:hAnsi="宋体"/>
                <w:snapToGrid w:val="0"/>
                <w:kern w:val="0"/>
                <w:szCs w:val="21"/>
              </w:rPr>
            </w:pPr>
            <w:r>
              <w:rPr>
                <w:rFonts w:ascii="宋体" w:hAnsi="宋体"/>
                <w:snapToGrid w:val="0"/>
                <w:kern w:val="0"/>
                <w:szCs w:val="21"/>
              </w:rPr>
              <w:t>…</w:t>
            </w:r>
          </w:p>
        </w:tc>
        <w:tc>
          <w:tcPr>
            <w:tcW w:w="2582" w:type="dxa"/>
            <w:noWrap w:val="0"/>
            <w:vAlign w:val="center"/>
          </w:tcPr>
          <w:p w14:paraId="4CE7FFEB">
            <w:pPr>
              <w:tabs>
                <w:tab w:val="left" w:pos="2051"/>
              </w:tabs>
              <w:autoSpaceDE w:val="0"/>
              <w:autoSpaceDN w:val="0"/>
              <w:adjustRightInd w:val="0"/>
              <w:jc w:val="center"/>
              <w:rPr>
                <w:rFonts w:ascii="宋体" w:hAnsi="宋体"/>
                <w:snapToGrid w:val="0"/>
                <w:kern w:val="0"/>
                <w:szCs w:val="21"/>
              </w:rPr>
            </w:pPr>
            <w:r>
              <w:rPr>
                <w:rFonts w:ascii="宋体" w:hAnsi="宋体"/>
                <w:snapToGrid w:val="0"/>
                <w:kern w:val="0"/>
                <w:szCs w:val="21"/>
              </w:rPr>
              <w:t>……</w:t>
            </w:r>
          </w:p>
        </w:tc>
        <w:tc>
          <w:tcPr>
            <w:tcW w:w="2388" w:type="dxa"/>
            <w:noWrap w:val="0"/>
            <w:vAlign w:val="center"/>
          </w:tcPr>
          <w:p w14:paraId="01E177E9">
            <w:pPr>
              <w:tabs>
                <w:tab w:val="left" w:pos="2051"/>
              </w:tabs>
              <w:autoSpaceDE w:val="0"/>
              <w:autoSpaceDN w:val="0"/>
              <w:adjustRightInd w:val="0"/>
              <w:jc w:val="center"/>
              <w:rPr>
                <w:rFonts w:ascii="宋体" w:hAnsi="宋体"/>
                <w:snapToGrid w:val="0"/>
                <w:kern w:val="0"/>
                <w:szCs w:val="21"/>
              </w:rPr>
            </w:pPr>
            <w:r>
              <w:rPr>
                <w:rFonts w:ascii="宋体" w:hAnsi="宋体"/>
                <w:snapToGrid w:val="0"/>
                <w:kern w:val="0"/>
                <w:szCs w:val="21"/>
              </w:rPr>
              <w:t>……</w:t>
            </w:r>
          </w:p>
        </w:tc>
        <w:tc>
          <w:tcPr>
            <w:tcW w:w="2987" w:type="dxa"/>
            <w:noWrap w:val="0"/>
            <w:vAlign w:val="center"/>
          </w:tcPr>
          <w:p w14:paraId="3EECA11B">
            <w:pPr>
              <w:tabs>
                <w:tab w:val="left" w:pos="2051"/>
              </w:tabs>
              <w:autoSpaceDE w:val="0"/>
              <w:autoSpaceDN w:val="0"/>
              <w:adjustRightInd w:val="0"/>
              <w:jc w:val="center"/>
              <w:rPr>
                <w:rFonts w:ascii="宋体" w:hAnsi="宋体"/>
                <w:snapToGrid w:val="0"/>
                <w:kern w:val="0"/>
                <w:szCs w:val="21"/>
              </w:rPr>
            </w:pPr>
            <w:r>
              <w:rPr>
                <w:rFonts w:ascii="宋体" w:hAnsi="宋体"/>
                <w:snapToGrid w:val="0"/>
                <w:kern w:val="0"/>
                <w:szCs w:val="21"/>
              </w:rPr>
              <w:t>……</w:t>
            </w:r>
          </w:p>
        </w:tc>
        <w:tc>
          <w:tcPr>
            <w:tcW w:w="792" w:type="dxa"/>
            <w:noWrap w:val="0"/>
            <w:vAlign w:val="center"/>
          </w:tcPr>
          <w:p w14:paraId="4DD1C0A7">
            <w:pPr>
              <w:autoSpaceDE w:val="0"/>
              <w:autoSpaceDN w:val="0"/>
              <w:adjustRightInd w:val="0"/>
              <w:jc w:val="center"/>
              <w:rPr>
                <w:rFonts w:ascii="宋体" w:hAnsi="宋体"/>
                <w:snapToGrid w:val="0"/>
                <w:kern w:val="0"/>
                <w:szCs w:val="21"/>
              </w:rPr>
            </w:pPr>
          </w:p>
        </w:tc>
      </w:tr>
      <w:tr w14:paraId="57FE215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noWrap w:val="0"/>
            <w:vAlign w:val="center"/>
          </w:tcPr>
          <w:p w14:paraId="5773EC95">
            <w:pPr>
              <w:tabs>
                <w:tab w:val="left" w:pos="2051"/>
              </w:tabs>
              <w:autoSpaceDE w:val="0"/>
              <w:autoSpaceDN w:val="0"/>
              <w:adjustRightInd w:val="0"/>
              <w:jc w:val="center"/>
              <w:rPr>
                <w:rFonts w:ascii="宋体" w:hAnsi="宋体"/>
                <w:snapToGrid w:val="0"/>
                <w:kern w:val="0"/>
                <w:szCs w:val="21"/>
              </w:rPr>
            </w:pPr>
            <w:r>
              <w:rPr>
                <w:rFonts w:ascii="宋体" w:hAnsi="宋体"/>
                <w:snapToGrid w:val="0"/>
                <w:kern w:val="0"/>
                <w:szCs w:val="21"/>
              </w:rPr>
              <w:t>…</w:t>
            </w:r>
          </w:p>
        </w:tc>
        <w:tc>
          <w:tcPr>
            <w:tcW w:w="2582" w:type="dxa"/>
            <w:noWrap w:val="0"/>
            <w:vAlign w:val="center"/>
          </w:tcPr>
          <w:p w14:paraId="73FB8F6B">
            <w:pPr>
              <w:tabs>
                <w:tab w:val="left" w:pos="2051"/>
              </w:tabs>
              <w:autoSpaceDE w:val="0"/>
              <w:autoSpaceDN w:val="0"/>
              <w:adjustRightInd w:val="0"/>
              <w:jc w:val="center"/>
              <w:rPr>
                <w:rFonts w:ascii="宋体" w:hAnsi="宋体"/>
                <w:snapToGrid w:val="0"/>
                <w:kern w:val="0"/>
                <w:szCs w:val="21"/>
              </w:rPr>
            </w:pPr>
            <w:r>
              <w:rPr>
                <w:rFonts w:ascii="宋体" w:hAnsi="宋体"/>
                <w:snapToGrid w:val="0"/>
                <w:kern w:val="0"/>
                <w:szCs w:val="21"/>
              </w:rPr>
              <w:t>……</w:t>
            </w:r>
          </w:p>
        </w:tc>
        <w:tc>
          <w:tcPr>
            <w:tcW w:w="2388" w:type="dxa"/>
            <w:noWrap w:val="0"/>
            <w:vAlign w:val="center"/>
          </w:tcPr>
          <w:p w14:paraId="48C9CCB4">
            <w:pPr>
              <w:tabs>
                <w:tab w:val="left" w:pos="2051"/>
              </w:tabs>
              <w:autoSpaceDE w:val="0"/>
              <w:autoSpaceDN w:val="0"/>
              <w:adjustRightInd w:val="0"/>
              <w:jc w:val="center"/>
              <w:rPr>
                <w:rFonts w:ascii="宋体" w:hAnsi="宋体"/>
                <w:snapToGrid w:val="0"/>
                <w:kern w:val="0"/>
                <w:szCs w:val="21"/>
              </w:rPr>
            </w:pPr>
            <w:r>
              <w:rPr>
                <w:rFonts w:ascii="宋体" w:hAnsi="宋体"/>
                <w:snapToGrid w:val="0"/>
                <w:kern w:val="0"/>
                <w:szCs w:val="21"/>
              </w:rPr>
              <w:t>……</w:t>
            </w:r>
          </w:p>
        </w:tc>
        <w:tc>
          <w:tcPr>
            <w:tcW w:w="2987" w:type="dxa"/>
            <w:noWrap w:val="0"/>
            <w:vAlign w:val="center"/>
          </w:tcPr>
          <w:p w14:paraId="5F045AFF">
            <w:pPr>
              <w:tabs>
                <w:tab w:val="left" w:pos="2051"/>
              </w:tabs>
              <w:autoSpaceDE w:val="0"/>
              <w:autoSpaceDN w:val="0"/>
              <w:adjustRightInd w:val="0"/>
              <w:jc w:val="center"/>
              <w:rPr>
                <w:rFonts w:ascii="宋体" w:hAnsi="宋体"/>
                <w:snapToGrid w:val="0"/>
                <w:kern w:val="0"/>
                <w:szCs w:val="21"/>
              </w:rPr>
            </w:pPr>
            <w:r>
              <w:rPr>
                <w:rFonts w:ascii="宋体" w:hAnsi="宋体"/>
                <w:snapToGrid w:val="0"/>
                <w:kern w:val="0"/>
                <w:szCs w:val="21"/>
              </w:rPr>
              <w:t>……</w:t>
            </w:r>
          </w:p>
        </w:tc>
        <w:tc>
          <w:tcPr>
            <w:tcW w:w="792" w:type="dxa"/>
            <w:noWrap w:val="0"/>
            <w:vAlign w:val="center"/>
          </w:tcPr>
          <w:p w14:paraId="58862301">
            <w:pPr>
              <w:autoSpaceDE w:val="0"/>
              <w:autoSpaceDN w:val="0"/>
              <w:adjustRightInd w:val="0"/>
              <w:jc w:val="center"/>
              <w:rPr>
                <w:rFonts w:ascii="宋体" w:hAnsi="宋体"/>
                <w:snapToGrid w:val="0"/>
                <w:kern w:val="0"/>
                <w:szCs w:val="21"/>
              </w:rPr>
            </w:pPr>
          </w:p>
        </w:tc>
      </w:tr>
    </w:tbl>
    <w:p w14:paraId="010EC5CE">
      <w:pPr>
        <w:spacing w:line="360" w:lineRule="auto"/>
        <w:rPr>
          <w:rFonts w:ascii="宋体" w:hAnsi="宋体"/>
          <w:snapToGrid w:val="0"/>
          <w:w w:val="99"/>
        </w:rPr>
      </w:pPr>
    </w:p>
    <w:p w14:paraId="5219F349">
      <w:pPr>
        <w:spacing w:line="360" w:lineRule="auto"/>
        <w:rPr>
          <w:rFonts w:ascii="宋体" w:hAnsi="宋体"/>
          <w:snapToGrid w:val="0"/>
        </w:rPr>
      </w:pPr>
    </w:p>
    <w:p w14:paraId="3D156DEA">
      <w:pPr>
        <w:tabs>
          <w:tab w:val="left" w:pos="7140"/>
          <w:tab w:val="left" w:pos="7560"/>
          <w:tab w:val="left" w:pos="8300"/>
        </w:tabs>
        <w:autoSpaceDE w:val="0"/>
        <w:autoSpaceDN w:val="0"/>
        <w:adjustRightInd w:val="0"/>
        <w:spacing w:line="360" w:lineRule="auto"/>
        <w:ind w:right="210" w:firstLine="2396" w:firstLineChars="1141"/>
        <w:rPr>
          <w:rFonts w:ascii="宋体" w:hAnsi="宋体"/>
          <w:snapToGrid w:val="0"/>
          <w:kern w:val="0"/>
          <w:szCs w:val="21"/>
        </w:rPr>
      </w:pPr>
      <w:r>
        <w:rPr>
          <w:rFonts w:ascii="宋体" w:hAnsi="宋体"/>
          <w:snapToGrid w:val="0"/>
          <w:kern w:val="0"/>
          <w:szCs w:val="21"/>
        </w:rPr>
        <w:t>投  标  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 xml:space="preserve">（盖单位法人章） </w:t>
      </w:r>
    </w:p>
    <w:p w14:paraId="75D5D365">
      <w:pPr>
        <w:tabs>
          <w:tab w:val="left" w:pos="7140"/>
          <w:tab w:val="left" w:pos="7560"/>
          <w:tab w:val="left" w:pos="8300"/>
        </w:tabs>
        <w:autoSpaceDE w:val="0"/>
        <w:autoSpaceDN w:val="0"/>
        <w:adjustRightInd w:val="0"/>
        <w:spacing w:line="360" w:lineRule="auto"/>
        <w:ind w:right="210" w:firstLine="1984" w:firstLineChars="945"/>
        <w:rPr>
          <w:rFonts w:ascii="宋体" w:hAnsi="宋体"/>
          <w:snapToGrid w:val="0"/>
          <w:kern w:val="0"/>
          <w:szCs w:val="21"/>
        </w:rPr>
      </w:pPr>
      <w:r>
        <w:rPr>
          <w:rFonts w:hint="eastAsia" w:ascii="宋体" w:hAnsi="宋体"/>
          <w:snapToGrid w:val="0"/>
          <w:kern w:val="0"/>
          <w:szCs w:val="21"/>
        </w:rPr>
        <w:t xml:space="preserve">   </w:t>
      </w:r>
    </w:p>
    <w:p w14:paraId="55CAE3D5">
      <w:pPr>
        <w:tabs>
          <w:tab w:val="left" w:pos="7140"/>
          <w:tab w:val="left" w:pos="7560"/>
          <w:tab w:val="left" w:pos="8300"/>
        </w:tabs>
        <w:autoSpaceDE w:val="0"/>
        <w:autoSpaceDN w:val="0"/>
        <w:adjustRightInd w:val="0"/>
        <w:spacing w:line="360" w:lineRule="auto"/>
        <w:ind w:right="210" w:firstLine="2415" w:firstLineChars="1150"/>
        <w:rPr>
          <w:rFonts w:ascii="宋体" w:hAnsi="宋体"/>
          <w:snapToGrid w:val="0"/>
          <w:kern w:val="0"/>
          <w:szCs w:val="21"/>
        </w:rPr>
      </w:pPr>
      <w:r>
        <w:rPr>
          <w:rFonts w:ascii="宋体" w:hAnsi="宋体"/>
          <w:snapToGrid w:val="0"/>
          <w:kern w:val="0"/>
          <w:szCs w:val="21"/>
        </w:rPr>
        <w:t>法定代表人或其委托代理人：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 xml:space="preserve">或盖章） </w:t>
      </w:r>
    </w:p>
    <w:p w14:paraId="446E3C21">
      <w:pPr>
        <w:tabs>
          <w:tab w:val="left" w:pos="7140"/>
          <w:tab w:val="left" w:pos="7560"/>
          <w:tab w:val="left" w:pos="8300"/>
        </w:tabs>
        <w:autoSpaceDE w:val="0"/>
        <w:autoSpaceDN w:val="0"/>
        <w:adjustRightInd w:val="0"/>
        <w:spacing w:line="360" w:lineRule="auto"/>
        <w:ind w:right="210" w:firstLine="1995" w:firstLineChars="950"/>
        <w:rPr>
          <w:rFonts w:ascii="宋体" w:hAnsi="宋体"/>
          <w:snapToGrid w:val="0"/>
          <w:kern w:val="0"/>
          <w:szCs w:val="21"/>
        </w:rPr>
      </w:pPr>
    </w:p>
    <w:p w14:paraId="561860A2">
      <w:pPr>
        <w:pStyle w:val="5"/>
        <w:jc w:val="center"/>
        <w:rPr>
          <w:rFonts w:ascii="宋体" w:hAnsi="宋体"/>
          <w:b w:val="0"/>
          <w:snapToGrid w:val="0"/>
          <w:sz w:val="30"/>
          <w:szCs w:val="30"/>
        </w:rPr>
      </w:pPr>
      <w:r>
        <w:rPr>
          <w:rFonts w:ascii="宋体" w:hAnsi="宋体"/>
          <w:snapToGrid w:val="0"/>
        </w:rPr>
        <w:br w:type="page"/>
      </w:r>
      <w:bookmarkStart w:id="445" w:name="_Toc6314"/>
      <w:bookmarkStart w:id="446" w:name="_Toc287620816"/>
      <w:bookmarkStart w:id="447" w:name="_Toc224103497"/>
      <w:bookmarkStart w:id="448" w:name="_Toc277082645"/>
      <w:bookmarkStart w:id="449" w:name="_Toc287607869"/>
      <w:bookmarkStart w:id="450" w:name="_Toc8650"/>
      <w:bookmarkStart w:id="451" w:name="_Toc430530532"/>
      <w:r>
        <w:rPr>
          <w:sz w:val="30"/>
          <w:szCs w:val="30"/>
        </w:rPr>
        <w:t>（三）</w:t>
      </w:r>
      <w:r>
        <w:rPr>
          <w:rFonts w:hint="eastAsia"/>
          <w:sz w:val="30"/>
          <w:szCs w:val="30"/>
        </w:rPr>
        <w:t>法定代表人身份证明或附有法定代表人身份证明的授权委托书</w:t>
      </w:r>
      <w:bookmarkEnd w:id="445"/>
      <w:bookmarkEnd w:id="446"/>
      <w:bookmarkEnd w:id="447"/>
      <w:bookmarkEnd w:id="448"/>
      <w:bookmarkEnd w:id="449"/>
      <w:bookmarkEnd w:id="450"/>
      <w:bookmarkEnd w:id="451"/>
    </w:p>
    <w:p w14:paraId="18AEA601">
      <w:pPr>
        <w:spacing w:line="480" w:lineRule="auto"/>
        <w:jc w:val="center"/>
        <w:rPr>
          <w:rFonts w:ascii="宋体" w:hAnsi="宋体"/>
          <w:sz w:val="28"/>
        </w:rPr>
      </w:pPr>
      <w:r>
        <w:rPr>
          <w:rFonts w:hint="eastAsia" w:ascii="宋体" w:hAnsi="宋体"/>
          <w:sz w:val="28"/>
        </w:rPr>
        <w:t>法定代表人身份证明</w:t>
      </w:r>
    </w:p>
    <w:p w14:paraId="431E71FB">
      <w:pPr>
        <w:spacing w:line="480" w:lineRule="auto"/>
        <w:jc w:val="center"/>
        <w:rPr>
          <w:rFonts w:ascii="宋体" w:hAnsi="宋体"/>
        </w:rPr>
      </w:pPr>
    </w:p>
    <w:p w14:paraId="03BA5869">
      <w:pPr>
        <w:tabs>
          <w:tab w:val="left" w:pos="5565"/>
        </w:tabs>
        <w:autoSpaceDE w:val="0"/>
        <w:autoSpaceDN w:val="0"/>
        <w:adjustRightInd w:val="0"/>
        <w:snapToGrid w:val="0"/>
        <w:spacing w:line="480" w:lineRule="auto"/>
        <w:ind w:firstLine="390" w:firstLineChars="186"/>
        <w:jc w:val="left"/>
        <w:rPr>
          <w:rFonts w:ascii="宋体" w:hAnsi="宋体"/>
          <w:kern w:val="0"/>
          <w:szCs w:val="21"/>
        </w:rPr>
      </w:pPr>
      <w:r>
        <w:rPr>
          <w:rFonts w:hint="eastAsia" w:ascii="宋体" w:hAnsi="宋体"/>
          <w:kern w:val="0"/>
          <w:szCs w:val="21"/>
        </w:rPr>
        <w:t>竞选</w:t>
      </w:r>
      <w:r>
        <w:rPr>
          <w:rFonts w:ascii="宋体" w:hAnsi="宋体"/>
          <w:kern w:val="0"/>
          <w:szCs w:val="21"/>
        </w:rPr>
        <w:t>人名称：</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3D0002E4">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09DA8A03">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地</w:t>
      </w:r>
      <w:r>
        <w:rPr>
          <w:rFonts w:hint="eastAsia" w:ascii="宋体" w:hAnsi="宋体"/>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4311D2A9">
      <w:pPr>
        <w:tabs>
          <w:tab w:val="left" w:pos="2520"/>
          <w:tab w:val="left" w:pos="3836"/>
        </w:tabs>
        <w:autoSpaceDE w:val="0"/>
        <w:autoSpaceDN w:val="0"/>
        <w:adjustRightInd w:val="0"/>
        <w:snapToGrid w:val="0"/>
        <w:spacing w:line="480" w:lineRule="auto"/>
        <w:ind w:firstLine="390" w:firstLineChars="186"/>
        <w:jc w:val="left"/>
        <w:rPr>
          <w:rFonts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14:paraId="2391563B">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经营期限：</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78E22DEC">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hint="eastAsia" w:ascii="宋体" w:hAnsi="宋体"/>
          <w:kern w:val="0"/>
          <w:szCs w:val="21"/>
          <w:u w:val="single"/>
        </w:rPr>
        <w:t xml:space="preserve">              </w:t>
      </w:r>
      <w:r>
        <w:rPr>
          <w:rFonts w:ascii="宋体" w:hAnsi="宋体"/>
          <w:kern w:val="0"/>
          <w:szCs w:val="21"/>
          <w:u w:val="single"/>
        </w:rPr>
        <w:t xml:space="preserve"> </w:t>
      </w:r>
    </w:p>
    <w:p w14:paraId="229C4601">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系</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rPr>
        <w:t>竞选</w:t>
      </w:r>
      <w:r>
        <w:rPr>
          <w:rFonts w:ascii="宋体" w:hAnsi="宋体"/>
          <w:kern w:val="0"/>
          <w:szCs w:val="21"/>
          <w:u w:val="single"/>
        </w:rPr>
        <w:t>人名称）</w:t>
      </w:r>
      <w:r>
        <w:rPr>
          <w:rFonts w:ascii="宋体" w:hAnsi="宋体"/>
          <w:kern w:val="0"/>
          <w:szCs w:val="21"/>
        </w:rPr>
        <w:t>的法定代表人。</w:t>
      </w:r>
    </w:p>
    <w:p w14:paraId="786E4029">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特此证明。</w:t>
      </w:r>
    </w:p>
    <w:p w14:paraId="61098F40">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附：法定代表人身份证复印件（双面）</w:t>
      </w:r>
    </w:p>
    <w:p w14:paraId="1FF9894D">
      <w:pPr>
        <w:pStyle w:val="2"/>
        <w:spacing w:after="0" w:line="360" w:lineRule="auto"/>
        <w:rPr>
          <w:rFonts w:ascii="宋体" w:hAnsi="宋体"/>
          <w:szCs w:val="21"/>
        </w:rPr>
      </w:pPr>
    </w:p>
    <w:p w14:paraId="48C4EDA4">
      <w:pPr>
        <w:pStyle w:val="2"/>
        <w:spacing w:after="0" w:line="360" w:lineRule="auto"/>
        <w:rPr>
          <w:rFonts w:ascii="宋体" w:hAnsi="宋体"/>
          <w:szCs w:val="21"/>
        </w:rPr>
      </w:pPr>
    </w:p>
    <w:p w14:paraId="1A12E80C">
      <w:pPr>
        <w:pStyle w:val="2"/>
        <w:spacing w:after="0" w:line="360" w:lineRule="auto"/>
        <w:rPr>
          <w:rFonts w:ascii="宋体" w:hAnsi="宋体"/>
          <w:szCs w:val="21"/>
        </w:rPr>
      </w:pPr>
    </w:p>
    <w:p w14:paraId="30C8C197">
      <w:pPr>
        <w:pStyle w:val="2"/>
        <w:spacing w:after="0" w:line="360" w:lineRule="auto"/>
        <w:rPr>
          <w:rFonts w:ascii="宋体" w:hAnsi="宋体"/>
          <w:szCs w:val="21"/>
        </w:rPr>
      </w:pPr>
    </w:p>
    <w:p w14:paraId="018619E7">
      <w:pPr>
        <w:pStyle w:val="2"/>
        <w:spacing w:after="0" w:line="360" w:lineRule="auto"/>
        <w:rPr>
          <w:rFonts w:ascii="宋体" w:hAnsi="宋体"/>
          <w:szCs w:val="21"/>
        </w:rPr>
      </w:pPr>
    </w:p>
    <w:p w14:paraId="159C0022">
      <w:pPr>
        <w:pStyle w:val="2"/>
        <w:spacing w:after="0" w:line="360" w:lineRule="auto"/>
        <w:rPr>
          <w:rFonts w:ascii="宋体" w:hAnsi="宋体"/>
          <w:szCs w:val="21"/>
        </w:rPr>
      </w:pPr>
    </w:p>
    <w:p w14:paraId="64BB377B">
      <w:pPr>
        <w:autoSpaceDE w:val="0"/>
        <w:autoSpaceDN w:val="0"/>
        <w:adjustRightInd w:val="0"/>
        <w:snapToGrid w:val="0"/>
        <w:spacing w:line="480" w:lineRule="auto"/>
        <w:ind w:firstLine="420" w:firstLineChars="200"/>
        <w:jc w:val="right"/>
        <w:rPr>
          <w:rFonts w:ascii="宋体" w:hAnsi="宋体"/>
          <w:kern w:val="0"/>
          <w:szCs w:val="21"/>
        </w:rPr>
      </w:pPr>
      <w:r>
        <w:rPr>
          <w:rFonts w:hint="eastAsia" w:ascii="宋体" w:hAnsi="宋体"/>
          <w:kern w:val="0"/>
          <w:szCs w:val="21"/>
        </w:rPr>
        <w:t>竞选</w:t>
      </w:r>
      <w:r>
        <w:rPr>
          <w:rFonts w:ascii="宋体" w:hAnsi="宋体"/>
          <w:spacing w:val="-1"/>
          <w:kern w:val="0"/>
          <w:szCs w:val="21"/>
        </w:rPr>
        <w:t>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盖单位法人章）</w:t>
      </w:r>
    </w:p>
    <w:p w14:paraId="68CE512C">
      <w:pPr>
        <w:autoSpaceDE w:val="0"/>
        <w:autoSpaceDN w:val="0"/>
        <w:adjustRightInd w:val="0"/>
        <w:snapToGrid w:val="0"/>
        <w:spacing w:line="480" w:lineRule="auto"/>
        <w:jc w:val="left"/>
        <w:rPr>
          <w:rFonts w:ascii="宋体" w:hAnsi="宋体"/>
          <w:kern w:val="0"/>
          <w:sz w:val="20"/>
          <w:szCs w:val="20"/>
        </w:rPr>
      </w:pPr>
    </w:p>
    <w:p w14:paraId="6E7D3115">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44398333">
      <w:pPr>
        <w:autoSpaceDE w:val="0"/>
        <w:autoSpaceDN w:val="0"/>
        <w:adjustRightInd w:val="0"/>
        <w:snapToGrid w:val="0"/>
        <w:spacing w:line="360" w:lineRule="auto"/>
        <w:jc w:val="left"/>
        <w:rPr>
          <w:rFonts w:ascii="宋体" w:hAnsi="宋体"/>
          <w:kern w:val="0"/>
        </w:rPr>
      </w:pPr>
    </w:p>
    <w:p w14:paraId="170DCD41">
      <w:pPr>
        <w:autoSpaceDE w:val="0"/>
        <w:autoSpaceDN w:val="0"/>
        <w:adjustRightInd w:val="0"/>
        <w:snapToGrid w:val="0"/>
        <w:spacing w:line="360" w:lineRule="auto"/>
        <w:jc w:val="left"/>
        <w:rPr>
          <w:rFonts w:ascii="宋体" w:hAnsi="宋体"/>
          <w:kern w:val="0"/>
        </w:rPr>
      </w:pPr>
    </w:p>
    <w:p w14:paraId="0364E803">
      <w:pPr>
        <w:spacing w:line="360" w:lineRule="auto"/>
        <w:ind w:firstLine="420" w:firstLineChars="200"/>
        <w:rPr>
          <w:rFonts w:ascii="宋体" w:hAnsi="宋体"/>
        </w:rPr>
      </w:pPr>
      <w:r>
        <w:rPr>
          <w:rFonts w:ascii="宋体" w:hAnsi="宋体"/>
        </w:rPr>
        <w:t>注：法定代表人身份证明需按上述格式填写完整，不可缺少内容。在此基础上增加内容的不影响其有效性。</w:t>
      </w:r>
    </w:p>
    <w:p w14:paraId="3AFD0E2D">
      <w:pPr>
        <w:autoSpaceDE w:val="0"/>
        <w:autoSpaceDN w:val="0"/>
        <w:adjustRightInd w:val="0"/>
        <w:snapToGrid w:val="0"/>
        <w:spacing w:line="360" w:lineRule="auto"/>
        <w:jc w:val="left"/>
        <w:rPr>
          <w:rFonts w:ascii="宋体" w:hAnsi="宋体"/>
          <w:kern w:val="0"/>
        </w:rPr>
      </w:pPr>
    </w:p>
    <w:p w14:paraId="06E0DBEC">
      <w:pPr>
        <w:tabs>
          <w:tab w:val="left" w:pos="1680"/>
          <w:tab w:val="left" w:pos="4215"/>
          <w:tab w:val="left" w:pos="4305"/>
          <w:tab w:val="left" w:pos="8000"/>
        </w:tabs>
        <w:autoSpaceDE w:val="0"/>
        <w:autoSpaceDN w:val="0"/>
        <w:adjustRightInd w:val="0"/>
        <w:snapToGrid w:val="0"/>
        <w:spacing w:line="360" w:lineRule="auto"/>
        <w:jc w:val="center"/>
        <w:rPr>
          <w:rFonts w:ascii="宋体" w:hAnsi="宋体"/>
          <w:kern w:val="0"/>
          <w:sz w:val="20"/>
          <w:szCs w:val="20"/>
        </w:rPr>
      </w:pPr>
      <w:r>
        <w:rPr>
          <w:rFonts w:ascii="宋体" w:hAnsi="宋体"/>
          <w:b/>
          <w:kern w:val="0"/>
          <w:sz w:val="28"/>
          <w:szCs w:val="28"/>
        </w:rPr>
        <w:br w:type="page"/>
      </w:r>
      <w:r>
        <w:rPr>
          <w:rFonts w:ascii="宋体" w:hAnsi="宋体"/>
          <w:snapToGrid w:val="0"/>
          <w:kern w:val="0"/>
          <w:sz w:val="32"/>
          <w:szCs w:val="32"/>
        </w:rPr>
        <w:t>授权委托书</w:t>
      </w:r>
    </w:p>
    <w:p w14:paraId="4AD36E78">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r>
        <w:rPr>
          <w:rFonts w:ascii="宋体" w:hAnsi="宋体"/>
          <w:kern w:val="0"/>
          <w:szCs w:val="21"/>
        </w:rPr>
        <w:t>本人</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hint="eastAsia" w:ascii="宋体" w:hAnsi="宋体"/>
          <w:w w:val="200"/>
          <w:kern w:val="0"/>
          <w:szCs w:val="21"/>
          <w:u w:val="single"/>
        </w:rPr>
        <w:t xml:space="preserve">        </w:t>
      </w:r>
      <w:r>
        <w:rPr>
          <w:rFonts w:ascii="宋体" w:hAnsi="宋体"/>
          <w:kern w:val="0"/>
          <w:szCs w:val="21"/>
          <w:u w:val="single"/>
        </w:rPr>
        <w:t>（</w:t>
      </w:r>
      <w:r>
        <w:rPr>
          <w:rFonts w:hint="eastAsia" w:ascii="宋体" w:hAnsi="宋体"/>
          <w:spacing w:val="-1"/>
          <w:kern w:val="0"/>
          <w:szCs w:val="21"/>
          <w:u w:val="single"/>
        </w:rPr>
        <w:t>竞选</w:t>
      </w:r>
      <w:r>
        <w:rPr>
          <w:rFonts w:ascii="宋体" w:hAnsi="宋体"/>
          <w:kern w:val="0"/>
          <w:szCs w:val="21"/>
          <w:u w:val="single"/>
        </w:rPr>
        <w:t>人名称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为我方代理人。代理人根据授权，以我方名义签署、澄清、说明、补正、递交、撤回、 修改</w:t>
      </w:r>
      <w:r>
        <w:rPr>
          <w:rFonts w:hint="eastAsia" w:ascii="宋体" w:hAnsi="宋体"/>
          <w:w w:val="200"/>
          <w:kern w:val="0"/>
          <w:szCs w:val="21"/>
          <w:u w:val="single"/>
        </w:rPr>
        <w:t xml:space="preserve">        </w:t>
      </w:r>
      <w:r>
        <w:rPr>
          <w:rFonts w:ascii="宋体" w:hAnsi="宋体"/>
          <w:kern w:val="0"/>
          <w:szCs w:val="21"/>
          <w:u w:val="single"/>
        </w:rPr>
        <w:t>（项</w:t>
      </w:r>
      <w:r>
        <w:rPr>
          <w:rFonts w:ascii="宋体" w:hAnsi="宋体"/>
          <w:spacing w:val="-1"/>
          <w:kern w:val="0"/>
          <w:szCs w:val="21"/>
          <w:u w:val="single"/>
        </w:rPr>
        <w:t>目</w:t>
      </w:r>
      <w:r>
        <w:rPr>
          <w:rFonts w:ascii="宋体" w:hAnsi="宋体"/>
          <w:kern w:val="0"/>
          <w:szCs w:val="21"/>
          <w:u w:val="single"/>
        </w:rPr>
        <w:t>名称）</w:t>
      </w:r>
      <w:r>
        <w:rPr>
          <w:rFonts w:hint="eastAsia" w:ascii="宋体" w:hAnsi="宋体"/>
          <w:kern w:val="0"/>
          <w:szCs w:val="21"/>
        </w:rPr>
        <w:t>竞选</w:t>
      </w:r>
      <w:r>
        <w:rPr>
          <w:rFonts w:ascii="宋体" w:hAnsi="宋体"/>
          <w:kern w:val="0"/>
          <w:szCs w:val="21"/>
        </w:rPr>
        <w:t>文件、签订合同和处理有关事宜， 其法律后果由我方承担。</w:t>
      </w:r>
    </w:p>
    <w:p w14:paraId="2E3E8799">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hint="eastAsia" w:ascii="宋体" w:hAnsi="宋体"/>
          <w:w w:val="200"/>
          <w:kern w:val="0"/>
          <w:szCs w:val="21"/>
          <w:u w:val="single"/>
        </w:rPr>
        <w:t xml:space="preserve">        </w:t>
      </w:r>
      <w:r>
        <w:rPr>
          <w:rFonts w:ascii="宋体" w:hAnsi="宋体"/>
          <w:kern w:val="0"/>
          <w:szCs w:val="21"/>
        </w:rPr>
        <w:t xml:space="preserve">。 </w:t>
      </w:r>
    </w:p>
    <w:p w14:paraId="310DE594">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代理人无转委托权。</w:t>
      </w:r>
    </w:p>
    <w:p w14:paraId="6C0D50DE">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p>
    <w:p w14:paraId="23A02DEE">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62090FD1">
      <w:pPr>
        <w:tabs>
          <w:tab w:val="left" w:pos="630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57474ED0">
      <w:pPr>
        <w:tabs>
          <w:tab w:val="left" w:pos="5260"/>
        </w:tabs>
        <w:autoSpaceDE w:val="0"/>
        <w:autoSpaceDN w:val="0"/>
        <w:adjustRightInd w:val="0"/>
        <w:snapToGrid w:val="0"/>
        <w:spacing w:line="480" w:lineRule="auto"/>
        <w:ind w:firstLine="420" w:firstLineChars="200"/>
        <w:jc w:val="left"/>
        <w:rPr>
          <w:rFonts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38FD40C2">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w:t>
      </w:r>
    </w:p>
    <w:p w14:paraId="202A56C3">
      <w:pPr>
        <w:tabs>
          <w:tab w:val="left" w:pos="6825"/>
        </w:tabs>
        <w:autoSpaceDE w:val="0"/>
        <w:autoSpaceDN w:val="0"/>
        <w:adjustRightInd w:val="0"/>
        <w:snapToGrid w:val="0"/>
        <w:spacing w:line="480" w:lineRule="auto"/>
        <w:ind w:firstLine="420" w:firstLineChars="200"/>
        <w:jc w:val="left"/>
        <w:rPr>
          <w:rFonts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6F61D7F3">
      <w:pPr>
        <w:tabs>
          <w:tab w:val="left" w:pos="6825"/>
        </w:tabs>
        <w:autoSpaceDE w:val="0"/>
        <w:autoSpaceDN w:val="0"/>
        <w:adjustRightInd w:val="0"/>
        <w:snapToGrid w:val="0"/>
        <w:spacing w:line="480" w:lineRule="auto"/>
        <w:ind w:firstLine="420" w:firstLineChars="200"/>
        <w:jc w:val="left"/>
        <w:rPr>
          <w:rFonts w:ascii="宋体" w:hAnsi="宋体"/>
          <w:kern w:val="0"/>
          <w:szCs w:val="21"/>
          <w:u w:val="single"/>
        </w:rPr>
      </w:pPr>
      <w:r>
        <w:rPr>
          <w:rFonts w:hint="eastAsia" w:ascii="宋体" w:hAnsi="宋体"/>
          <w:kern w:val="0"/>
          <w:szCs w:val="21"/>
        </w:rPr>
        <w:t>单位电话（座机）：</w:t>
      </w:r>
      <w:r>
        <w:rPr>
          <w:rFonts w:hint="eastAsia" w:ascii="宋体" w:hAnsi="宋体"/>
          <w:kern w:val="0"/>
          <w:szCs w:val="21"/>
          <w:u w:val="single"/>
        </w:rPr>
        <w:t xml:space="preserve">                              </w:t>
      </w:r>
    </w:p>
    <w:p w14:paraId="4275BB13">
      <w:pPr>
        <w:autoSpaceDE w:val="0"/>
        <w:autoSpaceDN w:val="0"/>
        <w:adjustRightInd w:val="0"/>
        <w:snapToGrid w:val="0"/>
        <w:spacing w:line="480" w:lineRule="auto"/>
        <w:ind w:firstLine="420" w:firstLineChars="200"/>
        <w:jc w:val="left"/>
        <w:rPr>
          <w:rFonts w:ascii="宋体" w:hAnsi="宋体"/>
          <w:kern w:val="0"/>
          <w:szCs w:val="21"/>
          <w:u w:val="single"/>
        </w:rPr>
      </w:pPr>
      <w:r>
        <w:rPr>
          <w:rFonts w:hint="eastAsia" w:ascii="宋体" w:hAnsi="宋体"/>
          <w:kern w:val="0"/>
          <w:szCs w:val="21"/>
        </w:rPr>
        <w:t xml:space="preserve">委托代理人电话（手机）：   </w:t>
      </w:r>
      <w:r>
        <w:rPr>
          <w:rFonts w:hint="eastAsia" w:ascii="宋体" w:hAnsi="宋体"/>
          <w:kern w:val="0"/>
          <w:szCs w:val="21"/>
          <w:u w:val="single"/>
        </w:rPr>
        <w:t xml:space="preserve">                                       </w:t>
      </w:r>
    </w:p>
    <w:p w14:paraId="31875E18">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附：法定代表人和委托代理人身份证复印件（双面）</w:t>
      </w:r>
    </w:p>
    <w:p w14:paraId="23079AE5">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w w:val="200"/>
          <w:kern w:val="0"/>
          <w:szCs w:val="21"/>
          <w:u w:val="single"/>
        </w:rPr>
      </w:pPr>
    </w:p>
    <w:p w14:paraId="4FF7E82A">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6C03BBA1">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3E334621">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278D31D2">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202F7600">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1EFD758A">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0B8ED24C">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hint="eastAsia" w:ascii="宋体" w:hAnsi="宋体"/>
          <w:w w:val="200"/>
          <w:kern w:val="0"/>
          <w:szCs w:val="21"/>
          <w:u w:val="single"/>
        </w:rPr>
        <w:t xml:space="preserve">  </w:t>
      </w:r>
      <w:r>
        <w:rPr>
          <w:rFonts w:ascii="宋体" w:hAnsi="宋体"/>
          <w:kern w:val="0"/>
          <w:szCs w:val="21"/>
        </w:rPr>
        <w:t>月</w:t>
      </w:r>
      <w:r>
        <w:rPr>
          <w:rFonts w:hint="eastAsia" w:ascii="宋体" w:hAnsi="宋体"/>
          <w:w w:val="200"/>
          <w:kern w:val="0"/>
          <w:szCs w:val="21"/>
          <w:u w:val="single"/>
        </w:rPr>
        <w:t xml:space="preserve">  </w:t>
      </w:r>
      <w:r>
        <w:rPr>
          <w:rFonts w:ascii="宋体" w:hAnsi="宋体"/>
          <w:kern w:val="0"/>
          <w:szCs w:val="21"/>
        </w:rPr>
        <w:t>日</w:t>
      </w:r>
    </w:p>
    <w:p w14:paraId="3FF3FF2E">
      <w:pPr>
        <w:tabs>
          <w:tab w:val="left" w:pos="4005"/>
          <w:tab w:val="left" w:pos="4100"/>
          <w:tab w:val="left" w:pos="5040"/>
        </w:tabs>
        <w:autoSpaceDE w:val="0"/>
        <w:autoSpaceDN w:val="0"/>
        <w:adjustRightInd w:val="0"/>
        <w:snapToGrid w:val="0"/>
        <w:spacing w:line="360" w:lineRule="auto"/>
        <w:ind w:firstLine="3780"/>
        <w:jc w:val="right"/>
        <w:rPr>
          <w:rFonts w:ascii="宋体" w:hAnsi="宋体"/>
          <w:kern w:val="0"/>
          <w:szCs w:val="21"/>
        </w:rPr>
      </w:pPr>
    </w:p>
    <w:p w14:paraId="7B5969D6">
      <w:pPr>
        <w:tabs>
          <w:tab w:val="left" w:pos="4005"/>
          <w:tab w:val="left" w:pos="4100"/>
          <w:tab w:val="left" w:pos="5040"/>
        </w:tabs>
        <w:autoSpaceDE w:val="0"/>
        <w:autoSpaceDN w:val="0"/>
        <w:adjustRightInd w:val="0"/>
        <w:snapToGrid w:val="0"/>
        <w:spacing w:line="360" w:lineRule="auto"/>
        <w:ind w:firstLine="420" w:firstLineChars="200"/>
        <w:jc w:val="left"/>
        <w:rPr>
          <w:rFonts w:ascii="宋体" w:hAnsi="宋体"/>
          <w:kern w:val="0"/>
          <w:szCs w:val="21"/>
        </w:rPr>
      </w:pPr>
      <w:r>
        <w:rPr>
          <w:rFonts w:ascii="宋体" w:hAnsi="宋体"/>
          <w:kern w:val="0"/>
          <w:szCs w:val="21"/>
        </w:rPr>
        <w:t>注：1、法定代表人参加</w:t>
      </w:r>
      <w:r>
        <w:rPr>
          <w:rFonts w:hint="eastAsia" w:ascii="宋体" w:hAnsi="宋体"/>
          <w:kern w:val="0"/>
          <w:szCs w:val="21"/>
        </w:rPr>
        <w:t>竞选</w:t>
      </w:r>
      <w:r>
        <w:rPr>
          <w:rFonts w:ascii="宋体" w:hAnsi="宋体"/>
          <w:kern w:val="0"/>
          <w:szCs w:val="21"/>
        </w:rPr>
        <w:t>活动并签署文件的不需要授权委托书，只需提供法定代表人身份证明；非法定代表人参加</w:t>
      </w:r>
      <w:r>
        <w:rPr>
          <w:rFonts w:hint="eastAsia" w:ascii="宋体" w:hAnsi="宋体"/>
          <w:kern w:val="0"/>
          <w:szCs w:val="21"/>
        </w:rPr>
        <w:t>竞选</w:t>
      </w:r>
      <w:r>
        <w:rPr>
          <w:rFonts w:ascii="宋体" w:hAnsi="宋体"/>
          <w:kern w:val="0"/>
          <w:szCs w:val="21"/>
        </w:rPr>
        <w:t>活动及签署文件的除提供法定代表人身份证明外还须提供授权委托书。</w:t>
      </w:r>
    </w:p>
    <w:p w14:paraId="75947F8F">
      <w:pPr>
        <w:tabs>
          <w:tab w:val="left" w:pos="5760"/>
        </w:tabs>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2、法定代表人身份证明及授权委托书原件装入</w:t>
      </w:r>
      <w:r>
        <w:rPr>
          <w:rFonts w:hint="eastAsia" w:ascii="宋体" w:hAnsi="宋体"/>
          <w:kern w:val="0"/>
          <w:szCs w:val="21"/>
        </w:rPr>
        <w:t>竞选</w:t>
      </w:r>
      <w:r>
        <w:rPr>
          <w:rFonts w:ascii="宋体" w:hAnsi="宋体"/>
          <w:kern w:val="0"/>
          <w:szCs w:val="21"/>
        </w:rPr>
        <w:t>文件一并递交。</w:t>
      </w:r>
    </w:p>
    <w:p w14:paraId="3E36C066">
      <w:pPr>
        <w:spacing w:line="360" w:lineRule="auto"/>
        <w:ind w:firstLine="420" w:firstLineChars="200"/>
        <w:jc w:val="left"/>
        <w:rPr>
          <w:rFonts w:ascii="宋体" w:hAnsi="宋体"/>
        </w:rPr>
      </w:pPr>
      <w:r>
        <w:rPr>
          <w:rFonts w:hint="eastAsia" w:ascii="宋体" w:hAnsi="宋体"/>
          <w:kern w:val="0"/>
          <w:szCs w:val="21"/>
        </w:rPr>
        <w:t>3、</w:t>
      </w:r>
      <w:r>
        <w:rPr>
          <w:rFonts w:hint="eastAsia" w:ascii="宋体" w:hAnsi="宋体"/>
        </w:rPr>
        <w:t>授权委托书</w:t>
      </w:r>
      <w:r>
        <w:rPr>
          <w:rFonts w:ascii="宋体" w:hAnsi="宋体"/>
        </w:rPr>
        <w:t>需按上述格式填写完整，不可缺少内容。在此基础上增加内容的不影响其有效性。</w:t>
      </w:r>
    </w:p>
    <w:p w14:paraId="447AE34F">
      <w:pPr>
        <w:spacing w:line="360" w:lineRule="auto"/>
        <w:ind w:firstLine="420" w:firstLineChars="200"/>
        <w:rPr>
          <w:rFonts w:ascii="宋体" w:hAnsi="宋体"/>
        </w:rPr>
      </w:pPr>
      <w:r>
        <w:rPr>
          <w:rFonts w:ascii="宋体" w:hAnsi="宋体"/>
        </w:rPr>
        <w:br w:type="page"/>
      </w:r>
    </w:p>
    <w:p w14:paraId="52E5A85F">
      <w:pPr>
        <w:pStyle w:val="5"/>
        <w:jc w:val="center"/>
      </w:pPr>
      <w:bookmarkStart w:id="452" w:name="_Toc224103498"/>
      <w:bookmarkStart w:id="453" w:name="_Toc277082646"/>
      <w:bookmarkStart w:id="454" w:name="_Toc287620817"/>
      <w:bookmarkStart w:id="455" w:name="_Toc287607870"/>
      <w:bookmarkStart w:id="456" w:name="_Toc13933"/>
      <w:bookmarkStart w:id="457" w:name="_Toc3095"/>
      <w:bookmarkStart w:id="458" w:name="_Toc430530533"/>
      <w:r>
        <w:t>（四）</w:t>
      </w:r>
      <w:bookmarkEnd w:id="452"/>
      <w:bookmarkEnd w:id="453"/>
      <w:bookmarkEnd w:id="454"/>
      <w:bookmarkEnd w:id="455"/>
      <w:bookmarkStart w:id="459" w:name="_Toc224103499"/>
      <w:bookmarkStart w:id="460" w:name="_Toc287620818"/>
      <w:bookmarkStart w:id="461" w:name="_Toc277082647"/>
      <w:bookmarkStart w:id="462" w:name="_Toc287607871"/>
      <w:r>
        <w:rPr>
          <w:rFonts w:hint="eastAsia"/>
        </w:rPr>
        <w:t>低价风险担保提交承诺书</w:t>
      </w:r>
      <w:bookmarkEnd w:id="456"/>
      <w:bookmarkEnd w:id="457"/>
    </w:p>
    <w:p w14:paraId="1DAF33E9">
      <w:pPr>
        <w:autoSpaceDE w:val="0"/>
        <w:autoSpaceDN w:val="0"/>
        <w:adjustRightInd w:val="0"/>
        <w:snapToGrid w:val="0"/>
        <w:spacing w:line="360" w:lineRule="auto"/>
        <w:jc w:val="center"/>
        <w:rPr>
          <w:rFonts w:ascii="宋体" w:hAnsi="宋体"/>
          <w:snapToGrid w:val="0"/>
          <w:kern w:val="0"/>
          <w:sz w:val="32"/>
          <w:szCs w:val="32"/>
        </w:rPr>
      </w:pPr>
    </w:p>
    <w:p w14:paraId="197F6445">
      <w:pPr>
        <w:autoSpaceDE w:val="0"/>
        <w:autoSpaceDN w:val="0"/>
        <w:adjustRightInd w:val="0"/>
        <w:snapToGrid w:val="0"/>
        <w:spacing w:line="360" w:lineRule="auto"/>
        <w:jc w:val="center"/>
        <w:rPr>
          <w:rFonts w:ascii="宋体" w:hAnsi="宋体"/>
          <w:snapToGrid w:val="0"/>
          <w:kern w:val="0"/>
          <w:sz w:val="32"/>
          <w:szCs w:val="32"/>
        </w:rPr>
      </w:pPr>
      <w:r>
        <w:rPr>
          <w:rFonts w:hint="eastAsia" w:ascii="宋体" w:hAnsi="宋体"/>
          <w:snapToGrid w:val="0"/>
          <w:kern w:val="0"/>
          <w:sz w:val="32"/>
          <w:szCs w:val="32"/>
        </w:rPr>
        <w:t>（竞选报价低于招标项目最高限价的85%时采用）</w:t>
      </w:r>
    </w:p>
    <w:p w14:paraId="17719470">
      <w:pPr>
        <w:autoSpaceDE w:val="0"/>
        <w:autoSpaceDN w:val="0"/>
        <w:adjustRightInd w:val="0"/>
        <w:snapToGrid w:val="0"/>
        <w:spacing w:line="360" w:lineRule="auto"/>
        <w:jc w:val="center"/>
        <w:rPr>
          <w:rFonts w:ascii="宋体" w:hAnsi="宋体"/>
          <w:snapToGrid w:val="0"/>
          <w:kern w:val="0"/>
          <w:sz w:val="32"/>
          <w:szCs w:val="32"/>
        </w:rPr>
      </w:pPr>
    </w:p>
    <w:p w14:paraId="15785871">
      <w:pPr>
        <w:autoSpaceDE w:val="0"/>
        <w:autoSpaceDN w:val="0"/>
        <w:adjustRightInd w:val="0"/>
        <w:snapToGrid w:val="0"/>
        <w:spacing w:line="360" w:lineRule="auto"/>
        <w:rPr>
          <w:rFonts w:ascii="宋体" w:hAnsi="宋体" w:cs="宋体"/>
          <w:snapToGrid w:val="0"/>
          <w:kern w:val="0"/>
          <w:szCs w:val="21"/>
        </w:rPr>
      </w:pPr>
      <w:r>
        <w:rPr>
          <w:rFonts w:hint="eastAsia" w:ascii="宋体" w:hAnsi="宋体" w:cs="宋体"/>
          <w:snapToGrid w:val="0"/>
          <w:kern w:val="0"/>
          <w:szCs w:val="21"/>
          <w:u w:val="single"/>
        </w:rPr>
        <w:t xml:space="preserve">        （比选人名称）</w:t>
      </w:r>
      <w:r>
        <w:rPr>
          <w:rFonts w:hint="eastAsia" w:ascii="宋体" w:hAnsi="宋体" w:cs="宋体"/>
          <w:snapToGrid w:val="0"/>
          <w:kern w:val="0"/>
          <w:szCs w:val="21"/>
        </w:rPr>
        <w:t>：</w:t>
      </w:r>
    </w:p>
    <w:p w14:paraId="4541B62F">
      <w:pPr>
        <w:autoSpaceDE w:val="0"/>
        <w:autoSpaceDN w:val="0"/>
        <w:adjustRightInd w:val="0"/>
        <w:snapToGrid w:val="0"/>
        <w:spacing w:line="360" w:lineRule="auto"/>
        <w:ind w:firstLine="420" w:firstLineChars="200"/>
        <w:rPr>
          <w:rFonts w:ascii="宋体" w:hAnsi="宋体" w:cs="宋体"/>
          <w:snapToGrid w:val="0"/>
          <w:kern w:val="0"/>
          <w:szCs w:val="21"/>
        </w:rPr>
      </w:pPr>
      <w:r>
        <w:rPr>
          <w:rFonts w:hint="eastAsia" w:ascii="宋体" w:hAnsi="宋体" w:cs="宋体"/>
          <w:snapToGrid w:val="0"/>
          <w:kern w:val="0"/>
          <w:szCs w:val="21"/>
        </w:rPr>
        <w:t>我公司</w:t>
      </w:r>
      <w:r>
        <w:rPr>
          <w:rFonts w:hint="eastAsia" w:ascii="宋体" w:hAnsi="宋体" w:cs="宋体"/>
          <w:snapToGrid w:val="0"/>
          <w:kern w:val="0"/>
          <w:szCs w:val="21"/>
          <w:u w:val="single"/>
        </w:rPr>
        <w:t xml:space="preserve">        （竞选人名称）</w:t>
      </w:r>
      <w:r>
        <w:rPr>
          <w:rFonts w:hint="eastAsia" w:ascii="宋体" w:hAnsi="宋体" w:cs="宋体"/>
          <w:snapToGrid w:val="0"/>
          <w:kern w:val="0"/>
          <w:szCs w:val="21"/>
        </w:rPr>
        <w:t>参加了你单位</w:t>
      </w:r>
      <w:r>
        <w:rPr>
          <w:rFonts w:hint="eastAsia" w:ascii="宋体" w:hAnsi="宋体" w:cs="宋体"/>
          <w:snapToGrid w:val="0"/>
          <w:kern w:val="0"/>
          <w:szCs w:val="21"/>
          <w:u w:val="single"/>
        </w:rPr>
        <w:t xml:space="preserve">        （项目名称）</w:t>
      </w:r>
      <w:r>
        <w:rPr>
          <w:rFonts w:hint="eastAsia" w:ascii="宋体" w:hAnsi="宋体" w:cs="宋体"/>
          <w:snapToGrid w:val="0"/>
          <w:kern w:val="0"/>
          <w:szCs w:val="21"/>
        </w:rPr>
        <w:t>的竞选。我公司竞选报价低于最高限价的85%，若获得中标资格，我公司承诺按照比选文件的规定递交低价风险担保。同时，我公司已落实低价风险担保的提交方案，承诺如采用保函形式提交低价风险担保，保函的格式和内容符合比选文件的要求。否则，我公司愿承担比选文件中约定的，因未按规定递交低价风险担保的相应责任。</w:t>
      </w:r>
    </w:p>
    <w:p w14:paraId="3195A827">
      <w:pPr>
        <w:autoSpaceDE w:val="0"/>
        <w:autoSpaceDN w:val="0"/>
        <w:adjustRightInd w:val="0"/>
        <w:snapToGrid w:val="0"/>
        <w:spacing w:line="360" w:lineRule="auto"/>
        <w:ind w:firstLine="640"/>
        <w:rPr>
          <w:rFonts w:ascii="宋体" w:hAnsi="宋体" w:cs="宋体"/>
          <w:snapToGrid w:val="0"/>
          <w:kern w:val="0"/>
          <w:szCs w:val="21"/>
        </w:rPr>
      </w:pPr>
    </w:p>
    <w:p w14:paraId="00AAFA7B">
      <w:pPr>
        <w:autoSpaceDE w:val="0"/>
        <w:autoSpaceDN w:val="0"/>
        <w:adjustRightInd w:val="0"/>
        <w:snapToGrid w:val="0"/>
        <w:spacing w:line="360" w:lineRule="auto"/>
        <w:ind w:firstLine="640"/>
        <w:rPr>
          <w:rFonts w:ascii="宋体" w:hAnsi="宋体" w:cs="宋体"/>
          <w:snapToGrid w:val="0"/>
          <w:kern w:val="0"/>
          <w:szCs w:val="21"/>
        </w:rPr>
      </w:pPr>
      <w:r>
        <w:rPr>
          <w:rFonts w:hint="eastAsia" w:ascii="宋体" w:hAnsi="宋体" w:cs="宋体"/>
          <w:snapToGrid w:val="0"/>
          <w:kern w:val="0"/>
          <w:szCs w:val="21"/>
        </w:rPr>
        <w:t>特此承诺。</w:t>
      </w:r>
    </w:p>
    <w:p w14:paraId="5FDCABA9">
      <w:pPr>
        <w:autoSpaceDE w:val="0"/>
        <w:autoSpaceDN w:val="0"/>
        <w:adjustRightInd w:val="0"/>
        <w:snapToGrid w:val="0"/>
        <w:spacing w:line="360" w:lineRule="auto"/>
        <w:ind w:firstLine="640"/>
        <w:rPr>
          <w:rFonts w:ascii="宋体" w:hAnsi="宋体" w:cs="宋体"/>
          <w:snapToGrid w:val="0"/>
          <w:kern w:val="0"/>
          <w:sz w:val="32"/>
          <w:szCs w:val="32"/>
        </w:rPr>
      </w:pPr>
    </w:p>
    <w:p w14:paraId="4982DD1E">
      <w:pPr>
        <w:autoSpaceDE w:val="0"/>
        <w:autoSpaceDN w:val="0"/>
        <w:adjustRightInd w:val="0"/>
        <w:snapToGrid w:val="0"/>
        <w:spacing w:line="360" w:lineRule="auto"/>
        <w:ind w:firstLine="640"/>
        <w:rPr>
          <w:rFonts w:ascii="宋体" w:hAnsi="宋体" w:cs="宋体"/>
          <w:snapToGrid w:val="0"/>
          <w:kern w:val="0"/>
          <w:sz w:val="32"/>
          <w:szCs w:val="32"/>
        </w:rPr>
      </w:pPr>
    </w:p>
    <w:p w14:paraId="46D2180F">
      <w:pPr>
        <w:autoSpaceDE w:val="0"/>
        <w:autoSpaceDN w:val="0"/>
        <w:adjustRightInd w:val="0"/>
        <w:snapToGrid w:val="0"/>
        <w:spacing w:line="360" w:lineRule="auto"/>
        <w:ind w:firstLine="640"/>
        <w:rPr>
          <w:rFonts w:ascii="宋体" w:hAnsi="宋体" w:cs="宋体"/>
          <w:snapToGrid w:val="0"/>
          <w:kern w:val="0"/>
          <w:sz w:val="32"/>
          <w:szCs w:val="32"/>
        </w:rPr>
      </w:pPr>
    </w:p>
    <w:p w14:paraId="7836596F">
      <w:pPr>
        <w:autoSpaceDE w:val="0"/>
        <w:autoSpaceDN w:val="0"/>
        <w:adjustRightInd w:val="0"/>
        <w:snapToGrid w:val="0"/>
        <w:spacing w:line="360" w:lineRule="auto"/>
        <w:ind w:firstLine="640"/>
        <w:rPr>
          <w:rFonts w:ascii="宋体" w:hAnsi="宋体" w:cs="宋体"/>
          <w:snapToGrid w:val="0"/>
          <w:kern w:val="0"/>
          <w:sz w:val="32"/>
          <w:szCs w:val="32"/>
        </w:rPr>
      </w:pPr>
    </w:p>
    <w:p w14:paraId="0FAAE666">
      <w:pPr>
        <w:autoSpaceDE w:val="0"/>
        <w:autoSpaceDN w:val="0"/>
        <w:adjustRightInd w:val="0"/>
        <w:snapToGrid w:val="0"/>
        <w:spacing w:line="360" w:lineRule="auto"/>
        <w:ind w:firstLine="640"/>
        <w:rPr>
          <w:rFonts w:ascii="宋体" w:hAnsi="宋体" w:cs="宋体"/>
          <w:snapToGrid w:val="0"/>
          <w:kern w:val="0"/>
          <w:sz w:val="32"/>
          <w:szCs w:val="32"/>
        </w:rPr>
      </w:pPr>
    </w:p>
    <w:p w14:paraId="21F6B00D">
      <w:pPr>
        <w:tabs>
          <w:tab w:val="left" w:pos="4200"/>
          <w:tab w:val="left" w:pos="462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5AF009F2">
      <w:pPr>
        <w:tabs>
          <w:tab w:val="left" w:pos="630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6B28DC36">
      <w:pPr>
        <w:tabs>
          <w:tab w:val="left" w:pos="7140"/>
          <w:tab w:val="left" w:pos="7560"/>
          <w:tab w:val="left" w:pos="8300"/>
        </w:tabs>
        <w:autoSpaceDE w:val="0"/>
        <w:autoSpaceDN w:val="0"/>
        <w:adjustRightInd w:val="0"/>
        <w:ind w:firstLine="420" w:firstLineChars="200"/>
        <w:rPr>
          <w:rFonts w:ascii="宋体" w:hAnsi="宋体"/>
          <w:snapToGrid w:val="0"/>
          <w:kern w:val="0"/>
          <w:szCs w:val="21"/>
        </w:rPr>
      </w:pPr>
    </w:p>
    <w:p w14:paraId="79DBE630">
      <w:pPr>
        <w:tabs>
          <w:tab w:val="left" w:pos="3840"/>
          <w:tab w:val="left" w:pos="4780"/>
          <w:tab w:val="left" w:pos="5720"/>
        </w:tabs>
        <w:autoSpaceDE w:val="0"/>
        <w:autoSpaceDN w:val="0"/>
        <w:adjustRightInd w:val="0"/>
        <w:snapToGrid w:val="0"/>
        <w:spacing w:before="120" w:beforeLines="50" w:line="500" w:lineRule="exact"/>
        <w:ind w:right="420" w:firstLine="5565" w:firstLineChars="2650"/>
        <w:jc w:val="right"/>
        <w:rPr>
          <w:rFonts w:ascii="宋体" w:hAnsi="宋体"/>
          <w:snapToGrid w:val="0"/>
          <w:kern w:val="0"/>
          <w:szCs w:val="21"/>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p>
    <w:p w14:paraId="7C8558EE">
      <w:pPr>
        <w:autoSpaceDE w:val="0"/>
        <w:autoSpaceDN w:val="0"/>
        <w:adjustRightInd w:val="0"/>
        <w:snapToGrid w:val="0"/>
        <w:spacing w:line="360" w:lineRule="auto"/>
        <w:ind w:firstLine="640"/>
        <w:rPr>
          <w:rFonts w:ascii="宋体" w:hAnsi="宋体" w:cs="宋体"/>
          <w:snapToGrid w:val="0"/>
          <w:kern w:val="0"/>
          <w:sz w:val="32"/>
          <w:szCs w:val="32"/>
        </w:rPr>
      </w:pPr>
    </w:p>
    <w:p w14:paraId="1BD573CB">
      <w:pPr>
        <w:autoSpaceDE w:val="0"/>
        <w:autoSpaceDN w:val="0"/>
        <w:adjustRightInd w:val="0"/>
        <w:snapToGrid w:val="0"/>
        <w:spacing w:line="360" w:lineRule="auto"/>
        <w:jc w:val="center"/>
        <w:rPr>
          <w:rFonts w:ascii="宋体" w:hAnsi="宋体"/>
          <w:snapToGrid w:val="0"/>
          <w:kern w:val="0"/>
          <w:sz w:val="32"/>
          <w:szCs w:val="32"/>
        </w:rPr>
      </w:pPr>
    </w:p>
    <w:p w14:paraId="38C0D072">
      <w:pPr>
        <w:pStyle w:val="2"/>
        <w:rPr>
          <w:rFonts w:ascii="宋体" w:hAnsi="宋体"/>
          <w:snapToGrid w:val="0"/>
          <w:kern w:val="0"/>
          <w:sz w:val="32"/>
          <w:szCs w:val="32"/>
        </w:rPr>
      </w:pPr>
    </w:p>
    <w:p w14:paraId="5A238CC1">
      <w:pPr>
        <w:pStyle w:val="9"/>
        <w:tabs>
          <w:tab w:val="left" w:pos="315"/>
        </w:tabs>
        <w:spacing w:before="120" w:beforeLines="50" w:line="500" w:lineRule="exact"/>
        <w:ind w:firstLine="640" w:firstLineChars="200"/>
        <w:rPr>
          <w:rFonts w:ascii="宋体" w:hAnsi="宋体"/>
          <w:b/>
          <w:sz w:val="21"/>
          <w:szCs w:val="21"/>
        </w:rPr>
      </w:pPr>
      <w:bookmarkStart w:id="463" w:name="_Toc27171"/>
      <w:r>
        <w:rPr>
          <w:rFonts w:hint="eastAsia" w:ascii="宋体" w:hAnsi="宋体"/>
          <w:snapToGrid w:val="0"/>
          <w:sz w:val="32"/>
          <w:szCs w:val="32"/>
        </w:rPr>
        <w:br w:type="page"/>
      </w:r>
      <w:bookmarkEnd w:id="458"/>
      <w:bookmarkEnd w:id="459"/>
      <w:bookmarkEnd w:id="460"/>
      <w:bookmarkEnd w:id="461"/>
      <w:bookmarkEnd w:id="462"/>
      <w:bookmarkEnd w:id="463"/>
    </w:p>
    <w:p w14:paraId="467610F1">
      <w:pPr>
        <w:pStyle w:val="5"/>
        <w:jc w:val="center"/>
      </w:pPr>
      <w:bookmarkStart w:id="464" w:name="_Toc224103501"/>
      <w:bookmarkStart w:id="465" w:name="_Toc287607873"/>
      <w:bookmarkStart w:id="466" w:name="_Toc28475"/>
      <w:bookmarkStart w:id="467" w:name="_Toc430530535"/>
      <w:bookmarkStart w:id="468" w:name="_Toc287620820"/>
      <w:bookmarkStart w:id="469" w:name="_Toc277082648"/>
      <w:bookmarkStart w:id="470" w:name="_Toc9108"/>
      <w:r>
        <w:rPr>
          <w:rFonts w:hint="eastAsia"/>
        </w:rPr>
        <w:t>（五）已标价工程量清单</w:t>
      </w:r>
      <w:bookmarkEnd w:id="464"/>
      <w:bookmarkEnd w:id="465"/>
      <w:bookmarkEnd w:id="466"/>
      <w:bookmarkEnd w:id="467"/>
      <w:bookmarkEnd w:id="468"/>
      <w:bookmarkEnd w:id="469"/>
      <w:bookmarkEnd w:id="470"/>
    </w:p>
    <w:p w14:paraId="44B398AC">
      <w:pPr>
        <w:tabs>
          <w:tab w:val="left" w:pos="2580"/>
          <w:tab w:val="left" w:pos="5940"/>
        </w:tabs>
        <w:autoSpaceDE w:val="0"/>
        <w:autoSpaceDN w:val="0"/>
        <w:adjustRightInd w:val="0"/>
        <w:snapToGrid w:val="0"/>
        <w:spacing w:line="360" w:lineRule="auto"/>
        <w:jc w:val="left"/>
        <w:rPr>
          <w:rFonts w:ascii="宋体" w:hAnsi="宋体"/>
        </w:rPr>
      </w:pPr>
      <w:bookmarkStart w:id="471" w:name="_Toc224103500"/>
      <w:bookmarkStart w:id="472" w:name="_Toc287607872"/>
      <w:bookmarkStart w:id="473" w:name="_Toc430530534"/>
      <w:bookmarkStart w:id="474" w:name="_Toc287620819"/>
    </w:p>
    <w:bookmarkEnd w:id="471"/>
    <w:bookmarkEnd w:id="472"/>
    <w:bookmarkEnd w:id="473"/>
    <w:bookmarkEnd w:id="474"/>
    <w:p w14:paraId="23626116">
      <w:pPr>
        <w:autoSpaceDE w:val="0"/>
        <w:autoSpaceDN w:val="0"/>
        <w:adjustRightInd w:val="0"/>
        <w:snapToGrid w:val="0"/>
        <w:spacing w:line="360" w:lineRule="auto"/>
        <w:jc w:val="center"/>
        <w:rPr>
          <w:rFonts w:ascii="宋体" w:hAnsi="宋体"/>
          <w:i/>
          <w:iCs/>
          <w:kern w:val="0"/>
          <w:szCs w:val="21"/>
        </w:rPr>
      </w:pPr>
    </w:p>
    <w:p w14:paraId="2EB2D8E3">
      <w:pPr>
        <w:tabs>
          <w:tab w:val="left" w:pos="2580"/>
          <w:tab w:val="left" w:pos="5940"/>
        </w:tabs>
        <w:autoSpaceDE w:val="0"/>
        <w:autoSpaceDN w:val="0"/>
        <w:adjustRightInd w:val="0"/>
        <w:snapToGrid w:val="0"/>
        <w:spacing w:line="360" w:lineRule="auto"/>
        <w:ind w:firstLine="2940"/>
        <w:jc w:val="left"/>
        <w:rPr>
          <w:rFonts w:ascii="宋体" w:hAnsi="宋体"/>
          <w:kern w:val="0"/>
          <w:sz w:val="28"/>
          <w:szCs w:val="28"/>
        </w:rPr>
      </w:pPr>
    </w:p>
    <w:p w14:paraId="1B74C03D">
      <w:pPr>
        <w:autoSpaceDE w:val="0"/>
        <w:autoSpaceDN w:val="0"/>
        <w:adjustRightInd w:val="0"/>
        <w:snapToGrid w:val="0"/>
        <w:spacing w:line="360" w:lineRule="auto"/>
        <w:jc w:val="center"/>
        <w:rPr>
          <w:rFonts w:ascii="宋体" w:hAnsi="宋体"/>
        </w:rPr>
      </w:pPr>
      <w:bookmarkStart w:id="475" w:name="_Toc277082659"/>
      <w:bookmarkStart w:id="476" w:name="_Toc287607887"/>
      <w:r>
        <w:rPr>
          <w:rFonts w:ascii="宋体" w:hAnsi="宋体"/>
          <w:szCs w:val="21"/>
        </w:rPr>
        <w:br w:type="page"/>
      </w:r>
      <w:r>
        <w:rPr>
          <w:rFonts w:hint="eastAsia"/>
          <w:b/>
          <w:bCs/>
          <w:sz w:val="32"/>
          <w:szCs w:val="32"/>
        </w:rPr>
        <w:t>（六）竞选人基本情况表</w:t>
      </w:r>
    </w:p>
    <w:tbl>
      <w:tblPr>
        <w:tblStyle w:val="46"/>
        <w:tblW w:w="9469" w:type="dxa"/>
        <w:tblInd w:w="-1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1862"/>
        <w:gridCol w:w="967"/>
        <w:gridCol w:w="1024"/>
        <w:gridCol w:w="904"/>
        <w:gridCol w:w="452"/>
        <w:gridCol w:w="103"/>
        <w:gridCol w:w="1392"/>
        <w:gridCol w:w="529"/>
        <w:gridCol w:w="925"/>
        <w:gridCol w:w="1311"/>
      </w:tblGrid>
      <w:tr w14:paraId="595FAE1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14:paraId="5C5C0A09">
            <w:pPr>
              <w:autoSpaceDE w:val="0"/>
              <w:autoSpaceDN w:val="0"/>
              <w:adjustRightInd w:val="0"/>
              <w:snapToGrid w:val="0"/>
              <w:jc w:val="center"/>
              <w:rPr>
                <w:rFonts w:ascii="宋体" w:hAnsi="宋体"/>
                <w:kern w:val="0"/>
                <w:szCs w:val="21"/>
              </w:rPr>
            </w:pPr>
            <w:r>
              <w:rPr>
                <w:rFonts w:hint="eastAsia" w:ascii="宋体" w:hAnsi="宋体" w:cs="MingLiU"/>
                <w:kern w:val="0"/>
                <w:szCs w:val="21"/>
              </w:rPr>
              <w:t>竞选人名称</w:t>
            </w:r>
          </w:p>
        </w:tc>
        <w:tc>
          <w:tcPr>
            <w:tcW w:w="7607" w:type="dxa"/>
            <w:gridSpan w:val="9"/>
            <w:noWrap w:val="0"/>
            <w:vAlign w:val="center"/>
          </w:tcPr>
          <w:p w14:paraId="59A47766">
            <w:pPr>
              <w:autoSpaceDE w:val="0"/>
              <w:autoSpaceDN w:val="0"/>
              <w:adjustRightInd w:val="0"/>
              <w:snapToGrid w:val="0"/>
              <w:jc w:val="center"/>
              <w:rPr>
                <w:rFonts w:ascii="宋体" w:hAnsi="宋体"/>
                <w:kern w:val="0"/>
                <w:szCs w:val="21"/>
              </w:rPr>
            </w:pPr>
          </w:p>
        </w:tc>
      </w:tr>
      <w:tr w14:paraId="653FA1E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14:paraId="22E50DE3">
            <w:pPr>
              <w:autoSpaceDE w:val="0"/>
              <w:autoSpaceDN w:val="0"/>
              <w:adjustRightInd w:val="0"/>
              <w:snapToGrid w:val="0"/>
              <w:jc w:val="center"/>
              <w:rPr>
                <w:rFonts w:ascii="宋体" w:hAnsi="宋体"/>
                <w:kern w:val="0"/>
                <w:szCs w:val="21"/>
              </w:rPr>
            </w:pPr>
            <w:r>
              <w:rPr>
                <w:rFonts w:hint="eastAsia" w:ascii="宋体" w:hAnsi="宋体" w:cs="MingLiU"/>
                <w:kern w:val="0"/>
                <w:szCs w:val="21"/>
              </w:rPr>
              <w:t>注册地址</w:t>
            </w:r>
          </w:p>
        </w:tc>
        <w:tc>
          <w:tcPr>
            <w:tcW w:w="3450" w:type="dxa"/>
            <w:gridSpan w:val="5"/>
            <w:noWrap w:val="0"/>
            <w:vAlign w:val="center"/>
          </w:tcPr>
          <w:p w14:paraId="08383599">
            <w:pPr>
              <w:autoSpaceDE w:val="0"/>
              <w:autoSpaceDN w:val="0"/>
              <w:adjustRightInd w:val="0"/>
              <w:snapToGrid w:val="0"/>
              <w:jc w:val="center"/>
              <w:rPr>
                <w:rFonts w:ascii="宋体" w:hAnsi="宋体"/>
                <w:kern w:val="0"/>
                <w:szCs w:val="21"/>
              </w:rPr>
            </w:pPr>
          </w:p>
        </w:tc>
        <w:tc>
          <w:tcPr>
            <w:tcW w:w="1392" w:type="dxa"/>
            <w:noWrap w:val="0"/>
            <w:vAlign w:val="center"/>
          </w:tcPr>
          <w:p w14:paraId="5ECE116A">
            <w:pPr>
              <w:autoSpaceDE w:val="0"/>
              <w:autoSpaceDN w:val="0"/>
              <w:adjustRightInd w:val="0"/>
              <w:snapToGrid w:val="0"/>
              <w:jc w:val="center"/>
              <w:rPr>
                <w:rFonts w:ascii="宋体" w:hAnsi="宋体"/>
                <w:kern w:val="0"/>
                <w:szCs w:val="21"/>
              </w:rPr>
            </w:pPr>
            <w:r>
              <w:rPr>
                <w:rFonts w:hint="eastAsia" w:ascii="宋体" w:hAnsi="宋体" w:cs="MingLiU"/>
                <w:kern w:val="0"/>
                <w:szCs w:val="21"/>
              </w:rPr>
              <w:t>邮政编码</w:t>
            </w:r>
          </w:p>
        </w:tc>
        <w:tc>
          <w:tcPr>
            <w:tcW w:w="2765" w:type="dxa"/>
            <w:gridSpan w:val="3"/>
            <w:noWrap w:val="0"/>
            <w:vAlign w:val="center"/>
          </w:tcPr>
          <w:p w14:paraId="1AB0EE9F">
            <w:pPr>
              <w:autoSpaceDE w:val="0"/>
              <w:autoSpaceDN w:val="0"/>
              <w:adjustRightInd w:val="0"/>
              <w:snapToGrid w:val="0"/>
              <w:jc w:val="center"/>
              <w:rPr>
                <w:rFonts w:ascii="宋体" w:hAnsi="宋体"/>
                <w:kern w:val="0"/>
                <w:szCs w:val="21"/>
              </w:rPr>
            </w:pPr>
          </w:p>
        </w:tc>
      </w:tr>
      <w:tr w14:paraId="43617A0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Merge w:val="restart"/>
            <w:noWrap w:val="0"/>
            <w:vAlign w:val="center"/>
          </w:tcPr>
          <w:p w14:paraId="78433A38">
            <w:pPr>
              <w:autoSpaceDE w:val="0"/>
              <w:autoSpaceDN w:val="0"/>
              <w:adjustRightInd w:val="0"/>
              <w:snapToGrid w:val="0"/>
              <w:jc w:val="center"/>
              <w:rPr>
                <w:rFonts w:ascii="宋体" w:hAnsi="宋体"/>
                <w:kern w:val="0"/>
                <w:szCs w:val="21"/>
              </w:rPr>
            </w:pPr>
            <w:r>
              <w:rPr>
                <w:rFonts w:hint="eastAsia" w:ascii="宋体" w:hAnsi="宋体" w:cs="MingLiU"/>
                <w:kern w:val="0"/>
                <w:szCs w:val="21"/>
              </w:rPr>
              <w:t>联系方式</w:t>
            </w:r>
          </w:p>
        </w:tc>
        <w:tc>
          <w:tcPr>
            <w:tcW w:w="967" w:type="dxa"/>
            <w:noWrap w:val="0"/>
            <w:vAlign w:val="center"/>
          </w:tcPr>
          <w:p w14:paraId="7801919F">
            <w:pPr>
              <w:autoSpaceDE w:val="0"/>
              <w:autoSpaceDN w:val="0"/>
              <w:adjustRightInd w:val="0"/>
              <w:snapToGrid w:val="0"/>
              <w:jc w:val="center"/>
              <w:rPr>
                <w:rFonts w:ascii="宋体" w:hAnsi="宋体"/>
                <w:kern w:val="0"/>
                <w:szCs w:val="21"/>
              </w:rPr>
            </w:pPr>
            <w:r>
              <w:rPr>
                <w:rFonts w:hint="eastAsia" w:ascii="宋体" w:hAnsi="宋体" w:cs="MingLiU"/>
                <w:kern w:val="0"/>
                <w:szCs w:val="21"/>
              </w:rPr>
              <w:t>联系人</w:t>
            </w:r>
          </w:p>
        </w:tc>
        <w:tc>
          <w:tcPr>
            <w:tcW w:w="2483" w:type="dxa"/>
            <w:gridSpan w:val="4"/>
            <w:noWrap w:val="0"/>
            <w:vAlign w:val="center"/>
          </w:tcPr>
          <w:p w14:paraId="21174768">
            <w:pPr>
              <w:autoSpaceDE w:val="0"/>
              <w:autoSpaceDN w:val="0"/>
              <w:adjustRightInd w:val="0"/>
              <w:snapToGrid w:val="0"/>
              <w:jc w:val="center"/>
              <w:rPr>
                <w:rFonts w:ascii="宋体" w:hAnsi="宋体"/>
                <w:kern w:val="0"/>
                <w:szCs w:val="21"/>
              </w:rPr>
            </w:pPr>
          </w:p>
        </w:tc>
        <w:tc>
          <w:tcPr>
            <w:tcW w:w="1392" w:type="dxa"/>
            <w:noWrap w:val="0"/>
            <w:vAlign w:val="center"/>
          </w:tcPr>
          <w:p w14:paraId="0EDB5450">
            <w:pPr>
              <w:autoSpaceDE w:val="0"/>
              <w:autoSpaceDN w:val="0"/>
              <w:adjustRightInd w:val="0"/>
              <w:snapToGrid w:val="0"/>
              <w:jc w:val="center"/>
              <w:rPr>
                <w:rFonts w:ascii="宋体" w:hAnsi="宋体"/>
                <w:kern w:val="0"/>
                <w:szCs w:val="21"/>
              </w:rPr>
            </w:pPr>
            <w:r>
              <w:rPr>
                <w:rFonts w:hint="eastAsia" w:ascii="宋体" w:hAnsi="宋体" w:cs="MingLiU"/>
                <w:kern w:val="0"/>
                <w:szCs w:val="21"/>
              </w:rPr>
              <w:t>电话</w:t>
            </w:r>
          </w:p>
        </w:tc>
        <w:tc>
          <w:tcPr>
            <w:tcW w:w="2765" w:type="dxa"/>
            <w:gridSpan w:val="3"/>
            <w:noWrap w:val="0"/>
            <w:vAlign w:val="center"/>
          </w:tcPr>
          <w:p w14:paraId="4CAD57A3">
            <w:pPr>
              <w:autoSpaceDE w:val="0"/>
              <w:autoSpaceDN w:val="0"/>
              <w:adjustRightInd w:val="0"/>
              <w:snapToGrid w:val="0"/>
              <w:jc w:val="center"/>
              <w:rPr>
                <w:rFonts w:ascii="宋体" w:hAnsi="宋体"/>
                <w:kern w:val="0"/>
                <w:szCs w:val="21"/>
              </w:rPr>
            </w:pPr>
          </w:p>
        </w:tc>
      </w:tr>
      <w:tr w14:paraId="4A1CE55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Merge w:val="continue"/>
            <w:noWrap w:val="0"/>
            <w:vAlign w:val="center"/>
          </w:tcPr>
          <w:p w14:paraId="37A9F12F">
            <w:pPr>
              <w:autoSpaceDE w:val="0"/>
              <w:autoSpaceDN w:val="0"/>
              <w:adjustRightInd w:val="0"/>
              <w:snapToGrid w:val="0"/>
              <w:jc w:val="center"/>
              <w:rPr>
                <w:rFonts w:ascii="宋体" w:hAnsi="宋体"/>
                <w:kern w:val="0"/>
                <w:szCs w:val="21"/>
              </w:rPr>
            </w:pPr>
          </w:p>
        </w:tc>
        <w:tc>
          <w:tcPr>
            <w:tcW w:w="967" w:type="dxa"/>
            <w:noWrap w:val="0"/>
            <w:vAlign w:val="center"/>
          </w:tcPr>
          <w:p w14:paraId="51A879E7">
            <w:pPr>
              <w:tabs>
                <w:tab w:val="left" w:pos="540"/>
              </w:tabs>
              <w:autoSpaceDE w:val="0"/>
              <w:autoSpaceDN w:val="0"/>
              <w:adjustRightInd w:val="0"/>
              <w:snapToGrid w:val="0"/>
              <w:jc w:val="center"/>
              <w:rPr>
                <w:rFonts w:ascii="宋体" w:hAnsi="宋体"/>
                <w:kern w:val="0"/>
                <w:szCs w:val="21"/>
              </w:rPr>
            </w:pPr>
            <w:r>
              <w:rPr>
                <w:rFonts w:hint="eastAsia" w:ascii="宋体" w:hAnsi="宋体" w:cs="MingLiU"/>
                <w:kern w:val="0"/>
                <w:szCs w:val="21"/>
              </w:rPr>
              <w:t>传  真</w:t>
            </w:r>
          </w:p>
        </w:tc>
        <w:tc>
          <w:tcPr>
            <w:tcW w:w="2483" w:type="dxa"/>
            <w:gridSpan w:val="4"/>
            <w:noWrap w:val="0"/>
            <w:vAlign w:val="center"/>
          </w:tcPr>
          <w:p w14:paraId="35C1F203">
            <w:pPr>
              <w:autoSpaceDE w:val="0"/>
              <w:autoSpaceDN w:val="0"/>
              <w:adjustRightInd w:val="0"/>
              <w:snapToGrid w:val="0"/>
              <w:jc w:val="center"/>
              <w:rPr>
                <w:rFonts w:ascii="宋体" w:hAnsi="宋体"/>
                <w:kern w:val="0"/>
                <w:szCs w:val="21"/>
              </w:rPr>
            </w:pPr>
          </w:p>
        </w:tc>
        <w:tc>
          <w:tcPr>
            <w:tcW w:w="1392" w:type="dxa"/>
            <w:noWrap w:val="0"/>
            <w:vAlign w:val="center"/>
          </w:tcPr>
          <w:p w14:paraId="41FFD97B">
            <w:pPr>
              <w:autoSpaceDE w:val="0"/>
              <w:autoSpaceDN w:val="0"/>
              <w:adjustRightInd w:val="0"/>
              <w:snapToGrid w:val="0"/>
              <w:jc w:val="center"/>
              <w:rPr>
                <w:rFonts w:ascii="宋体" w:hAnsi="宋体"/>
                <w:kern w:val="0"/>
                <w:szCs w:val="21"/>
              </w:rPr>
            </w:pPr>
            <w:r>
              <w:rPr>
                <w:rFonts w:hint="eastAsia" w:ascii="宋体" w:hAnsi="宋体" w:cs="MingLiU"/>
                <w:kern w:val="0"/>
                <w:szCs w:val="21"/>
              </w:rPr>
              <w:t>网址</w:t>
            </w:r>
          </w:p>
        </w:tc>
        <w:tc>
          <w:tcPr>
            <w:tcW w:w="2765" w:type="dxa"/>
            <w:gridSpan w:val="3"/>
            <w:noWrap w:val="0"/>
            <w:vAlign w:val="center"/>
          </w:tcPr>
          <w:p w14:paraId="026E8E87">
            <w:pPr>
              <w:autoSpaceDE w:val="0"/>
              <w:autoSpaceDN w:val="0"/>
              <w:adjustRightInd w:val="0"/>
              <w:snapToGrid w:val="0"/>
              <w:jc w:val="center"/>
              <w:rPr>
                <w:rFonts w:ascii="宋体" w:hAnsi="宋体"/>
                <w:kern w:val="0"/>
                <w:szCs w:val="21"/>
              </w:rPr>
            </w:pPr>
          </w:p>
        </w:tc>
      </w:tr>
      <w:tr w14:paraId="7998B58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14:paraId="49312CC2">
            <w:pPr>
              <w:autoSpaceDE w:val="0"/>
              <w:autoSpaceDN w:val="0"/>
              <w:adjustRightInd w:val="0"/>
              <w:snapToGrid w:val="0"/>
              <w:jc w:val="center"/>
              <w:rPr>
                <w:rFonts w:ascii="宋体" w:hAnsi="宋体"/>
                <w:kern w:val="0"/>
                <w:szCs w:val="21"/>
              </w:rPr>
            </w:pPr>
            <w:r>
              <w:rPr>
                <w:rFonts w:hint="eastAsia" w:ascii="宋体" w:hAnsi="宋体" w:cs="MingLiU"/>
                <w:kern w:val="0"/>
                <w:szCs w:val="21"/>
              </w:rPr>
              <w:t>组织结构</w:t>
            </w:r>
          </w:p>
        </w:tc>
        <w:tc>
          <w:tcPr>
            <w:tcW w:w="7607" w:type="dxa"/>
            <w:gridSpan w:val="9"/>
            <w:noWrap w:val="0"/>
            <w:vAlign w:val="center"/>
          </w:tcPr>
          <w:p w14:paraId="5316D780">
            <w:pPr>
              <w:autoSpaceDE w:val="0"/>
              <w:autoSpaceDN w:val="0"/>
              <w:adjustRightInd w:val="0"/>
              <w:snapToGrid w:val="0"/>
              <w:jc w:val="center"/>
              <w:rPr>
                <w:rFonts w:ascii="宋体" w:hAnsi="宋体"/>
                <w:kern w:val="0"/>
                <w:szCs w:val="21"/>
              </w:rPr>
            </w:pPr>
          </w:p>
        </w:tc>
      </w:tr>
      <w:tr w14:paraId="0D567B0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14:paraId="6B6EFAEA">
            <w:pPr>
              <w:autoSpaceDE w:val="0"/>
              <w:autoSpaceDN w:val="0"/>
              <w:adjustRightInd w:val="0"/>
              <w:snapToGrid w:val="0"/>
              <w:jc w:val="center"/>
              <w:rPr>
                <w:rFonts w:ascii="宋体" w:hAnsi="宋体"/>
                <w:kern w:val="0"/>
                <w:szCs w:val="21"/>
              </w:rPr>
            </w:pPr>
            <w:r>
              <w:rPr>
                <w:rFonts w:hint="eastAsia" w:ascii="宋体" w:hAnsi="宋体" w:cs="MingLiU"/>
                <w:kern w:val="0"/>
                <w:szCs w:val="21"/>
              </w:rPr>
              <w:t>法定代表人</w:t>
            </w:r>
          </w:p>
        </w:tc>
        <w:tc>
          <w:tcPr>
            <w:tcW w:w="967" w:type="dxa"/>
            <w:noWrap w:val="0"/>
            <w:vAlign w:val="center"/>
          </w:tcPr>
          <w:p w14:paraId="7AAD6990">
            <w:pPr>
              <w:autoSpaceDE w:val="0"/>
              <w:autoSpaceDN w:val="0"/>
              <w:adjustRightInd w:val="0"/>
              <w:snapToGrid w:val="0"/>
              <w:jc w:val="center"/>
              <w:rPr>
                <w:rFonts w:ascii="宋体" w:hAnsi="宋体"/>
                <w:kern w:val="0"/>
                <w:szCs w:val="21"/>
              </w:rPr>
            </w:pPr>
            <w:r>
              <w:rPr>
                <w:rFonts w:hint="eastAsia" w:ascii="宋体" w:hAnsi="宋体" w:cs="MingLiU"/>
                <w:kern w:val="0"/>
                <w:szCs w:val="21"/>
              </w:rPr>
              <w:t>姓  名</w:t>
            </w:r>
          </w:p>
        </w:tc>
        <w:tc>
          <w:tcPr>
            <w:tcW w:w="1024" w:type="dxa"/>
            <w:noWrap w:val="0"/>
            <w:vAlign w:val="center"/>
          </w:tcPr>
          <w:p w14:paraId="0B645E0B">
            <w:pPr>
              <w:autoSpaceDE w:val="0"/>
              <w:autoSpaceDN w:val="0"/>
              <w:adjustRightInd w:val="0"/>
              <w:snapToGrid w:val="0"/>
              <w:jc w:val="center"/>
              <w:rPr>
                <w:rFonts w:ascii="宋体" w:hAnsi="宋体"/>
                <w:kern w:val="0"/>
                <w:szCs w:val="21"/>
              </w:rPr>
            </w:pPr>
          </w:p>
        </w:tc>
        <w:tc>
          <w:tcPr>
            <w:tcW w:w="1356" w:type="dxa"/>
            <w:gridSpan w:val="2"/>
            <w:noWrap w:val="0"/>
            <w:vAlign w:val="center"/>
          </w:tcPr>
          <w:p w14:paraId="112B58FB">
            <w:pPr>
              <w:autoSpaceDE w:val="0"/>
              <w:autoSpaceDN w:val="0"/>
              <w:adjustRightInd w:val="0"/>
              <w:snapToGrid w:val="0"/>
              <w:jc w:val="center"/>
              <w:rPr>
                <w:rFonts w:ascii="宋体" w:hAnsi="宋体"/>
                <w:kern w:val="0"/>
                <w:szCs w:val="21"/>
              </w:rPr>
            </w:pPr>
            <w:r>
              <w:rPr>
                <w:rFonts w:hint="eastAsia" w:ascii="宋体" w:hAnsi="宋体" w:cs="MingLiU"/>
                <w:kern w:val="0"/>
                <w:szCs w:val="21"/>
              </w:rPr>
              <w:t>技术职称</w:t>
            </w:r>
          </w:p>
        </w:tc>
        <w:tc>
          <w:tcPr>
            <w:tcW w:w="2024" w:type="dxa"/>
            <w:gridSpan w:val="3"/>
            <w:noWrap w:val="0"/>
            <w:vAlign w:val="center"/>
          </w:tcPr>
          <w:p w14:paraId="06A304D8">
            <w:pPr>
              <w:autoSpaceDE w:val="0"/>
              <w:autoSpaceDN w:val="0"/>
              <w:adjustRightInd w:val="0"/>
              <w:snapToGrid w:val="0"/>
              <w:jc w:val="center"/>
              <w:rPr>
                <w:rFonts w:ascii="宋体" w:hAnsi="宋体"/>
                <w:kern w:val="0"/>
                <w:szCs w:val="21"/>
              </w:rPr>
            </w:pPr>
          </w:p>
        </w:tc>
        <w:tc>
          <w:tcPr>
            <w:tcW w:w="925" w:type="dxa"/>
            <w:noWrap w:val="0"/>
            <w:vAlign w:val="center"/>
          </w:tcPr>
          <w:p w14:paraId="72417808">
            <w:pPr>
              <w:autoSpaceDE w:val="0"/>
              <w:autoSpaceDN w:val="0"/>
              <w:adjustRightInd w:val="0"/>
              <w:snapToGrid w:val="0"/>
              <w:jc w:val="center"/>
              <w:rPr>
                <w:rFonts w:ascii="宋体" w:hAnsi="宋体"/>
                <w:kern w:val="0"/>
                <w:szCs w:val="21"/>
              </w:rPr>
            </w:pPr>
            <w:r>
              <w:rPr>
                <w:rFonts w:hint="eastAsia" w:ascii="宋体" w:hAnsi="宋体" w:cs="MingLiU"/>
                <w:kern w:val="0"/>
                <w:szCs w:val="21"/>
              </w:rPr>
              <w:t>电  话</w:t>
            </w:r>
          </w:p>
        </w:tc>
        <w:tc>
          <w:tcPr>
            <w:tcW w:w="1311" w:type="dxa"/>
            <w:noWrap w:val="0"/>
            <w:vAlign w:val="center"/>
          </w:tcPr>
          <w:p w14:paraId="0F31D5CB">
            <w:pPr>
              <w:autoSpaceDE w:val="0"/>
              <w:autoSpaceDN w:val="0"/>
              <w:adjustRightInd w:val="0"/>
              <w:snapToGrid w:val="0"/>
              <w:jc w:val="center"/>
              <w:rPr>
                <w:rFonts w:ascii="宋体" w:hAnsi="宋体"/>
                <w:kern w:val="0"/>
                <w:szCs w:val="21"/>
              </w:rPr>
            </w:pPr>
          </w:p>
        </w:tc>
      </w:tr>
      <w:tr w14:paraId="1A8299B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14:paraId="1FF02D9B">
            <w:pPr>
              <w:autoSpaceDE w:val="0"/>
              <w:autoSpaceDN w:val="0"/>
              <w:adjustRightInd w:val="0"/>
              <w:snapToGrid w:val="0"/>
              <w:jc w:val="center"/>
              <w:rPr>
                <w:rFonts w:ascii="宋体" w:hAnsi="宋体"/>
                <w:kern w:val="0"/>
                <w:szCs w:val="21"/>
              </w:rPr>
            </w:pPr>
            <w:r>
              <w:rPr>
                <w:rFonts w:hint="eastAsia" w:ascii="宋体" w:hAnsi="宋体" w:cs="MingLiU"/>
                <w:kern w:val="0"/>
                <w:szCs w:val="21"/>
              </w:rPr>
              <w:t>技术负责人</w:t>
            </w:r>
          </w:p>
        </w:tc>
        <w:tc>
          <w:tcPr>
            <w:tcW w:w="967" w:type="dxa"/>
            <w:noWrap w:val="0"/>
            <w:vAlign w:val="center"/>
          </w:tcPr>
          <w:p w14:paraId="24440728">
            <w:pPr>
              <w:autoSpaceDE w:val="0"/>
              <w:autoSpaceDN w:val="0"/>
              <w:adjustRightInd w:val="0"/>
              <w:snapToGrid w:val="0"/>
              <w:jc w:val="center"/>
              <w:rPr>
                <w:rFonts w:ascii="宋体" w:hAnsi="宋体"/>
                <w:kern w:val="0"/>
                <w:szCs w:val="21"/>
              </w:rPr>
            </w:pPr>
            <w:r>
              <w:rPr>
                <w:rFonts w:hint="eastAsia" w:ascii="宋体" w:hAnsi="宋体" w:cs="MingLiU"/>
                <w:kern w:val="0"/>
                <w:szCs w:val="21"/>
              </w:rPr>
              <w:t>姓  名</w:t>
            </w:r>
          </w:p>
        </w:tc>
        <w:tc>
          <w:tcPr>
            <w:tcW w:w="1024" w:type="dxa"/>
            <w:noWrap w:val="0"/>
            <w:vAlign w:val="center"/>
          </w:tcPr>
          <w:p w14:paraId="50D0E500">
            <w:pPr>
              <w:autoSpaceDE w:val="0"/>
              <w:autoSpaceDN w:val="0"/>
              <w:adjustRightInd w:val="0"/>
              <w:snapToGrid w:val="0"/>
              <w:jc w:val="center"/>
              <w:rPr>
                <w:rFonts w:ascii="宋体" w:hAnsi="宋体"/>
                <w:kern w:val="0"/>
                <w:szCs w:val="21"/>
              </w:rPr>
            </w:pPr>
          </w:p>
        </w:tc>
        <w:tc>
          <w:tcPr>
            <w:tcW w:w="1356" w:type="dxa"/>
            <w:gridSpan w:val="2"/>
            <w:noWrap w:val="0"/>
            <w:vAlign w:val="center"/>
          </w:tcPr>
          <w:p w14:paraId="61123788">
            <w:pPr>
              <w:autoSpaceDE w:val="0"/>
              <w:autoSpaceDN w:val="0"/>
              <w:adjustRightInd w:val="0"/>
              <w:snapToGrid w:val="0"/>
              <w:jc w:val="center"/>
              <w:rPr>
                <w:rFonts w:ascii="宋体" w:hAnsi="宋体"/>
                <w:kern w:val="0"/>
                <w:szCs w:val="21"/>
              </w:rPr>
            </w:pPr>
            <w:r>
              <w:rPr>
                <w:rFonts w:hint="eastAsia" w:ascii="宋体" w:hAnsi="宋体" w:cs="MingLiU"/>
                <w:kern w:val="0"/>
                <w:szCs w:val="21"/>
              </w:rPr>
              <w:t>技术职称</w:t>
            </w:r>
          </w:p>
        </w:tc>
        <w:tc>
          <w:tcPr>
            <w:tcW w:w="2024" w:type="dxa"/>
            <w:gridSpan w:val="3"/>
            <w:noWrap w:val="0"/>
            <w:vAlign w:val="center"/>
          </w:tcPr>
          <w:p w14:paraId="2FD84F85">
            <w:pPr>
              <w:autoSpaceDE w:val="0"/>
              <w:autoSpaceDN w:val="0"/>
              <w:adjustRightInd w:val="0"/>
              <w:snapToGrid w:val="0"/>
              <w:jc w:val="center"/>
              <w:rPr>
                <w:rFonts w:ascii="宋体" w:hAnsi="宋体"/>
                <w:kern w:val="0"/>
                <w:szCs w:val="21"/>
              </w:rPr>
            </w:pPr>
          </w:p>
        </w:tc>
        <w:tc>
          <w:tcPr>
            <w:tcW w:w="925" w:type="dxa"/>
            <w:noWrap w:val="0"/>
            <w:vAlign w:val="center"/>
          </w:tcPr>
          <w:p w14:paraId="6310A44E">
            <w:pPr>
              <w:autoSpaceDE w:val="0"/>
              <w:autoSpaceDN w:val="0"/>
              <w:adjustRightInd w:val="0"/>
              <w:snapToGrid w:val="0"/>
              <w:jc w:val="center"/>
              <w:rPr>
                <w:rFonts w:ascii="宋体" w:hAnsi="宋体"/>
                <w:kern w:val="0"/>
                <w:szCs w:val="21"/>
              </w:rPr>
            </w:pPr>
            <w:r>
              <w:rPr>
                <w:rFonts w:hint="eastAsia" w:ascii="宋体" w:hAnsi="宋体" w:cs="MingLiU"/>
                <w:kern w:val="0"/>
                <w:szCs w:val="21"/>
              </w:rPr>
              <w:t>电  话</w:t>
            </w:r>
          </w:p>
        </w:tc>
        <w:tc>
          <w:tcPr>
            <w:tcW w:w="1311" w:type="dxa"/>
            <w:noWrap w:val="0"/>
            <w:vAlign w:val="center"/>
          </w:tcPr>
          <w:p w14:paraId="0F431620">
            <w:pPr>
              <w:autoSpaceDE w:val="0"/>
              <w:autoSpaceDN w:val="0"/>
              <w:adjustRightInd w:val="0"/>
              <w:snapToGrid w:val="0"/>
              <w:jc w:val="center"/>
              <w:rPr>
                <w:rFonts w:ascii="宋体" w:hAnsi="宋体"/>
                <w:kern w:val="0"/>
                <w:szCs w:val="21"/>
              </w:rPr>
            </w:pPr>
          </w:p>
        </w:tc>
      </w:tr>
      <w:tr w14:paraId="10216ED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14:paraId="6C788D7F">
            <w:pPr>
              <w:autoSpaceDE w:val="0"/>
              <w:autoSpaceDN w:val="0"/>
              <w:adjustRightInd w:val="0"/>
              <w:snapToGrid w:val="0"/>
              <w:jc w:val="center"/>
              <w:rPr>
                <w:rFonts w:ascii="宋体" w:hAnsi="宋体"/>
                <w:kern w:val="0"/>
                <w:szCs w:val="21"/>
              </w:rPr>
            </w:pPr>
            <w:r>
              <w:rPr>
                <w:rFonts w:hint="eastAsia" w:ascii="宋体" w:hAnsi="宋体" w:cs="MingLiU"/>
                <w:kern w:val="0"/>
                <w:szCs w:val="21"/>
              </w:rPr>
              <w:t>成立时间</w:t>
            </w:r>
          </w:p>
        </w:tc>
        <w:tc>
          <w:tcPr>
            <w:tcW w:w="1991" w:type="dxa"/>
            <w:gridSpan w:val="2"/>
            <w:noWrap w:val="0"/>
            <w:vAlign w:val="center"/>
          </w:tcPr>
          <w:p w14:paraId="0ED266E8">
            <w:pPr>
              <w:autoSpaceDE w:val="0"/>
              <w:autoSpaceDN w:val="0"/>
              <w:adjustRightInd w:val="0"/>
              <w:snapToGrid w:val="0"/>
              <w:jc w:val="center"/>
              <w:rPr>
                <w:rFonts w:ascii="宋体" w:hAnsi="宋体"/>
                <w:kern w:val="0"/>
                <w:szCs w:val="21"/>
              </w:rPr>
            </w:pPr>
          </w:p>
        </w:tc>
        <w:tc>
          <w:tcPr>
            <w:tcW w:w="5616" w:type="dxa"/>
            <w:gridSpan w:val="7"/>
            <w:noWrap w:val="0"/>
            <w:vAlign w:val="center"/>
          </w:tcPr>
          <w:p w14:paraId="4F0925E2">
            <w:pPr>
              <w:autoSpaceDE w:val="0"/>
              <w:autoSpaceDN w:val="0"/>
              <w:adjustRightInd w:val="0"/>
              <w:snapToGrid w:val="0"/>
              <w:jc w:val="center"/>
              <w:rPr>
                <w:rFonts w:ascii="宋体" w:hAnsi="宋体"/>
                <w:kern w:val="0"/>
                <w:szCs w:val="21"/>
              </w:rPr>
            </w:pPr>
            <w:r>
              <w:rPr>
                <w:rFonts w:hint="eastAsia" w:ascii="宋体" w:hAnsi="宋体" w:cs="MingLiU"/>
                <w:kern w:val="0"/>
                <w:szCs w:val="21"/>
              </w:rPr>
              <w:t>员工总人数：</w:t>
            </w:r>
          </w:p>
        </w:tc>
      </w:tr>
      <w:tr w14:paraId="4CAC3D3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14:paraId="0493E3E2">
            <w:pPr>
              <w:autoSpaceDE w:val="0"/>
              <w:autoSpaceDN w:val="0"/>
              <w:adjustRightInd w:val="0"/>
              <w:snapToGrid w:val="0"/>
              <w:jc w:val="center"/>
              <w:rPr>
                <w:rFonts w:ascii="宋体" w:hAnsi="宋体"/>
                <w:kern w:val="0"/>
                <w:szCs w:val="21"/>
              </w:rPr>
            </w:pPr>
            <w:r>
              <w:rPr>
                <w:rFonts w:hint="eastAsia" w:ascii="宋体" w:hAnsi="宋体" w:cs="MingLiU"/>
                <w:kern w:val="0"/>
                <w:szCs w:val="21"/>
              </w:rPr>
              <w:t>企业资质等级</w:t>
            </w:r>
          </w:p>
        </w:tc>
        <w:tc>
          <w:tcPr>
            <w:tcW w:w="1991" w:type="dxa"/>
            <w:gridSpan w:val="2"/>
            <w:noWrap w:val="0"/>
            <w:vAlign w:val="center"/>
          </w:tcPr>
          <w:p w14:paraId="4391D591">
            <w:pPr>
              <w:autoSpaceDE w:val="0"/>
              <w:autoSpaceDN w:val="0"/>
              <w:adjustRightInd w:val="0"/>
              <w:snapToGrid w:val="0"/>
              <w:jc w:val="center"/>
              <w:rPr>
                <w:rFonts w:ascii="宋体" w:hAnsi="宋体"/>
                <w:kern w:val="0"/>
                <w:szCs w:val="21"/>
              </w:rPr>
            </w:pPr>
          </w:p>
        </w:tc>
        <w:tc>
          <w:tcPr>
            <w:tcW w:w="904" w:type="dxa"/>
            <w:vMerge w:val="restart"/>
            <w:noWrap w:val="0"/>
            <w:vAlign w:val="center"/>
          </w:tcPr>
          <w:p w14:paraId="0F975621">
            <w:pPr>
              <w:autoSpaceDE w:val="0"/>
              <w:autoSpaceDN w:val="0"/>
              <w:adjustRightInd w:val="0"/>
              <w:snapToGrid w:val="0"/>
              <w:jc w:val="center"/>
              <w:rPr>
                <w:rFonts w:ascii="宋体" w:hAnsi="宋体"/>
                <w:kern w:val="0"/>
                <w:szCs w:val="21"/>
              </w:rPr>
            </w:pPr>
            <w:r>
              <w:rPr>
                <w:rFonts w:hint="eastAsia" w:ascii="宋体" w:hAnsi="宋体" w:cs="MingLiU"/>
                <w:kern w:val="0"/>
                <w:szCs w:val="21"/>
              </w:rPr>
              <w:t>其中</w:t>
            </w:r>
          </w:p>
        </w:tc>
        <w:tc>
          <w:tcPr>
            <w:tcW w:w="2476" w:type="dxa"/>
            <w:gridSpan w:val="4"/>
            <w:noWrap w:val="0"/>
            <w:vAlign w:val="center"/>
          </w:tcPr>
          <w:p w14:paraId="3E847CE7">
            <w:pPr>
              <w:autoSpaceDE w:val="0"/>
              <w:autoSpaceDN w:val="0"/>
              <w:adjustRightInd w:val="0"/>
              <w:snapToGrid w:val="0"/>
              <w:jc w:val="center"/>
              <w:rPr>
                <w:rFonts w:ascii="宋体" w:hAnsi="宋体"/>
                <w:kern w:val="0"/>
                <w:szCs w:val="21"/>
              </w:rPr>
            </w:pPr>
            <w:r>
              <w:rPr>
                <w:rFonts w:hint="eastAsia" w:ascii="宋体" w:hAnsi="宋体" w:cs="MingLiU"/>
                <w:kern w:val="0"/>
                <w:szCs w:val="21"/>
              </w:rPr>
              <w:t>项目经理</w:t>
            </w:r>
          </w:p>
        </w:tc>
        <w:tc>
          <w:tcPr>
            <w:tcW w:w="2236" w:type="dxa"/>
            <w:gridSpan w:val="2"/>
            <w:noWrap w:val="0"/>
            <w:vAlign w:val="center"/>
          </w:tcPr>
          <w:p w14:paraId="27E0001B">
            <w:pPr>
              <w:autoSpaceDE w:val="0"/>
              <w:autoSpaceDN w:val="0"/>
              <w:adjustRightInd w:val="0"/>
              <w:snapToGrid w:val="0"/>
              <w:jc w:val="center"/>
              <w:rPr>
                <w:rFonts w:ascii="宋体" w:hAnsi="宋体"/>
                <w:kern w:val="0"/>
                <w:szCs w:val="21"/>
              </w:rPr>
            </w:pPr>
          </w:p>
        </w:tc>
      </w:tr>
      <w:tr w14:paraId="314A0CA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14:paraId="5B7A4036">
            <w:pPr>
              <w:autoSpaceDE w:val="0"/>
              <w:autoSpaceDN w:val="0"/>
              <w:adjustRightInd w:val="0"/>
              <w:snapToGrid w:val="0"/>
              <w:jc w:val="center"/>
              <w:rPr>
                <w:rFonts w:ascii="宋体" w:hAnsi="宋体"/>
                <w:kern w:val="0"/>
                <w:szCs w:val="21"/>
              </w:rPr>
            </w:pPr>
            <w:r>
              <w:rPr>
                <w:rFonts w:hint="eastAsia" w:ascii="宋体" w:hAnsi="宋体" w:cs="MingLiU"/>
                <w:kern w:val="0"/>
                <w:szCs w:val="21"/>
              </w:rPr>
              <w:t>统一社会信用代码</w:t>
            </w:r>
          </w:p>
        </w:tc>
        <w:tc>
          <w:tcPr>
            <w:tcW w:w="1991" w:type="dxa"/>
            <w:gridSpan w:val="2"/>
            <w:noWrap w:val="0"/>
            <w:vAlign w:val="center"/>
          </w:tcPr>
          <w:p w14:paraId="38080F8E">
            <w:pPr>
              <w:autoSpaceDE w:val="0"/>
              <w:autoSpaceDN w:val="0"/>
              <w:adjustRightInd w:val="0"/>
              <w:snapToGrid w:val="0"/>
              <w:jc w:val="center"/>
              <w:rPr>
                <w:rFonts w:ascii="宋体" w:hAnsi="宋体"/>
                <w:kern w:val="0"/>
                <w:szCs w:val="21"/>
              </w:rPr>
            </w:pPr>
          </w:p>
        </w:tc>
        <w:tc>
          <w:tcPr>
            <w:tcW w:w="904" w:type="dxa"/>
            <w:vMerge w:val="continue"/>
            <w:noWrap w:val="0"/>
            <w:vAlign w:val="center"/>
          </w:tcPr>
          <w:p w14:paraId="005D96D6">
            <w:pPr>
              <w:autoSpaceDE w:val="0"/>
              <w:autoSpaceDN w:val="0"/>
              <w:adjustRightInd w:val="0"/>
              <w:snapToGrid w:val="0"/>
              <w:jc w:val="center"/>
              <w:rPr>
                <w:rFonts w:ascii="宋体" w:hAnsi="宋体"/>
                <w:kern w:val="0"/>
                <w:szCs w:val="21"/>
              </w:rPr>
            </w:pPr>
          </w:p>
        </w:tc>
        <w:tc>
          <w:tcPr>
            <w:tcW w:w="2476" w:type="dxa"/>
            <w:gridSpan w:val="4"/>
            <w:noWrap w:val="0"/>
            <w:vAlign w:val="center"/>
          </w:tcPr>
          <w:p w14:paraId="7F4E5756">
            <w:pPr>
              <w:autoSpaceDE w:val="0"/>
              <w:autoSpaceDN w:val="0"/>
              <w:adjustRightInd w:val="0"/>
              <w:snapToGrid w:val="0"/>
              <w:jc w:val="center"/>
              <w:rPr>
                <w:rFonts w:ascii="宋体" w:hAnsi="宋体"/>
                <w:kern w:val="0"/>
                <w:szCs w:val="21"/>
              </w:rPr>
            </w:pPr>
            <w:r>
              <w:rPr>
                <w:rFonts w:hint="eastAsia" w:ascii="宋体" w:hAnsi="宋体" w:cs="MingLiU"/>
                <w:kern w:val="0"/>
                <w:szCs w:val="21"/>
              </w:rPr>
              <w:t>高级职称人员</w:t>
            </w:r>
          </w:p>
        </w:tc>
        <w:tc>
          <w:tcPr>
            <w:tcW w:w="2236" w:type="dxa"/>
            <w:gridSpan w:val="2"/>
            <w:noWrap w:val="0"/>
            <w:vAlign w:val="center"/>
          </w:tcPr>
          <w:p w14:paraId="7E73FDEE">
            <w:pPr>
              <w:autoSpaceDE w:val="0"/>
              <w:autoSpaceDN w:val="0"/>
              <w:adjustRightInd w:val="0"/>
              <w:snapToGrid w:val="0"/>
              <w:jc w:val="center"/>
              <w:rPr>
                <w:rFonts w:ascii="宋体" w:hAnsi="宋体"/>
                <w:kern w:val="0"/>
                <w:szCs w:val="21"/>
              </w:rPr>
            </w:pPr>
          </w:p>
        </w:tc>
      </w:tr>
      <w:tr w14:paraId="1FE78DB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14:paraId="40460A95">
            <w:pPr>
              <w:autoSpaceDE w:val="0"/>
              <w:autoSpaceDN w:val="0"/>
              <w:adjustRightInd w:val="0"/>
              <w:snapToGrid w:val="0"/>
              <w:jc w:val="center"/>
              <w:rPr>
                <w:rFonts w:ascii="宋体" w:hAnsi="宋体"/>
                <w:kern w:val="0"/>
                <w:szCs w:val="21"/>
              </w:rPr>
            </w:pPr>
            <w:r>
              <w:rPr>
                <w:rFonts w:hint="eastAsia" w:ascii="宋体" w:hAnsi="宋体" w:cs="MingLiU"/>
                <w:kern w:val="0"/>
                <w:szCs w:val="21"/>
              </w:rPr>
              <w:t>注册资金</w:t>
            </w:r>
          </w:p>
        </w:tc>
        <w:tc>
          <w:tcPr>
            <w:tcW w:w="1991" w:type="dxa"/>
            <w:gridSpan w:val="2"/>
            <w:noWrap w:val="0"/>
            <w:vAlign w:val="center"/>
          </w:tcPr>
          <w:p w14:paraId="6ABD1A48">
            <w:pPr>
              <w:autoSpaceDE w:val="0"/>
              <w:autoSpaceDN w:val="0"/>
              <w:adjustRightInd w:val="0"/>
              <w:snapToGrid w:val="0"/>
              <w:jc w:val="center"/>
              <w:rPr>
                <w:rFonts w:ascii="宋体" w:hAnsi="宋体"/>
                <w:kern w:val="0"/>
                <w:szCs w:val="21"/>
              </w:rPr>
            </w:pPr>
          </w:p>
        </w:tc>
        <w:tc>
          <w:tcPr>
            <w:tcW w:w="904" w:type="dxa"/>
            <w:vMerge w:val="continue"/>
            <w:noWrap w:val="0"/>
            <w:vAlign w:val="center"/>
          </w:tcPr>
          <w:p w14:paraId="2A21D7D1">
            <w:pPr>
              <w:autoSpaceDE w:val="0"/>
              <w:autoSpaceDN w:val="0"/>
              <w:adjustRightInd w:val="0"/>
              <w:snapToGrid w:val="0"/>
              <w:jc w:val="center"/>
              <w:rPr>
                <w:rFonts w:ascii="宋体" w:hAnsi="宋体"/>
                <w:kern w:val="0"/>
                <w:szCs w:val="21"/>
              </w:rPr>
            </w:pPr>
          </w:p>
        </w:tc>
        <w:tc>
          <w:tcPr>
            <w:tcW w:w="2476" w:type="dxa"/>
            <w:gridSpan w:val="4"/>
            <w:noWrap w:val="0"/>
            <w:vAlign w:val="center"/>
          </w:tcPr>
          <w:p w14:paraId="54C2A5BE">
            <w:pPr>
              <w:autoSpaceDE w:val="0"/>
              <w:autoSpaceDN w:val="0"/>
              <w:adjustRightInd w:val="0"/>
              <w:snapToGrid w:val="0"/>
              <w:jc w:val="center"/>
              <w:rPr>
                <w:rFonts w:ascii="宋体" w:hAnsi="宋体"/>
                <w:kern w:val="0"/>
                <w:szCs w:val="21"/>
              </w:rPr>
            </w:pPr>
            <w:r>
              <w:rPr>
                <w:rFonts w:hint="eastAsia" w:ascii="宋体" w:hAnsi="宋体" w:cs="MingLiU"/>
                <w:kern w:val="0"/>
                <w:szCs w:val="21"/>
              </w:rPr>
              <w:t>中级职称人员</w:t>
            </w:r>
          </w:p>
        </w:tc>
        <w:tc>
          <w:tcPr>
            <w:tcW w:w="2236" w:type="dxa"/>
            <w:gridSpan w:val="2"/>
            <w:noWrap w:val="0"/>
            <w:vAlign w:val="center"/>
          </w:tcPr>
          <w:p w14:paraId="2D9E53C7">
            <w:pPr>
              <w:autoSpaceDE w:val="0"/>
              <w:autoSpaceDN w:val="0"/>
              <w:adjustRightInd w:val="0"/>
              <w:snapToGrid w:val="0"/>
              <w:jc w:val="center"/>
              <w:rPr>
                <w:rFonts w:ascii="宋体" w:hAnsi="宋体"/>
                <w:kern w:val="0"/>
                <w:szCs w:val="21"/>
              </w:rPr>
            </w:pPr>
          </w:p>
        </w:tc>
      </w:tr>
      <w:tr w14:paraId="72E72B9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14:paraId="602EB5A9">
            <w:pPr>
              <w:autoSpaceDE w:val="0"/>
              <w:autoSpaceDN w:val="0"/>
              <w:adjustRightInd w:val="0"/>
              <w:snapToGrid w:val="0"/>
              <w:jc w:val="center"/>
              <w:rPr>
                <w:rFonts w:ascii="宋体" w:hAnsi="宋体"/>
                <w:kern w:val="0"/>
                <w:szCs w:val="21"/>
              </w:rPr>
            </w:pPr>
            <w:r>
              <w:rPr>
                <w:rFonts w:hint="eastAsia" w:ascii="宋体" w:hAnsi="宋体" w:cs="MingLiU"/>
                <w:kern w:val="0"/>
                <w:szCs w:val="21"/>
              </w:rPr>
              <w:t>开户银行</w:t>
            </w:r>
          </w:p>
        </w:tc>
        <w:tc>
          <w:tcPr>
            <w:tcW w:w="1991" w:type="dxa"/>
            <w:gridSpan w:val="2"/>
            <w:noWrap w:val="0"/>
            <w:vAlign w:val="center"/>
          </w:tcPr>
          <w:p w14:paraId="20B4AE23">
            <w:pPr>
              <w:autoSpaceDE w:val="0"/>
              <w:autoSpaceDN w:val="0"/>
              <w:adjustRightInd w:val="0"/>
              <w:snapToGrid w:val="0"/>
              <w:jc w:val="center"/>
              <w:rPr>
                <w:rFonts w:ascii="宋体" w:hAnsi="宋体"/>
                <w:kern w:val="0"/>
                <w:szCs w:val="21"/>
              </w:rPr>
            </w:pPr>
          </w:p>
        </w:tc>
        <w:tc>
          <w:tcPr>
            <w:tcW w:w="904" w:type="dxa"/>
            <w:vMerge w:val="continue"/>
            <w:noWrap w:val="0"/>
            <w:vAlign w:val="center"/>
          </w:tcPr>
          <w:p w14:paraId="4DADC9E3">
            <w:pPr>
              <w:autoSpaceDE w:val="0"/>
              <w:autoSpaceDN w:val="0"/>
              <w:adjustRightInd w:val="0"/>
              <w:snapToGrid w:val="0"/>
              <w:jc w:val="center"/>
              <w:rPr>
                <w:rFonts w:ascii="宋体" w:hAnsi="宋体"/>
                <w:kern w:val="0"/>
                <w:szCs w:val="21"/>
              </w:rPr>
            </w:pPr>
          </w:p>
        </w:tc>
        <w:tc>
          <w:tcPr>
            <w:tcW w:w="2476" w:type="dxa"/>
            <w:gridSpan w:val="4"/>
            <w:noWrap w:val="0"/>
            <w:vAlign w:val="center"/>
          </w:tcPr>
          <w:p w14:paraId="2C83FDED">
            <w:pPr>
              <w:autoSpaceDE w:val="0"/>
              <w:autoSpaceDN w:val="0"/>
              <w:adjustRightInd w:val="0"/>
              <w:snapToGrid w:val="0"/>
              <w:jc w:val="center"/>
              <w:rPr>
                <w:rFonts w:ascii="宋体" w:hAnsi="宋体"/>
                <w:kern w:val="0"/>
                <w:szCs w:val="21"/>
              </w:rPr>
            </w:pPr>
            <w:r>
              <w:rPr>
                <w:rFonts w:hint="eastAsia" w:ascii="宋体" w:hAnsi="宋体" w:cs="MingLiU"/>
                <w:kern w:val="0"/>
                <w:szCs w:val="21"/>
              </w:rPr>
              <w:t>初级职称人员</w:t>
            </w:r>
          </w:p>
        </w:tc>
        <w:tc>
          <w:tcPr>
            <w:tcW w:w="2236" w:type="dxa"/>
            <w:gridSpan w:val="2"/>
            <w:noWrap w:val="0"/>
            <w:vAlign w:val="center"/>
          </w:tcPr>
          <w:p w14:paraId="47A67CBC">
            <w:pPr>
              <w:autoSpaceDE w:val="0"/>
              <w:autoSpaceDN w:val="0"/>
              <w:adjustRightInd w:val="0"/>
              <w:snapToGrid w:val="0"/>
              <w:jc w:val="center"/>
              <w:rPr>
                <w:rFonts w:ascii="宋体" w:hAnsi="宋体"/>
                <w:kern w:val="0"/>
                <w:szCs w:val="21"/>
              </w:rPr>
            </w:pPr>
          </w:p>
        </w:tc>
      </w:tr>
      <w:tr w14:paraId="7A9F1D1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14:paraId="7F0B9250">
            <w:pPr>
              <w:autoSpaceDE w:val="0"/>
              <w:autoSpaceDN w:val="0"/>
              <w:adjustRightInd w:val="0"/>
              <w:snapToGrid w:val="0"/>
              <w:jc w:val="center"/>
              <w:rPr>
                <w:rFonts w:ascii="宋体" w:hAnsi="宋体"/>
                <w:kern w:val="0"/>
                <w:szCs w:val="21"/>
              </w:rPr>
            </w:pPr>
            <w:r>
              <w:rPr>
                <w:rFonts w:hint="eastAsia" w:ascii="宋体" w:hAnsi="宋体"/>
                <w:kern w:val="0"/>
                <w:szCs w:val="21"/>
              </w:rPr>
              <w:t>账号</w:t>
            </w:r>
          </w:p>
        </w:tc>
        <w:tc>
          <w:tcPr>
            <w:tcW w:w="1991" w:type="dxa"/>
            <w:gridSpan w:val="2"/>
            <w:noWrap w:val="0"/>
            <w:vAlign w:val="center"/>
          </w:tcPr>
          <w:p w14:paraId="2252A848">
            <w:pPr>
              <w:autoSpaceDE w:val="0"/>
              <w:autoSpaceDN w:val="0"/>
              <w:adjustRightInd w:val="0"/>
              <w:snapToGrid w:val="0"/>
              <w:jc w:val="center"/>
              <w:rPr>
                <w:rFonts w:ascii="宋体" w:hAnsi="宋体"/>
                <w:kern w:val="0"/>
                <w:szCs w:val="21"/>
              </w:rPr>
            </w:pPr>
          </w:p>
        </w:tc>
        <w:tc>
          <w:tcPr>
            <w:tcW w:w="904" w:type="dxa"/>
            <w:vMerge w:val="continue"/>
            <w:noWrap w:val="0"/>
            <w:vAlign w:val="center"/>
          </w:tcPr>
          <w:p w14:paraId="15E8794F">
            <w:pPr>
              <w:autoSpaceDE w:val="0"/>
              <w:autoSpaceDN w:val="0"/>
              <w:adjustRightInd w:val="0"/>
              <w:snapToGrid w:val="0"/>
              <w:jc w:val="center"/>
              <w:rPr>
                <w:rFonts w:ascii="宋体" w:hAnsi="宋体"/>
                <w:kern w:val="0"/>
                <w:szCs w:val="21"/>
              </w:rPr>
            </w:pPr>
          </w:p>
        </w:tc>
        <w:tc>
          <w:tcPr>
            <w:tcW w:w="2476" w:type="dxa"/>
            <w:gridSpan w:val="4"/>
            <w:noWrap w:val="0"/>
            <w:vAlign w:val="center"/>
          </w:tcPr>
          <w:p w14:paraId="06B18458">
            <w:pPr>
              <w:tabs>
                <w:tab w:val="left" w:pos="1240"/>
              </w:tabs>
              <w:autoSpaceDE w:val="0"/>
              <w:autoSpaceDN w:val="0"/>
              <w:adjustRightInd w:val="0"/>
              <w:snapToGrid w:val="0"/>
              <w:jc w:val="center"/>
              <w:rPr>
                <w:rFonts w:ascii="宋体" w:hAnsi="宋体"/>
                <w:kern w:val="0"/>
                <w:szCs w:val="21"/>
              </w:rPr>
            </w:pPr>
            <w:r>
              <w:rPr>
                <w:rFonts w:hint="eastAsia" w:ascii="宋体" w:hAnsi="宋体" w:cs="MingLiU"/>
                <w:kern w:val="0"/>
                <w:szCs w:val="21"/>
              </w:rPr>
              <w:t>技</w:t>
            </w:r>
            <w:r>
              <w:rPr>
                <w:rFonts w:ascii="宋体" w:hAnsi="宋体"/>
                <w:kern w:val="0"/>
                <w:szCs w:val="21"/>
              </w:rPr>
              <w:tab/>
            </w:r>
            <w:r>
              <w:rPr>
                <w:rFonts w:hint="eastAsia" w:ascii="宋体" w:hAnsi="宋体" w:cs="MingLiU"/>
                <w:kern w:val="0"/>
                <w:szCs w:val="21"/>
              </w:rPr>
              <w:t>工</w:t>
            </w:r>
          </w:p>
        </w:tc>
        <w:tc>
          <w:tcPr>
            <w:tcW w:w="2236" w:type="dxa"/>
            <w:gridSpan w:val="2"/>
            <w:noWrap w:val="0"/>
            <w:vAlign w:val="center"/>
          </w:tcPr>
          <w:p w14:paraId="7085417A">
            <w:pPr>
              <w:autoSpaceDE w:val="0"/>
              <w:autoSpaceDN w:val="0"/>
              <w:adjustRightInd w:val="0"/>
              <w:snapToGrid w:val="0"/>
              <w:jc w:val="center"/>
              <w:rPr>
                <w:rFonts w:ascii="宋体" w:hAnsi="宋体"/>
                <w:kern w:val="0"/>
                <w:szCs w:val="21"/>
              </w:rPr>
            </w:pPr>
          </w:p>
        </w:tc>
      </w:tr>
      <w:tr w14:paraId="11E5B8F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14:paraId="4C9F810A">
            <w:pPr>
              <w:autoSpaceDE w:val="0"/>
              <w:autoSpaceDN w:val="0"/>
              <w:adjustRightInd w:val="0"/>
              <w:snapToGrid w:val="0"/>
              <w:jc w:val="center"/>
              <w:rPr>
                <w:rFonts w:ascii="宋体" w:hAnsi="宋体"/>
                <w:kern w:val="0"/>
                <w:szCs w:val="21"/>
              </w:rPr>
            </w:pPr>
            <w:r>
              <w:rPr>
                <w:rFonts w:hint="eastAsia" w:ascii="宋体" w:hAnsi="宋体" w:cs="MingLiU"/>
                <w:kern w:val="0"/>
                <w:szCs w:val="21"/>
              </w:rPr>
              <w:t>经营范围</w:t>
            </w:r>
          </w:p>
        </w:tc>
        <w:tc>
          <w:tcPr>
            <w:tcW w:w="7607" w:type="dxa"/>
            <w:gridSpan w:val="9"/>
            <w:noWrap w:val="0"/>
            <w:vAlign w:val="center"/>
          </w:tcPr>
          <w:p w14:paraId="1DFA68F2">
            <w:pPr>
              <w:autoSpaceDE w:val="0"/>
              <w:autoSpaceDN w:val="0"/>
              <w:adjustRightInd w:val="0"/>
              <w:snapToGrid w:val="0"/>
              <w:jc w:val="center"/>
              <w:rPr>
                <w:rFonts w:ascii="宋体" w:hAnsi="宋体"/>
                <w:kern w:val="0"/>
                <w:szCs w:val="21"/>
              </w:rPr>
            </w:pPr>
          </w:p>
        </w:tc>
      </w:tr>
      <w:tr w14:paraId="15B3E3F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noWrap w:val="0"/>
            <w:vAlign w:val="center"/>
          </w:tcPr>
          <w:p w14:paraId="73085D04">
            <w:pPr>
              <w:autoSpaceDE w:val="0"/>
              <w:autoSpaceDN w:val="0"/>
              <w:adjustRightInd w:val="0"/>
              <w:snapToGrid w:val="0"/>
              <w:jc w:val="center"/>
              <w:rPr>
                <w:rFonts w:ascii="宋体" w:hAnsi="宋体"/>
                <w:kern w:val="0"/>
                <w:szCs w:val="21"/>
              </w:rPr>
            </w:pPr>
            <w:r>
              <w:rPr>
                <w:rFonts w:hint="eastAsia" w:ascii="宋体" w:hAnsi="宋体" w:cs="MingLiU"/>
                <w:kern w:val="0"/>
                <w:szCs w:val="21"/>
              </w:rPr>
              <w:t>备注</w:t>
            </w:r>
          </w:p>
        </w:tc>
        <w:tc>
          <w:tcPr>
            <w:tcW w:w="7607" w:type="dxa"/>
            <w:gridSpan w:val="9"/>
            <w:noWrap w:val="0"/>
            <w:vAlign w:val="center"/>
          </w:tcPr>
          <w:p w14:paraId="26840461">
            <w:pPr>
              <w:autoSpaceDE w:val="0"/>
              <w:autoSpaceDN w:val="0"/>
              <w:adjustRightInd w:val="0"/>
              <w:snapToGrid w:val="0"/>
              <w:jc w:val="center"/>
              <w:rPr>
                <w:rFonts w:ascii="宋体" w:hAnsi="宋体"/>
                <w:kern w:val="0"/>
                <w:szCs w:val="21"/>
              </w:rPr>
            </w:pPr>
          </w:p>
        </w:tc>
      </w:tr>
    </w:tbl>
    <w:p w14:paraId="465179EB">
      <w:pPr>
        <w:spacing w:line="360" w:lineRule="auto"/>
        <w:jc w:val="center"/>
        <w:rPr>
          <w:rFonts w:ascii="宋体" w:hAnsi="宋体"/>
          <w:szCs w:val="21"/>
        </w:rPr>
      </w:pPr>
    </w:p>
    <w:p w14:paraId="06960A77">
      <w:pPr>
        <w:rPr>
          <w:rFonts w:ascii="宋体" w:hAnsi="宋体"/>
        </w:rPr>
      </w:pPr>
      <w:r>
        <w:rPr>
          <w:rFonts w:ascii="宋体" w:hAnsi="宋体"/>
          <w:szCs w:val="21"/>
        </w:rPr>
        <w:br w:type="page"/>
      </w:r>
      <w:bookmarkEnd w:id="475"/>
      <w:bookmarkEnd w:id="476"/>
      <w:bookmarkStart w:id="477" w:name="_Toc287620839"/>
      <w:bookmarkStart w:id="478" w:name="_Toc277082663"/>
      <w:bookmarkStart w:id="479" w:name="_Toc430530552"/>
      <w:bookmarkStart w:id="480" w:name="_Toc287607893"/>
      <w:bookmarkStart w:id="481" w:name="_Toc224103520"/>
      <w:bookmarkStart w:id="482" w:name="_Toc534185843"/>
      <w:bookmarkStart w:id="483" w:name="_Toc509218866"/>
    </w:p>
    <w:p w14:paraId="14A7F866">
      <w:pPr>
        <w:pStyle w:val="5"/>
        <w:spacing w:before="0" w:after="0" w:line="360" w:lineRule="auto"/>
        <w:jc w:val="center"/>
        <w:rPr>
          <w:rFonts w:ascii="宋体" w:hAnsi="宋体"/>
          <w:b/>
          <w:bCs w:val="0"/>
        </w:rPr>
      </w:pPr>
      <w:bookmarkStart w:id="484" w:name="_Toc11175"/>
      <w:r>
        <w:rPr>
          <w:rFonts w:ascii="宋体" w:hAnsi="宋体"/>
          <w:b/>
          <w:bCs w:val="0"/>
        </w:rPr>
        <w:t>（</w:t>
      </w:r>
      <w:r>
        <w:rPr>
          <w:rFonts w:hint="eastAsia" w:ascii="宋体" w:hAnsi="宋体"/>
          <w:b/>
          <w:bCs w:val="0"/>
          <w:lang w:val="en-US" w:eastAsia="zh-CN"/>
        </w:rPr>
        <w:t>七</w:t>
      </w:r>
      <w:r>
        <w:rPr>
          <w:rFonts w:ascii="宋体" w:hAnsi="宋体"/>
          <w:b/>
          <w:bCs w:val="0"/>
        </w:rPr>
        <w:t>）</w:t>
      </w:r>
      <w:bookmarkEnd w:id="477"/>
      <w:bookmarkEnd w:id="478"/>
      <w:bookmarkEnd w:id="479"/>
      <w:bookmarkEnd w:id="480"/>
      <w:bookmarkEnd w:id="481"/>
      <w:r>
        <w:rPr>
          <w:rFonts w:hint="eastAsia" w:ascii="宋体" w:hAnsi="宋体"/>
          <w:b/>
          <w:bCs w:val="0"/>
        </w:rPr>
        <w:t>承诺</w:t>
      </w:r>
      <w:bookmarkEnd w:id="484"/>
    </w:p>
    <w:p w14:paraId="0F80B814">
      <w:pPr>
        <w:snapToGrid w:val="0"/>
        <w:spacing w:line="380" w:lineRule="exact"/>
        <w:rPr>
          <w:rFonts w:ascii="宋体" w:hAnsi="宋体"/>
          <w:szCs w:val="21"/>
          <w:u w:val="single"/>
        </w:rPr>
      </w:pPr>
      <w:r>
        <w:rPr>
          <w:rFonts w:hint="eastAsia" w:ascii="宋体" w:hAnsi="宋体"/>
          <w:szCs w:val="21"/>
          <w:u w:val="single"/>
        </w:rPr>
        <w:t xml:space="preserve">        （比选人名称）</w:t>
      </w:r>
      <w:r>
        <w:rPr>
          <w:rFonts w:hint="eastAsia" w:ascii="宋体" w:hAnsi="宋体"/>
          <w:szCs w:val="21"/>
        </w:rPr>
        <w:t>：</w:t>
      </w:r>
    </w:p>
    <w:p w14:paraId="23803D35">
      <w:pPr>
        <w:snapToGrid w:val="0"/>
        <w:spacing w:line="380" w:lineRule="exact"/>
        <w:ind w:firstLine="420" w:firstLineChars="200"/>
        <w:rPr>
          <w:rFonts w:ascii="宋体" w:hAnsi="宋体"/>
          <w:szCs w:val="21"/>
        </w:rPr>
      </w:pPr>
      <w:r>
        <w:rPr>
          <w:rFonts w:hint="eastAsia" w:ascii="宋体" w:hAnsi="宋体"/>
          <w:szCs w:val="21"/>
        </w:rPr>
        <w:t>我公司</w:t>
      </w:r>
      <w:r>
        <w:rPr>
          <w:rFonts w:hint="eastAsia" w:ascii="宋体" w:hAnsi="宋体"/>
          <w:szCs w:val="21"/>
          <w:u w:val="single"/>
        </w:rPr>
        <w:t xml:space="preserve">        （竞选人名称）</w:t>
      </w:r>
      <w:r>
        <w:rPr>
          <w:rFonts w:hint="eastAsia" w:ascii="宋体" w:hAnsi="宋体"/>
          <w:szCs w:val="21"/>
        </w:rPr>
        <w:t>参加了贵单位</w:t>
      </w:r>
      <w:r>
        <w:rPr>
          <w:rFonts w:hint="eastAsia" w:ascii="宋体" w:hAnsi="宋体"/>
          <w:szCs w:val="21"/>
          <w:u w:val="single"/>
        </w:rPr>
        <w:t xml:space="preserve">        （项目名称）</w:t>
      </w:r>
      <w:r>
        <w:rPr>
          <w:rFonts w:hint="eastAsia" w:ascii="宋体" w:hAnsi="宋体"/>
          <w:szCs w:val="21"/>
        </w:rPr>
        <w:t>的竞选，自愿作出以下承诺：</w:t>
      </w:r>
    </w:p>
    <w:p w14:paraId="00CAFA2F">
      <w:pPr>
        <w:snapToGrid w:val="0"/>
        <w:spacing w:line="380" w:lineRule="exact"/>
        <w:ind w:firstLine="420" w:firstLineChars="200"/>
        <w:rPr>
          <w:rFonts w:ascii="宋体" w:hAnsi="宋体"/>
          <w:szCs w:val="21"/>
        </w:rPr>
      </w:pPr>
      <w:r>
        <w:rPr>
          <w:rFonts w:hint="eastAsia" w:ascii="宋体" w:hAnsi="宋体"/>
          <w:szCs w:val="21"/>
        </w:rPr>
        <w:t>1、我公司竞选截止日竞选资格情况不存在下列情形之一：</w:t>
      </w:r>
    </w:p>
    <w:p w14:paraId="4B4889F2">
      <w:pPr>
        <w:snapToGrid w:val="0"/>
        <w:spacing w:line="380" w:lineRule="exact"/>
        <w:ind w:firstLine="420" w:firstLineChars="200"/>
        <w:jc w:val="left"/>
        <w:rPr>
          <w:rFonts w:ascii="宋体" w:hAnsi="宋体"/>
          <w:szCs w:val="21"/>
        </w:rPr>
      </w:pPr>
      <w:r>
        <w:rPr>
          <w:rFonts w:hint="eastAsia" w:ascii="宋体" w:hAnsi="宋体"/>
          <w:szCs w:val="21"/>
        </w:rPr>
        <w:t>（1）被人民法院列入失信被执行人名单且在被执行期内；</w:t>
      </w:r>
    </w:p>
    <w:p w14:paraId="2F2C3B36">
      <w:pPr>
        <w:snapToGrid w:val="0"/>
        <w:spacing w:line="380" w:lineRule="exact"/>
        <w:ind w:firstLine="420" w:firstLineChars="200"/>
        <w:rPr>
          <w:rFonts w:ascii="宋体" w:hAnsi="宋体"/>
          <w:szCs w:val="21"/>
        </w:rPr>
      </w:pPr>
      <w:r>
        <w:rPr>
          <w:rFonts w:hint="eastAsia" w:ascii="宋体" w:hAnsi="宋体"/>
          <w:szCs w:val="21"/>
        </w:rPr>
        <w:t>（2）被列入《重庆市工程建设领域招标投标信用管理暂行办法》规定的重点关注名单且记分达到12分且在记分有效期内；</w:t>
      </w:r>
    </w:p>
    <w:p w14:paraId="7712C8DD">
      <w:pPr>
        <w:snapToGrid w:val="0"/>
        <w:spacing w:line="380" w:lineRule="exact"/>
        <w:ind w:firstLine="420" w:firstLineChars="200"/>
        <w:rPr>
          <w:rFonts w:ascii="宋体" w:hAnsi="宋体"/>
          <w:szCs w:val="21"/>
        </w:rPr>
      </w:pPr>
      <w:r>
        <w:rPr>
          <w:rFonts w:hint="eastAsia" w:ascii="宋体" w:hAnsi="宋体"/>
          <w:szCs w:val="21"/>
        </w:rPr>
        <w:t>（3）被列入《重庆市工程建设领域招标投标信用管理暂行办法》规定的黑名单且在记分有效期内；</w:t>
      </w:r>
    </w:p>
    <w:p w14:paraId="28BD7865">
      <w:pPr>
        <w:snapToGrid w:val="0"/>
        <w:spacing w:line="380" w:lineRule="exact"/>
        <w:ind w:firstLine="420" w:firstLineChars="200"/>
        <w:rPr>
          <w:rFonts w:ascii="宋体" w:hAnsi="宋体"/>
          <w:szCs w:val="21"/>
        </w:rPr>
      </w:pPr>
      <w:r>
        <w:rPr>
          <w:rFonts w:hint="eastAsia" w:ascii="宋体" w:hAnsi="宋体"/>
          <w:szCs w:val="21"/>
        </w:rPr>
        <w:t>（4）被国家、重庆市（含市或任意区县）有关行政部门处以暂停竞选资格行政处罚，且在处罚期限内；</w:t>
      </w:r>
    </w:p>
    <w:p w14:paraId="0E174F43">
      <w:pPr>
        <w:snapToGrid w:val="0"/>
        <w:spacing w:line="380" w:lineRule="exact"/>
        <w:ind w:firstLine="420" w:firstLineChars="200"/>
        <w:rPr>
          <w:rFonts w:ascii="宋体" w:hAnsi="宋体"/>
          <w:szCs w:val="21"/>
        </w:rPr>
      </w:pPr>
      <w:r>
        <w:rPr>
          <w:rFonts w:hint="eastAsia" w:ascii="宋体" w:hAnsi="宋体"/>
          <w:szCs w:val="21"/>
        </w:rPr>
        <w:t>（5）被重庆市市级有关行业主管部门暂停在渝承揽新业务且在暂停期内。</w:t>
      </w:r>
    </w:p>
    <w:p w14:paraId="208BB542">
      <w:pPr>
        <w:snapToGrid w:val="0"/>
        <w:spacing w:line="380" w:lineRule="exact"/>
        <w:ind w:firstLine="420" w:firstLineChars="200"/>
        <w:rPr>
          <w:rFonts w:ascii="宋体" w:hAnsi="宋体"/>
          <w:szCs w:val="21"/>
        </w:rPr>
      </w:pPr>
      <w:r>
        <w:rPr>
          <w:rFonts w:hint="eastAsia" w:ascii="宋体" w:hAnsi="宋体"/>
          <w:szCs w:val="21"/>
        </w:rPr>
        <w:t>2、我公司拟派的项目经理按注册建造师的相关规定到岗履职和未被禁止参与竞选。</w:t>
      </w:r>
    </w:p>
    <w:p w14:paraId="67798FC8">
      <w:pPr>
        <w:snapToGrid w:val="0"/>
        <w:spacing w:line="380" w:lineRule="exact"/>
        <w:ind w:firstLine="420" w:firstLineChars="200"/>
        <w:rPr>
          <w:rFonts w:ascii="宋体" w:hAnsi="宋体"/>
          <w:szCs w:val="21"/>
        </w:rPr>
      </w:pPr>
      <w:r>
        <w:rPr>
          <w:rFonts w:hint="eastAsia" w:ascii="宋体" w:hAnsi="宋体"/>
          <w:szCs w:val="21"/>
        </w:rPr>
        <w:t>2.1拟派的项目经理中标后在本项目任职，签订合同时拟派的项目经理必须与竞选文件中的项目经理一致，并满足办理施工许可手续的相关要求。不能按承诺到岗履约的，按合同相关条款处罚并上报行政主管部门，给贵单位造成损失的，我公司依法承担违约赔偿责任。拟派的项目经理中标后不得随意更换。</w:t>
      </w:r>
    </w:p>
    <w:p w14:paraId="61247DCA">
      <w:pPr>
        <w:snapToGrid w:val="0"/>
        <w:spacing w:line="380" w:lineRule="exact"/>
        <w:ind w:firstLine="420" w:firstLineChars="200"/>
        <w:rPr>
          <w:rFonts w:ascii="宋体" w:hAnsi="宋体"/>
          <w:szCs w:val="21"/>
        </w:rPr>
      </w:pPr>
      <w:r>
        <w:rPr>
          <w:rFonts w:hint="eastAsia" w:ascii="宋体" w:hAnsi="宋体"/>
          <w:szCs w:val="21"/>
        </w:rPr>
        <w:t>2.2拟派的项目经理未被重庆市市级有关行业主管部门暂停在渝承揽新业务，若被暂停且参加竞选的竞选将被否决；已取得中标候选人资格或中标资格的，贵单位有权取消我公司中标候选人资格或中标资格；给贵单位造成损失的，我公司依法承担违约赔偿责任。</w:t>
      </w:r>
    </w:p>
    <w:p w14:paraId="3CC25E67">
      <w:pPr>
        <w:numPr>
          <w:ilvl w:val="0"/>
          <w:numId w:val="3"/>
        </w:numPr>
        <w:snapToGrid w:val="0"/>
        <w:spacing w:line="380" w:lineRule="exact"/>
        <w:ind w:firstLine="420" w:firstLineChars="200"/>
        <w:rPr>
          <w:rFonts w:ascii="宋体" w:hAnsi="宋体"/>
          <w:szCs w:val="21"/>
        </w:rPr>
      </w:pPr>
      <w:r>
        <w:rPr>
          <w:rFonts w:hint="eastAsia" w:ascii="宋体" w:hAnsi="宋体"/>
          <w:szCs w:val="21"/>
        </w:rPr>
        <w:t>我公司若中标，在签订合同之前，将按照建设行政主管部门的要求组建施工项目部，配置项目管理班子，出具任命文件。任命文件应当明确施工项目部的职责、岗位设置、人员配备，并书面通知贵单位。相关岗位管理人员应持有建设行政主管部门要求的岗位证书，并提供我公司为其缴纳的养老保险证明材料。中标后不能满足该要求的，取消我公司中标资格，给贵单位造成损失的，我公司依法承担违约赔偿责任。</w:t>
      </w:r>
    </w:p>
    <w:p w14:paraId="0BD322A6">
      <w:pPr>
        <w:numPr>
          <w:ilvl w:val="0"/>
          <w:numId w:val="3"/>
        </w:numPr>
        <w:snapToGrid w:val="0"/>
        <w:spacing w:line="380" w:lineRule="exact"/>
        <w:ind w:firstLine="420" w:firstLineChars="200"/>
        <w:rPr>
          <w:rFonts w:ascii="宋体" w:hAnsi="宋体"/>
          <w:szCs w:val="21"/>
        </w:rPr>
      </w:pPr>
      <w:r>
        <w:rPr>
          <w:rFonts w:hint="eastAsia" w:ascii="宋体" w:hAnsi="宋体"/>
          <w:szCs w:val="21"/>
        </w:rPr>
        <w:t>我公司承诺：已标价工程量清单符合第五章“工程量清单”给出的范围及数量，比选文件中规定工程量清单不允许修改的内容不得修改，每项工程量清单综合单价报价不得高于对应工程量清单综合单价最高限价。贵单位可在合同签订前对我公司已标价工程量清单进行清标。若发现我公司的工程量清单综合单价报价超过招标时给出的工程量清单综合单价最高限价的，在工程结算时贵单位以发出的工程量清单综合单价最高限价为基础，按照我公司的中标总报价与本工程的总价最高限价的下浮比例进行同比例下调，我公司无条件接受，否则按我公司违约处理。</w:t>
      </w:r>
    </w:p>
    <w:p w14:paraId="3AE2BEFE">
      <w:pPr>
        <w:snapToGrid w:val="0"/>
        <w:spacing w:line="380" w:lineRule="exact"/>
        <w:ind w:firstLine="420" w:firstLineChars="200"/>
        <w:rPr>
          <w:rFonts w:ascii="宋体" w:hAnsi="宋体"/>
          <w:szCs w:val="21"/>
        </w:rPr>
      </w:pPr>
      <w:r>
        <w:rPr>
          <w:rFonts w:hint="eastAsia" w:ascii="宋体" w:hAnsi="宋体"/>
          <w:szCs w:val="21"/>
        </w:rPr>
        <w:t>5、我公司在竞选文件中提供的相关证明材料真实有效，不存在弄虚作假情形。</w:t>
      </w:r>
      <w:r>
        <w:rPr>
          <w:rFonts w:hint="eastAsia" w:ascii="宋体" w:hAnsi="宋体"/>
          <w:szCs w:val="21"/>
          <w:u w:val="single"/>
        </w:rPr>
        <w:t>贵单位在合同签订前均有权对我公司提供的资料进行核实，若发现弄虚作假，按相关规定取消我公司中选资格，并按相关法律法规报招标投标监督部门，竞选保证金不予退还，我公司自愿承担因此造成的相关责任并赔偿相应损失</w:t>
      </w:r>
      <w:r>
        <w:rPr>
          <w:rFonts w:hint="eastAsia" w:ascii="宋体" w:hAnsi="宋体"/>
          <w:szCs w:val="21"/>
        </w:rPr>
        <w:t>。</w:t>
      </w:r>
    </w:p>
    <w:p w14:paraId="51021B97">
      <w:pPr>
        <w:snapToGrid w:val="0"/>
        <w:spacing w:line="380" w:lineRule="exact"/>
        <w:ind w:firstLine="420" w:firstLineChars="200"/>
        <w:rPr>
          <w:rFonts w:ascii="宋体" w:hAnsi="宋体"/>
          <w:szCs w:val="21"/>
        </w:rPr>
      </w:pPr>
      <w:r>
        <w:rPr>
          <w:rFonts w:hint="eastAsia" w:ascii="宋体" w:hAnsi="宋体"/>
          <w:szCs w:val="21"/>
        </w:rPr>
        <w:t>6、我公司不存在第二章 竞选人须知第 1.4.3 项规定的任何一种情形。</w:t>
      </w:r>
    </w:p>
    <w:p w14:paraId="7C318AA7">
      <w:pPr>
        <w:snapToGrid w:val="0"/>
        <w:spacing w:line="380" w:lineRule="exact"/>
        <w:ind w:firstLine="420" w:firstLineChars="200"/>
        <w:rPr>
          <w:rFonts w:ascii="宋体" w:hAnsi="宋体"/>
          <w:szCs w:val="21"/>
        </w:rPr>
      </w:pPr>
      <w:r>
        <w:rPr>
          <w:rFonts w:hint="eastAsia" w:ascii="宋体" w:hAnsi="宋体"/>
          <w:szCs w:val="21"/>
        </w:rPr>
        <w:t>7、我公司的竞选文件符合第二章 竞选人须知第 1.3.1 项的规定。</w:t>
      </w:r>
    </w:p>
    <w:p w14:paraId="2BB61736">
      <w:pPr>
        <w:snapToGrid w:val="0"/>
        <w:spacing w:line="380" w:lineRule="exact"/>
        <w:ind w:firstLine="420" w:firstLineChars="200"/>
        <w:rPr>
          <w:rFonts w:ascii="宋体" w:hAnsi="宋体"/>
          <w:szCs w:val="21"/>
        </w:rPr>
      </w:pPr>
      <w:r>
        <w:rPr>
          <w:rFonts w:hint="eastAsia" w:ascii="宋体" w:hAnsi="宋体"/>
          <w:szCs w:val="21"/>
        </w:rPr>
        <w:t>8、我公司的竞选文件符合第四章 合同条款及格式规定，竞选文件中没有贵单位不能接受的条件。</w:t>
      </w:r>
    </w:p>
    <w:p w14:paraId="7161C68E">
      <w:pPr>
        <w:tabs>
          <w:tab w:val="left" w:pos="4200"/>
          <w:tab w:val="left" w:pos="4620"/>
        </w:tabs>
        <w:autoSpaceDE w:val="0"/>
        <w:autoSpaceDN w:val="0"/>
        <w:adjustRightInd w:val="0"/>
        <w:snapToGrid w:val="0"/>
        <w:spacing w:line="360" w:lineRule="auto"/>
        <w:jc w:val="left"/>
        <w:rPr>
          <w:rFonts w:ascii="宋体" w:hAnsi="宋体"/>
          <w:kern w:val="0"/>
          <w:szCs w:val="21"/>
        </w:rPr>
      </w:pPr>
    </w:p>
    <w:bookmarkEnd w:id="482"/>
    <w:bookmarkEnd w:id="483"/>
    <w:p w14:paraId="5078AFBF">
      <w:pPr>
        <w:tabs>
          <w:tab w:val="left" w:pos="4200"/>
          <w:tab w:val="left" w:pos="4620"/>
        </w:tabs>
        <w:autoSpaceDE w:val="0"/>
        <w:autoSpaceDN w:val="0"/>
        <w:adjustRightInd w:val="0"/>
        <w:snapToGrid w:val="0"/>
        <w:spacing w:line="360" w:lineRule="auto"/>
        <w:ind w:firstLine="420" w:firstLineChars="200"/>
        <w:jc w:val="left"/>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44618E44">
      <w:pPr>
        <w:tabs>
          <w:tab w:val="left" w:pos="6300"/>
        </w:tabs>
        <w:autoSpaceDE w:val="0"/>
        <w:autoSpaceDN w:val="0"/>
        <w:adjustRightInd w:val="0"/>
        <w:snapToGrid w:val="0"/>
        <w:spacing w:line="36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54BA6BC7">
      <w:pPr>
        <w:tabs>
          <w:tab w:val="left" w:pos="6300"/>
        </w:tabs>
        <w:autoSpaceDE w:val="0"/>
        <w:autoSpaceDN w:val="0"/>
        <w:adjustRightInd w:val="0"/>
        <w:snapToGrid w:val="0"/>
        <w:spacing w:line="360" w:lineRule="auto"/>
        <w:ind w:firstLine="420" w:firstLineChars="200"/>
        <w:jc w:val="left"/>
        <w:rPr>
          <w:rFonts w:ascii="宋体" w:hAnsi="宋体"/>
          <w:kern w:val="0"/>
          <w:szCs w:val="21"/>
        </w:rPr>
      </w:pPr>
    </w:p>
    <w:p w14:paraId="16DD5DAB">
      <w:pPr>
        <w:tabs>
          <w:tab w:val="left" w:pos="6300"/>
        </w:tabs>
        <w:autoSpaceDE w:val="0"/>
        <w:autoSpaceDN w:val="0"/>
        <w:adjustRightInd w:val="0"/>
        <w:snapToGrid w:val="0"/>
        <w:ind w:firstLine="420" w:firstLineChars="200"/>
        <w:jc w:val="right"/>
        <w:rPr>
          <w:rFonts w:ascii="宋体" w:hAnsi="宋体"/>
          <w:b/>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日</w:t>
      </w:r>
    </w:p>
    <w:p w14:paraId="272D38A4">
      <w:r>
        <w:br w:type="page"/>
      </w:r>
    </w:p>
    <w:p w14:paraId="19C49AA7">
      <w:pPr>
        <w:pStyle w:val="5"/>
        <w:spacing w:before="0" w:line="360" w:lineRule="auto"/>
        <w:jc w:val="center"/>
        <w:rPr>
          <w:rFonts w:ascii="宋体" w:hAnsi="宋体"/>
          <w:b/>
          <w:bCs w:val="0"/>
        </w:rPr>
      </w:pPr>
      <w:bookmarkStart w:id="485" w:name="_Toc23849"/>
      <w:r>
        <w:rPr>
          <w:rFonts w:hint="eastAsia" w:ascii="宋体" w:hAnsi="宋体"/>
          <w:b/>
          <w:bCs w:val="0"/>
        </w:rPr>
        <w:t>（</w:t>
      </w:r>
      <w:r>
        <w:rPr>
          <w:rFonts w:hint="eastAsia" w:ascii="宋体" w:hAnsi="宋体"/>
          <w:b/>
          <w:bCs w:val="0"/>
          <w:lang w:val="en-US" w:eastAsia="zh-CN"/>
        </w:rPr>
        <w:t>八</w:t>
      </w:r>
      <w:r>
        <w:rPr>
          <w:rFonts w:hint="eastAsia" w:ascii="宋体" w:hAnsi="宋体"/>
          <w:b/>
          <w:bCs w:val="0"/>
        </w:rPr>
        <w:t>）其他资料</w:t>
      </w:r>
      <w:bookmarkEnd w:id="485"/>
    </w:p>
    <w:p w14:paraId="776599A1">
      <w:pPr>
        <w:spacing w:line="360" w:lineRule="auto"/>
        <w:ind w:firstLine="420" w:firstLineChars="200"/>
        <w:rPr>
          <w:rFonts w:ascii="宋体" w:hAnsi="宋体"/>
          <w:szCs w:val="21"/>
        </w:rPr>
      </w:pPr>
      <w:r>
        <w:rPr>
          <w:rFonts w:hint="eastAsia" w:ascii="宋体" w:hAnsi="宋体"/>
          <w:szCs w:val="21"/>
        </w:rPr>
        <w:t>1. 竞选保证金</w:t>
      </w:r>
    </w:p>
    <w:p w14:paraId="418B0A03">
      <w:pPr>
        <w:spacing w:line="360" w:lineRule="auto"/>
        <w:ind w:firstLine="420" w:firstLineChars="200"/>
        <w:rPr>
          <w:rFonts w:ascii="宋体" w:hAnsi="宋体"/>
          <w:szCs w:val="21"/>
        </w:rPr>
      </w:pPr>
      <w:r>
        <w:rPr>
          <w:rFonts w:hint="eastAsia" w:ascii="宋体" w:hAnsi="宋体"/>
          <w:szCs w:val="21"/>
        </w:rPr>
        <w:t>企业基本账户开户证明文件复印件。</w:t>
      </w:r>
    </w:p>
    <w:p w14:paraId="0F5533FD">
      <w:pPr>
        <w:rPr>
          <w:rFonts w:ascii="宋体" w:hAnsi="宋体"/>
          <w:szCs w:val="21"/>
        </w:rPr>
      </w:pPr>
    </w:p>
    <w:p w14:paraId="58BB7563">
      <w:pPr>
        <w:spacing w:line="360" w:lineRule="auto"/>
        <w:ind w:firstLine="420" w:firstLineChars="200"/>
        <w:rPr>
          <w:rFonts w:ascii="宋体" w:hAnsi="宋体"/>
          <w:szCs w:val="21"/>
        </w:rPr>
      </w:pPr>
      <w:r>
        <w:rPr>
          <w:rFonts w:hint="eastAsia" w:ascii="宋体" w:hAnsi="宋体"/>
          <w:szCs w:val="21"/>
        </w:rPr>
        <w:t xml:space="preserve">2. </w:t>
      </w:r>
    </w:p>
    <w:p w14:paraId="5746B58B">
      <w:pPr>
        <w:spacing w:line="360" w:lineRule="auto"/>
        <w:ind w:firstLine="420" w:firstLineChars="200"/>
      </w:pPr>
      <w:r>
        <w:rPr>
          <w:rFonts w:ascii="宋体" w:hAnsi="宋体"/>
          <w:szCs w:val="21"/>
        </w:rPr>
        <w:t>……</w:t>
      </w:r>
      <w:r>
        <mc:AlternateContent>
          <mc:Choice Requires="wps">
            <w:drawing>
              <wp:anchor distT="0" distB="0" distL="114300" distR="114300" simplePos="0" relativeHeight="251660288" behindDoc="0" locked="0" layoutInCell="1" allowOverlap="1">
                <wp:simplePos x="0" y="0"/>
                <wp:positionH relativeFrom="character">
                  <wp:posOffset>1805940</wp:posOffset>
                </wp:positionH>
                <wp:positionV relativeFrom="line">
                  <wp:posOffset>1351280</wp:posOffset>
                </wp:positionV>
                <wp:extent cx="114935" cy="691515"/>
                <wp:effectExtent l="0" t="0" r="0" b="0"/>
                <wp:wrapNone/>
                <wp:docPr id="115" name="矩形 111"/>
                <wp:cNvGraphicFramePr/>
                <a:graphic xmlns:a="http://schemas.openxmlformats.org/drawingml/2006/main">
                  <a:graphicData uri="http://schemas.microsoft.com/office/word/2010/wordprocessingShape">
                    <wps:wsp>
                      <wps:cNvSpPr/>
                      <wps:spPr>
                        <a:xfrm>
                          <a:off x="3558540" y="2671445"/>
                          <a:ext cx="2134235" cy="792480"/>
                        </a:xfrm>
                        <a:prstGeom prst="rect">
                          <a:avLst/>
                        </a:prstGeom>
                        <a:noFill/>
                        <a:ln w="9525">
                          <a:noFill/>
                        </a:ln>
                        <a:effectLst/>
                      </wps:spPr>
                      <wps:txbx>
                        <w:txbxContent>
                          <w:p w14:paraId="0CB0FC7B">
                            <w:pPr>
                              <w:jc w:val="center"/>
                              <w:rPr>
                                <w:rFonts w:ascii="仿宋" w:hAnsi="仿宋" w:eastAsia="仿宋" w:cs="仿宋"/>
                                <w:sz w:val="84"/>
                                <w:szCs w:val="84"/>
                              </w:rPr>
                            </w:pPr>
                          </w:p>
                        </w:txbxContent>
                      </wps:txbx>
                      <wps:bodyPr wrap="none" lIns="0" tIns="0" rIns="0" bIns="0" upright="1">
                        <a:spAutoFit/>
                      </wps:bodyPr>
                    </wps:wsp>
                  </a:graphicData>
                </a:graphic>
              </wp:anchor>
            </w:drawing>
          </mc:Choice>
          <mc:Fallback>
            <w:pict>
              <v:rect id="矩形 111" o:spid="_x0000_s1026" o:spt="1" style="position:absolute;left:0pt;margin-left:142.2pt;margin-top:106.4pt;height:54.45pt;width:9.05pt;mso-position-horizontal-relative:char;mso-position-vertical-relative:line;mso-wrap-style:none;z-index:251660288;mso-width-relative:page;mso-height-relative:page;" filled="f" stroked="f" coordsize="21600,21600" o:gfxdata="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p93YNdcAAAAL&#10;AQAADwAAAAAAAAABACAAAAAiAAAAZHJzL2Rvd25yZXYueG1sUEsBAhQAFAAAAAgAh07iQOTLhfPk&#10;AQAAsgMAAA4AAAAAAAAAAQAgAAAAJgEAAGRycy9lMm9Eb2MueG1sUEsFBgAAAAAGAAYAWQEAAHwF&#10;AAAAAA==&#10;">
                <v:fill on="f" focussize="0,0"/>
                <v:stroke on="f"/>
                <v:imagedata o:title=""/>
                <o:lock v:ext="edit" aspectratio="f"/>
                <v:textbox inset="0mm,0mm,0mm,0mm" style="mso-fit-shape-to-text:t;">
                  <w:txbxContent>
                    <w:p w14:paraId="0CB0FC7B">
                      <w:pPr>
                        <w:jc w:val="center"/>
                        <w:rPr>
                          <w:rFonts w:ascii="仿宋" w:hAnsi="仿宋" w:eastAsia="仿宋" w:cs="仿宋"/>
                          <w:sz w:val="84"/>
                          <w:szCs w:val="84"/>
                        </w:rPr>
                      </w:pPr>
                    </w:p>
                  </w:txbxContent>
                </v:textbox>
              </v:rect>
            </w:pict>
          </mc:Fallback>
        </mc:AlternateContent>
      </w:r>
      <w:r>
        <mc:AlternateContent>
          <mc:Choice Requires="wps">
            <w:drawing>
              <wp:anchor distT="0" distB="0" distL="114300" distR="114300" simplePos="0" relativeHeight="251661312" behindDoc="0" locked="0" layoutInCell="1" allowOverlap="1">
                <wp:simplePos x="0" y="0"/>
                <wp:positionH relativeFrom="character">
                  <wp:posOffset>3884295</wp:posOffset>
                </wp:positionH>
                <wp:positionV relativeFrom="line">
                  <wp:posOffset>9352915</wp:posOffset>
                </wp:positionV>
                <wp:extent cx="419735" cy="180975"/>
                <wp:effectExtent l="0" t="0" r="0" b="0"/>
                <wp:wrapNone/>
                <wp:docPr id="116" name="矩形 114"/>
                <wp:cNvGraphicFramePr/>
                <a:graphic xmlns:a="http://schemas.openxmlformats.org/drawingml/2006/main">
                  <a:graphicData uri="http://schemas.microsoft.com/office/word/2010/wordprocessingShape">
                    <wps:wsp>
                      <wps:cNvSpPr/>
                      <wps:spPr>
                        <a:xfrm rot="-2640000">
                          <a:off x="6445250" y="7244715"/>
                          <a:ext cx="419735" cy="198120"/>
                        </a:xfrm>
                        <a:prstGeom prst="rect">
                          <a:avLst/>
                        </a:prstGeom>
                        <a:noFill/>
                        <a:ln w="9525">
                          <a:noFill/>
                        </a:ln>
                        <a:effectLst/>
                      </wps:spPr>
                      <wps:txbx>
                        <w:txbxContent>
                          <w:p w14:paraId="20DEB6C2">
                            <w:pPr>
                              <w:rPr>
                                <w:sz w:val="20"/>
                              </w:rPr>
                            </w:pPr>
                            <w:r>
                              <w:rPr>
                                <w:rFonts w:hint="eastAsia" w:ascii="宋体" w:cs="宋体"/>
                                <w:bCs/>
                                <w:color w:val="000000"/>
                                <w:sz w:val="22"/>
                              </w:rPr>
                              <w:t>密封线</w:t>
                            </w:r>
                          </w:p>
                        </w:txbxContent>
                      </wps:txbx>
                      <wps:bodyPr wrap="none" lIns="0" tIns="0" rIns="0" bIns="0" upright="1">
                        <a:spAutoFit/>
                      </wps:bodyPr>
                    </wps:wsp>
                  </a:graphicData>
                </a:graphic>
              </wp:anchor>
            </w:drawing>
          </mc:Choice>
          <mc:Fallback>
            <w:pict>
              <v:rect id="矩形 114" o:spid="_x0000_s1026" o:spt="1" style="position:absolute;left:0pt;margin-left:305.85pt;margin-top:736.45pt;height:14.25pt;width:33.05pt;mso-position-horizontal-relative:char;mso-position-vertical-relative:line;mso-wrap-style:none;rotation:-2883584f;z-index:251661312;mso-width-relative:page;mso-height-relative:page;" filled="f" stroked="f" coordsize="21600,21600" o:gfxdata="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c0UYcdkAAAANAQAADwAAAAAAAAABACAAAAAiAAAAZHJzL2Rvd25yZXYueG1sUEsBAhQAFAAA&#10;AAgAh07iQF7svvbuAQAAwAMAAA4AAAAAAAAAAQAgAAAAKAEAAGRycy9lMm9Eb2MueG1sUEsFBgAA&#10;AAAGAAYAWQEAAIgFAAAAAA==&#10;">
                <v:fill on="f" focussize="0,0"/>
                <v:stroke on="f"/>
                <v:imagedata o:title=""/>
                <o:lock v:ext="edit" aspectratio="f"/>
                <v:textbox inset="0mm,0mm,0mm,0mm" style="mso-fit-shape-to-text:t;">
                  <w:txbxContent>
                    <w:p w14:paraId="20DEB6C2">
                      <w:pPr>
                        <w:rPr>
                          <w:sz w:val="20"/>
                        </w:rPr>
                      </w:pPr>
                      <w:r>
                        <w:rPr>
                          <w:rFonts w:hint="eastAsia" w:ascii="宋体" w:cs="宋体"/>
                          <w:bCs/>
                          <w:color w:val="000000"/>
                          <w:sz w:val="22"/>
                        </w:rPr>
                        <w:t>密封线</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haracter">
                  <wp:posOffset>3460115</wp:posOffset>
                </wp:positionH>
                <wp:positionV relativeFrom="line">
                  <wp:posOffset>6034405</wp:posOffset>
                </wp:positionV>
                <wp:extent cx="3011170" cy="2530475"/>
                <wp:effectExtent l="240665" t="0" r="0" b="0"/>
                <wp:wrapNone/>
                <wp:docPr id="1" name="矩形 113"/>
                <wp:cNvGraphicFramePr/>
                <a:graphic xmlns:a="http://schemas.openxmlformats.org/drawingml/2006/main">
                  <a:graphicData uri="http://schemas.microsoft.com/office/word/2010/wordprocessingShape">
                    <wps:wsp>
                      <wps:cNvSpPr/>
                      <wps:spPr>
                        <a:xfrm rot="5400000">
                          <a:off x="0" y="0"/>
                          <a:ext cx="3011170" cy="2530475"/>
                        </a:xfrm>
                        <a:prstGeom prst="rect">
                          <a:avLst/>
                        </a:prstGeom>
                        <a:noFill/>
                        <a:ln>
                          <a:noFill/>
                        </a:ln>
                      </wps:spPr>
                      <wps:txbx>
                        <w:txbxContent>
                          <w:p w14:paraId="367A89E3">
                            <w:pPr>
                              <w:rPr>
                                <w:sz w:val="20"/>
                              </w:rPr>
                            </w:pPr>
                          </w:p>
                        </w:txbxContent>
                      </wps:txbx>
                      <wps:bodyPr vert="horz" wrap="square" lIns="0" tIns="0" rIns="0" bIns="0" anchor="t" anchorCtr="0" upright="1">
                        <a:noAutofit/>
                      </wps:bodyPr>
                    </wps:wsp>
                  </a:graphicData>
                </a:graphic>
              </wp:anchor>
            </w:drawing>
          </mc:Choice>
          <mc:Fallback>
            <w:pict>
              <v:rect id="矩形 113" o:spid="_x0000_s1026" o:spt="1" style="position:absolute;left:0pt;margin-left:272.45pt;margin-top:475.15pt;height:199.25pt;width:237.1pt;mso-position-horizontal-relative:char;mso-position-vertical-relative:line;rotation:5898240f;z-index:251659264;mso-width-relative:page;mso-height-relative:page;" filled="f" stroked="f" coordsize="21600,21600" o:gfxdata="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LmCSV&#10;2gAAAA0BAAAPAAAAAAAAAAEAIAAAACIAAABkcnMvZG93bnJldi54bWxQSwECFAAUAAAACACHTuJA&#10;ocoi1+YBAADDAwAADgAAAAAAAAABACAAAAApAQAAZHJzL2Uyb0RvYy54bWxQSwUGAAAAAAYABgBZ&#10;AQAAgQUAAAAA&#10;">
                <v:fill on="f" focussize="0,0"/>
                <v:stroke on="f"/>
                <v:imagedata o:title=""/>
                <o:lock v:ext="edit" aspectratio="f"/>
                <v:textbox inset="0mm,0mm,0mm,0mm">
                  <w:txbxContent>
                    <w:p w14:paraId="367A89E3">
                      <w:pPr>
                        <w:rPr>
                          <w:sz w:val="20"/>
                        </w:rPr>
                      </w:pPr>
                    </w:p>
                  </w:txbxContent>
                </v:textbox>
              </v:rect>
            </w:pict>
          </mc:Fallback>
        </mc:AlternateContent>
      </w:r>
    </w:p>
    <w:p w14:paraId="7DA19FEF">
      <w:pPr>
        <w:rPr>
          <w:rFonts w:hint="eastAsia"/>
          <w:lang w:val="en-US" w:eastAsia="zh-CN"/>
        </w:rPr>
      </w:pPr>
    </w:p>
    <w:p w14:paraId="6F6B9646">
      <w:pPr>
        <w:rPr>
          <w:rFonts w:hint="eastAsia" w:ascii="宋体" w:hAnsi="宋体" w:eastAsia="宋体" w:cs="Times New Roman"/>
          <w:b/>
          <w:bCs/>
          <w:lang w:val="en-US" w:eastAsia="zh-CN"/>
        </w:rPr>
      </w:pPr>
      <w:r>
        <w:rPr>
          <w:rFonts w:hint="eastAsia" w:ascii="宋体" w:hAnsi="宋体" w:eastAsia="宋体" w:cs="Times New Roman"/>
          <w:b/>
          <w:bCs/>
          <w:lang w:val="en-US" w:eastAsia="zh-CN"/>
        </w:rPr>
        <w:br w:type="page"/>
      </w:r>
    </w:p>
    <w:p w14:paraId="16B55A41">
      <w:pPr>
        <w:pStyle w:val="5"/>
        <w:spacing w:before="0" w:after="0" w:line="240" w:lineRule="auto"/>
        <w:jc w:val="center"/>
        <w:rPr>
          <w:rFonts w:hint="eastAsia" w:ascii="宋体" w:hAnsi="宋体" w:eastAsia="宋体" w:cs="Times New Roman"/>
          <w:b/>
          <w:bCs/>
        </w:rPr>
      </w:pPr>
      <w:r>
        <w:rPr>
          <w:rFonts w:hint="eastAsia" w:ascii="宋体" w:hAnsi="宋体" w:eastAsia="宋体" w:cs="Times New Roman"/>
          <w:b/>
          <w:bCs/>
          <w:lang w:val="en-US" w:eastAsia="zh-CN"/>
        </w:rPr>
        <w:t>（</w:t>
      </w:r>
      <w:r>
        <w:rPr>
          <w:rFonts w:hint="eastAsia" w:ascii="宋体" w:hAnsi="宋体" w:cs="Times New Roman"/>
          <w:b/>
          <w:bCs/>
          <w:lang w:val="en-US" w:eastAsia="zh-CN"/>
        </w:rPr>
        <w:t>九</w:t>
      </w:r>
      <w:r>
        <w:rPr>
          <w:rFonts w:hint="eastAsia" w:ascii="宋体" w:hAnsi="宋体" w:eastAsia="宋体" w:cs="Times New Roman"/>
          <w:b/>
          <w:bCs/>
          <w:lang w:val="en-US" w:eastAsia="zh-CN"/>
        </w:rPr>
        <w:t>）技术方案</w:t>
      </w:r>
    </w:p>
    <w:sectPr>
      <w:headerReference r:id="rId8" w:type="default"/>
      <w:footerReference r:id="rId9" w:type="default"/>
      <w:pgSz w:w="11906" w:h="16838"/>
      <w:pgMar w:top="1304" w:right="1134" w:bottom="1304" w:left="1304" w:header="851" w:footer="992" w:gutter="0"/>
      <w:pgNumType w:chapStyle="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975F5C2-DE50-488C-ACF8-D8583132D344}"/>
  </w:font>
  <w:font w:name="黑体">
    <w:panose1 w:val="02010609060101010101"/>
    <w:charset w:val="86"/>
    <w:family w:val="auto"/>
    <w:pitch w:val="default"/>
    <w:sig w:usb0="800002BF" w:usb1="38CF7CFA" w:usb2="00000016" w:usb3="00000000" w:csb0="00040001" w:csb1="00000000"/>
    <w:embedRegular r:id="rId2" w:fontKey="{68DDDF6B-ACB1-4895-B5C1-D2D128925FD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3" w:fontKey="{CFE84726-04AA-4F0B-AAE1-ED40193A082A}"/>
  </w:font>
  <w:font w:name="monospace">
    <w:altName w:val="宋体"/>
    <w:panose1 w:val="02010600030101010101"/>
    <w:charset w:val="86"/>
    <w:family w:val="auto"/>
    <w:pitch w:val="default"/>
    <w:sig w:usb0="00000000" w:usb1="00000000" w:usb2="00000006" w:usb3="00000000" w:csb0="00040001" w:csb1="00000000"/>
  </w:font>
  <w:font w:name="MingLiU">
    <w:panose1 w:val="02020509000000000000"/>
    <w:charset w:val="88"/>
    <w:family w:val="modern"/>
    <w:pitch w:val="default"/>
    <w:sig w:usb0="A00002FF" w:usb1="28CFFCFA" w:usb2="00000016" w:usb3="00000000" w:csb0="00100001" w:csb1="00000000"/>
    <w:embedRegular r:id="rId4" w:fontKey="{6DCD9035-2E5F-4C73-8F20-EE7B284B3659}"/>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ˎ̥">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书宋简体">
    <w:altName w:val="宋体"/>
    <w:panose1 w:val="00000000000000000000"/>
    <w:charset w:val="86"/>
    <w:family w:val="script"/>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仿宋简体">
    <w:altName w:val="微软雅黑"/>
    <w:panose1 w:val="00000000000000000000"/>
    <w:charset w:val="86"/>
    <w:family w:val="auto"/>
    <w:pitch w:val="default"/>
    <w:sig w:usb0="00000000" w:usb1="00000000" w:usb2="00000000" w:usb3="00000000" w:csb0="00040000" w:csb1="00000000"/>
  </w:font>
  <w:font w:name="方正小标宋简体">
    <w:altName w:val="Arial Unicode MS"/>
    <w:panose1 w:val="02010600010101010101"/>
    <w:charset w:val="86"/>
    <w:family w:val="script"/>
    <w:pitch w:val="default"/>
    <w:sig w:usb0="00000000" w:usb1="00000000" w:usb2="00000000" w:usb3="00000000" w:csb0="00040000" w:csb1="00000000"/>
  </w:font>
  <w:font w:name="Arial Unicode MS">
    <w:panose1 w:val="020B0604020202020204"/>
    <w:charset w:val="86"/>
    <w:family w:val="auto"/>
    <w:pitch w:val="default"/>
    <w:sig w:usb0="F7FFAEFF" w:usb1="F9DFFFFF" w:usb2="0000007F" w:usb3="00000000" w:csb0="203F01FF" w:csb1="DFFF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embedRegular r:id="rId5" w:fontKey="{46508F93-5C36-491B-B2FC-FF39B805E24F}"/>
  </w:font>
  <w:font w:name="方正仿宋_GBK">
    <w:panose1 w:val="02000000000000000000"/>
    <w:charset w:val="86"/>
    <w:family w:val="script"/>
    <w:pitch w:val="default"/>
    <w:sig w:usb0="A00002BF" w:usb1="38CF7CFA" w:usb2="00082016" w:usb3="00000000" w:csb0="00040001" w:csb1="00000000"/>
    <w:embedRegular r:id="rId6" w:fontKey="{82B8724D-1B24-4FA0-A397-352757F08561}"/>
  </w:font>
  <w:font w:name="WPSEMBED2">
    <w:panose1 w:val="03000509000000000000"/>
    <w:charset w:val="86"/>
    <w:family w:val="auto"/>
    <w:pitch w:val="default"/>
    <w:sig w:usb0="00000001" w:usb1="080E0000" w:usb2="00000000" w:usb3="00000000" w:csb0="00040000" w:csb1="00000000"/>
  </w:font>
  <w:font w:name="WPSEMBED1">
    <w:panose1 w:val="02020509000000000000"/>
    <w:charset w:val="88"/>
    <w:family w:val="auto"/>
    <w:pitch w:val="default"/>
    <w:sig w:usb0="A00002FF" w:usb1="28CFFCFA" w:usb2="00000016" w:usb3="00000000" w:csb0="00100001" w:csb1="00000000"/>
  </w:font>
  <w:font w:name="WPSEMBED3">
    <w:panose1 w:val="02000000000000000000"/>
    <w:charset w:val="86"/>
    <w:family w:val="auto"/>
    <w:pitch w:val="default"/>
    <w:sig w:usb0="A00002BF" w:usb1="38CF7CFA" w:usb2="00082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70909">
    <w:pPr>
      <w:pStyle w:val="2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CF37C5">
                          <w:pPr>
                            <w:pStyle w:val="2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ukCPLLAQAAnAMAAA4AAAAAAAAAAQAgAAAAHgEAAGRycy9lMm9E&#10;b2MueG1sUEsFBgAAAAAGAAYAWQEAAFsFAAAAAA==&#10;">
              <v:fill on="f" focussize="0,0"/>
              <v:stroke on="f"/>
              <v:imagedata o:title=""/>
              <o:lock v:ext="edit" aspectratio="f"/>
              <v:textbox inset="0mm,0mm,0mm,0mm" style="mso-fit-shape-to-text:t;">
                <w:txbxContent>
                  <w:p w14:paraId="20CF37C5">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2C800">
    <w:pPr>
      <w:pStyle w:val="29"/>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2" name="Quad Arrow 3073"/>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61385220">
                          <w:pPr>
                            <w:pStyle w:val="29"/>
                            <w:jc w:val="center"/>
                          </w:pPr>
                          <w:r>
                            <w:fldChar w:fldCharType="begin"/>
                          </w:r>
                          <w:r>
                            <w:instrText xml:space="preserve"> PAGE  \* MERGEFORMAT </w:instrText>
                          </w:r>
                          <w:r>
                            <w:fldChar w:fldCharType="separate"/>
                          </w:r>
                          <w:r>
                            <w:t>20</w:t>
                          </w:r>
                          <w:r>
                            <w:fldChar w:fldCharType="end"/>
                          </w:r>
                        </w:p>
                      </w:txbxContent>
                    </wps:txbx>
                    <wps:bodyPr wrap="none" lIns="0" tIns="0" rIns="0" bIns="0" upright="1">
                      <a:spAutoFit/>
                    </wps:bodyPr>
                  </wps:wsp>
                </a:graphicData>
              </a:graphic>
            </wp:anchor>
          </w:drawing>
        </mc:Choice>
        <mc:Fallback>
          <w:pict>
            <v:shape id="Quad Arrow 3073"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4vdRNAAAAACAQAADwAAAAAAAAABACAAAAAiAAAAZHJzL2Rvd25yZXYueG1sUEsB&#10;AhQAFAAAAAgAh07iQHWZ+s7EAQAAmgMAAA4AAAAAAAAAAQAgAAAAHwEAAGRycy9lMm9Eb2MueG1s&#10;UEsFBgAAAAAGAAYAWQEAAFUFAAAAAA==&#10;">
              <v:fill on="f" focussize="0,0"/>
              <v:stroke on="f"/>
              <v:imagedata o:title=""/>
              <o:lock v:ext="edit" aspectratio="f"/>
              <v:textbox inset="0mm,0mm,0mm,0mm" style="mso-fit-shape-to-text:t;">
                <w:txbxContent>
                  <w:p w14:paraId="61385220">
                    <w:pPr>
                      <w:pStyle w:val="29"/>
                      <w:jc w:val="center"/>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B6052">
    <w:pPr>
      <w:pStyle w:val="29"/>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12725" cy="140970"/>
              <wp:effectExtent l="0" t="0" r="0" b="0"/>
              <wp:wrapNone/>
              <wp:docPr id="3" name="文本框 1027"/>
              <wp:cNvGraphicFramePr/>
              <a:graphic xmlns:a="http://schemas.openxmlformats.org/drawingml/2006/main">
                <a:graphicData uri="http://schemas.microsoft.com/office/word/2010/wordprocessingShape">
                  <wps:wsp>
                    <wps:cNvSpPr txBox="1"/>
                    <wps:spPr>
                      <a:xfrm>
                        <a:off x="0" y="0"/>
                        <a:ext cx="212725" cy="140970"/>
                      </a:xfrm>
                      <a:prstGeom prst="rect">
                        <a:avLst/>
                      </a:prstGeom>
                      <a:noFill/>
                      <a:ln>
                        <a:noFill/>
                      </a:ln>
                    </wps:spPr>
                    <wps:txbx>
                      <w:txbxContent>
                        <w:p w14:paraId="60F30101">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wps:txbx>
                    <wps:bodyPr wrap="square" lIns="0" tIns="0" rIns="0" bIns="0" upright="0"/>
                  </wps:wsp>
                </a:graphicData>
              </a:graphic>
            </wp:anchor>
          </w:drawing>
        </mc:Choice>
        <mc:Fallback>
          <w:pict>
            <v:shape id="文本框 1027" o:spid="_x0000_s1026" o:spt="202" type="#_x0000_t202" style="position:absolute;left:0pt;margin-top:0pt;height:11.1pt;width:16.75pt;mso-position-horizontal:center;mso-position-horizontal-relative:margin;z-index:251660288;mso-width-relative:page;mso-height-relative:page;" filled="f" stroked="f" coordsize="21600,21600" o:gfxdata="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B1Ct8TUAAAAAwEAAA8AAAAAAAAAAQAgAAAAIgAAAGRycy9kb3ducmV2&#10;LnhtbFBLAQIUABQAAAAIAIdO4kCyoiMjxwEAAIIDAAAOAAAAAAAAAAEAIAAAACMBAABkcnMvZTJv&#10;RG9jLnhtbFBLBQYAAAAABgAGAFkBAABcBQAAAAA=&#10;">
              <v:fill on="f" focussize="0,0"/>
              <v:stroke on="f"/>
              <v:imagedata o:title=""/>
              <o:lock v:ext="edit" aspectratio="f"/>
              <v:textbox inset="0mm,0mm,0mm,0mm">
                <w:txbxContent>
                  <w:p w14:paraId="60F30101">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1B6A2">
    <w:pPr>
      <w:pStyle w:val="29"/>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36BE77C">
                          <w:pPr>
                            <w:pStyle w:val="29"/>
                          </w:pPr>
                          <w:r>
                            <w:fldChar w:fldCharType="begin"/>
                          </w:r>
                          <w:r>
                            <w:instrText xml:space="preserve"> PAGE  \* MERGEFORMAT </w:instrText>
                          </w:r>
                          <w:r>
                            <w:fldChar w:fldCharType="separate"/>
                          </w:r>
                          <w:r>
                            <w:t>54</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CFEnse0QEAAKIDAAAOAAAAAAAAAAEAIAAAAB8BAABk&#10;cnMvZTJvRG9jLnhtbFBLBQYAAAAABgAGAFkBAABiBQAAAAA=&#10;">
              <v:fill on="f" focussize="0,0"/>
              <v:stroke on="f" weight="0.5pt"/>
              <v:imagedata o:title=""/>
              <o:lock v:ext="edit" aspectratio="f"/>
              <v:textbox inset="0mm,0mm,0mm,0mm" style="mso-fit-shape-to-text:t;">
                <w:txbxContent>
                  <w:p w14:paraId="436BE77C">
                    <w:pPr>
                      <w:pStyle w:val="29"/>
                    </w:pPr>
                    <w:r>
                      <w:fldChar w:fldCharType="begin"/>
                    </w:r>
                    <w:r>
                      <w:instrText xml:space="preserve"> PAGE  \* MERGEFORMAT </w:instrText>
                    </w:r>
                    <w:r>
                      <w:fldChar w:fldCharType="separate"/>
                    </w:r>
                    <w:r>
                      <w:t>54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B8E12">
    <w:pPr>
      <w:pStyle w:val="30"/>
      <w:pBdr>
        <w:bottom w:val="none" w:color="auto" w:sz="0" w:space="1"/>
      </w:pBdr>
      <w:jc w:val="left"/>
      <w:rPr>
        <w:rFonts w:hint="eastAsia"/>
      </w:rPr>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07DAD">
    <w:pPr>
      <w:pStyle w:val="30"/>
      <w:pBdr>
        <w:bottom w:val="none" w:color="auto" w:sz="0" w:space="1"/>
      </w:pBd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92961">
    <w:pPr>
      <w:pStyle w:val="30"/>
      <w:pBdr>
        <w:bottom w:val="none" w:color="auto" w:sz="0" w:space="1"/>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228B64"/>
    <w:multiLevelType w:val="singleLevel"/>
    <w:tmpl w:val="C4228B64"/>
    <w:lvl w:ilvl="0" w:tentative="0">
      <w:start w:val="3"/>
      <w:numFmt w:val="chineseCounting"/>
      <w:suff w:val="space"/>
      <w:lvlText w:val="第%1章"/>
      <w:lvlJc w:val="left"/>
      <w:rPr>
        <w:rFonts w:hint="eastAsia"/>
      </w:rPr>
    </w:lvl>
  </w:abstractNum>
  <w:abstractNum w:abstractNumId="1">
    <w:nsid w:val="F57F6CC3"/>
    <w:multiLevelType w:val="singleLevel"/>
    <w:tmpl w:val="F57F6CC3"/>
    <w:lvl w:ilvl="0" w:tentative="0">
      <w:start w:val="1"/>
      <w:numFmt w:val="decimal"/>
      <w:suff w:val="space"/>
      <w:lvlText w:val="%1．"/>
      <w:lvlJc w:val="left"/>
    </w:lvl>
  </w:abstractNum>
  <w:abstractNum w:abstractNumId="2">
    <w:nsid w:val="5F471D00"/>
    <w:multiLevelType w:val="singleLevel"/>
    <w:tmpl w:val="5F471D00"/>
    <w:lvl w:ilvl="0" w:tentative="0">
      <w:start w:val="3"/>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noLineBreaksAfter w:lang="zh-CN" w:val="([{·‘“〈《「『【〔〖（．［｛￡￥"/>
  <w:noLineBreaksBefore w:lang="zh-CN" w:val="!),.:;?]}¨·ˇˉ―‖’”…∶、。〃々〉》」』】〕〗！＂＇），．：；？］｀｜｝～￠"/>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4OGQ0MTlmNjFkNjcwZmVjMGY4ZjRjNGRiZjYwM2EifQ=="/>
  </w:docVars>
  <w:rsids>
    <w:rsidRoot w:val="24C12A2D"/>
    <w:rsid w:val="0000154B"/>
    <w:rsid w:val="00001900"/>
    <w:rsid w:val="0000586E"/>
    <w:rsid w:val="00016E24"/>
    <w:rsid w:val="00021A00"/>
    <w:rsid w:val="00031222"/>
    <w:rsid w:val="00033A7E"/>
    <w:rsid w:val="00036204"/>
    <w:rsid w:val="00044280"/>
    <w:rsid w:val="00046C9A"/>
    <w:rsid w:val="000534D7"/>
    <w:rsid w:val="00057E88"/>
    <w:rsid w:val="0006241B"/>
    <w:rsid w:val="00064D65"/>
    <w:rsid w:val="00075196"/>
    <w:rsid w:val="000801DC"/>
    <w:rsid w:val="0008203F"/>
    <w:rsid w:val="0009131A"/>
    <w:rsid w:val="00092119"/>
    <w:rsid w:val="00093C54"/>
    <w:rsid w:val="000A08F3"/>
    <w:rsid w:val="000A230F"/>
    <w:rsid w:val="000A43FE"/>
    <w:rsid w:val="000A7DC2"/>
    <w:rsid w:val="000C41A7"/>
    <w:rsid w:val="000D03AA"/>
    <w:rsid w:val="000E5229"/>
    <w:rsid w:val="000E663F"/>
    <w:rsid w:val="000E6C5C"/>
    <w:rsid w:val="000F6549"/>
    <w:rsid w:val="000F7AFD"/>
    <w:rsid w:val="0010107E"/>
    <w:rsid w:val="00102F93"/>
    <w:rsid w:val="00106A15"/>
    <w:rsid w:val="00107BF6"/>
    <w:rsid w:val="001266DA"/>
    <w:rsid w:val="00135B7B"/>
    <w:rsid w:val="00140740"/>
    <w:rsid w:val="001417CD"/>
    <w:rsid w:val="00142E5E"/>
    <w:rsid w:val="00147795"/>
    <w:rsid w:val="00150584"/>
    <w:rsid w:val="00152038"/>
    <w:rsid w:val="0015401F"/>
    <w:rsid w:val="00181DA4"/>
    <w:rsid w:val="00182688"/>
    <w:rsid w:val="00183B34"/>
    <w:rsid w:val="001A6073"/>
    <w:rsid w:val="001B0278"/>
    <w:rsid w:val="001B3CC7"/>
    <w:rsid w:val="001C61E2"/>
    <w:rsid w:val="001D6BEC"/>
    <w:rsid w:val="001E5558"/>
    <w:rsid w:val="001F3596"/>
    <w:rsid w:val="001F41AB"/>
    <w:rsid w:val="001F446A"/>
    <w:rsid w:val="001F54AB"/>
    <w:rsid w:val="001F62AF"/>
    <w:rsid w:val="001F7599"/>
    <w:rsid w:val="00201EBC"/>
    <w:rsid w:val="00210D12"/>
    <w:rsid w:val="00212399"/>
    <w:rsid w:val="00237677"/>
    <w:rsid w:val="002407DA"/>
    <w:rsid w:val="0024375D"/>
    <w:rsid w:val="002472F0"/>
    <w:rsid w:val="00250A70"/>
    <w:rsid w:val="00263DD1"/>
    <w:rsid w:val="00266B28"/>
    <w:rsid w:val="00285EF4"/>
    <w:rsid w:val="00286F3C"/>
    <w:rsid w:val="002929BC"/>
    <w:rsid w:val="002974B0"/>
    <w:rsid w:val="002A1CC1"/>
    <w:rsid w:val="002B116A"/>
    <w:rsid w:val="002C3467"/>
    <w:rsid w:val="002C39B1"/>
    <w:rsid w:val="002D6DAD"/>
    <w:rsid w:val="002E10A0"/>
    <w:rsid w:val="002E3862"/>
    <w:rsid w:val="002F7309"/>
    <w:rsid w:val="00303E5C"/>
    <w:rsid w:val="00303F39"/>
    <w:rsid w:val="00312CE5"/>
    <w:rsid w:val="00313287"/>
    <w:rsid w:val="00321075"/>
    <w:rsid w:val="003251E4"/>
    <w:rsid w:val="00336333"/>
    <w:rsid w:val="0033765B"/>
    <w:rsid w:val="0035054C"/>
    <w:rsid w:val="00362590"/>
    <w:rsid w:val="00365489"/>
    <w:rsid w:val="00366F87"/>
    <w:rsid w:val="00370916"/>
    <w:rsid w:val="00377B6A"/>
    <w:rsid w:val="00380687"/>
    <w:rsid w:val="0038115E"/>
    <w:rsid w:val="003858CB"/>
    <w:rsid w:val="003900C2"/>
    <w:rsid w:val="003966FE"/>
    <w:rsid w:val="003B0B2D"/>
    <w:rsid w:val="003B0E5D"/>
    <w:rsid w:val="003B50F9"/>
    <w:rsid w:val="003C1771"/>
    <w:rsid w:val="003C2139"/>
    <w:rsid w:val="003C28DE"/>
    <w:rsid w:val="003D51CF"/>
    <w:rsid w:val="003D68A6"/>
    <w:rsid w:val="003E7232"/>
    <w:rsid w:val="003F250B"/>
    <w:rsid w:val="003F3548"/>
    <w:rsid w:val="003F6379"/>
    <w:rsid w:val="0040696F"/>
    <w:rsid w:val="004126B9"/>
    <w:rsid w:val="00416CA8"/>
    <w:rsid w:val="004220A5"/>
    <w:rsid w:val="00424E0A"/>
    <w:rsid w:val="00430A88"/>
    <w:rsid w:val="004413C7"/>
    <w:rsid w:val="004415FC"/>
    <w:rsid w:val="004426E7"/>
    <w:rsid w:val="00463F99"/>
    <w:rsid w:val="004672E6"/>
    <w:rsid w:val="00477A8B"/>
    <w:rsid w:val="00481208"/>
    <w:rsid w:val="00493388"/>
    <w:rsid w:val="00497B2B"/>
    <w:rsid w:val="004A0255"/>
    <w:rsid w:val="004A2155"/>
    <w:rsid w:val="004A22F5"/>
    <w:rsid w:val="004A23E6"/>
    <w:rsid w:val="004B12DF"/>
    <w:rsid w:val="004B170C"/>
    <w:rsid w:val="004C4ECD"/>
    <w:rsid w:val="004C73C7"/>
    <w:rsid w:val="004D771F"/>
    <w:rsid w:val="004E16DD"/>
    <w:rsid w:val="004E52ED"/>
    <w:rsid w:val="004F1689"/>
    <w:rsid w:val="00501902"/>
    <w:rsid w:val="00503154"/>
    <w:rsid w:val="005108E4"/>
    <w:rsid w:val="00522F00"/>
    <w:rsid w:val="00524655"/>
    <w:rsid w:val="00525230"/>
    <w:rsid w:val="005418D2"/>
    <w:rsid w:val="00547A41"/>
    <w:rsid w:val="005556CE"/>
    <w:rsid w:val="005654D2"/>
    <w:rsid w:val="00572457"/>
    <w:rsid w:val="00572E9A"/>
    <w:rsid w:val="005763DC"/>
    <w:rsid w:val="005766C8"/>
    <w:rsid w:val="00590B22"/>
    <w:rsid w:val="00595768"/>
    <w:rsid w:val="00595CC5"/>
    <w:rsid w:val="005A1B44"/>
    <w:rsid w:val="005A2F6D"/>
    <w:rsid w:val="005A3096"/>
    <w:rsid w:val="005A3BFA"/>
    <w:rsid w:val="005B049F"/>
    <w:rsid w:val="005B3067"/>
    <w:rsid w:val="005B793D"/>
    <w:rsid w:val="005C536B"/>
    <w:rsid w:val="005C57B5"/>
    <w:rsid w:val="005C6C52"/>
    <w:rsid w:val="005D45B8"/>
    <w:rsid w:val="005D74CB"/>
    <w:rsid w:val="005E08D1"/>
    <w:rsid w:val="005F0110"/>
    <w:rsid w:val="005F7612"/>
    <w:rsid w:val="00605EA0"/>
    <w:rsid w:val="00621927"/>
    <w:rsid w:val="006247B9"/>
    <w:rsid w:val="00625786"/>
    <w:rsid w:val="00626A62"/>
    <w:rsid w:val="006469F8"/>
    <w:rsid w:val="00647238"/>
    <w:rsid w:val="00650517"/>
    <w:rsid w:val="00656FC3"/>
    <w:rsid w:val="006652AC"/>
    <w:rsid w:val="00672818"/>
    <w:rsid w:val="00672F93"/>
    <w:rsid w:val="006763E6"/>
    <w:rsid w:val="006856A3"/>
    <w:rsid w:val="0069375E"/>
    <w:rsid w:val="006946AA"/>
    <w:rsid w:val="006977F9"/>
    <w:rsid w:val="006B03D6"/>
    <w:rsid w:val="006B59DF"/>
    <w:rsid w:val="006C7707"/>
    <w:rsid w:val="006D0983"/>
    <w:rsid w:val="006D1073"/>
    <w:rsid w:val="006E3406"/>
    <w:rsid w:val="006E698E"/>
    <w:rsid w:val="006F4D7F"/>
    <w:rsid w:val="006F6DC3"/>
    <w:rsid w:val="007051AC"/>
    <w:rsid w:val="0071486C"/>
    <w:rsid w:val="00720DE4"/>
    <w:rsid w:val="00732078"/>
    <w:rsid w:val="00734363"/>
    <w:rsid w:val="00742247"/>
    <w:rsid w:val="00747253"/>
    <w:rsid w:val="00747571"/>
    <w:rsid w:val="007532FF"/>
    <w:rsid w:val="00757335"/>
    <w:rsid w:val="00763EBB"/>
    <w:rsid w:val="0076607F"/>
    <w:rsid w:val="0077224C"/>
    <w:rsid w:val="00790520"/>
    <w:rsid w:val="007930AC"/>
    <w:rsid w:val="007A612E"/>
    <w:rsid w:val="007B157F"/>
    <w:rsid w:val="007B5097"/>
    <w:rsid w:val="007D04CB"/>
    <w:rsid w:val="007D19F8"/>
    <w:rsid w:val="007D26FC"/>
    <w:rsid w:val="007D6378"/>
    <w:rsid w:val="007D70DE"/>
    <w:rsid w:val="007E1137"/>
    <w:rsid w:val="007E2640"/>
    <w:rsid w:val="007F156D"/>
    <w:rsid w:val="0080577D"/>
    <w:rsid w:val="00810168"/>
    <w:rsid w:val="0081388E"/>
    <w:rsid w:val="008157B2"/>
    <w:rsid w:val="00822A5F"/>
    <w:rsid w:val="00833F78"/>
    <w:rsid w:val="00835A0E"/>
    <w:rsid w:val="0083636A"/>
    <w:rsid w:val="0083773D"/>
    <w:rsid w:val="00844C0D"/>
    <w:rsid w:val="008479D7"/>
    <w:rsid w:val="00851D3F"/>
    <w:rsid w:val="008608F7"/>
    <w:rsid w:val="00861193"/>
    <w:rsid w:val="0087167F"/>
    <w:rsid w:val="008728A8"/>
    <w:rsid w:val="0088075E"/>
    <w:rsid w:val="00887A72"/>
    <w:rsid w:val="008934D0"/>
    <w:rsid w:val="00893B77"/>
    <w:rsid w:val="008B1EDD"/>
    <w:rsid w:val="008B2A64"/>
    <w:rsid w:val="008B7A5D"/>
    <w:rsid w:val="008C1ABA"/>
    <w:rsid w:val="008C77F8"/>
    <w:rsid w:val="008D0EFD"/>
    <w:rsid w:val="008D2F51"/>
    <w:rsid w:val="008D3A33"/>
    <w:rsid w:val="008D6BA9"/>
    <w:rsid w:val="008E4677"/>
    <w:rsid w:val="00900849"/>
    <w:rsid w:val="00901AFF"/>
    <w:rsid w:val="00911DDE"/>
    <w:rsid w:val="00911FA3"/>
    <w:rsid w:val="00916A48"/>
    <w:rsid w:val="0092398E"/>
    <w:rsid w:val="00924431"/>
    <w:rsid w:val="009409D4"/>
    <w:rsid w:val="00941DF8"/>
    <w:rsid w:val="0094414C"/>
    <w:rsid w:val="00950494"/>
    <w:rsid w:val="0095317B"/>
    <w:rsid w:val="009619CA"/>
    <w:rsid w:val="0097285A"/>
    <w:rsid w:val="00974ECF"/>
    <w:rsid w:val="00975729"/>
    <w:rsid w:val="00977373"/>
    <w:rsid w:val="00985DDC"/>
    <w:rsid w:val="00993736"/>
    <w:rsid w:val="009A18F9"/>
    <w:rsid w:val="009A7C68"/>
    <w:rsid w:val="009B312E"/>
    <w:rsid w:val="009B3599"/>
    <w:rsid w:val="009C068E"/>
    <w:rsid w:val="009E2947"/>
    <w:rsid w:val="009E7A2F"/>
    <w:rsid w:val="009F3466"/>
    <w:rsid w:val="009F45FA"/>
    <w:rsid w:val="009F5DBC"/>
    <w:rsid w:val="00A1334A"/>
    <w:rsid w:val="00A16C3E"/>
    <w:rsid w:val="00A248A6"/>
    <w:rsid w:val="00A32A03"/>
    <w:rsid w:val="00A370EF"/>
    <w:rsid w:val="00A40003"/>
    <w:rsid w:val="00A44BFF"/>
    <w:rsid w:val="00A45C08"/>
    <w:rsid w:val="00A60897"/>
    <w:rsid w:val="00A62767"/>
    <w:rsid w:val="00A71D29"/>
    <w:rsid w:val="00A721C1"/>
    <w:rsid w:val="00A72412"/>
    <w:rsid w:val="00A76F67"/>
    <w:rsid w:val="00A84DBB"/>
    <w:rsid w:val="00A90139"/>
    <w:rsid w:val="00A93C3D"/>
    <w:rsid w:val="00AB697F"/>
    <w:rsid w:val="00AC1977"/>
    <w:rsid w:val="00AC3B11"/>
    <w:rsid w:val="00AD2E47"/>
    <w:rsid w:val="00AD7B8B"/>
    <w:rsid w:val="00AE027C"/>
    <w:rsid w:val="00AE1481"/>
    <w:rsid w:val="00AF007D"/>
    <w:rsid w:val="00AF503C"/>
    <w:rsid w:val="00B05ED4"/>
    <w:rsid w:val="00B07516"/>
    <w:rsid w:val="00B17491"/>
    <w:rsid w:val="00B33F12"/>
    <w:rsid w:val="00B34AD9"/>
    <w:rsid w:val="00B44E0C"/>
    <w:rsid w:val="00B45ADB"/>
    <w:rsid w:val="00B47353"/>
    <w:rsid w:val="00B653F8"/>
    <w:rsid w:val="00B71486"/>
    <w:rsid w:val="00B72712"/>
    <w:rsid w:val="00B80AED"/>
    <w:rsid w:val="00B81C78"/>
    <w:rsid w:val="00B90B95"/>
    <w:rsid w:val="00B91DC8"/>
    <w:rsid w:val="00B93BF2"/>
    <w:rsid w:val="00B9690D"/>
    <w:rsid w:val="00B9692D"/>
    <w:rsid w:val="00B96D70"/>
    <w:rsid w:val="00B96E58"/>
    <w:rsid w:val="00BA5BA6"/>
    <w:rsid w:val="00BB1DC8"/>
    <w:rsid w:val="00BC4F9A"/>
    <w:rsid w:val="00BC7042"/>
    <w:rsid w:val="00BD1DD0"/>
    <w:rsid w:val="00BD4955"/>
    <w:rsid w:val="00BD4C56"/>
    <w:rsid w:val="00BD753D"/>
    <w:rsid w:val="00BF1719"/>
    <w:rsid w:val="00BF6772"/>
    <w:rsid w:val="00C05A5E"/>
    <w:rsid w:val="00C06AA8"/>
    <w:rsid w:val="00C141A1"/>
    <w:rsid w:val="00C141FC"/>
    <w:rsid w:val="00C16FE1"/>
    <w:rsid w:val="00C1742C"/>
    <w:rsid w:val="00C2185A"/>
    <w:rsid w:val="00C2733F"/>
    <w:rsid w:val="00C30B69"/>
    <w:rsid w:val="00C365BD"/>
    <w:rsid w:val="00C547FD"/>
    <w:rsid w:val="00C54F40"/>
    <w:rsid w:val="00C577B4"/>
    <w:rsid w:val="00C61D35"/>
    <w:rsid w:val="00C64588"/>
    <w:rsid w:val="00C822BC"/>
    <w:rsid w:val="00C908AE"/>
    <w:rsid w:val="00C930F2"/>
    <w:rsid w:val="00CA30BD"/>
    <w:rsid w:val="00CC0F18"/>
    <w:rsid w:val="00CD0832"/>
    <w:rsid w:val="00CE581E"/>
    <w:rsid w:val="00CF15BD"/>
    <w:rsid w:val="00CF3B95"/>
    <w:rsid w:val="00D003F9"/>
    <w:rsid w:val="00D011EB"/>
    <w:rsid w:val="00D02600"/>
    <w:rsid w:val="00D250E8"/>
    <w:rsid w:val="00D33DE2"/>
    <w:rsid w:val="00D351A5"/>
    <w:rsid w:val="00D35D17"/>
    <w:rsid w:val="00D440CC"/>
    <w:rsid w:val="00D47D96"/>
    <w:rsid w:val="00D55C72"/>
    <w:rsid w:val="00D5688F"/>
    <w:rsid w:val="00D646B4"/>
    <w:rsid w:val="00D66813"/>
    <w:rsid w:val="00D66997"/>
    <w:rsid w:val="00D74750"/>
    <w:rsid w:val="00D82FDF"/>
    <w:rsid w:val="00D97374"/>
    <w:rsid w:val="00DA5E7A"/>
    <w:rsid w:val="00DA79E5"/>
    <w:rsid w:val="00DC75B8"/>
    <w:rsid w:val="00DD155D"/>
    <w:rsid w:val="00DD5468"/>
    <w:rsid w:val="00DE232B"/>
    <w:rsid w:val="00DE54E5"/>
    <w:rsid w:val="00E07EF8"/>
    <w:rsid w:val="00E117BC"/>
    <w:rsid w:val="00E21957"/>
    <w:rsid w:val="00E31C6A"/>
    <w:rsid w:val="00E31E26"/>
    <w:rsid w:val="00E32CF5"/>
    <w:rsid w:val="00E40FEB"/>
    <w:rsid w:val="00E41AC3"/>
    <w:rsid w:val="00E63591"/>
    <w:rsid w:val="00E64F74"/>
    <w:rsid w:val="00E652A1"/>
    <w:rsid w:val="00E6750B"/>
    <w:rsid w:val="00E72B3F"/>
    <w:rsid w:val="00E822ED"/>
    <w:rsid w:val="00E83FE2"/>
    <w:rsid w:val="00E91035"/>
    <w:rsid w:val="00EC642F"/>
    <w:rsid w:val="00ED31C8"/>
    <w:rsid w:val="00ED3D85"/>
    <w:rsid w:val="00ED5186"/>
    <w:rsid w:val="00EE0AE3"/>
    <w:rsid w:val="00EE5E35"/>
    <w:rsid w:val="00EE6E3D"/>
    <w:rsid w:val="00EF6E37"/>
    <w:rsid w:val="00F006AE"/>
    <w:rsid w:val="00F0742E"/>
    <w:rsid w:val="00F133A5"/>
    <w:rsid w:val="00F138A7"/>
    <w:rsid w:val="00F21776"/>
    <w:rsid w:val="00F31285"/>
    <w:rsid w:val="00F52EF9"/>
    <w:rsid w:val="00F562B7"/>
    <w:rsid w:val="00F63A42"/>
    <w:rsid w:val="00F6790D"/>
    <w:rsid w:val="00F67D04"/>
    <w:rsid w:val="00F70C02"/>
    <w:rsid w:val="00F74816"/>
    <w:rsid w:val="00F758B1"/>
    <w:rsid w:val="00F84218"/>
    <w:rsid w:val="00F86CA9"/>
    <w:rsid w:val="00F952B5"/>
    <w:rsid w:val="00FA09A0"/>
    <w:rsid w:val="00FA1007"/>
    <w:rsid w:val="00FA1AB1"/>
    <w:rsid w:val="00FA53FE"/>
    <w:rsid w:val="00FB082F"/>
    <w:rsid w:val="00FB2260"/>
    <w:rsid w:val="00FC1835"/>
    <w:rsid w:val="00FE48A0"/>
    <w:rsid w:val="00FE5196"/>
    <w:rsid w:val="01057174"/>
    <w:rsid w:val="013E4434"/>
    <w:rsid w:val="014A4B87"/>
    <w:rsid w:val="01970BC3"/>
    <w:rsid w:val="01BC3941"/>
    <w:rsid w:val="01BE5709"/>
    <w:rsid w:val="01C503A8"/>
    <w:rsid w:val="01D408F4"/>
    <w:rsid w:val="01F57D0E"/>
    <w:rsid w:val="020379CE"/>
    <w:rsid w:val="021C28E8"/>
    <w:rsid w:val="021D4B0D"/>
    <w:rsid w:val="022B58D1"/>
    <w:rsid w:val="024724D2"/>
    <w:rsid w:val="02616B96"/>
    <w:rsid w:val="028D221D"/>
    <w:rsid w:val="029F7154"/>
    <w:rsid w:val="02BE4889"/>
    <w:rsid w:val="02CB10D9"/>
    <w:rsid w:val="030A1E80"/>
    <w:rsid w:val="03180D3D"/>
    <w:rsid w:val="031A67DB"/>
    <w:rsid w:val="03A70ADA"/>
    <w:rsid w:val="03C90122"/>
    <w:rsid w:val="03CA1FAF"/>
    <w:rsid w:val="03EE3EEF"/>
    <w:rsid w:val="03F81E03"/>
    <w:rsid w:val="04036024"/>
    <w:rsid w:val="041D33B9"/>
    <w:rsid w:val="041D37C0"/>
    <w:rsid w:val="04313473"/>
    <w:rsid w:val="04722D72"/>
    <w:rsid w:val="047506DC"/>
    <w:rsid w:val="048C695D"/>
    <w:rsid w:val="0495742B"/>
    <w:rsid w:val="049E1D56"/>
    <w:rsid w:val="04B4388B"/>
    <w:rsid w:val="04B75458"/>
    <w:rsid w:val="04BF4734"/>
    <w:rsid w:val="04D31D9B"/>
    <w:rsid w:val="05087233"/>
    <w:rsid w:val="05171BBB"/>
    <w:rsid w:val="053A1365"/>
    <w:rsid w:val="05606460"/>
    <w:rsid w:val="05AB5FB3"/>
    <w:rsid w:val="05B01454"/>
    <w:rsid w:val="05C47215"/>
    <w:rsid w:val="05C55124"/>
    <w:rsid w:val="05C84C14"/>
    <w:rsid w:val="05F15F19"/>
    <w:rsid w:val="05F57389"/>
    <w:rsid w:val="060774EA"/>
    <w:rsid w:val="0616597F"/>
    <w:rsid w:val="0619597F"/>
    <w:rsid w:val="06497B03"/>
    <w:rsid w:val="06513560"/>
    <w:rsid w:val="06636EA8"/>
    <w:rsid w:val="06A44D39"/>
    <w:rsid w:val="06A6270C"/>
    <w:rsid w:val="06A64F55"/>
    <w:rsid w:val="07131EBF"/>
    <w:rsid w:val="071732A9"/>
    <w:rsid w:val="071C0625"/>
    <w:rsid w:val="073065CD"/>
    <w:rsid w:val="07434552"/>
    <w:rsid w:val="07702E6D"/>
    <w:rsid w:val="07721EBC"/>
    <w:rsid w:val="07876E2F"/>
    <w:rsid w:val="07891604"/>
    <w:rsid w:val="078927EF"/>
    <w:rsid w:val="079C3C62"/>
    <w:rsid w:val="07A56F79"/>
    <w:rsid w:val="07DE427B"/>
    <w:rsid w:val="07F7358F"/>
    <w:rsid w:val="07F92E63"/>
    <w:rsid w:val="07FD3F56"/>
    <w:rsid w:val="08370185"/>
    <w:rsid w:val="0856607E"/>
    <w:rsid w:val="086E3BFC"/>
    <w:rsid w:val="08763542"/>
    <w:rsid w:val="087F780C"/>
    <w:rsid w:val="08930BDC"/>
    <w:rsid w:val="08971A59"/>
    <w:rsid w:val="08B45DB7"/>
    <w:rsid w:val="08D41E9B"/>
    <w:rsid w:val="08D84918"/>
    <w:rsid w:val="09023F99"/>
    <w:rsid w:val="09060CCF"/>
    <w:rsid w:val="090A20E2"/>
    <w:rsid w:val="091837BC"/>
    <w:rsid w:val="09232D4C"/>
    <w:rsid w:val="09232F20"/>
    <w:rsid w:val="09240258"/>
    <w:rsid w:val="0932487E"/>
    <w:rsid w:val="093305F6"/>
    <w:rsid w:val="094A2B91"/>
    <w:rsid w:val="096E47DE"/>
    <w:rsid w:val="098317D1"/>
    <w:rsid w:val="09C125A7"/>
    <w:rsid w:val="09D678FF"/>
    <w:rsid w:val="09FB55B8"/>
    <w:rsid w:val="0A432ABB"/>
    <w:rsid w:val="0A526165"/>
    <w:rsid w:val="0A636CB9"/>
    <w:rsid w:val="0A8C4462"/>
    <w:rsid w:val="0A9F111F"/>
    <w:rsid w:val="0AD4155D"/>
    <w:rsid w:val="0AD56CF2"/>
    <w:rsid w:val="0AFF19D4"/>
    <w:rsid w:val="0B1B7594"/>
    <w:rsid w:val="0B2174E9"/>
    <w:rsid w:val="0B220922"/>
    <w:rsid w:val="0B7A69B0"/>
    <w:rsid w:val="0B81389B"/>
    <w:rsid w:val="0BB71621"/>
    <w:rsid w:val="0BB801A7"/>
    <w:rsid w:val="0BBE064B"/>
    <w:rsid w:val="0C193AD3"/>
    <w:rsid w:val="0C2D57D1"/>
    <w:rsid w:val="0C4868AF"/>
    <w:rsid w:val="0C593804"/>
    <w:rsid w:val="0C6531BD"/>
    <w:rsid w:val="0C686809"/>
    <w:rsid w:val="0C8573BB"/>
    <w:rsid w:val="0CA826DD"/>
    <w:rsid w:val="0CC82820"/>
    <w:rsid w:val="0D0B06AB"/>
    <w:rsid w:val="0D2070E4"/>
    <w:rsid w:val="0D35124E"/>
    <w:rsid w:val="0D35493D"/>
    <w:rsid w:val="0D466B4A"/>
    <w:rsid w:val="0D553231"/>
    <w:rsid w:val="0D55716D"/>
    <w:rsid w:val="0D780CCE"/>
    <w:rsid w:val="0D865199"/>
    <w:rsid w:val="0D906AE4"/>
    <w:rsid w:val="0DA9532B"/>
    <w:rsid w:val="0DAA1A68"/>
    <w:rsid w:val="0DB0046B"/>
    <w:rsid w:val="0DBA3094"/>
    <w:rsid w:val="0DCB34F3"/>
    <w:rsid w:val="0DDE2D9C"/>
    <w:rsid w:val="0DE2767D"/>
    <w:rsid w:val="0DE46363"/>
    <w:rsid w:val="0E1A7EF7"/>
    <w:rsid w:val="0E3B5108"/>
    <w:rsid w:val="0E5B59B2"/>
    <w:rsid w:val="0E5D6419"/>
    <w:rsid w:val="0E823DBD"/>
    <w:rsid w:val="0E9733D5"/>
    <w:rsid w:val="0ED9579C"/>
    <w:rsid w:val="0EF24E1E"/>
    <w:rsid w:val="0EF73390"/>
    <w:rsid w:val="0F15404C"/>
    <w:rsid w:val="0F332494"/>
    <w:rsid w:val="0F631283"/>
    <w:rsid w:val="0F64775C"/>
    <w:rsid w:val="0F6A2898"/>
    <w:rsid w:val="0F8239E5"/>
    <w:rsid w:val="0F8727FB"/>
    <w:rsid w:val="0F9C205B"/>
    <w:rsid w:val="0FAC2EB1"/>
    <w:rsid w:val="0FB02950"/>
    <w:rsid w:val="0FC85F3C"/>
    <w:rsid w:val="100E32BF"/>
    <w:rsid w:val="101C0036"/>
    <w:rsid w:val="103025B2"/>
    <w:rsid w:val="103529FB"/>
    <w:rsid w:val="104046B2"/>
    <w:rsid w:val="1066305F"/>
    <w:rsid w:val="106A5D2A"/>
    <w:rsid w:val="10750159"/>
    <w:rsid w:val="10771710"/>
    <w:rsid w:val="10CB1618"/>
    <w:rsid w:val="10E834E4"/>
    <w:rsid w:val="10FA1019"/>
    <w:rsid w:val="11072A94"/>
    <w:rsid w:val="111D1835"/>
    <w:rsid w:val="11286101"/>
    <w:rsid w:val="11396620"/>
    <w:rsid w:val="113E2CEA"/>
    <w:rsid w:val="114A472F"/>
    <w:rsid w:val="115E02D5"/>
    <w:rsid w:val="11636DB6"/>
    <w:rsid w:val="116F23E8"/>
    <w:rsid w:val="119A7DCE"/>
    <w:rsid w:val="11A16A45"/>
    <w:rsid w:val="11A55E09"/>
    <w:rsid w:val="11B0052A"/>
    <w:rsid w:val="11B322D4"/>
    <w:rsid w:val="11B66E4A"/>
    <w:rsid w:val="11CB3AC2"/>
    <w:rsid w:val="121216F1"/>
    <w:rsid w:val="121E4467"/>
    <w:rsid w:val="121F3E0E"/>
    <w:rsid w:val="125C296C"/>
    <w:rsid w:val="126006AE"/>
    <w:rsid w:val="12716141"/>
    <w:rsid w:val="127952CC"/>
    <w:rsid w:val="128B14A3"/>
    <w:rsid w:val="12A321B9"/>
    <w:rsid w:val="12B66520"/>
    <w:rsid w:val="12D722F6"/>
    <w:rsid w:val="12EE0C15"/>
    <w:rsid w:val="12FE66DF"/>
    <w:rsid w:val="131E2317"/>
    <w:rsid w:val="13420CA5"/>
    <w:rsid w:val="13421B62"/>
    <w:rsid w:val="13566E1F"/>
    <w:rsid w:val="13A24CF6"/>
    <w:rsid w:val="13A47C6C"/>
    <w:rsid w:val="13AA3D1E"/>
    <w:rsid w:val="13AE127D"/>
    <w:rsid w:val="13AF0849"/>
    <w:rsid w:val="13B32A60"/>
    <w:rsid w:val="13B642FE"/>
    <w:rsid w:val="13C32576"/>
    <w:rsid w:val="13C46AFF"/>
    <w:rsid w:val="13F05922"/>
    <w:rsid w:val="14062466"/>
    <w:rsid w:val="1412338E"/>
    <w:rsid w:val="1415678B"/>
    <w:rsid w:val="141F2AC8"/>
    <w:rsid w:val="1424570B"/>
    <w:rsid w:val="14261483"/>
    <w:rsid w:val="143062BE"/>
    <w:rsid w:val="14321BD6"/>
    <w:rsid w:val="144D4C62"/>
    <w:rsid w:val="14816751"/>
    <w:rsid w:val="14904B4F"/>
    <w:rsid w:val="14A021BB"/>
    <w:rsid w:val="14A354D4"/>
    <w:rsid w:val="14A74668"/>
    <w:rsid w:val="14E629C1"/>
    <w:rsid w:val="151B5EAC"/>
    <w:rsid w:val="15322AC6"/>
    <w:rsid w:val="15327802"/>
    <w:rsid w:val="15545B7C"/>
    <w:rsid w:val="158A77F0"/>
    <w:rsid w:val="158C1D3F"/>
    <w:rsid w:val="159513AD"/>
    <w:rsid w:val="159863B1"/>
    <w:rsid w:val="15A16151"/>
    <w:rsid w:val="15D0272A"/>
    <w:rsid w:val="15D1541F"/>
    <w:rsid w:val="15D867AD"/>
    <w:rsid w:val="160B0C36"/>
    <w:rsid w:val="160B2596"/>
    <w:rsid w:val="16214366"/>
    <w:rsid w:val="162B6BA5"/>
    <w:rsid w:val="16407A44"/>
    <w:rsid w:val="167D6668"/>
    <w:rsid w:val="16821A17"/>
    <w:rsid w:val="168D28F7"/>
    <w:rsid w:val="16DE1BA1"/>
    <w:rsid w:val="17171279"/>
    <w:rsid w:val="17211E61"/>
    <w:rsid w:val="17244BCD"/>
    <w:rsid w:val="173361E9"/>
    <w:rsid w:val="173E4D36"/>
    <w:rsid w:val="1749511A"/>
    <w:rsid w:val="174A32FC"/>
    <w:rsid w:val="177D032B"/>
    <w:rsid w:val="178766DD"/>
    <w:rsid w:val="17885FB1"/>
    <w:rsid w:val="17B07A6A"/>
    <w:rsid w:val="17B155A8"/>
    <w:rsid w:val="17DF5526"/>
    <w:rsid w:val="17ED28E6"/>
    <w:rsid w:val="180F222F"/>
    <w:rsid w:val="18137F71"/>
    <w:rsid w:val="18401E15"/>
    <w:rsid w:val="18547BA9"/>
    <w:rsid w:val="188F1FCF"/>
    <w:rsid w:val="18B735FC"/>
    <w:rsid w:val="18BD121C"/>
    <w:rsid w:val="18EA6F23"/>
    <w:rsid w:val="18FA6A3B"/>
    <w:rsid w:val="1901601B"/>
    <w:rsid w:val="191044B0"/>
    <w:rsid w:val="19652902"/>
    <w:rsid w:val="19A66A3D"/>
    <w:rsid w:val="19A867BE"/>
    <w:rsid w:val="19AF7800"/>
    <w:rsid w:val="19C13C28"/>
    <w:rsid w:val="19CC0ABF"/>
    <w:rsid w:val="19CE6941"/>
    <w:rsid w:val="19D43730"/>
    <w:rsid w:val="19E23A06"/>
    <w:rsid w:val="19F31E08"/>
    <w:rsid w:val="1A051B3B"/>
    <w:rsid w:val="1A2A6467"/>
    <w:rsid w:val="1A4B23D1"/>
    <w:rsid w:val="1A524B32"/>
    <w:rsid w:val="1A631AFD"/>
    <w:rsid w:val="1A703416"/>
    <w:rsid w:val="1A7854AE"/>
    <w:rsid w:val="1A7A0E58"/>
    <w:rsid w:val="1A7C004F"/>
    <w:rsid w:val="1AA41354"/>
    <w:rsid w:val="1AE45BF4"/>
    <w:rsid w:val="1AFA5418"/>
    <w:rsid w:val="1B0D6EF9"/>
    <w:rsid w:val="1B107759"/>
    <w:rsid w:val="1B3E5305"/>
    <w:rsid w:val="1B43291B"/>
    <w:rsid w:val="1B4FB8A0"/>
    <w:rsid w:val="1BC21757"/>
    <w:rsid w:val="1BC752FA"/>
    <w:rsid w:val="1BDF4AB8"/>
    <w:rsid w:val="1BE801DF"/>
    <w:rsid w:val="1C0A168B"/>
    <w:rsid w:val="1C11425A"/>
    <w:rsid w:val="1C2D5D37"/>
    <w:rsid w:val="1C330BE1"/>
    <w:rsid w:val="1C773F61"/>
    <w:rsid w:val="1C8925AF"/>
    <w:rsid w:val="1C9549B8"/>
    <w:rsid w:val="1CB6711D"/>
    <w:rsid w:val="1CC730D8"/>
    <w:rsid w:val="1CD66317"/>
    <w:rsid w:val="1D130C95"/>
    <w:rsid w:val="1D1327C1"/>
    <w:rsid w:val="1D3C61D5"/>
    <w:rsid w:val="1D507571"/>
    <w:rsid w:val="1D6628F1"/>
    <w:rsid w:val="1D7B180C"/>
    <w:rsid w:val="1D90796E"/>
    <w:rsid w:val="1D951428"/>
    <w:rsid w:val="1DB25B36"/>
    <w:rsid w:val="1DC40E37"/>
    <w:rsid w:val="1DD17111"/>
    <w:rsid w:val="1E185F00"/>
    <w:rsid w:val="1E322B1A"/>
    <w:rsid w:val="1E3B5F53"/>
    <w:rsid w:val="1E551EE7"/>
    <w:rsid w:val="1E605592"/>
    <w:rsid w:val="1E656429"/>
    <w:rsid w:val="1E957931"/>
    <w:rsid w:val="1EA31703"/>
    <w:rsid w:val="1EF00549"/>
    <w:rsid w:val="1EF254AB"/>
    <w:rsid w:val="1F51312D"/>
    <w:rsid w:val="1F7532BF"/>
    <w:rsid w:val="1F871761"/>
    <w:rsid w:val="1FA32BF9"/>
    <w:rsid w:val="1FC16504"/>
    <w:rsid w:val="1FEB2E6A"/>
    <w:rsid w:val="1FEF6BCD"/>
    <w:rsid w:val="200603BB"/>
    <w:rsid w:val="20176124"/>
    <w:rsid w:val="2020322B"/>
    <w:rsid w:val="204F3648"/>
    <w:rsid w:val="208714FC"/>
    <w:rsid w:val="209A6900"/>
    <w:rsid w:val="20C95670"/>
    <w:rsid w:val="20D364EF"/>
    <w:rsid w:val="20E14EE9"/>
    <w:rsid w:val="20E93F65"/>
    <w:rsid w:val="20F0527E"/>
    <w:rsid w:val="210466A8"/>
    <w:rsid w:val="212A0EFC"/>
    <w:rsid w:val="21336028"/>
    <w:rsid w:val="2140580A"/>
    <w:rsid w:val="214A2095"/>
    <w:rsid w:val="2156677D"/>
    <w:rsid w:val="216830DB"/>
    <w:rsid w:val="218F66B0"/>
    <w:rsid w:val="21AE5FB9"/>
    <w:rsid w:val="21AF1A5C"/>
    <w:rsid w:val="21B10BE2"/>
    <w:rsid w:val="226F67F0"/>
    <w:rsid w:val="22847CA4"/>
    <w:rsid w:val="22C12185"/>
    <w:rsid w:val="22C205C9"/>
    <w:rsid w:val="22D52D1F"/>
    <w:rsid w:val="22EE01FF"/>
    <w:rsid w:val="231425C4"/>
    <w:rsid w:val="236478D2"/>
    <w:rsid w:val="237A07B2"/>
    <w:rsid w:val="23C860B3"/>
    <w:rsid w:val="23DD32F6"/>
    <w:rsid w:val="23DF33FD"/>
    <w:rsid w:val="23E15AED"/>
    <w:rsid w:val="23EB1E02"/>
    <w:rsid w:val="24013373"/>
    <w:rsid w:val="240F592F"/>
    <w:rsid w:val="243D042B"/>
    <w:rsid w:val="24785867"/>
    <w:rsid w:val="2483647E"/>
    <w:rsid w:val="248A5117"/>
    <w:rsid w:val="24975A86"/>
    <w:rsid w:val="24A26B80"/>
    <w:rsid w:val="24A655B5"/>
    <w:rsid w:val="24AD7057"/>
    <w:rsid w:val="24B45233"/>
    <w:rsid w:val="24C12048"/>
    <w:rsid w:val="24C12A2D"/>
    <w:rsid w:val="24F37160"/>
    <w:rsid w:val="24F708AF"/>
    <w:rsid w:val="25263222"/>
    <w:rsid w:val="25F60FA1"/>
    <w:rsid w:val="261C6242"/>
    <w:rsid w:val="262234A3"/>
    <w:rsid w:val="26280BEC"/>
    <w:rsid w:val="266173A3"/>
    <w:rsid w:val="268F5367"/>
    <w:rsid w:val="26AD25D3"/>
    <w:rsid w:val="26C85356"/>
    <w:rsid w:val="26D134D1"/>
    <w:rsid w:val="26E01A05"/>
    <w:rsid w:val="26FE003E"/>
    <w:rsid w:val="27005B64"/>
    <w:rsid w:val="270A0791"/>
    <w:rsid w:val="27157F16"/>
    <w:rsid w:val="271C2980"/>
    <w:rsid w:val="271D560E"/>
    <w:rsid w:val="2742617D"/>
    <w:rsid w:val="27514AA1"/>
    <w:rsid w:val="276C4FA7"/>
    <w:rsid w:val="27806CA5"/>
    <w:rsid w:val="27856E78"/>
    <w:rsid w:val="27A40BE5"/>
    <w:rsid w:val="27B549D0"/>
    <w:rsid w:val="27C546B8"/>
    <w:rsid w:val="27CE17BE"/>
    <w:rsid w:val="28546167"/>
    <w:rsid w:val="28790F1A"/>
    <w:rsid w:val="287C6D70"/>
    <w:rsid w:val="28906DDB"/>
    <w:rsid w:val="289229E4"/>
    <w:rsid w:val="28BA1D43"/>
    <w:rsid w:val="28CD0438"/>
    <w:rsid w:val="28D2183E"/>
    <w:rsid w:val="28E4656F"/>
    <w:rsid w:val="28EA5856"/>
    <w:rsid w:val="29253660"/>
    <w:rsid w:val="294838D9"/>
    <w:rsid w:val="294A30C6"/>
    <w:rsid w:val="29503844"/>
    <w:rsid w:val="2954219A"/>
    <w:rsid w:val="295D104C"/>
    <w:rsid w:val="29843ECE"/>
    <w:rsid w:val="298A1AD1"/>
    <w:rsid w:val="298F31CF"/>
    <w:rsid w:val="29C323D4"/>
    <w:rsid w:val="29C36143"/>
    <w:rsid w:val="2A2E0C3A"/>
    <w:rsid w:val="2A3056BA"/>
    <w:rsid w:val="2A426494"/>
    <w:rsid w:val="2A656398"/>
    <w:rsid w:val="2A7F4FF2"/>
    <w:rsid w:val="2A922F77"/>
    <w:rsid w:val="2A9C2048"/>
    <w:rsid w:val="2AB818CB"/>
    <w:rsid w:val="2AC5020F"/>
    <w:rsid w:val="2AFE098F"/>
    <w:rsid w:val="2B146082"/>
    <w:rsid w:val="2B231E21"/>
    <w:rsid w:val="2B2838DB"/>
    <w:rsid w:val="2B360562"/>
    <w:rsid w:val="2B631DDB"/>
    <w:rsid w:val="2B667F60"/>
    <w:rsid w:val="2B7F4438"/>
    <w:rsid w:val="2B8A75DF"/>
    <w:rsid w:val="2B9429AF"/>
    <w:rsid w:val="2BDE1716"/>
    <w:rsid w:val="2BDF10FF"/>
    <w:rsid w:val="2BEE5E5F"/>
    <w:rsid w:val="2BF11F1F"/>
    <w:rsid w:val="2BFB29F2"/>
    <w:rsid w:val="2C167BD8"/>
    <w:rsid w:val="2C366AB3"/>
    <w:rsid w:val="2C471DB1"/>
    <w:rsid w:val="2C4B7881"/>
    <w:rsid w:val="2C552B12"/>
    <w:rsid w:val="2C772424"/>
    <w:rsid w:val="2C82701B"/>
    <w:rsid w:val="2C94128D"/>
    <w:rsid w:val="2CAE7DF1"/>
    <w:rsid w:val="2CB43640"/>
    <w:rsid w:val="2CB638C2"/>
    <w:rsid w:val="2CB70777"/>
    <w:rsid w:val="2CCB2770"/>
    <w:rsid w:val="2CD132FB"/>
    <w:rsid w:val="2CEF4E2D"/>
    <w:rsid w:val="2CF87FB4"/>
    <w:rsid w:val="2CFF6E0C"/>
    <w:rsid w:val="2D062247"/>
    <w:rsid w:val="2D615644"/>
    <w:rsid w:val="2D8B52C1"/>
    <w:rsid w:val="2DA473B3"/>
    <w:rsid w:val="2DC83813"/>
    <w:rsid w:val="2DDF2977"/>
    <w:rsid w:val="2DEE643C"/>
    <w:rsid w:val="2DF50827"/>
    <w:rsid w:val="2E2B18C0"/>
    <w:rsid w:val="2E3050F9"/>
    <w:rsid w:val="2E426A62"/>
    <w:rsid w:val="2E6115DE"/>
    <w:rsid w:val="2E6F6D21"/>
    <w:rsid w:val="2E7330BF"/>
    <w:rsid w:val="2E86359D"/>
    <w:rsid w:val="2E957060"/>
    <w:rsid w:val="2EAD1E82"/>
    <w:rsid w:val="2EB54198"/>
    <w:rsid w:val="2ED173BC"/>
    <w:rsid w:val="2ED17DFC"/>
    <w:rsid w:val="2EF249AD"/>
    <w:rsid w:val="2F0130C4"/>
    <w:rsid w:val="2F125CDF"/>
    <w:rsid w:val="2F3F2FA2"/>
    <w:rsid w:val="2F434BE0"/>
    <w:rsid w:val="2F505CDA"/>
    <w:rsid w:val="2F6716FE"/>
    <w:rsid w:val="2F740E9D"/>
    <w:rsid w:val="2FDC2E5C"/>
    <w:rsid w:val="2FE222AB"/>
    <w:rsid w:val="30224DC7"/>
    <w:rsid w:val="30440948"/>
    <w:rsid w:val="305B205D"/>
    <w:rsid w:val="30627B47"/>
    <w:rsid w:val="3081267E"/>
    <w:rsid w:val="30872E52"/>
    <w:rsid w:val="309F0693"/>
    <w:rsid w:val="30B00B8C"/>
    <w:rsid w:val="30C916BD"/>
    <w:rsid w:val="30C95219"/>
    <w:rsid w:val="30CC4D09"/>
    <w:rsid w:val="30D95EB0"/>
    <w:rsid w:val="30DA5698"/>
    <w:rsid w:val="3103697D"/>
    <w:rsid w:val="31202291"/>
    <w:rsid w:val="3135465C"/>
    <w:rsid w:val="313C1E8F"/>
    <w:rsid w:val="31450A17"/>
    <w:rsid w:val="31911A69"/>
    <w:rsid w:val="31BE3B3C"/>
    <w:rsid w:val="31C41D60"/>
    <w:rsid w:val="31CE2509"/>
    <w:rsid w:val="31D67B45"/>
    <w:rsid w:val="31DB31E9"/>
    <w:rsid w:val="31E16F84"/>
    <w:rsid w:val="31F6663A"/>
    <w:rsid w:val="32715EC4"/>
    <w:rsid w:val="32982D7E"/>
    <w:rsid w:val="32985548"/>
    <w:rsid w:val="329A50BF"/>
    <w:rsid w:val="329C7909"/>
    <w:rsid w:val="32CB34CA"/>
    <w:rsid w:val="32FD73FC"/>
    <w:rsid w:val="333A41AC"/>
    <w:rsid w:val="334119DE"/>
    <w:rsid w:val="337E22EA"/>
    <w:rsid w:val="33AA6A41"/>
    <w:rsid w:val="33AB32FB"/>
    <w:rsid w:val="33AF6948"/>
    <w:rsid w:val="33EA5BD2"/>
    <w:rsid w:val="33F333B7"/>
    <w:rsid w:val="33F44D86"/>
    <w:rsid w:val="34403A44"/>
    <w:rsid w:val="344832DD"/>
    <w:rsid w:val="344A2B14"/>
    <w:rsid w:val="345C6E70"/>
    <w:rsid w:val="346334F6"/>
    <w:rsid w:val="349124F1"/>
    <w:rsid w:val="34931DC5"/>
    <w:rsid w:val="34A43AA5"/>
    <w:rsid w:val="34AD252D"/>
    <w:rsid w:val="34D36666"/>
    <w:rsid w:val="3542559A"/>
    <w:rsid w:val="354869E5"/>
    <w:rsid w:val="356B23DC"/>
    <w:rsid w:val="357B66AE"/>
    <w:rsid w:val="357B7C5E"/>
    <w:rsid w:val="35AE2C2F"/>
    <w:rsid w:val="35B46497"/>
    <w:rsid w:val="35C17860"/>
    <w:rsid w:val="35F311FD"/>
    <w:rsid w:val="35F62008"/>
    <w:rsid w:val="360F71D9"/>
    <w:rsid w:val="361E1B63"/>
    <w:rsid w:val="362353CB"/>
    <w:rsid w:val="364879F8"/>
    <w:rsid w:val="36716C8B"/>
    <w:rsid w:val="368E1FC7"/>
    <w:rsid w:val="369E62D6"/>
    <w:rsid w:val="36C06CA8"/>
    <w:rsid w:val="36E1371D"/>
    <w:rsid w:val="370B2690"/>
    <w:rsid w:val="37216064"/>
    <w:rsid w:val="374D44BF"/>
    <w:rsid w:val="37623CD1"/>
    <w:rsid w:val="37797999"/>
    <w:rsid w:val="377C25C3"/>
    <w:rsid w:val="377D0B0B"/>
    <w:rsid w:val="379D5255"/>
    <w:rsid w:val="37A4078E"/>
    <w:rsid w:val="37CC25F9"/>
    <w:rsid w:val="3817224E"/>
    <w:rsid w:val="381E7094"/>
    <w:rsid w:val="38390ED6"/>
    <w:rsid w:val="38412978"/>
    <w:rsid w:val="384368A8"/>
    <w:rsid w:val="384B0C09"/>
    <w:rsid w:val="38561A88"/>
    <w:rsid w:val="385821EA"/>
    <w:rsid w:val="38892C9C"/>
    <w:rsid w:val="389B393F"/>
    <w:rsid w:val="38CA5FD2"/>
    <w:rsid w:val="3904608E"/>
    <w:rsid w:val="3914724D"/>
    <w:rsid w:val="39487E20"/>
    <w:rsid w:val="39677CC5"/>
    <w:rsid w:val="397C156F"/>
    <w:rsid w:val="398443D3"/>
    <w:rsid w:val="39C456C8"/>
    <w:rsid w:val="39E27626"/>
    <w:rsid w:val="3A2A0D05"/>
    <w:rsid w:val="3A49169E"/>
    <w:rsid w:val="3A56200E"/>
    <w:rsid w:val="3A852FC2"/>
    <w:rsid w:val="3A9D6DFE"/>
    <w:rsid w:val="3AAF09F5"/>
    <w:rsid w:val="3AB40CE8"/>
    <w:rsid w:val="3AE74E0F"/>
    <w:rsid w:val="3AFA61C6"/>
    <w:rsid w:val="3B390684"/>
    <w:rsid w:val="3B6E70E8"/>
    <w:rsid w:val="3B9000A3"/>
    <w:rsid w:val="3BAD0BDC"/>
    <w:rsid w:val="3BD238CE"/>
    <w:rsid w:val="3BE24E39"/>
    <w:rsid w:val="3C216453"/>
    <w:rsid w:val="3C3976F6"/>
    <w:rsid w:val="3C75670F"/>
    <w:rsid w:val="3C8C1F1C"/>
    <w:rsid w:val="3C9C1A33"/>
    <w:rsid w:val="3C9F64DB"/>
    <w:rsid w:val="3CA1704A"/>
    <w:rsid w:val="3CCB2720"/>
    <w:rsid w:val="3D070FA9"/>
    <w:rsid w:val="3D260C64"/>
    <w:rsid w:val="3D3659E4"/>
    <w:rsid w:val="3D4D52A5"/>
    <w:rsid w:val="3D6E70D8"/>
    <w:rsid w:val="3D952EFA"/>
    <w:rsid w:val="3D960B78"/>
    <w:rsid w:val="3D973713"/>
    <w:rsid w:val="3DD516A1"/>
    <w:rsid w:val="3DD84CED"/>
    <w:rsid w:val="3DFA3669"/>
    <w:rsid w:val="3E060C40"/>
    <w:rsid w:val="3E145A46"/>
    <w:rsid w:val="3E2F7573"/>
    <w:rsid w:val="3E3D1E1E"/>
    <w:rsid w:val="3E5B025D"/>
    <w:rsid w:val="3E6E73FF"/>
    <w:rsid w:val="3E94330A"/>
    <w:rsid w:val="3E9E2AE3"/>
    <w:rsid w:val="3EC82FB3"/>
    <w:rsid w:val="3ED951C1"/>
    <w:rsid w:val="3EE33949"/>
    <w:rsid w:val="3EF21DDE"/>
    <w:rsid w:val="3EF75647"/>
    <w:rsid w:val="3F0A35CC"/>
    <w:rsid w:val="3F0F012A"/>
    <w:rsid w:val="3F2A0075"/>
    <w:rsid w:val="3F2F17A7"/>
    <w:rsid w:val="3F4A6A08"/>
    <w:rsid w:val="3F6E42BC"/>
    <w:rsid w:val="3FAA4467"/>
    <w:rsid w:val="3FCD23F4"/>
    <w:rsid w:val="3FE8335F"/>
    <w:rsid w:val="3FEA04C9"/>
    <w:rsid w:val="3FFF5719"/>
    <w:rsid w:val="400B13AA"/>
    <w:rsid w:val="40306946"/>
    <w:rsid w:val="40520D87"/>
    <w:rsid w:val="40687CD9"/>
    <w:rsid w:val="40755E3D"/>
    <w:rsid w:val="407707ED"/>
    <w:rsid w:val="409D4A4A"/>
    <w:rsid w:val="40C9613C"/>
    <w:rsid w:val="40FF7A59"/>
    <w:rsid w:val="412107C4"/>
    <w:rsid w:val="412F10C8"/>
    <w:rsid w:val="41322966"/>
    <w:rsid w:val="41595799"/>
    <w:rsid w:val="41726364"/>
    <w:rsid w:val="41AD051F"/>
    <w:rsid w:val="41EA1DDE"/>
    <w:rsid w:val="41EC50B3"/>
    <w:rsid w:val="421765FD"/>
    <w:rsid w:val="421A678E"/>
    <w:rsid w:val="42495EB7"/>
    <w:rsid w:val="4252093A"/>
    <w:rsid w:val="426D634C"/>
    <w:rsid w:val="428C0DFC"/>
    <w:rsid w:val="42B26CEF"/>
    <w:rsid w:val="42B5384F"/>
    <w:rsid w:val="42BE0484"/>
    <w:rsid w:val="42BF46CD"/>
    <w:rsid w:val="42F425C9"/>
    <w:rsid w:val="42F779C3"/>
    <w:rsid w:val="43014B58"/>
    <w:rsid w:val="430B346F"/>
    <w:rsid w:val="43380CD8"/>
    <w:rsid w:val="433F136A"/>
    <w:rsid w:val="437231C8"/>
    <w:rsid w:val="437E1E93"/>
    <w:rsid w:val="439630AC"/>
    <w:rsid w:val="43C03EFA"/>
    <w:rsid w:val="43D50ABA"/>
    <w:rsid w:val="43EA577A"/>
    <w:rsid w:val="43EF0FE2"/>
    <w:rsid w:val="440F51E1"/>
    <w:rsid w:val="442E38B9"/>
    <w:rsid w:val="44740D57"/>
    <w:rsid w:val="44953938"/>
    <w:rsid w:val="44B4195D"/>
    <w:rsid w:val="44CE6E4A"/>
    <w:rsid w:val="44D53A0A"/>
    <w:rsid w:val="44DA28F8"/>
    <w:rsid w:val="44F05012"/>
    <w:rsid w:val="450E5E0A"/>
    <w:rsid w:val="451E392D"/>
    <w:rsid w:val="45451BA3"/>
    <w:rsid w:val="455053F1"/>
    <w:rsid w:val="45551B43"/>
    <w:rsid w:val="45B52572"/>
    <w:rsid w:val="45B61DB8"/>
    <w:rsid w:val="45B62B77"/>
    <w:rsid w:val="45BF2D58"/>
    <w:rsid w:val="45E473AD"/>
    <w:rsid w:val="45E87531"/>
    <w:rsid w:val="46342895"/>
    <w:rsid w:val="467A3826"/>
    <w:rsid w:val="4690085B"/>
    <w:rsid w:val="46DE7ADD"/>
    <w:rsid w:val="46FE422D"/>
    <w:rsid w:val="471F3D10"/>
    <w:rsid w:val="47290BFE"/>
    <w:rsid w:val="47332F94"/>
    <w:rsid w:val="478553EA"/>
    <w:rsid w:val="47A143A2"/>
    <w:rsid w:val="47B34501"/>
    <w:rsid w:val="47BE40C1"/>
    <w:rsid w:val="47D97FDF"/>
    <w:rsid w:val="47DD2CB5"/>
    <w:rsid w:val="48132297"/>
    <w:rsid w:val="485D1DFC"/>
    <w:rsid w:val="486E733A"/>
    <w:rsid w:val="48741AB6"/>
    <w:rsid w:val="488722BD"/>
    <w:rsid w:val="489A776F"/>
    <w:rsid w:val="48A44149"/>
    <w:rsid w:val="48AE6D76"/>
    <w:rsid w:val="48E07351"/>
    <w:rsid w:val="48E22FAC"/>
    <w:rsid w:val="48EB2B90"/>
    <w:rsid w:val="492D7BB5"/>
    <w:rsid w:val="494A7BB3"/>
    <w:rsid w:val="49555444"/>
    <w:rsid w:val="4955606C"/>
    <w:rsid w:val="495E0827"/>
    <w:rsid w:val="496234CA"/>
    <w:rsid w:val="497C111C"/>
    <w:rsid w:val="49C600F0"/>
    <w:rsid w:val="49DA103E"/>
    <w:rsid w:val="49E16385"/>
    <w:rsid w:val="49EC09E1"/>
    <w:rsid w:val="49FF4E17"/>
    <w:rsid w:val="4A070C6F"/>
    <w:rsid w:val="4A08695A"/>
    <w:rsid w:val="4A17763D"/>
    <w:rsid w:val="4A286B3C"/>
    <w:rsid w:val="4A2B43F6"/>
    <w:rsid w:val="4A2D016F"/>
    <w:rsid w:val="4A5751EC"/>
    <w:rsid w:val="4A606B0D"/>
    <w:rsid w:val="4AA93A0C"/>
    <w:rsid w:val="4AB10DA0"/>
    <w:rsid w:val="4AD60806"/>
    <w:rsid w:val="4B4C2B33"/>
    <w:rsid w:val="4B75001F"/>
    <w:rsid w:val="4B863FDA"/>
    <w:rsid w:val="4BA601D9"/>
    <w:rsid w:val="4BAB6D44"/>
    <w:rsid w:val="4BB0445D"/>
    <w:rsid w:val="4BB37980"/>
    <w:rsid w:val="4BC17ACE"/>
    <w:rsid w:val="4BEB208F"/>
    <w:rsid w:val="4BEE619D"/>
    <w:rsid w:val="4C0C35F4"/>
    <w:rsid w:val="4C282BCC"/>
    <w:rsid w:val="4C453774"/>
    <w:rsid w:val="4C6E5598"/>
    <w:rsid w:val="4C6F419C"/>
    <w:rsid w:val="4C9D390F"/>
    <w:rsid w:val="4CAA66AC"/>
    <w:rsid w:val="4CD314A1"/>
    <w:rsid w:val="4CD367FC"/>
    <w:rsid w:val="4CEA2ED9"/>
    <w:rsid w:val="4D2732E2"/>
    <w:rsid w:val="4D2D4FEF"/>
    <w:rsid w:val="4D2F79C2"/>
    <w:rsid w:val="4D5A127B"/>
    <w:rsid w:val="4D5E1B88"/>
    <w:rsid w:val="4D61085B"/>
    <w:rsid w:val="4D637C54"/>
    <w:rsid w:val="4D747B1B"/>
    <w:rsid w:val="4D875DE8"/>
    <w:rsid w:val="4D892427"/>
    <w:rsid w:val="4DD86643"/>
    <w:rsid w:val="4E087AA4"/>
    <w:rsid w:val="4E1B5A02"/>
    <w:rsid w:val="4E223347"/>
    <w:rsid w:val="4E3D00CC"/>
    <w:rsid w:val="4E5A1684"/>
    <w:rsid w:val="4E65439E"/>
    <w:rsid w:val="4E6678C1"/>
    <w:rsid w:val="4E876FAA"/>
    <w:rsid w:val="4EA74993"/>
    <w:rsid w:val="4ED4067B"/>
    <w:rsid w:val="4ED824E8"/>
    <w:rsid w:val="4ED915A0"/>
    <w:rsid w:val="4ED963F8"/>
    <w:rsid w:val="4EF23735"/>
    <w:rsid w:val="4F1732CC"/>
    <w:rsid w:val="4F1958F8"/>
    <w:rsid w:val="4F275CED"/>
    <w:rsid w:val="4F5710E9"/>
    <w:rsid w:val="4F583EE0"/>
    <w:rsid w:val="4F5C39D0"/>
    <w:rsid w:val="4F822D0B"/>
    <w:rsid w:val="4F8B4D51"/>
    <w:rsid w:val="4F9565BC"/>
    <w:rsid w:val="4FBC446F"/>
    <w:rsid w:val="4FE539F9"/>
    <w:rsid w:val="4FF534DD"/>
    <w:rsid w:val="505360D7"/>
    <w:rsid w:val="505416A1"/>
    <w:rsid w:val="505629E2"/>
    <w:rsid w:val="505E5526"/>
    <w:rsid w:val="50775F4B"/>
    <w:rsid w:val="50845F89"/>
    <w:rsid w:val="50AE6154"/>
    <w:rsid w:val="50E13126"/>
    <w:rsid w:val="510B58BF"/>
    <w:rsid w:val="512D5911"/>
    <w:rsid w:val="513C73B6"/>
    <w:rsid w:val="515038C8"/>
    <w:rsid w:val="515E50B1"/>
    <w:rsid w:val="5197704F"/>
    <w:rsid w:val="519A07DF"/>
    <w:rsid w:val="52247490"/>
    <w:rsid w:val="52450B1F"/>
    <w:rsid w:val="524B31F9"/>
    <w:rsid w:val="5252759A"/>
    <w:rsid w:val="52621520"/>
    <w:rsid w:val="52666914"/>
    <w:rsid w:val="52825BDD"/>
    <w:rsid w:val="528E1630"/>
    <w:rsid w:val="528F6BDC"/>
    <w:rsid w:val="5290020A"/>
    <w:rsid w:val="52B70F1D"/>
    <w:rsid w:val="52D92CA5"/>
    <w:rsid w:val="52D96D44"/>
    <w:rsid w:val="52EA30A1"/>
    <w:rsid w:val="52FE7491"/>
    <w:rsid w:val="530C7FCD"/>
    <w:rsid w:val="532E0611"/>
    <w:rsid w:val="53373998"/>
    <w:rsid w:val="53672943"/>
    <w:rsid w:val="53676EEF"/>
    <w:rsid w:val="53702867"/>
    <w:rsid w:val="537F5EDF"/>
    <w:rsid w:val="53980D4F"/>
    <w:rsid w:val="54064A85"/>
    <w:rsid w:val="54640C31"/>
    <w:rsid w:val="546D21DB"/>
    <w:rsid w:val="54866E8D"/>
    <w:rsid w:val="549919B3"/>
    <w:rsid w:val="54AD25D8"/>
    <w:rsid w:val="54B716A8"/>
    <w:rsid w:val="54C618EB"/>
    <w:rsid w:val="54CD4A28"/>
    <w:rsid w:val="54F60893"/>
    <w:rsid w:val="54F64531"/>
    <w:rsid w:val="54FF7DA6"/>
    <w:rsid w:val="551D5F9C"/>
    <w:rsid w:val="5531427C"/>
    <w:rsid w:val="554051FA"/>
    <w:rsid w:val="55566E02"/>
    <w:rsid w:val="556829A3"/>
    <w:rsid w:val="55812381"/>
    <w:rsid w:val="558772CD"/>
    <w:rsid w:val="559B4360"/>
    <w:rsid w:val="559F79CB"/>
    <w:rsid w:val="55AE68AA"/>
    <w:rsid w:val="55F508DE"/>
    <w:rsid w:val="55F51EB2"/>
    <w:rsid w:val="56132380"/>
    <w:rsid w:val="56243888"/>
    <w:rsid w:val="566F3EC2"/>
    <w:rsid w:val="566F7D0D"/>
    <w:rsid w:val="56821842"/>
    <w:rsid w:val="56986FAF"/>
    <w:rsid w:val="56A65531"/>
    <w:rsid w:val="56B61214"/>
    <w:rsid w:val="56C907C1"/>
    <w:rsid w:val="56D24578"/>
    <w:rsid w:val="56D468A8"/>
    <w:rsid w:val="56F13E3C"/>
    <w:rsid w:val="5748399B"/>
    <w:rsid w:val="578E0702"/>
    <w:rsid w:val="57945869"/>
    <w:rsid w:val="57B84621"/>
    <w:rsid w:val="57D26DC6"/>
    <w:rsid w:val="57E13CEA"/>
    <w:rsid w:val="57E427B4"/>
    <w:rsid w:val="57ED19C7"/>
    <w:rsid w:val="582726A1"/>
    <w:rsid w:val="58472D16"/>
    <w:rsid w:val="584C010C"/>
    <w:rsid w:val="58872EA5"/>
    <w:rsid w:val="58927912"/>
    <w:rsid w:val="589715D5"/>
    <w:rsid w:val="58D726E1"/>
    <w:rsid w:val="58DD420A"/>
    <w:rsid w:val="59657925"/>
    <w:rsid w:val="596C2215"/>
    <w:rsid w:val="597B52F1"/>
    <w:rsid w:val="599E42C5"/>
    <w:rsid w:val="59B25935"/>
    <w:rsid w:val="59BC506B"/>
    <w:rsid w:val="59CF7480"/>
    <w:rsid w:val="59FA762C"/>
    <w:rsid w:val="5A0C328A"/>
    <w:rsid w:val="5A117165"/>
    <w:rsid w:val="5A2956B6"/>
    <w:rsid w:val="5A4048B9"/>
    <w:rsid w:val="5A4243F6"/>
    <w:rsid w:val="5A4F558D"/>
    <w:rsid w:val="5A9030B6"/>
    <w:rsid w:val="5AA91A93"/>
    <w:rsid w:val="5ACE5056"/>
    <w:rsid w:val="5B1271FB"/>
    <w:rsid w:val="5B1C23BA"/>
    <w:rsid w:val="5B2E3D41"/>
    <w:rsid w:val="5B543E2A"/>
    <w:rsid w:val="5B556C4E"/>
    <w:rsid w:val="5B6321A7"/>
    <w:rsid w:val="5B6431F1"/>
    <w:rsid w:val="5B8357A1"/>
    <w:rsid w:val="5B963A73"/>
    <w:rsid w:val="5B9664D8"/>
    <w:rsid w:val="5BE81692"/>
    <w:rsid w:val="5C0056E3"/>
    <w:rsid w:val="5C0F33E8"/>
    <w:rsid w:val="5C1639E5"/>
    <w:rsid w:val="5C232179"/>
    <w:rsid w:val="5C294C3A"/>
    <w:rsid w:val="5C2B081A"/>
    <w:rsid w:val="5C782EA5"/>
    <w:rsid w:val="5C816D9B"/>
    <w:rsid w:val="5CA560ED"/>
    <w:rsid w:val="5CB0647D"/>
    <w:rsid w:val="5CC04E72"/>
    <w:rsid w:val="5CFB28D8"/>
    <w:rsid w:val="5D427373"/>
    <w:rsid w:val="5D55058A"/>
    <w:rsid w:val="5D6F1783"/>
    <w:rsid w:val="5D770EDC"/>
    <w:rsid w:val="5D7F0B49"/>
    <w:rsid w:val="5D8B3613"/>
    <w:rsid w:val="5D941E6C"/>
    <w:rsid w:val="5D9A3591"/>
    <w:rsid w:val="5D9C58DF"/>
    <w:rsid w:val="5DB805DC"/>
    <w:rsid w:val="5DBE7604"/>
    <w:rsid w:val="5DC33418"/>
    <w:rsid w:val="5DC80A54"/>
    <w:rsid w:val="5DD6335E"/>
    <w:rsid w:val="5DE35EFF"/>
    <w:rsid w:val="5E2B736D"/>
    <w:rsid w:val="5E2C6C63"/>
    <w:rsid w:val="5E503537"/>
    <w:rsid w:val="5E60690D"/>
    <w:rsid w:val="5E655CD1"/>
    <w:rsid w:val="5E6F9B08"/>
    <w:rsid w:val="5E785A05"/>
    <w:rsid w:val="5E83522B"/>
    <w:rsid w:val="5E914D18"/>
    <w:rsid w:val="5E954808"/>
    <w:rsid w:val="5EA8104B"/>
    <w:rsid w:val="5EAA168B"/>
    <w:rsid w:val="5EC5512F"/>
    <w:rsid w:val="5ED2460A"/>
    <w:rsid w:val="5ED51A95"/>
    <w:rsid w:val="5ED944FB"/>
    <w:rsid w:val="5EE94098"/>
    <w:rsid w:val="5F084338"/>
    <w:rsid w:val="5F0E3CC8"/>
    <w:rsid w:val="5F505E0E"/>
    <w:rsid w:val="5F596CAB"/>
    <w:rsid w:val="5F8A0EC6"/>
    <w:rsid w:val="5F985EE7"/>
    <w:rsid w:val="5FBB029F"/>
    <w:rsid w:val="5FCA1FDF"/>
    <w:rsid w:val="5FCD0A6C"/>
    <w:rsid w:val="5FDF52D0"/>
    <w:rsid w:val="5FEDCD96"/>
    <w:rsid w:val="5FF874E2"/>
    <w:rsid w:val="601C23F3"/>
    <w:rsid w:val="60262323"/>
    <w:rsid w:val="604E09DF"/>
    <w:rsid w:val="605129B1"/>
    <w:rsid w:val="606F4BE5"/>
    <w:rsid w:val="60921CFB"/>
    <w:rsid w:val="60C72177"/>
    <w:rsid w:val="60C75050"/>
    <w:rsid w:val="60E70C20"/>
    <w:rsid w:val="60FF41BB"/>
    <w:rsid w:val="6109328C"/>
    <w:rsid w:val="613227E3"/>
    <w:rsid w:val="6145139C"/>
    <w:rsid w:val="61467374"/>
    <w:rsid w:val="61502C69"/>
    <w:rsid w:val="615C4D23"/>
    <w:rsid w:val="61734BA9"/>
    <w:rsid w:val="619C549F"/>
    <w:rsid w:val="61A1314C"/>
    <w:rsid w:val="61A2364E"/>
    <w:rsid w:val="61BE4076"/>
    <w:rsid w:val="61F10D27"/>
    <w:rsid w:val="61F730E4"/>
    <w:rsid w:val="62326A9F"/>
    <w:rsid w:val="62502C9D"/>
    <w:rsid w:val="626C5880"/>
    <w:rsid w:val="627D5CDF"/>
    <w:rsid w:val="6299063F"/>
    <w:rsid w:val="62BB08BA"/>
    <w:rsid w:val="62D034B6"/>
    <w:rsid w:val="630177BB"/>
    <w:rsid w:val="631B2A9B"/>
    <w:rsid w:val="632223E3"/>
    <w:rsid w:val="633364BE"/>
    <w:rsid w:val="633C21FE"/>
    <w:rsid w:val="63554566"/>
    <w:rsid w:val="63697506"/>
    <w:rsid w:val="6375101A"/>
    <w:rsid w:val="63946672"/>
    <w:rsid w:val="63E010F8"/>
    <w:rsid w:val="63F7386F"/>
    <w:rsid w:val="641F3864"/>
    <w:rsid w:val="64207BFF"/>
    <w:rsid w:val="643A375C"/>
    <w:rsid w:val="64430B5A"/>
    <w:rsid w:val="6449274D"/>
    <w:rsid w:val="646507D9"/>
    <w:rsid w:val="64676419"/>
    <w:rsid w:val="64713622"/>
    <w:rsid w:val="65207761"/>
    <w:rsid w:val="65222B6E"/>
    <w:rsid w:val="654E74BF"/>
    <w:rsid w:val="656B0071"/>
    <w:rsid w:val="658865CB"/>
    <w:rsid w:val="659F422A"/>
    <w:rsid w:val="65A47B3B"/>
    <w:rsid w:val="65A745D1"/>
    <w:rsid w:val="65BD63F3"/>
    <w:rsid w:val="65EB11B2"/>
    <w:rsid w:val="65FC0F77"/>
    <w:rsid w:val="660B53B0"/>
    <w:rsid w:val="663C37BC"/>
    <w:rsid w:val="66401DAC"/>
    <w:rsid w:val="66753B26"/>
    <w:rsid w:val="669058B5"/>
    <w:rsid w:val="669E47D6"/>
    <w:rsid w:val="66A870A3"/>
    <w:rsid w:val="66BE0674"/>
    <w:rsid w:val="671E7365"/>
    <w:rsid w:val="67254250"/>
    <w:rsid w:val="67550FD9"/>
    <w:rsid w:val="677A6757"/>
    <w:rsid w:val="6796514D"/>
    <w:rsid w:val="67A07D7A"/>
    <w:rsid w:val="67C15585"/>
    <w:rsid w:val="67D861AD"/>
    <w:rsid w:val="67F3434E"/>
    <w:rsid w:val="67FB77F2"/>
    <w:rsid w:val="681744E0"/>
    <w:rsid w:val="68187AAB"/>
    <w:rsid w:val="681C5653"/>
    <w:rsid w:val="6825455C"/>
    <w:rsid w:val="682664D1"/>
    <w:rsid w:val="683E1BFE"/>
    <w:rsid w:val="684E5A28"/>
    <w:rsid w:val="685E2BD3"/>
    <w:rsid w:val="687C2E2A"/>
    <w:rsid w:val="687E3344"/>
    <w:rsid w:val="6893021D"/>
    <w:rsid w:val="689618A9"/>
    <w:rsid w:val="689E42BA"/>
    <w:rsid w:val="68C51013"/>
    <w:rsid w:val="68CC5990"/>
    <w:rsid w:val="68CD15CA"/>
    <w:rsid w:val="68DB550E"/>
    <w:rsid w:val="68F4225D"/>
    <w:rsid w:val="690A5DF3"/>
    <w:rsid w:val="6912439F"/>
    <w:rsid w:val="6916598F"/>
    <w:rsid w:val="691C7D63"/>
    <w:rsid w:val="69230C63"/>
    <w:rsid w:val="692E2DC7"/>
    <w:rsid w:val="69392234"/>
    <w:rsid w:val="69620955"/>
    <w:rsid w:val="697D0373"/>
    <w:rsid w:val="697D65C5"/>
    <w:rsid w:val="697E73FB"/>
    <w:rsid w:val="69842881"/>
    <w:rsid w:val="69863D7E"/>
    <w:rsid w:val="698A53E7"/>
    <w:rsid w:val="69EA4C26"/>
    <w:rsid w:val="6A010FA4"/>
    <w:rsid w:val="6A2B6B78"/>
    <w:rsid w:val="6A731776"/>
    <w:rsid w:val="6A783807"/>
    <w:rsid w:val="6A80063A"/>
    <w:rsid w:val="6A845731"/>
    <w:rsid w:val="6AA656A7"/>
    <w:rsid w:val="6AAF57C5"/>
    <w:rsid w:val="6AC75B23"/>
    <w:rsid w:val="6AE83F12"/>
    <w:rsid w:val="6AEE364B"/>
    <w:rsid w:val="6AF13F41"/>
    <w:rsid w:val="6B405AFC"/>
    <w:rsid w:val="6B4274D5"/>
    <w:rsid w:val="6B454371"/>
    <w:rsid w:val="6B633658"/>
    <w:rsid w:val="6B7B3CF2"/>
    <w:rsid w:val="6B9C5FAB"/>
    <w:rsid w:val="6B9E7E78"/>
    <w:rsid w:val="6BA80C4A"/>
    <w:rsid w:val="6BB362CE"/>
    <w:rsid w:val="6BB87D88"/>
    <w:rsid w:val="6BC54C3F"/>
    <w:rsid w:val="6BDD05DC"/>
    <w:rsid w:val="6BE02E3B"/>
    <w:rsid w:val="6BEE7306"/>
    <w:rsid w:val="6C1A634D"/>
    <w:rsid w:val="6C415F3F"/>
    <w:rsid w:val="6C4B6107"/>
    <w:rsid w:val="6C4C227F"/>
    <w:rsid w:val="6C5F0AB0"/>
    <w:rsid w:val="6C64581A"/>
    <w:rsid w:val="6C6469B5"/>
    <w:rsid w:val="6C6953A9"/>
    <w:rsid w:val="6C714D39"/>
    <w:rsid w:val="6C7E2EC2"/>
    <w:rsid w:val="6C8B3195"/>
    <w:rsid w:val="6C904861"/>
    <w:rsid w:val="6CB56076"/>
    <w:rsid w:val="6CB636B6"/>
    <w:rsid w:val="6CBA18DE"/>
    <w:rsid w:val="6CC70971"/>
    <w:rsid w:val="6CFE17CB"/>
    <w:rsid w:val="6D062D75"/>
    <w:rsid w:val="6D323B6A"/>
    <w:rsid w:val="6D7F460B"/>
    <w:rsid w:val="6DDC759D"/>
    <w:rsid w:val="6DE740F1"/>
    <w:rsid w:val="6E005A16"/>
    <w:rsid w:val="6E0E5A3E"/>
    <w:rsid w:val="6E1251AB"/>
    <w:rsid w:val="6E1F40EF"/>
    <w:rsid w:val="6E4232C9"/>
    <w:rsid w:val="6E492F1A"/>
    <w:rsid w:val="6E775CD9"/>
    <w:rsid w:val="6E810905"/>
    <w:rsid w:val="6E8D72AA"/>
    <w:rsid w:val="6EBF5780"/>
    <w:rsid w:val="6EDF73DA"/>
    <w:rsid w:val="6F2048C2"/>
    <w:rsid w:val="6F4436E1"/>
    <w:rsid w:val="6F6538D4"/>
    <w:rsid w:val="6F8B1310"/>
    <w:rsid w:val="6FA348AB"/>
    <w:rsid w:val="6FC0545D"/>
    <w:rsid w:val="6FCF0D84"/>
    <w:rsid w:val="6FD74555"/>
    <w:rsid w:val="6FF10085"/>
    <w:rsid w:val="6FFD4F62"/>
    <w:rsid w:val="70231CC8"/>
    <w:rsid w:val="70390D6C"/>
    <w:rsid w:val="705F4F42"/>
    <w:rsid w:val="70B86E62"/>
    <w:rsid w:val="70BA1EAD"/>
    <w:rsid w:val="70D1264B"/>
    <w:rsid w:val="70DA254F"/>
    <w:rsid w:val="71285068"/>
    <w:rsid w:val="713E5A0A"/>
    <w:rsid w:val="71513A53"/>
    <w:rsid w:val="718030F6"/>
    <w:rsid w:val="718D75C1"/>
    <w:rsid w:val="71A8630C"/>
    <w:rsid w:val="71B705AC"/>
    <w:rsid w:val="71B757A4"/>
    <w:rsid w:val="71BE777B"/>
    <w:rsid w:val="7214383E"/>
    <w:rsid w:val="722C0B88"/>
    <w:rsid w:val="724D18F2"/>
    <w:rsid w:val="7274556F"/>
    <w:rsid w:val="72AB5F51"/>
    <w:rsid w:val="72BD3ED6"/>
    <w:rsid w:val="72C60FDD"/>
    <w:rsid w:val="72C963D7"/>
    <w:rsid w:val="72FF8D69"/>
    <w:rsid w:val="730E079F"/>
    <w:rsid w:val="73A11102"/>
    <w:rsid w:val="73D47729"/>
    <w:rsid w:val="73E7745D"/>
    <w:rsid w:val="73EF7D5B"/>
    <w:rsid w:val="740769A8"/>
    <w:rsid w:val="740B2A1F"/>
    <w:rsid w:val="740F250F"/>
    <w:rsid w:val="74406B6D"/>
    <w:rsid w:val="746913A2"/>
    <w:rsid w:val="74A0760B"/>
    <w:rsid w:val="74B542D0"/>
    <w:rsid w:val="74D24340"/>
    <w:rsid w:val="74FA4DFF"/>
    <w:rsid w:val="751002ED"/>
    <w:rsid w:val="75137752"/>
    <w:rsid w:val="75151DA7"/>
    <w:rsid w:val="75181898"/>
    <w:rsid w:val="75422471"/>
    <w:rsid w:val="75976FE7"/>
    <w:rsid w:val="75E72B90"/>
    <w:rsid w:val="760A11E0"/>
    <w:rsid w:val="760C31AA"/>
    <w:rsid w:val="761107C1"/>
    <w:rsid w:val="76120095"/>
    <w:rsid w:val="76164029"/>
    <w:rsid w:val="764A3DBD"/>
    <w:rsid w:val="765A5947"/>
    <w:rsid w:val="766B2934"/>
    <w:rsid w:val="76790712"/>
    <w:rsid w:val="76E61C4D"/>
    <w:rsid w:val="76E9788A"/>
    <w:rsid w:val="773A039D"/>
    <w:rsid w:val="77720E7F"/>
    <w:rsid w:val="777F7478"/>
    <w:rsid w:val="77866F31"/>
    <w:rsid w:val="778F432B"/>
    <w:rsid w:val="779B56A4"/>
    <w:rsid w:val="77E00B7D"/>
    <w:rsid w:val="781F4E2C"/>
    <w:rsid w:val="7830075F"/>
    <w:rsid w:val="785250C1"/>
    <w:rsid w:val="786025D8"/>
    <w:rsid w:val="78866B18"/>
    <w:rsid w:val="78A47840"/>
    <w:rsid w:val="78B2373F"/>
    <w:rsid w:val="78C7099A"/>
    <w:rsid w:val="78E430A7"/>
    <w:rsid w:val="78ED077D"/>
    <w:rsid w:val="78F03D9F"/>
    <w:rsid w:val="78F46178"/>
    <w:rsid w:val="790A599B"/>
    <w:rsid w:val="792C76C0"/>
    <w:rsid w:val="7956268F"/>
    <w:rsid w:val="796C3F60"/>
    <w:rsid w:val="797352EE"/>
    <w:rsid w:val="798E037A"/>
    <w:rsid w:val="79A14AFF"/>
    <w:rsid w:val="79A33BB0"/>
    <w:rsid w:val="79B31B8F"/>
    <w:rsid w:val="79E87A8A"/>
    <w:rsid w:val="79FB2949"/>
    <w:rsid w:val="7A060084"/>
    <w:rsid w:val="7A235250"/>
    <w:rsid w:val="7A372829"/>
    <w:rsid w:val="7A5C3FD5"/>
    <w:rsid w:val="7A6F38FA"/>
    <w:rsid w:val="7A7C6425"/>
    <w:rsid w:val="7A952654"/>
    <w:rsid w:val="7ACE2B7F"/>
    <w:rsid w:val="7AED2E7F"/>
    <w:rsid w:val="7B007056"/>
    <w:rsid w:val="7B040070"/>
    <w:rsid w:val="7B046E06"/>
    <w:rsid w:val="7B212750"/>
    <w:rsid w:val="7B3BEE87"/>
    <w:rsid w:val="7B537952"/>
    <w:rsid w:val="7B542EFE"/>
    <w:rsid w:val="7B560A24"/>
    <w:rsid w:val="7B8657AD"/>
    <w:rsid w:val="7BB51BEE"/>
    <w:rsid w:val="7BB97590"/>
    <w:rsid w:val="7BBD13D9"/>
    <w:rsid w:val="7BCC296D"/>
    <w:rsid w:val="7BD369CB"/>
    <w:rsid w:val="7BE2219F"/>
    <w:rsid w:val="7BEE3352"/>
    <w:rsid w:val="7C013236"/>
    <w:rsid w:val="7C224DAA"/>
    <w:rsid w:val="7C2428D0"/>
    <w:rsid w:val="7C7D684C"/>
    <w:rsid w:val="7C8B2ACC"/>
    <w:rsid w:val="7C8B65E5"/>
    <w:rsid w:val="7C945CA8"/>
    <w:rsid w:val="7D08532E"/>
    <w:rsid w:val="7D1C313E"/>
    <w:rsid w:val="7D5B3117"/>
    <w:rsid w:val="7D7D26CC"/>
    <w:rsid w:val="7D943A85"/>
    <w:rsid w:val="7D961A6D"/>
    <w:rsid w:val="7D963973"/>
    <w:rsid w:val="7DA76A63"/>
    <w:rsid w:val="7DB52379"/>
    <w:rsid w:val="7DC86A65"/>
    <w:rsid w:val="7DDA593C"/>
    <w:rsid w:val="7DDE75C2"/>
    <w:rsid w:val="7DF10ED8"/>
    <w:rsid w:val="7E030C73"/>
    <w:rsid w:val="7E484F9C"/>
    <w:rsid w:val="7E5A082B"/>
    <w:rsid w:val="7E746BD5"/>
    <w:rsid w:val="7E9975A5"/>
    <w:rsid w:val="7EDC56E4"/>
    <w:rsid w:val="7EED4AC3"/>
    <w:rsid w:val="7F166E48"/>
    <w:rsid w:val="7F363046"/>
    <w:rsid w:val="7F377045"/>
    <w:rsid w:val="7F6A7194"/>
    <w:rsid w:val="7F851FEE"/>
    <w:rsid w:val="7FA426A6"/>
    <w:rsid w:val="7FC66212"/>
    <w:rsid w:val="7FE97ACB"/>
    <w:rsid w:val="7FF93C9D"/>
    <w:rsid w:val="7FFC5C64"/>
    <w:rsid w:val="878FF6EE"/>
    <w:rsid w:val="B17B3E1C"/>
    <w:rsid w:val="BFBF1B4A"/>
    <w:rsid w:val="FB7D1E88"/>
    <w:rsid w:val="FC7F08BE"/>
    <w:rsid w:val="FF7BCE19"/>
    <w:rsid w:val="FF7EF44D"/>
    <w:rsid w:val="FF8F53F8"/>
    <w:rsid w:val="FFBF33F3"/>
    <w:rsid w:val="FFE6D0C6"/>
    <w:rsid w:val="FFFFB16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sdException w:qFormat="1" w:unhideWhenUsed="0" w:uiPriority="9" w:semiHidden="0" w:name="heading 3"/>
    <w:lsdException w:qFormat="1" w:unhideWhenUsed="0" w:uiPriority="0" w:semiHidden="0" w:name="heading 4" w:locked="1"/>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ocked="1"/>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iPriority="0"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5"/>
    <w:autoRedefine/>
    <w:qFormat/>
    <w:locked/>
    <w:uiPriority w:val="0"/>
    <w:pPr>
      <w:keepNext/>
      <w:keepLines/>
      <w:spacing w:before="340" w:after="330" w:line="578" w:lineRule="auto"/>
      <w:outlineLvl w:val="0"/>
    </w:pPr>
    <w:rPr>
      <w:b/>
      <w:bCs/>
      <w:kern w:val="44"/>
      <w:sz w:val="44"/>
      <w:szCs w:val="44"/>
    </w:rPr>
  </w:style>
  <w:style w:type="paragraph" w:styleId="4">
    <w:name w:val="heading 2"/>
    <w:basedOn w:val="1"/>
    <w:next w:val="1"/>
    <w:link w:val="66"/>
    <w:autoRedefine/>
    <w:qFormat/>
    <w:uiPriority w:val="0"/>
    <w:pPr>
      <w:keepNext/>
      <w:keepLines/>
      <w:spacing w:before="260" w:after="260" w:line="416" w:lineRule="auto"/>
      <w:outlineLvl w:val="1"/>
    </w:pPr>
    <w:rPr>
      <w:rFonts w:ascii="Cambria" w:hAnsi="Cambria"/>
      <w:b/>
      <w:bCs/>
      <w:kern w:val="0"/>
      <w:sz w:val="32"/>
      <w:szCs w:val="32"/>
    </w:rPr>
  </w:style>
  <w:style w:type="paragraph" w:styleId="5">
    <w:name w:val="heading 3"/>
    <w:basedOn w:val="1"/>
    <w:next w:val="1"/>
    <w:link w:val="67"/>
    <w:autoRedefine/>
    <w:qFormat/>
    <w:uiPriority w:val="9"/>
    <w:pPr>
      <w:keepNext/>
      <w:keepLines/>
      <w:spacing w:before="260" w:after="260" w:line="416" w:lineRule="auto"/>
      <w:outlineLvl w:val="2"/>
    </w:pPr>
    <w:rPr>
      <w:b/>
      <w:bCs/>
      <w:kern w:val="0"/>
      <w:sz w:val="32"/>
      <w:szCs w:val="32"/>
    </w:rPr>
  </w:style>
  <w:style w:type="paragraph" w:styleId="6">
    <w:name w:val="heading 4"/>
    <w:basedOn w:val="1"/>
    <w:next w:val="1"/>
    <w:link w:val="68"/>
    <w:autoRedefine/>
    <w:qFormat/>
    <w:locked/>
    <w:uiPriority w:val="0"/>
    <w:pPr>
      <w:keepNext/>
      <w:keepLines/>
      <w:spacing w:line="376" w:lineRule="auto"/>
      <w:outlineLvl w:val="3"/>
    </w:pPr>
    <w:rPr>
      <w:rFonts w:ascii="Arial" w:hAnsi="Arial" w:eastAsia="黑体"/>
      <w:b/>
      <w:bCs/>
      <w:sz w:val="28"/>
      <w:szCs w:val="28"/>
    </w:rPr>
  </w:style>
  <w:style w:type="paragraph" w:styleId="7">
    <w:name w:val="heading 5"/>
    <w:basedOn w:val="1"/>
    <w:next w:val="1"/>
    <w:link w:val="69"/>
    <w:autoRedefine/>
    <w:qFormat/>
    <w:locked/>
    <w:uiPriority w:val="0"/>
    <w:pPr>
      <w:widowControl/>
      <w:spacing w:before="100" w:beforeLines="0" w:beforeAutospacing="1" w:after="100" w:afterLines="0" w:afterAutospacing="1"/>
      <w:jc w:val="left"/>
      <w:outlineLvl w:val="4"/>
    </w:pPr>
    <w:rPr>
      <w:rFonts w:ascii="宋体" w:hAnsi="宋体"/>
      <w:b/>
      <w:bCs/>
      <w:kern w:val="0"/>
      <w:sz w:val="20"/>
      <w:szCs w:val="20"/>
    </w:rPr>
  </w:style>
  <w:style w:type="paragraph" w:styleId="8">
    <w:name w:val="heading 6"/>
    <w:basedOn w:val="9"/>
    <w:next w:val="1"/>
    <w:link w:val="70"/>
    <w:autoRedefine/>
    <w:qFormat/>
    <w:locked/>
    <w:uiPriority w:val="0"/>
    <w:pPr>
      <w:keepNext/>
      <w:keepLines/>
      <w:snapToGrid/>
      <w:spacing w:line="480" w:lineRule="atLeast"/>
      <w:ind w:firstLine="200" w:firstLineChars="200"/>
      <w:textAlignment w:val="baseline"/>
      <w:outlineLvl w:val="5"/>
    </w:pPr>
    <w:rPr>
      <w:rFonts w:hAnsi="Arial" w:eastAsia="仿宋_GB2312"/>
      <w:kern w:val="0"/>
      <w:sz w:val="30"/>
      <w:szCs w:val="20"/>
    </w:rPr>
  </w:style>
  <w:style w:type="paragraph" w:styleId="10">
    <w:name w:val="heading 7"/>
    <w:basedOn w:val="1"/>
    <w:next w:val="1"/>
    <w:link w:val="71"/>
    <w:autoRedefine/>
    <w:qFormat/>
    <w:locked/>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1">
    <w:name w:val="heading 8"/>
    <w:basedOn w:val="1"/>
    <w:next w:val="1"/>
    <w:link w:val="72"/>
    <w:autoRedefine/>
    <w:qFormat/>
    <w:locked/>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2">
    <w:name w:val="heading 9"/>
    <w:basedOn w:val="1"/>
    <w:next w:val="1"/>
    <w:link w:val="73"/>
    <w:autoRedefine/>
    <w:qFormat/>
    <w:locked/>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48">
    <w:name w:val="Default Paragraph Font"/>
    <w:autoRedefine/>
    <w:unhideWhenUsed/>
    <w:qFormat/>
    <w:uiPriority w:val="1"/>
  </w:style>
  <w:style w:type="table" w:default="1" w:styleId="46">
    <w:name w:val="Normal Table"/>
    <w:autoRedefine/>
    <w:unhideWhenUsed/>
    <w:qFormat/>
    <w:uiPriority w:val="99"/>
    <w:tblPr>
      <w:tblCellMar>
        <w:top w:w="0" w:type="dxa"/>
        <w:left w:w="108" w:type="dxa"/>
        <w:bottom w:w="0" w:type="dxa"/>
        <w:right w:w="108" w:type="dxa"/>
      </w:tblCellMar>
    </w:tblPr>
  </w:style>
  <w:style w:type="paragraph" w:styleId="2">
    <w:name w:val="Body Text"/>
    <w:basedOn w:val="1"/>
    <w:next w:val="1"/>
    <w:link w:val="77"/>
    <w:autoRedefine/>
    <w:qFormat/>
    <w:uiPriority w:val="0"/>
    <w:pPr>
      <w:spacing w:after="120" w:afterLines="0"/>
    </w:pPr>
  </w:style>
  <w:style w:type="paragraph" w:styleId="9">
    <w:name w:val="Normal Indent"/>
    <w:basedOn w:val="1"/>
    <w:autoRedefine/>
    <w:qFormat/>
    <w:uiPriority w:val="0"/>
    <w:pPr>
      <w:adjustRightInd w:val="0"/>
      <w:snapToGrid w:val="0"/>
      <w:spacing w:line="360" w:lineRule="auto"/>
      <w:ind w:firstLine="420"/>
    </w:pPr>
    <w:rPr>
      <w:sz w:val="24"/>
    </w:rPr>
  </w:style>
  <w:style w:type="paragraph" w:styleId="13">
    <w:name w:val="toc 7"/>
    <w:basedOn w:val="1"/>
    <w:next w:val="1"/>
    <w:autoRedefine/>
    <w:qFormat/>
    <w:uiPriority w:val="39"/>
    <w:pPr>
      <w:ind w:left="1260"/>
      <w:jc w:val="left"/>
    </w:pPr>
    <w:rPr>
      <w:sz w:val="18"/>
      <w:szCs w:val="18"/>
    </w:rPr>
  </w:style>
  <w:style w:type="paragraph" w:styleId="14">
    <w:name w:val="caption"/>
    <w:basedOn w:val="1"/>
    <w:next w:val="1"/>
    <w:autoRedefine/>
    <w:qFormat/>
    <w:locked/>
    <w:uiPriority w:val="0"/>
    <w:rPr>
      <w:rFonts w:ascii="Cambria" w:hAnsi="Cambria" w:eastAsia="黑体"/>
      <w:sz w:val="20"/>
      <w:szCs w:val="20"/>
    </w:rPr>
  </w:style>
  <w:style w:type="paragraph" w:styleId="15">
    <w:name w:val="Document Map"/>
    <w:basedOn w:val="1"/>
    <w:link w:val="74"/>
    <w:autoRedefine/>
    <w:qFormat/>
    <w:uiPriority w:val="0"/>
    <w:pPr>
      <w:shd w:val="clear" w:color="auto" w:fill="000080"/>
    </w:pPr>
  </w:style>
  <w:style w:type="paragraph" w:styleId="16">
    <w:name w:val="annotation text"/>
    <w:basedOn w:val="1"/>
    <w:link w:val="75"/>
    <w:autoRedefine/>
    <w:unhideWhenUsed/>
    <w:qFormat/>
    <w:uiPriority w:val="99"/>
    <w:pPr>
      <w:jc w:val="left"/>
    </w:pPr>
  </w:style>
  <w:style w:type="paragraph" w:styleId="17">
    <w:name w:val="Body Text 3"/>
    <w:basedOn w:val="1"/>
    <w:link w:val="76"/>
    <w:autoRedefine/>
    <w:qFormat/>
    <w:uiPriority w:val="0"/>
    <w:pPr>
      <w:spacing w:after="120"/>
    </w:pPr>
    <w:rPr>
      <w:sz w:val="16"/>
      <w:szCs w:val="16"/>
    </w:rPr>
  </w:style>
  <w:style w:type="paragraph" w:styleId="18">
    <w:name w:val="Body Text Indent"/>
    <w:basedOn w:val="1"/>
    <w:link w:val="78"/>
    <w:autoRedefine/>
    <w:qFormat/>
    <w:uiPriority w:val="0"/>
    <w:pPr>
      <w:adjustRightInd w:val="0"/>
      <w:snapToGrid w:val="0"/>
      <w:spacing w:line="360" w:lineRule="auto"/>
      <w:ind w:firstLine="420" w:firstLineChars="200"/>
    </w:pPr>
    <w:rPr>
      <w:kern w:val="0"/>
      <w:sz w:val="24"/>
    </w:rPr>
  </w:style>
  <w:style w:type="paragraph" w:styleId="19">
    <w:name w:val="Block Text"/>
    <w:basedOn w:val="1"/>
    <w:autoRedefine/>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0">
    <w:name w:val="index 4"/>
    <w:basedOn w:val="1"/>
    <w:next w:val="1"/>
    <w:autoRedefine/>
    <w:qFormat/>
    <w:uiPriority w:val="0"/>
    <w:pPr>
      <w:ind w:left="600" w:leftChars="600"/>
    </w:pPr>
  </w:style>
  <w:style w:type="paragraph" w:styleId="21">
    <w:name w:val="toc 5"/>
    <w:basedOn w:val="1"/>
    <w:next w:val="1"/>
    <w:autoRedefine/>
    <w:qFormat/>
    <w:uiPriority w:val="39"/>
    <w:pPr>
      <w:ind w:left="840"/>
      <w:jc w:val="left"/>
    </w:pPr>
    <w:rPr>
      <w:sz w:val="18"/>
      <w:szCs w:val="18"/>
    </w:rPr>
  </w:style>
  <w:style w:type="paragraph" w:styleId="22">
    <w:name w:val="toc 3"/>
    <w:basedOn w:val="1"/>
    <w:next w:val="1"/>
    <w:autoRedefine/>
    <w:qFormat/>
    <w:uiPriority w:val="39"/>
    <w:pPr>
      <w:ind w:left="420"/>
      <w:jc w:val="left"/>
    </w:pPr>
    <w:rPr>
      <w:rFonts w:ascii="Calibri" w:hAnsi="Calibri" w:cs="Calibri"/>
      <w:i/>
      <w:iCs/>
      <w:sz w:val="20"/>
      <w:szCs w:val="20"/>
    </w:rPr>
  </w:style>
  <w:style w:type="paragraph" w:styleId="23">
    <w:name w:val="Plain Text"/>
    <w:basedOn w:val="1"/>
    <w:link w:val="79"/>
    <w:autoRedefine/>
    <w:qFormat/>
    <w:uiPriority w:val="0"/>
    <w:pPr>
      <w:ind w:firstLine="200" w:firstLineChars="200"/>
    </w:pPr>
    <w:rPr>
      <w:rFonts w:ascii="宋体" w:hAnsi="Courier New"/>
      <w:kern w:val="0"/>
      <w:sz w:val="20"/>
      <w:szCs w:val="21"/>
    </w:rPr>
  </w:style>
  <w:style w:type="paragraph" w:styleId="24">
    <w:name w:val="toc 8"/>
    <w:basedOn w:val="1"/>
    <w:next w:val="1"/>
    <w:autoRedefine/>
    <w:qFormat/>
    <w:uiPriority w:val="39"/>
    <w:pPr>
      <w:ind w:left="1470"/>
      <w:jc w:val="left"/>
    </w:pPr>
    <w:rPr>
      <w:sz w:val="18"/>
      <w:szCs w:val="18"/>
    </w:rPr>
  </w:style>
  <w:style w:type="paragraph" w:styleId="25">
    <w:name w:val="Date"/>
    <w:basedOn w:val="1"/>
    <w:next w:val="1"/>
    <w:link w:val="80"/>
    <w:autoRedefine/>
    <w:unhideWhenUsed/>
    <w:qFormat/>
    <w:uiPriority w:val="0"/>
    <w:pPr>
      <w:ind w:left="100" w:leftChars="2500"/>
    </w:pPr>
  </w:style>
  <w:style w:type="paragraph" w:styleId="26">
    <w:name w:val="Body Text Indent 2"/>
    <w:basedOn w:val="1"/>
    <w:link w:val="81"/>
    <w:autoRedefine/>
    <w:qFormat/>
    <w:uiPriority w:val="0"/>
    <w:pPr>
      <w:widowControl/>
      <w:spacing w:line="480" w:lineRule="auto"/>
      <w:ind w:firstLine="560"/>
      <w:jc w:val="left"/>
    </w:pPr>
    <w:rPr>
      <w:kern w:val="0"/>
      <w:sz w:val="28"/>
    </w:rPr>
  </w:style>
  <w:style w:type="paragraph" w:styleId="27">
    <w:name w:val="endnote text"/>
    <w:basedOn w:val="1"/>
    <w:link w:val="82"/>
    <w:autoRedefine/>
    <w:qFormat/>
    <w:uiPriority w:val="0"/>
    <w:pPr>
      <w:widowControl/>
      <w:snapToGrid w:val="0"/>
      <w:jc w:val="left"/>
    </w:pPr>
    <w:rPr>
      <w:rFonts w:ascii="Arial" w:hAnsi="Arial"/>
      <w:kern w:val="0"/>
      <w:sz w:val="20"/>
      <w:lang w:eastAsia="en-US"/>
    </w:rPr>
  </w:style>
  <w:style w:type="paragraph" w:styleId="28">
    <w:name w:val="Balloon Text"/>
    <w:basedOn w:val="1"/>
    <w:link w:val="83"/>
    <w:unhideWhenUsed/>
    <w:qFormat/>
    <w:uiPriority w:val="0"/>
    <w:rPr>
      <w:sz w:val="18"/>
      <w:szCs w:val="18"/>
    </w:rPr>
  </w:style>
  <w:style w:type="paragraph" w:styleId="29">
    <w:name w:val="footer"/>
    <w:basedOn w:val="1"/>
    <w:link w:val="84"/>
    <w:qFormat/>
    <w:uiPriority w:val="0"/>
    <w:pPr>
      <w:tabs>
        <w:tab w:val="center" w:pos="4153"/>
        <w:tab w:val="right" w:pos="8306"/>
      </w:tabs>
      <w:snapToGrid w:val="0"/>
      <w:jc w:val="left"/>
    </w:pPr>
    <w:rPr>
      <w:kern w:val="0"/>
      <w:sz w:val="18"/>
      <w:szCs w:val="18"/>
    </w:rPr>
  </w:style>
  <w:style w:type="paragraph" w:styleId="30">
    <w:name w:val="header"/>
    <w:basedOn w:val="1"/>
    <w:link w:val="85"/>
    <w:qFormat/>
    <w:uiPriority w:val="0"/>
    <w:pPr>
      <w:pBdr>
        <w:bottom w:val="single" w:color="auto" w:sz="6" w:space="1"/>
      </w:pBdr>
      <w:tabs>
        <w:tab w:val="center" w:pos="4153"/>
        <w:tab w:val="right" w:pos="8306"/>
      </w:tabs>
      <w:snapToGrid w:val="0"/>
      <w:jc w:val="center"/>
    </w:pPr>
    <w:rPr>
      <w:kern w:val="0"/>
      <w:sz w:val="18"/>
      <w:szCs w:val="18"/>
    </w:rPr>
  </w:style>
  <w:style w:type="paragraph" w:styleId="31">
    <w:name w:val="toc 1"/>
    <w:basedOn w:val="1"/>
    <w:next w:val="1"/>
    <w:qFormat/>
    <w:uiPriority w:val="39"/>
    <w:pPr>
      <w:spacing w:before="120" w:after="120"/>
      <w:jc w:val="left"/>
    </w:pPr>
    <w:rPr>
      <w:rFonts w:ascii="Calibri" w:hAnsi="Calibri" w:cs="Calibri"/>
      <w:b/>
      <w:bCs/>
      <w:caps/>
      <w:sz w:val="20"/>
      <w:szCs w:val="20"/>
    </w:rPr>
  </w:style>
  <w:style w:type="paragraph" w:styleId="32">
    <w:name w:val="toc 4"/>
    <w:basedOn w:val="6"/>
    <w:next w:val="1"/>
    <w:qFormat/>
    <w:uiPriority w:val="39"/>
    <w:pPr>
      <w:keepNext w:val="0"/>
      <w:keepLines w:val="0"/>
      <w:spacing w:line="240" w:lineRule="auto"/>
      <w:ind w:left="630"/>
      <w:jc w:val="left"/>
      <w:outlineLvl w:val="9"/>
    </w:pPr>
    <w:rPr>
      <w:rFonts w:ascii="Times New Roman" w:hAnsi="Times New Roman" w:eastAsia="宋体"/>
      <w:b w:val="0"/>
      <w:bCs w:val="0"/>
      <w:sz w:val="18"/>
      <w:szCs w:val="18"/>
    </w:rPr>
  </w:style>
  <w:style w:type="paragraph" w:styleId="33">
    <w:name w:val="Subtitle"/>
    <w:basedOn w:val="1"/>
    <w:link w:val="86"/>
    <w:qFormat/>
    <w:uiPriority w:val="0"/>
    <w:pPr>
      <w:spacing w:before="240" w:after="60" w:line="312" w:lineRule="auto"/>
      <w:jc w:val="center"/>
      <w:outlineLvl w:val="1"/>
    </w:pPr>
    <w:rPr>
      <w:rFonts w:ascii="Cambria" w:hAnsi="Cambria"/>
      <w:b/>
      <w:bCs/>
      <w:kern w:val="28"/>
      <w:sz w:val="32"/>
      <w:szCs w:val="32"/>
    </w:rPr>
  </w:style>
  <w:style w:type="paragraph" w:styleId="34">
    <w:name w:val="footnote text"/>
    <w:basedOn w:val="1"/>
    <w:link w:val="87"/>
    <w:qFormat/>
    <w:uiPriority w:val="0"/>
    <w:pPr>
      <w:widowControl/>
      <w:snapToGrid w:val="0"/>
      <w:jc w:val="left"/>
    </w:pPr>
    <w:rPr>
      <w:rFonts w:ascii="Arial" w:hAnsi="Arial"/>
      <w:kern w:val="0"/>
      <w:sz w:val="18"/>
      <w:szCs w:val="18"/>
      <w:lang w:eastAsia="en-US"/>
    </w:rPr>
  </w:style>
  <w:style w:type="paragraph" w:styleId="35">
    <w:name w:val="toc 6"/>
    <w:basedOn w:val="1"/>
    <w:next w:val="1"/>
    <w:qFormat/>
    <w:uiPriority w:val="39"/>
    <w:pPr>
      <w:ind w:left="1050"/>
      <w:jc w:val="left"/>
    </w:pPr>
    <w:rPr>
      <w:sz w:val="18"/>
      <w:szCs w:val="18"/>
    </w:rPr>
  </w:style>
  <w:style w:type="paragraph" w:styleId="36">
    <w:name w:val="Body Text Indent 3"/>
    <w:basedOn w:val="1"/>
    <w:link w:val="88"/>
    <w:qFormat/>
    <w:uiPriority w:val="0"/>
    <w:pPr>
      <w:spacing w:line="360" w:lineRule="auto"/>
      <w:ind w:firstLine="632"/>
    </w:pPr>
    <w:rPr>
      <w:rFonts w:ascii="黑体" w:eastAsia="黑体"/>
    </w:rPr>
  </w:style>
  <w:style w:type="paragraph" w:styleId="37">
    <w:name w:val="toc 2"/>
    <w:basedOn w:val="1"/>
    <w:next w:val="1"/>
    <w:link w:val="89"/>
    <w:qFormat/>
    <w:uiPriority w:val="39"/>
    <w:pPr>
      <w:ind w:left="210"/>
      <w:jc w:val="left"/>
    </w:pPr>
    <w:rPr>
      <w:rFonts w:ascii="Calibri" w:hAnsi="Calibri"/>
      <w:smallCaps/>
      <w:kern w:val="0"/>
      <w:sz w:val="20"/>
      <w:szCs w:val="20"/>
    </w:rPr>
  </w:style>
  <w:style w:type="paragraph" w:styleId="38">
    <w:name w:val="toc 9"/>
    <w:basedOn w:val="1"/>
    <w:next w:val="1"/>
    <w:qFormat/>
    <w:uiPriority w:val="39"/>
    <w:pPr>
      <w:ind w:left="1680"/>
      <w:jc w:val="left"/>
    </w:pPr>
    <w:rPr>
      <w:sz w:val="18"/>
      <w:szCs w:val="18"/>
    </w:rPr>
  </w:style>
  <w:style w:type="paragraph" w:styleId="39">
    <w:name w:val="Body Text 2"/>
    <w:basedOn w:val="1"/>
    <w:link w:val="90"/>
    <w:qFormat/>
    <w:uiPriority w:val="0"/>
    <w:rPr>
      <w:i/>
      <w:iCs/>
      <w:sz w:val="26"/>
    </w:rPr>
  </w:style>
  <w:style w:type="paragraph" w:styleId="40">
    <w:name w:val="HTML Preformatted"/>
    <w:basedOn w:val="1"/>
    <w:link w:val="91"/>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kern w:val="0"/>
      <w:sz w:val="24"/>
    </w:rPr>
  </w:style>
  <w:style w:type="paragraph" w:styleId="41">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qFormat/>
    <w:uiPriority w:val="0"/>
    <w:pPr>
      <w:spacing w:line="220" w:lineRule="exact"/>
      <w:jc w:val="center"/>
    </w:pPr>
    <w:rPr>
      <w:rFonts w:ascii="仿宋_GB2312" w:eastAsia="仿宋_GB2312"/>
      <w:szCs w:val="21"/>
    </w:rPr>
  </w:style>
  <w:style w:type="paragraph" w:styleId="43">
    <w:name w:val="Title"/>
    <w:basedOn w:val="1"/>
    <w:link w:val="92"/>
    <w:qFormat/>
    <w:uiPriority w:val="0"/>
    <w:pPr>
      <w:adjustRightInd w:val="0"/>
      <w:spacing w:before="240" w:after="60" w:line="420" w:lineRule="atLeast"/>
      <w:jc w:val="center"/>
      <w:textAlignment w:val="baseline"/>
      <w:outlineLvl w:val="0"/>
    </w:pPr>
    <w:rPr>
      <w:rFonts w:ascii="Cambria" w:hAnsi="Cambria"/>
      <w:b/>
      <w:bCs/>
      <w:kern w:val="0"/>
      <w:sz w:val="32"/>
      <w:szCs w:val="32"/>
    </w:rPr>
  </w:style>
  <w:style w:type="paragraph" w:styleId="44">
    <w:name w:val="annotation subject"/>
    <w:basedOn w:val="16"/>
    <w:next w:val="16"/>
    <w:link w:val="93"/>
    <w:qFormat/>
    <w:uiPriority w:val="0"/>
    <w:rPr>
      <w:b/>
      <w:bCs/>
    </w:rPr>
  </w:style>
  <w:style w:type="paragraph" w:styleId="45">
    <w:name w:val="Body Text First Indent"/>
    <w:basedOn w:val="2"/>
    <w:link w:val="94"/>
    <w:qFormat/>
    <w:uiPriority w:val="0"/>
    <w:pPr>
      <w:widowControl/>
      <w:spacing w:before="120" w:after="120"/>
      <w:ind w:firstLine="420" w:firstLineChars="100"/>
    </w:pPr>
    <w:rPr>
      <w:rFonts w:ascii="Arial" w:hAnsi="Arial"/>
      <w:sz w:val="28"/>
      <w:szCs w:val="28"/>
      <w:lang w:val="en-GB" w:eastAsia="fr-FR"/>
    </w:rPr>
  </w:style>
  <w:style w:type="table" w:styleId="47">
    <w:name w:val="Table Grid"/>
    <w:basedOn w:val="46"/>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9">
    <w:name w:val="Strong"/>
    <w:qFormat/>
    <w:locked/>
    <w:uiPriority w:val="22"/>
    <w:rPr>
      <w:b/>
      <w:bCs/>
    </w:rPr>
  </w:style>
  <w:style w:type="character" w:styleId="50">
    <w:name w:val="endnote reference"/>
    <w:qFormat/>
    <w:uiPriority w:val="0"/>
    <w:rPr>
      <w:vertAlign w:val="superscript"/>
    </w:rPr>
  </w:style>
  <w:style w:type="character" w:styleId="51">
    <w:name w:val="page number"/>
    <w:qFormat/>
    <w:uiPriority w:val="0"/>
  </w:style>
  <w:style w:type="character" w:styleId="52">
    <w:name w:val="FollowedHyperlink"/>
    <w:qFormat/>
    <w:uiPriority w:val="0"/>
    <w:rPr>
      <w:color w:val="771CAA"/>
      <w:u w:val="none"/>
    </w:rPr>
  </w:style>
  <w:style w:type="character" w:styleId="53">
    <w:name w:val="Emphasis"/>
    <w:qFormat/>
    <w:locked/>
    <w:uiPriority w:val="0"/>
    <w:rPr>
      <w:i/>
      <w:iCs/>
    </w:rPr>
  </w:style>
  <w:style w:type="character" w:styleId="54">
    <w:name w:val="HTML Definition"/>
    <w:unhideWhenUsed/>
    <w:qFormat/>
    <w:uiPriority w:val="99"/>
  </w:style>
  <w:style w:type="character" w:styleId="55">
    <w:name w:val="HTML Typewriter"/>
    <w:unhideWhenUsed/>
    <w:qFormat/>
    <w:uiPriority w:val="99"/>
    <w:rPr>
      <w:rFonts w:ascii="monospace" w:hAnsi="monospace" w:eastAsia="monospace" w:cs="monospace"/>
      <w:sz w:val="20"/>
    </w:rPr>
  </w:style>
  <w:style w:type="character" w:styleId="56">
    <w:name w:val="HTML Acronym"/>
    <w:basedOn w:val="48"/>
    <w:unhideWhenUsed/>
    <w:qFormat/>
    <w:uiPriority w:val="99"/>
  </w:style>
  <w:style w:type="character" w:styleId="57">
    <w:name w:val="HTML Variable"/>
    <w:unhideWhenUsed/>
    <w:qFormat/>
    <w:uiPriority w:val="99"/>
  </w:style>
  <w:style w:type="character" w:styleId="58">
    <w:name w:val="Hyperlink"/>
    <w:qFormat/>
    <w:uiPriority w:val="99"/>
    <w:rPr>
      <w:color w:val="2440B3"/>
      <w:u w:val="none"/>
    </w:rPr>
  </w:style>
  <w:style w:type="character" w:styleId="59">
    <w:name w:val="HTML Code"/>
    <w:unhideWhenUsed/>
    <w:qFormat/>
    <w:uiPriority w:val="99"/>
    <w:rPr>
      <w:rFonts w:hint="default" w:ascii="monospace" w:hAnsi="monospace" w:eastAsia="monospace" w:cs="monospace"/>
      <w:sz w:val="20"/>
    </w:rPr>
  </w:style>
  <w:style w:type="character" w:styleId="60">
    <w:name w:val="annotation reference"/>
    <w:qFormat/>
    <w:uiPriority w:val="0"/>
    <w:rPr>
      <w:sz w:val="21"/>
      <w:szCs w:val="21"/>
    </w:rPr>
  </w:style>
  <w:style w:type="character" w:styleId="61">
    <w:name w:val="HTML Cite"/>
    <w:unhideWhenUsed/>
    <w:qFormat/>
    <w:uiPriority w:val="99"/>
    <w:rPr>
      <w:color w:val="008000"/>
    </w:rPr>
  </w:style>
  <w:style w:type="character" w:styleId="62">
    <w:name w:val="footnote reference"/>
    <w:qFormat/>
    <w:uiPriority w:val="0"/>
    <w:rPr>
      <w:vertAlign w:val="superscript"/>
    </w:rPr>
  </w:style>
  <w:style w:type="character" w:styleId="63">
    <w:name w:val="HTML Keyboard"/>
    <w:unhideWhenUsed/>
    <w:qFormat/>
    <w:uiPriority w:val="99"/>
    <w:rPr>
      <w:rFonts w:hint="default" w:ascii="monospace" w:hAnsi="monospace" w:eastAsia="monospace" w:cs="monospace"/>
      <w:sz w:val="20"/>
    </w:rPr>
  </w:style>
  <w:style w:type="character" w:styleId="64">
    <w:name w:val="HTML Sample"/>
    <w:unhideWhenUsed/>
    <w:qFormat/>
    <w:uiPriority w:val="99"/>
    <w:rPr>
      <w:rFonts w:hint="default" w:ascii="monospace" w:hAnsi="monospace" w:eastAsia="monospace" w:cs="monospace"/>
    </w:rPr>
  </w:style>
  <w:style w:type="character" w:customStyle="1" w:styleId="65">
    <w:name w:val="标题 1 Char2"/>
    <w:link w:val="3"/>
    <w:qFormat/>
    <w:uiPriority w:val="0"/>
    <w:rPr>
      <w:b/>
      <w:bCs/>
      <w:kern w:val="44"/>
      <w:sz w:val="44"/>
      <w:szCs w:val="44"/>
    </w:rPr>
  </w:style>
  <w:style w:type="character" w:customStyle="1" w:styleId="66">
    <w:name w:val="标题 2 Char2"/>
    <w:link w:val="4"/>
    <w:qFormat/>
    <w:uiPriority w:val="0"/>
    <w:rPr>
      <w:rFonts w:ascii="Cambria" w:hAnsi="Cambria" w:eastAsia="宋体" w:cs="Times New Roman"/>
      <w:b/>
      <w:bCs/>
      <w:sz w:val="32"/>
      <w:szCs w:val="32"/>
    </w:rPr>
  </w:style>
  <w:style w:type="character" w:customStyle="1" w:styleId="67">
    <w:name w:val="标题 3 Char2"/>
    <w:link w:val="5"/>
    <w:qFormat/>
    <w:uiPriority w:val="9"/>
    <w:rPr>
      <w:rFonts w:ascii="Times New Roman" w:hAnsi="Times New Roman"/>
      <w:b/>
      <w:bCs/>
      <w:sz w:val="32"/>
      <w:szCs w:val="32"/>
    </w:rPr>
  </w:style>
  <w:style w:type="character" w:customStyle="1" w:styleId="68">
    <w:name w:val="标题 4 Char2"/>
    <w:link w:val="6"/>
    <w:qFormat/>
    <w:uiPriority w:val="0"/>
    <w:rPr>
      <w:rFonts w:ascii="Arial" w:hAnsi="Arial" w:eastAsia="黑体"/>
      <w:b/>
      <w:bCs/>
      <w:kern w:val="2"/>
      <w:sz w:val="28"/>
      <w:szCs w:val="28"/>
    </w:rPr>
  </w:style>
  <w:style w:type="character" w:customStyle="1" w:styleId="69">
    <w:name w:val="标题 5 Char2"/>
    <w:link w:val="7"/>
    <w:qFormat/>
    <w:uiPriority w:val="0"/>
    <w:rPr>
      <w:rFonts w:ascii="宋体" w:hAnsi="宋体" w:cs="宋体"/>
      <w:b/>
      <w:bCs/>
    </w:rPr>
  </w:style>
  <w:style w:type="character" w:customStyle="1" w:styleId="70">
    <w:name w:val="标题 6 Char2"/>
    <w:link w:val="8"/>
    <w:qFormat/>
    <w:uiPriority w:val="0"/>
    <w:rPr>
      <w:rFonts w:hAnsi="Arial" w:eastAsia="仿宋_GB2312"/>
      <w:sz w:val="30"/>
    </w:rPr>
  </w:style>
  <w:style w:type="character" w:customStyle="1" w:styleId="71">
    <w:name w:val="标题 7 Char2"/>
    <w:link w:val="10"/>
    <w:qFormat/>
    <w:uiPriority w:val="0"/>
    <w:rPr>
      <w:rFonts w:eastAsia="仿宋_GB2312"/>
      <w:sz w:val="30"/>
    </w:rPr>
  </w:style>
  <w:style w:type="character" w:customStyle="1" w:styleId="72">
    <w:name w:val="标题 8 Char2"/>
    <w:link w:val="11"/>
    <w:qFormat/>
    <w:uiPriority w:val="0"/>
    <w:rPr>
      <w:rFonts w:hAnsi="Arial" w:eastAsia="仿宋_GB2312"/>
      <w:sz w:val="30"/>
    </w:rPr>
  </w:style>
  <w:style w:type="character" w:customStyle="1" w:styleId="73">
    <w:name w:val="标题 9 Char2"/>
    <w:link w:val="12"/>
    <w:qFormat/>
    <w:uiPriority w:val="0"/>
    <w:rPr>
      <w:rFonts w:eastAsia="仿宋_GB2312"/>
      <w:sz w:val="30"/>
    </w:rPr>
  </w:style>
  <w:style w:type="character" w:customStyle="1" w:styleId="74">
    <w:name w:val="文档结构图 Char4"/>
    <w:link w:val="15"/>
    <w:qFormat/>
    <w:uiPriority w:val="0"/>
    <w:rPr>
      <w:kern w:val="2"/>
      <w:sz w:val="21"/>
      <w:szCs w:val="24"/>
      <w:shd w:val="clear" w:color="auto" w:fill="000080"/>
    </w:rPr>
  </w:style>
  <w:style w:type="character" w:customStyle="1" w:styleId="75">
    <w:name w:val="批注文字 Char3"/>
    <w:link w:val="16"/>
    <w:qFormat/>
    <w:uiPriority w:val="99"/>
    <w:rPr>
      <w:kern w:val="2"/>
      <w:sz w:val="21"/>
      <w:szCs w:val="24"/>
    </w:rPr>
  </w:style>
  <w:style w:type="character" w:customStyle="1" w:styleId="76">
    <w:name w:val="正文文本 3 Char3"/>
    <w:link w:val="17"/>
    <w:qFormat/>
    <w:uiPriority w:val="0"/>
    <w:rPr>
      <w:kern w:val="2"/>
      <w:sz w:val="16"/>
      <w:szCs w:val="16"/>
    </w:rPr>
  </w:style>
  <w:style w:type="character" w:customStyle="1" w:styleId="77">
    <w:name w:val="正文文本 Char4"/>
    <w:link w:val="2"/>
    <w:qFormat/>
    <w:uiPriority w:val="0"/>
    <w:rPr>
      <w:kern w:val="2"/>
      <w:sz w:val="21"/>
      <w:szCs w:val="24"/>
    </w:rPr>
  </w:style>
  <w:style w:type="character" w:customStyle="1" w:styleId="78">
    <w:name w:val="正文文本缩进 Char3"/>
    <w:link w:val="18"/>
    <w:qFormat/>
    <w:uiPriority w:val="0"/>
    <w:rPr>
      <w:sz w:val="24"/>
      <w:szCs w:val="24"/>
    </w:rPr>
  </w:style>
  <w:style w:type="character" w:customStyle="1" w:styleId="79">
    <w:name w:val="纯文本 Char3"/>
    <w:link w:val="23"/>
    <w:qFormat/>
    <w:uiPriority w:val="0"/>
    <w:rPr>
      <w:rFonts w:ascii="宋体" w:hAnsi="Courier New" w:cs="Courier New"/>
      <w:szCs w:val="21"/>
    </w:rPr>
  </w:style>
  <w:style w:type="character" w:customStyle="1" w:styleId="80">
    <w:name w:val="日期 Char4"/>
    <w:link w:val="25"/>
    <w:qFormat/>
    <w:uiPriority w:val="0"/>
    <w:rPr>
      <w:kern w:val="2"/>
      <w:sz w:val="21"/>
      <w:szCs w:val="24"/>
    </w:rPr>
  </w:style>
  <w:style w:type="character" w:customStyle="1" w:styleId="81">
    <w:name w:val="正文文本缩进 2 Char3"/>
    <w:link w:val="26"/>
    <w:qFormat/>
    <w:uiPriority w:val="0"/>
    <w:rPr>
      <w:sz w:val="28"/>
      <w:szCs w:val="24"/>
    </w:rPr>
  </w:style>
  <w:style w:type="character" w:customStyle="1" w:styleId="82">
    <w:name w:val="尾注文本 Char3"/>
    <w:link w:val="27"/>
    <w:qFormat/>
    <w:uiPriority w:val="0"/>
    <w:rPr>
      <w:rFonts w:ascii="Arial" w:hAnsi="Arial" w:cs="Arial"/>
      <w:szCs w:val="24"/>
      <w:lang w:eastAsia="en-US"/>
    </w:rPr>
  </w:style>
  <w:style w:type="character" w:customStyle="1" w:styleId="83">
    <w:name w:val="批注框文本 Char4"/>
    <w:link w:val="28"/>
    <w:qFormat/>
    <w:uiPriority w:val="0"/>
    <w:rPr>
      <w:kern w:val="2"/>
      <w:sz w:val="18"/>
      <w:szCs w:val="18"/>
    </w:rPr>
  </w:style>
  <w:style w:type="character" w:customStyle="1" w:styleId="84">
    <w:name w:val="页脚 Char2"/>
    <w:link w:val="29"/>
    <w:qFormat/>
    <w:uiPriority w:val="0"/>
    <w:rPr>
      <w:rFonts w:ascii="Times New Roman" w:hAnsi="Times New Roman"/>
      <w:sz w:val="18"/>
      <w:szCs w:val="18"/>
    </w:rPr>
  </w:style>
  <w:style w:type="character" w:customStyle="1" w:styleId="85">
    <w:name w:val="页眉 Char2"/>
    <w:link w:val="30"/>
    <w:qFormat/>
    <w:uiPriority w:val="0"/>
    <w:rPr>
      <w:rFonts w:ascii="Times New Roman" w:hAnsi="Times New Roman"/>
      <w:sz w:val="18"/>
      <w:szCs w:val="18"/>
    </w:rPr>
  </w:style>
  <w:style w:type="character" w:customStyle="1" w:styleId="86">
    <w:name w:val="副标题 Char3"/>
    <w:link w:val="33"/>
    <w:qFormat/>
    <w:uiPriority w:val="0"/>
    <w:rPr>
      <w:rFonts w:ascii="Cambria" w:hAnsi="Cambria" w:cs="Times New Roman"/>
      <w:b/>
      <w:bCs/>
      <w:kern w:val="28"/>
      <w:sz w:val="32"/>
      <w:szCs w:val="32"/>
    </w:rPr>
  </w:style>
  <w:style w:type="character" w:customStyle="1" w:styleId="87">
    <w:name w:val="脚注文本 Char3"/>
    <w:link w:val="34"/>
    <w:qFormat/>
    <w:uiPriority w:val="0"/>
    <w:rPr>
      <w:rFonts w:ascii="Arial" w:hAnsi="Arial" w:cs="Arial"/>
      <w:sz w:val="18"/>
      <w:szCs w:val="18"/>
      <w:lang w:eastAsia="en-US"/>
    </w:rPr>
  </w:style>
  <w:style w:type="character" w:customStyle="1" w:styleId="88">
    <w:name w:val="正文文本缩进 3 Char3"/>
    <w:link w:val="36"/>
    <w:qFormat/>
    <w:uiPriority w:val="0"/>
    <w:rPr>
      <w:rFonts w:ascii="黑体" w:eastAsia="黑体"/>
      <w:kern w:val="2"/>
      <w:sz w:val="21"/>
      <w:szCs w:val="24"/>
    </w:rPr>
  </w:style>
  <w:style w:type="character" w:customStyle="1" w:styleId="89">
    <w:name w:val="目录 2 Char"/>
    <w:link w:val="37"/>
    <w:qFormat/>
    <w:uiPriority w:val="39"/>
    <w:rPr>
      <w:rFonts w:ascii="Calibri" w:hAnsi="Calibri" w:cs="Calibri"/>
      <w:smallCaps/>
      <w:sz w:val="20"/>
      <w:szCs w:val="20"/>
    </w:rPr>
  </w:style>
  <w:style w:type="character" w:customStyle="1" w:styleId="90">
    <w:name w:val="正文文本 2 Char"/>
    <w:link w:val="39"/>
    <w:qFormat/>
    <w:uiPriority w:val="0"/>
    <w:rPr>
      <w:i/>
      <w:iCs/>
      <w:kern w:val="2"/>
      <w:sz w:val="26"/>
      <w:szCs w:val="24"/>
    </w:rPr>
  </w:style>
  <w:style w:type="character" w:customStyle="1" w:styleId="91">
    <w:name w:val="HTML 预设格式 Char3"/>
    <w:link w:val="40"/>
    <w:qFormat/>
    <w:uiPriority w:val="0"/>
    <w:rPr>
      <w:rFonts w:ascii="宋体" w:hAnsi="宋体" w:cs="宋体"/>
      <w:color w:val="000000"/>
      <w:sz w:val="24"/>
      <w:szCs w:val="24"/>
    </w:rPr>
  </w:style>
  <w:style w:type="character" w:customStyle="1" w:styleId="92">
    <w:name w:val="标题 Char3"/>
    <w:link w:val="43"/>
    <w:qFormat/>
    <w:uiPriority w:val="0"/>
    <w:rPr>
      <w:rFonts w:ascii="Cambria" w:hAnsi="Cambria" w:cs="Times New Roman"/>
      <w:b/>
      <w:bCs/>
      <w:sz w:val="32"/>
      <w:szCs w:val="32"/>
    </w:rPr>
  </w:style>
  <w:style w:type="character" w:customStyle="1" w:styleId="93">
    <w:name w:val="批注主题 Char4"/>
    <w:link w:val="44"/>
    <w:qFormat/>
    <w:uiPriority w:val="0"/>
    <w:rPr>
      <w:b/>
      <w:bCs/>
      <w:kern w:val="2"/>
      <w:sz w:val="21"/>
      <w:szCs w:val="24"/>
    </w:rPr>
  </w:style>
  <w:style w:type="character" w:customStyle="1" w:styleId="94">
    <w:name w:val="正文首行缩进 Char"/>
    <w:link w:val="45"/>
    <w:qFormat/>
    <w:uiPriority w:val="0"/>
    <w:rPr>
      <w:rFonts w:ascii="Arial" w:hAnsi="Arial"/>
      <w:kern w:val="2"/>
      <w:sz w:val="28"/>
      <w:szCs w:val="28"/>
      <w:lang w:val="en-GB" w:eastAsia="fr-FR"/>
    </w:rPr>
  </w:style>
  <w:style w:type="character" w:customStyle="1" w:styleId="95">
    <w:name w:val="标题 1 Char"/>
    <w:qFormat/>
    <w:uiPriority w:val="0"/>
    <w:rPr>
      <w:rFonts w:ascii="Times New Roman" w:hAnsi="Times New Roman" w:eastAsia="宋体" w:cs="Times New Roman"/>
      <w:b/>
      <w:bCs/>
      <w:kern w:val="44"/>
      <w:sz w:val="44"/>
      <w:szCs w:val="44"/>
    </w:rPr>
  </w:style>
  <w:style w:type="character" w:customStyle="1" w:styleId="96">
    <w:name w:val="Char Char23"/>
    <w:qFormat/>
    <w:uiPriority w:val="0"/>
    <w:rPr>
      <w:rFonts w:ascii="Cambria" w:hAnsi="Cambria" w:eastAsia="宋体" w:cs="Times New Roman"/>
      <w:b/>
      <w:bCs/>
      <w:kern w:val="2"/>
      <w:sz w:val="32"/>
      <w:szCs w:val="32"/>
    </w:rPr>
  </w:style>
  <w:style w:type="character" w:customStyle="1" w:styleId="97">
    <w:name w:val="纯文本 Char1"/>
    <w:qFormat/>
    <w:uiPriority w:val="0"/>
    <w:rPr>
      <w:rFonts w:ascii="宋体" w:hAnsi="Courier New" w:cs="Courier New"/>
      <w:kern w:val="2"/>
      <w:sz w:val="21"/>
      <w:szCs w:val="21"/>
    </w:rPr>
  </w:style>
  <w:style w:type="character" w:customStyle="1" w:styleId="98">
    <w:name w:val="Char Char21"/>
    <w:qFormat/>
    <w:uiPriority w:val="0"/>
    <w:rPr>
      <w:rFonts w:ascii="宋体" w:hAnsi="宋体" w:cs="宋体"/>
      <w:b/>
      <w:bCs/>
      <w:sz w:val="24"/>
      <w:szCs w:val="24"/>
    </w:rPr>
  </w:style>
  <w:style w:type="character" w:customStyle="1" w:styleId="99">
    <w:name w:val="正文文本 2 Char1"/>
    <w:semiHidden/>
    <w:qFormat/>
    <w:uiPriority w:val="99"/>
    <w:rPr>
      <w:rFonts w:ascii="Calibri" w:hAnsi="Calibri" w:eastAsia="宋体" w:cs="Times New Roman"/>
      <w:szCs w:val="24"/>
    </w:rPr>
  </w:style>
  <w:style w:type="character" w:customStyle="1" w:styleId="100">
    <w:name w:val="日期 Char1"/>
    <w:qFormat/>
    <w:uiPriority w:val="0"/>
    <w:rPr>
      <w:kern w:val="2"/>
      <w:sz w:val="21"/>
      <w:szCs w:val="22"/>
    </w:rPr>
  </w:style>
  <w:style w:type="character" w:customStyle="1" w:styleId="101">
    <w:name w:val="c-icon"/>
    <w:qFormat/>
    <w:uiPriority w:val="0"/>
  </w:style>
  <w:style w:type="character" w:customStyle="1" w:styleId="102">
    <w:name w:val="font61"/>
    <w:qFormat/>
    <w:uiPriority w:val="0"/>
    <w:rPr>
      <w:rFonts w:hint="eastAsia" w:ascii="宋体" w:hAnsi="宋体" w:eastAsia="宋体" w:cs="宋体"/>
      <w:color w:val="000000"/>
      <w:sz w:val="22"/>
      <w:szCs w:val="22"/>
      <w:u w:val="none"/>
    </w:rPr>
  </w:style>
  <w:style w:type="character" w:customStyle="1" w:styleId="103">
    <w:name w:val="main_tdbg_7601"/>
    <w:qFormat/>
    <w:uiPriority w:val="0"/>
    <w:rPr>
      <w:sz w:val="14"/>
      <w:szCs w:val="14"/>
    </w:rPr>
  </w:style>
  <w:style w:type="character" w:customStyle="1" w:styleId="104">
    <w:name w:val="font01"/>
    <w:qFormat/>
    <w:uiPriority w:val="0"/>
    <w:rPr>
      <w:rFonts w:hint="eastAsia" w:ascii="仿宋" w:hAnsi="仿宋" w:eastAsia="仿宋" w:cs="仿宋"/>
      <w:color w:val="FF0000"/>
      <w:sz w:val="16"/>
      <w:szCs w:val="16"/>
      <w:u w:val="none"/>
    </w:rPr>
  </w:style>
  <w:style w:type="character" w:customStyle="1" w:styleId="105">
    <w:name w:val="docpro"/>
    <w:qFormat/>
    <w:uiPriority w:val="0"/>
  </w:style>
  <w:style w:type="character" w:customStyle="1" w:styleId="106">
    <w:name w:val="明显引用 Char2"/>
    <w:qFormat/>
    <w:uiPriority w:val="99"/>
    <w:rPr>
      <w:b/>
      <w:bCs/>
      <w:i/>
      <w:iCs/>
      <w:color w:val="4F81BD"/>
      <w:kern w:val="2"/>
      <w:sz w:val="21"/>
      <w:szCs w:val="24"/>
    </w:rPr>
  </w:style>
  <w:style w:type="character" w:customStyle="1" w:styleId="107">
    <w:name w:val="正文文本 3 字符2"/>
    <w:semiHidden/>
    <w:qFormat/>
    <w:uiPriority w:val="99"/>
    <w:rPr>
      <w:rFonts w:ascii="Times New Roman" w:hAnsi="Times New Roman" w:eastAsia="宋体" w:cs="Times New Roman"/>
      <w:sz w:val="16"/>
      <w:szCs w:val="16"/>
    </w:rPr>
  </w:style>
  <w:style w:type="character" w:customStyle="1" w:styleId="108">
    <w:name w:val="标题 5 Char"/>
    <w:qFormat/>
    <w:uiPriority w:val="0"/>
    <w:rPr>
      <w:rFonts w:ascii="Calibri" w:hAnsi="Calibri" w:eastAsia="宋体" w:cs="Times New Roman"/>
      <w:b/>
      <w:bCs/>
      <w:sz w:val="28"/>
      <w:szCs w:val="28"/>
    </w:rPr>
  </w:style>
  <w:style w:type="character" w:customStyle="1" w:styleId="109">
    <w:name w:val="明显引用 Char3"/>
    <w:qFormat/>
    <w:uiPriority w:val="30"/>
    <w:rPr>
      <w:rFonts w:ascii="Calibri" w:hAnsi="Calibri" w:eastAsia="宋体" w:cs="Times New Roman"/>
      <w:b/>
      <w:bCs/>
      <w:i/>
      <w:iCs/>
      <w:color w:val="4F81BD"/>
      <w:szCs w:val="24"/>
    </w:rPr>
  </w:style>
  <w:style w:type="character" w:customStyle="1" w:styleId="110">
    <w:name w:val="明显引用 字符2"/>
    <w:qFormat/>
    <w:uiPriority w:val="30"/>
    <w:rPr>
      <w:rFonts w:ascii="Times New Roman" w:hAnsi="Times New Roman" w:eastAsia="宋体" w:cs="Times New Roman"/>
      <w:i/>
      <w:iCs/>
      <w:color w:val="4472C4"/>
      <w:szCs w:val="24"/>
    </w:rPr>
  </w:style>
  <w:style w:type="character" w:customStyle="1" w:styleId="111">
    <w:name w:val="尾注文本 Char2"/>
    <w:semiHidden/>
    <w:qFormat/>
    <w:uiPriority w:val="99"/>
    <w:rPr>
      <w:rFonts w:ascii="Calibri" w:hAnsi="Calibri" w:eastAsia="宋体" w:cs="Times New Roman"/>
      <w:szCs w:val="24"/>
    </w:rPr>
  </w:style>
  <w:style w:type="character" w:customStyle="1" w:styleId="112">
    <w:name w:val="批注文字 Char1"/>
    <w:qFormat/>
    <w:uiPriority w:val="99"/>
    <w:rPr>
      <w:rFonts w:ascii="Times New Roman" w:hAnsi="Times New Roman" w:eastAsia="宋体" w:cs="Times New Roman"/>
      <w:szCs w:val="24"/>
    </w:rPr>
  </w:style>
  <w:style w:type="character" w:customStyle="1" w:styleId="113">
    <w:name w:val="标题 9 Char"/>
    <w:qFormat/>
    <w:uiPriority w:val="0"/>
    <w:rPr>
      <w:rFonts w:ascii="Arial" w:hAnsi="Arial" w:eastAsia="黑体" w:cs="Times New Roman"/>
      <w:szCs w:val="21"/>
    </w:rPr>
  </w:style>
  <w:style w:type="character" w:customStyle="1" w:styleId="114">
    <w:name w:val="标题 5 Char1"/>
    <w:qFormat/>
    <w:uiPriority w:val="0"/>
    <w:rPr>
      <w:rFonts w:ascii="宋体" w:hAnsi="宋体" w:eastAsia="宋体" w:cs="宋体"/>
      <w:b/>
      <w:bCs/>
      <w:sz w:val="20"/>
      <w:szCs w:val="20"/>
    </w:rPr>
  </w:style>
  <w:style w:type="character" w:customStyle="1" w:styleId="115">
    <w:name w:val="Char Char34"/>
    <w:qFormat/>
    <w:uiPriority w:val="0"/>
    <w:rPr>
      <w:rFonts w:ascii="仿宋_GB2312" w:eastAsia="仿宋_GB2312" w:cs="MingLiU"/>
      <w:b/>
      <w:spacing w:val="1"/>
      <w:w w:val="99"/>
      <w:sz w:val="28"/>
      <w:szCs w:val="32"/>
    </w:rPr>
  </w:style>
  <w:style w:type="character" w:customStyle="1" w:styleId="116">
    <w:name w:val="14t1"/>
    <w:qFormat/>
    <w:uiPriority w:val="0"/>
    <w:rPr>
      <w:rFonts w:hint="eastAsia" w:ascii="宋体" w:hAnsi="宋体" w:eastAsia="宋体"/>
      <w:sz w:val="11"/>
      <w:szCs w:val="11"/>
    </w:rPr>
  </w:style>
  <w:style w:type="character" w:customStyle="1" w:styleId="117">
    <w:name w:val="正文文本 2 字符2"/>
    <w:semiHidden/>
    <w:qFormat/>
    <w:uiPriority w:val="99"/>
    <w:rPr>
      <w:rFonts w:ascii="Times New Roman" w:hAnsi="Times New Roman" w:eastAsia="宋体" w:cs="Times New Roman"/>
      <w:szCs w:val="24"/>
    </w:rPr>
  </w:style>
  <w:style w:type="character" w:customStyle="1" w:styleId="118">
    <w:name w:val="文档结构图 Char2"/>
    <w:qFormat/>
    <w:uiPriority w:val="99"/>
    <w:rPr>
      <w:kern w:val="2"/>
      <w:sz w:val="21"/>
      <w:szCs w:val="24"/>
      <w:shd w:val="clear" w:color="auto" w:fill="000080"/>
    </w:rPr>
  </w:style>
  <w:style w:type="character" w:customStyle="1" w:styleId="119">
    <w:name w:val="不明显参考1"/>
    <w:qFormat/>
    <w:uiPriority w:val="0"/>
    <w:rPr>
      <w:smallCaps/>
      <w:color w:val="C0504D"/>
      <w:u w:val="single"/>
    </w:rPr>
  </w:style>
  <w:style w:type="character" w:customStyle="1" w:styleId="120">
    <w:name w:val="intel3"/>
    <w:qFormat/>
    <w:uiPriority w:val="0"/>
  </w:style>
  <w:style w:type="character" w:customStyle="1" w:styleId="121">
    <w:name w:val="font161"/>
    <w:qFormat/>
    <w:uiPriority w:val="0"/>
    <w:rPr>
      <w:b/>
      <w:bCs/>
      <w:sz w:val="32"/>
      <w:szCs w:val="32"/>
    </w:rPr>
  </w:style>
  <w:style w:type="character" w:customStyle="1" w:styleId="122">
    <w:name w:val="正文文本缩进 3 Char1"/>
    <w:qFormat/>
    <w:uiPriority w:val="0"/>
    <w:rPr>
      <w:rFonts w:ascii="宋体" w:hAnsi="宋体"/>
      <w:kern w:val="2"/>
      <w:sz w:val="28"/>
      <w:szCs w:val="28"/>
    </w:rPr>
  </w:style>
  <w:style w:type="character" w:customStyle="1" w:styleId="123">
    <w:name w:val="书籍标题11"/>
    <w:qFormat/>
    <w:uiPriority w:val="0"/>
    <w:rPr>
      <w:b/>
      <w:bCs/>
      <w:smallCaps/>
      <w:spacing w:val="5"/>
    </w:rPr>
  </w:style>
  <w:style w:type="character" w:customStyle="1" w:styleId="124">
    <w:name w:val="HTML 预设格式 字符2"/>
    <w:semiHidden/>
    <w:qFormat/>
    <w:uiPriority w:val="99"/>
    <w:rPr>
      <w:rFonts w:ascii="Courier New" w:hAnsi="Courier New" w:eastAsia="宋体" w:cs="Courier New"/>
      <w:sz w:val="20"/>
      <w:szCs w:val="20"/>
    </w:rPr>
  </w:style>
  <w:style w:type="character" w:customStyle="1" w:styleId="125">
    <w:name w:val="正文文本 字符1"/>
    <w:semiHidden/>
    <w:qFormat/>
    <w:uiPriority w:val="99"/>
    <w:rPr>
      <w:rFonts w:ascii="Times New Roman" w:hAnsi="Times New Roman" w:eastAsia="宋体" w:cs="Times New Roman"/>
      <w:szCs w:val="24"/>
    </w:rPr>
  </w:style>
  <w:style w:type="character" w:customStyle="1" w:styleId="126">
    <w:name w:val="纯文本 字符1"/>
    <w:semiHidden/>
    <w:qFormat/>
    <w:uiPriority w:val="99"/>
    <w:rPr>
      <w:rFonts w:ascii="等线" w:hAnsi="Courier New" w:cs="Courier New"/>
      <w:szCs w:val="24"/>
    </w:rPr>
  </w:style>
  <w:style w:type="character" w:customStyle="1" w:styleId="127">
    <w:name w:val="文档结构图 Char1"/>
    <w:qFormat/>
    <w:uiPriority w:val="0"/>
    <w:rPr>
      <w:rFonts w:ascii="宋体"/>
      <w:kern w:val="2"/>
      <w:sz w:val="18"/>
      <w:szCs w:val="18"/>
    </w:rPr>
  </w:style>
  <w:style w:type="character" w:customStyle="1" w:styleId="128">
    <w:name w:val="引用 Char2"/>
    <w:qFormat/>
    <w:uiPriority w:val="99"/>
    <w:rPr>
      <w:i/>
      <w:iCs/>
      <w:color w:val="000000"/>
      <w:kern w:val="2"/>
      <w:sz w:val="21"/>
      <w:szCs w:val="24"/>
    </w:rPr>
  </w:style>
  <w:style w:type="character" w:customStyle="1" w:styleId="129">
    <w:name w:val="标题 4 Char"/>
    <w:qFormat/>
    <w:uiPriority w:val="0"/>
    <w:rPr>
      <w:rFonts w:ascii="仿宋_GB2312" w:hAnsi="Calibri" w:eastAsia="仿宋_GB2312" w:cs="Times New Roman"/>
      <w:b/>
      <w:kern w:val="0"/>
      <w:sz w:val="24"/>
      <w:szCs w:val="28"/>
    </w:rPr>
  </w:style>
  <w:style w:type="character" w:customStyle="1" w:styleId="130">
    <w:name w:val="Char Char12"/>
    <w:qFormat/>
    <w:uiPriority w:val="0"/>
    <w:rPr>
      <w:rFonts w:eastAsia="黑体"/>
      <w:kern w:val="2"/>
      <w:sz w:val="44"/>
      <w:szCs w:val="44"/>
      <w:lang w:val="en-US" w:eastAsia="zh-CN" w:bidi="ar-SA"/>
    </w:rPr>
  </w:style>
  <w:style w:type="character" w:customStyle="1" w:styleId="131">
    <w:name w:val="正文文本缩进 2 Char2"/>
    <w:semiHidden/>
    <w:qFormat/>
    <w:uiPriority w:val="99"/>
    <w:rPr>
      <w:rFonts w:ascii="Calibri" w:hAnsi="Calibri" w:eastAsia="宋体" w:cs="Times New Roman"/>
      <w:szCs w:val="24"/>
    </w:rPr>
  </w:style>
  <w:style w:type="character" w:customStyle="1" w:styleId="132">
    <w:name w:val="日期 Char2"/>
    <w:qFormat/>
    <w:uiPriority w:val="99"/>
    <w:rPr>
      <w:kern w:val="2"/>
      <w:sz w:val="21"/>
      <w:szCs w:val="24"/>
    </w:rPr>
  </w:style>
  <w:style w:type="character" w:customStyle="1" w:styleId="133">
    <w:name w:val="Char Char9"/>
    <w:qFormat/>
    <w:locked/>
    <w:uiPriority w:val="0"/>
    <w:rPr>
      <w:rFonts w:ascii="仿宋_GB2312" w:eastAsia="仿宋_GB2312" w:cs="MingLiU"/>
      <w:b/>
      <w:sz w:val="24"/>
      <w:szCs w:val="28"/>
      <w:lang w:val="en-US" w:eastAsia="zh-CN" w:bidi="ar-SA"/>
    </w:rPr>
  </w:style>
  <w:style w:type="character" w:customStyle="1" w:styleId="134">
    <w:name w:val="正文文本缩进 Char"/>
    <w:qFormat/>
    <w:uiPriority w:val="0"/>
    <w:rPr>
      <w:rFonts w:ascii="黑体" w:hAnsi="宋体" w:eastAsia="黑体"/>
      <w:color w:val="000000"/>
      <w:sz w:val="28"/>
      <w:szCs w:val="32"/>
    </w:rPr>
  </w:style>
  <w:style w:type="character" w:customStyle="1" w:styleId="135">
    <w:name w:val="标题 3 Char"/>
    <w:qFormat/>
    <w:uiPriority w:val="0"/>
    <w:rPr>
      <w:rFonts w:ascii="仿宋_GB2312" w:hAnsi="Calibri" w:eastAsia="仿宋_GB2312" w:cs="Times New Roman"/>
      <w:b/>
      <w:kern w:val="0"/>
      <w:sz w:val="24"/>
      <w:szCs w:val="28"/>
    </w:rPr>
  </w:style>
  <w:style w:type="character" w:customStyle="1" w:styleId="136">
    <w:name w:val="批注框文本 字符1"/>
    <w:semiHidden/>
    <w:qFormat/>
    <w:uiPriority w:val="99"/>
    <w:rPr>
      <w:rFonts w:ascii="Times New Roman" w:hAnsi="Times New Roman" w:eastAsia="宋体" w:cs="Times New Roman"/>
      <w:sz w:val="18"/>
      <w:szCs w:val="18"/>
    </w:rPr>
  </w:style>
  <w:style w:type="character" w:customStyle="1" w:styleId="137">
    <w:name w:val="普通文字 Char Char2"/>
    <w:qFormat/>
    <w:uiPriority w:val="0"/>
    <w:rPr>
      <w:rFonts w:ascii="宋体" w:hAnsi="Courier New"/>
      <w:kern w:val="2"/>
      <w:sz w:val="28"/>
      <w:szCs w:val="28"/>
    </w:rPr>
  </w:style>
  <w:style w:type="character" w:customStyle="1" w:styleId="138">
    <w:name w:val="明显参考2"/>
    <w:qFormat/>
    <w:uiPriority w:val="0"/>
    <w:rPr>
      <w:b/>
      <w:bCs/>
      <w:smallCaps/>
      <w:color w:val="C0504D"/>
      <w:spacing w:val="5"/>
      <w:u w:val="single"/>
    </w:rPr>
  </w:style>
  <w:style w:type="character" w:customStyle="1" w:styleId="139">
    <w:name w:val="标题 Char"/>
    <w:qFormat/>
    <w:uiPriority w:val="0"/>
    <w:rPr>
      <w:rFonts w:ascii="Cambria" w:hAnsi="Cambria" w:eastAsia="宋体" w:cs="Times New Roman"/>
      <w:b/>
      <w:bCs/>
      <w:kern w:val="2"/>
      <w:sz w:val="32"/>
      <w:szCs w:val="32"/>
    </w:rPr>
  </w:style>
  <w:style w:type="character" w:customStyle="1" w:styleId="140">
    <w:name w:val="正文文本缩进 字符1"/>
    <w:semiHidden/>
    <w:qFormat/>
    <w:uiPriority w:val="99"/>
    <w:rPr>
      <w:rFonts w:ascii="Times New Roman" w:hAnsi="Times New Roman" w:eastAsia="宋体" w:cs="Times New Roman"/>
      <w:szCs w:val="24"/>
    </w:rPr>
  </w:style>
  <w:style w:type="character" w:customStyle="1" w:styleId="141">
    <w:name w:val="标题 1 Char1"/>
    <w:qFormat/>
    <w:uiPriority w:val="0"/>
    <w:rPr>
      <w:rFonts w:ascii="Times New Roman" w:hAnsi="Times New Roman" w:eastAsia="宋体" w:cs="Times New Roman"/>
      <w:b/>
      <w:bCs/>
      <w:kern w:val="44"/>
      <w:sz w:val="44"/>
      <w:szCs w:val="44"/>
    </w:rPr>
  </w:style>
  <w:style w:type="character" w:customStyle="1" w:styleId="142">
    <w:name w:val="页脚 Char"/>
    <w:qFormat/>
    <w:uiPriority w:val="0"/>
    <w:rPr>
      <w:sz w:val="18"/>
      <w:szCs w:val="18"/>
    </w:rPr>
  </w:style>
  <w:style w:type="character" w:customStyle="1" w:styleId="143">
    <w:name w:val="ITTHEADER2 Char"/>
    <w:qFormat/>
    <w:uiPriority w:val="0"/>
    <w:rPr>
      <w:rFonts w:ascii="仿宋_GB2312" w:eastAsia="仿宋_GB2312" w:cs="MingLiU"/>
      <w:b/>
      <w:spacing w:val="1"/>
      <w:w w:val="99"/>
      <w:sz w:val="28"/>
      <w:szCs w:val="32"/>
      <w:lang w:val="en-US" w:eastAsia="zh-CN" w:bidi="ar-SA"/>
    </w:rPr>
  </w:style>
  <w:style w:type="character" w:customStyle="1" w:styleId="144">
    <w:name w:val="副标题 Char1"/>
    <w:qFormat/>
    <w:uiPriority w:val="0"/>
    <w:rPr>
      <w:szCs w:val="24"/>
      <w:u w:val="single"/>
      <w:lang w:eastAsia="en-US"/>
    </w:rPr>
  </w:style>
  <w:style w:type="character" w:customStyle="1" w:styleId="145">
    <w:name w:val="正文文本缩进 2 字符1"/>
    <w:semiHidden/>
    <w:qFormat/>
    <w:uiPriority w:val="99"/>
    <w:rPr>
      <w:kern w:val="2"/>
      <w:sz w:val="21"/>
      <w:szCs w:val="24"/>
    </w:rPr>
  </w:style>
  <w:style w:type="character" w:customStyle="1" w:styleId="146">
    <w:name w:val="unnamed1"/>
    <w:qFormat/>
    <w:uiPriority w:val="0"/>
  </w:style>
  <w:style w:type="character" w:customStyle="1" w:styleId="147">
    <w:name w:val="日期 Char3"/>
    <w:semiHidden/>
    <w:qFormat/>
    <w:uiPriority w:val="99"/>
    <w:rPr>
      <w:rFonts w:ascii="Calibri" w:hAnsi="Calibri" w:eastAsia="宋体" w:cs="Times New Roman"/>
      <w:szCs w:val="24"/>
    </w:rPr>
  </w:style>
  <w:style w:type="character" w:customStyle="1" w:styleId="148">
    <w:name w:val="style21"/>
    <w:qFormat/>
    <w:uiPriority w:val="0"/>
    <w:rPr>
      <w:b/>
      <w:bCs/>
      <w:sz w:val="28"/>
      <w:szCs w:val="28"/>
    </w:rPr>
  </w:style>
  <w:style w:type="character" w:customStyle="1" w:styleId="149">
    <w:name w:val="明显引用 字符1"/>
    <w:qFormat/>
    <w:uiPriority w:val="99"/>
    <w:rPr>
      <w:i/>
      <w:iCs/>
      <w:color w:val="4472C4"/>
      <w:kern w:val="2"/>
      <w:sz w:val="21"/>
      <w:szCs w:val="24"/>
    </w:rPr>
  </w:style>
  <w:style w:type="character" w:customStyle="1" w:styleId="150">
    <w:name w:val="未处理的提及"/>
    <w:unhideWhenUsed/>
    <w:qFormat/>
    <w:uiPriority w:val="99"/>
    <w:rPr>
      <w:color w:val="808080"/>
      <w:shd w:val="clear" w:color="auto" w:fill="E6E6E6"/>
    </w:rPr>
  </w:style>
  <w:style w:type="character" w:customStyle="1" w:styleId="151">
    <w:name w:val="0d1471"/>
    <w:qFormat/>
    <w:uiPriority w:val="0"/>
    <w:rPr>
      <w:color w:val="000000"/>
      <w:sz w:val="11"/>
      <w:szCs w:val="11"/>
      <w:u w:val="none"/>
    </w:rPr>
  </w:style>
  <w:style w:type="character" w:customStyle="1" w:styleId="152">
    <w:name w:val="标题 8 Char1"/>
    <w:qFormat/>
    <w:uiPriority w:val="0"/>
    <w:rPr>
      <w:rFonts w:ascii="Times New Roman" w:hAnsi="Arial" w:eastAsia="仿宋_GB2312" w:cs="Times New Roman"/>
      <w:sz w:val="30"/>
      <w:szCs w:val="20"/>
    </w:rPr>
  </w:style>
  <w:style w:type="character" w:customStyle="1" w:styleId="153">
    <w:name w:val="HTML 预设格式 Char2"/>
    <w:semiHidden/>
    <w:qFormat/>
    <w:uiPriority w:val="99"/>
    <w:rPr>
      <w:rFonts w:ascii="Courier New" w:hAnsi="Courier New" w:eastAsia="宋体" w:cs="Courier New"/>
      <w:sz w:val="20"/>
      <w:szCs w:val="20"/>
    </w:rPr>
  </w:style>
  <w:style w:type="character" w:customStyle="1" w:styleId="154">
    <w:name w:val="批注文字 字符"/>
    <w:qFormat/>
    <w:uiPriority w:val="99"/>
    <w:rPr>
      <w:rFonts w:eastAsia="宋体"/>
      <w:kern w:val="2"/>
      <w:sz w:val="21"/>
      <w:szCs w:val="24"/>
      <w:lang w:val="en-US" w:eastAsia="zh-CN" w:bidi="ar-SA"/>
    </w:rPr>
  </w:style>
  <w:style w:type="character" w:customStyle="1" w:styleId="155">
    <w:name w:val="批注主题 Char"/>
    <w:qFormat/>
    <w:uiPriority w:val="0"/>
    <w:rPr>
      <w:rFonts w:ascii="宋体" w:hAnsi="宋体" w:eastAsia="宋体"/>
      <w:kern w:val="2"/>
      <w:sz w:val="24"/>
      <w:szCs w:val="28"/>
      <w:lang w:val="en-US" w:eastAsia="zh-CN" w:bidi="ar-SA"/>
    </w:rPr>
  </w:style>
  <w:style w:type="character" w:customStyle="1" w:styleId="156">
    <w:name w:val="style121"/>
    <w:qFormat/>
    <w:uiPriority w:val="0"/>
    <w:rPr>
      <w:rFonts w:hint="eastAsia" w:ascii="宋体" w:hAnsi="宋体" w:eastAsia="宋体"/>
      <w:sz w:val="18"/>
      <w:szCs w:val="18"/>
    </w:rPr>
  </w:style>
  <w:style w:type="character" w:customStyle="1" w:styleId="157">
    <w:name w:val="脚注文本 字符2"/>
    <w:semiHidden/>
    <w:qFormat/>
    <w:uiPriority w:val="99"/>
    <w:rPr>
      <w:rFonts w:ascii="Times New Roman" w:hAnsi="Times New Roman" w:eastAsia="宋体" w:cs="Times New Roman"/>
      <w:sz w:val="18"/>
      <w:szCs w:val="18"/>
    </w:rPr>
  </w:style>
  <w:style w:type="character" w:customStyle="1" w:styleId="158">
    <w:name w:val="引用 Char1"/>
    <w:link w:val="159"/>
    <w:qFormat/>
    <w:uiPriority w:val="29"/>
    <w:rPr>
      <w:i/>
      <w:iCs/>
      <w:color w:val="000000"/>
      <w:kern w:val="2"/>
      <w:sz w:val="21"/>
    </w:rPr>
  </w:style>
  <w:style w:type="paragraph" w:customStyle="1" w:styleId="159">
    <w:name w:val="引用1"/>
    <w:basedOn w:val="1"/>
    <w:next w:val="1"/>
    <w:link w:val="158"/>
    <w:qFormat/>
    <w:uiPriority w:val="29"/>
    <w:rPr>
      <w:i/>
      <w:iCs/>
      <w:color w:val="000000"/>
      <w:szCs w:val="20"/>
    </w:rPr>
  </w:style>
  <w:style w:type="character" w:customStyle="1" w:styleId="160">
    <w:name w:val="脚注文本 字符1"/>
    <w:semiHidden/>
    <w:qFormat/>
    <w:uiPriority w:val="99"/>
    <w:rPr>
      <w:kern w:val="2"/>
      <w:sz w:val="18"/>
      <w:szCs w:val="18"/>
    </w:rPr>
  </w:style>
  <w:style w:type="character" w:customStyle="1" w:styleId="161">
    <w:name w:val="脚注文本 Char2"/>
    <w:semiHidden/>
    <w:qFormat/>
    <w:uiPriority w:val="99"/>
    <w:rPr>
      <w:rFonts w:ascii="Calibri" w:hAnsi="Calibri" w:eastAsia="宋体" w:cs="Times New Roman"/>
      <w:sz w:val="18"/>
      <w:szCs w:val="18"/>
    </w:rPr>
  </w:style>
  <w:style w:type="character" w:customStyle="1" w:styleId="162">
    <w:name w:val="批注主题 Char1"/>
    <w:qFormat/>
    <w:uiPriority w:val="0"/>
    <w:rPr>
      <w:b/>
      <w:bCs/>
      <w:kern w:val="2"/>
      <w:sz w:val="21"/>
      <w:szCs w:val="22"/>
    </w:rPr>
  </w:style>
  <w:style w:type="character" w:customStyle="1" w:styleId="163">
    <w:name w:val="正文文本缩进 2 字符2"/>
    <w:semiHidden/>
    <w:qFormat/>
    <w:uiPriority w:val="99"/>
    <w:rPr>
      <w:rFonts w:ascii="Times New Roman" w:hAnsi="Times New Roman" w:eastAsia="宋体" w:cs="Times New Roman"/>
      <w:szCs w:val="24"/>
    </w:rPr>
  </w:style>
  <w:style w:type="character" w:customStyle="1" w:styleId="164">
    <w:name w:val="Char Char36"/>
    <w:qFormat/>
    <w:uiPriority w:val="0"/>
    <w:rPr>
      <w:rFonts w:ascii="仿宋_GB2312" w:eastAsia="仿宋_GB2312" w:cs="MingLiU"/>
      <w:b/>
      <w:sz w:val="24"/>
      <w:szCs w:val="28"/>
    </w:rPr>
  </w:style>
  <w:style w:type="character" w:customStyle="1" w:styleId="165">
    <w:name w:val="批注主题 Char2"/>
    <w:qFormat/>
    <w:uiPriority w:val="99"/>
    <w:rPr>
      <w:b/>
      <w:bCs/>
      <w:kern w:val="2"/>
      <w:sz w:val="21"/>
      <w:szCs w:val="24"/>
    </w:rPr>
  </w:style>
  <w:style w:type="character" w:customStyle="1" w:styleId="166">
    <w:name w:val="批注主题 字符2"/>
    <w:semiHidden/>
    <w:qFormat/>
    <w:uiPriority w:val="99"/>
    <w:rPr>
      <w:rFonts w:ascii="Times New Roman" w:hAnsi="Times New Roman" w:eastAsia="宋体" w:cs="Times New Roman"/>
      <w:b/>
      <w:bCs/>
      <w:szCs w:val="24"/>
    </w:rPr>
  </w:style>
  <w:style w:type="character" w:customStyle="1" w:styleId="167">
    <w:name w:val="页眉 Char"/>
    <w:qFormat/>
    <w:uiPriority w:val="0"/>
    <w:rPr>
      <w:sz w:val="18"/>
      <w:szCs w:val="18"/>
    </w:rPr>
  </w:style>
  <w:style w:type="character" w:customStyle="1" w:styleId="168">
    <w:name w:val="style31"/>
    <w:qFormat/>
    <w:uiPriority w:val="0"/>
    <w:rPr>
      <w:sz w:val="10"/>
      <w:szCs w:val="10"/>
    </w:rPr>
  </w:style>
  <w:style w:type="character" w:customStyle="1" w:styleId="169">
    <w:name w:val="正文文本 Char2"/>
    <w:qFormat/>
    <w:uiPriority w:val="99"/>
    <w:rPr>
      <w:kern w:val="2"/>
      <w:sz w:val="21"/>
      <w:szCs w:val="24"/>
    </w:rPr>
  </w:style>
  <w:style w:type="character" w:customStyle="1" w:styleId="170">
    <w:name w:val="批注文字 Char Char"/>
    <w:qFormat/>
    <w:uiPriority w:val="0"/>
    <w:rPr>
      <w:rFonts w:ascii="宋体" w:hAnsi="Times New Roman" w:eastAsia="宋体" w:cs="Times New Roman"/>
      <w:sz w:val="28"/>
      <w:szCs w:val="20"/>
    </w:rPr>
  </w:style>
  <w:style w:type="character" w:customStyle="1" w:styleId="171">
    <w:name w:val="_Style 170"/>
    <w:qFormat/>
    <w:uiPriority w:val="0"/>
    <w:rPr>
      <w:smallCaps/>
      <w:color w:val="C0504D"/>
      <w:u w:val="single"/>
    </w:rPr>
  </w:style>
  <w:style w:type="character" w:customStyle="1" w:styleId="172">
    <w:name w:val="引用 Char"/>
    <w:link w:val="173"/>
    <w:qFormat/>
    <w:uiPriority w:val="0"/>
    <w:rPr>
      <w:i/>
      <w:iCs/>
      <w:color w:val="000000"/>
      <w:kern w:val="2"/>
      <w:sz w:val="21"/>
      <w:szCs w:val="24"/>
    </w:rPr>
  </w:style>
  <w:style w:type="paragraph" w:customStyle="1" w:styleId="173">
    <w:name w:val="引用2"/>
    <w:basedOn w:val="1"/>
    <w:next w:val="1"/>
    <w:link w:val="172"/>
    <w:qFormat/>
    <w:uiPriority w:val="0"/>
    <w:rPr>
      <w:i/>
      <w:iCs/>
      <w:color w:val="000000"/>
    </w:rPr>
  </w:style>
  <w:style w:type="character" w:customStyle="1" w:styleId="174">
    <w:name w:val="标题 2 Char"/>
    <w:qFormat/>
    <w:uiPriority w:val="0"/>
    <w:rPr>
      <w:rFonts w:ascii="仿宋_GB2312" w:hAnsi="Calibri" w:eastAsia="仿宋_GB2312" w:cs="Times New Roman"/>
      <w:b/>
      <w:spacing w:val="1"/>
      <w:w w:val="99"/>
      <w:kern w:val="0"/>
      <w:sz w:val="28"/>
      <w:szCs w:val="32"/>
    </w:rPr>
  </w:style>
  <w:style w:type="character" w:customStyle="1" w:styleId="175">
    <w:name w:val="明显参考1"/>
    <w:qFormat/>
    <w:uiPriority w:val="0"/>
    <w:rPr>
      <w:b/>
      <w:bCs/>
      <w:smallCaps/>
      <w:color w:val="C0504D"/>
      <w:spacing w:val="5"/>
      <w:u w:val="single"/>
    </w:rPr>
  </w:style>
  <w:style w:type="character" w:customStyle="1" w:styleId="176">
    <w:name w:val="日期 字符1"/>
    <w:semiHidden/>
    <w:qFormat/>
    <w:uiPriority w:val="99"/>
    <w:rPr>
      <w:rFonts w:ascii="Times New Roman" w:hAnsi="Times New Roman" w:eastAsia="宋体" w:cs="Times New Roman"/>
      <w:szCs w:val="24"/>
    </w:rPr>
  </w:style>
  <w:style w:type="character" w:customStyle="1" w:styleId="177">
    <w:name w:val="hover25"/>
    <w:qFormat/>
    <w:uiPriority w:val="0"/>
    <w:rPr>
      <w:color w:val="315EFB"/>
    </w:rPr>
  </w:style>
  <w:style w:type="character" w:customStyle="1" w:styleId="178">
    <w:name w:val="普通文字 Char Char1"/>
    <w:qFormat/>
    <w:uiPriority w:val="0"/>
    <w:rPr>
      <w:rFonts w:ascii="宋体" w:hAnsi="Courier New"/>
      <w:kern w:val="2"/>
      <w:sz w:val="28"/>
      <w:szCs w:val="28"/>
    </w:rPr>
  </w:style>
  <w:style w:type="character" w:customStyle="1" w:styleId="179">
    <w:name w:val="标题 Char1"/>
    <w:qFormat/>
    <w:uiPriority w:val="10"/>
    <w:rPr>
      <w:szCs w:val="24"/>
      <w:u w:val="single"/>
      <w:lang w:eastAsia="en-US"/>
    </w:rPr>
  </w:style>
  <w:style w:type="character" w:customStyle="1" w:styleId="180">
    <w:name w:val="标题 7 Char"/>
    <w:qFormat/>
    <w:uiPriority w:val="0"/>
    <w:rPr>
      <w:rFonts w:ascii="Calibri" w:hAnsi="Calibri" w:eastAsia="宋体" w:cs="Times New Roman"/>
      <w:b/>
      <w:bCs/>
      <w:sz w:val="24"/>
      <w:szCs w:val="24"/>
    </w:rPr>
  </w:style>
  <w:style w:type="character" w:customStyle="1" w:styleId="181">
    <w:name w:val="副标题 Char"/>
    <w:qFormat/>
    <w:uiPriority w:val="0"/>
    <w:rPr>
      <w:rFonts w:ascii="Cambria" w:hAnsi="Cambria" w:eastAsia="宋体" w:cs="Times New Roman"/>
      <w:b/>
      <w:bCs/>
      <w:kern w:val="28"/>
      <w:sz w:val="32"/>
      <w:szCs w:val="32"/>
    </w:rPr>
  </w:style>
  <w:style w:type="character" w:customStyle="1" w:styleId="182">
    <w:name w:val="标题 7 Char1"/>
    <w:qFormat/>
    <w:uiPriority w:val="0"/>
    <w:rPr>
      <w:rFonts w:ascii="Times New Roman" w:hAnsi="Times New Roman" w:eastAsia="仿宋_GB2312" w:cs="Times New Roman"/>
      <w:sz w:val="30"/>
      <w:szCs w:val="20"/>
    </w:rPr>
  </w:style>
  <w:style w:type="character" w:customStyle="1" w:styleId="183">
    <w:name w:val="文档结构图 字符1"/>
    <w:semiHidden/>
    <w:qFormat/>
    <w:uiPriority w:val="99"/>
    <w:rPr>
      <w:rFonts w:ascii="Microsoft YaHei UI" w:eastAsia="Microsoft YaHei UI"/>
      <w:kern w:val="2"/>
      <w:sz w:val="18"/>
      <w:szCs w:val="18"/>
    </w:rPr>
  </w:style>
  <w:style w:type="character" w:customStyle="1" w:styleId="184">
    <w:name w:val="明显引用 Char4"/>
    <w:link w:val="185"/>
    <w:qFormat/>
    <w:uiPriority w:val="0"/>
    <w:rPr>
      <w:b/>
      <w:bCs/>
      <w:i/>
      <w:iCs/>
      <w:color w:val="4F81BD"/>
      <w:kern w:val="2"/>
      <w:sz w:val="21"/>
      <w:szCs w:val="22"/>
    </w:rPr>
  </w:style>
  <w:style w:type="paragraph" w:styleId="185">
    <w:name w:val="Intense Quote"/>
    <w:basedOn w:val="1"/>
    <w:next w:val="1"/>
    <w:link w:val="184"/>
    <w:qFormat/>
    <w:uiPriority w:val="0"/>
    <w:pPr>
      <w:pBdr>
        <w:bottom w:val="single" w:color="4F81BD" w:sz="4" w:space="4"/>
      </w:pBdr>
      <w:spacing w:before="200" w:after="280"/>
      <w:ind w:left="936" w:right="936"/>
    </w:pPr>
    <w:rPr>
      <w:b/>
      <w:bCs/>
      <w:i/>
      <w:iCs/>
      <w:color w:val="4F81BD"/>
      <w:szCs w:val="22"/>
    </w:rPr>
  </w:style>
  <w:style w:type="character" w:customStyle="1" w:styleId="186">
    <w:name w:val="脚注文本 Char"/>
    <w:qFormat/>
    <w:uiPriority w:val="0"/>
    <w:rPr>
      <w:rFonts w:ascii="Arial" w:hAnsi="Arial" w:eastAsia="宋体" w:cs="Arial"/>
      <w:sz w:val="18"/>
      <w:szCs w:val="18"/>
      <w:lang w:eastAsia="en-US"/>
    </w:rPr>
  </w:style>
  <w:style w:type="character" w:customStyle="1" w:styleId="187">
    <w:name w:val="正文文本 2 字符1"/>
    <w:semiHidden/>
    <w:qFormat/>
    <w:uiPriority w:val="99"/>
    <w:rPr>
      <w:kern w:val="2"/>
      <w:sz w:val="21"/>
      <w:szCs w:val="24"/>
    </w:rPr>
  </w:style>
  <w:style w:type="character" w:customStyle="1" w:styleId="188">
    <w:name w:val="标题5 Char Char"/>
    <w:link w:val="189"/>
    <w:qFormat/>
    <w:uiPriority w:val="0"/>
    <w:rPr>
      <w:rFonts w:ascii="Arial" w:hAnsi="Arial"/>
      <w:b/>
      <w:bCs/>
      <w:sz w:val="24"/>
      <w:szCs w:val="32"/>
    </w:rPr>
  </w:style>
  <w:style w:type="paragraph" w:customStyle="1" w:styleId="189">
    <w:name w:val="标题5"/>
    <w:basedOn w:val="5"/>
    <w:link w:val="188"/>
    <w:qFormat/>
    <w:uiPriority w:val="0"/>
    <w:pPr>
      <w:spacing w:line="413" w:lineRule="auto"/>
    </w:pPr>
    <w:rPr>
      <w:rFonts w:ascii="Arial" w:hAnsi="Arial"/>
      <w:sz w:val="24"/>
    </w:rPr>
  </w:style>
  <w:style w:type="character" w:customStyle="1" w:styleId="190">
    <w:name w:val="标题4 Char Char"/>
    <w:link w:val="191"/>
    <w:qFormat/>
    <w:uiPriority w:val="0"/>
    <w:rPr>
      <w:rFonts w:ascii="Arial" w:hAnsi="Arial"/>
      <w:b/>
      <w:bCs/>
      <w:sz w:val="24"/>
      <w:szCs w:val="32"/>
    </w:rPr>
  </w:style>
  <w:style w:type="paragraph" w:customStyle="1" w:styleId="191">
    <w:name w:val="标题4"/>
    <w:basedOn w:val="4"/>
    <w:next w:val="20"/>
    <w:link w:val="190"/>
    <w:qFormat/>
    <w:uiPriority w:val="0"/>
    <w:pPr>
      <w:spacing w:line="413" w:lineRule="auto"/>
    </w:pPr>
    <w:rPr>
      <w:rFonts w:ascii="Arial" w:hAnsi="Arial"/>
      <w:sz w:val="24"/>
    </w:rPr>
  </w:style>
  <w:style w:type="character" w:customStyle="1" w:styleId="192">
    <w:name w:val="textcontents"/>
    <w:qFormat/>
    <w:uiPriority w:val="0"/>
    <w:rPr>
      <w:rFonts w:cs="Times New Roman"/>
    </w:rPr>
  </w:style>
  <w:style w:type="character" w:customStyle="1" w:styleId="193">
    <w:name w:val="ss16"/>
    <w:qFormat/>
    <w:uiPriority w:val="0"/>
    <w:rPr>
      <w:rFonts w:hint="eastAsia" w:ascii="宋体" w:hAnsi="宋体" w:eastAsia="宋体"/>
      <w:color w:val="000000"/>
      <w:sz w:val="9"/>
      <w:szCs w:val="9"/>
    </w:rPr>
  </w:style>
  <w:style w:type="character" w:customStyle="1" w:styleId="194">
    <w:name w:val="批注框文本 Char2"/>
    <w:qFormat/>
    <w:uiPriority w:val="99"/>
    <w:rPr>
      <w:kern w:val="2"/>
      <w:sz w:val="18"/>
      <w:szCs w:val="18"/>
    </w:rPr>
  </w:style>
  <w:style w:type="character" w:customStyle="1" w:styleId="195">
    <w:name w:val="纯文本 Char2"/>
    <w:semiHidden/>
    <w:qFormat/>
    <w:uiPriority w:val="99"/>
    <w:rPr>
      <w:rFonts w:ascii="宋体" w:hAnsi="Courier New" w:eastAsia="宋体" w:cs="Courier New"/>
      <w:szCs w:val="21"/>
    </w:rPr>
  </w:style>
  <w:style w:type="character" w:customStyle="1" w:styleId="196">
    <w:name w:val="批注主题 Char3"/>
    <w:semiHidden/>
    <w:qFormat/>
    <w:uiPriority w:val="99"/>
    <w:rPr>
      <w:rFonts w:ascii="Calibri" w:hAnsi="Calibri" w:eastAsia="宋体" w:cs="Times New Roman"/>
      <w:b/>
      <w:bCs/>
      <w:szCs w:val="24"/>
    </w:rPr>
  </w:style>
  <w:style w:type="character" w:customStyle="1" w:styleId="197">
    <w:name w:val="明显引用 Char1"/>
    <w:link w:val="198"/>
    <w:qFormat/>
    <w:uiPriority w:val="30"/>
    <w:rPr>
      <w:b/>
      <w:bCs/>
      <w:i/>
      <w:iCs/>
      <w:color w:val="4F81BD"/>
      <w:kern w:val="2"/>
      <w:sz w:val="21"/>
    </w:rPr>
  </w:style>
  <w:style w:type="paragraph" w:customStyle="1" w:styleId="198">
    <w:name w:val="明显引用1"/>
    <w:basedOn w:val="1"/>
    <w:next w:val="1"/>
    <w:link w:val="197"/>
    <w:qFormat/>
    <w:uiPriority w:val="30"/>
    <w:pPr>
      <w:pBdr>
        <w:bottom w:val="single" w:color="4F81BD" w:sz="4" w:space="4"/>
      </w:pBdr>
      <w:spacing w:before="200" w:after="280"/>
      <w:ind w:left="936" w:right="936"/>
    </w:pPr>
    <w:rPr>
      <w:b/>
      <w:bCs/>
      <w:i/>
      <w:iCs/>
      <w:color w:val="4F81BD"/>
      <w:szCs w:val="20"/>
    </w:rPr>
  </w:style>
  <w:style w:type="character" w:customStyle="1" w:styleId="199">
    <w:name w:val="正文文本 Char3"/>
    <w:semiHidden/>
    <w:qFormat/>
    <w:uiPriority w:val="99"/>
    <w:rPr>
      <w:rFonts w:ascii="Calibri" w:hAnsi="Calibri" w:eastAsia="宋体" w:cs="Times New Roman"/>
      <w:szCs w:val="24"/>
    </w:rPr>
  </w:style>
  <w:style w:type="character" w:customStyle="1" w:styleId="200">
    <w:name w:val="引用 Char4"/>
    <w:link w:val="201"/>
    <w:qFormat/>
    <w:uiPriority w:val="0"/>
    <w:rPr>
      <w:i/>
      <w:iCs/>
      <w:color w:val="000000"/>
      <w:kern w:val="2"/>
      <w:sz w:val="21"/>
      <w:szCs w:val="22"/>
    </w:rPr>
  </w:style>
  <w:style w:type="paragraph" w:styleId="201">
    <w:name w:val="Quote"/>
    <w:basedOn w:val="1"/>
    <w:next w:val="1"/>
    <w:link w:val="200"/>
    <w:qFormat/>
    <w:uiPriority w:val="0"/>
    <w:rPr>
      <w:i/>
      <w:iCs/>
      <w:color w:val="000000"/>
      <w:szCs w:val="22"/>
    </w:rPr>
  </w:style>
  <w:style w:type="character" w:customStyle="1" w:styleId="202">
    <w:name w:val="Section Char"/>
    <w:qFormat/>
    <w:uiPriority w:val="0"/>
    <w:rPr>
      <w:rFonts w:ascii="仿宋_GB2312" w:eastAsia="仿宋_GB2312" w:cs="MingLiU"/>
      <w:b/>
      <w:sz w:val="24"/>
      <w:szCs w:val="28"/>
      <w:lang w:val="en-US" w:eastAsia="zh-CN" w:bidi="ar-SA"/>
    </w:rPr>
  </w:style>
  <w:style w:type="character" w:customStyle="1" w:styleId="203">
    <w:name w:val="Char Char17"/>
    <w:qFormat/>
    <w:uiPriority w:val="0"/>
    <w:rPr>
      <w:kern w:val="2"/>
      <w:sz w:val="26"/>
      <w:szCs w:val="24"/>
    </w:rPr>
  </w:style>
  <w:style w:type="character" w:customStyle="1" w:styleId="204">
    <w:name w:val="正文文本缩进 2 Char1"/>
    <w:qFormat/>
    <w:uiPriority w:val="0"/>
    <w:rPr>
      <w:sz w:val="28"/>
      <w:szCs w:val="24"/>
    </w:rPr>
  </w:style>
  <w:style w:type="character" w:customStyle="1" w:styleId="205">
    <w:name w:val="标题 6 Char"/>
    <w:qFormat/>
    <w:uiPriority w:val="0"/>
    <w:rPr>
      <w:rFonts w:ascii="Arial" w:hAnsi="Arial" w:eastAsia="黑体" w:cs="Times New Roman"/>
      <w:b/>
      <w:bCs/>
      <w:sz w:val="24"/>
      <w:szCs w:val="24"/>
    </w:rPr>
  </w:style>
  <w:style w:type="character" w:customStyle="1" w:styleId="206">
    <w:name w:val="Char Char22"/>
    <w:qFormat/>
    <w:uiPriority w:val="0"/>
    <w:rPr>
      <w:b/>
      <w:bCs/>
      <w:kern w:val="2"/>
      <w:sz w:val="32"/>
      <w:szCs w:val="32"/>
    </w:rPr>
  </w:style>
  <w:style w:type="character" w:customStyle="1" w:styleId="207">
    <w:name w:val="文档结构图 Char"/>
    <w:qFormat/>
    <w:uiPriority w:val="0"/>
    <w:rPr>
      <w:rFonts w:ascii="宋体"/>
      <w:kern w:val="2"/>
      <w:sz w:val="18"/>
      <w:szCs w:val="18"/>
    </w:rPr>
  </w:style>
  <w:style w:type="character" w:customStyle="1" w:styleId="208">
    <w:name w:val="批注框文本 Char3"/>
    <w:semiHidden/>
    <w:qFormat/>
    <w:uiPriority w:val="99"/>
    <w:rPr>
      <w:rFonts w:ascii="Calibri" w:hAnsi="Calibri" w:eastAsia="宋体" w:cs="Times New Roman"/>
      <w:sz w:val="18"/>
      <w:szCs w:val="18"/>
    </w:rPr>
  </w:style>
  <w:style w:type="character" w:customStyle="1" w:styleId="209">
    <w:name w:val="Char Char32"/>
    <w:qFormat/>
    <w:uiPriority w:val="0"/>
    <w:rPr>
      <w:rFonts w:ascii="仿宋_GB2312" w:eastAsia="仿宋_GB2312" w:cs="MingLiU"/>
      <w:b/>
      <w:spacing w:val="1"/>
      <w:w w:val="99"/>
      <w:sz w:val="28"/>
      <w:szCs w:val="32"/>
    </w:rPr>
  </w:style>
  <w:style w:type="character" w:customStyle="1" w:styleId="210">
    <w:name w:val="手改 Char Char"/>
    <w:qFormat/>
    <w:uiPriority w:val="0"/>
    <w:rPr>
      <w:kern w:val="2"/>
      <w:sz w:val="21"/>
      <w:szCs w:val="24"/>
    </w:rPr>
  </w:style>
  <w:style w:type="character" w:customStyle="1" w:styleId="211">
    <w:name w:val="批注框文本 Char1"/>
    <w:qFormat/>
    <w:uiPriority w:val="0"/>
    <w:rPr>
      <w:kern w:val="2"/>
      <w:sz w:val="18"/>
      <w:szCs w:val="18"/>
    </w:rPr>
  </w:style>
  <w:style w:type="character" w:customStyle="1" w:styleId="212">
    <w:name w:val="批注主题 字符1"/>
    <w:semiHidden/>
    <w:qFormat/>
    <w:uiPriority w:val="99"/>
    <w:rPr>
      <w:b/>
      <w:bCs/>
      <w:kern w:val="2"/>
      <w:sz w:val="21"/>
      <w:szCs w:val="24"/>
    </w:rPr>
  </w:style>
  <w:style w:type="character" w:customStyle="1" w:styleId="213">
    <w:name w:val="正文文本 Char1"/>
    <w:qFormat/>
    <w:uiPriority w:val="0"/>
    <w:rPr>
      <w:kern w:val="2"/>
      <w:sz w:val="21"/>
      <w:szCs w:val="22"/>
    </w:rPr>
  </w:style>
  <w:style w:type="character" w:customStyle="1" w:styleId="214">
    <w:name w:val="Char Char35"/>
    <w:qFormat/>
    <w:uiPriority w:val="0"/>
    <w:rPr>
      <w:rFonts w:ascii="仿宋_GB2312" w:eastAsia="仿宋_GB2312" w:cs="MingLiU"/>
      <w:b/>
      <w:sz w:val="24"/>
      <w:szCs w:val="28"/>
    </w:rPr>
  </w:style>
  <w:style w:type="character" w:customStyle="1" w:styleId="215">
    <w:name w:val="引用 字符1"/>
    <w:qFormat/>
    <w:uiPriority w:val="99"/>
    <w:rPr>
      <w:i/>
      <w:iCs/>
      <w:color w:val="404040"/>
      <w:kern w:val="2"/>
      <w:sz w:val="21"/>
      <w:szCs w:val="24"/>
    </w:rPr>
  </w:style>
  <w:style w:type="character" w:customStyle="1" w:styleId="216">
    <w:name w:val="批注框文本 Char"/>
    <w:qFormat/>
    <w:uiPriority w:val="0"/>
    <w:rPr>
      <w:sz w:val="18"/>
      <w:szCs w:val="18"/>
    </w:rPr>
  </w:style>
  <w:style w:type="character" w:customStyle="1" w:styleId="217">
    <w:name w:val="标题 2 Char1"/>
    <w:qFormat/>
    <w:uiPriority w:val="0"/>
    <w:rPr>
      <w:rFonts w:ascii="Cambria" w:hAnsi="Cambria" w:eastAsia="宋体" w:cs="Times New Roman"/>
      <w:b/>
      <w:bCs/>
      <w:kern w:val="2"/>
      <w:sz w:val="32"/>
      <w:szCs w:val="32"/>
    </w:rPr>
  </w:style>
  <w:style w:type="character" w:customStyle="1" w:styleId="218">
    <w:name w:val="不明显强调11"/>
    <w:qFormat/>
    <w:uiPriority w:val="0"/>
    <w:rPr>
      <w:i/>
      <w:iCs/>
      <w:color w:val="808080"/>
    </w:rPr>
  </w:style>
  <w:style w:type="character" w:customStyle="1" w:styleId="219">
    <w:name w:val="ht1"/>
    <w:qFormat/>
    <w:uiPriority w:val="0"/>
    <w:rPr>
      <w:rFonts w:ascii="黑体" w:eastAsia="黑体"/>
      <w:b/>
      <w:bCs/>
    </w:rPr>
  </w:style>
  <w:style w:type="character" w:customStyle="1" w:styleId="220">
    <w:name w:val="书籍标题2"/>
    <w:qFormat/>
    <w:uiPriority w:val="0"/>
    <w:rPr>
      <w:b/>
      <w:bCs/>
      <w:smallCaps/>
      <w:spacing w:val="5"/>
    </w:rPr>
  </w:style>
  <w:style w:type="character" w:customStyle="1" w:styleId="221">
    <w:name w:val="正文文本 3 Char"/>
    <w:qFormat/>
    <w:uiPriority w:val="0"/>
    <w:rPr>
      <w:kern w:val="2"/>
      <w:sz w:val="16"/>
      <w:szCs w:val="16"/>
    </w:rPr>
  </w:style>
  <w:style w:type="character" w:customStyle="1" w:styleId="222">
    <w:name w:val="引用 Char3"/>
    <w:qFormat/>
    <w:uiPriority w:val="29"/>
    <w:rPr>
      <w:rFonts w:ascii="Calibri" w:hAnsi="Calibri" w:eastAsia="宋体" w:cs="Times New Roman"/>
      <w:i/>
      <w:iCs/>
      <w:color w:val="000000"/>
      <w:szCs w:val="24"/>
    </w:rPr>
  </w:style>
  <w:style w:type="character" w:customStyle="1" w:styleId="223">
    <w:name w:val="不明显强调1"/>
    <w:qFormat/>
    <w:uiPriority w:val="0"/>
    <w:rPr>
      <w:i/>
      <w:iCs/>
      <w:color w:val="808080"/>
    </w:rPr>
  </w:style>
  <w:style w:type="character" w:customStyle="1" w:styleId="224">
    <w:name w:val="l1"/>
    <w:qFormat/>
    <w:uiPriority w:val="0"/>
  </w:style>
  <w:style w:type="character" w:customStyle="1" w:styleId="225">
    <w:name w:val="ITTHEADER1 Char"/>
    <w:qFormat/>
    <w:uiPriority w:val="0"/>
    <w:rPr>
      <w:rFonts w:eastAsia="黑体"/>
      <w:kern w:val="2"/>
      <w:sz w:val="44"/>
      <w:szCs w:val="44"/>
      <w:lang w:val="en-US" w:eastAsia="zh-CN" w:bidi="ar-SA"/>
    </w:rPr>
  </w:style>
  <w:style w:type="character" w:customStyle="1" w:styleId="226">
    <w:name w:val="_Style 225"/>
    <w:qFormat/>
    <w:uiPriority w:val="0"/>
    <w:rPr>
      <w:b/>
      <w:bCs/>
      <w:smallCaps/>
      <w:color w:val="C0504D"/>
      <w:spacing w:val="5"/>
      <w:u w:val="single"/>
    </w:rPr>
  </w:style>
  <w:style w:type="character" w:customStyle="1" w:styleId="227">
    <w:name w:val="文档结构图 Char3"/>
    <w:semiHidden/>
    <w:qFormat/>
    <w:uiPriority w:val="99"/>
    <w:rPr>
      <w:rFonts w:ascii="宋体" w:hAnsi="Calibri" w:eastAsia="宋体" w:cs="Times New Roman"/>
      <w:sz w:val="18"/>
      <w:szCs w:val="18"/>
    </w:rPr>
  </w:style>
  <w:style w:type="character" w:customStyle="1" w:styleId="228">
    <w:name w:val="标题 字符1"/>
    <w:qFormat/>
    <w:uiPriority w:val="10"/>
    <w:rPr>
      <w:rFonts w:ascii="等线 Light" w:hAnsi="等线 Light" w:eastAsia="等线 Light" w:cs="Times New Roman"/>
      <w:b/>
      <w:bCs/>
      <w:sz w:val="32"/>
      <w:szCs w:val="32"/>
    </w:rPr>
  </w:style>
  <w:style w:type="character" w:customStyle="1" w:styleId="229">
    <w:name w:val="正文文本缩进 3 Char"/>
    <w:qFormat/>
    <w:uiPriority w:val="0"/>
    <w:rPr>
      <w:kern w:val="2"/>
      <w:sz w:val="16"/>
      <w:szCs w:val="16"/>
    </w:rPr>
  </w:style>
  <w:style w:type="character" w:customStyle="1" w:styleId="230">
    <w:name w:val="不明显参考11"/>
    <w:qFormat/>
    <w:uiPriority w:val="0"/>
    <w:rPr>
      <w:smallCaps/>
      <w:color w:val="C0504D"/>
      <w:u w:val="single"/>
    </w:rPr>
  </w:style>
  <w:style w:type="character" w:customStyle="1" w:styleId="231">
    <w:name w:val="批注文字 字符2"/>
    <w:semiHidden/>
    <w:qFormat/>
    <w:uiPriority w:val="99"/>
    <w:rPr>
      <w:rFonts w:ascii="Times New Roman" w:hAnsi="Times New Roman" w:eastAsia="宋体" w:cs="Times New Roman"/>
      <w:szCs w:val="24"/>
    </w:rPr>
  </w:style>
  <w:style w:type="character" w:customStyle="1" w:styleId="232">
    <w:name w:val="标题 Char2"/>
    <w:qFormat/>
    <w:uiPriority w:val="10"/>
    <w:rPr>
      <w:rFonts w:ascii="Cambria" w:hAnsi="Cambria" w:eastAsia="宋体" w:cs="Times New Roman"/>
      <w:b/>
      <w:bCs/>
      <w:sz w:val="32"/>
      <w:szCs w:val="32"/>
    </w:rPr>
  </w:style>
  <w:style w:type="character" w:customStyle="1" w:styleId="233">
    <w:name w:val="Char Char33"/>
    <w:qFormat/>
    <w:uiPriority w:val="0"/>
    <w:rPr>
      <w:rFonts w:ascii="仿宋_GB2312" w:eastAsia="仿宋_GB2312" w:cs="MingLiU"/>
      <w:b/>
      <w:sz w:val="24"/>
      <w:szCs w:val="28"/>
    </w:rPr>
  </w:style>
  <w:style w:type="character" w:customStyle="1" w:styleId="234">
    <w:name w:val="正文文本缩进 3 Char2"/>
    <w:semiHidden/>
    <w:qFormat/>
    <w:uiPriority w:val="99"/>
    <w:rPr>
      <w:rFonts w:ascii="Calibri" w:hAnsi="Calibri" w:eastAsia="宋体" w:cs="Times New Roman"/>
      <w:sz w:val="16"/>
      <w:szCs w:val="16"/>
    </w:rPr>
  </w:style>
  <w:style w:type="character" w:customStyle="1" w:styleId="235">
    <w:name w:val="Char Char24"/>
    <w:qFormat/>
    <w:uiPriority w:val="0"/>
    <w:rPr>
      <w:b/>
      <w:bCs/>
      <w:kern w:val="44"/>
      <w:sz w:val="44"/>
      <w:szCs w:val="44"/>
    </w:rPr>
  </w:style>
  <w:style w:type="character" w:customStyle="1" w:styleId="236">
    <w:name w:val="不明显强调2"/>
    <w:qFormat/>
    <w:uiPriority w:val="0"/>
    <w:rPr>
      <w:i/>
      <w:iCs/>
      <w:color w:val="808080"/>
    </w:rPr>
  </w:style>
  <w:style w:type="character" w:customStyle="1" w:styleId="237">
    <w:name w:val="HTML 预设格式 字符1"/>
    <w:semiHidden/>
    <w:qFormat/>
    <w:uiPriority w:val="99"/>
    <w:rPr>
      <w:rFonts w:ascii="Courier New" w:hAnsi="Courier New" w:cs="Courier New"/>
      <w:kern w:val="2"/>
    </w:rPr>
  </w:style>
  <w:style w:type="character" w:customStyle="1" w:styleId="238">
    <w:name w:val="纯文本 Char"/>
    <w:qFormat/>
    <w:uiPriority w:val="0"/>
    <w:rPr>
      <w:rFonts w:ascii="宋体" w:hAnsi="Courier New"/>
      <w:sz w:val="28"/>
      <w:szCs w:val="28"/>
    </w:rPr>
  </w:style>
  <w:style w:type="character" w:customStyle="1" w:styleId="239">
    <w:name w:val="页眉 Char1"/>
    <w:semiHidden/>
    <w:qFormat/>
    <w:uiPriority w:val="99"/>
    <w:rPr>
      <w:kern w:val="2"/>
      <w:sz w:val="18"/>
      <w:szCs w:val="18"/>
    </w:rPr>
  </w:style>
  <w:style w:type="character" w:customStyle="1" w:styleId="240">
    <w:name w:val="subhead1"/>
    <w:qFormat/>
    <w:uiPriority w:val="0"/>
    <w:rPr>
      <w:rFonts w:hint="default" w:ascii="Tahoma" w:hAnsi="Tahoma" w:cs="Tahoma"/>
      <w:color w:val="000000"/>
      <w:sz w:val="18"/>
      <w:szCs w:val="18"/>
      <w:u w:val="none"/>
      <w:shd w:val="clear" w:color="auto" w:fill="FFFFFF"/>
    </w:rPr>
  </w:style>
  <w:style w:type="character" w:customStyle="1" w:styleId="241">
    <w:name w:val="_Style 240"/>
    <w:qFormat/>
    <w:uiPriority w:val="0"/>
    <w:rPr>
      <w:b/>
      <w:bCs/>
      <w:smallCaps/>
      <w:spacing w:val="5"/>
    </w:rPr>
  </w:style>
  <w:style w:type="character" w:customStyle="1" w:styleId="242">
    <w:name w:val="日期 Char"/>
    <w:qFormat/>
    <w:uiPriority w:val="0"/>
    <w:rPr>
      <w:rFonts w:eastAsia="宋体"/>
      <w:szCs w:val="24"/>
    </w:rPr>
  </w:style>
  <w:style w:type="character" w:customStyle="1" w:styleId="243">
    <w:name w:val="尾注文本 字符1"/>
    <w:semiHidden/>
    <w:qFormat/>
    <w:uiPriority w:val="99"/>
    <w:rPr>
      <w:kern w:val="2"/>
      <w:sz w:val="21"/>
      <w:szCs w:val="24"/>
    </w:rPr>
  </w:style>
  <w:style w:type="character" w:customStyle="1" w:styleId="244">
    <w:name w:val="未处理的提及1"/>
    <w:unhideWhenUsed/>
    <w:qFormat/>
    <w:uiPriority w:val="99"/>
    <w:rPr>
      <w:color w:val="808080"/>
      <w:shd w:val="clear" w:color="auto" w:fill="E6E6E6"/>
    </w:rPr>
  </w:style>
  <w:style w:type="character" w:customStyle="1" w:styleId="245">
    <w:name w:val="hover24"/>
    <w:qFormat/>
    <w:uiPriority w:val="0"/>
  </w:style>
  <w:style w:type="character" w:customStyle="1" w:styleId="246">
    <w:name w:val="标题 8 Char"/>
    <w:qFormat/>
    <w:uiPriority w:val="0"/>
    <w:rPr>
      <w:rFonts w:ascii="Arial" w:hAnsi="Arial" w:eastAsia="黑体" w:cs="Times New Roman"/>
      <w:sz w:val="24"/>
      <w:szCs w:val="24"/>
    </w:rPr>
  </w:style>
  <w:style w:type="character" w:customStyle="1" w:styleId="247">
    <w:name w:val="c-icon28"/>
    <w:qFormat/>
    <w:uiPriority w:val="0"/>
  </w:style>
  <w:style w:type="character" w:customStyle="1" w:styleId="248">
    <w:name w:val="style161"/>
    <w:qFormat/>
    <w:uiPriority w:val="0"/>
    <w:rPr>
      <w:b/>
      <w:bCs/>
      <w:color w:val="333333"/>
    </w:rPr>
  </w:style>
  <w:style w:type="character" w:customStyle="1" w:styleId="249">
    <w:name w:val="HTML 预设格式 Char1"/>
    <w:qFormat/>
    <w:uiPriority w:val="0"/>
    <w:rPr>
      <w:rFonts w:ascii="宋体" w:hAnsi="宋体" w:cs="宋体"/>
      <w:color w:val="000000"/>
      <w:sz w:val="24"/>
      <w:szCs w:val="24"/>
    </w:rPr>
  </w:style>
  <w:style w:type="character" w:customStyle="1" w:styleId="250">
    <w:name w:val="Char Char11"/>
    <w:qFormat/>
    <w:locked/>
    <w:uiPriority w:val="0"/>
    <w:rPr>
      <w:rFonts w:eastAsia="黑体"/>
      <w:kern w:val="2"/>
      <w:sz w:val="44"/>
      <w:szCs w:val="44"/>
      <w:lang w:val="en-US" w:eastAsia="zh-CN" w:bidi="ar-SA"/>
    </w:rPr>
  </w:style>
  <w:style w:type="character" w:customStyle="1" w:styleId="251">
    <w:name w:val="正文文本缩进 Char2"/>
    <w:semiHidden/>
    <w:qFormat/>
    <w:uiPriority w:val="99"/>
    <w:rPr>
      <w:rFonts w:ascii="Calibri" w:hAnsi="Calibri" w:eastAsia="宋体" w:cs="Times New Roman"/>
      <w:szCs w:val="24"/>
    </w:rPr>
  </w:style>
  <w:style w:type="character" w:customStyle="1" w:styleId="252">
    <w:name w:val="尾注文本 Char"/>
    <w:qFormat/>
    <w:uiPriority w:val="0"/>
    <w:rPr>
      <w:kern w:val="2"/>
      <w:sz w:val="21"/>
      <w:szCs w:val="24"/>
    </w:rPr>
  </w:style>
  <w:style w:type="character" w:customStyle="1" w:styleId="253">
    <w:name w:val="明显强调1"/>
    <w:qFormat/>
    <w:uiPriority w:val="0"/>
    <w:rPr>
      <w:b/>
      <w:bCs/>
      <w:i/>
      <w:iCs/>
      <w:color w:val="4F81BD"/>
    </w:rPr>
  </w:style>
  <w:style w:type="character" w:customStyle="1" w:styleId="254">
    <w:name w:val="明显强调2"/>
    <w:qFormat/>
    <w:uiPriority w:val="0"/>
    <w:rPr>
      <w:b/>
      <w:bCs/>
      <w:i/>
      <w:iCs/>
      <w:color w:val="4F81BD"/>
    </w:rPr>
  </w:style>
  <w:style w:type="character" w:customStyle="1" w:styleId="255">
    <w:name w:val="引用 字符2"/>
    <w:qFormat/>
    <w:uiPriority w:val="29"/>
    <w:rPr>
      <w:rFonts w:ascii="Times New Roman" w:hAnsi="Times New Roman" w:eastAsia="宋体" w:cs="Times New Roman"/>
      <w:i/>
      <w:iCs/>
      <w:color w:val="000000"/>
      <w:szCs w:val="24"/>
    </w:rPr>
  </w:style>
  <w:style w:type="character" w:customStyle="1" w:styleId="256">
    <w:name w:val="明显引用 Char"/>
    <w:qFormat/>
    <w:uiPriority w:val="0"/>
    <w:rPr>
      <w:rFonts w:ascii="Times New Roman" w:hAnsi="Times New Roman" w:eastAsia="宋体" w:cs="Times New Roman"/>
      <w:b/>
      <w:bCs/>
      <w:i/>
      <w:iCs/>
      <w:color w:val="4F81BD"/>
      <w:kern w:val="2"/>
      <w:sz w:val="21"/>
      <w:szCs w:val="24"/>
    </w:rPr>
  </w:style>
  <w:style w:type="character" w:customStyle="1" w:styleId="257">
    <w:name w:val="书籍标题1"/>
    <w:qFormat/>
    <w:uiPriority w:val="0"/>
    <w:rPr>
      <w:b/>
      <w:bCs/>
      <w:smallCaps/>
      <w:spacing w:val="5"/>
    </w:rPr>
  </w:style>
  <w:style w:type="character" w:customStyle="1" w:styleId="258">
    <w:name w:val="尾注文本 字符2"/>
    <w:semiHidden/>
    <w:qFormat/>
    <w:uiPriority w:val="99"/>
    <w:rPr>
      <w:rFonts w:ascii="Times New Roman" w:hAnsi="Times New Roman" w:eastAsia="宋体" w:cs="Times New Roman"/>
      <w:szCs w:val="24"/>
    </w:rPr>
  </w:style>
  <w:style w:type="character" w:customStyle="1" w:styleId="259">
    <w:name w:val="font11"/>
    <w:qFormat/>
    <w:uiPriority w:val="0"/>
    <w:rPr>
      <w:rFonts w:hint="eastAsia" w:ascii="仿宋" w:hAnsi="仿宋" w:eastAsia="仿宋" w:cs="仿宋"/>
      <w:color w:val="000000"/>
      <w:sz w:val="16"/>
      <w:szCs w:val="16"/>
      <w:u w:val="none"/>
    </w:rPr>
  </w:style>
  <w:style w:type="character" w:customStyle="1" w:styleId="260">
    <w:name w:val="副标题 字符1"/>
    <w:qFormat/>
    <w:uiPriority w:val="11"/>
    <w:rPr>
      <w:b/>
      <w:bCs/>
      <w:kern w:val="28"/>
      <w:sz w:val="32"/>
      <w:szCs w:val="32"/>
    </w:rPr>
  </w:style>
  <w:style w:type="character" w:customStyle="1" w:styleId="261">
    <w:name w:val="批注文字 Char"/>
    <w:qFormat/>
    <w:uiPriority w:val="0"/>
    <w:rPr>
      <w:rFonts w:ascii="Times New Roman" w:hAnsi="Times New Roman" w:eastAsia="宋体" w:cs="Times New Roman"/>
      <w:kern w:val="2"/>
      <w:sz w:val="21"/>
      <w:szCs w:val="24"/>
    </w:rPr>
  </w:style>
  <w:style w:type="character" w:customStyle="1" w:styleId="262">
    <w:name w:val="标题 4 Char1"/>
    <w:qFormat/>
    <w:uiPriority w:val="0"/>
    <w:rPr>
      <w:rFonts w:ascii="宋体" w:hAnsi="宋体" w:eastAsia="宋体" w:cs="宋体"/>
      <w:b/>
      <w:bCs/>
      <w:sz w:val="24"/>
      <w:szCs w:val="24"/>
    </w:rPr>
  </w:style>
  <w:style w:type="character" w:customStyle="1" w:styleId="263">
    <w:name w:val="ca-141"/>
    <w:qFormat/>
    <w:uiPriority w:val="0"/>
    <w:rPr>
      <w:rFonts w:hint="eastAsia" w:ascii="仿宋_GB2312" w:eastAsia="仿宋_GB2312"/>
      <w:sz w:val="21"/>
      <w:szCs w:val="21"/>
    </w:rPr>
  </w:style>
  <w:style w:type="character" w:customStyle="1" w:styleId="264">
    <w:name w:val="_Style 263"/>
    <w:qFormat/>
    <w:uiPriority w:val="0"/>
    <w:rPr>
      <w:i/>
      <w:iCs/>
      <w:color w:val="808080"/>
    </w:rPr>
  </w:style>
  <w:style w:type="character" w:customStyle="1" w:styleId="265">
    <w:name w:val="Char Char14"/>
    <w:qFormat/>
    <w:uiPriority w:val="0"/>
    <w:rPr>
      <w:kern w:val="2"/>
      <w:sz w:val="18"/>
      <w:szCs w:val="18"/>
    </w:rPr>
  </w:style>
  <w:style w:type="character" w:customStyle="1" w:styleId="266">
    <w:name w:val="hover26"/>
    <w:qFormat/>
    <w:uiPriority w:val="0"/>
    <w:rPr>
      <w:color w:val="315EFB"/>
    </w:rPr>
  </w:style>
  <w:style w:type="character" w:customStyle="1" w:styleId="267">
    <w:name w:val="正文文本缩进 3 字符1"/>
    <w:semiHidden/>
    <w:qFormat/>
    <w:uiPriority w:val="99"/>
    <w:rPr>
      <w:rFonts w:ascii="Times New Roman" w:hAnsi="Times New Roman" w:eastAsia="宋体" w:cs="Times New Roman"/>
      <w:sz w:val="16"/>
      <w:szCs w:val="16"/>
    </w:rPr>
  </w:style>
  <w:style w:type="character" w:customStyle="1" w:styleId="268">
    <w:name w:val="页脚 Char1"/>
    <w:semiHidden/>
    <w:qFormat/>
    <w:uiPriority w:val="99"/>
    <w:rPr>
      <w:kern w:val="2"/>
      <w:sz w:val="18"/>
      <w:szCs w:val="18"/>
    </w:rPr>
  </w:style>
  <w:style w:type="character" w:customStyle="1" w:styleId="269">
    <w:name w:val="正文文本缩进 2 Char"/>
    <w:qFormat/>
    <w:uiPriority w:val="0"/>
    <w:rPr>
      <w:kern w:val="2"/>
      <w:sz w:val="21"/>
      <w:szCs w:val="24"/>
    </w:rPr>
  </w:style>
  <w:style w:type="character" w:customStyle="1" w:styleId="270">
    <w:name w:val="标题 3 Char1"/>
    <w:qFormat/>
    <w:uiPriority w:val="0"/>
    <w:rPr>
      <w:rFonts w:ascii="Times New Roman" w:hAnsi="Times New Roman" w:eastAsia="宋体" w:cs="Times New Roman"/>
      <w:b/>
      <w:bCs/>
      <w:kern w:val="2"/>
      <w:sz w:val="32"/>
      <w:szCs w:val="32"/>
    </w:rPr>
  </w:style>
  <w:style w:type="character" w:customStyle="1" w:styleId="271">
    <w:name w:val="批注文字 Char2"/>
    <w:autoRedefine/>
    <w:qFormat/>
    <w:uiPriority w:val="0"/>
    <w:rPr>
      <w:rFonts w:ascii="Calibri" w:hAnsi="Calibri" w:eastAsia="宋体" w:cs="Times New Roman"/>
      <w:szCs w:val="24"/>
    </w:rPr>
  </w:style>
  <w:style w:type="character" w:customStyle="1" w:styleId="272">
    <w:name w:val="正文文本缩进 Char1"/>
    <w:autoRedefine/>
    <w:qFormat/>
    <w:uiPriority w:val="0"/>
    <w:rPr>
      <w:kern w:val="2"/>
      <w:sz w:val="21"/>
      <w:szCs w:val="24"/>
    </w:rPr>
  </w:style>
  <w:style w:type="character" w:customStyle="1" w:styleId="273">
    <w:name w:val="未处理的提及2"/>
    <w:autoRedefine/>
    <w:unhideWhenUsed/>
    <w:qFormat/>
    <w:uiPriority w:val="99"/>
    <w:rPr>
      <w:color w:val="605E5C"/>
      <w:shd w:val="clear" w:color="auto" w:fill="E1DFDD"/>
    </w:rPr>
  </w:style>
  <w:style w:type="character" w:customStyle="1" w:styleId="274">
    <w:name w:val="标题 9 Char1"/>
    <w:autoRedefine/>
    <w:qFormat/>
    <w:uiPriority w:val="0"/>
    <w:rPr>
      <w:rFonts w:ascii="Times New Roman" w:hAnsi="Times New Roman" w:eastAsia="仿宋_GB2312" w:cs="Times New Roman"/>
      <w:sz w:val="30"/>
      <w:szCs w:val="20"/>
    </w:rPr>
  </w:style>
  <w:style w:type="character" w:customStyle="1" w:styleId="275">
    <w:name w:val="Char Char13"/>
    <w:autoRedefine/>
    <w:qFormat/>
    <w:uiPriority w:val="0"/>
    <w:rPr>
      <w:kern w:val="2"/>
      <w:sz w:val="18"/>
      <w:szCs w:val="18"/>
    </w:rPr>
  </w:style>
  <w:style w:type="character" w:customStyle="1" w:styleId="276">
    <w:name w:val="font41"/>
    <w:autoRedefine/>
    <w:qFormat/>
    <w:uiPriority w:val="0"/>
    <w:rPr>
      <w:rFonts w:hint="eastAsia" w:ascii="宋体" w:hAnsi="宋体" w:eastAsia="宋体" w:cs="宋体"/>
      <w:b/>
      <w:color w:val="000000"/>
      <w:sz w:val="22"/>
      <w:szCs w:val="22"/>
      <w:u w:val="none"/>
    </w:rPr>
  </w:style>
  <w:style w:type="character" w:customStyle="1" w:styleId="277">
    <w:name w:val="_Style 276"/>
    <w:autoRedefine/>
    <w:qFormat/>
    <w:uiPriority w:val="0"/>
    <w:rPr>
      <w:b/>
      <w:bCs/>
      <w:i/>
      <w:iCs/>
      <w:color w:val="4F81BD"/>
    </w:rPr>
  </w:style>
  <w:style w:type="character" w:customStyle="1" w:styleId="278">
    <w:name w:val="副标题 Char2"/>
    <w:autoRedefine/>
    <w:qFormat/>
    <w:uiPriority w:val="11"/>
    <w:rPr>
      <w:rFonts w:ascii="Cambria" w:hAnsi="Cambria" w:eastAsia="宋体" w:cs="Times New Roman"/>
      <w:b/>
      <w:bCs/>
      <w:kern w:val="28"/>
      <w:sz w:val="32"/>
      <w:szCs w:val="32"/>
    </w:rPr>
  </w:style>
  <w:style w:type="character" w:customStyle="1" w:styleId="279">
    <w:name w:val="标题 6 Char1"/>
    <w:autoRedefine/>
    <w:qFormat/>
    <w:uiPriority w:val="0"/>
    <w:rPr>
      <w:rFonts w:ascii="Times New Roman" w:hAnsi="Arial" w:eastAsia="仿宋_GB2312" w:cs="Times New Roman"/>
      <w:sz w:val="30"/>
      <w:szCs w:val="20"/>
    </w:rPr>
  </w:style>
  <w:style w:type="character" w:customStyle="1" w:styleId="280">
    <w:name w:val="正文文本 3 Char1"/>
    <w:autoRedefine/>
    <w:qFormat/>
    <w:uiPriority w:val="0"/>
    <w:rPr>
      <w:kern w:val="2"/>
      <w:sz w:val="16"/>
      <w:szCs w:val="16"/>
    </w:rPr>
  </w:style>
  <w:style w:type="character" w:customStyle="1" w:styleId="281">
    <w:name w:val="normaltext1"/>
    <w:autoRedefine/>
    <w:qFormat/>
    <w:uiPriority w:val="0"/>
    <w:rPr>
      <w:rFonts w:hint="default" w:ascii="ˎ̥" w:hAnsi="ˎ̥"/>
      <w:sz w:val="9"/>
      <w:szCs w:val="9"/>
    </w:rPr>
  </w:style>
  <w:style w:type="character" w:customStyle="1" w:styleId="282">
    <w:name w:val="脚注文本 Char1"/>
    <w:autoRedefine/>
    <w:qFormat/>
    <w:uiPriority w:val="0"/>
    <w:rPr>
      <w:rFonts w:ascii="Arial" w:hAnsi="Arial" w:cs="Arial"/>
      <w:sz w:val="18"/>
      <w:szCs w:val="18"/>
      <w:lang w:eastAsia="en-US"/>
    </w:rPr>
  </w:style>
  <w:style w:type="character" w:customStyle="1" w:styleId="283">
    <w:name w:val="文档结构图 字符2"/>
    <w:autoRedefine/>
    <w:semiHidden/>
    <w:qFormat/>
    <w:uiPriority w:val="99"/>
    <w:rPr>
      <w:rFonts w:ascii="Microsoft YaHei UI" w:hAnsi="Times New Roman" w:eastAsia="Microsoft YaHei UI" w:cs="Times New Roman"/>
      <w:sz w:val="18"/>
      <w:szCs w:val="18"/>
    </w:rPr>
  </w:style>
  <w:style w:type="character" w:customStyle="1" w:styleId="284">
    <w:name w:val="正文文本 Char"/>
    <w:autoRedefine/>
    <w:qFormat/>
    <w:uiPriority w:val="0"/>
    <w:rPr>
      <w:sz w:val="26"/>
      <w:szCs w:val="24"/>
    </w:rPr>
  </w:style>
  <w:style w:type="character" w:customStyle="1" w:styleId="285">
    <w:name w:val="正文文本 3 Char2"/>
    <w:autoRedefine/>
    <w:semiHidden/>
    <w:qFormat/>
    <w:uiPriority w:val="99"/>
    <w:rPr>
      <w:rFonts w:ascii="Calibri" w:hAnsi="Calibri" w:eastAsia="宋体" w:cs="Times New Roman"/>
      <w:sz w:val="16"/>
      <w:szCs w:val="16"/>
    </w:rPr>
  </w:style>
  <w:style w:type="character" w:customStyle="1" w:styleId="286">
    <w:name w:val="尾注文本 Char1"/>
    <w:autoRedefine/>
    <w:qFormat/>
    <w:uiPriority w:val="0"/>
    <w:rPr>
      <w:rFonts w:ascii="Arial" w:hAnsi="Arial" w:cs="Arial"/>
      <w:szCs w:val="24"/>
      <w:lang w:eastAsia="en-US"/>
    </w:rPr>
  </w:style>
  <w:style w:type="character" w:customStyle="1" w:styleId="287">
    <w:name w:val="正文文本 3 字符1"/>
    <w:autoRedefine/>
    <w:semiHidden/>
    <w:qFormat/>
    <w:uiPriority w:val="99"/>
    <w:rPr>
      <w:kern w:val="2"/>
      <w:sz w:val="16"/>
      <w:szCs w:val="16"/>
    </w:rPr>
  </w:style>
  <w:style w:type="character" w:customStyle="1" w:styleId="288">
    <w:name w:val="color_red1"/>
    <w:autoRedefine/>
    <w:qFormat/>
    <w:uiPriority w:val="0"/>
    <w:rPr>
      <w:color w:val="FA0004"/>
    </w:rPr>
  </w:style>
  <w:style w:type="character" w:customStyle="1" w:styleId="289">
    <w:name w:val="title11"/>
    <w:autoRedefine/>
    <w:qFormat/>
    <w:uiPriority w:val="0"/>
    <w:rPr>
      <w:b/>
      <w:bCs/>
      <w:color w:val="FFFFFF"/>
      <w:sz w:val="11"/>
      <w:szCs w:val="11"/>
    </w:rPr>
  </w:style>
  <w:style w:type="character" w:customStyle="1" w:styleId="290">
    <w:name w:val="s3"/>
    <w:autoRedefine/>
    <w:qFormat/>
    <w:uiPriority w:val="0"/>
  </w:style>
  <w:style w:type="character" w:customStyle="1" w:styleId="291">
    <w:name w:val="HTML 预设格式 Char"/>
    <w:autoRedefine/>
    <w:qFormat/>
    <w:uiPriority w:val="0"/>
    <w:rPr>
      <w:rFonts w:ascii="宋体" w:hAnsi="宋体" w:eastAsia="宋体" w:cs="宋体"/>
      <w:color w:val="000000"/>
      <w:sz w:val="24"/>
      <w:szCs w:val="24"/>
    </w:rPr>
  </w:style>
  <w:style w:type="paragraph" w:customStyle="1" w:styleId="292">
    <w:name w:val="修订4"/>
    <w:autoRedefine/>
    <w:semiHidden/>
    <w:qFormat/>
    <w:uiPriority w:val="99"/>
    <w:rPr>
      <w:rFonts w:ascii="Times New Roman" w:hAnsi="Times New Roman" w:eastAsia="宋体" w:cs="Times New Roman"/>
      <w:kern w:val="2"/>
      <w:sz w:val="21"/>
      <w:szCs w:val="24"/>
      <w:lang w:val="en-US" w:eastAsia="zh-CN" w:bidi="ar-SA"/>
    </w:rPr>
  </w:style>
  <w:style w:type="paragraph" w:customStyle="1" w:styleId="293">
    <w:name w:val="TOC 标题111"/>
    <w:basedOn w:val="3"/>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94">
    <w:name w:val="Char21"/>
    <w:basedOn w:val="1"/>
    <w:autoRedefine/>
    <w:qFormat/>
    <w:uiPriority w:val="0"/>
    <w:rPr>
      <w:rFonts w:ascii="Times New Roman" w:hAnsi="Times New Roman"/>
    </w:rPr>
  </w:style>
  <w:style w:type="paragraph" w:customStyle="1" w:styleId="295">
    <w:name w:val="标准正文"/>
    <w:basedOn w:val="1"/>
    <w:autoRedefine/>
    <w:qFormat/>
    <w:uiPriority w:val="0"/>
    <w:pPr>
      <w:tabs>
        <w:tab w:val="left" w:pos="900"/>
        <w:tab w:val="left" w:pos="1620"/>
      </w:tabs>
      <w:spacing w:line="300" w:lineRule="auto"/>
      <w:ind w:firstLine="538"/>
    </w:pPr>
    <w:rPr>
      <w:rFonts w:ascii="仿宋_GB2312" w:hAnsi="宋体" w:eastAsia="仿宋_GB2312" w:cs="Times New Roman"/>
      <w:kern w:val="0"/>
      <w:sz w:val="24"/>
      <w:szCs w:val="20"/>
    </w:rPr>
  </w:style>
  <w:style w:type="paragraph" w:customStyle="1" w:styleId="296">
    <w:name w:val="Char Char Char Char Char Char Char Char Char Char"/>
    <w:basedOn w:val="15"/>
    <w:autoRedefine/>
    <w:qFormat/>
    <w:uiPriority w:val="0"/>
    <w:pPr>
      <w:spacing w:line="360" w:lineRule="auto"/>
      <w:ind w:firstLine="200" w:firstLineChars="200"/>
    </w:pPr>
    <w:rPr>
      <w:rFonts w:ascii="Tahoma" w:hAnsi="Tahoma"/>
      <w:sz w:val="24"/>
    </w:rPr>
  </w:style>
  <w:style w:type="paragraph" w:customStyle="1" w:styleId="297">
    <w:name w:val="_Style 296"/>
    <w:autoRedefine/>
    <w:qFormat/>
    <w:uiPriority w:val="0"/>
    <w:rPr>
      <w:rFonts w:ascii="Times New Roman" w:hAnsi="Times New Roman" w:eastAsia="宋体" w:cs="Times New Roman"/>
      <w:kern w:val="2"/>
      <w:sz w:val="21"/>
      <w:szCs w:val="24"/>
      <w:lang w:val="en-US" w:eastAsia="zh-CN" w:bidi="ar-SA"/>
    </w:rPr>
  </w:style>
  <w:style w:type="paragraph" w:customStyle="1" w:styleId="298">
    <w:name w:val="style12"/>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299">
    <w:name w:val="样式 标题 3 + (中文) 黑体 小四 非加粗 段前: 7.8 磅 段后: 0 磅 行距: 固定值 20 磅"/>
    <w:basedOn w:val="5"/>
    <w:autoRedefine/>
    <w:qFormat/>
    <w:uiPriority w:val="0"/>
    <w:pPr>
      <w:spacing w:before="0" w:after="0" w:line="400" w:lineRule="exact"/>
    </w:pPr>
    <w:rPr>
      <w:rFonts w:eastAsia="黑体" w:cs="宋体"/>
      <w:b w:val="0"/>
      <w:sz w:val="24"/>
    </w:rPr>
  </w:style>
  <w:style w:type="paragraph" w:customStyle="1" w:styleId="300">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301">
    <w:name w:val="zz"/>
    <w:basedOn w:val="1"/>
    <w:autoRedefine/>
    <w:qFormat/>
    <w:uiPriority w:val="0"/>
    <w:pPr>
      <w:widowControl/>
      <w:spacing w:before="30"/>
      <w:jc w:val="right"/>
    </w:pPr>
    <w:rPr>
      <w:rFonts w:ascii="方正书宋简体" w:hAnsi="宋体" w:eastAsia="方正书宋简体"/>
      <w:color w:val="000000"/>
      <w:kern w:val="0"/>
      <w:szCs w:val="21"/>
    </w:rPr>
  </w:style>
  <w:style w:type="paragraph" w:customStyle="1" w:styleId="302">
    <w:name w:val="引用11"/>
    <w:basedOn w:val="1"/>
    <w:next w:val="1"/>
    <w:autoRedefine/>
    <w:qFormat/>
    <w:uiPriority w:val="29"/>
    <w:rPr>
      <w:rFonts w:ascii="Times New Roman" w:hAnsi="Times New Roman"/>
      <w:i/>
      <w:iCs/>
      <w:color w:val="000000"/>
      <w:szCs w:val="20"/>
    </w:rPr>
  </w:style>
  <w:style w:type="paragraph" w:customStyle="1" w:styleId="303">
    <w:name w:val="列出段落11"/>
    <w:basedOn w:val="1"/>
    <w:autoRedefine/>
    <w:qFormat/>
    <w:uiPriority w:val="0"/>
    <w:pPr>
      <w:ind w:firstLine="420" w:firstLineChars="200"/>
    </w:pPr>
    <w:rPr>
      <w:sz w:val="28"/>
      <w:szCs w:val="28"/>
    </w:rPr>
  </w:style>
  <w:style w:type="paragraph" w:customStyle="1" w:styleId="304">
    <w:name w:val="Default"/>
    <w:next w:val="1"/>
    <w:autoRedefine/>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305">
    <w:name w:val="_Style 304"/>
    <w:basedOn w:val="3"/>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06">
    <w:name w:val="title"/>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07">
    <w:name w:val="标准样式（文件）"/>
    <w:autoRedefine/>
    <w:qFormat/>
    <w:uiPriority w:val="0"/>
    <w:pPr>
      <w:widowControl w:val="0"/>
      <w:spacing w:line="600" w:lineRule="exact"/>
      <w:ind w:firstLine="567"/>
    </w:pPr>
    <w:rPr>
      <w:rFonts w:ascii="Times New Roman" w:hAnsi="Times New Roman" w:eastAsia="宋体" w:cs="Times New Roman"/>
      <w:sz w:val="28"/>
      <w:lang w:val="en-US" w:eastAsia="zh-CN" w:bidi="ar-SA"/>
    </w:rPr>
  </w:style>
  <w:style w:type="paragraph" w:customStyle="1" w:styleId="308">
    <w:name w:val="zw"/>
    <w:basedOn w:val="1"/>
    <w:autoRedefine/>
    <w:qFormat/>
    <w:uiPriority w:val="0"/>
    <w:pPr>
      <w:widowControl/>
      <w:spacing w:before="30"/>
      <w:ind w:left="100" w:right="100"/>
    </w:pPr>
    <w:rPr>
      <w:rFonts w:ascii="方正书宋简体" w:hAnsi="宋体" w:eastAsia="方正书宋简体"/>
      <w:color w:val="000000"/>
      <w:kern w:val="0"/>
      <w:szCs w:val="21"/>
    </w:rPr>
  </w:style>
  <w:style w:type="paragraph" w:customStyle="1" w:styleId="309">
    <w:name w:val="正  文"/>
    <w:basedOn w:val="1"/>
    <w:autoRedefine/>
    <w:qFormat/>
    <w:uiPriority w:val="0"/>
    <w:pPr>
      <w:spacing w:line="360" w:lineRule="auto"/>
      <w:ind w:firstLine="200" w:firstLineChars="200"/>
    </w:pPr>
    <w:rPr>
      <w:rFonts w:ascii="宋体" w:hAnsi="Calibri"/>
      <w:sz w:val="24"/>
    </w:rPr>
  </w:style>
  <w:style w:type="paragraph" w:customStyle="1" w:styleId="310">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11">
    <w:name w:val="无间隔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12">
    <w:name w:val="明显引用111"/>
    <w:basedOn w:val="1"/>
    <w:next w:val="1"/>
    <w:autoRedefine/>
    <w:qFormat/>
    <w:uiPriority w:val="0"/>
    <w:pPr>
      <w:pBdr>
        <w:bottom w:val="single" w:color="4F81BD" w:sz="4" w:space="4"/>
      </w:pBdr>
      <w:spacing w:before="200" w:after="280"/>
      <w:ind w:left="936" w:right="936"/>
    </w:pPr>
    <w:rPr>
      <w:rFonts w:ascii="Times New Roman" w:hAnsi="Times New Roman"/>
      <w:b/>
      <w:bCs/>
      <w:i/>
      <w:iCs/>
      <w:color w:val="4F81BD"/>
      <w:szCs w:val="20"/>
    </w:rPr>
  </w:style>
  <w:style w:type="paragraph" w:customStyle="1" w:styleId="313">
    <w:name w:val="1"/>
    <w:basedOn w:val="1"/>
    <w:next w:val="23"/>
    <w:autoRedefine/>
    <w:qFormat/>
    <w:uiPriority w:val="0"/>
    <w:rPr>
      <w:rFonts w:ascii="宋体" w:hAnsi="Courier New"/>
      <w:szCs w:val="20"/>
    </w:rPr>
  </w:style>
  <w:style w:type="paragraph" w:customStyle="1" w:styleId="314">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15">
    <w:name w:val="Char1"/>
    <w:basedOn w:val="1"/>
    <w:autoRedefine/>
    <w:qFormat/>
    <w:uiPriority w:val="0"/>
  </w:style>
  <w:style w:type="paragraph" w:customStyle="1" w:styleId="316">
    <w:name w:val="xl65"/>
    <w:basedOn w:val="1"/>
    <w:autoRedefine/>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317">
    <w:name w:val="g11"/>
    <w:basedOn w:val="1"/>
    <w:autoRedefine/>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318">
    <w:name w:val="标题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19">
    <w:name w:val="p15"/>
    <w:basedOn w:val="1"/>
    <w:autoRedefine/>
    <w:qFormat/>
    <w:uiPriority w:val="0"/>
    <w:pPr>
      <w:widowControl/>
      <w:spacing w:after="120"/>
    </w:pPr>
    <w:rPr>
      <w:kern w:val="0"/>
      <w:szCs w:val="21"/>
    </w:rPr>
  </w:style>
  <w:style w:type="paragraph" w:customStyle="1" w:styleId="320">
    <w:name w:val="rw"/>
    <w:basedOn w:val="1"/>
    <w:autoRedefine/>
    <w:qFormat/>
    <w:uiPriority w:val="0"/>
    <w:pPr>
      <w:widowControl/>
      <w:spacing w:before="30"/>
      <w:ind w:left="100" w:right="100"/>
      <w:jc w:val="right"/>
    </w:pPr>
    <w:rPr>
      <w:rFonts w:ascii="方正仿宋简体" w:hAnsi="宋体" w:eastAsia="方正仿宋简体"/>
      <w:color w:val="000000"/>
      <w:kern w:val="0"/>
      <w:szCs w:val="21"/>
    </w:rPr>
  </w:style>
  <w:style w:type="paragraph" w:customStyle="1" w:styleId="321">
    <w:name w:val="p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22">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323">
    <w:name w:val="mtitle"/>
    <w:basedOn w:val="1"/>
    <w:autoRedefine/>
    <w:qFormat/>
    <w:uiPriority w:val="0"/>
    <w:pPr>
      <w:widowControl/>
      <w:spacing w:before="30"/>
      <w:jc w:val="center"/>
    </w:pPr>
    <w:rPr>
      <w:rFonts w:ascii="方正小标宋简体" w:hAnsi="宋体" w:eastAsia="方正小标宋简体"/>
      <w:color w:val="000000"/>
      <w:kern w:val="0"/>
      <w:sz w:val="44"/>
      <w:szCs w:val="44"/>
    </w:rPr>
  </w:style>
  <w:style w:type="paragraph" w:styleId="324">
    <w:name w:val="List Paragraph"/>
    <w:basedOn w:val="1"/>
    <w:autoRedefine/>
    <w:qFormat/>
    <w:uiPriority w:val="34"/>
    <w:pPr>
      <w:ind w:firstLine="420" w:firstLineChars="200"/>
    </w:pPr>
  </w:style>
  <w:style w:type="paragraph" w:customStyle="1" w:styleId="325">
    <w:name w:val="样式15"/>
    <w:basedOn w:val="5"/>
    <w:autoRedefine/>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kern w:val="2"/>
      <w:szCs w:val="24"/>
    </w:rPr>
  </w:style>
  <w:style w:type="paragraph" w:customStyle="1" w:styleId="326">
    <w:name w:val="_Style 3"/>
    <w:autoRedefine/>
    <w:qFormat/>
    <w:uiPriority w:val="0"/>
    <w:pPr>
      <w:widowControl w:val="0"/>
      <w:snapToGrid w:val="0"/>
      <w:spacing w:line="360" w:lineRule="auto"/>
    </w:pPr>
    <w:rPr>
      <w:rFonts w:ascii="Times New Roman" w:hAnsi="Times New Roman" w:eastAsia="宋体" w:cs="Times New Roman"/>
      <w:snapToGrid w:val="0"/>
      <w:sz w:val="21"/>
      <w:szCs w:val="24"/>
      <w:lang w:val="en-US" w:eastAsia="zh-CN" w:bidi="ar-SA"/>
    </w:rPr>
  </w:style>
  <w:style w:type="paragraph" w:customStyle="1" w:styleId="327">
    <w:name w:val="Char Char1 Char Char Char Char Char Char Char Char Char Char"/>
    <w:basedOn w:val="1"/>
    <w:autoRedefine/>
    <w:qFormat/>
    <w:uiPriority w:val="0"/>
    <w:pPr>
      <w:autoSpaceDE w:val="0"/>
      <w:autoSpaceDN w:val="0"/>
      <w:adjustRightInd w:val="0"/>
      <w:ind w:firstLine="482"/>
    </w:pPr>
    <w:rPr>
      <w:rFonts w:ascii="Calibri" w:hAnsi="Calibri"/>
      <w:szCs w:val="20"/>
    </w:rPr>
  </w:style>
  <w:style w:type="paragraph" w:customStyle="1" w:styleId="328">
    <w:name w:val="rr"/>
    <w:basedOn w:val="1"/>
    <w:autoRedefine/>
    <w:qFormat/>
    <w:uiPriority w:val="0"/>
    <w:pPr>
      <w:widowControl/>
      <w:spacing w:before="100" w:beforeAutospacing="1" w:after="100" w:afterAutospacing="1"/>
      <w:jc w:val="left"/>
    </w:pPr>
    <w:rPr>
      <w:rFonts w:hint="eastAsia" w:ascii="宋体" w:hAnsi="宋体"/>
      <w:kern w:val="0"/>
      <w:szCs w:val="21"/>
    </w:rPr>
  </w:style>
  <w:style w:type="paragraph" w:customStyle="1" w:styleId="329">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30">
    <w:name w:val="正文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31">
    <w:name w:val="_Style 96"/>
    <w:autoRedefine/>
    <w:semiHidden/>
    <w:qFormat/>
    <w:uiPriority w:val="99"/>
    <w:rPr>
      <w:rFonts w:ascii="Times New Roman" w:hAnsi="Times New Roman" w:eastAsia="宋体" w:cs="Times New Roman"/>
      <w:kern w:val="2"/>
      <w:sz w:val="21"/>
      <w:szCs w:val="24"/>
      <w:lang w:val="en-US" w:eastAsia="zh-CN" w:bidi="ar-SA"/>
    </w:rPr>
  </w:style>
  <w:style w:type="paragraph" w:customStyle="1" w:styleId="332">
    <w:name w:val="表格文字"/>
    <w:basedOn w:val="1"/>
    <w:autoRedefine/>
    <w:qFormat/>
    <w:uiPriority w:val="0"/>
    <w:pPr>
      <w:adjustRightInd w:val="0"/>
      <w:spacing w:line="420" w:lineRule="atLeast"/>
      <w:jc w:val="left"/>
      <w:textAlignment w:val="baseline"/>
    </w:pPr>
    <w:rPr>
      <w:kern w:val="0"/>
      <w:szCs w:val="20"/>
    </w:rPr>
  </w:style>
  <w:style w:type="paragraph" w:customStyle="1" w:styleId="333">
    <w:name w:val="WW-表格标题"/>
    <w:basedOn w:val="334"/>
    <w:autoRedefine/>
    <w:qFormat/>
    <w:uiPriority w:val="0"/>
  </w:style>
  <w:style w:type="paragraph" w:customStyle="1" w:styleId="334">
    <w:name w:val="WW-表格内容"/>
    <w:basedOn w:val="1"/>
    <w:autoRedefine/>
    <w:qFormat/>
    <w:uiPriority w:val="0"/>
    <w:pPr>
      <w:suppressLineNumbers/>
      <w:suppressAutoHyphens/>
    </w:pPr>
  </w:style>
  <w:style w:type="paragraph" w:customStyle="1" w:styleId="335">
    <w:name w:val="2"/>
    <w:next w:val="1"/>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336">
    <w:name w:val="列出段落1"/>
    <w:basedOn w:val="1"/>
    <w:autoRedefine/>
    <w:qFormat/>
    <w:uiPriority w:val="99"/>
    <w:pPr>
      <w:ind w:firstLine="420" w:firstLineChars="200"/>
    </w:pPr>
  </w:style>
  <w:style w:type="paragraph" w:customStyle="1" w:styleId="337">
    <w:name w:val="自定样式1"/>
    <w:basedOn w:val="1"/>
    <w:autoRedefine/>
    <w:qFormat/>
    <w:uiPriority w:val="0"/>
    <w:pPr>
      <w:suppressAutoHyphens/>
      <w:jc w:val="center"/>
    </w:pPr>
    <w:rPr>
      <w:rFonts w:ascii="宋体" w:hAnsi="宋体"/>
      <w:color w:val="000000"/>
      <w:sz w:val="18"/>
    </w:rPr>
  </w:style>
  <w:style w:type="paragraph" w:customStyle="1" w:styleId="338">
    <w:name w:val="修订11"/>
    <w:autoRedefine/>
    <w:qFormat/>
    <w:uiPriority w:val="0"/>
    <w:rPr>
      <w:rFonts w:ascii="Times New Roman" w:hAnsi="Times New Roman" w:eastAsia="宋体" w:cs="Times New Roman"/>
      <w:kern w:val="2"/>
      <w:sz w:val="21"/>
      <w:szCs w:val="24"/>
      <w:lang w:val="en-US" w:eastAsia="zh-CN" w:bidi="ar-SA"/>
    </w:rPr>
  </w:style>
  <w:style w:type="paragraph" w:customStyle="1" w:styleId="339">
    <w:name w:val="Char Char"/>
    <w:basedOn w:val="1"/>
    <w:autoRedefine/>
    <w:qFormat/>
    <w:uiPriority w:val="0"/>
    <w:pPr>
      <w:widowControl/>
      <w:jc w:val="left"/>
    </w:pPr>
    <w:rPr>
      <w:rFonts w:ascii="Verdana" w:hAnsi="Verdana" w:eastAsia="Times New Roman"/>
      <w:kern w:val="0"/>
      <w:sz w:val="16"/>
      <w:szCs w:val="20"/>
      <w:lang w:eastAsia="en-US"/>
    </w:rPr>
  </w:style>
  <w:style w:type="paragraph" w:customStyle="1" w:styleId="34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341">
    <w:name w:val="Char Char Char Char"/>
    <w:basedOn w:val="15"/>
    <w:autoRedefine/>
    <w:qFormat/>
    <w:uiPriority w:val="0"/>
    <w:pPr>
      <w:spacing w:line="360" w:lineRule="auto"/>
      <w:ind w:firstLine="200" w:firstLineChars="200"/>
    </w:pPr>
    <w:rPr>
      <w:rFonts w:ascii="Tahoma" w:hAnsi="Tahoma"/>
      <w:sz w:val="24"/>
    </w:rPr>
  </w:style>
  <w:style w:type="paragraph" w:customStyle="1" w:styleId="342">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43">
    <w:name w:val="列出段落111"/>
    <w:basedOn w:val="1"/>
    <w:autoRedefine/>
    <w:qFormat/>
    <w:uiPriority w:val="0"/>
    <w:pPr>
      <w:ind w:firstLine="420" w:firstLineChars="200"/>
    </w:pPr>
    <w:rPr>
      <w:rFonts w:ascii="Times New Roman" w:hAnsi="Times New Roman"/>
      <w:sz w:val="28"/>
      <w:szCs w:val="28"/>
    </w:rPr>
  </w:style>
  <w:style w:type="paragraph" w:customStyle="1" w:styleId="344">
    <w:name w:val="l-2"/>
    <w:basedOn w:val="1"/>
    <w:autoRedefine/>
    <w:qFormat/>
    <w:uiPriority w:val="0"/>
    <w:pPr>
      <w:widowControl/>
      <w:spacing w:before="100" w:beforeAutospacing="1" w:after="100" w:afterAutospacing="1"/>
      <w:jc w:val="left"/>
    </w:pPr>
    <w:rPr>
      <w:rFonts w:ascii="宋体" w:hAnsi="宋体" w:cs="宋体"/>
      <w:b/>
      <w:bCs/>
      <w:color w:val="000000"/>
      <w:kern w:val="0"/>
      <w:sz w:val="13"/>
      <w:szCs w:val="13"/>
    </w:rPr>
  </w:style>
  <w:style w:type="paragraph" w:customStyle="1" w:styleId="345">
    <w:name w:val="Char Char1 Char Char"/>
    <w:basedOn w:val="15"/>
    <w:autoRedefine/>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346">
    <w:name w:val="标题2"/>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47">
    <w:name w:val="修订5"/>
    <w:autoRedefine/>
    <w:semiHidden/>
    <w:qFormat/>
    <w:uiPriority w:val="99"/>
    <w:rPr>
      <w:rFonts w:ascii="Times New Roman" w:hAnsi="Times New Roman" w:eastAsia="宋体" w:cs="Times New Roman"/>
      <w:kern w:val="2"/>
      <w:sz w:val="21"/>
      <w:szCs w:val="24"/>
      <w:lang w:val="en-US" w:eastAsia="zh-CN" w:bidi="ar-SA"/>
    </w:rPr>
  </w:style>
  <w:style w:type="paragraph" w:customStyle="1" w:styleId="348">
    <w:name w:val="表格标题"/>
    <w:basedOn w:val="349"/>
    <w:autoRedefine/>
    <w:qFormat/>
    <w:uiPriority w:val="0"/>
  </w:style>
  <w:style w:type="paragraph" w:customStyle="1" w:styleId="349">
    <w:name w:val="表格内容"/>
    <w:basedOn w:val="1"/>
    <w:autoRedefine/>
    <w:qFormat/>
    <w:uiPriority w:val="0"/>
    <w:pPr>
      <w:suppressLineNumbers/>
      <w:suppressAutoHyphens/>
    </w:pPr>
  </w:style>
  <w:style w:type="paragraph" w:customStyle="1" w:styleId="350">
    <w:name w:val=" Char"/>
    <w:basedOn w:val="1"/>
    <w:autoRedefine/>
    <w:qFormat/>
    <w:uiPriority w:val="0"/>
  </w:style>
  <w:style w:type="paragraph" w:customStyle="1" w:styleId="351">
    <w:name w:val="_Style 105"/>
    <w:basedOn w:val="3"/>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52">
    <w:name w:val="无间隔1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3">
    <w:name w:val="修订3"/>
    <w:autoRedefine/>
    <w:semiHidden/>
    <w:qFormat/>
    <w:uiPriority w:val="99"/>
    <w:rPr>
      <w:rFonts w:ascii="Times New Roman" w:hAnsi="Times New Roman" w:eastAsia="宋体" w:cs="Times New Roman"/>
      <w:kern w:val="2"/>
      <w:sz w:val="21"/>
      <w:szCs w:val="24"/>
      <w:lang w:val="en-US" w:eastAsia="zh-CN" w:bidi="ar-SA"/>
    </w:rPr>
  </w:style>
  <w:style w:type="paragraph" w:customStyle="1" w:styleId="354">
    <w:name w:val="明显引用11"/>
    <w:basedOn w:val="1"/>
    <w:next w:val="1"/>
    <w:autoRedefine/>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355">
    <w:name w:val="TOC 标题11"/>
    <w:basedOn w:val="3"/>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56">
    <w:name w:val="修订2"/>
    <w:autoRedefine/>
    <w:qFormat/>
    <w:uiPriority w:val="99"/>
    <w:rPr>
      <w:rFonts w:ascii="Times New Roman" w:hAnsi="Times New Roman" w:eastAsia="宋体" w:cs="Times New Roman"/>
      <w:kern w:val="2"/>
      <w:sz w:val="21"/>
      <w:szCs w:val="24"/>
      <w:lang w:val="en-US" w:eastAsia="zh-CN" w:bidi="ar-SA"/>
    </w:rPr>
  </w:style>
  <w:style w:type="paragraph" w:customStyle="1" w:styleId="357">
    <w:name w:val="p16"/>
    <w:basedOn w:val="1"/>
    <w:autoRedefine/>
    <w:qFormat/>
    <w:uiPriority w:val="0"/>
    <w:pPr>
      <w:widowControl/>
    </w:pPr>
    <w:rPr>
      <w:rFonts w:ascii="Calibri" w:hAnsi="Calibri" w:cs="宋体"/>
      <w:kern w:val="0"/>
      <w:szCs w:val="21"/>
    </w:rPr>
  </w:style>
  <w:style w:type="paragraph" w:customStyle="1" w:styleId="358">
    <w:name w:val="Char"/>
    <w:basedOn w:val="1"/>
    <w:autoRedefine/>
    <w:qFormat/>
    <w:uiPriority w:val="0"/>
  </w:style>
  <w:style w:type="paragraph" w:customStyle="1" w:styleId="359">
    <w:name w:val="表体"/>
    <w:basedOn w:val="1"/>
    <w:next w:val="1"/>
    <w:autoRedefine/>
    <w:qFormat/>
    <w:uiPriority w:val="0"/>
    <w:pPr>
      <w:spacing w:line="0" w:lineRule="atLeast"/>
    </w:pPr>
    <w:rPr>
      <w:rFonts w:ascii="Calibri" w:hAnsi="Calibri"/>
      <w:b/>
      <w:snapToGrid w:val="0"/>
      <w:szCs w:val="20"/>
    </w:rPr>
  </w:style>
  <w:style w:type="paragraph" w:customStyle="1" w:styleId="360">
    <w:name w:val="g2"/>
    <w:basedOn w:val="1"/>
    <w:autoRedefine/>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361">
    <w:name w:val="_Style 87"/>
    <w:basedOn w:val="1"/>
    <w:autoRedefine/>
    <w:qFormat/>
    <w:uiPriority w:val="99"/>
    <w:pPr>
      <w:ind w:firstLine="420" w:firstLineChars="200"/>
    </w:pPr>
    <w:rPr>
      <w:rFonts w:ascii="Calibri" w:hAnsi="Calibri"/>
      <w:sz w:val="28"/>
      <w:szCs w:val="28"/>
    </w:rPr>
  </w:style>
  <w:style w:type="paragraph" w:customStyle="1" w:styleId="362">
    <w:name w:val="g3"/>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63">
    <w:name w:val="标题1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64">
    <w:name w:val="标准样式1"/>
    <w:basedOn w:val="1"/>
    <w:autoRedefine/>
    <w:qFormat/>
    <w:uiPriority w:val="0"/>
    <w:pPr>
      <w:spacing w:line="600" w:lineRule="exact"/>
      <w:ind w:firstLine="567"/>
    </w:pPr>
    <w:rPr>
      <w:rFonts w:ascii="Calibri" w:hAnsi="Calibri"/>
      <w:sz w:val="28"/>
    </w:rPr>
  </w:style>
  <w:style w:type="paragraph" w:customStyle="1" w:styleId="365">
    <w:name w:val="Char Char Char Char Char Char Char Char Char Char Char Char Char Char Char Char"/>
    <w:basedOn w:val="15"/>
    <w:autoRedefine/>
    <w:qFormat/>
    <w:uiPriority w:val="0"/>
    <w:pPr>
      <w:spacing w:line="360" w:lineRule="auto"/>
      <w:ind w:firstLine="200" w:firstLineChars="200"/>
    </w:pPr>
    <w:rPr>
      <w:rFonts w:ascii="Tahoma" w:hAnsi="Tahoma"/>
      <w:sz w:val="24"/>
    </w:rPr>
  </w:style>
  <w:style w:type="paragraph" w:customStyle="1" w:styleId="366">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sz w:val="28"/>
    </w:rPr>
  </w:style>
  <w:style w:type="paragraph" w:customStyle="1" w:styleId="367">
    <w:name w:val="_Style 90"/>
    <w:next w:val="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68">
    <w:name w:val="No Spacing"/>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69">
    <w:name w:val="TOC 标题2"/>
    <w:basedOn w:val="3"/>
    <w:next w:val="1"/>
    <w:autoRedefine/>
    <w:unhideWhenUsed/>
    <w:qFormat/>
    <w:uiPriority w:val="0"/>
    <w:pPr>
      <w:outlineLvl w:val="9"/>
    </w:pPr>
    <w:rPr>
      <w:rFonts w:ascii="Calibri" w:hAnsi="Calibri"/>
    </w:rPr>
  </w:style>
  <w:style w:type="paragraph" w:customStyle="1" w:styleId="370">
    <w:name w:val="列表段落1"/>
    <w:basedOn w:val="1"/>
    <w:autoRedefine/>
    <w:qFormat/>
    <w:uiPriority w:val="34"/>
    <w:pPr>
      <w:ind w:firstLine="420" w:firstLineChars="200"/>
    </w:pPr>
    <w:rPr>
      <w:rFonts w:ascii="Calibri" w:hAnsi="Calibri"/>
    </w:rPr>
  </w:style>
  <w:style w:type="paragraph" w:customStyle="1" w:styleId="371">
    <w:name w:val="intel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72">
    <w:name w:val="Char9 Char Char Char Char Char Char"/>
    <w:basedOn w:val="15"/>
    <w:autoRedefine/>
    <w:qFormat/>
    <w:uiPriority w:val="0"/>
    <w:pPr>
      <w:spacing w:line="360" w:lineRule="auto"/>
      <w:ind w:firstLine="200" w:firstLineChars="200"/>
    </w:pPr>
    <w:rPr>
      <w:rFonts w:ascii="Tahoma" w:hAnsi="Tahoma"/>
      <w:sz w:val="24"/>
    </w:rPr>
  </w:style>
  <w:style w:type="paragraph" w:customStyle="1" w:styleId="373">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374">
    <w:name w:val="链接"/>
    <w:autoRedefine/>
    <w:qFormat/>
    <w:uiPriority w:val="0"/>
    <w:pPr>
      <w:widowControl w:val="0"/>
      <w:autoSpaceDE w:val="0"/>
      <w:autoSpaceDN w:val="0"/>
      <w:adjustRightInd w:val="0"/>
      <w:ind w:left="720"/>
    </w:pPr>
    <w:rPr>
      <w:rFonts w:ascii="Times New Roman" w:hAnsi="Times New Roman" w:eastAsia="宋体" w:cs="Times New Roman"/>
      <w:color w:val="0000FF"/>
      <w:sz w:val="21"/>
      <w:szCs w:val="21"/>
      <w:u w:val="single"/>
      <w:lang w:val="en-US" w:eastAsia="zh-CN" w:bidi="ar-SA"/>
    </w:rPr>
  </w:style>
  <w:style w:type="paragraph" w:customStyle="1" w:styleId="375">
    <w:name w:val="ly"/>
    <w:basedOn w:val="1"/>
    <w:autoRedefine/>
    <w:qFormat/>
    <w:uiPriority w:val="0"/>
    <w:pPr>
      <w:widowControl/>
      <w:spacing w:before="30"/>
      <w:jc w:val="right"/>
    </w:pPr>
    <w:rPr>
      <w:rFonts w:ascii="方正书宋简体" w:hAnsi="宋体" w:eastAsia="方正书宋简体"/>
      <w:color w:val="000000"/>
      <w:kern w:val="0"/>
      <w:szCs w:val="21"/>
    </w:rPr>
  </w:style>
  <w:style w:type="paragraph" w:customStyle="1" w:styleId="376">
    <w:name w:val="p17"/>
    <w:basedOn w:val="1"/>
    <w:autoRedefine/>
    <w:qFormat/>
    <w:uiPriority w:val="0"/>
    <w:pPr>
      <w:widowControl/>
      <w:spacing w:before="120" w:after="120"/>
      <w:jc w:val="left"/>
    </w:pPr>
    <w:rPr>
      <w:rFonts w:ascii="Calibri" w:hAnsi="Calibri" w:cs="宋体"/>
      <w:b/>
      <w:bCs/>
      <w:caps/>
      <w:kern w:val="0"/>
      <w:sz w:val="28"/>
      <w:szCs w:val="28"/>
    </w:rPr>
  </w:style>
  <w:style w:type="paragraph" w:customStyle="1" w:styleId="377">
    <w:name w:val="正文 Char Char"/>
    <w:autoRedefine/>
    <w:qFormat/>
    <w:uiPriority w:val="0"/>
    <w:pPr>
      <w:spacing w:after="200" w:line="276" w:lineRule="auto"/>
      <w:jc w:val="both"/>
    </w:pPr>
    <w:rPr>
      <w:rFonts w:ascii="Times New Roman" w:hAnsi="Times New Roman" w:eastAsia="宋体" w:cs="Times New Roman"/>
      <w:b/>
      <w:sz w:val="21"/>
      <w:szCs w:val="22"/>
      <w:lang w:val="en-US" w:eastAsia="zh-CN" w:bidi="ar-SA"/>
    </w:rPr>
  </w:style>
  <w:style w:type="paragraph" w:customStyle="1" w:styleId="378">
    <w:name w:val="pa-34"/>
    <w:basedOn w:val="1"/>
    <w:autoRedefine/>
    <w:qFormat/>
    <w:uiPriority w:val="0"/>
    <w:pPr>
      <w:widowControl/>
      <w:spacing w:line="360" w:lineRule="atLeast"/>
      <w:ind w:firstLine="420"/>
      <w:jc w:val="left"/>
    </w:pPr>
    <w:rPr>
      <w:rFonts w:ascii="宋体" w:hAnsi="宋体" w:cs="宋体"/>
      <w:kern w:val="0"/>
      <w:sz w:val="24"/>
    </w:rPr>
  </w:style>
  <w:style w:type="paragraph" w:customStyle="1" w:styleId="379">
    <w:name w:val="表格"/>
    <w:basedOn w:val="1"/>
    <w:autoRedefine/>
    <w:qFormat/>
    <w:uiPriority w:val="0"/>
    <w:pPr>
      <w:jc w:val="center"/>
      <w:textAlignment w:val="center"/>
    </w:pPr>
    <w:rPr>
      <w:rFonts w:ascii="华文细黑" w:hAnsi="华文细黑"/>
      <w:kern w:val="0"/>
      <w:szCs w:val="20"/>
    </w:rPr>
  </w:style>
  <w:style w:type="paragraph" w:customStyle="1" w:styleId="380">
    <w:name w:val="1 Char"/>
    <w:basedOn w:val="1"/>
    <w:autoRedefine/>
    <w:qFormat/>
    <w:uiPriority w:val="0"/>
    <w:pPr>
      <w:widowControl/>
      <w:spacing w:after="160" w:line="240" w:lineRule="exact"/>
      <w:jc w:val="left"/>
    </w:pPr>
    <w:rPr>
      <w:rFonts w:ascii="Calibri" w:hAnsi="Calibri"/>
      <w:szCs w:val="20"/>
    </w:rPr>
  </w:style>
  <w:style w:type="paragraph" w:customStyle="1" w:styleId="381">
    <w:name w:val="样式1"/>
    <w:basedOn w:val="1"/>
    <w:next w:val="6"/>
    <w:autoRedefine/>
    <w:qFormat/>
    <w:uiPriority w:val="0"/>
    <w:pPr>
      <w:spacing w:line="360" w:lineRule="auto"/>
      <w:ind w:firstLine="420" w:firstLineChars="200"/>
    </w:pPr>
    <w:rPr>
      <w:rFonts w:ascii="宋体" w:hAnsi="宋体"/>
      <w:szCs w:val="21"/>
    </w:rPr>
  </w:style>
  <w:style w:type="paragraph" w:customStyle="1" w:styleId="382">
    <w:name w:val="Char2"/>
    <w:basedOn w:val="1"/>
    <w:autoRedefine/>
    <w:qFormat/>
    <w:uiPriority w:val="0"/>
    <w:rPr>
      <w:rFonts w:ascii="Calibri" w:hAnsi="Calibri"/>
    </w:rPr>
  </w:style>
  <w:style w:type="paragraph" w:customStyle="1" w:styleId="383">
    <w:name w:val="pa-27"/>
    <w:basedOn w:val="1"/>
    <w:autoRedefine/>
    <w:qFormat/>
    <w:uiPriority w:val="0"/>
    <w:pPr>
      <w:widowControl/>
      <w:spacing w:line="360" w:lineRule="atLeast"/>
      <w:ind w:firstLine="420"/>
    </w:pPr>
    <w:rPr>
      <w:rFonts w:ascii="宋体" w:hAnsi="宋体" w:cs="宋体"/>
      <w:kern w:val="0"/>
      <w:sz w:val="24"/>
    </w:rPr>
  </w:style>
  <w:style w:type="paragraph" w:customStyle="1" w:styleId="384">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385">
    <w:name w:val="WPSOffice手动目录 1"/>
    <w:autoRedefine/>
    <w:qFormat/>
    <w:uiPriority w:val="0"/>
    <w:rPr>
      <w:rFonts w:ascii="Times New Roman" w:hAnsi="Times New Roman" w:eastAsia="宋体" w:cs="Times New Roman"/>
      <w:lang w:val="en-US" w:eastAsia="zh-CN" w:bidi="ar-SA"/>
    </w:rPr>
  </w:style>
  <w:style w:type="paragraph" w:customStyle="1" w:styleId="386">
    <w:name w:val="Table Text"/>
    <w:basedOn w:val="1"/>
    <w:autoRedefine/>
    <w:semiHidden/>
    <w:qFormat/>
    <w:uiPriority w:val="0"/>
    <w:rPr>
      <w:rFonts w:ascii="宋体" w:hAnsi="宋体" w:eastAsia="宋体" w:cs="宋体"/>
      <w:sz w:val="20"/>
      <w:szCs w:val="20"/>
      <w:lang w:val="en-US" w:eastAsia="en-US" w:bidi="ar-SA"/>
    </w:rPr>
  </w:style>
  <w:style w:type="character" w:customStyle="1" w:styleId="387">
    <w:name w:val="active7"/>
    <w:basedOn w:val="48"/>
    <w:autoRedefine/>
    <w:qFormat/>
    <w:uiPriority w:val="0"/>
    <w:rPr>
      <w:color w:val="FFFFFF"/>
      <w:shd w:val="clear" w:color="auto" w:fill="E02F23"/>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CCEDC7"/>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63</Pages>
  <Words>15199</Words>
  <Characters>16204</Characters>
  <Lines>197</Lines>
  <Paragraphs>55</Paragraphs>
  <TotalTime>2</TotalTime>
  <ScaleCrop>false</ScaleCrop>
  <LinksUpToDate>false</LinksUpToDate>
  <CharactersWithSpaces>16548</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2019-04-18T10:21:00Z</dcterms:created>
  <dc:creator>Administrator</dc:creator>
  <cp:lastModifiedBy>重庆航景---徐豪</cp:lastModifiedBy>
  <cp:lastPrinted>2026-07-27T02:22:00Z</cp:lastPrinted>
  <dcterms:modified xsi:type="dcterms:W3CDTF">2026-08-20T09:14:21Z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SaveFontToCloudKey">
    <vt:lpwstr>0_btnclosed</vt:lpwstr>
  </property>
  <property fmtid="{D5CDD505-2E9C-101B-9397-08002B2CF9AE}" pid="4" name="ICV">
    <vt:lpwstr>F840417C1F9D4E3998F41EC47ED95128_13</vt:lpwstr>
  </property>
  <property fmtid="{D5CDD505-2E9C-101B-9397-08002B2CF9AE}" pid="5" name="commondata">
    <vt:lpwstr>eyJoZGlkIjoiMTM0NjlhZWNmNjYyNTAxODdjYWRhMmU0MGMzMTdkZDUifQ==</vt:lpwstr>
  </property>
  <property fmtid="{D5CDD505-2E9C-101B-9397-08002B2CF9AE}" pid="6" name="KSOTemplateDocerSaveRecord">
    <vt:lpwstr>eyJoZGlkIjoiMzI1NTc1MzY0OWY0NDkwYTNkYzE3MmExYjViOWY0OTMiLCJ1c2VySWQiOiIzOTE5MDQ0NTgifQ==</vt:lpwstr>
  </property>
</Properties>
</file>