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lef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垫江县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根据《中华人民共和国政府信息公开条例》和《中华人民共和国政府信息公开工作年度报告格式》规定，编制本年度报告。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年度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报告中所列数据的统计日期为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jc w:val="both"/>
        <w:textAlignment w:val="auto"/>
        <w:rPr>
          <w:rFonts w:hint="eastAsia" w:eastAsia="方正仿宋_GBK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，垫江县坚持以习近平新时代中国特色社会主义思想为指导，认真落实党中央、国务院和市委、市政府关于全面深化政务公开的工作要求，持续深入推进政务公开。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主动公开方面。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贯彻落实《中华人民共和国政府信息公开条例》要求，持续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公开行政许可、审批服务、监管执法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信息，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优化营商环境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。聚焦民生领域，全面公开财政资金、助企纾困、惠民惠农、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养老服务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城乡低保、就业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等方面信息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，保障民生福祉。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年，全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县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主动公开各类政府信息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万条，办理政府信息公开申请63件，发布政策解读115篇。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（二）依申请公开方面。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《垫江县人民政府机关政府信息公开指南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年版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》，明确政府信息公开申请的形式和内容。加强与申请人的沟通，精准了解诉求指向，增进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对政府信息公开工作的理解，减少争议。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办理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政府信息公开申请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予以公开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件，占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%；不予公开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件，占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%；无法提供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件，占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（三）政府信息管理方面。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建立健全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政策文件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动态更新机制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集中公开现行有效行政规范性文件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失效文件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清理2次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废止行政规范性文件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。严格落实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“三审三校”制度，建立错敏字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及时交办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机制，不断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提高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公开质量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优化政府信息公开栏目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归档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更新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频率不高栏目，整合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失效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栏目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，政府信息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（四）政府信息公开平台建设方面。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完善政府网站和政务新媒体信息发布、办事服务、解读回应、政民互动等功能建设。积极开展权威发声联动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加强政务新媒体矩阵间以及与政府网站的交流合作，新建政务新媒体矩阵页面。推进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级和2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级政务公开专区建设全覆盖，集成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政府信息查询、依申请公开受理、政策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解答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咨询等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功能，延伸政务公开线下“触手”，不断增强政务公开质效。充分利用村（居）民微信群、村村通广播、面对面宣讲等方式公开政府信息，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拓宽公开渠道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提高政府信息的传播率和到达率。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val="en-US" w:eastAsia="zh-CN" w:bidi="ar-SA"/>
        </w:rPr>
        <w:t>（五）监督保障方面。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政府网站与政务新媒体日常运行经费纳入财政预算，加大资金投入，加强人员配备，确保政务公开各项工作落到实处。开展2023年政务公开、政府网站和公开信箱管理员业务培训、2023年全县办公室主任业务培训，300余人次参加培训，进一步提高全县政务公开工作水平。采用“日常检查、季度通报”的方式对全县政务公开工作进行常态化监管，将政务公开纳入2023年专项任务考核细则，对信息公开不到位的单位进行全县通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和考核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主动公开政府信息情况</w:t>
      </w:r>
    </w:p>
    <w:tbl>
      <w:tblPr>
        <w:tblStyle w:val="9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2235"/>
        <w:gridCol w:w="2235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书宋_GBK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书宋_GBK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1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书宋_GBK" w:cs="Times New Roman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149773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164725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8860" w:type="dxa"/>
            <w:gridSpan w:val="4"/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223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eastAsia" w:ascii="方正书宋_GBK" w:hAnsi="方正书宋_GBK" w:eastAsia="方正书宋_GBK" w:cs="方正书宋_GBK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624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highlight w:val="none"/>
                <w:lang w:val="en-US" w:eastAsia="zh-CN"/>
              </w:rPr>
              <w:t>15636.98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9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033"/>
        <w:gridCol w:w="1930"/>
        <w:gridCol w:w="813"/>
        <w:gridCol w:w="578"/>
        <w:gridCol w:w="689"/>
        <w:gridCol w:w="766"/>
        <w:gridCol w:w="734"/>
        <w:gridCol w:w="798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57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307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57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56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92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357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92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方正书宋_GBK" w:hAnsi="方正书宋_GBK" w:eastAsia="方正书宋_GBK" w:cs="方正书宋_GBK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5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1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9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6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573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政府信息公开行政复议、行政诉讼情况</w:t>
      </w:r>
    </w:p>
    <w:tbl>
      <w:tblPr>
        <w:tblStyle w:val="9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612"/>
        <w:gridCol w:w="612"/>
        <w:gridCol w:w="611"/>
        <w:gridCol w:w="613"/>
        <w:gridCol w:w="613"/>
        <w:gridCol w:w="613"/>
        <w:gridCol w:w="613"/>
        <w:gridCol w:w="612"/>
        <w:gridCol w:w="615"/>
        <w:gridCol w:w="614"/>
        <w:gridCol w:w="613"/>
        <w:gridCol w:w="614"/>
        <w:gridCol w:w="612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0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899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6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1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13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06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3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6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</w:p>
        </w:tc>
        <w:tc>
          <w:tcPr>
            <w:tcW w:w="61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00" w:firstLineChars="20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3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5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1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sz w:val="20"/>
                <w:szCs w:val="20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一是部分单位依申请公开答复不规范，答复要素不齐全。二是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部分单位政策解读方式较为单一，未能运用生活化、社会化、通俗化的方式开展解读，解读效果不佳。三是部分单位政务新媒体存在未提供有效互动问题。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改进情况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政府信息公开工作机构，健全依申请公开办理工作制度及具体操作流程，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加强对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培训和指导，确保依申请公开办理工作规范有序。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注重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运用数字化、图解图表、音频视频等方式加强解读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推动政策解读提质增效。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是强化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预警，进一步做好政府网站和政务新媒体建设管理、安全平稳运行保障工作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，推进政务新媒体与政府网站互联互通、融合发展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全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县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各单位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严格落实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《中华人民共和国政府信息公开条例》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要求，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全面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完成政务公开各项工作。2023</w:t>
      </w:r>
      <w:r>
        <w:rPr>
          <w:rFonts w:hint="eastAsia" w:eastAsia="方正仿宋_GBK" w:cs="Times New Roman"/>
          <w:color w:val="auto"/>
          <w:kern w:val="0"/>
          <w:sz w:val="32"/>
          <w:szCs w:val="32"/>
          <w:lang w:val="en-US" w:eastAsia="zh-CN" w:bidi="ar"/>
        </w:rPr>
        <w:t>年，全县各单位均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未收取信息处理费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1oEePIAQAAewMAAA4AAABkcnMv&#10;ZTJvRG9jLnhtbK1TTa7TMBDeI3EHy3uatEi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nT3J4hxIaq&#10;7gPVpfEFjC1PeFBzKlI8Cx81uvwlSYxKqNena3/VmJik4HK9Wq9rSknKzQ49UT1cDxjTKwWOZaPl&#10;SAMsfRXHNzFNpXNJfs3DnbG2DNH63wKEmSNVpj9xzFYad+NF0w66E0mi3aV3esBPnA20By33tKic&#10;2dee2pxXZjZwNnazIbyki9QPzibzZSJPCxsJ4BDQ7HvCnvxMLobnh0SMi5BMZ+JwYUkTLq24bGNe&#10;oV/9UvXwz2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9aBHj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EDF0B"/>
    <w:multiLevelType w:val="singleLevel"/>
    <w:tmpl w:val="F92EDF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AA885D"/>
    <w:multiLevelType w:val="singleLevel"/>
    <w:tmpl w:val="1FAA885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FC582D"/>
    <w:multiLevelType w:val="singleLevel"/>
    <w:tmpl w:val="4BFC58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30"/>
    <w:rsid w:val="00006EE8"/>
    <w:rsid w:val="000115A5"/>
    <w:rsid w:val="00031915"/>
    <w:rsid w:val="000442D9"/>
    <w:rsid w:val="000A7623"/>
    <w:rsid w:val="001410F0"/>
    <w:rsid w:val="00186833"/>
    <w:rsid w:val="001D4398"/>
    <w:rsid w:val="00207A03"/>
    <w:rsid w:val="0025324A"/>
    <w:rsid w:val="002E125B"/>
    <w:rsid w:val="00393B2B"/>
    <w:rsid w:val="0039545B"/>
    <w:rsid w:val="003971C9"/>
    <w:rsid w:val="004B5C07"/>
    <w:rsid w:val="004B6660"/>
    <w:rsid w:val="00501B42"/>
    <w:rsid w:val="0050276E"/>
    <w:rsid w:val="00515626"/>
    <w:rsid w:val="00583B9A"/>
    <w:rsid w:val="00674073"/>
    <w:rsid w:val="007121F2"/>
    <w:rsid w:val="007125A3"/>
    <w:rsid w:val="00725165"/>
    <w:rsid w:val="00782130"/>
    <w:rsid w:val="00795CF7"/>
    <w:rsid w:val="007A0059"/>
    <w:rsid w:val="008404C4"/>
    <w:rsid w:val="00845455"/>
    <w:rsid w:val="008B0DF3"/>
    <w:rsid w:val="0096766D"/>
    <w:rsid w:val="009E0376"/>
    <w:rsid w:val="009E60AD"/>
    <w:rsid w:val="00A13A23"/>
    <w:rsid w:val="00A34692"/>
    <w:rsid w:val="00A62B21"/>
    <w:rsid w:val="00A65F18"/>
    <w:rsid w:val="00B5176E"/>
    <w:rsid w:val="00BA151B"/>
    <w:rsid w:val="00C96E2C"/>
    <w:rsid w:val="00E03D73"/>
    <w:rsid w:val="00E5059F"/>
    <w:rsid w:val="00EE71A7"/>
    <w:rsid w:val="00F17B6E"/>
    <w:rsid w:val="00F63312"/>
    <w:rsid w:val="00FB4CB8"/>
    <w:rsid w:val="01142CFD"/>
    <w:rsid w:val="013C4171"/>
    <w:rsid w:val="03187928"/>
    <w:rsid w:val="0370722D"/>
    <w:rsid w:val="03816F0E"/>
    <w:rsid w:val="059D054C"/>
    <w:rsid w:val="0624083C"/>
    <w:rsid w:val="06E252D2"/>
    <w:rsid w:val="079537E6"/>
    <w:rsid w:val="08213669"/>
    <w:rsid w:val="092332DE"/>
    <w:rsid w:val="0C6A4B07"/>
    <w:rsid w:val="0D8C18D7"/>
    <w:rsid w:val="0E663F55"/>
    <w:rsid w:val="0E752627"/>
    <w:rsid w:val="0F1B19A6"/>
    <w:rsid w:val="0F4501CB"/>
    <w:rsid w:val="0F555571"/>
    <w:rsid w:val="0F7A10E2"/>
    <w:rsid w:val="0F7C7853"/>
    <w:rsid w:val="1153030A"/>
    <w:rsid w:val="129772F9"/>
    <w:rsid w:val="136528F7"/>
    <w:rsid w:val="1503654B"/>
    <w:rsid w:val="15A10BFA"/>
    <w:rsid w:val="16981E84"/>
    <w:rsid w:val="16B75022"/>
    <w:rsid w:val="174226F6"/>
    <w:rsid w:val="174B2AF4"/>
    <w:rsid w:val="17FA47E6"/>
    <w:rsid w:val="19207D06"/>
    <w:rsid w:val="19367444"/>
    <w:rsid w:val="19763902"/>
    <w:rsid w:val="1A1C33A0"/>
    <w:rsid w:val="1BD17E8F"/>
    <w:rsid w:val="1BFE533D"/>
    <w:rsid w:val="1D5C7DA6"/>
    <w:rsid w:val="1DA52BD4"/>
    <w:rsid w:val="1F944375"/>
    <w:rsid w:val="1FF27CB6"/>
    <w:rsid w:val="207E4908"/>
    <w:rsid w:val="23D77218"/>
    <w:rsid w:val="2552333F"/>
    <w:rsid w:val="25BD2C88"/>
    <w:rsid w:val="26194676"/>
    <w:rsid w:val="26690DF8"/>
    <w:rsid w:val="26C559C4"/>
    <w:rsid w:val="28630A4E"/>
    <w:rsid w:val="2B350A0B"/>
    <w:rsid w:val="2D815F91"/>
    <w:rsid w:val="2DAB63A8"/>
    <w:rsid w:val="2DCA590F"/>
    <w:rsid w:val="2E74019A"/>
    <w:rsid w:val="30B53CA3"/>
    <w:rsid w:val="32404E01"/>
    <w:rsid w:val="3373584D"/>
    <w:rsid w:val="33C07E73"/>
    <w:rsid w:val="351A0CA4"/>
    <w:rsid w:val="35233212"/>
    <w:rsid w:val="35A7666B"/>
    <w:rsid w:val="35F14D21"/>
    <w:rsid w:val="369B2609"/>
    <w:rsid w:val="380A6DCC"/>
    <w:rsid w:val="38CF013D"/>
    <w:rsid w:val="39A64D83"/>
    <w:rsid w:val="3AB308A6"/>
    <w:rsid w:val="3BEB31A1"/>
    <w:rsid w:val="3CAB7904"/>
    <w:rsid w:val="3D4C4F60"/>
    <w:rsid w:val="3DBFFAEB"/>
    <w:rsid w:val="3DDC5616"/>
    <w:rsid w:val="3E054161"/>
    <w:rsid w:val="3E3A34E0"/>
    <w:rsid w:val="3F7AD32F"/>
    <w:rsid w:val="3FEBD9B9"/>
    <w:rsid w:val="3FEF3F28"/>
    <w:rsid w:val="43404696"/>
    <w:rsid w:val="43C05872"/>
    <w:rsid w:val="44866539"/>
    <w:rsid w:val="452715CD"/>
    <w:rsid w:val="45AB4E4F"/>
    <w:rsid w:val="46942F1D"/>
    <w:rsid w:val="46BE5B6F"/>
    <w:rsid w:val="47857DF3"/>
    <w:rsid w:val="47B55A47"/>
    <w:rsid w:val="483E26B5"/>
    <w:rsid w:val="4AFC34C0"/>
    <w:rsid w:val="4B0C4124"/>
    <w:rsid w:val="4BAB20A6"/>
    <w:rsid w:val="4CAD778A"/>
    <w:rsid w:val="4E785AED"/>
    <w:rsid w:val="4FCC6A6C"/>
    <w:rsid w:val="4FDDF304"/>
    <w:rsid w:val="501920C8"/>
    <w:rsid w:val="512B2637"/>
    <w:rsid w:val="531654A2"/>
    <w:rsid w:val="566D38BC"/>
    <w:rsid w:val="5675118D"/>
    <w:rsid w:val="58132BB4"/>
    <w:rsid w:val="595234B3"/>
    <w:rsid w:val="5997961E"/>
    <w:rsid w:val="5AB42EB8"/>
    <w:rsid w:val="5B2325D1"/>
    <w:rsid w:val="5B428614"/>
    <w:rsid w:val="5BC41BB1"/>
    <w:rsid w:val="5BE03C43"/>
    <w:rsid w:val="5D73216C"/>
    <w:rsid w:val="5DB6767C"/>
    <w:rsid w:val="5DB7413F"/>
    <w:rsid w:val="5DD506BB"/>
    <w:rsid w:val="5DE245C0"/>
    <w:rsid w:val="5DFB15A5"/>
    <w:rsid w:val="5E3FC32B"/>
    <w:rsid w:val="5ED10E12"/>
    <w:rsid w:val="5F37B38F"/>
    <w:rsid w:val="5F7E7824"/>
    <w:rsid w:val="5F7F1E5A"/>
    <w:rsid w:val="5F8F3F04"/>
    <w:rsid w:val="611A7B3D"/>
    <w:rsid w:val="624A732F"/>
    <w:rsid w:val="624D39FE"/>
    <w:rsid w:val="63152BA9"/>
    <w:rsid w:val="633A418A"/>
    <w:rsid w:val="63B75E57"/>
    <w:rsid w:val="64421B28"/>
    <w:rsid w:val="64A51541"/>
    <w:rsid w:val="650823FB"/>
    <w:rsid w:val="662E3F42"/>
    <w:rsid w:val="6B65184D"/>
    <w:rsid w:val="6C6C4C64"/>
    <w:rsid w:val="6D475DB6"/>
    <w:rsid w:val="6E2601F6"/>
    <w:rsid w:val="6ECFC257"/>
    <w:rsid w:val="6EE11F4F"/>
    <w:rsid w:val="6FAC2139"/>
    <w:rsid w:val="6FF071B9"/>
    <w:rsid w:val="70804853"/>
    <w:rsid w:val="70E15862"/>
    <w:rsid w:val="72891685"/>
    <w:rsid w:val="75734AA8"/>
    <w:rsid w:val="765F0A0F"/>
    <w:rsid w:val="76B56B29"/>
    <w:rsid w:val="77675381"/>
    <w:rsid w:val="777B886A"/>
    <w:rsid w:val="77FDD28B"/>
    <w:rsid w:val="78FC3989"/>
    <w:rsid w:val="7A820D46"/>
    <w:rsid w:val="7BBB3340"/>
    <w:rsid w:val="7CB433B1"/>
    <w:rsid w:val="7DF3CFFC"/>
    <w:rsid w:val="7DFE99ED"/>
    <w:rsid w:val="7E3ECD34"/>
    <w:rsid w:val="7E584075"/>
    <w:rsid w:val="7F59572E"/>
    <w:rsid w:val="7FC017E5"/>
    <w:rsid w:val="7FEDEA1F"/>
    <w:rsid w:val="7FF8D1AE"/>
    <w:rsid w:val="7FFFBBBF"/>
    <w:rsid w:val="AFFB5D6B"/>
    <w:rsid w:val="B87EB837"/>
    <w:rsid w:val="BBFF8D8F"/>
    <w:rsid w:val="BCC7EE24"/>
    <w:rsid w:val="CC762AF5"/>
    <w:rsid w:val="DAEDB9DD"/>
    <w:rsid w:val="DBFF11D0"/>
    <w:rsid w:val="F73CD371"/>
    <w:rsid w:val="F9AB11C2"/>
    <w:rsid w:val="FC030D3F"/>
    <w:rsid w:val="FFDEAFAF"/>
    <w:rsid w:val="FFEF0AB1"/>
    <w:rsid w:val="FFFD41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link w:val="14"/>
    <w:qFormat/>
    <w:uiPriority w:val="0"/>
    <w:rPr>
      <w:sz w:val="28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正文文本 Char"/>
    <w:basedOn w:val="11"/>
    <w:link w:val="3"/>
    <w:qFormat/>
    <w:uiPriority w:val="0"/>
    <w:rPr>
      <w:rFonts w:ascii="Times New Roman" w:hAnsi="Times New Roman" w:eastAsia="方正仿宋" w:cs="Times New Roman"/>
      <w:sz w:val="28"/>
      <w:szCs w:val="24"/>
    </w:rPr>
  </w:style>
  <w:style w:type="character" w:customStyle="1" w:styleId="15">
    <w:name w:val="日期 Char"/>
    <w:basedOn w:val="11"/>
    <w:link w:val="5"/>
    <w:semiHidden/>
    <w:qFormat/>
    <w:uiPriority w:val="99"/>
    <w:rPr>
      <w:rFonts w:ascii="Times New Roman" w:hAnsi="Times New Roman" w:eastAsia="方正仿宋"/>
      <w:kern w:val="2"/>
      <w:sz w:val="32"/>
      <w:szCs w:val="24"/>
    </w:rPr>
  </w:style>
  <w:style w:type="character" w:customStyle="1" w:styleId="16">
    <w:name w:val="页脚 Char"/>
    <w:basedOn w:val="11"/>
    <w:link w:val="6"/>
    <w:qFormat/>
    <w:uiPriority w:val="99"/>
    <w:rPr>
      <w:rFonts w:ascii="Times New Roman" w:hAnsi="Times New Roman" w:eastAsia="方正仿宋"/>
      <w:kern w:val="2"/>
      <w:sz w:val="18"/>
      <w:szCs w:val="18"/>
    </w:rPr>
  </w:style>
  <w:style w:type="character" w:customStyle="1" w:styleId="17">
    <w:name w:val="页眉 Char"/>
    <w:basedOn w:val="11"/>
    <w:link w:val="7"/>
    <w:semiHidden/>
    <w:qFormat/>
    <w:uiPriority w:val="99"/>
    <w:rPr>
      <w:rFonts w:ascii="Times New Roman" w:hAnsi="Times New Roman" w:eastAsia="方正仿宋"/>
      <w:kern w:val="2"/>
      <w:sz w:val="18"/>
      <w:szCs w:val="18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1746</Words>
  <Characters>9957</Characters>
  <Lines>82</Lines>
  <Paragraphs>23</Paragraphs>
  <TotalTime>5</TotalTime>
  <ScaleCrop>false</ScaleCrop>
  <LinksUpToDate>false</LinksUpToDate>
  <CharactersWithSpaces>11680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2020-10-02T06:22:00Z</dcterms:created>
  <dc:creator>admin</dc:creator>
  <cp:lastModifiedBy>一生何求</cp:lastModifiedBy>
  <cp:lastPrinted>2024-02-08T16:16:00Z</cp:lastPrinted>
  <dcterms:modified xsi:type="dcterms:W3CDTF">2024-12-30T11:36:06Z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1139413200_btnclosed</vt:lpwstr>
  </property>
  <property fmtid="{D5CDD505-2E9C-101B-9397-08002B2CF9AE}" pid="3" name="KSOProductBuildVer">
    <vt:lpwstr>2052-11.8.2.10251</vt:lpwstr>
  </property>
  <property fmtid="{D5CDD505-2E9C-101B-9397-08002B2CF9AE}" pid="4" name="ICV">
    <vt:lpwstr>2AD317B16FBB47ED911D305F98F30108</vt:lpwstr>
  </property>
</Properties>
</file>