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垫江县人民政府办公室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2023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根据《中华人民共和国政府信息公开条例》和《中华人民共和国政府信息公开工作年度报告格式》规定,编制本年度报告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。全文内容包括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202</w:t>
      </w:r>
      <w:r>
        <w:rPr>
          <w:rFonts w:hint="default" w:eastAsia="方正仿宋_GBK" w:cs="Times New Roman"/>
          <w:color w:val="auto"/>
          <w:sz w:val="32"/>
          <w:szCs w:val="32"/>
          <w:lang w:val="en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年度政府信息公开总体情况、主动公开政府信息情况、收到和处理政府信息公开申请情况、政府信息公开行政复议和行政诉讼情况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存在的主要问题及改进情况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其他需报告的事项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六部分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。本年度报告中所列数据统计期限从202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年1月1日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至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12月31日止。本年度报告电子版可从县政府网站（http://www.cqsdj.gov.cn/）下载。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年，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垫江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县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人民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政府办公室在市政府办公厅指导下，严格贯彻落实国务院办公厅、市政府办公厅关于政务公开的系列文件精神和最新工作要求，注重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群众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需求、精准推送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以实际行动贯彻落实党的二十大精神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通过政策服务、信息公开、政民互动，打造“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阳光政府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”形象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4BACC6"/>
          <w:sz w:val="32"/>
          <w:szCs w:val="32"/>
          <w:lang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主动公开方面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。一是压实工作责任。分解落实2023年政务公开重点任务,明确公开任务和牵头责任单位,确保各项工作落地落实。组织各单位对2022年政务公开工作要点完成情况开展“回头看”，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扎实推进整改落实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。二是加强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重点领域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信息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公开。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公开垫江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县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人民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政府及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垫江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县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人民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政府办公室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政策文件49件，其中，行政规范性文件4件、人事任免文件14件、其他政策文件31件，决策信息公开持续推进。公开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《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垫江县2022年预算执行情况和2023年预算草案的报告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等财政预决算信息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条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，公开垫江县农村人居环境整治项目等重点建设项目184个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执行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信息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公开不断深化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公开政务服务事项1403项、公共企事业单位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信息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45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条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，服务信息公开不断拓展。三是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提升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政策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解读质效。围绕优化营商环境、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就业创业、医疗保障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等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重点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政策，运用图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、举例子、讲故事等群众喜闻乐见的方式开展解读，增强解读的直观性和便捷性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全年共发布解读材料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篇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包括文字解读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36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篇、图片解读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篇、视频解读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篇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四是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有效回应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公众关切。办理公开信箱752件次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、公开发布回复30件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次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办理中国政府网网民留言75件次，办理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全国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一体化在线政务服务平台投诉咨询建议8件次，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无超期回复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满意率为100%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。581个政策咨询问答全部打上标签，提高了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政策咨询问答库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检索效率，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政民互动不断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加强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依申请公开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方面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。严格执行办理程序，加强与申请人沟通交流，精准掌握实际诉求，有针对性地提高办理质量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对答复合理合法但群众不理解的，耐心细致做好解释工作。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垫江县人民政府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全年共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办理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政府信息公开申请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件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其中，依法予以公开11件、不予以公开3件（国家秘密1件、内部事务信息1件、本机关不掌握1件），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均在法定期限内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依法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予以答复，较好地保障了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群众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获取政府信息的权利。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政府信息管理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方面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一是制定《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垫江县政府网站和政务新媒体管理办法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》，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压实各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单位的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信息发布主体责任，完善信息发布审核机制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政府信息管理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更加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规范。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二是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深化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行政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规范性文件集中公开，完善行政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规范性文件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库建设，建成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包含垫江县人民政府及其部门和乡镇人民政府的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行政规范性文件库。202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年，新制发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并入库行政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规范性文件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件。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是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及时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开展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行政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规范性文件清理，严格执行备案制度，按季度更新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公开《垫江县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行政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规范性文件汇编》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及时清理废止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行政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规范性文件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7件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全部纳入废止失效文件库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（四）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平台建设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方面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。一是优化栏目设置。对公众需求度不高的栏目进行整合,扫描栏目76次,常态化监测栏目更新情况。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二是保障栏目信息。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发布信息9209条，其中营商优化信息535条、转载要闻信息1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条、常务会及解读信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息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条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，有效保障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县政府253个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栏目信息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是加强审核把关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。对发布的信息，严把政治关、法律关、政策关、保密关、文字关、舆情关，落实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每日监测扫描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制度，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在1个工作日内核查办理并反馈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问题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（五）监督保障方面。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一是加强业务培训，开展专题指导5次、现场集中培训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次，政务公开工作队伍业务水平有效提升。二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是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加强全县政府网站和政务新媒体</w:t>
      </w: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管理，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开展专项检查37次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，有效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消除</w:t>
      </w: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安全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隐患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。三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是积极开展权威发声联动、加强政务新媒体矩阵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之间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以及与政府网站的交流合作，新建垫江政务新媒体矩阵页面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集中展示全县11个政务新媒体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开展政务新媒体检查21次。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主动公开政府信息情况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6"/>
        <w:gridCol w:w="2235"/>
        <w:gridCol w:w="2235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6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23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2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2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1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23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2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23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2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2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1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6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23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662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23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662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6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23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662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23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662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23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662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6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23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662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223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662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三、收到和处理政府信息公开申请情况</w:t>
      </w:r>
    </w:p>
    <w:tbl>
      <w:tblPr>
        <w:tblStyle w:val="4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883"/>
        <w:gridCol w:w="2080"/>
        <w:gridCol w:w="813"/>
        <w:gridCol w:w="578"/>
        <w:gridCol w:w="689"/>
        <w:gridCol w:w="766"/>
        <w:gridCol w:w="734"/>
        <w:gridCol w:w="798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573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307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57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81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565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92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357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81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92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57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57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296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296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88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208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88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208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88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208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88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208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88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208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88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208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88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208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88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208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88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208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88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208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88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208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88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208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88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208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88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208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88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208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88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20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88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20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88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20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88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20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296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357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四、政府信息公开行政复议、行政诉讼情况</w:t>
      </w:r>
    </w:p>
    <w:tbl>
      <w:tblPr>
        <w:tblStyle w:val="4"/>
        <w:tblW w:w="8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612"/>
        <w:gridCol w:w="612"/>
        <w:gridCol w:w="611"/>
        <w:gridCol w:w="613"/>
        <w:gridCol w:w="613"/>
        <w:gridCol w:w="613"/>
        <w:gridCol w:w="613"/>
        <w:gridCol w:w="612"/>
        <w:gridCol w:w="615"/>
        <w:gridCol w:w="614"/>
        <w:gridCol w:w="613"/>
        <w:gridCol w:w="614"/>
        <w:gridCol w:w="612"/>
        <w:gridCol w:w="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010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5899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1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1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1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13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066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2833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61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61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61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613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6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1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38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8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年，虽然政府信息公开工作取得了一定进步，但还存在一些不足：一是政策的智能匹配和精准推送有待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提高。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二是依申请公开主要集中在征地拆迁领域且争议较多。三是政策文件的解读质量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有待提升。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下一步，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将重点抓好以下工作：一是探索开展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政策智能精准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推送。二是完善依申请公开工作各个环节，强化为民服务意识，重点做好征地拆迁领域信息公开申请答复和解释工作，不断提高群众满意度。三是做深做实政策解读工作，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注重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结合群众语言习惯开展实质性解读，重点解读与群众生产生活密切相关的具体条款，突出核心概念、新旧政策差异、影响范围、管理执行标准及注意事项，不断提升解读质效。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</w:pPr>
      <w:r>
        <w:rPr>
          <w:rFonts w:hint="eastAsia" w:eastAsia="方正仿宋_GBK" w:cs="Times New Roman"/>
          <w:kern w:val="0"/>
          <w:sz w:val="32"/>
          <w:szCs w:val="32"/>
          <w:lang w:val="en-US" w:eastAsia="zh-CN" w:bidi="ar"/>
        </w:rPr>
        <w:t>本机关认真贯彻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落实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中华人民共和国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政府信息公开条例》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要求，完成政务公开各项工作。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 w:bidi="ar"/>
        </w:rPr>
        <w:t>2023年，本机关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未收取信息处理费。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6A510"/>
    <w:rsid w:val="3FFB75FD"/>
    <w:rsid w:val="57FB0FF0"/>
    <w:rsid w:val="5FDD6308"/>
    <w:rsid w:val="5FDF5726"/>
    <w:rsid w:val="6FC6582B"/>
    <w:rsid w:val="76FB1D8B"/>
    <w:rsid w:val="77E6A510"/>
    <w:rsid w:val="7BCFFC00"/>
    <w:rsid w:val="7F749781"/>
    <w:rsid w:val="7FF1BD5B"/>
    <w:rsid w:val="8B7F7C2C"/>
    <w:rsid w:val="BE3B6543"/>
    <w:rsid w:val="BEFB5EF4"/>
    <w:rsid w:val="BFE72B51"/>
    <w:rsid w:val="DFDD399C"/>
    <w:rsid w:val="FAB7FCBA"/>
    <w:rsid w:val="FE7D1FC5"/>
    <w:rsid w:val="FF53C044"/>
    <w:rsid w:val="FFF3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2865</Words>
  <Characters>2992</Characters>
  <Lines>0</Lines>
  <Paragraphs>0</Paragraphs>
  <TotalTime>9</TotalTime>
  <ScaleCrop>false</ScaleCrop>
  <LinksUpToDate>false</LinksUpToDate>
  <CharactersWithSpaces>2992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2024-01-15T14:43:00Z</dcterms:created>
  <dc:creator>一生何求</dc:creator>
  <cp:lastModifiedBy>一生何求</cp:lastModifiedBy>
  <dcterms:modified xsi:type="dcterms:W3CDTF">2024-12-13T10:36:32Z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